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ABD" w:rsidRPr="00E65146" w:rsidRDefault="00A91ABD" w:rsidP="00A91ABD">
      <w:pPr>
        <w:ind w:left="360"/>
        <w:jc w:val="center"/>
        <w:rPr>
          <w:rFonts w:ascii="Arial" w:hAnsi="Arial" w:cs="Arial"/>
          <w:b/>
          <w:sz w:val="36"/>
          <w:szCs w:val="36"/>
        </w:rPr>
      </w:pPr>
      <w:bookmarkStart w:id="0" w:name="_GoBack"/>
      <w:bookmarkEnd w:id="0"/>
    </w:p>
    <w:p w:rsidR="00A91ABD" w:rsidRPr="00E65146" w:rsidRDefault="00A91ABD" w:rsidP="00A91ABD">
      <w:pPr>
        <w:ind w:left="360"/>
        <w:jc w:val="center"/>
        <w:rPr>
          <w:rFonts w:ascii="Arial" w:hAnsi="Arial" w:cs="Arial"/>
          <w:b/>
          <w:sz w:val="36"/>
          <w:szCs w:val="36"/>
        </w:rPr>
      </w:pPr>
    </w:p>
    <w:p w:rsidR="00A91ABD" w:rsidRPr="00E65146" w:rsidRDefault="00A91ABD" w:rsidP="00A91ABD">
      <w:pPr>
        <w:ind w:left="360"/>
        <w:jc w:val="center"/>
        <w:rPr>
          <w:rFonts w:ascii="Arial" w:hAnsi="Arial" w:cs="Arial"/>
          <w:b/>
          <w:sz w:val="36"/>
          <w:szCs w:val="36"/>
        </w:rPr>
      </w:pPr>
    </w:p>
    <w:p w:rsidR="00A91ABD" w:rsidRPr="00E65146" w:rsidRDefault="00A91ABD" w:rsidP="00A91ABD">
      <w:pPr>
        <w:ind w:left="360"/>
        <w:jc w:val="center"/>
        <w:rPr>
          <w:rFonts w:ascii="Arial" w:hAnsi="Arial" w:cs="Arial"/>
          <w:b/>
          <w:sz w:val="36"/>
          <w:szCs w:val="36"/>
        </w:rPr>
      </w:pPr>
    </w:p>
    <w:p w:rsidR="0028387D" w:rsidRPr="00E65146" w:rsidRDefault="00BC5D06" w:rsidP="00A91ABD">
      <w:pPr>
        <w:ind w:left="360"/>
        <w:jc w:val="center"/>
        <w:rPr>
          <w:rFonts w:ascii="Arial" w:hAnsi="Arial" w:cs="Arial"/>
          <w:b/>
          <w:sz w:val="36"/>
          <w:szCs w:val="36"/>
        </w:rPr>
      </w:pPr>
      <w:r>
        <w:rPr>
          <w:rFonts w:ascii="Arial" w:hAnsi="Arial" w:cs="Arial"/>
          <w:b/>
          <w:sz w:val="36"/>
          <w:szCs w:val="36"/>
        </w:rPr>
        <w:t xml:space="preserve">HEALTH </w:t>
      </w:r>
      <w:r w:rsidR="00A91ABD" w:rsidRPr="00E65146">
        <w:rPr>
          <w:rFonts w:ascii="Arial" w:hAnsi="Arial" w:cs="Arial"/>
          <w:b/>
          <w:sz w:val="36"/>
          <w:szCs w:val="36"/>
        </w:rPr>
        <w:t>HUMAN RESOURCE</w:t>
      </w:r>
      <w:r>
        <w:rPr>
          <w:rFonts w:ascii="Arial" w:hAnsi="Arial" w:cs="Arial"/>
          <w:b/>
          <w:sz w:val="36"/>
          <w:szCs w:val="36"/>
        </w:rPr>
        <w:t>S</w:t>
      </w:r>
      <w:r w:rsidR="00A91ABD" w:rsidRPr="00E65146">
        <w:rPr>
          <w:rFonts w:ascii="Arial" w:hAnsi="Arial" w:cs="Arial"/>
          <w:b/>
          <w:sz w:val="36"/>
          <w:szCs w:val="36"/>
        </w:rPr>
        <w:t xml:space="preserve"> SECTOR DEVELOPMENT PROGRAM</w:t>
      </w:r>
    </w:p>
    <w:p w:rsidR="0028387D" w:rsidRPr="00AD146D" w:rsidRDefault="00AD146D" w:rsidP="00DF632E">
      <w:pPr>
        <w:ind w:left="360"/>
        <w:jc w:val="center"/>
        <w:rPr>
          <w:rFonts w:ascii="Arial" w:hAnsi="Arial" w:cs="Arial"/>
          <w:b/>
          <w:sz w:val="24"/>
          <w:szCs w:val="24"/>
        </w:rPr>
      </w:pPr>
      <w:r>
        <w:rPr>
          <w:rFonts w:ascii="Arial" w:hAnsi="Arial" w:cs="Arial"/>
          <w:b/>
          <w:sz w:val="24"/>
          <w:szCs w:val="24"/>
        </w:rPr>
        <w:t xml:space="preserve">(LOAN 2642-2643 VIE &amp; </w:t>
      </w:r>
      <w:r w:rsidRPr="00DF632E">
        <w:rPr>
          <w:rFonts w:ascii="Arial" w:hAnsi="Arial" w:cs="Arial"/>
          <w:b/>
          <w:sz w:val="24"/>
          <w:szCs w:val="24"/>
        </w:rPr>
        <w:t>GRANT-0209 VIE</w:t>
      </w:r>
      <w:r>
        <w:rPr>
          <w:rFonts w:ascii="Arial" w:hAnsi="Arial" w:cs="Arial"/>
          <w:b/>
          <w:sz w:val="24"/>
          <w:szCs w:val="24"/>
        </w:rPr>
        <w:t>)</w:t>
      </w:r>
    </w:p>
    <w:p w:rsidR="0028387D" w:rsidRPr="00E65146" w:rsidRDefault="0028387D" w:rsidP="00151AC6">
      <w:pPr>
        <w:ind w:left="360"/>
        <w:jc w:val="both"/>
        <w:rPr>
          <w:rFonts w:ascii="Arial" w:hAnsi="Arial" w:cs="Arial"/>
          <w:b/>
          <w:sz w:val="24"/>
          <w:szCs w:val="24"/>
        </w:rPr>
      </w:pPr>
    </w:p>
    <w:p w:rsidR="00A91ABD" w:rsidRPr="00E65146" w:rsidRDefault="00A91ABD" w:rsidP="00151AC6">
      <w:pPr>
        <w:ind w:left="360"/>
        <w:jc w:val="both"/>
        <w:rPr>
          <w:rFonts w:ascii="Arial" w:hAnsi="Arial" w:cs="Arial"/>
          <w:b/>
          <w:sz w:val="24"/>
          <w:szCs w:val="24"/>
        </w:rPr>
      </w:pPr>
    </w:p>
    <w:p w:rsidR="00A91ABD" w:rsidRPr="00E65146" w:rsidRDefault="00A91ABD" w:rsidP="00151AC6">
      <w:pPr>
        <w:ind w:left="360"/>
        <w:jc w:val="both"/>
        <w:rPr>
          <w:rFonts w:ascii="Arial" w:hAnsi="Arial" w:cs="Arial"/>
          <w:b/>
          <w:sz w:val="32"/>
          <w:szCs w:val="32"/>
        </w:rPr>
      </w:pPr>
    </w:p>
    <w:p w:rsidR="0028387D" w:rsidRDefault="0028387D" w:rsidP="00A91ABD">
      <w:pPr>
        <w:ind w:left="360"/>
        <w:jc w:val="center"/>
        <w:rPr>
          <w:rFonts w:ascii="Arial" w:hAnsi="Arial" w:cs="Arial"/>
          <w:b/>
          <w:sz w:val="32"/>
          <w:szCs w:val="32"/>
        </w:rPr>
      </w:pPr>
      <w:r w:rsidRPr="00E65146">
        <w:rPr>
          <w:rFonts w:ascii="Arial" w:hAnsi="Arial" w:cs="Arial"/>
          <w:b/>
          <w:sz w:val="32"/>
          <w:szCs w:val="32"/>
        </w:rPr>
        <w:t>INDEPENDENT COMPLETION REPORT</w:t>
      </w:r>
    </w:p>
    <w:p w:rsidR="0028387D" w:rsidRPr="00E65146" w:rsidRDefault="0028387D" w:rsidP="00151AC6">
      <w:pPr>
        <w:ind w:left="360"/>
        <w:jc w:val="both"/>
        <w:rPr>
          <w:rFonts w:ascii="Arial" w:hAnsi="Arial" w:cs="Arial"/>
          <w:b/>
          <w:sz w:val="24"/>
          <w:szCs w:val="24"/>
        </w:rPr>
      </w:pPr>
    </w:p>
    <w:p w:rsidR="0028387D" w:rsidRPr="00E65146" w:rsidRDefault="0028387D" w:rsidP="00151AC6">
      <w:pPr>
        <w:ind w:left="360"/>
        <w:jc w:val="both"/>
        <w:rPr>
          <w:rFonts w:ascii="Arial" w:hAnsi="Arial" w:cs="Arial"/>
          <w:b/>
          <w:sz w:val="24"/>
          <w:szCs w:val="24"/>
        </w:rPr>
      </w:pPr>
    </w:p>
    <w:p w:rsidR="00A91ABD" w:rsidRPr="00E65146" w:rsidRDefault="00A91ABD" w:rsidP="00151AC6">
      <w:pPr>
        <w:ind w:left="360"/>
        <w:jc w:val="both"/>
        <w:rPr>
          <w:rFonts w:ascii="Arial" w:hAnsi="Arial" w:cs="Arial"/>
          <w:b/>
          <w:sz w:val="24"/>
          <w:szCs w:val="24"/>
        </w:rPr>
      </w:pPr>
    </w:p>
    <w:p w:rsidR="00A91ABD" w:rsidRPr="00E65146" w:rsidRDefault="00A91ABD" w:rsidP="00151AC6">
      <w:pPr>
        <w:ind w:left="360"/>
        <w:jc w:val="both"/>
        <w:rPr>
          <w:rFonts w:ascii="Arial" w:hAnsi="Arial" w:cs="Arial"/>
          <w:b/>
          <w:sz w:val="24"/>
          <w:szCs w:val="24"/>
        </w:rPr>
      </w:pPr>
    </w:p>
    <w:p w:rsidR="00A91ABD" w:rsidRPr="00E65146" w:rsidRDefault="00A91ABD" w:rsidP="00151AC6">
      <w:pPr>
        <w:ind w:left="360"/>
        <w:jc w:val="both"/>
        <w:rPr>
          <w:rFonts w:ascii="Arial" w:hAnsi="Arial" w:cs="Arial"/>
          <w:b/>
          <w:sz w:val="24"/>
          <w:szCs w:val="24"/>
        </w:rPr>
      </w:pPr>
    </w:p>
    <w:p w:rsidR="00A91ABD" w:rsidRPr="00E65146" w:rsidRDefault="00A91ABD" w:rsidP="00151AC6">
      <w:pPr>
        <w:ind w:left="360"/>
        <w:jc w:val="both"/>
        <w:rPr>
          <w:rFonts w:ascii="Arial" w:hAnsi="Arial" w:cs="Arial"/>
          <w:b/>
          <w:sz w:val="24"/>
          <w:szCs w:val="24"/>
        </w:rPr>
      </w:pPr>
    </w:p>
    <w:p w:rsidR="00A91ABD" w:rsidRPr="00E65146" w:rsidRDefault="00A91ABD" w:rsidP="00151AC6">
      <w:pPr>
        <w:ind w:left="360"/>
        <w:jc w:val="both"/>
        <w:rPr>
          <w:rFonts w:ascii="Arial" w:hAnsi="Arial" w:cs="Arial"/>
          <w:b/>
          <w:sz w:val="24"/>
          <w:szCs w:val="24"/>
        </w:rPr>
      </w:pPr>
    </w:p>
    <w:p w:rsidR="00A91ABD" w:rsidRPr="00E65146" w:rsidRDefault="00A91ABD" w:rsidP="00151AC6">
      <w:pPr>
        <w:ind w:left="360"/>
        <w:jc w:val="both"/>
        <w:rPr>
          <w:rFonts w:ascii="Arial" w:hAnsi="Arial" w:cs="Arial"/>
          <w:b/>
          <w:sz w:val="24"/>
          <w:szCs w:val="24"/>
        </w:rPr>
      </w:pPr>
    </w:p>
    <w:p w:rsidR="00A91ABD" w:rsidRPr="00E65146" w:rsidRDefault="00A91ABD" w:rsidP="00151AC6">
      <w:pPr>
        <w:ind w:left="360"/>
        <w:jc w:val="both"/>
        <w:rPr>
          <w:rFonts w:ascii="Arial" w:hAnsi="Arial" w:cs="Arial"/>
          <w:b/>
          <w:sz w:val="24"/>
          <w:szCs w:val="24"/>
        </w:rPr>
      </w:pPr>
    </w:p>
    <w:p w:rsidR="00A91ABD" w:rsidRPr="00E65146" w:rsidRDefault="00A91ABD" w:rsidP="00151AC6">
      <w:pPr>
        <w:ind w:left="360"/>
        <w:jc w:val="both"/>
        <w:rPr>
          <w:rFonts w:ascii="Arial" w:hAnsi="Arial" w:cs="Arial"/>
          <w:b/>
          <w:sz w:val="24"/>
          <w:szCs w:val="24"/>
        </w:rPr>
      </w:pPr>
    </w:p>
    <w:p w:rsidR="00A91ABD" w:rsidRPr="00E65146" w:rsidRDefault="00A91ABD" w:rsidP="00151AC6">
      <w:pPr>
        <w:ind w:left="360"/>
        <w:jc w:val="both"/>
        <w:rPr>
          <w:rFonts w:ascii="Arial" w:hAnsi="Arial" w:cs="Arial"/>
          <w:b/>
          <w:sz w:val="24"/>
          <w:szCs w:val="24"/>
        </w:rPr>
      </w:pPr>
    </w:p>
    <w:p w:rsidR="00A91ABD" w:rsidRPr="00E65146" w:rsidRDefault="00A91ABD" w:rsidP="00151AC6">
      <w:pPr>
        <w:ind w:left="360"/>
        <w:jc w:val="both"/>
        <w:rPr>
          <w:rFonts w:ascii="Arial" w:hAnsi="Arial" w:cs="Arial"/>
          <w:b/>
          <w:sz w:val="24"/>
          <w:szCs w:val="24"/>
        </w:rPr>
      </w:pPr>
    </w:p>
    <w:p w:rsidR="00A91ABD" w:rsidRPr="00E65146" w:rsidRDefault="00A91ABD" w:rsidP="00151AC6">
      <w:pPr>
        <w:ind w:left="360"/>
        <w:jc w:val="both"/>
        <w:rPr>
          <w:rFonts w:ascii="Arial" w:hAnsi="Arial" w:cs="Arial"/>
          <w:b/>
          <w:sz w:val="24"/>
          <w:szCs w:val="24"/>
        </w:rPr>
      </w:pPr>
    </w:p>
    <w:p w:rsidR="00A91ABD" w:rsidRPr="00E65146" w:rsidRDefault="00A91ABD" w:rsidP="00151AC6">
      <w:pPr>
        <w:ind w:left="360"/>
        <w:jc w:val="both"/>
        <w:rPr>
          <w:rFonts w:ascii="Arial" w:hAnsi="Arial" w:cs="Arial"/>
          <w:b/>
          <w:sz w:val="24"/>
          <w:szCs w:val="24"/>
        </w:rPr>
      </w:pPr>
    </w:p>
    <w:p w:rsidR="00A91ABD" w:rsidRPr="00E65146" w:rsidRDefault="00A91ABD" w:rsidP="00151AC6">
      <w:pPr>
        <w:ind w:left="360"/>
        <w:jc w:val="both"/>
        <w:rPr>
          <w:rFonts w:ascii="Arial" w:hAnsi="Arial" w:cs="Arial"/>
          <w:b/>
          <w:sz w:val="24"/>
          <w:szCs w:val="24"/>
        </w:rPr>
      </w:pPr>
    </w:p>
    <w:p w:rsidR="00A91ABD" w:rsidRPr="00E65146" w:rsidRDefault="00A91ABD" w:rsidP="00151AC6">
      <w:pPr>
        <w:ind w:left="360"/>
        <w:jc w:val="both"/>
        <w:rPr>
          <w:rFonts w:ascii="Arial" w:hAnsi="Arial" w:cs="Arial"/>
          <w:b/>
          <w:sz w:val="24"/>
          <w:szCs w:val="24"/>
        </w:rPr>
      </w:pPr>
    </w:p>
    <w:p w:rsidR="00A91ABD" w:rsidRPr="00E65146" w:rsidRDefault="00A91ABD" w:rsidP="00151AC6">
      <w:pPr>
        <w:ind w:left="360"/>
        <w:jc w:val="both"/>
        <w:rPr>
          <w:rFonts w:ascii="Arial" w:hAnsi="Arial" w:cs="Arial"/>
          <w:b/>
          <w:sz w:val="24"/>
          <w:szCs w:val="24"/>
        </w:rPr>
      </w:pPr>
    </w:p>
    <w:p w:rsidR="00A91ABD" w:rsidRPr="00E65146" w:rsidRDefault="00A91ABD" w:rsidP="00151AC6">
      <w:pPr>
        <w:ind w:left="360"/>
        <w:jc w:val="both"/>
        <w:rPr>
          <w:rFonts w:ascii="Arial" w:hAnsi="Arial" w:cs="Arial"/>
          <w:b/>
          <w:sz w:val="24"/>
          <w:szCs w:val="24"/>
        </w:rPr>
      </w:pPr>
    </w:p>
    <w:p w:rsidR="00A91ABD" w:rsidRPr="00E65146" w:rsidRDefault="00A91ABD" w:rsidP="00151AC6">
      <w:pPr>
        <w:ind w:left="360"/>
        <w:jc w:val="both"/>
        <w:rPr>
          <w:rFonts w:ascii="Arial" w:hAnsi="Arial" w:cs="Arial"/>
          <w:b/>
          <w:sz w:val="24"/>
          <w:szCs w:val="24"/>
        </w:rPr>
      </w:pPr>
    </w:p>
    <w:p w:rsidR="00A91ABD" w:rsidRPr="00E65146" w:rsidRDefault="00A91ABD" w:rsidP="00151AC6">
      <w:pPr>
        <w:ind w:left="360"/>
        <w:jc w:val="both"/>
        <w:rPr>
          <w:rFonts w:ascii="Arial" w:hAnsi="Arial" w:cs="Arial"/>
          <w:b/>
          <w:sz w:val="24"/>
          <w:szCs w:val="24"/>
        </w:rPr>
      </w:pPr>
    </w:p>
    <w:p w:rsidR="00A91ABD" w:rsidRPr="00E65146" w:rsidRDefault="00A91ABD" w:rsidP="00151AC6">
      <w:pPr>
        <w:ind w:left="360"/>
        <w:jc w:val="both"/>
        <w:rPr>
          <w:rFonts w:ascii="Arial" w:hAnsi="Arial" w:cs="Arial"/>
          <w:b/>
          <w:sz w:val="24"/>
          <w:szCs w:val="24"/>
        </w:rPr>
      </w:pPr>
    </w:p>
    <w:p w:rsidR="00A91ABD" w:rsidRPr="00E65146" w:rsidRDefault="00A91ABD" w:rsidP="00151AC6">
      <w:pPr>
        <w:ind w:left="360"/>
        <w:jc w:val="both"/>
        <w:rPr>
          <w:rFonts w:ascii="Arial" w:hAnsi="Arial" w:cs="Arial"/>
          <w:b/>
          <w:sz w:val="24"/>
          <w:szCs w:val="24"/>
        </w:rPr>
      </w:pPr>
    </w:p>
    <w:p w:rsidR="00A91ABD" w:rsidRPr="00E65146" w:rsidRDefault="00A91ABD" w:rsidP="00151AC6">
      <w:pPr>
        <w:ind w:left="360"/>
        <w:jc w:val="both"/>
        <w:rPr>
          <w:rFonts w:ascii="Arial" w:hAnsi="Arial" w:cs="Arial"/>
          <w:b/>
          <w:sz w:val="24"/>
          <w:szCs w:val="24"/>
        </w:rPr>
      </w:pPr>
    </w:p>
    <w:p w:rsidR="00A91ABD" w:rsidRPr="00E65146" w:rsidRDefault="00A91ABD" w:rsidP="00151AC6">
      <w:pPr>
        <w:ind w:left="360"/>
        <w:jc w:val="both"/>
        <w:rPr>
          <w:rFonts w:ascii="Arial" w:hAnsi="Arial" w:cs="Arial"/>
          <w:b/>
          <w:sz w:val="24"/>
          <w:szCs w:val="24"/>
        </w:rPr>
      </w:pPr>
    </w:p>
    <w:p w:rsidR="00A91ABD" w:rsidRPr="00E65146" w:rsidRDefault="00A91ABD" w:rsidP="00151AC6">
      <w:pPr>
        <w:ind w:left="360"/>
        <w:jc w:val="both"/>
        <w:rPr>
          <w:rFonts w:ascii="Arial" w:hAnsi="Arial" w:cs="Arial"/>
          <w:b/>
          <w:sz w:val="24"/>
          <w:szCs w:val="24"/>
        </w:rPr>
      </w:pPr>
    </w:p>
    <w:p w:rsidR="00A91ABD" w:rsidRPr="00E65146" w:rsidRDefault="00A91ABD" w:rsidP="00151AC6">
      <w:pPr>
        <w:ind w:left="360"/>
        <w:jc w:val="both"/>
        <w:rPr>
          <w:rFonts w:ascii="Arial" w:hAnsi="Arial" w:cs="Arial"/>
          <w:b/>
          <w:sz w:val="24"/>
          <w:szCs w:val="24"/>
        </w:rPr>
      </w:pPr>
    </w:p>
    <w:p w:rsidR="00A91ABD" w:rsidRPr="00E65146" w:rsidRDefault="00A91ABD" w:rsidP="00151AC6">
      <w:pPr>
        <w:ind w:left="360"/>
        <w:jc w:val="both"/>
        <w:rPr>
          <w:rFonts w:ascii="Arial" w:hAnsi="Arial" w:cs="Arial"/>
          <w:b/>
          <w:sz w:val="24"/>
          <w:szCs w:val="24"/>
        </w:rPr>
      </w:pPr>
    </w:p>
    <w:p w:rsidR="00A91ABD" w:rsidRPr="00E65146" w:rsidRDefault="00A91ABD" w:rsidP="00A91ABD">
      <w:pPr>
        <w:ind w:left="360"/>
        <w:jc w:val="both"/>
        <w:rPr>
          <w:rFonts w:ascii="Arial" w:hAnsi="Arial" w:cs="Arial"/>
          <w:b/>
          <w:sz w:val="24"/>
          <w:szCs w:val="24"/>
        </w:rPr>
      </w:pPr>
    </w:p>
    <w:p w:rsidR="00A91ABD" w:rsidRPr="00E65146" w:rsidRDefault="00A91ABD" w:rsidP="00DF632E">
      <w:pPr>
        <w:jc w:val="both"/>
        <w:rPr>
          <w:rFonts w:ascii="Arial" w:hAnsi="Arial" w:cs="Arial"/>
          <w:b/>
          <w:sz w:val="24"/>
          <w:szCs w:val="24"/>
        </w:rPr>
      </w:pPr>
    </w:p>
    <w:p w:rsidR="00A91ABD" w:rsidRPr="00E65146" w:rsidRDefault="00A91ABD" w:rsidP="00A91ABD">
      <w:pPr>
        <w:ind w:left="360"/>
        <w:jc w:val="both"/>
        <w:rPr>
          <w:rFonts w:ascii="Arial" w:hAnsi="Arial" w:cs="Arial"/>
          <w:b/>
          <w:sz w:val="24"/>
          <w:szCs w:val="24"/>
        </w:rPr>
      </w:pPr>
    </w:p>
    <w:p w:rsidR="0028387D" w:rsidRPr="00E65146" w:rsidRDefault="00A91ABD" w:rsidP="00151AC6">
      <w:pPr>
        <w:ind w:left="360"/>
        <w:jc w:val="both"/>
        <w:rPr>
          <w:rFonts w:ascii="Arial" w:hAnsi="Arial" w:cs="Arial"/>
          <w:b/>
          <w:sz w:val="24"/>
          <w:szCs w:val="24"/>
        </w:rPr>
      </w:pPr>
      <w:r w:rsidRPr="00E65146">
        <w:rPr>
          <w:rFonts w:ascii="Arial" w:hAnsi="Arial" w:cs="Arial"/>
          <w:b/>
          <w:sz w:val="24"/>
          <w:szCs w:val="24"/>
        </w:rPr>
        <w:t>Alistair Briscombe</w:t>
      </w:r>
      <w:r w:rsidR="00AD146D">
        <w:rPr>
          <w:rFonts w:ascii="Arial" w:hAnsi="Arial" w:cs="Arial"/>
          <w:b/>
          <w:sz w:val="24"/>
          <w:szCs w:val="24"/>
        </w:rPr>
        <w:t xml:space="preserve"> &amp; Nguyen Thanh Hai</w:t>
      </w:r>
    </w:p>
    <w:p w:rsidR="0028387D" w:rsidRPr="00E65146" w:rsidRDefault="0028387D" w:rsidP="00151AC6">
      <w:pPr>
        <w:ind w:left="360"/>
        <w:jc w:val="both"/>
        <w:rPr>
          <w:rFonts w:ascii="Arial" w:hAnsi="Arial" w:cs="Arial"/>
          <w:b/>
          <w:sz w:val="24"/>
          <w:szCs w:val="24"/>
        </w:rPr>
      </w:pPr>
    </w:p>
    <w:p w:rsidR="0028387D" w:rsidRDefault="009D0F54" w:rsidP="00151AC6">
      <w:pPr>
        <w:ind w:left="360"/>
        <w:jc w:val="both"/>
        <w:rPr>
          <w:rFonts w:ascii="Arial" w:hAnsi="Arial" w:cs="Arial"/>
          <w:b/>
          <w:sz w:val="24"/>
          <w:szCs w:val="24"/>
        </w:rPr>
      </w:pPr>
      <w:r>
        <w:rPr>
          <w:rFonts w:ascii="Arial" w:hAnsi="Arial" w:cs="Arial"/>
          <w:b/>
          <w:sz w:val="24"/>
          <w:szCs w:val="24"/>
        </w:rPr>
        <w:t>2</w:t>
      </w:r>
      <w:r w:rsidR="005308E2">
        <w:rPr>
          <w:rFonts w:ascii="Arial" w:hAnsi="Arial" w:cs="Arial"/>
          <w:b/>
          <w:sz w:val="24"/>
          <w:szCs w:val="24"/>
        </w:rPr>
        <w:t>9</w:t>
      </w:r>
      <w:r w:rsidR="00A91ABD" w:rsidRPr="00E65146">
        <w:rPr>
          <w:rFonts w:ascii="Arial" w:hAnsi="Arial" w:cs="Arial"/>
          <w:b/>
          <w:sz w:val="24"/>
          <w:szCs w:val="24"/>
        </w:rPr>
        <w:t xml:space="preserve"> June 2015</w:t>
      </w:r>
    </w:p>
    <w:p w:rsidR="00BC5D06" w:rsidRDefault="00BC5D06" w:rsidP="00151AC6">
      <w:pPr>
        <w:ind w:left="360"/>
        <w:jc w:val="both"/>
        <w:rPr>
          <w:rFonts w:ascii="Arial" w:hAnsi="Arial" w:cs="Arial"/>
          <w:b/>
          <w:sz w:val="24"/>
          <w:szCs w:val="24"/>
        </w:rPr>
      </w:pPr>
    </w:p>
    <w:p w:rsidR="00BC5D06" w:rsidRPr="00E65146" w:rsidRDefault="00BC5D06" w:rsidP="00151AC6">
      <w:pPr>
        <w:ind w:left="360"/>
        <w:jc w:val="both"/>
        <w:rPr>
          <w:rFonts w:ascii="Arial" w:hAnsi="Arial" w:cs="Arial"/>
          <w:b/>
          <w:sz w:val="24"/>
          <w:szCs w:val="24"/>
        </w:rPr>
      </w:pPr>
    </w:p>
    <w:p w:rsidR="0057598A" w:rsidRPr="00E65146" w:rsidRDefault="0057598A" w:rsidP="00151AC6">
      <w:pPr>
        <w:jc w:val="both"/>
        <w:rPr>
          <w:rFonts w:ascii="Arial" w:hAnsi="Arial" w:cs="Arial"/>
          <w:b/>
          <w:color w:val="000000"/>
        </w:rPr>
      </w:pPr>
      <w:bookmarkStart w:id="1" w:name="_Toc207171367"/>
    </w:p>
    <w:p w:rsidR="00827913" w:rsidRPr="00E65146" w:rsidRDefault="00827913" w:rsidP="00A91ABD">
      <w:pPr>
        <w:jc w:val="center"/>
        <w:rPr>
          <w:rFonts w:ascii="Arial" w:hAnsi="Arial" w:cs="Arial"/>
          <w:color w:val="000000"/>
        </w:rPr>
      </w:pPr>
      <w:r w:rsidRPr="00E65146">
        <w:rPr>
          <w:rFonts w:ascii="Arial" w:hAnsi="Arial" w:cs="Arial"/>
          <w:b/>
          <w:color w:val="000000"/>
        </w:rPr>
        <w:lastRenderedPageBreak/>
        <w:t>ABBREVIATIONS</w:t>
      </w:r>
    </w:p>
    <w:p w:rsidR="00827913" w:rsidRPr="00E65146" w:rsidRDefault="00827913" w:rsidP="00151AC6">
      <w:pPr>
        <w:jc w:val="both"/>
        <w:rPr>
          <w:rFonts w:ascii="Arial" w:hAnsi="Arial" w:cs="Arial"/>
          <w:color w:val="000000"/>
          <w:sz w:val="16"/>
          <w:szCs w:val="16"/>
        </w:rPr>
      </w:pPr>
    </w:p>
    <w:tbl>
      <w:tblPr>
        <w:tblW w:w="9738" w:type="dxa"/>
        <w:tblLayout w:type="fixed"/>
        <w:tblLook w:val="0000" w:firstRow="0" w:lastRow="0" w:firstColumn="0" w:lastColumn="0" w:noHBand="0" w:noVBand="0"/>
      </w:tblPr>
      <w:tblGrid>
        <w:gridCol w:w="1188"/>
        <w:gridCol w:w="1170"/>
        <w:gridCol w:w="990"/>
        <w:gridCol w:w="6390"/>
      </w:tblGrid>
      <w:tr w:rsidR="00827913" w:rsidRPr="00E65146" w:rsidTr="00827913">
        <w:tc>
          <w:tcPr>
            <w:tcW w:w="1188" w:type="dxa"/>
          </w:tcPr>
          <w:p w:rsidR="00827913" w:rsidRPr="00E65146" w:rsidRDefault="00827913" w:rsidP="00151AC6">
            <w:pPr>
              <w:jc w:val="both"/>
              <w:rPr>
                <w:rFonts w:ascii="Arial" w:hAnsi="Arial" w:cs="Arial"/>
                <w:color w:val="000000"/>
              </w:rPr>
            </w:pPr>
          </w:p>
        </w:tc>
        <w:tc>
          <w:tcPr>
            <w:tcW w:w="1170" w:type="dxa"/>
          </w:tcPr>
          <w:p w:rsidR="00827913" w:rsidRPr="00E65146" w:rsidRDefault="00231F37" w:rsidP="00151AC6">
            <w:pPr>
              <w:jc w:val="both"/>
              <w:rPr>
                <w:rFonts w:ascii="Arial" w:hAnsi="Arial" w:cs="Arial"/>
                <w:color w:val="000000"/>
              </w:rPr>
            </w:pPr>
            <w:r>
              <w:rPr>
                <w:rFonts w:ascii="Arial" w:hAnsi="Arial" w:cs="Arial"/>
                <w:color w:val="000000"/>
              </w:rPr>
              <w:t>ADB</w:t>
            </w:r>
          </w:p>
        </w:tc>
        <w:tc>
          <w:tcPr>
            <w:tcW w:w="990" w:type="dxa"/>
          </w:tcPr>
          <w:p w:rsidR="00827913" w:rsidRPr="00E65146" w:rsidRDefault="00231F37" w:rsidP="00151AC6">
            <w:pPr>
              <w:jc w:val="both"/>
              <w:rPr>
                <w:rFonts w:ascii="Arial" w:hAnsi="Arial" w:cs="Arial"/>
                <w:color w:val="000000"/>
              </w:rPr>
            </w:pPr>
            <w:r w:rsidRPr="00E65146">
              <w:rPr>
                <w:rFonts w:ascii="Arial" w:hAnsi="Arial" w:cs="Arial"/>
                <w:color w:val="000000"/>
              </w:rPr>
              <w:t>–</w:t>
            </w:r>
          </w:p>
        </w:tc>
        <w:tc>
          <w:tcPr>
            <w:tcW w:w="6390" w:type="dxa"/>
          </w:tcPr>
          <w:p w:rsidR="00827913" w:rsidRPr="00E65146" w:rsidRDefault="00231F37" w:rsidP="00151AC6">
            <w:pPr>
              <w:jc w:val="both"/>
              <w:rPr>
                <w:rFonts w:ascii="Arial" w:hAnsi="Arial" w:cs="Arial"/>
                <w:color w:val="000000"/>
              </w:rPr>
            </w:pPr>
            <w:r>
              <w:rPr>
                <w:rFonts w:ascii="Arial" w:hAnsi="Arial" w:cs="Arial"/>
                <w:color w:val="000000"/>
              </w:rPr>
              <w:t>Asian Development Bank</w:t>
            </w:r>
          </w:p>
        </w:tc>
      </w:tr>
      <w:tr w:rsidR="00A91ABD" w:rsidRPr="00E65146" w:rsidTr="00827913">
        <w:tc>
          <w:tcPr>
            <w:tcW w:w="1188" w:type="dxa"/>
          </w:tcPr>
          <w:p w:rsidR="00A91ABD" w:rsidRPr="00E65146" w:rsidRDefault="00A91ABD" w:rsidP="00151AC6">
            <w:pPr>
              <w:jc w:val="both"/>
              <w:rPr>
                <w:rFonts w:ascii="Arial" w:hAnsi="Arial" w:cs="Arial"/>
                <w:color w:val="000000"/>
              </w:rPr>
            </w:pPr>
          </w:p>
        </w:tc>
        <w:tc>
          <w:tcPr>
            <w:tcW w:w="1170" w:type="dxa"/>
          </w:tcPr>
          <w:p w:rsidR="00A91ABD" w:rsidRPr="00E65146" w:rsidRDefault="00A91ABD" w:rsidP="00151AC6">
            <w:pPr>
              <w:jc w:val="both"/>
              <w:rPr>
                <w:rFonts w:ascii="Arial" w:hAnsi="Arial" w:cs="Arial"/>
                <w:color w:val="000000"/>
              </w:rPr>
            </w:pPr>
            <w:r w:rsidRPr="00E65146">
              <w:rPr>
                <w:rFonts w:ascii="Arial" w:hAnsi="Arial" w:cs="Arial"/>
                <w:color w:val="000000"/>
              </w:rPr>
              <w:t>ALOS</w:t>
            </w:r>
          </w:p>
        </w:tc>
        <w:tc>
          <w:tcPr>
            <w:tcW w:w="990" w:type="dxa"/>
          </w:tcPr>
          <w:p w:rsidR="00A91ABD" w:rsidRPr="00E65146" w:rsidRDefault="00A91ABD" w:rsidP="00151AC6">
            <w:pPr>
              <w:jc w:val="both"/>
              <w:rPr>
                <w:rFonts w:ascii="Arial" w:hAnsi="Arial" w:cs="Arial"/>
                <w:color w:val="000000"/>
              </w:rPr>
            </w:pPr>
            <w:r w:rsidRPr="00E65146">
              <w:rPr>
                <w:rFonts w:ascii="Arial" w:hAnsi="Arial" w:cs="Arial"/>
                <w:color w:val="000000"/>
              </w:rPr>
              <w:t>–</w:t>
            </w:r>
          </w:p>
        </w:tc>
        <w:tc>
          <w:tcPr>
            <w:tcW w:w="6390" w:type="dxa"/>
          </w:tcPr>
          <w:p w:rsidR="00A91ABD" w:rsidRPr="00E65146" w:rsidRDefault="00AC3170" w:rsidP="00151AC6">
            <w:pPr>
              <w:jc w:val="both"/>
              <w:rPr>
                <w:rFonts w:ascii="Arial" w:hAnsi="Arial" w:cs="Arial"/>
                <w:color w:val="000000"/>
              </w:rPr>
            </w:pPr>
            <w:r>
              <w:rPr>
                <w:rFonts w:ascii="Arial" w:hAnsi="Arial" w:cs="Arial"/>
                <w:color w:val="000000"/>
              </w:rPr>
              <w:t>a</w:t>
            </w:r>
            <w:r w:rsidR="00A91ABD" w:rsidRPr="00E65146">
              <w:rPr>
                <w:rFonts w:ascii="Arial" w:hAnsi="Arial" w:cs="Arial"/>
                <w:color w:val="000000"/>
              </w:rPr>
              <w:t>verage length of stay</w:t>
            </w:r>
          </w:p>
        </w:tc>
      </w:tr>
      <w:tr w:rsidR="00A91ABD" w:rsidRPr="00E65146" w:rsidTr="0057598A">
        <w:tc>
          <w:tcPr>
            <w:tcW w:w="1188" w:type="dxa"/>
          </w:tcPr>
          <w:p w:rsidR="00A91ABD" w:rsidRPr="00E65146" w:rsidRDefault="00A91ABD" w:rsidP="00151AC6">
            <w:pPr>
              <w:jc w:val="both"/>
              <w:rPr>
                <w:rFonts w:ascii="Arial" w:hAnsi="Arial" w:cs="Arial"/>
                <w:color w:val="000000"/>
              </w:rPr>
            </w:pPr>
          </w:p>
        </w:tc>
        <w:tc>
          <w:tcPr>
            <w:tcW w:w="1170" w:type="dxa"/>
          </w:tcPr>
          <w:p w:rsidR="00A91ABD" w:rsidRPr="00E65146" w:rsidRDefault="00A91ABD" w:rsidP="00151AC6">
            <w:pPr>
              <w:jc w:val="both"/>
              <w:rPr>
                <w:rFonts w:ascii="Arial" w:hAnsi="Arial" w:cs="Arial"/>
                <w:color w:val="000000"/>
              </w:rPr>
            </w:pPr>
            <w:r w:rsidRPr="00E65146">
              <w:rPr>
                <w:rFonts w:ascii="Arial" w:hAnsi="Arial" w:cs="Arial"/>
                <w:color w:val="000000"/>
              </w:rPr>
              <w:t>AMS</w:t>
            </w:r>
          </w:p>
        </w:tc>
        <w:tc>
          <w:tcPr>
            <w:tcW w:w="990" w:type="dxa"/>
          </w:tcPr>
          <w:p w:rsidR="00A91ABD" w:rsidRPr="00E65146" w:rsidRDefault="00A91ABD" w:rsidP="00151AC6">
            <w:pPr>
              <w:jc w:val="both"/>
              <w:rPr>
                <w:rFonts w:ascii="Arial" w:hAnsi="Arial" w:cs="Arial"/>
                <w:color w:val="000000"/>
              </w:rPr>
            </w:pPr>
            <w:r w:rsidRPr="00E65146">
              <w:rPr>
                <w:rFonts w:ascii="Arial" w:hAnsi="Arial" w:cs="Arial"/>
                <w:color w:val="000000"/>
              </w:rPr>
              <w:t>–</w:t>
            </w:r>
          </w:p>
        </w:tc>
        <w:tc>
          <w:tcPr>
            <w:tcW w:w="6390" w:type="dxa"/>
          </w:tcPr>
          <w:p w:rsidR="00A91ABD" w:rsidRPr="00E65146" w:rsidRDefault="00A91ABD" w:rsidP="00151AC6">
            <w:pPr>
              <w:jc w:val="both"/>
              <w:rPr>
                <w:rFonts w:ascii="Arial" w:hAnsi="Arial" w:cs="Arial"/>
                <w:color w:val="000000"/>
              </w:rPr>
            </w:pPr>
            <w:r w:rsidRPr="00E65146">
              <w:rPr>
                <w:rFonts w:ascii="Arial" w:hAnsi="Arial" w:cs="Arial"/>
              </w:rPr>
              <w:t>Administration of Medical Services</w:t>
            </w:r>
          </w:p>
        </w:tc>
      </w:tr>
      <w:tr w:rsidR="00B81303" w:rsidRPr="00E65146" w:rsidTr="00827913">
        <w:tc>
          <w:tcPr>
            <w:tcW w:w="1188" w:type="dxa"/>
          </w:tcPr>
          <w:p w:rsidR="00B81303" w:rsidRPr="00E65146" w:rsidRDefault="00B81303" w:rsidP="00151AC6">
            <w:pPr>
              <w:jc w:val="both"/>
              <w:rPr>
                <w:rFonts w:ascii="Arial" w:hAnsi="Arial" w:cs="Arial"/>
                <w:color w:val="000000"/>
              </w:rPr>
            </w:pPr>
          </w:p>
        </w:tc>
        <w:tc>
          <w:tcPr>
            <w:tcW w:w="1170" w:type="dxa"/>
          </w:tcPr>
          <w:p w:rsidR="00B81303" w:rsidRPr="00E65146" w:rsidRDefault="00B81303" w:rsidP="00151AC6">
            <w:pPr>
              <w:jc w:val="both"/>
              <w:rPr>
                <w:rFonts w:ascii="Arial" w:hAnsi="Arial" w:cs="Arial"/>
                <w:color w:val="000000"/>
              </w:rPr>
            </w:pPr>
            <w:r>
              <w:rPr>
                <w:rFonts w:ascii="Arial" w:hAnsi="Arial" w:cs="Arial"/>
                <w:color w:val="000000"/>
              </w:rPr>
              <w:t>AUN</w:t>
            </w:r>
          </w:p>
        </w:tc>
        <w:tc>
          <w:tcPr>
            <w:tcW w:w="990" w:type="dxa"/>
          </w:tcPr>
          <w:p w:rsidR="00B81303" w:rsidRPr="00E65146" w:rsidRDefault="00B81303" w:rsidP="00151AC6">
            <w:pPr>
              <w:jc w:val="both"/>
              <w:rPr>
                <w:rFonts w:ascii="Arial" w:hAnsi="Arial" w:cs="Arial"/>
                <w:color w:val="000000"/>
              </w:rPr>
            </w:pPr>
            <w:r w:rsidRPr="00E65146">
              <w:rPr>
                <w:rFonts w:ascii="Arial" w:hAnsi="Arial" w:cs="Arial"/>
                <w:color w:val="000000"/>
              </w:rPr>
              <w:t>–</w:t>
            </w:r>
          </w:p>
        </w:tc>
        <w:tc>
          <w:tcPr>
            <w:tcW w:w="6390" w:type="dxa"/>
          </w:tcPr>
          <w:p w:rsidR="00B81303" w:rsidRPr="00E65146" w:rsidRDefault="00B81303" w:rsidP="00151AC6">
            <w:pPr>
              <w:jc w:val="both"/>
              <w:rPr>
                <w:rFonts w:ascii="Arial" w:hAnsi="Arial" w:cs="Arial"/>
                <w:color w:val="000000"/>
              </w:rPr>
            </w:pPr>
            <w:r w:rsidRPr="00D33652">
              <w:rPr>
                <w:rFonts w:ascii="Arial" w:hAnsi="Arial" w:cs="Arial"/>
              </w:rPr>
              <w:t>ASEAN University Network</w:t>
            </w:r>
          </w:p>
        </w:tc>
      </w:tr>
      <w:tr w:rsidR="00A91ABD" w:rsidRPr="00E65146" w:rsidTr="00827913">
        <w:tc>
          <w:tcPr>
            <w:tcW w:w="1188" w:type="dxa"/>
          </w:tcPr>
          <w:p w:rsidR="00A91ABD" w:rsidRPr="00E65146" w:rsidRDefault="00A91ABD" w:rsidP="00151AC6">
            <w:pPr>
              <w:jc w:val="both"/>
              <w:rPr>
                <w:rFonts w:ascii="Arial" w:hAnsi="Arial" w:cs="Arial"/>
                <w:color w:val="000000"/>
              </w:rPr>
            </w:pPr>
          </w:p>
        </w:tc>
        <w:tc>
          <w:tcPr>
            <w:tcW w:w="1170" w:type="dxa"/>
          </w:tcPr>
          <w:p w:rsidR="00A91ABD" w:rsidRPr="003063BD" w:rsidRDefault="00A91ABD" w:rsidP="00151AC6">
            <w:pPr>
              <w:jc w:val="both"/>
              <w:rPr>
                <w:rFonts w:ascii="Arial" w:hAnsi="Arial" w:cs="Arial"/>
                <w:color w:val="000000"/>
              </w:rPr>
            </w:pPr>
            <w:r w:rsidRPr="003063BD">
              <w:rPr>
                <w:rFonts w:ascii="Arial" w:hAnsi="Arial" w:cs="Arial"/>
                <w:color w:val="000000"/>
              </w:rPr>
              <w:t>CME</w:t>
            </w:r>
          </w:p>
        </w:tc>
        <w:tc>
          <w:tcPr>
            <w:tcW w:w="990" w:type="dxa"/>
          </w:tcPr>
          <w:p w:rsidR="00A91ABD" w:rsidRPr="003063BD" w:rsidRDefault="00A91ABD" w:rsidP="00151AC6">
            <w:pPr>
              <w:jc w:val="both"/>
              <w:rPr>
                <w:rFonts w:ascii="Arial" w:hAnsi="Arial" w:cs="Arial"/>
                <w:color w:val="000000"/>
              </w:rPr>
            </w:pPr>
            <w:r w:rsidRPr="003063BD">
              <w:rPr>
                <w:rFonts w:ascii="Arial" w:hAnsi="Arial" w:cs="Arial"/>
                <w:color w:val="000000"/>
              </w:rPr>
              <w:t>–</w:t>
            </w:r>
          </w:p>
        </w:tc>
        <w:tc>
          <w:tcPr>
            <w:tcW w:w="6390" w:type="dxa"/>
          </w:tcPr>
          <w:p w:rsidR="00A91ABD" w:rsidRPr="00E65146" w:rsidRDefault="00AC3170" w:rsidP="00151AC6">
            <w:pPr>
              <w:jc w:val="both"/>
              <w:rPr>
                <w:rFonts w:ascii="Arial" w:hAnsi="Arial" w:cs="Arial"/>
                <w:color w:val="000000"/>
              </w:rPr>
            </w:pPr>
            <w:r w:rsidRPr="003063BD">
              <w:rPr>
                <w:rFonts w:ascii="Arial" w:hAnsi="Arial" w:cs="Arial"/>
                <w:color w:val="000000"/>
              </w:rPr>
              <w:t>c</w:t>
            </w:r>
            <w:r w:rsidR="00794E75" w:rsidRPr="003063BD">
              <w:rPr>
                <w:rFonts w:ascii="Arial" w:hAnsi="Arial" w:cs="Arial"/>
                <w:color w:val="000000"/>
              </w:rPr>
              <w:t>ontinuing</w:t>
            </w:r>
            <w:r w:rsidR="00A91ABD" w:rsidRPr="003063BD">
              <w:rPr>
                <w:rFonts w:ascii="Arial" w:hAnsi="Arial" w:cs="Arial"/>
                <w:color w:val="000000"/>
              </w:rPr>
              <w:t xml:space="preserve"> medical education</w:t>
            </w:r>
          </w:p>
        </w:tc>
      </w:tr>
      <w:tr w:rsidR="00A91ABD" w:rsidRPr="00E65146" w:rsidTr="00827913">
        <w:tc>
          <w:tcPr>
            <w:tcW w:w="1188" w:type="dxa"/>
          </w:tcPr>
          <w:p w:rsidR="00A91ABD" w:rsidRPr="00E65146" w:rsidRDefault="00A91ABD" w:rsidP="00151AC6">
            <w:pPr>
              <w:jc w:val="both"/>
              <w:rPr>
                <w:rFonts w:ascii="Arial" w:hAnsi="Arial" w:cs="Arial"/>
                <w:color w:val="000000"/>
              </w:rPr>
            </w:pPr>
          </w:p>
        </w:tc>
        <w:tc>
          <w:tcPr>
            <w:tcW w:w="1170" w:type="dxa"/>
          </w:tcPr>
          <w:p w:rsidR="00A91ABD" w:rsidRPr="00E65146" w:rsidRDefault="00A91ABD" w:rsidP="00151AC6">
            <w:pPr>
              <w:jc w:val="both"/>
              <w:rPr>
                <w:rFonts w:ascii="Arial" w:hAnsi="Arial" w:cs="Arial"/>
                <w:color w:val="000000"/>
              </w:rPr>
            </w:pPr>
            <w:r w:rsidRPr="00E65146">
              <w:rPr>
                <w:rFonts w:ascii="Arial" w:hAnsi="Arial" w:cs="Arial"/>
                <w:color w:val="000000"/>
              </w:rPr>
              <w:t>DBHI</w:t>
            </w:r>
          </w:p>
        </w:tc>
        <w:tc>
          <w:tcPr>
            <w:tcW w:w="990" w:type="dxa"/>
          </w:tcPr>
          <w:p w:rsidR="00A91ABD" w:rsidRPr="00E65146" w:rsidRDefault="00A91ABD" w:rsidP="00151AC6">
            <w:pPr>
              <w:jc w:val="both"/>
              <w:rPr>
                <w:rFonts w:ascii="Arial" w:hAnsi="Arial" w:cs="Arial"/>
                <w:color w:val="000000"/>
              </w:rPr>
            </w:pPr>
            <w:r w:rsidRPr="00E65146">
              <w:rPr>
                <w:rFonts w:ascii="Arial" w:hAnsi="Arial" w:cs="Arial"/>
                <w:color w:val="000000"/>
              </w:rPr>
              <w:t>–</w:t>
            </w:r>
          </w:p>
        </w:tc>
        <w:tc>
          <w:tcPr>
            <w:tcW w:w="6390" w:type="dxa"/>
          </w:tcPr>
          <w:p w:rsidR="00A91ABD" w:rsidRPr="00E65146" w:rsidRDefault="00A91ABD" w:rsidP="00151AC6">
            <w:pPr>
              <w:jc w:val="both"/>
              <w:rPr>
                <w:rFonts w:ascii="Arial" w:hAnsi="Arial" w:cs="Arial"/>
                <w:color w:val="000000"/>
              </w:rPr>
            </w:pPr>
            <w:r w:rsidRPr="00E65146">
              <w:rPr>
                <w:rFonts w:ascii="Arial" w:hAnsi="Arial" w:cs="Arial"/>
                <w:color w:val="000000"/>
              </w:rPr>
              <w:t>Delivering Better Health Initiative</w:t>
            </w:r>
          </w:p>
        </w:tc>
      </w:tr>
      <w:tr w:rsidR="00C53225" w:rsidRPr="00E65146" w:rsidTr="00827913">
        <w:tc>
          <w:tcPr>
            <w:tcW w:w="1188" w:type="dxa"/>
          </w:tcPr>
          <w:p w:rsidR="00C53225" w:rsidRPr="00E65146" w:rsidRDefault="00C53225" w:rsidP="00151AC6">
            <w:pPr>
              <w:jc w:val="both"/>
              <w:rPr>
                <w:rFonts w:ascii="Arial" w:hAnsi="Arial" w:cs="Arial"/>
                <w:color w:val="000000"/>
              </w:rPr>
            </w:pPr>
          </w:p>
        </w:tc>
        <w:tc>
          <w:tcPr>
            <w:tcW w:w="1170" w:type="dxa"/>
          </w:tcPr>
          <w:p w:rsidR="00C53225" w:rsidRPr="00E65146" w:rsidRDefault="00C53225" w:rsidP="00151AC6">
            <w:pPr>
              <w:jc w:val="both"/>
              <w:rPr>
                <w:rFonts w:ascii="Arial" w:hAnsi="Arial" w:cs="Arial"/>
                <w:color w:val="000000"/>
              </w:rPr>
            </w:pPr>
            <w:r>
              <w:rPr>
                <w:rFonts w:ascii="Arial" w:hAnsi="Arial" w:cs="Arial"/>
                <w:color w:val="000000"/>
              </w:rPr>
              <w:t>DFAT</w:t>
            </w:r>
          </w:p>
        </w:tc>
        <w:tc>
          <w:tcPr>
            <w:tcW w:w="990" w:type="dxa"/>
          </w:tcPr>
          <w:p w:rsidR="00C53225" w:rsidRPr="00E65146" w:rsidRDefault="00C53225" w:rsidP="00151AC6">
            <w:pPr>
              <w:jc w:val="both"/>
              <w:rPr>
                <w:rFonts w:ascii="Arial" w:hAnsi="Arial" w:cs="Arial"/>
                <w:color w:val="000000"/>
              </w:rPr>
            </w:pPr>
            <w:r w:rsidRPr="000B01C7">
              <w:rPr>
                <w:rFonts w:ascii="Arial" w:hAnsi="Arial" w:cs="Arial"/>
                <w:color w:val="000000"/>
              </w:rPr>
              <w:t>–</w:t>
            </w:r>
          </w:p>
        </w:tc>
        <w:tc>
          <w:tcPr>
            <w:tcW w:w="6390" w:type="dxa"/>
          </w:tcPr>
          <w:p w:rsidR="00C53225" w:rsidRPr="00E65146" w:rsidRDefault="00C53225" w:rsidP="00151AC6">
            <w:pPr>
              <w:jc w:val="both"/>
              <w:rPr>
                <w:rFonts w:ascii="Arial" w:hAnsi="Arial" w:cs="Arial"/>
                <w:color w:val="000000"/>
              </w:rPr>
            </w:pPr>
            <w:r>
              <w:rPr>
                <w:rFonts w:ascii="Arial" w:hAnsi="Arial" w:cs="Arial"/>
                <w:color w:val="000000"/>
              </w:rPr>
              <w:t>Department of Foreign Affairs and Trade</w:t>
            </w:r>
          </w:p>
        </w:tc>
      </w:tr>
      <w:tr w:rsidR="00C53225" w:rsidRPr="00E65146" w:rsidTr="00827913">
        <w:tc>
          <w:tcPr>
            <w:tcW w:w="1188" w:type="dxa"/>
          </w:tcPr>
          <w:p w:rsidR="00C53225" w:rsidRPr="00E65146" w:rsidRDefault="00C53225" w:rsidP="00151AC6">
            <w:pPr>
              <w:jc w:val="both"/>
              <w:rPr>
                <w:rFonts w:ascii="Arial" w:hAnsi="Arial" w:cs="Arial"/>
                <w:color w:val="000000"/>
              </w:rPr>
            </w:pPr>
          </w:p>
        </w:tc>
        <w:tc>
          <w:tcPr>
            <w:tcW w:w="1170" w:type="dxa"/>
          </w:tcPr>
          <w:p w:rsidR="00C53225" w:rsidRPr="00E65146" w:rsidRDefault="00C53225" w:rsidP="00151AC6">
            <w:pPr>
              <w:jc w:val="both"/>
              <w:rPr>
                <w:rFonts w:ascii="Arial" w:hAnsi="Arial" w:cs="Arial"/>
                <w:color w:val="000000"/>
              </w:rPr>
            </w:pPr>
            <w:r>
              <w:rPr>
                <w:rFonts w:ascii="Arial" w:hAnsi="Arial" w:cs="Arial"/>
                <w:color w:val="000000"/>
              </w:rPr>
              <w:t>DMF</w:t>
            </w:r>
          </w:p>
        </w:tc>
        <w:tc>
          <w:tcPr>
            <w:tcW w:w="990" w:type="dxa"/>
          </w:tcPr>
          <w:p w:rsidR="00C53225" w:rsidRPr="00E65146" w:rsidRDefault="00C53225" w:rsidP="00151AC6">
            <w:pPr>
              <w:jc w:val="both"/>
              <w:rPr>
                <w:rFonts w:ascii="Arial" w:hAnsi="Arial" w:cs="Arial"/>
                <w:color w:val="000000"/>
              </w:rPr>
            </w:pPr>
            <w:r w:rsidRPr="000B01C7">
              <w:rPr>
                <w:rFonts w:ascii="Arial" w:hAnsi="Arial" w:cs="Arial"/>
                <w:color w:val="000000"/>
              </w:rPr>
              <w:t>–</w:t>
            </w:r>
          </w:p>
        </w:tc>
        <w:tc>
          <w:tcPr>
            <w:tcW w:w="6390" w:type="dxa"/>
          </w:tcPr>
          <w:p w:rsidR="00C53225" w:rsidRPr="00E65146" w:rsidRDefault="00AC3170" w:rsidP="00151AC6">
            <w:pPr>
              <w:jc w:val="both"/>
              <w:rPr>
                <w:rFonts w:ascii="Arial" w:hAnsi="Arial" w:cs="Arial"/>
                <w:color w:val="000000"/>
              </w:rPr>
            </w:pPr>
            <w:r>
              <w:rPr>
                <w:rFonts w:ascii="Arial" w:hAnsi="Arial" w:cs="Arial"/>
                <w:color w:val="000000"/>
              </w:rPr>
              <w:t>d</w:t>
            </w:r>
            <w:r w:rsidR="00C53225">
              <w:rPr>
                <w:rFonts w:ascii="Arial" w:hAnsi="Arial" w:cs="Arial"/>
                <w:color w:val="000000"/>
              </w:rPr>
              <w:t xml:space="preserve">esign and </w:t>
            </w:r>
            <w:r w:rsidR="009D0F54">
              <w:rPr>
                <w:rFonts w:ascii="Arial" w:hAnsi="Arial" w:cs="Arial"/>
                <w:color w:val="000000"/>
              </w:rPr>
              <w:t>m</w:t>
            </w:r>
            <w:r w:rsidR="00C53225">
              <w:rPr>
                <w:rFonts w:ascii="Arial" w:hAnsi="Arial" w:cs="Arial"/>
                <w:color w:val="000000"/>
              </w:rPr>
              <w:t xml:space="preserve">onitoring </w:t>
            </w:r>
            <w:r w:rsidR="009D0F54">
              <w:rPr>
                <w:rFonts w:ascii="Arial" w:hAnsi="Arial" w:cs="Arial"/>
                <w:color w:val="000000"/>
              </w:rPr>
              <w:t>f</w:t>
            </w:r>
            <w:r w:rsidR="00C53225">
              <w:rPr>
                <w:rFonts w:ascii="Arial" w:hAnsi="Arial" w:cs="Arial"/>
                <w:color w:val="000000"/>
              </w:rPr>
              <w:t>ramework</w:t>
            </w:r>
          </w:p>
        </w:tc>
      </w:tr>
      <w:tr w:rsidR="00A91ABD" w:rsidRPr="00E65146" w:rsidTr="00827913">
        <w:tc>
          <w:tcPr>
            <w:tcW w:w="1188" w:type="dxa"/>
          </w:tcPr>
          <w:p w:rsidR="00A91ABD" w:rsidRPr="00E65146" w:rsidRDefault="00A91ABD" w:rsidP="00151AC6">
            <w:pPr>
              <w:jc w:val="both"/>
              <w:rPr>
                <w:rFonts w:ascii="Arial" w:hAnsi="Arial" w:cs="Arial"/>
                <w:color w:val="000000"/>
              </w:rPr>
            </w:pPr>
          </w:p>
        </w:tc>
        <w:tc>
          <w:tcPr>
            <w:tcW w:w="1170" w:type="dxa"/>
          </w:tcPr>
          <w:p w:rsidR="00A91ABD" w:rsidRPr="00E65146" w:rsidRDefault="00A91ABD" w:rsidP="00151AC6">
            <w:pPr>
              <w:jc w:val="both"/>
              <w:rPr>
                <w:rFonts w:ascii="Arial" w:hAnsi="Arial" w:cs="Arial"/>
                <w:color w:val="000000"/>
              </w:rPr>
            </w:pPr>
            <w:r w:rsidRPr="00E65146">
              <w:rPr>
                <w:rFonts w:ascii="Arial" w:hAnsi="Arial" w:cs="Arial"/>
                <w:color w:val="000000"/>
              </w:rPr>
              <w:t>D</w:t>
            </w:r>
            <w:r w:rsidR="00146235">
              <w:rPr>
                <w:rFonts w:ascii="Arial" w:hAnsi="Arial" w:cs="Arial"/>
                <w:color w:val="000000"/>
              </w:rPr>
              <w:t>o</w:t>
            </w:r>
            <w:r w:rsidRPr="00E65146">
              <w:rPr>
                <w:rFonts w:ascii="Arial" w:hAnsi="Arial" w:cs="Arial"/>
                <w:color w:val="000000"/>
              </w:rPr>
              <w:t>H</w:t>
            </w:r>
          </w:p>
        </w:tc>
        <w:tc>
          <w:tcPr>
            <w:tcW w:w="990" w:type="dxa"/>
          </w:tcPr>
          <w:p w:rsidR="00A91ABD" w:rsidRPr="00E65146" w:rsidRDefault="00A91ABD" w:rsidP="00151AC6">
            <w:pPr>
              <w:jc w:val="both"/>
              <w:rPr>
                <w:rFonts w:ascii="Arial" w:hAnsi="Arial" w:cs="Arial"/>
                <w:color w:val="000000"/>
              </w:rPr>
            </w:pPr>
            <w:r w:rsidRPr="00E65146">
              <w:rPr>
                <w:rFonts w:ascii="Arial" w:hAnsi="Arial" w:cs="Arial"/>
                <w:color w:val="000000"/>
              </w:rPr>
              <w:t>–</w:t>
            </w:r>
          </w:p>
        </w:tc>
        <w:tc>
          <w:tcPr>
            <w:tcW w:w="6390" w:type="dxa"/>
          </w:tcPr>
          <w:p w:rsidR="00A91ABD" w:rsidRPr="00E65146" w:rsidRDefault="00A91ABD" w:rsidP="00151AC6">
            <w:pPr>
              <w:jc w:val="both"/>
              <w:rPr>
                <w:rFonts w:ascii="Arial" w:hAnsi="Arial" w:cs="Arial"/>
                <w:color w:val="000000"/>
              </w:rPr>
            </w:pPr>
            <w:r w:rsidRPr="00E65146">
              <w:rPr>
                <w:rFonts w:ascii="Arial" w:hAnsi="Arial" w:cs="Arial"/>
                <w:color w:val="000000"/>
              </w:rPr>
              <w:t>Department of Health</w:t>
            </w:r>
          </w:p>
        </w:tc>
      </w:tr>
      <w:tr w:rsidR="00A91ABD" w:rsidRPr="00E65146" w:rsidTr="00827913">
        <w:tc>
          <w:tcPr>
            <w:tcW w:w="1188" w:type="dxa"/>
          </w:tcPr>
          <w:p w:rsidR="00A91ABD" w:rsidRPr="00E65146" w:rsidRDefault="00A91ABD" w:rsidP="00151AC6">
            <w:pPr>
              <w:jc w:val="both"/>
              <w:rPr>
                <w:rFonts w:ascii="Arial" w:hAnsi="Arial" w:cs="Arial"/>
                <w:color w:val="000000"/>
              </w:rPr>
            </w:pPr>
          </w:p>
        </w:tc>
        <w:tc>
          <w:tcPr>
            <w:tcW w:w="1170" w:type="dxa"/>
          </w:tcPr>
          <w:p w:rsidR="00A91ABD" w:rsidRPr="00E65146" w:rsidRDefault="00A91ABD" w:rsidP="00151AC6">
            <w:pPr>
              <w:jc w:val="both"/>
              <w:rPr>
                <w:rFonts w:ascii="Arial" w:hAnsi="Arial" w:cs="Arial"/>
                <w:color w:val="000000"/>
              </w:rPr>
            </w:pPr>
            <w:r w:rsidRPr="00E65146">
              <w:rPr>
                <w:rFonts w:ascii="Arial" w:hAnsi="Arial" w:cs="Arial"/>
                <w:color w:val="000000"/>
              </w:rPr>
              <w:t>EA</w:t>
            </w:r>
          </w:p>
        </w:tc>
        <w:tc>
          <w:tcPr>
            <w:tcW w:w="990" w:type="dxa"/>
          </w:tcPr>
          <w:p w:rsidR="00A91ABD" w:rsidRPr="00E65146" w:rsidRDefault="00A91ABD" w:rsidP="00151AC6">
            <w:pPr>
              <w:jc w:val="both"/>
              <w:rPr>
                <w:rFonts w:ascii="Arial" w:hAnsi="Arial" w:cs="Arial"/>
                <w:color w:val="000000"/>
              </w:rPr>
            </w:pPr>
            <w:r w:rsidRPr="00E65146">
              <w:rPr>
                <w:rFonts w:ascii="Arial" w:hAnsi="Arial" w:cs="Arial"/>
                <w:color w:val="000000"/>
              </w:rPr>
              <w:t>–</w:t>
            </w:r>
          </w:p>
        </w:tc>
        <w:tc>
          <w:tcPr>
            <w:tcW w:w="6390" w:type="dxa"/>
          </w:tcPr>
          <w:p w:rsidR="00A91ABD" w:rsidRPr="00E65146" w:rsidRDefault="00AC3170" w:rsidP="00151AC6">
            <w:pPr>
              <w:jc w:val="both"/>
              <w:rPr>
                <w:rFonts w:ascii="Arial" w:hAnsi="Arial" w:cs="Arial"/>
                <w:color w:val="000000"/>
              </w:rPr>
            </w:pPr>
            <w:r>
              <w:rPr>
                <w:rFonts w:ascii="Arial" w:hAnsi="Arial" w:cs="Arial"/>
                <w:color w:val="000000"/>
              </w:rPr>
              <w:t>executing a</w:t>
            </w:r>
            <w:r w:rsidR="00A91ABD" w:rsidRPr="00E65146">
              <w:rPr>
                <w:rFonts w:ascii="Arial" w:hAnsi="Arial" w:cs="Arial"/>
                <w:color w:val="000000"/>
              </w:rPr>
              <w:t>gency</w:t>
            </w:r>
          </w:p>
        </w:tc>
      </w:tr>
      <w:tr w:rsidR="00A91ABD" w:rsidRPr="00E65146" w:rsidTr="00827913">
        <w:tc>
          <w:tcPr>
            <w:tcW w:w="1188" w:type="dxa"/>
          </w:tcPr>
          <w:p w:rsidR="00A91ABD" w:rsidRPr="00E65146" w:rsidRDefault="00A91ABD" w:rsidP="00151AC6">
            <w:pPr>
              <w:jc w:val="both"/>
              <w:rPr>
                <w:rFonts w:ascii="Arial" w:hAnsi="Arial" w:cs="Arial"/>
                <w:color w:val="000000"/>
              </w:rPr>
            </w:pPr>
          </w:p>
        </w:tc>
        <w:tc>
          <w:tcPr>
            <w:tcW w:w="1170" w:type="dxa"/>
          </w:tcPr>
          <w:p w:rsidR="00A91ABD" w:rsidRPr="00E65146" w:rsidRDefault="00A91ABD" w:rsidP="00151AC6">
            <w:pPr>
              <w:jc w:val="both"/>
              <w:rPr>
                <w:rFonts w:ascii="Arial" w:hAnsi="Arial" w:cs="Arial"/>
                <w:color w:val="000000"/>
              </w:rPr>
            </w:pPr>
            <w:r w:rsidRPr="00E65146">
              <w:rPr>
                <w:rFonts w:ascii="Arial" w:hAnsi="Arial" w:cs="Arial"/>
                <w:color w:val="000000"/>
              </w:rPr>
              <w:t>EM</w:t>
            </w:r>
          </w:p>
        </w:tc>
        <w:tc>
          <w:tcPr>
            <w:tcW w:w="990" w:type="dxa"/>
          </w:tcPr>
          <w:p w:rsidR="00A91ABD" w:rsidRPr="00E65146" w:rsidRDefault="00A91ABD" w:rsidP="00151AC6">
            <w:pPr>
              <w:jc w:val="both"/>
              <w:rPr>
                <w:rFonts w:ascii="Arial" w:hAnsi="Arial" w:cs="Arial"/>
                <w:color w:val="000000"/>
              </w:rPr>
            </w:pPr>
            <w:r w:rsidRPr="00E65146">
              <w:rPr>
                <w:rFonts w:ascii="Arial" w:hAnsi="Arial" w:cs="Arial"/>
                <w:color w:val="000000"/>
              </w:rPr>
              <w:t>–</w:t>
            </w:r>
          </w:p>
        </w:tc>
        <w:tc>
          <w:tcPr>
            <w:tcW w:w="6390" w:type="dxa"/>
          </w:tcPr>
          <w:p w:rsidR="00A91ABD" w:rsidRPr="00E65146" w:rsidRDefault="003063BD" w:rsidP="00151AC6">
            <w:pPr>
              <w:jc w:val="both"/>
              <w:rPr>
                <w:rFonts w:ascii="Arial" w:hAnsi="Arial" w:cs="Arial"/>
                <w:color w:val="000000"/>
              </w:rPr>
            </w:pPr>
            <w:r>
              <w:rPr>
                <w:rFonts w:ascii="Arial" w:hAnsi="Arial" w:cs="Arial"/>
                <w:color w:val="000000"/>
              </w:rPr>
              <w:t>e</w:t>
            </w:r>
            <w:r w:rsidR="00A91ABD" w:rsidRPr="00E65146">
              <w:rPr>
                <w:rFonts w:ascii="Arial" w:hAnsi="Arial" w:cs="Arial"/>
                <w:color w:val="000000"/>
              </w:rPr>
              <w:t>thnic minority</w:t>
            </w:r>
          </w:p>
        </w:tc>
      </w:tr>
      <w:tr w:rsidR="00402AB7" w:rsidRPr="00E65146" w:rsidTr="00827913">
        <w:tc>
          <w:tcPr>
            <w:tcW w:w="1188" w:type="dxa"/>
          </w:tcPr>
          <w:p w:rsidR="00402AB7" w:rsidRPr="00E65146" w:rsidRDefault="00402AB7" w:rsidP="00151AC6">
            <w:pPr>
              <w:jc w:val="both"/>
              <w:rPr>
                <w:rFonts w:ascii="Arial" w:hAnsi="Arial" w:cs="Arial"/>
                <w:color w:val="000000"/>
              </w:rPr>
            </w:pPr>
          </w:p>
        </w:tc>
        <w:tc>
          <w:tcPr>
            <w:tcW w:w="1170" w:type="dxa"/>
          </w:tcPr>
          <w:p w:rsidR="00402AB7" w:rsidRDefault="00402AB7" w:rsidP="00151AC6">
            <w:pPr>
              <w:jc w:val="both"/>
              <w:rPr>
                <w:rFonts w:ascii="Arial" w:hAnsi="Arial" w:cs="Arial"/>
                <w:color w:val="000000"/>
              </w:rPr>
            </w:pPr>
            <w:r>
              <w:rPr>
                <w:rFonts w:ascii="Arial" w:hAnsi="Arial" w:cs="Arial"/>
                <w:color w:val="000000"/>
              </w:rPr>
              <w:t>GEMAP</w:t>
            </w:r>
          </w:p>
        </w:tc>
        <w:tc>
          <w:tcPr>
            <w:tcW w:w="990" w:type="dxa"/>
          </w:tcPr>
          <w:p w:rsidR="00402AB7" w:rsidRPr="00E65146" w:rsidRDefault="00402AB7" w:rsidP="00151AC6">
            <w:pPr>
              <w:jc w:val="both"/>
              <w:rPr>
                <w:rFonts w:ascii="Arial" w:hAnsi="Arial" w:cs="Arial"/>
                <w:color w:val="000000"/>
              </w:rPr>
            </w:pPr>
            <w:r w:rsidRPr="00E03D5E">
              <w:rPr>
                <w:rFonts w:ascii="Arial" w:hAnsi="Arial" w:cs="Arial"/>
                <w:color w:val="000000"/>
              </w:rPr>
              <w:t>–</w:t>
            </w:r>
          </w:p>
        </w:tc>
        <w:tc>
          <w:tcPr>
            <w:tcW w:w="6390" w:type="dxa"/>
          </w:tcPr>
          <w:p w:rsidR="00402AB7" w:rsidRDefault="00C87F50" w:rsidP="00151AC6">
            <w:pPr>
              <w:jc w:val="both"/>
              <w:rPr>
                <w:rFonts w:ascii="Arial" w:hAnsi="Arial" w:cs="Arial"/>
                <w:color w:val="000000"/>
              </w:rPr>
            </w:pPr>
            <w:r>
              <w:rPr>
                <w:rFonts w:ascii="Arial" w:hAnsi="Arial" w:cs="Arial"/>
                <w:color w:val="000000"/>
              </w:rPr>
              <w:t>g</w:t>
            </w:r>
            <w:r w:rsidR="00402AB7">
              <w:rPr>
                <w:rFonts w:ascii="Arial" w:hAnsi="Arial" w:cs="Arial"/>
                <w:color w:val="000000"/>
              </w:rPr>
              <w:t>ender and ethnic minority action plan</w:t>
            </w:r>
          </w:p>
        </w:tc>
      </w:tr>
      <w:tr w:rsidR="00402AB7" w:rsidRPr="00E65146" w:rsidTr="00827913">
        <w:tc>
          <w:tcPr>
            <w:tcW w:w="1188" w:type="dxa"/>
          </w:tcPr>
          <w:p w:rsidR="00402AB7" w:rsidRPr="00E65146" w:rsidRDefault="00402AB7" w:rsidP="00151AC6">
            <w:pPr>
              <w:jc w:val="both"/>
              <w:rPr>
                <w:rFonts w:ascii="Arial" w:hAnsi="Arial" w:cs="Arial"/>
                <w:color w:val="000000"/>
              </w:rPr>
            </w:pPr>
          </w:p>
        </w:tc>
        <w:tc>
          <w:tcPr>
            <w:tcW w:w="1170" w:type="dxa"/>
          </w:tcPr>
          <w:p w:rsidR="00402AB7" w:rsidRPr="00E65146" w:rsidRDefault="00402AB7" w:rsidP="00151AC6">
            <w:pPr>
              <w:jc w:val="both"/>
              <w:rPr>
                <w:rFonts w:ascii="Arial" w:hAnsi="Arial" w:cs="Arial"/>
                <w:color w:val="000000"/>
              </w:rPr>
            </w:pPr>
            <w:r>
              <w:rPr>
                <w:rFonts w:ascii="Arial" w:hAnsi="Arial" w:cs="Arial"/>
                <w:color w:val="000000"/>
              </w:rPr>
              <w:t>GEMS</w:t>
            </w:r>
          </w:p>
        </w:tc>
        <w:tc>
          <w:tcPr>
            <w:tcW w:w="990" w:type="dxa"/>
          </w:tcPr>
          <w:p w:rsidR="00402AB7" w:rsidRPr="00E65146" w:rsidRDefault="00402AB7" w:rsidP="00151AC6">
            <w:pPr>
              <w:jc w:val="both"/>
              <w:rPr>
                <w:rFonts w:ascii="Arial" w:hAnsi="Arial" w:cs="Arial"/>
                <w:color w:val="000000"/>
              </w:rPr>
            </w:pPr>
            <w:r w:rsidRPr="00E03D5E">
              <w:rPr>
                <w:rFonts w:ascii="Arial" w:hAnsi="Arial" w:cs="Arial"/>
                <w:color w:val="000000"/>
              </w:rPr>
              <w:t>–</w:t>
            </w:r>
          </w:p>
        </w:tc>
        <w:tc>
          <w:tcPr>
            <w:tcW w:w="6390" w:type="dxa"/>
          </w:tcPr>
          <w:p w:rsidR="00402AB7" w:rsidRPr="00E65146" w:rsidRDefault="00C87F50" w:rsidP="00151AC6">
            <w:pPr>
              <w:jc w:val="both"/>
              <w:rPr>
                <w:rFonts w:ascii="Arial" w:hAnsi="Arial" w:cs="Arial"/>
                <w:color w:val="000000"/>
              </w:rPr>
            </w:pPr>
            <w:r>
              <w:rPr>
                <w:rFonts w:ascii="Arial" w:hAnsi="Arial" w:cs="Arial"/>
                <w:color w:val="000000"/>
              </w:rPr>
              <w:t>g</w:t>
            </w:r>
            <w:r w:rsidR="00402AB7">
              <w:rPr>
                <w:rFonts w:ascii="Arial" w:hAnsi="Arial" w:cs="Arial"/>
                <w:color w:val="000000"/>
              </w:rPr>
              <w:t>ender and ethnic minority strategy</w:t>
            </w:r>
          </w:p>
        </w:tc>
      </w:tr>
      <w:tr w:rsidR="00A91ABD" w:rsidRPr="00E65146" w:rsidTr="00827913">
        <w:tc>
          <w:tcPr>
            <w:tcW w:w="1188" w:type="dxa"/>
          </w:tcPr>
          <w:p w:rsidR="00A91ABD" w:rsidRPr="00E65146" w:rsidRDefault="00A91ABD" w:rsidP="00151AC6">
            <w:pPr>
              <w:jc w:val="both"/>
              <w:rPr>
                <w:rFonts w:ascii="Arial" w:hAnsi="Arial" w:cs="Arial"/>
                <w:color w:val="000000"/>
              </w:rPr>
            </w:pPr>
          </w:p>
        </w:tc>
        <w:tc>
          <w:tcPr>
            <w:tcW w:w="1170" w:type="dxa"/>
          </w:tcPr>
          <w:p w:rsidR="00A91ABD" w:rsidRPr="00E65146" w:rsidRDefault="00A91ABD" w:rsidP="00151AC6">
            <w:pPr>
              <w:jc w:val="both"/>
              <w:rPr>
                <w:rFonts w:ascii="Arial" w:hAnsi="Arial" w:cs="Arial"/>
                <w:color w:val="000000"/>
              </w:rPr>
            </w:pPr>
            <w:r w:rsidRPr="00E65146">
              <w:rPr>
                <w:rFonts w:ascii="Arial" w:hAnsi="Arial" w:cs="Arial"/>
                <w:color w:val="000000"/>
              </w:rPr>
              <w:t>GoA</w:t>
            </w:r>
          </w:p>
        </w:tc>
        <w:tc>
          <w:tcPr>
            <w:tcW w:w="990" w:type="dxa"/>
          </w:tcPr>
          <w:p w:rsidR="00A91ABD" w:rsidRPr="00E65146" w:rsidRDefault="00A91ABD" w:rsidP="00151AC6">
            <w:pPr>
              <w:jc w:val="both"/>
              <w:rPr>
                <w:rFonts w:ascii="Arial" w:hAnsi="Arial" w:cs="Arial"/>
                <w:color w:val="000000"/>
              </w:rPr>
            </w:pPr>
            <w:r w:rsidRPr="00E65146">
              <w:rPr>
                <w:rFonts w:ascii="Arial" w:hAnsi="Arial" w:cs="Arial"/>
                <w:color w:val="000000"/>
              </w:rPr>
              <w:t>–</w:t>
            </w:r>
          </w:p>
        </w:tc>
        <w:tc>
          <w:tcPr>
            <w:tcW w:w="6390" w:type="dxa"/>
          </w:tcPr>
          <w:p w:rsidR="00A91ABD" w:rsidRPr="00E65146" w:rsidRDefault="00A91ABD" w:rsidP="00151AC6">
            <w:pPr>
              <w:jc w:val="both"/>
              <w:rPr>
                <w:rFonts w:ascii="Arial" w:hAnsi="Arial" w:cs="Arial"/>
                <w:color w:val="000000"/>
              </w:rPr>
            </w:pPr>
            <w:r w:rsidRPr="00E65146">
              <w:rPr>
                <w:rFonts w:ascii="Arial" w:hAnsi="Arial" w:cs="Arial"/>
                <w:color w:val="000000"/>
              </w:rPr>
              <w:t>Government of Australia</w:t>
            </w:r>
          </w:p>
        </w:tc>
      </w:tr>
      <w:tr w:rsidR="00A91ABD" w:rsidRPr="00E65146" w:rsidTr="00827913">
        <w:tc>
          <w:tcPr>
            <w:tcW w:w="1188" w:type="dxa"/>
          </w:tcPr>
          <w:p w:rsidR="00A91ABD" w:rsidRPr="00E65146" w:rsidRDefault="00A91ABD" w:rsidP="00151AC6">
            <w:pPr>
              <w:jc w:val="both"/>
              <w:rPr>
                <w:rFonts w:ascii="Arial" w:hAnsi="Arial" w:cs="Arial"/>
                <w:color w:val="000000"/>
              </w:rPr>
            </w:pPr>
          </w:p>
        </w:tc>
        <w:tc>
          <w:tcPr>
            <w:tcW w:w="1170" w:type="dxa"/>
          </w:tcPr>
          <w:p w:rsidR="00A91ABD" w:rsidRPr="00E65146" w:rsidRDefault="00A91ABD" w:rsidP="00151AC6">
            <w:pPr>
              <w:jc w:val="both"/>
              <w:rPr>
                <w:rFonts w:ascii="Arial" w:hAnsi="Arial" w:cs="Arial"/>
                <w:color w:val="000000"/>
              </w:rPr>
            </w:pPr>
            <w:r w:rsidRPr="00E65146">
              <w:rPr>
                <w:rFonts w:ascii="Arial" w:hAnsi="Arial" w:cs="Arial"/>
                <w:color w:val="000000"/>
              </w:rPr>
              <w:t>GoV</w:t>
            </w:r>
          </w:p>
        </w:tc>
        <w:tc>
          <w:tcPr>
            <w:tcW w:w="990" w:type="dxa"/>
          </w:tcPr>
          <w:p w:rsidR="00A91ABD" w:rsidRPr="00E65146" w:rsidRDefault="00A91ABD" w:rsidP="00151AC6">
            <w:pPr>
              <w:jc w:val="both"/>
              <w:rPr>
                <w:rFonts w:ascii="Arial" w:hAnsi="Arial" w:cs="Arial"/>
                <w:color w:val="000000"/>
              </w:rPr>
            </w:pPr>
            <w:r w:rsidRPr="00E65146">
              <w:rPr>
                <w:rFonts w:ascii="Arial" w:hAnsi="Arial" w:cs="Arial"/>
                <w:color w:val="000000"/>
              </w:rPr>
              <w:t>–</w:t>
            </w:r>
          </w:p>
        </w:tc>
        <w:tc>
          <w:tcPr>
            <w:tcW w:w="6390" w:type="dxa"/>
          </w:tcPr>
          <w:p w:rsidR="00A91ABD" w:rsidRPr="00E65146" w:rsidRDefault="00A91ABD" w:rsidP="00151AC6">
            <w:pPr>
              <w:jc w:val="both"/>
              <w:rPr>
                <w:rFonts w:ascii="Arial" w:hAnsi="Arial" w:cs="Arial"/>
                <w:color w:val="000000"/>
              </w:rPr>
            </w:pPr>
            <w:r w:rsidRPr="00E65146">
              <w:rPr>
                <w:rFonts w:ascii="Arial" w:hAnsi="Arial" w:cs="Arial"/>
                <w:color w:val="000000"/>
              </w:rPr>
              <w:t>Government of Viet Nam</w:t>
            </w:r>
          </w:p>
        </w:tc>
      </w:tr>
      <w:tr w:rsidR="00A91ABD" w:rsidRPr="00E65146" w:rsidTr="00827913">
        <w:tc>
          <w:tcPr>
            <w:tcW w:w="1188" w:type="dxa"/>
          </w:tcPr>
          <w:p w:rsidR="00A91ABD" w:rsidRPr="00E65146" w:rsidRDefault="00A91ABD" w:rsidP="00151AC6">
            <w:pPr>
              <w:jc w:val="both"/>
              <w:rPr>
                <w:rFonts w:ascii="Arial" w:hAnsi="Arial" w:cs="Arial"/>
                <w:color w:val="000000"/>
              </w:rPr>
            </w:pPr>
          </w:p>
        </w:tc>
        <w:tc>
          <w:tcPr>
            <w:tcW w:w="1170" w:type="dxa"/>
          </w:tcPr>
          <w:p w:rsidR="00A91ABD" w:rsidRPr="00E65146" w:rsidRDefault="00A91ABD" w:rsidP="00151AC6">
            <w:pPr>
              <w:jc w:val="both"/>
              <w:rPr>
                <w:rFonts w:ascii="Arial" w:hAnsi="Arial" w:cs="Arial"/>
                <w:color w:val="000000"/>
              </w:rPr>
            </w:pPr>
            <w:r w:rsidRPr="00E65146">
              <w:rPr>
                <w:rFonts w:ascii="Arial" w:hAnsi="Arial" w:cs="Arial"/>
                <w:color w:val="000000"/>
              </w:rPr>
              <w:t>HHR</w:t>
            </w:r>
          </w:p>
        </w:tc>
        <w:tc>
          <w:tcPr>
            <w:tcW w:w="990" w:type="dxa"/>
          </w:tcPr>
          <w:p w:rsidR="00A91ABD" w:rsidRPr="00E65146" w:rsidRDefault="00A91ABD" w:rsidP="00151AC6">
            <w:pPr>
              <w:jc w:val="both"/>
              <w:rPr>
                <w:rFonts w:ascii="Arial" w:hAnsi="Arial" w:cs="Arial"/>
                <w:color w:val="000000"/>
              </w:rPr>
            </w:pPr>
            <w:r w:rsidRPr="00E65146">
              <w:rPr>
                <w:rFonts w:ascii="Arial" w:hAnsi="Arial" w:cs="Arial"/>
                <w:color w:val="000000"/>
              </w:rPr>
              <w:t>–</w:t>
            </w:r>
          </w:p>
        </w:tc>
        <w:tc>
          <w:tcPr>
            <w:tcW w:w="6390" w:type="dxa"/>
          </w:tcPr>
          <w:p w:rsidR="00A91ABD" w:rsidRPr="00E65146" w:rsidRDefault="00C87F50" w:rsidP="00151AC6">
            <w:pPr>
              <w:jc w:val="both"/>
              <w:rPr>
                <w:rFonts w:ascii="Arial" w:hAnsi="Arial" w:cs="Arial"/>
              </w:rPr>
            </w:pPr>
            <w:r>
              <w:rPr>
                <w:rFonts w:ascii="Arial" w:hAnsi="Arial" w:cs="Arial"/>
              </w:rPr>
              <w:t>h</w:t>
            </w:r>
            <w:r w:rsidR="00A91ABD" w:rsidRPr="00E65146">
              <w:rPr>
                <w:rFonts w:ascii="Arial" w:hAnsi="Arial" w:cs="Arial"/>
              </w:rPr>
              <w:t xml:space="preserve">ealth </w:t>
            </w:r>
            <w:r w:rsidR="009D0F54">
              <w:rPr>
                <w:rFonts w:ascii="Arial" w:hAnsi="Arial" w:cs="Arial"/>
              </w:rPr>
              <w:t>h</w:t>
            </w:r>
            <w:r w:rsidR="00A91ABD" w:rsidRPr="00E65146">
              <w:rPr>
                <w:rFonts w:ascii="Arial" w:hAnsi="Arial" w:cs="Arial"/>
              </w:rPr>
              <w:t xml:space="preserve">uman </w:t>
            </w:r>
            <w:r w:rsidR="009D0F54">
              <w:rPr>
                <w:rFonts w:ascii="Arial" w:hAnsi="Arial" w:cs="Arial"/>
              </w:rPr>
              <w:t>r</w:t>
            </w:r>
            <w:r w:rsidR="00A91ABD" w:rsidRPr="00E65146">
              <w:rPr>
                <w:rFonts w:ascii="Arial" w:hAnsi="Arial" w:cs="Arial"/>
              </w:rPr>
              <w:t>esource</w:t>
            </w:r>
          </w:p>
        </w:tc>
      </w:tr>
      <w:tr w:rsidR="00A91ABD" w:rsidRPr="00E65146" w:rsidTr="00827913">
        <w:tc>
          <w:tcPr>
            <w:tcW w:w="1188" w:type="dxa"/>
          </w:tcPr>
          <w:p w:rsidR="00A91ABD" w:rsidRPr="00E65146" w:rsidRDefault="00A91ABD" w:rsidP="00151AC6">
            <w:pPr>
              <w:jc w:val="both"/>
              <w:rPr>
                <w:rFonts w:ascii="Arial" w:hAnsi="Arial" w:cs="Arial"/>
                <w:color w:val="000000"/>
              </w:rPr>
            </w:pPr>
          </w:p>
        </w:tc>
        <w:tc>
          <w:tcPr>
            <w:tcW w:w="1170" w:type="dxa"/>
          </w:tcPr>
          <w:p w:rsidR="00A91ABD" w:rsidRPr="00E65146" w:rsidRDefault="00A91ABD" w:rsidP="00151AC6">
            <w:pPr>
              <w:jc w:val="both"/>
              <w:rPr>
                <w:rFonts w:ascii="Arial" w:hAnsi="Arial" w:cs="Arial"/>
                <w:color w:val="000000"/>
              </w:rPr>
            </w:pPr>
            <w:r w:rsidRPr="00E65146">
              <w:rPr>
                <w:rFonts w:ascii="Arial" w:hAnsi="Arial" w:cs="Arial"/>
                <w:color w:val="000000"/>
              </w:rPr>
              <w:t>HHRSDP</w:t>
            </w:r>
          </w:p>
        </w:tc>
        <w:tc>
          <w:tcPr>
            <w:tcW w:w="990" w:type="dxa"/>
          </w:tcPr>
          <w:p w:rsidR="00A91ABD" w:rsidRPr="00E65146" w:rsidRDefault="00A91ABD" w:rsidP="00151AC6">
            <w:pPr>
              <w:jc w:val="both"/>
              <w:rPr>
                <w:rFonts w:ascii="Arial" w:hAnsi="Arial" w:cs="Arial"/>
                <w:color w:val="000000"/>
              </w:rPr>
            </w:pPr>
            <w:r w:rsidRPr="00E65146">
              <w:rPr>
                <w:rFonts w:ascii="Arial" w:hAnsi="Arial" w:cs="Arial"/>
                <w:color w:val="000000"/>
              </w:rPr>
              <w:t>–</w:t>
            </w:r>
          </w:p>
        </w:tc>
        <w:tc>
          <w:tcPr>
            <w:tcW w:w="6390" w:type="dxa"/>
          </w:tcPr>
          <w:p w:rsidR="00A91ABD" w:rsidRPr="00E65146" w:rsidRDefault="00A91ABD" w:rsidP="00151AC6">
            <w:pPr>
              <w:jc w:val="both"/>
              <w:rPr>
                <w:rFonts w:ascii="Arial" w:hAnsi="Arial" w:cs="Arial"/>
                <w:color w:val="000000"/>
              </w:rPr>
            </w:pPr>
            <w:r w:rsidRPr="00E65146">
              <w:rPr>
                <w:rFonts w:ascii="Arial" w:hAnsi="Arial" w:cs="Arial"/>
              </w:rPr>
              <w:t>Health Human Resources Sector Development Program</w:t>
            </w:r>
          </w:p>
        </w:tc>
      </w:tr>
      <w:tr w:rsidR="00A91ABD" w:rsidRPr="00E65146" w:rsidTr="00827913">
        <w:tc>
          <w:tcPr>
            <w:tcW w:w="1188" w:type="dxa"/>
          </w:tcPr>
          <w:p w:rsidR="00A91ABD" w:rsidRPr="00E65146" w:rsidRDefault="00A91ABD" w:rsidP="00151AC6">
            <w:pPr>
              <w:jc w:val="both"/>
              <w:rPr>
                <w:rFonts w:ascii="Arial" w:hAnsi="Arial" w:cs="Arial"/>
                <w:color w:val="000000"/>
              </w:rPr>
            </w:pPr>
          </w:p>
        </w:tc>
        <w:tc>
          <w:tcPr>
            <w:tcW w:w="1170" w:type="dxa"/>
          </w:tcPr>
          <w:p w:rsidR="00A91ABD" w:rsidRPr="00E65146" w:rsidRDefault="00A91ABD" w:rsidP="00151AC6">
            <w:pPr>
              <w:jc w:val="both"/>
              <w:rPr>
                <w:rFonts w:ascii="Arial" w:hAnsi="Arial" w:cs="Arial"/>
                <w:color w:val="000000"/>
              </w:rPr>
            </w:pPr>
            <w:r w:rsidRPr="00E65146">
              <w:rPr>
                <w:rFonts w:ascii="Arial" w:hAnsi="Arial" w:cs="Arial"/>
                <w:color w:val="000000"/>
              </w:rPr>
              <w:t>HPTF</w:t>
            </w:r>
          </w:p>
        </w:tc>
        <w:tc>
          <w:tcPr>
            <w:tcW w:w="990" w:type="dxa"/>
          </w:tcPr>
          <w:p w:rsidR="00A91ABD" w:rsidRPr="00E65146" w:rsidRDefault="00A91ABD" w:rsidP="00151AC6">
            <w:pPr>
              <w:jc w:val="both"/>
              <w:rPr>
                <w:rFonts w:ascii="Arial" w:hAnsi="Arial" w:cs="Arial"/>
                <w:color w:val="000000"/>
              </w:rPr>
            </w:pPr>
            <w:r w:rsidRPr="00E65146">
              <w:rPr>
                <w:rFonts w:ascii="Arial" w:hAnsi="Arial" w:cs="Arial"/>
                <w:color w:val="000000"/>
              </w:rPr>
              <w:t>–</w:t>
            </w:r>
          </w:p>
        </w:tc>
        <w:tc>
          <w:tcPr>
            <w:tcW w:w="6390" w:type="dxa"/>
          </w:tcPr>
          <w:p w:rsidR="00A91ABD" w:rsidRPr="00E65146" w:rsidRDefault="00C87F50" w:rsidP="00151AC6">
            <w:pPr>
              <w:jc w:val="both"/>
              <w:rPr>
                <w:rFonts w:ascii="Arial" w:hAnsi="Arial" w:cs="Arial"/>
                <w:color w:val="000000"/>
              </w:rPr>
            </w:pPr>
            <w:r>
              <w:rPr>
                <w:rFonts w:ascii="Arial" w:hAnsi="Arial" w:cs="Arial"/>
                <w:color w:val="000000"/>
              </w:rPr>
              <w:t>h</w:t>
            </w:r>
            <w:r w:rsidR="00A91ABD" w:rsidRPr="00E65146">
              <w:rPr>
                <w:rFonts w:ascii="Arial" w:hAnsi="Arial" w:cs="Arial"/>
                <w:color w:val="000000"/>
              </w:rPr>
              <w:t xml:space="preserve">ealth </w:t>
            </w:r>
            <w:r w:rsidR="009D0F54">
              <w:rPr>
                <w:rFonts w:ascii="Arial" w:hAnsi="Arial" w:cs="Arial"/>
                <w:color w:val="000000"/>
              </w:rPr>
              <w:t>p</w:t>
            </w:r>
            <w:r w:rsidR="00A91ABD" w:rsidRPr="00E65146">
              <w:rPr>
                <w:rFonts w:ascii="Arial" w:hAnsi="Arial" w:cs="Arial"/>
                <w:color w:val="000000"/>
              </w:rPr>
              <w:t xml:space="preserve">rofessional </w:t>
            </w:r>
            <w:r w:rsidR="009D0F54">
              <w:rPr>
                <w:rFonts w:ascii="Arial" w:hAnsi="Arial" w:cs="Arial"/>
                <w:color w:val="000000"/>
              </w:rPr>
              <w:t>t</w:t>
            </w:r>
            <w:r w:rsidR="00A91ABD" w:rsidRPr="00E65146">
              <w:rPr>
                <w:rFonts w:ascii="Arial" w:hAnsi="Arial" w:cs="Arial"/>
                <w:color w:val="000000"/>
              </w:rPr>
              <w:t xml:space="preserve">raining </w:t>
            </w:r>
            <w:r w:rsidR="009D0F54">
              <w:rPr>
                <w:rFonts w:ascii="Arial" w:hAnsi="Arial" w:cs="Arial"/>
                <w:color w:val="000000"/>
              </w:rPr>
              <w:t>f</w:t>
            </w:r>
            <w:r w:rsidR="00A91ABD" w:rsidRPr="00E65146">
              <w:rPr>
                <w:rFonts w:ascii="Arial" w:hAnsi="Arial" w:cs="Arial"/>
                <w:color w:val="000000"/>
              </w:rPr>
              <w:t>acility</w:t>
            </w:r>
          </w:p>
        </w:tc>
      </w:tr>
      <w:tr w:rsidR="00A91ABD" w:rsidRPr="00E65146" w:rsidTr="00827913">
        <w:tc>
          <w:tcPr>
            <w:tcW w:w="1188" w:type="dxa"/>
          </w:tcPr>
          <w:p w:rsidR="00A91ABD" w:rsidRPr="00E65146" w:rsidRDefault="00A91ABD" w:rsidP="00151AC6">
            <w:pPr>
              <w:jc w:val="both"/>
              <w:rPr>
                <w:rFonts w:ascii="Arial" w:hAnsi="Arial" w:cs="Arial"/>
                <w:color w:val="000000"/>
              </w:rPr>
            </w:pPr>
          </w:p>
        </w:tc>
        <w:tc>
          <w:tcPr>
            <w:tcW w:w="1170" w:type="dxa"/>
          </w:tcPr>
          <w:p w:rsidR="00A91ABD" w:rsidRPr="00E65146" w:rsidRDefault="00A91ABD" w:rsidP="00151AC6">
            <w:pPr>
              <w:jc w:val="both"/>
              <w:rPr>
                <w:rFonts w:ascii="Arial" w:hAnsi="Arial" w:cs="Arial"/>
                <w:color w:val="000000"/>
              </w:rPr>
            </w:pPr>
            <w:r w:rsidRPr="00E65146">
              <w:rPr>
                <w:rFonts w:ascii="Arial" w:hAnsi="Arial" w:cs="Arial"/>
                <w:color w:val="000000"/>
              </w:rPr>
              <w:t>HRD</w:t>
            </w:r>
          </w:p>
        </w:tc>
        <w:tc>
          <w:tcPr>
            <w:tcW w:w="990" w:type="dxa"/>
          </w:tcPr>
          <w:p w:rsidR="00A91ABD" w:rsidRPr="00E65146" w:rsidRDefault="00A91ABD" w:rsidP="00151AC6">
            <w:pPr>
              <w:jc w:val="both"/>
              <w:rPr>
                <w:rFonts w:ascii="Arial" w:hAnsi="Arial" w:cs="Arial"/>
                <w:color w:val="000000"/>
              </w:rPr>
            </w:pPr>
            <w:r w:rsidRPr="00E65146">
              <w:rPr>
                <w:rFonts w:ascii="Arial" w:hAnsi="Arial" w:cs="Arial"/>
                <w:color w:val="000000"/>
              </w:rPr>
              <w:t>–</w:t>
            </w:r>
          </w:p>
        </w:tc>
        <w:tc>
          <w:tcPr>
            <w:tcW w:w="6390" w:type="dxa"/>
          </w:tcPr>
          <w:p w:rsidR="00A91ABD" w:rsidRPr="00E65146" w:rsidRDefault="00C87F50" w:rsidP="00151AC6">
            <w:pPr>
              <w:jc w:val="both"/>
              <w:rPr>
                <w:rFonts w:ascii="Arial" w:hAnsi="Arial" w:cs="Arial"/>
                <w:color w:val="000000"/>
              </w:rPr>
            </w:pPr>
            <w:r>
              <w:rPr>
                <w:rFonts w:ascii="Arial" w:hAnsi="Arial" w:cs="Arial"/>
                <w:color w:val="000000"/>
              </w:rPr>
              <w:t>h</w:t>
            </w:r>
            <w:r w:rsidR="00A91ABD" w:rsidRPr="00E65146">
              <w:rPr>
                <w:rFonts w:ascii="Arial" w:hAnsi="Arial" w:cs="Arial"/>
                <w:color w:val="000000"/>
              </w:rPr>
              <w:t>uman resource development</w:t>
            </w:r>
          </w:p>
        </w:tc>
      </w:tr>
      <w:tr w:rsidR="00A91ABD" w:rsidRPr="00E65146" w:rsidTr="00827913">
        <w:tc>
          <w:tcPr>
            <w:tcW w:w="1188" w:type="dxa"/>
          </w:tcPr>
          <w:p w:rsidR="00A91ABD" w:rsidRPr="00E65146" w:rsidRDefault="00A91ABD" w:rsidP="00151AC6">
            <w:pPr>
              <w:jc w:val="both"/>
              <w:rPr>
                <w:rFonts w:ascii="Arial" w:hAnsi="Arial" w:cs="Arial"/>
                <w:color w:val="000000"/>
              </w:rPr>
            </w:pPr>
          </w:p>
        </w:tc>
        <w:tc>
          <w:tcPr>
            <w:tcW w:w="1170" w:type="dxa"/>
          </w:tcPr>
          <w:p w:rsidR="00A91ABD" w:rsidRPr="00E65146" w:rsidRDefault="00A91ABD" w:rsidP="00151AC6">
            <w:pPr>
              <w:jc w:val="both"/>
              <w:rPr>
                <w:rFonts w:ascii="Arial" w:hAnsi="Arial" w:cs="Arial"/>
                <w:color w:val="000000"/>
              </w:rPr>
            </w:pPr>
            <w:r w:rsidRPr="00E65146">
              <w:rPr>
                <w:rFonts w:ascii="Arial" w:hAnsi="Arial" w:cs="Arial"/>
                <w:color w:val="000000"/>
              </w:rPr>
              <w:t>IMR</w:t>
            </w:r>
          </w:p>
        </w:tc>
        <w:tc>
          <w:tcPr>
            <w:tcW w:w="990" w:type="dxa"/>
          </w:tcPr>
          <w:p w:rsidR="00A91ABD" w:rsidRPr="00E65146" w:rsidRDefault="00A91ABD" w:rsidP="00151AC6">
            <w:pPr>
              <w:jc w:val="both"/>
              <w:rPr>
                <w:rFonts w:ascii="Arial" w:hAnsi="Arial" w:cs="Arial"/>
                <w:color w:val="000000"/>
              </w:rPr>
            </w:pPr>
            <w:r w:rsidRPr="00E65146">
              <w:rPr>
                <w:rFonts w:ascii="Arial" w:hAnsi="Arial" w:cs="Arial"/>
                <w:color w:val="000000"/>
              </w:rPr>
              <w:t>–</w:t>
            </w:r>
          </w:p>
        </w:tc>
        <w:tc>
          <w:tcPr>
            <w:tcW w:w="6390" w:type="dxa"/>
          </w:tcPr>
          <w:p w:rsidR="00A91ABD" w:rsidRPr="00E65146" w:rsidRDefault="00C87F50" w:rsidP="00151AC6">
            <w:pPr>
              <w:jc w:val="both"/>
              <w:rPr>
                <w:rFonts w:ascii="Arial" w:hAnsi="Arial" w:cs="Arial"/>
                <w:color w:val="000000"/>
              </w:rPr>
            </w:pPr>
            <w:r>
              <w:rPr>
                <w:rFonts w:ascii="Arial" w:hAnsi="Arial" w:cs="Arial"/>
                <w:color w:val="000000"/>
              </w:rPr>
              <w:t>i</w:t>
            </w:r>
            <w:r w:rsidR="00A91ABD" w:rsidRPr="00E65146">
              <w:rPr>
                <w:rFonts w:ascii="Arial" w:hAnsi="Arial" w:cs="Arial"/>
                <w:color w:val="000000"/>
              </w:rPr>
              <w:t>nfant mortality rate</w:t>
            </w:r>
          </w:p>
        </w:tc>
      </w:tr>
      <w:tr w:rsidR="00C53225" w:rsidRPr="00E65146" w:rsidTr="00827913">
        <w:tc>
          <w:tcPr>
            <w:tcW w:w="1188" w:type="dxa"/>
          </w:tcPr>
          <w:p w:rsidR="00C53225" w:rsidRPr="00E65146" w:rsidRDefault="00C53225" w:rsidP="00151AC6">
            <w:pPr>
              <w:jc w:val="both"/>
              <w:rPr>
                <w:rFonts w:ascii="Arial" w:hAnsi="Arial" w:cs="Arial"/>
                <w:color w:val="000000"/>
              </w:rPr>
            </w:pPr>
          </w:p>
        </w:tc>
        <w:tc>
          <w:tcPr>
            <w:tcW w:w="1170" w:type="dxa"/>
          </w:tcPr>
          <w:p w:rsidR="00C53225" w:rsidRPr="00E65146" w:rsidRDefault="00C53225" w:rsidP="00151AC6">
            <w:pPr>
              <w:jc w:val="both"/>
              <w:rPr>
                <w:rFonts w:ascii="Arial" w:hAnsi="Arial" w:cs="Arial"/>
                <w:color w:val="000000"/>
              </w:rPr>
            </w:pPr>
            <w:r>
              <w:rPr>
                <w:rFonts w:ascii="Arial" w:hAnsi="Arial" w:cs="Arial"/>
                <w:color w:val="000000"/>
              </w:rPr>
              <w:t>ICE</w:t>
            </w:r>
          </w:p>
        </w:tc>
        <w:tc>
          <w:tcPr>
            <w:tcW w:w="990" w:type="dxa"/>
          </w:tcPr>
          <w:p w:rsidR="00C53225" w:rsidRPr="00E65146" w:rsidRDefault="00C53225" w:rsidP="00151AC6">
            <w:pPr>
              <w:jc w:val="both"/>
              <w:rPr>
                <w:rFonts w:ascii="Arial" w:hAnsi="Arial" w:cs="Arial"/>
                <w:color w:val="000000"/>
              </w:rPr>
            </w:pPr>
            <w:r w:rsidRPr="00E65146">
              <w:rPr>
                <w:rFonts w:ascii="Arial" w:hAnsi="Arial" w:cs="Arial"/>
                <w:color w:val="000000"/>
              </w:rPr>
              <w:t>–</w:t>
            </w:r>
          </w:p>
        </w:tc>
        <w:tc>
          <w:tcPr>
            <w:tcW w:w="6390" w:type="dxa"/>
          </w:tcPr>
          <w:p w:rsidR="00C53225" w:rsidRPr="00E65146" w:rsidRDefault="00C87F50" w:rsidP="00151AC6">
            <w:pPr>
              <w:jc w:val="both"/>
              <w:rPr>
                <w:rFonts w:ascii="Arial" w:hAnsi="Arial" w:cs="Arial"/>
              </w:rPr>
            </w:pPr>
            <w:r>
              <w:rPr>
                <w:rFonts w:ascii="Arial" w:hAnsi="Arial" w:cs="Arial"/>
              </w:rPr>
              <w:t>i</w:t>
            </w:r>
            <w:r w:rsidR="00C53225">
              <w:rPr>
                <w:rFonts w:ascii="Arial" w:hAnsi="Arial" w:cs="Arial"/>
              </w:rPr>
              <w:t>ndependent completion evaluation</w:t>
            </w:r>
          </w:p>
        </w:tc>
      </w:tr>
      <w:tr w:rsidR="00A91ABD" w:rsidRPr="00E65146" w:rsidTr="00827913">
        <w:tc>
          <w:tcPr>
            <w:tcW w:w="1188" w:type="dxa"/>
          </w:tcPr>
          <w:p w:rsidR="00A91ABD" w:rsidRPr="00E65146" w:rsidRDefault="00A91ABD" w:rsidP="00151AC6">
            <w:pPr>
              <w:jc w:val="both"/>
              <w:rPr>
                <w:rFonts w:ascii="Arial" w:hAnsi="Arial" w:cs="Arial"/>
                <w:color w:val="000000"/>
              </w:rPr>
            </w:pPr>
          </w:p>
        </w:tc>
        <w:tc>
          <w:tcPr>
            <w:tcW w:w="1170" w:type="dxa"/>
          </w:tcPr>
          <w:p w:rsidR="00A91ABD" w:rsidRPr="00E65146" w:rsidRDefault="00A91ABD" w:rsidP="00151AC6">
            <w:pPr>
              <w:jc w:val="both"/>
              <w:rPr>
                <w:rFonts w:ascii="Arial" w:hAnsi="Arial" w:cs="Arial"/>
                <w:color w:val="000000"/>
              </w:rPr>
            </w:pPr>
            <w:r w:rsidRPr="00E65146">
              <w:rPr>
                <w:rFonts w:ascii="Arial" w:hAnsi="Arial" w:cs="Arial"/>
                <w:color w:val="000000"/>
              </w:rPr>
              <w:t>JC-HRPM</w:t>
            </w:r>
          </w:p>
        </w:tc>
        <w:tc>
          <w:tcPr>
            <w:tcW w:w="990" w:type="dxa"/>
          </w:tcPr>
          <w:p w:rsidR="00A91ABD" w:rsidRPr="00E65146" w:rsidRDefault="00A91ABD" w:rsidP="00151AC6">
            <w:pPr>
              <w:jc w:val="both"/>
              <w:rPr>
                <w:rFonts w:ascii="Arial" w:hAnsi="Arial" w:cs="Arial"/>
                <w:color w:val="000000"/>
              </w:rPr>
            </w:pPr>
            <w:r w:rsidRPr="00E65146">
              <w:rPr>
                <w:rFonts w:ascii="Arial" w:hAnsi="Arial" w:cs="Arial"/>
                <w:color w:val="000000"/>
              </w:rPr>
              <w:t>–</w:t>
            </w:r>
          </w:p>
        </w:tc>
        <w:tc>
          <w:tcPr>
            <w:tcW w:w="6390" w:type="dxa"/>
          </w:tcPr>
          <w:p w:rsidR="00A91ABD" w:rsidRPr="00E65146" w:rsidRDefault="00A91ABD" w:rsidP="00151AC6">
            <w:pPr>
              <w:jc w:val="both"/>
              <w:rPr>
                <w:rFonts w:ascii="Arial" w:hAnsi="Arial" w:cs="Arial"/>
                <w:color w:val="000000"/>
              </w:rPr>
            </w:pPr>
            <w:r w:rsidRPr="00E65146">
              <w:rPr>
                <w:rFonts w:ascii="Arial" w:hAnsi="Arial" w:cs="Arial"/>
              </w:rPr>
              <w:t>Joint Committee for Human Resource Planning and Management</w:t>
            </w:r>
          </w:p>
        </w:tc>
      </w:tr>
      <w:tr w:rsidR="00C53225" w:rsidRPr="00E65146" w:rsidTr="00827913">
        <w:tc>
          <w:tcPr>
            <w:tcW w:w="1188" w:type="dxa"/>
          </w:tcPr>
          <w:p w:rsidR="00C53225" w:rsidRPr="00E65146" w:rsidRDefault="00C53225" w:rsidP="00151AC6">
            <w:pPr>
              <w:jc w:val="both"/>
              <w:rPr>
                <w:rFonts w:ascii="Arial" w:hAnsi="Arial" w:cs="Arial"/>
                <w:color w:val="000000"/>
              </w:rPr>
            </w:pPr>
          </w:p>
        </w:tc>
        <w:tc>
          <w:tcPr>
            <w:tcW w:w="1170" w:type="dxa"/>
          </w:tcPr>
          <w:p w:rsidR="00C53225" w:rsidRPr="00E65146" w:rsidRDefault="00C53225" w:rsidP="00151AC6">
            <w:pPr>
              <w:jc w:val="both"/>
              <w:rPr>
                <w:rFonts w:ascii="Arial" w:hAnsi="Arial" w:cs="Arial"/>
                <w:color w:val="000000"/>
              </w:rPr>
            </w:pPr>
            <w:r>
              <w:rPr>
                <w:rFonts w:ascii="Arial" w:hAnsi="Arial" w:cs="Arial"/>
                <w:color w:val="000000"/>
              </w:rPr>
              <w:t>LET</w:t>
            </w:r>
          </w:p>
        </w:tc>
        <w:tc>
          <w:tcPr>
            <w:tcW w:w="990" w:type="dxa"/>
          </w:tcPr>
          <w:p w:rsidR="00C53225" w:rsidRPr="00E65146" w:rsidRDefault="00C53225" w:rsidP="00151AC6">
            <w:pPr>
              <w:jc w:val="both"/>
              <w:rPr>
                <w:rFonts w:ascii="Arial" w:hAnsi="Arial" w:cs="Arial"/>
                <w:color w:val="000000"/>
              </w:rPr>
            </w:pPr>
            <w:r w:rsidRPr="00E65146">
              <w:rPr>
                <w:rFonts w:ascii="Arial" w:hAnsi="Arial" w:cs="Arial"/>
                <w:color w:val="000000"/>
              </w:rPr>
              <w:t>–</w:t>
            </w:r>
          </w:p>
        </w:tc>
        <w:tc>
          <w:tcPr>
            <w:tcW w:w="6390" w:type="dxa"/>
          </w:tcPr>
          <w:p w:rsidR="00C53225" w:rsidRPr="00E65146" w:rsidRDefault="00C53225" w:rsidP="00151AC6">
            <w:pPr>
              <w:jc w:val="both"/>
              <w:rPr>
                <w:rFonts w:ascii="Arial" w:hAnsi="Arial" w:cs="Arial"/>
              </w:rPr>
            </w:pPr>
            <w:r>
              <w:rPr>
                <w:rFonts w:ascii="Arial" w:hAnsi="Arial" w:cs="Arial"/>
              </w:rPr>
              <w:t>Law on Examination and Treatment</w:t>
            </w:r>
          </w:p>
        </w:tc>
      </w:tr>
      <w:tr w:rsidR="00A91ABD" w:rsidRPr="00E65146" w:rsidTr="00827913">
        <w:tc>
          <w:tcPr>
            <w:tcW w:w="1188" w:type="dxa"/>
          </w:tcPr>
          <w:p w:rsidR="00A91ABD" w:rsidRPr="00E65146" w:rsidRDefault="00A91ABD" w:rsidP="00151AC6">
            <w:pPr>
              <w:jc w:val="both"/>
              <w:rPr>
                <w:rFonts w:ascii="Arial" w:hAnsi="Arial" w:cs="Arial"/>
                <w:color w:val="000000"/>
              </w:rPr>
            </w:pPr>
          </w:p>
        </w:tc>
        <w:tc>
          <w:tcPr>
            <w:tcW w:w="1170" w:type="dxa"/>
          </w:tcPr>
          <w:p w:rsidR="00A91ABD" w:rsidRPr="00E65146" w:rsidRDefault="00A91ABD" w:rsidP="00151AC6">
            <w:pPr>
              <w:jc w:val="both"/>
              <w:rPr>
                <w:rFonts w:ascii="Arial" w:hAnsi="Arial" w:cs="Arial"/>
                <w:color w:val="000000"/>
              </w:rPr>
            </w:pPr>
            <w:r w:rsidRPr="00E65146">
              <w:rPr>
                <w:rFonts w:ascii="Arial" w:hAnsi="Arial" w:cs="Arial"/>
                <w:color w:val="000000"/>
              </w:rPr>
              <w:t>M&amp;E</w:t>
            </w:r>
          </w:p>
        </w:tc>
        <w:tc>
          <w:tcPr>
            <w:tcW w:w="990" w:type="dxa"/>
          </w:tcPr>
          <w:p w:rsidR="00A91ABD" w:rsidRPr="00E65146" w:rsidRDefault="00A91ABD" w:rsidP="00151AC6">
            <w:pPr>
              <w:jc w:val="both"/>
              <w:rPr>
                <w:rFonts w:ascii="Arial" w:hAnsi="Arial" w:cs="Arial"/>
                <w:color w:val="000000"/>
              </w:rPr>
            </w:pPr>
            <w:r w:rsidRPr="00E65146">
              <w:rPr>
                <w:rFonts w:ascii="Arial" w:hAnsi="Arial" w:cs="Arial"/>
                <w:color w:val="000000"/>
              </w:rPr>
              <w:t>–</w:t>
            </w:r>
          </w:p>
        </w:tc>
        <w:tc>
          <w:tcPr>
            <w:tcW w:w="6390" w:type="dxa"/>
          </w:tcPr>
          <w:p w:rsidR="00A91ABD" w:rsidRPr="00E65146" w:rsidRDefault="00C87F50" w:rsidP="00151AC6">
            <w:pPr>
              <w:jc w:val="both"/>
              <w:rPr>
                <w:rFonts w:ascii="Arial" w:hAnsi="Arial" w:cs="Arial"/>
                <w:color w:val="000000"/>
              </w:rPr>
            </w:pPr>
            <w:r>
              <w:rPr>
                <w:rFonts w:ascii="Arial" w:hAnsi="Arial" w:cs="Arial"/>
                <w:color w:val="000000"/>
              </w:rPr>
              <w:t>m</w:t>
            </w:r>
            <w:r w:rsidR="00A91ABD" w:rsidRPr="00E65146">
              <w:rPr>
                <w:rFonts w:ascii="Arial" w:hAnsi="Arial" w:cs="Arial"/>
                <w:color w:val="000000"/>
              </w:rPr>
              <w:t xml:space="preserve">onitoring and </w:t>
            </w:r>
            <w:r w:rsidR="009D0F54">
              <w:rPr>
                <w:rFonts w:ascii="Arial" w:hAnsi="Arial" w:cs="Arial"/>
                <w:color w:val="000000"/>
              </w:rPr>
              <w:t>e</w:t>
            </w:r>
            <w:r w:rsidR="00A91ABD" w:rsidRPr="00E65146">
              <w:rPr>
                <w:rFonts w:ascii="Arial" w:hAnsi="Arial" w:cs="Arial"/>
                <w:color w:val="000000"/>
              </w:rPr>
              <w:t>valuation</w:t>
            </w:r>
          </w:p>
        </w:tc>
      </w:tr>
      <w:tr w:rsidR="00630ED9" w:rsidRPr="00E65146" w:rsidTr="00827913">
        <w:tc>
          <w:tcPr>
            <w:tcW w:w="1188" w:type="dxa"/>
          </w:tcPr>
          <w:p w:rsidR="00630ED9" w:rsidRPr="00E65146" w:rsidRDefault="00630ED9" w:rsidP="00151AC6">
            <w:pPr>
              <w:jc w:val="both"/>
              <w:rPr>
                <w:rFonts w:ascii="Arial" w:hAnsi="Arial" w:cs="Arial"/>
                <w:color w:val="000000"/>
              </w:rPr>
            </w:pPr>
          </w:p>
        </w:tc>
        <w:tc>
          <w:tcPr>
            <w:tcW w:w="1170" w:type="dxa"/>
          </w:tcPr>
          <w:p w:rsidR="00630ED9" w:rsidRPr="00E65146" w:rsidRDefault="00630ED9" w:rsidP="00151AC6">
            <w:pPr>
              <w:jc w:val="both"/>
              <w:rPr>
                <w:rFonts w:ascii="Arial" w:hAnsi="Arial" w:cs="Arial"/>
                <w:color w:val="000000"/>
              </w:rPr>
            </w:pPr>
            <w:r>
              <w:rPr>
                <w:rFonts w:ascii="Arial" w:hAnsi="Arial" w:cs="Arial"/>
                <w:color w:val="000000"/>
              </w:rPr>
              <w:t>MDG</w:t>
            </w:r>
          </w:p>
        </w:tc>
        <w:tc>
          <w:tcPr>
            <w:tcW w:w="990" w:type="dxa"/>
          </w:tcPr>
          <w:p w:rsidR="00630ED9" w:rsidRPr="00E65146" w:rsidRDefault="00630ED9" w:rsidP="00151AC6">
            <w:pPr>
              <w:jc w:val="both"/>
              <w:rPr>
                <w:rFonts w:ascii="Arial" w:hAnsi="Arial" w:cs="Arial"/>
                <w:color w:val="000000"/>
              </w:rPr>
            </w:pPr>
            <w:r w:rsidRPr="00E65146">
              <w:rPr>
                <w:rFonts w:ascii="Arial" w:hAnsi="Arial" w:cs="Arial"/>
                <w:color w:val="000000"/>
              </w:rPr>
              <w:t>–</w:t>
            </w:r>
          </w:p>
        </w:tc>
        <w:tc>
          <w:tcPr>
            <w:tcW w:w="6390" w:type="dxa"/>
          </w:tcPr>
          <w:p w:rsidR="00630ED9" w:rsidRPr="00E65146" w:rsidRDefault="00630ED9" w:rsidP="00151AC6">
            <w:pPr>
              <w:jc w:val="both"/>
              <w:rPr>
                <w:rFonts w:ascii="Arial" w:hAnsi="Arial" w:cs="Arial"/>
                <w:color w:val="000000"/>
              </w:rPr>
            </w:pPr>
            <w:r>
              <w:rPr>
                <w:rFonts w:ascii="Arial" w:hAnsi="Arial" w:cs="Arial"/>
              </w:rPr>
              <w:t>Millennium</w:t>
            </w:r>
            <w:r w:rsidRPr="00A742BD">
              <w:rPr>
                <w:rFonts w:ascii="Arial" w:hAnsi="Arial" w:cs="Arial"/>
              </w:rPr>
              <w:t xml:space="preserve"> Development Goals</w:t>
            </w:r>
          </w:p>
        </w:tc>
      </w:tr>
      <w:tr w:rsidR="00A91ABD" w:rsidRPr="00E65146" w:rsidTr="00827913">
        <w:tc>
          <w:tcPr>
            <w:tcW w:w="1188" w:type="dxa"/>
          </w:tcPr>
          <w:p w:rsidR="00A91ABD" w:rsidRPr="00E65146" w:rsidRDefault="00A91ABD" w:rsidP="00151AC6">
            <w:pPr>
              <w:jc w:val="both"/>
              <w:rPr>
                <w:rFonts w:ascii="Arial" w:hAnsi="Arial" w:cs="Arial"/>
                <w:color w:val="000000"/>
              </w:rPr>
            </w:pPr>
          </w:p>
        </w:tc>
        <w:tc>
          <w:tcPr>
            <w:tcW w:w="1170" w:type="dxa"/>
          </w:tcPr>
          <w:p w:rsidR="00A91ABD" w:rsidRPr="00E65146" w:rsidRDefault="00A91ABD" w:rsidP="00151AC6">
            <w:pPr>
              <w:jc w:val="both"/>
              <w:rPr>
                <w:rFonts w:ascii="Arial" w:hAnsi="Arial" w:cs="Arial"/>
                <w:color w:val="000000"/>
              </w:rPr>
            </w:pPr>
            <w:r w:rsidRPr="00E65146">
              <w:rPr>
                <w:rFonts w:ascii="Arial" w:hAnsi="Arial" w:cs="Arial"/>
                <w:color w:val="000000"/>
              </w:rPr>
              <w:t>MMR</w:t>
            </w:r>
          </w:p>
        </w:tc>
        <w:tc>
          <w:tcPr>
            <w:tcW w:w="990" w:type="dxa"/>
          </w:tcPr>
          <w:p w:rsidR="00A91ABD" w:rsidRPr="00E65146" w:rsidRDefault="00A91ABD" w:rsidP="00151AC6">
            <w:pPr>
              <w:jc w:val="both"/>
              <w:rPr>
                <w:rFonts w:ascii="Arial" w:hAnsi="Arial" w:cs="Arial"/>
                <w:color w:val="000000"/>
              </w:rPr>
            </w:pPr>
            <w:r w:rsidRPr="00E65146">
              <w:rPr>
                <w:rFonts w:ascii="Arial" w:hAnsi="Arial" w:cs="Arial"/>
                <w:color w:val="000000"/>
              </w:rPr>
              <w:t>–</w:t>
            </w:r>
          </w:p>
        </w:tc>
        <w:tc>
          <w:tcPr>
            <w:tcW w:w="6390" w:type="dxa"/>
          </w:tcPr>
          <w:p w:rsidR="00A91ABD" w:rsidRPr="00E65146" w:rsidRDefault="00C87F50" w:rsidP="00151AC6">
            <w:pPr>
              <w:jc w:val="both"/>
              <w:rPr>
                <w:rFonts w:ascii="Arial" w:hAnsi="Arial" w:cs="Arial"/>
                <w:color w:val="000000"/>
              </w:rPr>
            </w:pPr>
            <w:r>
              <w:rPr>
                <w:rFonts w:ascii="Arial" w:hAnsi="Arial" w:cs="Arial"/>
                <w:color w:val="000000"/>
              </w:rPr>
              <w:t>m</w:t>
            </w:r>
            <w:r w:rsidR="00A91ABD" w:rsidRPr="00E65146">
              <w:rPr>
                <w:rFonts w:ascii="Arial" w:hAnsi="Arial" w:cs="Arial"/>
                <w:color w:val="000000"/>
              </w:rPr>
              <w:t>aternal mortality rate</w:t>
            </w:r>
          </w:p>
        </w:tc>
      </w:tr>
      <w:tr w:rsidR="00A91ABD" w:rsidRPr="00E65146" w:rsidTr="00827913">
        <w:tc>
          <w:tcPr>
            <w:tcW w:w="1188" w:type="dxa"/>
          </w:tcPr>
          <w:p w:rsidR="00A91ABD" w:rsidRPr="00E65146" w:rsidRDefault="00A91ABD" w:rsidP="00151AC6">
            <w:pPr>
              <w:jc w:val="both"/>
              <w:rPr>
                <w:rFonts w:ascii="Arial" w:hAnsi="Arial" w:cs="Arial"/>
                <w:color w:val="000000"/>
              </w:rPr>
            </w:pPr>
          </w:p>
        </w:tc>
        <w:tc>
          <w:tcPr>
            <w:tcW w:w="1170" w:type="dxa"/>
          </w:tcPr>
          <w:p w:rsidR="00A91ABD" w:rsidRPr="00E65146" w:rsidRDefault="00A91ABD" w:rsidP="00151AC6">
            <w:pPr>
              <w:jc w:val="both"/>
              <w:rPr>
                <w:rFonts w:ascii="Arial" w:hAnsi="Arial" w:cs="Arial"/>
                <w:color w:val="000000"/>
              </w:rPr>
            </w:pPr>
            <w:r w:rsidRPr="00E65146">
              <w:rPr>
                <w:rFonts w:ascii="Arial" w:hAnsi="Arial" w:cs="Arial"/>
                <w:color w:val="000000"/>
              </w:rPr>
              <w:t>M</w:t>
            </w:r>
            <w:r w:rsidR="00146235">
              <w:rPr>
                <w:rFonts w:ascii="Arial" w:hAnsi="Arial" w:cs="Arial"/>
                <w:color w:val="000000"/>
              </w:rPr>
              <w:t>o</w:t>
            </w:r>
            <w:r w:rsidRPr="00E65146">
              <w:rPr>
                <w:rFonts w:ascii="Arial" w:hAnsi="Arial" w:cs="Arial"/>
                <w:color w:val="000000"/>
              </w:rPr>
              <w:t>H</w:t>
            </w:r>
          </w:p>
        </w:tc>
        <w:tc>
          <w:tcPr>
            <w:tcW w:w="990" w:type="dxa"/>
          </w:tcPr>
          <w:p w:rsidR="00A91ABD" w:rsidRPr="00E65146" w:rsidRDefault="00A91ABD" w:rsidP="00151AC6">
            <w:pPr>
              <w:jc w:val="both"/>
              <w:rPr>
                <w:rFonts w:ascii="Arial" w:hAnsi="Arial" w:cs="Arial"/>
                <w:color w:val="000000"/>
              </w:rPr>
            </w:pPr>
            <w:r w:rsidRPr="00E65146">
              <w:rPr>
                <w:rFonts w:ascii="Arial" w:hAnsi="Arial" w:cs="Arial"/>
                <w:color w:val="000000"/>
              </w:rPr>
              <w:t>–</w:t>
            </w:r>
          </w:p>
        </w:tc>
        <w:tc>
          <w:tcPr>
            <w:tcW w:w="6390" w:type="dxa"/>
          </w:tcPr>
          <w:p w:rsidR="00A91ABD" w:rsidRPr="00E65146" w:rsidRDefault="00A91ABD" w:rsidP="00151AC6">
            <w:pPr>
              <w:jc w:val="both"/>
              <w:rPr>
                <w:rFonts w:ascii="Arial" w:hAnsi="Arial" w:cs="Arial"/>
                <w:color w:val="000000"/>
              </w:rPr>
            </w:pPr>
            <w:r w:rsidRPr="00E65146">
              <w:rPr>
                <w:rFonts w:ascii="Arial" w:hAnsi="Arial" w:cs="Arial"/>
                <w:color w:val="000000"/>
              </w:rPr>
              <w:t>Ministry of Health</w:t>
            </w:r>
          </w:p>
        </w:tc>
      </w:tr>
      <w:tr w:rsidR="00A91ABD" w:rsidRPr="00E65146" w:rsidTr="00827913">
        <w:tc>
          <w:tcPr>
            <w:tcW w:w="1188" w:type="dxa"/>
          </w:tcPr>
          <w:p w:rsidR="00A91ABD" w:rsidRPr="00E65146" w:rsidRDefault="00A91ABD" w:rsidP="00151AC6">
            <w:pPr>
              <w:jc w:val="both"/>
              <w:rPr>
                <w:rFonts w:ascii="Arial" w:hAnsi="Arial" w:cs="Arial"/>
                <w:color w:val="000000"/>
              </w:rPr>
            </w:pPr>
          </w:p>
        </w:tc>
        <w:tc>
          <w:tcPr>
            <w:tcW w:w="1170" w:type="dxa"/>
          </w:tcPr>
          <w:p w:rsidR="00A91ABD" w:rsidRPr="00E65146" w:rsidRDefault="00A91ABD" w:rsidP="00151AC6">
            <w:pPr>
              <w:jc w:val="both"/>
              <w:rPr>
                <w:rFonts w:ascii="Arial" w:hAnsi="Arial" w:cs="Arial"/>
                <w:color w:val="000000"/>
              </w:rPr>
            </w:pPr>
            <w:r w:rsidRPr="00E65146">
              <w:rPr>
                <w:rFonts w:ascii="Arial" w:hAnsi="Arial" w:cs="Arial"/>
                <w:color w:val="000000"/>
              </w:rPr>
              <w:t>MPI</w:t>
            </w:r>
          </w:p>
        </w:tc>
        <w:tc>
          <w:tcPr>
            <w:tcW w:w="990" w:type="dxa"/>
          </w:tcPr>
          <w:p w:rsidR="00A91ABD" w:rsidRPr="00E65146" w:rsidRDefault="00A91ABD" w:rsidP="00151AC6">
            <w:pPr>
              <w:jc w:val="both"/>
              <w:rPr>
                <w:rFonts w:ascii="Arial" w:hAnsi="Arial" w:cs="Arial"/>
                <w:color w:val="000000"/>
              </w:rPr>
            </w:pPr>
            <w:r w:rsidRPr="00E65146">
              <w:rPr>
                <w:rFonts w:ascii="Arial" w:hAnsi="Arial" w:cs="Arial"/>
                <w:color w:val="000000"/>
              </w:rPr>
              <w:t>–</w:t>
            </w:r>
          </w:p>
        </w:tc>
        <w:tc>
          <w:tcPr>
            <w:tcW w:w="6390" w:type="dxa"/>
          </w:tcPr>
          <w:p w:rsidR="00A91ABD" w:rsidRPr="00E65146" w:rsidRDefault="00A91ABD" w:rsidP="00151AC6">
            <w:pPr>
              <w:jc w:val="both"/>
              <w:rPr>
                <w:rFonts w:ascii="Arial" w:hAnsi="Arial" w:cs="Arial"/>
                <w:color w:val="000000"/>
              </w:rPr>
            </w:pPr>
            <w:r w:rsidRPr="00E65146">
              <w:rPr>
                <w:rFonts w:ascii="Arial" w:hAnsi="Arial" w:cs="Arial"/>
                <w:color w:val="000000"/>
              </w:rPr>
              <w:t>Ministry of Planning and Investment</w:t>
            </w:r>
          </w:p>
        </w:tc>
      </w:tr>
      <w:tr w:rsidR="00A91ABD" w:rsidRPr="00E65146" w:rsidTr="00827913">
        <w:tc>
          <w:tcPr>
            <w:tcW w:w="1188" w:type="dxa"/>
          </w:tcPr>
          <w:p w:rsidR="00A91ABD" w:rsidRPr="00E65146" w:rsidRDefault="00A91ABD" w:rsidP="00151AC6">
            <w:pPr>
              <w:jc w:val="both"/>
              <w:rPr>
                <w:rFonts w:ascii="Arial" w:hAnsi="Arial" w:cs="Arial"/>
                <w:color w:val="000000"/>
              </w:rPr>
            </w:pPr>
          </w:p>
        </w:tc>
        <w:tc>
          <w:tcPr>
            <w:tcW w:w="1170" w:type="dxa"/>
          </w:tcPr>
          <w:p w:rsidR="00A91ABD" w:rsidRPr="00E65146" w:rsidRDefault="00A91ABD" w:rsidP="00151AC6">
            <w:pPr>
              <w:jc w:val="both"/>
              <w:rPr>
                <w:rFonts w:ascii="Arial" w:hAnsi="Arial" w:cs="Arial"/>
                <w:color w:val="000000"/>
              </w:rPr>
            </w:pPr>
            <w:r w:rsidRPr="00E65146">
              <w:rPr>
                <w:rFonts w:ascii="Arial" w:hAnsi="Arial" w:cs="Arial"/>
                <w:color w:val="000000"/>
              </w:rPr>
              <w:t>MTR</w:t>
            </w:r>
          </w:p>
        </w:tc>
        <w:tc>
          <w:tcPr>
            <w:tcW w:w="990" w:type="dxa"/>
          </w:tcPr>
          <w:p w:rsidR="00A91ABD" w:rsidRPr="00E65146" w:rsidRDefault="00A91ABD" w:rsidP="00151AC6">
            <w:pPr>
              <w:jc w:val="both"/>
              <w:rPr>
                <w:rFonts w:ascii="Arial" w:hAnsi="Arial" w:cs="Arial"/>
                <w:color w:val="000000"/>
              </w:rPr>
            </w:pPr>
            <w:r w:rsidRPr="00E65146">
              <w:rPr>
                <w:rFonts w:ascii="Arial" w:hAnsi="Arial" w:cs="Arial"/>
                <w:color w:val="000000"/>
              </w:rPr>
              <w:t>–</w:t>
            </w:r>
          </w:p>
        </w:tc>
        <w:tc>
          <w:tcPr>
            <w:tcW w:w="6390" w:type="dxa"/>
          </w:tcPr>
          <w:p w:rsidR="00A91ABD" w:rsidRPr="00E65146" w:rsidRDefault="00C87F50" w:rsidP="00151AC6">
            <w:pPr>
              <w:jc w:val="both"/>
              <w:rPr>
                <w:rFonts w:ascii="Arial" w:hAnsi="Arial" w:cs="Arial"/>
                <w:color w:val="000000"/>
              </w:rPr>
            </w:pPr>
            <w:r>
              <w:rPr>
                <w:rFonts w:ascii="Arial" w:hAnsi="Arial" w:cs="Arial"/>
                <w:color w:val="000000"/>
              </w:rPr>
              <w:t>m</w:t>
            </w:r>
            <w:r w:rsidR="00A91ABD" w:rsidRPr="00E65146">
              <w:rPr>
                <w:rFonts w:ascii="Arial" w:hAnsi="Arial" w:cs="Arial"/>
                <w:color w:val="000000"/>
              </w:rPr>
              <w:t>id-ter</w:t>
            </w:r>
            <w:r w:rsidR="007E3E90">
              <w:rPr>
                <w:rFonts w:ascii="Arial" w:hAnsi="Arial" w:cs="Arial"/>
                <w:color w:val="000000"/>
              </w:rPr>
              <w:t>m</w:t>
            </w:r>
            <w:r w:rsidR="00A91ABD" w:rsidRPr="00E65146">
              <w:rPr>
                <w:rFonts w:ascii="Arial" w:hAnsi="Arial" w:cs="Arial"/>
                <w:color w:val="000000"/>
              </w:rPr>
              <w:t xml:space="preserve"> review</w:t>
            </w:r>
          </w:p>
        </w:tc>
      </w:tr>
      <w:tr w:rsidR="00A91ABD" w:rsidRPr="00E65146" w:rsidTr="00827913">
        <w:tc>
          <w:tcPr>
            <w:tcW w:w="1188" w:type="dxa"/>
          </w:tcPr>
          <w:p w:rsidR="00A91ABD" w:rsidRPr="00E65146" w:rsidRDefault="00A91ABD" w:rsidP="00151AC6">
            <w:pPr>
              <w:jc w:val="both"/>
              <w:rPr>
                <w:rFonts w:ascii="Arial" w:hAnsi="Arial" w:cs="Arial"/>
                <w:color w:val="000000"/>
              </w:rPr>
            </w:pPr>
          </w:p>
        </w:tc>
        <w:tc>
          <w:tcPr>
            <w:tcW w:w="1170" w:type="dxa"/>
          </w:tcPr>
          <w:p w:rsidR="00A91ABD" w:rsidRPr="00E65146" w:rsidRDefault="00A91ABD" w:rsidP="00151AC6">
            <w:pPr>
              <w:jc w:val="both"/>
              <w:rPr>
                <w:rFonts w:ascii="Arial" w:hAnsi="Arial" w:cs="Arial"/>
                <w:color w:val="000000"/>
              </w:rPr>
            </w:pPr>
            <w:r w:rsidRPr="00E65146">
              <w:rPr>
                <w:rFonts w:ascii="Arial" w:hAnsi="Arial" w:cs="Arial"/>
                <w:color w:val="000000"/>
              </w:rPr>
              <w:t>PAM</w:t>
            </w:r>
          </w:p>
        </w:tc>
        <w:tc>
          <w:tcPr>
            <w:tcW w:w="990" w:type="dxa"/>
          </w:tcPr>
          <w:p w:rsidR="00A91ABD" w:rsidRPr="00E65146" w:rsidRDefault="00A91ABD" w:rsidP="00151AC6">
            <w:pPr>
              <w:jc w:val="both"/>
              <w:rPr>
                <w:rFonts w:ascii="Arial" w:hAnsi="Arial" w:cs="Arial"/>
                <w:color w:val="000000"/>
              </w:rPr>
            </w:pPr>
            <w:r w:rsidRPr="00E65146">
              <w:rPr>
                <w:rFonts w:ascii="Arial" w:hAnsi="Arial" w:cs="Arial"/>
                <w:color w:val="000000"/>
              </w:rPr>
              <w:t>–</w:t>
            </w:r>
          </w:p>
        </w:tc>
        <w:tc>
          <w:tcPr>
            <w:tcW w:w="6390" w:type="dxa"/>
          </w:tcPr>
          <w:p w:rsidR="00A91ABD" w:rsidRPr="00E65146" w:rsidRDefault="00C87F50" w:rsidP="00151AC6">
            <w:pPr>
              <w:jc w:val="both"/>
              <w:rPr>
                <w:rFonts w:ascii="Arial" w:hAnsi="Arial" w:cs="Arial"/>
                <w:color w:val="000000"/>
              </w:rPr>
            </w:pPr>
            <w:r>
              <w:rPr>
                <w:rFonts w:ascii="Arial" w:hAnsi="Arial" w:cs="Arial"/>
                <w:szCs w:val="16"/>
              </w:rPr>
              <w:t>p</w:t>
            </w:r>
            <w:r w:rsidR="00A91ABD" w:rsidRPr="00E65146">
              <w:rPr>
                <w:rFonts w:ascii="Arial" w:hAnsi="Arial" w:cs="Arial"/>
                <w:szCs w:val="16"/>
              </w:rPr>
              <w:t xml:space="preserve">roject </w:t>
            </w:r>
            <w:r w:rsidR="009D0F54">
              <w:rPr>
                <w:rFonts w:ascii="Arial" w:hAnsi="Arial" w:cs="Arial"/>
                <w:szCs w:val="16"/>
              </w:rPr>
              <w:t>a</w:t>
            </w:r>
            <w:r w:rsidR="00A91ABD" w:rsidRPr="00E65146">
              <w:rPr>
                <w:rFonts w:ascii="Arial" w:hAnsi="Arial" w:cs="Arial"/>
                <w:szCs w:val="16"/>
              </w:rPr>
              <w:t xml:space="preserve">dministration </w:t>
            </w:r>
            <w:r w:rsidR="009D0F54">
              <w:rPr>
                <w:rFonts w:ascii="Arial" w:hAnsi="Arial" w:cs="Arial"/>
                <w:szCs w:val="16"/>
              </w:rPr>
              <w:t>m</w:t>
            </w:r>
            <w:r w:rsidR="00A91ABD" w:rsidRPr="00E65146">
              <w:rPr>
                <w:rFonts w:ascii="Arial" w:hAnsi="Arial" w:cs="Arial"/>
                <w:szCs w:val="16"/>
              </w:rPr>
              <w:t>anual</w:t>
            </w:r>
          </w:p>
        </w:tc>
      </w:tr>
      <w:tr w:rsidR="00F00761" w:rsidRPr="00E65146" w:rsidTr="00827913">
        <w:tc>
          <w:tcPr>
            <w:tcW w:w="1188" w:type="dxa"/>
          </w:tcPr>
          <w:p w:rsidR="00F00761" w:rsidRPr="00E65146" w:rsidRDefault="00F00761" w:rsidP="00151AC6">
            <w:pPr>
              <w:jc w:val="both"/>
              <w:rPr>
                <w:rFonts w:ascii="Arial" w:hAnsi="Arial" w:cs="Arial"/>
                <w:color w:val="000000"/>
              </w:rPr>
            </w:pPr>
          </w:p>
        </w:tc>
        <w:tc>
          <w:tcPr>
            <w:tcW w:w="1170" w:type="dxa"/>
          </w:tcPr>
          <w:p w:rsidR="00F00761" w:rsidRPr="00E65146" w:rsidRDefault="00F00761" w:rsidP="00151AC6">
            <w:pPr>
              <w:jc w:val="both"/>
              <w:rPr>
                <w:rFonts w:ascii="Arial" w:hAnsi="Arial" w:cs="Arial"/>
                <w:color w:val="000000"/>
              </w:rPr>
            </w:pPr>
            <w:r>
              <w:rPr>
                <w:rFonts w:ascii="Arial" w:hAnsi="Arial" w:cs="Arial"/>
                <w:color w:val="000000"/>
              </w:rPr>
              <w:t>PIU</w:t>
            </w:r>
          </w:p>
        </w:tc>
        <w:tc>
          <w:tcPr>
            <w:tcW w:w="990" w:type="dxa"/>
          </w:tcPr>
          <w:p w:rsidR="00F00761" w:rsidRPr="00E65146" w:rsidRDefault="00F00761" w:rsidP="00151AC6">
            <w:pPr>
              <w:jc w:val="both"/>
              <w:rPr>
                <w:rFonts w:ascii="Arial" w:hAnsi="Arial" w:cs="Arial"/>
                <w:color w:val="000000"/>
              </w:rPr>
            </w:pPr>
            <w:r w:rsidRPr="00E65146">
              <w:rPr>
                <w:rFonts w:ascii="Arial" w:hAnsi="Arial" w:cs="Arial"/>
                <w:color w:val="000000"/>
              </w:rPr>
              <w:t>–</w:t>
            </w:r>
          </w:p>
        </w:tc>
        <w:tc>
          <w:tcPr>
            <w:tcW w:w="6390" w:type="dxa"/>
          </w:tcPr>
          <w:p w:rsidR="00F00761" w:rsidRPr="00E65146" w:rsidRDefault="00C87F50" w:rsidP="00151AC6">
            <w:pPr>
              <w:jc w:val="both"/>
              <w:rPr>
                <w:rFonts w:ascii="Arial" w:hAnsi="Arial" w:cs="Arial"/>
                <w:color w:val="000000"/>
              </w:rPr>
            </w:pPr>
            <w:r>
              <w:rPr>
                <w:rFonts w:ascii="Arial" w:hAnsi="Arial" w:cs="Arial"/>
                <w:color w:val="000000"/>
              </w:rPr>
              <w:t>p</w:t>
            </w:r>
            <w:r w:rsidR="00F00761">
              <w:rPr>
                <w:rFonts w:ascii="Arial" w:hAnsi="Arial" w:cs="Arial"/>
                <w:color w:val="000000"/>
              </w:rPr>
              <w:t>roject implementation unit</w:t>
            </w:r>
          </w:p>
        </w:tc>
      </w:tr>
      <w:tr w:rsidR="00A91ABD" w:rsidRPr="00E65146" w:rsidTr="00827913">
        <w:tc>
          <w:tcPr>
            <w:tcW w:w="1188" w:type="dxa"/>
          </w:tcPr>
          <w:p w:rsidR="00A91ABD" w:rsidRPr="00E65146" w:rsidRDefault="00A91ABD" w:rsidP="00151AC6">
            <w:pPr>
              <w:jc w:val="both"/>
              <w:rPr>
                <w:rFonts w:ascii="Arial" w:hAnsi="Arial" w:cs="Arial"/>
                <w:color w:val="000000"/>
              </w:rPr>
            </w:pPr>
          </w:p>
        </w:tc>
        <w:tc>
          <w:tcPr>
            <w:tcW w:w="1170" w:type="dxa"/>
          </w:tcPr>
          <w:p w:rsidR="00A91ABD" w:rsidRPr="00E65146" w:rsidRDefault="00A91ABD" w:rsidP="00151AC6">
            <w:pPr>
              <w:jc w:val="both"/>
              <w:rPr>
                <w:rFonts w:ascii="Arial" w:hAnsi="Arial" w:cs="Arial"/>
                <w:color w:val="000000"/>
              </w:rPr>
            </w:pPr>
            <w:r w:rsidRPr="00E65146">
              <w:rPr>
                <w:rFonts w:ascii="Arial" w:hAnsi="Arial" w:cs="Arial"/>
                <w:color w:val="000000"/>
              </w:rPr>
              <w:t>PMU</w:t>
            </w:r>
          </w:p>
        </w:tc>
        <w:tc>
          <w:tcPr>
            <w:tcW w:w="990" w:type="dxa"/>
          </w:tcPr>
          <w:p w:rsidR="00A91ABD" w:rsidRPr="00E65146" w:rsidRDefault="00A91ABD" w:rsidP="00151AC6">
            <w:pPr>
              <w:jc w:val="both"/>
              <w:rPr>
                <w:rFonts w:ascii="Arial" w:hAnsi="Arial" w:cs="Arial"/>
                <w:color w:val="000000"/>
              </w:rPr>
            </w:pPr>
            <w:r w:rsidRPr="00E65146">
              <w:rPr>
                <w:rFonts w:ascii="Arial" w:hAnsi="Arial" w:cs="Arial"/>
                <w:color w:val="000000"/>
              </w:rPr>
              <w:t>–</w:t>
            </w:r>
          </w:p>
        </w:tc>
        <w:tc>
          <w:tcPr>
            <w:tcW w:w="6390" w:type="dxa"/>
          </w:tcPr>
          <w:p w:rsidR="00A91ABD" w:rsidRPr="00E65146" w:rsidRDefault="00C87F50" w:rsidP="00151AC6">
            <w:pPr>
              <w:jc w:val="both"/>
              <w:rPr>
                <w:rFonts w:ascii="Arial" w:hAnsi="Arial" w:cs="Arial"/>
                <w:color w:val="000000"/>
              </w:rPr>
            </w:pPr>
            <w:r>
              <w:rPr>
                <w:rFonts w:ascii="Arial" w:hAnsi="Arial" w:cs="Arial"/>
                <w:color w:val="000000"/>
              </w:rPr>
              <w:t>p</w:t>
            </w:r>
            <w:r w:rsidR="00A91ABD" w:rsidRPr="00E65146">
              <w:rPr>
                <w:rFonts w:ascii="Arial" w:hAnsi="Arial" w:cs="Arial"/>
                <w:color w:val="000000"/>
              </w:rPr>
              <w:t>roject management unit</w:t>
            </w:r>
          </w:p>
        </w:tc>
      </w:tr>
      <w:tr w:rsidR="00A91ABD" w:rsidRPr="00E65146" w:rsidTr="00827913">
        <w:tc>
          <w:tcPr>
            <w:tcW w:w="1188" w:type="dxa"/>
          </w:tcPr>
          <w:p w:rsidR="00A91ABD" w:rsidRPr="00E65146" w:rsidRDefault="00A91ABD" w:rsidP="00151AC6">
            <w:pPr>
              <w:jc w:val="both"/>
              <w:rPr>
                <w:rFonts w:ascii="Arial" w:hAnsi="Arial" w:cs="Arial"/>
                <w:color w:val="000000"/>
              </w:rPr>
            </w:pPr>
          </w:p>
        </w:tc>
        <w:tc>
          <w:tcPr>
            <w:tcW w:w="1170" w:type="dxa"/>
          </w:tcPr>
          <w:p w:rsidR="00A91ABD" w:rsidRPr="00E65146" w:rsidRDefault="00A91ABD" w:rsidP="00151AC6">
            <w:pPr>
              <w:jc w:val="both"/>
              <w:rPr>
                <w:rFonts w:ascii="Arial" w:hAnsi="Arial" w:cs="Arial"/>
                <w:color w:val="000000"/>
              </w:rPr>
            </w:pPr>
            <w:r w:rsidRPr="00E65146">
              <w:rPr>
                <w:rFonts w:ascii="Arial" w:hAnsi="Arial" w:cs="Arial"/>
                <w:color w:val="000000"/>
              </w:rPr>
              <w:t>PPM</w:t>
            </w:r>
            <w:r w:rsidR="00146235">
              <w:rPr>
                <w:rFonts w:ascii="Arial" w:hAnsi="Arial" w:cs="Arial"/>
                <w:color w:val="000000"/>
              </w:rPr>
              <w:t>E</w:t>
            </w:r>
            <w:r w:rsidRPr="00E65146">
              <w:rPr>
                <w:rFonts w:ascii="Arial" w:hAnsi="Arial" w:cs="Arial"/>
                <w:color w:val="000000"/>
              </w:rPr>
              <w:t>S</w:t>
            </w:r>
          </w:p>
        </w:tc>
        <w:tc>
          <w:tcPr>
            <w:tcW w:w="990" w:type="dxa"/>
          </w:tcPr>
          <w:p w:rsidR="00A91ABD" w:rsidRPr="00E65146" w:rsidRDefault="00A91ABD" w:rsidP="00151AC6">
            <w:pPr>
              <w:jc w:val="both"/>
              <w:rPr>
                <w:rFonts w:ascii="Arial" w:hAnsi="Arial" w:cs="Arial"/>
                <w:color w:val="000000"/>
              </w:rPr>
            </w:pPr>
            <w:r w:rsidRPr="00E65146">
              <w:rPr>
                <w:rFonts w:ascii="Arial" w:hAnsi="Arial" w:cs="Arial"/>
                <w:color w:val="000000"/>
              </w:rPr>
              <w:t>–</w:t>
            </w:r>
          </w:p>
        </w:tc>
        <w:tc>
          <w:tcPr>
            <w:tcW w:w="6390" w:type="dxa"/>
          </w:tcPr>
          <w:p w:rsidR="00A91ABD" w:rsidRPr="00E65146" w:rsidRDefault="00C87F50" w:rsidP="006A31EE">
            <w:pPr>
              <w:jc w:val="both"/>
              <w:rPr>
                <w:rFonts w:ascii="Arial" w:hAnsi="Arial" w:cs="Arial"/>
                <w:color w:val="000000"/>
              </w:rPr>
            </w:pPr>
            <w:r>
              <w:rPr>
                <w:rFonts w:ascii="Arial" w:hAnsi="Arial" w:cs="Arial"/>
                <w:color w:val="000000"/>
              </w:rPr>
              <w:t>p</w:t>
            </w:r>
            <w:r w:rsidR="00162F96">
              <w:rPr>
                <w:rFonts w:ascii="Arial" w:hAnsi="Arial" w:cs="Arial"/>
                <w:color w:val="000000"/>
              </w:rPr>
              <w:t xml:space="preserve">rogram/project </w:t>
            </w:r>
            <w:r w:rsidR="00A91ABD" w:rsidRPr="00E65146">
              <w:rPr>
                <w:rFonts w:ascii="Arial" w:hAnsi="Arial" w:cs="Arial"/>
                <w:color w:val="000000"/>
              </w:rPr>
              <w:t xml:space="preserve">performance </w:t>
            </w:r>
            <w:r w:rsidR="00146235" w:rsidRPr="00E65146">
              <w:rPr>
                <w:rFonts w:ascii="Arial" w:hAnsi="Arial" w:cs="Arial"/>
                <w:color w:val="000000"/>
              </w:rPr>
              <w:t>m</w:t>
            </w:r>
            <w:r w:rsidR="00146235">
              <w:rPr>
                <w:rFonts w:ascii="Arial" w:hAnsi="Arial" w:cs="Arial"/>
                <w:color w:val="000000"/>
              </w:rPr>
              <w:t>onitoring and evaluation</w:t>
            </w:r>
            <w:r w:rsidR="00146235" w:rsidRPr="00E65146">
              <w:rPr>
                <w:rFonts w:ascii="Arial" w:hAnsi="Arial" w:cs="Arial"/>
                <w:color w:val="000000"/>
              </w:rPr>
              <w:t xml:space="preserve"> </w:t>
            </w:r>
            <w:r w:rsidR="00A91ABD" w:rsidRPr="00E65146">
              <w:rPr>
                <w:rFonts w:ascii="Arial" w:hAnsi="Arial" w:cs="Arial"/>
                <w:color w:val="000000"/>
              </w:rPr>
              <w:t>system</w:t>
            </w:r>
          </w:p>
        </w:tc>
      </w:tr>
      <w:tr w:rsidR="00A91ABD" w:rsidRPr="00E65146" w:rsidTr="00827913">
        <w:tc>
          <w:tcPr>
            <w:tcW w:w="1188" w:type="dxa"/>
          </w:tcPr>
          <w:p w:rsidR="00A91ABD" w:rsidRPr="00E65146" w:rsidRDefault="00A91ABD" w:rsidP="00151AC6">
            <w:pPr>
              <w:jc w:val="both"/>
              <w:rPr>
                <w:rFonts w:ascii="Arial" w:hAnsi="Arial" w:cs="Arial"/>
                <w:color w:val="000000"/>
              </w:rPr>
            </w:pPr>
          </w:p>
        </w:tc>
        <w:tc>
          <w:tcPr>
            <w:tcW w:w="1170" w:type="dxa"/>
          </w:tcPr>
          <w:p w:rsidR="00A91ABD" w:rsidRPr="00E65146" w:rsidRDefault="00A91ABD" w:rsidP="00151AC6">
            <w:pPr>
              <w:jc w:val="both"/>
              <w:rPr>
                <w:rFonts w:ascii="Arial" w:hAnsi="Arial" w:cs="Arial"/>
                <w:color w:val="000000"/>
              </w:rPr>
            </w:pPr>
            <w:r w:rsidRPr="00E65146">
              <w:rPr>
                <w:rFonts w:ascii="Arial" w:hAnsi="Arial" w:cs="Arial"/>
                <w:color w:val="000000"/>
              </w:rPr>
              <w:t>PPTA</w:t>
            </w:r>
          </w:p>
        </w:tc>
        <w:tc>
          <w:tcPr>
            <w:tcW w:w="990" w:type="dxa"/>
          </w:tcPr>
          <w:p w:rsidR="00A91ABD" w:rsidRPr="00E65146" w:rsidRDefault="00A91ABD" w:rsidP="00151AC6">
            <w:pPr>
              <w:jc w:val="both"/>
              <w:rPr>
                <w:rFonts w:ascii="Arial" w:hAnsi="Arial" w:cs="Arial"/>
                <w:color w:val="000000"/>
              </w:rPr>
            </w:pPr>
            <w:r w:rsidRPr="00E65146">
              <w:rPr>
                <w:rFonts w:ascii="Arial" w:hAnsi="Arial" w:cs="Arial"/>
                <w:color w:val="000000"/>
              </w:rPr>
              <w:t>–</w:t>
            </w:r>
          </w:p>
        </w:tc>
        <w:tc>
          <w:tcPr>
            <w:tcW w:w="6390" w:type="dxa"/>
          </w:tcPr>
          <w:p w:rsidR="00A91ABD" w:rsidRPr="00E65146" w:rsidRDefault="00C87F50" w:rsidP="00151AC6">
            <w:pPr>
              <w:jc w:val="both"/>
              <w:rPr>
                <w:rFonts w:ascii="Arial" w:hAnsi="Arial" w:cs="Arial"/>
                <w:color w:val="000000"/>
              </w:rPr>
            </w:pPr>
            <w:r>
              <w:rPr>
                <w:rFonts w:ascii="Arial" w:hAnsi="Arial" w:cs="Arial"/>
                <w:color w:val="000000"/>
              </w:rPr>
              <w:t>p</w:t>
            </w:r>
            <w:r w:rsidR="00A91ABD" w:rsidRPr="00E65146">
              <w:rPr>
                <w:rFonts w:ascii="Arial" w:hAnsi="Arial" w:cs="Arial"/>
                <w:color w:val="000000"/>
              </w:rPr>
              <w:t>roject preparatory technical assistance</w:t>
            </w:r>
          </w:p>
        </w:tc>
      </w:tr>
      <w:tr w:rsidR="00A91ABD" w:rsidRPr="00E65146" w:rsidTr="00827913">
        <w:tc>
          <w:tcPr>
            <w:tcW w:w="1188" w:type="dxa"/>
          </w:tcPr>
          <w:p w:rsidR="00A91ABD" w:rsidRPr="00E65146" w:rsidRDefault="00A91ABD" w:rsidP="00151AC6">
            <w:pPr>
              <w:jc w:val="both"/>
              <w:rPr>
                <w:rFonts w:ascii="Arial" w:hAnsi="Arial" w:cs="Arial"/>
                <w:color w:val="000000"/>
              </w:rPr>
            </w:pPr>
          </w:p>
        </w:tc>
        <w:tc>
          <w:tcPr>
            <w:tcW w:w="1170" w:type="dxa"/>
          </w:tcPr>
          <w:p w:rsidR="00A91ABD" w:rsidRPr="00E65146" w:rsidRDefault="00A91ABD" w:rsidP="00151AC6">
            <w:pPr>
              <w:jc w:val="both"/>
              <w:rPr>
                <w:rFonts w:ascii="Arial" w:hAnsi="Arial" w:cs="Arial"/>
                <w:color w:val="000000"/>
              </w:rPr>
            </w:pPr>
            <w:r w:rsidRPr="00E65146">
              <w:rPr>
                <w:rFonts w:ascii="Arial" w:hAnsi="Arial" w:cs="Arial"/>
                <w:color w:val="000000"/>
              </w:rPr>
              <w:t>RRP</w:t>
            </w:r>
          </w:p>
        </w:tc>
        <w:tc>
          <w:tcPr>
            <w:tcW w:w="990" w:type="dxa"/>
          </w:tcPr>
          <w:p w:rsidR="00A91ABD" w:rsidRPr="00E65146" w:rsidRDefault="00A91ABD" w:rsidP="00151AC6">
            <w:pPr>
              <w:jc w:val="both"/>
              <w:rPr>
                <w:rFonts w:ascii="Arial" w:hAnsi="Arial" w:cs="Arial"/>
                <w:color w:val="000000"/>
              </w:rPr>
            </w:pPr>
            <w:r w:rsidRPr="00E65146">
              <w:rPr>
                <w:rFonts w:ascii="Arial" w:hAnsi="Arial" w:cs="Arial"/>
                <w:color w:val="000000"/>
              </w:rPr>
              <w:t>–</w:t>
            </w:r>
          </w:p>
        </w:tc>
        <w:tc>
          <w:tcPr>
            <w:tcW w:w="6390" w:type="dxa"/>
          </w:tcPr>
          <w:p w:rsidR="00A91ABD" w:rsidRPr="00E65146" w:rsidRDefault="00A91ABD" w:rsidP="00151AC6">
            <w:pPr>
              <w:jc w:val="both"/>
              <w:rPr>
                <w:rFonts w:ascii="Arial" w:hAnsi="Arial" w:cs="Arial"/>
                <w:color w:val="000000"/>
              </w:rPr>
            </w:pPr>
            <w:r w:rsidRPr="00E65146">
              <w:rPr>
                <w:rFonts w:ascii="Arial" w:hAnsi="Arial" w:cs="Arial"/>
                <w:szCs w:val="16"/>
              </w:rPr>
              <w:t>Report and Recommendations of the President</w:t>
            </w:r>
          </w:p>
        </w:tc>
      </w:tr>
      <w:tr w:rsidR="00633B6F" w:rsidRPr="00E65146" w:rsidTr="00827913">
        <w:tc>
          <w:tcPr>
            <w:tcW w:w="1188" w:type="dxa"/>
          </w:tcPr>
          <w:p w:rsidR="00633B6F" w:rsidRPr="00E65146" w:rsidRDefault="00633B6F" w:rsidP="00151AC6">
            <w:pPr>
              <w:jc w:val="both"/>
              <w:rPr>
                <w:rFonts w:ascii="Arial" w:hAnsi="Arial" w:cs="Arial"/>
                <w:color w:val="000000"/>
              </w:rPr>
            </w:pPr>
          </w:p>
        </w:tc>
        <w:tc>
          <w:tcPr>
            <w:tcW w:w="1170" w:type="dxa"/>
          </w:tcPr>
          <w:p w:rsidR="00633B6F" w:rsidRDefault="00633B6F" w:rsidP="00151AC6">
            <w:pPr>
              <w:jc w:val="both"/>
              <w:rPr>
                <w:rFonts w:ascii="Arial" w:hAnsi="Arial" w:cs="Arial"/>
                <w:color w:val="000000"/>
              </w:rPr>
            </w:pPr>
            <w:r>
              <w:rPr>
                <w:rFonts w:ascii="Arial" w:hAnsi="Arial" w:cs="Arial"/>
                <w:color w:val="000000"/>
              </w:rPr>
              <w:t>ToR</w:t>
            </w:r>
          </w:p>
        </w:tc>
        <w:tc>
          <w:tcPr>
            <w:tcW w:w="990" w:type="dxa"/>
          </w:tcPr>
          <w:p w:rsidR="00633B6F" w:rsidRPr="00E65146" w:rsidRDefault="00633B6F" w:rsidP="00151AC6">
            <w:pPr>
              <w:jc w:val="both"/>
              <w:rPr>
                <w:rFonts w:ascii="Arial" w:hAnsi="Arial" w:cs="Arial"/>
                <w:color w:val="000000"/>
              </w:rPr>
            </w:pPr>
            <w:r w:rsidRPr="00E65146">
              <w:rPr>
                <w:rFonts w:ascii="Arial" w:hAnsi="Arial" w:cs="Arial"/>
                <w:color w:val="000000"/>
              </w:rPr>
              <w:t>–</w:t>
            </w:r>
          </w:p>
        </w:tc>
        <w:tc>
          <w:tcPr>
            <w:tcW w:w="6390" w:type="dxa"/>
          </w:tcPr>
          <w:p w:rsidR="00633B6F" w:rsidRPr="00D33652" w:rsidRDefault="00C87F50" w:rsidP="00151AC6">
            <w:pPr>
              <w:jc w:val="both"/>
              <w:rPr>
                <w:rFonts w:ascii="Arial" w:hAnsi="Arial" w:cs="Arial"/>
              </w:rPr>
            </w:pPr>
            <w:r>
              <w:rPr>
                <w:rFonts w:ascii="Arial" w:hAnsi="Arial" w:cs="Arial"/>
              </w:rPr>
              <w:t>t</w:t>
            </w:r>
            <w:r w:rsidR="00633B6F">
              <w:rPr>
                <w:rFonts w:ascii="Arial" w:hAnsi="Arial" w:cs="Arial"/>
              </w:rPr>
              <w:t xml:space="preserve">erms </w:t>
            </w:r>
            <w:r w:rsidR="00722303">
              <w:rPr>
                <w:rFonts w:ascii="Arial" w:hAnsi="Arial" w:cs="Arial"/>
              </w:rPr>
              <w:t>of r</w:t>
            </w:r>
            <w:r w:rsidR="00633B6F">
              <w:rPr>
                <w:rFonts w:ascii="Arial" w:hAnsi="Arial" w:cs="Arial"/>
              </w:rPr>
              <w:t>eference</w:t>
            </w:r>
          </w:p>
        </w:tc>
      </w:tr>
      <w:tr w:rsidR="00B81303" w:rsidRPr="00E65146" w:rsidTr="00827913">
        <w:tc>
          <w:tcPr>
            <w:tcW w:w="1188" w:type="dxa"/>
          </w:tcPr>
          <w:p w:rsidR="00B81303" w:rsidRPr="00E65146" w:rsidRDefault="00B81303" w:rsidP="00151AC6">
            <w:pPr>
              <w:jc w:val="both"/>
              <w:rPr>
                <w:rFonts w:ascii="Arial" w:hAnsi="Arial" w:cs="Arial"/>
                <w:color w:val="000000"/>
              </w:rPr>
            </w:pPr>
          </w:p>
        </w:tc>
        <w:tc>
          <w:tcPr>
            <w:tcW w:w="1170" w:type="dxa"/>
          </w:tcPr>
          <w:p w:rsidR="00B81303" w:rsidRPr="00E65146" w:rsidRDefault="00B81303" w:rsidP="00151AC6">
            <w:pPr>
              <w:jc w:val="both"/>
              <w:rPr>
                <w:rFonts w:ascii="Arial" w:hAnsi="Arial" w:cs="Arial"/>
                <w:color w:val="000000"/>
              </w:rPr>
            </w:pPr>
            <w:r>
              <w:rPr>
                <w:rFonts w:ascii="Arial" w:hAnsi="Arial" w:cs="Arial"/>
                <w:color w:val="000000"/>
              </w:rPr>
              <w:t>WFME</w:t>
            </w:r>
          </w:p>
        </w:tc>
        <w:tc>
          <w:tcPr>
            <w:tcW w:w="990" w:type="dxa"/>
          </w:tcPr>
          <w:p w:rsidR="00B81303" w:rsidRPr="00E65146" w:rsidRDefault="00B81303" w:rsidP="00151AC6">
            <w:pPr>
              <w:jc w:val="both"/>
              <w:rPr>
                <w:rFonts w:ascii="Arial" w:hAnsi="Arial" w:cs="Arial"/>
                <w:color w:val="000000"/>
              </w:rPr>
            </w:pPr>
            <w:r w:rsidRPr="00E65146">
              <w:rPr>
                <w:rFonts w:ascii="Arial" w:hAnsi="Arial" w:cs="Arial"/>
                <w:color w:val="000000"/>
              </w:rPr>
              <w:t>–</w:t>
            </w:r>
          </w:p>
        </w:tc>
        <w:tc>
          <w:tcPr>
            <w:tcW w:w="6390" w:type="dxa"/>
          </w:tcPr>
          <w:p w:rsidR="00B81303" w:rsidRPr="00E65146" w:rsidRDefault="00B81303" w:rsidP="00151AC6">
            <w:pPr>
              <w:jc w:val="both"/>
              <w:rPr>
                <w:rFonts w:ascii="Arial" w:hAnsi="Arial" w:cs="Arial"/>
                <w:color w:val="000000"/>
              </w:rPr>
            </w:pPr>
            <w:r w:rsidRPr="00D33652">
              <w:rPr>
                <w:rFonts w:ascii="Arial" w:hAnsi="Arial" w:cs="Arial"/>
              </w:rPr>
              <w:t>World Federation for Medical Education</w:t>
            </w:r>
          </w:p>
        </w:tc>
      </w:tr>
      <w:tr w:rsidR="00A91ABD" w:rsidRPr="00E65146" w:rsidTr="00827913">
        <w:tc>
          <w:tcPr>
            <w:tcW w:w="1188" w:type="dxa"/>
          </w:tcPr>
          <w:p w:rsidR="00A91ABD" w:rsidRPr="00E65146" w:rsidRDefault="00A91ABD" w:rsidP="00151AC6">
            <w:pPr>
              <w:jc w:val="both"/>
              <w:rPr>
                <w:rFonts w:ascii="Arial" w:hAnsi="Arial" w:cs="Arial"/>
                <w:color w:val="000000"/>
              </w:rPr>
            </w:pPr>
          </w:p>
        </w:tc>
        <w:tc>
          <w:tcPr>
            <w:tcW w:w="1170" w:type="dxa"/>
          </w:tcPr>
          <w:p w:rsidR="00A91ABD" w:rsidRPr="00E65146" w:rsidRDefault="00A91ABD" w:rsidP="00151AC6">
            <w:pPr>
              <w:jc w:val="both"/>
              <w:rPr>
                <w:rFonts w:ascii="Arial" w:hAnsi="Arial" w:cs="Arial"/>
                <w:color w:val="000000"/>
              </w:rPr>
            </w:pPr>
            <w:r w:rsidRPr="00E65146">
              <w:rPr>
                <w:rFonts w:ascii="Arial" w:hAnsi="Arial" w:cs="Arial"/>
                <w:color w:val="000000"/>
              </w:rPr>
              <w:t>WHO</w:t>
            </w:r>
          </w:p>
        </w:tc>
        <w:tc>
          <w:tcPr>
            <w:tcW w:w="990" w:type="dxa"/>
          </w:tcPr>
          <w:p w:rsidR="00A91ABD" w:rsidRPr="00E65146" w:rsidRDefault="00A91ABD" w:rsidP="00151AC6">
            <w:pPr>
              <w:jc w:val="both"/>
              <w:rPr>
                <w:rFonts w:ascii="Arial" w:hAnsi="Arial" w:cs="Arial"/>
                <w:color w:val="000000"/>
              </w:rPr>
            </w:pPr>
            <w:r w:rsidRPr="00E65146">
              <w:rPr>
                <w:rFonts w:ascii="Arial" w:hAnsi="Arial" w:cs="Arial"/>
                <w:color w:val="000000"/>
              </w:rPr>
              <w:t>–</w:t>
            </w:r>
          </w:p>
        </w:tc>
        <w:tc>
          <w:tcPr>
            <w:tcW w:w="6390" w:type="dxa"/>
          </w:tcPr>
          <w:p w:rsidR="00A91ABD" w:rsidRPr="00E65146" w:rsidRDefault="00A91ABD" w:rsidP="00151AC6">
            <w:pPr>
              <w:jc w:val="both"/>
              <w:rPr>
                <w:rFonts w:ascii="Arial" w:hAnsi="Arial" w:cs="Arial"/>
                <w:color w:val="000000"/>
              </w:rPr>
            </w:pPr>
            <w:r w:rsidRPr="00E65146">
              <w:rPr>
                <w:rFonts w:ascii="Arial" w:hAnsi="Arial" w:cs="Arial"/>
                <w:color w:val="000000"/>
              </w:rPr>
              <w:t>World Health Organization</w:t>
            </w:r>
          </w:p>
        </w:tc>
      </w:tr>
      <w:tr w:rsidR="00630ED9" w:rsidRPr="00E65146" w:rsidTr="00827913">
        <w:tc>
          <w:tcPr>
            <w:tcW w:w="1188" w:type="dxa"/>
          </w:tcPr>
          <w:p w:rsidR="00630ED9" w:rsidRPr="00E65146" w:rsidRDefault="00630ED9" w:rsidP="00151AC6">
            <w:pPr>
              <w:jc w:val="both"/>
              <w:rPr>
                <w:rFonts w:ascii="Arial" w:hAnsi="Arial" w:cs="Arial"/>
                <w:color w:val="000000"/>
              </w:rPr>
            </w:pPr>
          </w:p>
        </w:tc>
        <w:tc>
          <w:tcPr>
            <w:tcW w:w="1170" w:type="dxa"/>
          </w:tcPr>
          <w:p w:rsidR="00630ED9" w:rsidRPr="00E65146" w:rsidRDefault="00630ED9" w:rsidP="00151AC6">
            <w:pPr>
              <w:jc w:val="both"/>
              <w:rPr>
                <w:rFonts w:ascii="Arial" w:hAnsi="Arial" w:cs="Arial"/>
                <w:color w:val="000000"/>
              </w:rPr>
            </w:pPr>
            <w:r>
              <w:rPr>
                <w:rFonts w:ascii="Arial" w:hAnsi="Arial" w:cs="Arial"/>
                <w:color w:val="000000"/>
              </w:rPr>
              <w:t>VDG</w:t>
            </w:r>
          </w:p>
        </w:tc>
        <w:tc>
          <w:tcPr>
            <w:tcW w:w="990" w:type="dxa"/>
          </w:tcPr>
          <w:p w:rsidR="00630ED9" w:rsidRPr="00E65146" w:rsidRDefault="00630ED9" w:rsidP="00151AC6">
            <w:pPr>
              <w:jc w:val="both"/>
              <w:rPr>
                <w:rFonts w:ascii="Arial" w:hAnsi="Arial" w:cs="Arial"/>
                <w:color w:val="000000"/>
              </w:rPr>
            </w:pPr>
            <w:r w:rsidRPr="00E65146">
              <w:rPr>
                <w:rFonts w:ascii="Arial" w:hAnsi="Arial" w:cs="Arial"/>
                <w:color w:val="000000"/>
              </w:rPr>
              <w:t>–</w:t>
            </w:r>
          </w:p>
        </w:tc>
        <w:tc>
          <w:tcPr>
            <w:tcW w:w="6390" w:type="dxa"/>
          </w:tcPr>
          <w:p w:rsidR="00630ED9" w:rsidRPr="00E65146" w:rsidRDefault="0028006A" w:rsidP="00151AC6">
            <w:pPr>
              <w:jc w:val="both"/>
              <w:rPr>
                <w:rFonts w:ascii="Arial" w:hAnsi="Arial" w:cs="Arial"/>
                <w:color w:val="000000"/>
              </w:rPr>
            </w:pPr>
            <w:r>
              <w:rPr>
                <w:rFonts w:ascii="Arial" w:hAnsi="Arial" w:cs="Arial"/>
              </w:rPr>
              <w:t>Viet Nam</w:t>
            </w:r>
            <w:r w:rsidR="00146235">
              <w:rPr>
                <w:rFonts w:ascii="Arial" w:hAnsi="Arial" w:cs="Arial"/>
              </w:rPr>
              <w:t xml:space="preserve"> Development G</w:t>
            </w:r>
            <w:r w:rsidR="00630ED9" w:rsidRPr="00A742BD">
              <w:rPr>
                <w:rFonts w:ascii="Arial" w:hAnsi="Arial" w:cs="Arial"/>
              </w:rPr>
              <w:t>oals</w:t>
            </w:r>
          </w:p>
        </w:tc>
      </w:tr>
      <w:tr w:rsidR="00A91ABD" w:rsidRPr="00E65146" w:rsidTr="00827913">
        <w:tc>
          <w:tcPr>
            <w:tcW w:w="1188" w:type="dxa"/>
          </w:tcPr>
          <w:p w:rsidR="00A91ABD" w:rsidRPr="00E65146" w:rsidRDefault="00A91ABD" w:rsidP="00151AC6">
            <w:pPr>
              <w:jc w:val="both"/>
              <w:rPr>
                <w:rFonts w:ascii="Arial" w:hAnsi="Arial" w:cs="Arial"/>
                <w:color w:val="000000"/>
              </w:rPr>
            </w:pPr>
          </w:p>
        </w:tc>
        <w:tc>
          <w:tcPr>
            <w:tcW w:w="1170" w:type="dxa"/>
          </w:tcPr>
          <w:p w:rsidR="00A91ABD" w:rsidRPr="00E65146" w:rsidRDefault="00A91ABD" w:rsidP="00151AC6">
            <w:pPr>
              <w:jc w:val="both"/>
              <w:rPr>
                <w:rFonts w:ascii="Arial" w:hAnsi="Arial" w:cs="Arial"/>
                <w:color w:val="000000"/>
              </w:rPr>
            </w:pPr>
            <w:r w:rsidRPr="00E65146">
              <w:rPr>
                <w:rFonts w:ascii="Arial" w:hAnsi="Arial" w:cs="Arial"/>
                <w:color w:val="000000"/>
              </w:rPr>
              <w:t>VRM</w:t>
            </w:r>
          </w:p>
        </w:tc>
        <w:tc>
          <w:tcPr>
            <w:tcW w:w="990" w:type="dxa"/>
          </w:tcPr>
          <w:p w:rsidR="00A91ABD" w:rsidRPr="00E65146" w:rsidRDefault="00A91ABD" w:rsidP="00151AC6">
            <w:pPr>
              <w:jc w:val="both"/>
              <w:rPr>
                <w:rFonts w:ascii="Arial" w:hAnsi="Arial" w:cs="Arial"/>
                <w:color w:val="000000"/>
              </w:rPr>
            </w:pPr>
            <w:r w:rsidRPr="00E65146">
              <w:rPr>
                <w:rFonts w:ascii="Arial" w:hAnsi="Arial" w:cs="Arial"/>
                <w:color w:val="000000"/>
              </w:rPr>
              <w:t>–</w:t>
            </w:r>
          </w:p>
        </w:tc>
        <w:tc>
          <w:tcPr>
            <w:tcW w:w="6390" w:type="dxa"/>
          </w:tcPr>
          <w:p w:rsidR="00A91ABD" w:rsidRPr="00E65146" w:rsidRDefault="0028006A" w:rsidP="00151AC6">
            <w:pPr>
              <w:jc w:val="both"/>
              <w:rPr>
                <w:rFonts w:ascii="Arial" w:hAnsi="Arial" w:cs="Arial"/>
                <w:color w:val="000000"/>
              </w:rPr>
            </w:pPr>
            <w:r>
              <w:rPr>
                <w:rFonts w:ascii="Arial" w:hAnsi="Arial" w:cs="Arial"/>
                <w:color w:val="000000"/>
              </w:rPr>
              <w:t>Viet Nam</w:t>
            </w:r>
            <w:r w:rsidR="00A91ABD" w:rsidRPr="00E65146">
              <w:rPr>
                <w:rFonts w:ascii="Arial" w:hAnsi="Arial" w:cs="Arial"/>
                <w:color w:val="000000"/>
              </w:rPr>
              <w:t xml:space="preserve"> Resident Mission</w:t>
            </w:r>
          </w:p>
        </w:tc>
      </w:tr>
      <w:tr w:rsidR="005677D6" w:rsidRPr="00E65146" w:rsidTr="00827913">
        <w:tc>
          <w:tcPr>
            <w:tcW w:w="1188" w:type="dxa"/>
          </w:tcPr>
          <w:p w:rsidR="005677D6" w:rsidRPr="00E65146" w:rsidRDefault="005677D6" w:rsidP="00151AC6">
            <w:pPr>
              <w:jc w:val="both"/>
              <w:rPr>
                <w:rFonts w:ascii="Arial" w:hAnsi="Arial" w:cs="Arial"/>
                <w:color w:val="000000"/>
              </w:rPr>
            </w:pPr>
          </w:p>
        </w:tc>
        <w:tc>
          <w:tcPr>
            <w:tcW w:w="1170" w:type="dxa"/>
          </w:tcPr>
          <w:p w:rsidR="005677D6" w:rsidRPr="00E65146" w:rsidRDefault="005677D6" w:rsidP="00151AC6">
            <w:pPr>
              <w:jc w:val="both"/>
              <w:rPr>
                <w:rFonts w:ascii="Arial" w:hAnsi="Arial" w:cs="Arial"/>
                <w:color w:val="000000"/>
              </w:rPr>
            </w:pPr>
            <w:r>
              <w:rPr>
                <w:rFonts w:ascii="Arial" w:hAnsi="Arial" w:cs="Arial"/>
                <w:color w:val="000000"/>
              </w:rPr>
              <w:t>VSS</w:t>
            </w:r>
          </w:p>
        </w:tc>
        <w:tc>
          <w:tcPr>
            <w:tcW w:w="990" w:type="dxa"/>
          </w:tcPr>
          <w:p w:rsidR="005677D6" w:rsidRPr="00E65146" w:rsidRDefault="005677D6" w:rsidP="00151AC6">
            <w:pPr>
              <w:jc w:val="both"/>
              <w:rPr>
                <w:rFonts w:ascii="Arial" w:hAnsi="Arial" w:cs="Arial"/>
                <w:color w:val="000000"/>
              </w:rPr>
            </w:pPr>
            <w:r w:rsidRPr="00E65146">
              <w:rPr>
                <w:rFonts w:ascii="Arial" w:hAnsi="Arial" w:cs="Arial"/>
                <w:color w:val="000000"/>
              </w:rPr>
              <w:t>–</w:t>
            </w:r>
          </w:p>
        </w:tc>
        <w:tc>
          <w:tcPr>
            <w:tcW w:w="6390" w:type="dxa"/>
          </w:tcPr>
          <w:p w:rsidR="005677D6" w:rsidRPr="00E65146" w:rsidRDefault="0028006A" w:rsidP="00151AC6">
            <w:pPr>
              <w:jc w:val="both"/>
              <w:rPr>
                <w:rFonts w:ascii="Arial" w:hAnsi="Arial" w:cs="Arial"/>
                <w:color w:val="000000"/>
              </w:rPr>
            </w:pPr>
            <w:r>
              <w:rPr>
                <w:rFonts w:ascii="Arial" w:hAnsi="Arial" w:cs="Arial"/>
                <w:color w:val="000000"/>
              </w:rPr>
              <w:t>Viet Nam</w:t>
            </w:r>
            <w:r w:rsidR="005677D6">
              <w:rPr>
                <w:rFonts w:ascii="Arial" w:hAnsi="Arial" w:cs="Arial"/>
                <w:color w:val="000000"/>
              </w:rPr>
              <w:t xml:space="preserve"> Social Security</w:t>
            </w:r>
          </w:p>
        </w:tc>
      </w:tr>
    </w:tbl>
    <w:p w:rsidR="00827913" w:rsidRPr="00E65146" w:rsidRDefault="00827913" w:rsidP="00151AC6">
      <w:pPr>
        <w:jc w:val="both"/>
        <w:rPr>
          <w:rFonts w:ascii="Arial" w:hAnsi="Arial" w:cs="Arial"/>
          <w:b/>
          <w:color w:val="000000"/>
        </w:rPr>
      </w:pPr>
    </w:p>
    <w:bookmarkEnd w:id="1"/>
    <w:p w:rsidR="00A91ABD" w:rsidRPr="00E65146" w:rsidRDefault="00A91ABD" w:rsidP="00D50DA0">
      <w:pPr>
        <w:jc w:val="center"/>
        <w:rPr>
          <w:rFonts w:ascii="Arial" w:hAnsi="Arial" w:cs="Arial"/>
          <w:b/>
          <w:sz w:val="24"/>
          <w:szCs w:val="24"/>
        </w:rPr>
      </w:pPr>
      <w:r w:rsidRPr="00E65146">
        <w:rPr>
          <w:rFonts w:ascii="Arial" w:hAnsi="Arial" w:cs="Arial"/>
          <w:b/>
          <w:sz w:val="24"/>
          <w:szCs w:val="24"/>
        </w:rPr>
        <w:br w:type="page"/>
      </w:r>
      <w:r w:rsidR="00D50DA0">
        <w:rPr>
          <w:rFonts w:ascii="Arial" w:hAnsi="Arial" w:cs="Arial"/>
          <w:b/>
          <w:sz w:val="24"/>
          <w:szCs w:val="24"/>
        </w:rPr>
        <w:t>CONTENTS</w:t>
      </w:r>
      <w:r w:rsidR="00D50DA0">
        <w:rPr>
          <w:rFonts w:ascii="Arial" w:hAnsi="Arial" w:cs="Arial"/>
          <w:b/>
          <w:sz w:val="24"/>
          <w:szCs w:val="24"/>
        </w:rPr>
        <w:tab/>
      </w:r>
    </w:p>
    <w:bookmarkStart w:id="2" w:name="_Toc207171369"/>
    <w:bookmarkStart w:id="3" w:name="_Toc213472683"/>
    <w:p w:rsidR="00B25F63" w:rsidRPr="00745C24" w:rsidRDefault="00F81918">
      <w:pPr>
        <w:pStyle w:val="TOC1"/>
        <w:rPr>
          <w:rFonts w:ascii="Calibri" w:eastAsia="SimSun" w:hAnsi="Calibri" w:cs="Times New Roman"/>
          <w:b w:val="0"/>
          <w:bCs w:val="0"/>
          <w:caps w:val="0"/>
          <w:szCs w:val="22"/>
          <w:lang w:val="en-US" w:eastAsia="zh-CN"/>
        </w:rPr>
      </w:pPr>
      <w:r>
        <w:rPr>
          <w:bCs w:val="0"/>
          <w:caps w:val="0"/>
        </w:rPr>
        <w:fldChar w:fldCharType="begin"/>
      </w:r>
      <w:r>
        <w:rPr>
          <w:bCs w:val="0"/>
          <w:caps w:val="0"/>
        </w:rPr>
        <w:instrText xml:space="preserve"> TOC \o "1-3" \h \z \u </w:instrText>
      </w:r>
      <w:r>
        <w:rPr>
          <w:bCs w:val="0"/>
          <w:caps w:val="0"/>
        </w:rPr>
        <w:fldChar w:fldCharType="separate"/>
      </w:r>
      <w:hyperlink w:anchor="_Toc423359303" w:history="1">
        <w:r w:rsidR="00B25F63" w:rsidRPr="00962705">
          <w:rPr>
            <w:rStyle w:val="Hyperlink"/>
          </w:rPr>
          <w:t>EXECUTIVE SUMMARY</w:t>
        </w:r>
        <w:r w:rsidR="00B25F63">
          <w:rPr>
            <w:webHidden/>
          </w:rPr>
          <w:tab/>
        </w:r>
        <w:r w:rsidR="00B25F63">
          <w:rPr>
            <w:webHidden/>
          </w:rPr>
          <w:fldChar w:fldCharType="begin"/>
        </w:r>
        <w:r w:rsidR="00B25F63">
          <w:rPr>
            <w:webHidden/>
          </w:rPr>
          <w:instrText xml:space="preserve"> PAGEREF _Toc423359303 \h </w:instrText>
        </w:r>
        <w:r w:rsidR="00B25F63">
          <w:rPr>
            <w:webHidden/>
          </w:rPr>
        </w:r>
        <w:r w:rsidR="00B25F63">
          <w:rPr>
            <w:webHidden/>
          </w:rPr>
          <w:fldChar w:fldCharType="separate"/>
        </w:r>
        <w:r w:rsidR="00B545F7">
          <w:rPr>
            <w:webHidden/>
          </w:rPr>
          <w:t>v</w:t>
        </w:r>
        <w:r w:rsidR="00B25F63">
          <w:rPr>
            <w:webHidden/>
          </w:rPr>
          <w:fldChar w:fldCharType="end"/>
        </w:r>
      </w:hyperlink>
    </w:p>
    <w:p w:rsidR="00B25F63" w:rsidRPr="00745C24" w:rsidRDefault="00C05C3D">
      <w:pPr>
        <w:pStyle w:val="TOC2"/>
        <w:rPr>
          <w:rFonts w:ascii="Calibri" w:eastAsia="SimSun" w:hAnsi="Calibri"/>
          <w:noProof/>
          <w:szCs w:val="22"/>
        </w:rPr>
      </w:pPr>
      <w:hyperlink w:anchor="_Toc423359304" w:history="1">
        <w:r w:rsidR="00B25F63" w:rsidRPr="00962705">
          <w:rPr>
            <w:rStyle w:val="Hyperlink"/>
            <w:noProof/>
            <w:lang w:eastAsia="en-US"/>
          </w:rPr>
          <w:t>A.</w:t>
        </w:r>
        <w:r w:rsidR="00B25F63" w:rsidRPr="00745C24">
          <w:rPr>
            <w:rFonts w:ascii="Calibri" w:eastAsia="SimSun" w:hAnsi="Calibri"/>
            <w:noProof/>
            <w:szCs w:val="22"/>
          </w:rPr>
          <w:tab/>
        </w:r>
        <w:r w:rsidR="00B25F63" w:rsidRPr="00962705">
          <w:rPr>
            <w:rStyle w:val="Hyperlink"/>
            <w:noProof/>
            <w:lang w:eastAsia="en-US"/>
          </w:rPr>
          <w:t>Background</w:t>
        </w:r>
        <w:r w:rsidR="00B25F63">
          <w:rPr>
            <w:noProof/>
            <w:webHidden/>
          </w:rPr>
          <w:tab/>
        </w:r>
        <w:r w:rsidR="00B25F63">
          <w:rPr>
            <w:noProof/>
            <w:webHidden/>
          </w:rPr>
          <w:fldChar w:fldCharType="begin"/>
        </w:r>
        <w:r w:rsidR="00B25F63">
          <w:rPr>
            <w:noProof/>
            <w:webHidden/>
          </w:rPr>
          <w:instrText xml:space="preserve"> PAGEREF _Toc423359304 \h </w:instrText>
        </w:r>
        <w:r w:rsidR="00B25F63">
          <w:rPr>
            <w:noProof/>
            <w:webHidden/>
          </w:rPr>
        </w:r>
        <w:r w:rsidR="00B25F63">
          <w:rPr>
            <w:noProof/>
            <w:webHidden/>
          </w:rPr>
          <w:fldChar w:fldCharType="separate"/>
        </w:r>
        <w:r w:rsidR="00B545F7">
          <w:rPr>
            <w:noProof/>
            <w:webHidden/>
          </w:rPr>
          <w:t>v</w:t>
        </w:r>
        <w:r w:rsidR="00B25F63">
          <w:rPr>
            <w:noProof/>
            <w:webHidden/>
          </w:rPr>
          <w:fldChar w:fldCharType="end"/>
        </w:r>
      </w:hyperlink>
    </w:p>
    <w:p w:rsidR="00B25F63" w:rsidRPr="00745C24" w:rsidRDefault="00C05C3D">
      <w:pPr>
        <w:pStyle w:val="TOC2"/>
        <w:rPr>
          <w:rFonts w:ascii="Calibri" w:eastAsia="SimSun" w:hAnsi="Calibri"/>
          <w:noProof/>
          <w:szCs w:val="22"/>
        </w:rPr>
      </w:pPr>
      <w:hyperlink w:anchor="_Toc423359305" w:history="1">
        <w:r w:rsidR="00B25F63" w:rsidRPr="00962705">
          <w:rPr>
            <w:rStyle w:val="Hyperlink"/>
            <w:noProof/>
            <w:lang w:eastAsia="en-US"/>
          </w:rPr>
          <w:t>B.</w:t>
        </w:r>
        <w:r w:rsidR="00B25F63" w:rsidRPr="00745C24">
          <w:rPr>
            <w:rFonts w:ascii="Calibri" w:eastAsia="SimSun" w:hAnsi="Calibri"/>
            <w:noProof/>
            <w:szCs w:val="22"/>
          </w:rPr>
          <w:tab/>
        </w:r>
        <w:r w:rsidR="00B25F63" w:rsidRPr="00962705">
          <w:rPr>
            <w:rStyle w:val="Hyperlink"/>
            <w:noProof/>
            <w:lang w:eastAsia="en-US"/>
          </w:rPr>
          <w:t>Outline of Evaluation Findings</w:t>
        </w:r>
        <w:r w:rsidR="00B25F63">
          <w:rPr>
            <w:noProof/>
            <w:webHidden/>
          </w:rPr>
          <w:tab/>
        </w:r>
        <w:r w:rsidR="00B25F63">
          <w:rPr>
            <w:noProof/>
            <w:webHidden/>
          </w:rPr>
          <w:fldChar w:fldCharType="begin"/>
        </w:r>
        <w:r w:rsidR="00B25F63">
          <w:rPr>
            <w:noProof/>
            <w:webHidden/>
          </w:rPr>
          <w:instrText xml:space="preserve"> PAGEREF _Toc423359305 \h </w:instrText>
        </w:r>
        <w:r w:rsidR="00B25F63">
          <w:rPr>
            <w:noProof/>
            <w:webHidden/>
          </w:rPr>
        </w:r>
        <w:r w:rsidR="00B25F63">
          <w:rPr>
            <w:noProof/>
            <w:webHidden/>
          </w:rPr>
          <w:fldChar w:fldCharType="separate"/>
        </w:r>
        <w:r w:rsidR="00B545F7">
          <w:rPr>
            <w:noProof/>
            <w:webHidden/>
          </w:rPr>
          <w:t>v</w:t>
        </w:r>
        <w:r w:rsidR="00B25F63">
          <w:rPr>
            <w:noProof/>
            <w:webHidden/>
          </w:rPr>
          <w:fldChar w:fldCharType="end"/>
        </w:r>
      </w:hyperlink>
    </w:p>
    <w:p w:rsidR="00B25F63" w:rsidRPr="00745C24" w:rsidRDefault="00C05C3D">
      <w:pPr>
        <w:pStyle w:val="TOC2"/>
        <w:rPr>
          <w:rFonts w:ascii="Calibri" w:eastAsia="SimSun" w:hAnsi="Calibri"/>
          <w:noProof/>
          <w:szCs w:val="22"/>
        </w:rPr>
      </w:pPr>
      <w:hyperlink w:anchor="_Toc423359306" w:history="1">
        <w:r w:rsidR="00B25F63" w:rsidRPr="00962705">
          <w:rPr>
            <w:rStyle w:val="Hyperlink"/>
            <w:noProof/>
            <w:lang w:eastAsia="en-US"/>
          </w:rPr>
          <w:t>C.</w:t>
        </w:r>
        <w:r w:rsidR="00B25F63" w:rsidRPr="00745C24">
          <w:rPr>
            <w:rFonts w:ascii="Calibri" w:eastAsia="SimSun" w:hAnsi="Calibri"/>
            <w:noProof/>
            <w:szCs w:val="22"/>
          </w:rPr>
          <w:tab/>
        </w:r>
        <w:r w:rsidR="00B25F63" w:rsidRPr="00962705">
          <w:rPr>
            <w:rStyle w:val="Hyperlink"/>
            <w:noProof/>
            <w:lang w:eastAsia="en-US"/>
          </w:rPr>
          <w:t>Outline of Recommendations</w:t>
        </w:r>
        <w:r w:rsidR="00B25F63">
          <w:rPr>
            <w:noProof/>
            <w:webHidden/>
          </w:rPr>
          <w:tab/>
        </w:r>
        <w:r w:rsidR="00B25F63">
          <w:rPr>
            <w:noProof/>
            <w:webHidden/>
          </w:rPr>
          <w:fldChar w:fldCharType="begin"/>
        </w:r>
        <w:r w:rsidR="00B25F63">
          <w:rPr>
            <w:noProof/>
            <w:webHidden/>
          </w:rPr>
          <w:instrText xml:space="preserve"> PAGEREF _Toc423359306 \h </w:instrText>
        </w:r>
        <w:r w:rsidR="00B25F63">
          <w:rPr>
            <w:noProof/>
            <w:webHidden/>
          </w:rPr>
        </w:r>
        <w:r w:rsidR="00B25F63">
          <w:rPr>
            <w:noProof/>
            <w:webHidden/>
          </w:rPr>
          <w:fldChar w:fldCharType="separate"/>
        </w:r>
        <w:r w:rsidR="00B545F7">
          <w:rPr>
            <w:noProof/>
            <w:webHidden/>
          </w:rPr>
          <w:t>vi</w:t>
        </w:r>
        <w:r w:rsidR="00B25F63">
          <w:rPr>
            <w:noProof/>
            <w:webHidden/>
          </w:rPr>
          <w:fldChar w:fldCharType="end"/>
        </w:r>
      </w:hyperlink>
    </w:p>
    <w:p w:rsidR="00B25F63" w:rsidRPr="00745C24" w:rsidRDefault="00C05C3D">
      <w:pPr>
        <w:pStyle w:val="TOC2"/>
        <w:rPr>
          <w:rFonts w:ascii="Calibri" w:eastAsia="SimSun" w:hAnsi="Calibri"/>
          <w:noProof/>
          <w:szCs w:val="22"/>
        </w:rPr>
      </w:pPr>
      <w:hyperlink w:anchor="_Toc423359307" w:history="1">
        <w:r w:rsidR="00B25F63" w:rsidRPr="00962705">
          <w:rPr>
            <w:rStyle w:val="Hyperlink"/>
            <w:noProof/>
            <w:lang w:eastAsia="en-US"/>
          </w:rPr>
          <w:t>D.</w:t>
        </w:r>
        <w:r w:rsidR="00B25F63" w:rsidRPr="00745C24">
          <w:rPr>
            <w:rFonts w:ascii="Calibri" w:eastAsia="SimSun" w:hAnsi="Calibri"/>
            <w:noProof/>
            <w:szCs w:val="22"/>
          </w:rPr>
          <w:tab/>
        </w:r>
        <w:r w:rsidR="00B25F63" w:rsidRPr="00962705">
          <w:rPr>
            <w:rStyle w:val="Hyperlink"/>
            <w:noProof/>
            <w:lang w:eastAsia="en-US"/>
          </w:rPr>
          <w:t>Evaluation Criteria Ratings</w:t>
        </w:r>
        <w:r w:rsidR="00B25F63">
          <w:rPr>
            <w:noProof/>
            <w:webHidden/>
          </w:rPr>
          <w:tab/>
        </w:r>
        <w:r w:rsidR="00B25F63">
          <w:rPr>
            <w:noProof/>
            <w:webHidden/>
          </w:rPr>
          <w:fldChar w:fldCharType="begin"/>
        </w:r>
        <w:r w:rsidR="00B25F63">
          <w:rPr>
            <w:noProof/>
            <w:webHidden/>
          </w:rPr>
          <w:instrText xml:space="preserve"> PAGEREF _Toc423359307 \h </w:instrText>
        </w:r>
        <w:r w:rsidR="00B25F63">
          <w:rPr>
            <w:noProof/>
            <w:webHidden/>
          </w:rPr>
        </w:r>
        <w:r w:rsidR="00B25F63">
          <w:rPr>
            <w:noProof/>
            <w:webHidden/>
          </w:rPr>
          <w:fldChar w:fldCharType="separate"/>
        </w:r>
        <w:r w:rsidR="00B545F7">
          <w:rPr>
            <w:noProof/>
            <w:webHidden/>
          </w:rPr>
          <w:t>vii</w:t>
        </w:r>
        <w:r w:rsidR="00B25F63">
          <w:rPr>
            <w:noProof/>
            <w:webHidden/>
          </w:rPr>
          <w:fldChar w:fldCharType="end"/>
        </w:r>
      </w:hyperlink>
    </w:p>
    <w:p w:rsidR="00B25F63" w:rsidRPr="00745C24" w:rsidRDefault="00C05C3D">
      <w:pPr>
        <w:pStyle w:val="TOC1"/>
        <w:tabs>
          <w:tab w:val="left" w:pos="400"/>
        </w:tabs>
        <w:rPr>
          <w:rFonts w:ascii="Calibri" w:eastAsia="SimSun" w:hAnsi="Calibri" w:cs="Times New Roman"/>
          <w:b w:val="0"/>
          <w:bCs w:val="0"/>
          <w:caps w:val="0"/>
          <w:szCs w:val="22"/>
          <w:lang w:val="en-US" w:eastAsia="zh-CN"/>
        </w:rPr>
      </w:pPr>
      <w:hyperlink w:anchor="_Toc423359308" w:history="1">
        <w:r w:rsidR="00B25F63" w:rsidRPr="00962705">
          <w:rPr>
            <w:rStyle w:val="Hyperlink"/>
            <w:kern w:val="28"/>
          </w:rPr>
          <w:t>I.</w:t>
        </w:r>
        <w:r w:rsidR="00B25F63" w:rsidRPr="00745C24">
          <w:rPr>
            <w:rFonts w:ascii="Calibri" w:eastAsia="SimSun" w:hAnsi="Calibri" w:cs="Times New Roman"/>
            <w:b w:val="0"/>
            <w:bCs w:val="0"/>
            <w:caps w:val="0"/>
            <w:szCs w:val="22"/>
            <w:lang w:val="en-US" w:eastAsia="zh-CN"/>
          </w:rPr>
          <w:tab/>
        </w:r>
        <w:r w:rsidR="00B25F63" w:rsidRPr="00962705">
          <w:rPr>
            <w:rStyle w:val="Hyperlink"/>
            <w:kern w:val="28"/>
          </w:rPr>
          <w:t>Introduction</w:t>
        </w:r>
        <w:r w:rsidR="00B25F63">
          <w:rPr>
            <w:webHidden/>
          </w:rPr>
          <w:tab/>
        </w:r>
        <w:r w:rsidR="00B25F63">
          <w:rPr>
            <w:webHidden/>
          </w:rPr>
          <w:fldChar w:fldCharType="begin"/>
        </w:r>
        <w:r w:rsidR="00B25F63">
          <w:rPr>
            <w:webHidden/>
          </w:rPr>
          <w:instrText xml:space="preserve"> PAGEREF _Toc423359308 \h </w:instrText>
        </w:r>
        <w:r w:rsidR="00B25F63">
          <w:rPr>
            <w:webHidden/>
          </w:rPr>
        </w:r>
        <w:r w:rsidR="00B25F63">
          <w:rPr>
            <w:webHidden/>
          </w:rPr>
          <w:fldChar w:fldCharType="separate"/>
        </w:r>
        <w:r w:rsidR="00B545F7">
          <w:rPr>
            <w:webHidden/>
          </w:rPr>
          <w:t>1</w:t>
        </w:r>
        <w:r w:rsidR="00B25F63">
          <w:rPr>
            <w:webHidden/>
          </w:rPr>
          <w:fldChar w:fldCharType="end"/>
        </w:r>
      </w:hyperlink>
    </w:p>
    <w:p w:rsidR="00B25F63" w:rsidRPr="00745C24" w:rsidRDefault="00C05C3D">
      <w:pPr>
        <w:pStyle w:val="TOC2"/>
        <w:rPr>
          <w:rFonts w:ascii="Calibri" w:eastAsia="SimSun" w:hAnsi="Calibri"/>
          <w:noProof/>
          <w:szCs w:val="22"/>
        </w:rPr>
      </w:pPr>
      <w:hyperlink w:anchor="_Toc423359309" w:history="1">
        <w:r w:rsidR="00B25F63" w:rsidRPr="00962705">
          <w:rPr>
            <w:rStyle w:val="Hyperlink"/>
            <w:noProof/>
            <w:lang w:eastAsia="en-US"/>
          </w:rPr>
          <w:t>A.</w:t>
        </w:r>
        <w:r w:rsidR="00B25F63" w:rsidRPr="00745C24">
          <w:rPr>
            <w:rFonts w:ascii="Calibri" w:eastAsia="SimSun" w:hAnsi="Calibri"/>
            <w:noProof/>
            <w:szCs w:val="22"/>
          </w:rPr>
          <w:tab/>
        </w:r>
        <w:r w:rsidR="00B25F63" w:rsidRPr="00962705">
          <w:rPr>
            <w:rStyle w:val="Hyperlink"/>
            <w:noProof/>
            <w:lang w:eastAsia="en-US"/>
          </w:rPr>
          <w:t>Activity Background</w:t>
        </w:r>
        <w:r w:rsidR="00B25F63">
          <w:rPr>
            <w:noProof/>
            <w:webHidden/>
          </w:rPr>
          <w:tab/>
        </w:r>
        <w:r w:rsidR="00B25F63">
          <w:rPr>
            <w:noProof/>
            <w:webHidden/>
          </w:rPr>
          <w:fldChar w:fldCharType="begin"/>
        </w:r>
        <w:r w:rsidR="00B25F63">
          <w:rPr>
            <w:noProof/>
            <w:webHidden/>
          </w:rPr>
          <w:instrText xml:space="preserve"> PAGEREF _Toc423359309 \h </w:instrText>
        </w:r>
        <w:r w:rsidR="00B25F63">
          <w:rPr>
            <w:noProof/>
            <w:webHidden/>
          </w:rPr>
        </w:r>
        <w:r w:rsidR="00B25F63">
          <w:rPr>
            <w:noProof/>
            <w:webHidden/>
          </w:rPr>
          <w:fldChar w:fldCharType="separate"/>
        </w:r>
        <w:r w:rsidR="00B545F7">
          <w:rPr>
            <w:noProof/>
            <w:webHidden/>
          </w:rPr>
          <w:t>1</w:t>
        </w:r>
        <w:r w:rsidR="00B25F63">
          <w:rPr>
            <w:noProof/>
            <w:webHidden/>
          </w:rPr>
          <w:fldChar w:fldCharType="end"/>
        </w:r>
      </w:hyperlink>
    </w:p>
    <w:p w:rsidR="00B25F63" w:rsidRPr="00745C24" w:rsidRDefault="00C05C3D">
      <w:pPr>
        <w:pStyle w:val="TOC2"/>
        <w:rPr>
          <w:rFonts w:ascii="Calibri" w:eastAsia="SimSun" w:hAnsi="Calibri"/>
          <w:noProof/>
          <w:szCs w:val="22"/>
        </w:rPr>
      </w:pPr>
      <w:hyperlink w:anchor="_Toc423359310" w:history="1">
        <w:r w:rsidR="00B25F63" w:rsidRPr="00962705">
          <w:rPr>
            <w:rStyle w:val="Hyperlink"/>
            <w:noProof/>
            <w:lang w:eastAsia="en-US"/>
          </w:rPr>
          <w:t>B.</w:t>
        </w:r>
        <w:r w:rsidR="00B25F63" w:rsidRPr="00745C24">
          <w:rPr>
            <w:rFonts w:ascii="Calibri" w:eastAsia="SimSun" w:hAnsi="Calibri"/>
            <w:noProof/>
            <w:szCs w:val="22"/>
          </w:rPr>
          <w:tab/>
        </w:r>
        <w:r w:rsidR="00B25F63" w:rsidRPr="00962705">
          <w:rPr>
            <w:rStyle w:val="Hyperlink"/>
            <w:noProof/>
            <w:lang w:eastAsia="en-US"/>
          </w:rPr>
          <w:t>Evaluation Objectives and Questions</w:t>
        </w:r>
        <w:r w:rsidR="00B25F63">
          <w:rPr>
            <w:noProof/>
            <w:webHidden/>
          </w:rPr>
          <w:tab/>
        </w:r>
        <w:r w:rsidR="00B25F63">
          <w:rPr>
            <w:noProof/>
            <w:webHidden/>
          </w:rPr>
          <w:fldChar w:fldCharType="begin"/>
        </w:r>
        <w:r w:rsidR="00B25F63">
          <w:rPr>
            <w:noProof/>
            <w:webHidden/>
          </w:rPr>
          <w:instrText xml:space="preserve"> PAGEREF _Toc423359310 \h </w:instrText>
        </w:r>
        <w:r w:rsidR="00B25F63">
          <w:rPr>
            <w:noProof/>
            <w:webHidden/>
          </w:rPr>
        </w:r>
        <w:r w:rsidR="00B25F63">
          <w:rPr>
            <w:noProof/>
            <w:webHidden/>
          </w:rPr>
          <w:fldChar w:fldCharType="separate"/>
        </w:r>
        <w:r w:rsidR="00B545F7">
          <w:rPr>
            <w:noProof/>
            <w:webHidden/>
          </w:rPr>
          <w:t>2</w:t>
        </w:r>
        <w:r w:rsidR="00B25F63">
          <w:rPr>
            <w:noProof/>
            <w:webHidden/>
          </w:rPr>
          <w:fldChar w:fldCharType="end"/>
        </w:r>
      </w:hyperlink>
    </w:p>
    <w:p w:rsidR="00B25F63" w:rsidRPr="00745C24" w:rsidRDefault="00C05C3D">
      <w:pPr>
        <w:pStyle w:val="TOC2"/>
        <w:rPr>
          <w:rFonts w:ascii="Calibri" w:eastAsia="SimSun" w:hAnsi="Calibri"/>
          <w:noProof/>
          <w:szCs w:val="22"/>
        </w:rPr>
      </w:pPr>
      <w:hyperlink w:anchor="_Toc423359311" w:history="1">
        <w:r w:rsidR="00B25F63" w:rsidRPr="00962705">
          <w:rPr>
            <w:rStyle w:val="Hyperlink"/>
            <w:noProof/>
            <w:lang w:eastAsia="en-US"/>
          </w:rPr>
          <w:t>C.</w:t>
        </w:r>
        <w:r w:rsidR="00B25F63" w:rsidRPr="00745C24">
          <w:rPr>
            <w:rFonts w:ascii="Calibri" w:eastAsia="SimSun" w:hAnsi="Calibri"/>
            <w:noProof/>
            <w:szCs w:val="22"/>
          </w:rPr>
          <w:tab/>
        </w:r>
        <w:r w:rsidR="00B25F63" w:rsidRPr="00962705">
          <w:rPr>
            <w:rStyle w:val="Hyperlink"/>
            <w:noProof/>
            <w:lang w:eastAsia="en-US"/>
          </w:rPr>
          <w:t>Evaluation Team and Evaluation Methods</w:t>
        </w:r>
        <w:r w:rsidR="00B25F63">
          <w:rPr>
            <w:noProof/>
            <w:webHidden/>
          </w:rPr>
          <w:tab/>
        </w:r>
        <w:r w:rsidR="00B25F63">
          <w:rPr>
            <w:noProof/>
            <w:webHidden/>
          </w:rPr>
          <w:fldChar w:fldCharType="begin"/>
        </w:r>
        <w:r w:rsidR="00B25F63">
          <w:rPr>
            <w:noProof/>
            <w:webHidden/>
          </w:rPr>
          <w:instrText xml:space="preserve"> PAGEREF _Toc423359311 \h </w:instrText>
        </w:r>
        <w:r w:rsidR="00B25F63">
          <w:rPr>
            <w:noProof/>
            <w:webHidden/>
          </w:rPr>
        </w:r>
        <w:r w:rsidR="00B25F63">
          <w:rPr>
            <w:noProof/>
            <w:webHidden/>
          </w:rPr>
          <w:fldChar w:fldCharType="separate"/>
        </w:r>
        <w:r w:rsidR="00B545F7">
          <w:rPr>
            <w:noProof/>
            <w:webHidden/>
          </w:rPr>
          <w:t>2</w:t>
        </w:r>
        <w:r w:rsidR="00B25F63">
          <w:rPr>
            <w:noProof/>
            <w:webHidden/>
          </w:rPr>
          <w:fldChar w:fldCharType="end"/>
        </w:r>
      </w:hyperlink>
    </w:p>
    <w:p w:rsidR="00B25F63" w:rsidRPr="00745C24" w:rsidRDefault="00C05C3D">
      <w:pPr>
        <w:pStyle w:val="TOC2"/>
        <w:rPr>
          <w:rFonts w:ascii="Calibri" w:eastAsia="SimSun" w:hAnsi="Calibri"/>
          <w:noProof/>
          <w:szCs w:val="22"/>
        </w:rPr>
      </w:pPr>
      <w:hyperlink w:anchor="_Toc423359312" w:history="1">
        <w:r w:rsidR="00B25F63" w:rsidRPr="00962705">
          <w:rPr>
            <w:rStyle w:val="Hyperlink"/>
            <w:noProof/>
            <w:lang w:eastAsia="en-US"/>
          </w:rPr>
          <w:t>D.</w:t>
        </w:r>
        <w:r w:rsidR="00B25F63" w:rsidRPr="00745C24">
          <w:rPr>
            <w:rFonts w:ascii="Calibri" w:eastAsia="SimSun" w:hAnsi="Calibri"/>
            <w:noProof/>
            <w:szCs w:val="22"/>
          </w:rPr>
          <w:tab/>
        </w:r>
        <w:r w:rsidR="00B25F63" w:rsidRPr="00962705">
          <w:rPr>
            <w:rStyle w:val="Hyperlink"/>
            <w:noProof/>
            <w:lang w:eastAsia="en-US"/>
          </w:rPr>
          <w:t>Limitations to the Evaluation</w:t>
        </w:r>
        <w:r w:rsidR="00B25F63">
          <w:rPr>
            <w:noProof/>
            <w:webHidden/>
          </w:rPr>
          <w:tab/>
        </w:r>
        <w:r w:rsidR="00B25F63">
          <w:rPr>
            <w:noProof/>
            <w:webHidden/>
          </w:rPr>
          <w:fldChar w:fldCharType="begin"/>
        </w:r>
        <w:r w:rsidR="00B25F63">
          <w:rPr>
            <w:noProof/>
            <w:webHidden/>
          </w:rPr>
          <w:instrText xml:space="preserve"> PAGEREF _Toc423359312 \h </w:instrText>
        </w:r>
        <w:r w:rsidR="00B25F63">
          <w:rPr>
            <w:noProof/>
            <w:webHidden/>
          </w:rPr>
        </w:r>
        <w:r w:rsidR="00B25F63">
          <w:rPr>
            <w:noProof/>
            <w:webHidden/>
          </w:rPr>
          <w:fldChar w:fldCharType="separate"/>
        </w:r>
        <w:r w:rsidR="00B545F7">
          <w:rPr>
            <w:noProof/>
            <w:webHidden/>
          </w:rPr>
          <w:t>3</w:t>
        </w:r>
        <w:r w:rsidR="00B25F63">
          <w:rPr>
            <w:noProof/>
            <w:webHidden/>
          </w:rPr>
          <w:fldChar w:fldCharType="end"/>
        </w:r>
      </w:hyperlink>
    </w:p>
    <w:p w:rsidR="00B25F63" w:rsidRPr="00745C24" w:rsidRDefault="00C05C3D">
      <w:pPr>
        <w:pStyle w:val="TOC2"/>
        <w:rPr>
          <w:rFonts w:ascii="Calibri" w:eastAsia="SimSun" w:hAnsi="Calibri"/>
          <w:noProof/>
          <w:szCs w:val="22"/>
        </w:rPr>
      </w:pPr>
      <w:hyperlink w:anchor="_Toc423359313" w:history="1">
        <w:r w:rsidR="00B25F63" w:rsidRPr="00962705">
          <w:rPr>
            <w:rStyle w:val="Hyperlink"/>
            <w:noProof/>
            <w:lang w:eastAsia="en-US"/>
          </w:rPr>
          <w:t>E.</w:t>
        </w:r>
        <w:r w:rsidR="00B25F63" w:rsidRPr="00745C24">
          <w:rPr>
            <w:rFonts w:ascii="Calibri" w:eastAsia="SimSun" w:hAnsi="Calibri"/>
            <w:noProof/>
            <w:szCs w:val="22"/>
          </w:rPr>
          <w:tab/>
        </w:r>
        <w:r w:rsidR="00B25F63" w:rsidRPr="00962705">
          <w:rPr>
            <w:rStyle w:val="Hyperlink"/>
            <w:noProof/>
            <w:lang w:eastAsia="en-US"/>
          </w:rPr>
          <w:t>Terminology used in the ICE Report</w:t>
        </w:r>
        <w:r w:rsidR="00B25F63">
          <w:rPr>
            <w:noProof/>
            <w:webHidden/>
          </w:rPr>
          <w:tab/>
        </w:r>
        <w:r w:rsidR="00B25F63">
          <w:rPr>
            <w:noProof/>
            <w:webHidden/>
          </w:rPr>
          <w:fldChar w:fldCharType="begin"/>
        </w:r>
        <w:r w:rsidR="00B25F63">
          <w:rPr>
            <w:noProof/>
            <w:webHidden/>
          </w:rPr>
          <w:instrText xml:space="preserve"> PAGEREF _Toc423359313 \h </w:instrText>
        </w:r>
        <w:r w:rsidR="00B25F63">
          <w:rPr>
            <w:noProof/>
            <w:webHidden/>
          </w:rPr>
        </w:r>
        <w:r w:rsidR="00B25F63">
          <w:rPr>
            <w:noProof/>
            <w:webHidden/>
          </w:rPr>
          <w:fldChar w:fldCharType="separate"/>
        </w:r>
        <w:r w:rsidR="00B545F7">
          <w:rPr>
            <w:noProof/>
            <w:webHidden/>
          </w:rPr>
          <w:t>3</w:t>
        </w:r>
        <w:r w:rsidR="00B25F63">
          <w:rPr>
            <w:noProof/>
            <w:webHidden/>
          </w:rPr>
          <w:fldChar w:fldCharType="end"/>
        </w:r>
      </w:hyperlink>
    </w:p>
    <w:p w:rsidR="00B25F63" w:rsidRPr="00745C24" w:rsidRDefault="00C05C3D">
      <w:pPr>
        <w:pStyle w:val="TOC1"/>
        <w:tabs>
          <w:tab w:val="left" w:pos="600"/>
        </w:tabs>
        <w:rPr>
          <w:rFonts w:ascii="Calibri" w:eastAsia="SimSun" w:hAnsi="Calibri" w:cs="Times New Roman"/>
          <w:b w:val="0"/>
          <w:bCs w:val="0"/>
          <w:caps w:val="0"/>
          <w:szCs w:val="22"/>
          <w:lang w:val="en-US" w:eastAsia="zh-CN"/>
        </w:rPr>
      </w:pPr>
      <w:hyperlink w:anchor="_Toc423359314" w:history="1">
        <w:r w:rsidR="00B25F63" w:rsidRPr="00962705">
          <w:rPr>
            <w:rStyle w:val="Hyperlink"/>
            <w:kern w:val="28"/>
          </w:rPr>
          <w:t>II.</w:t>
        </w:r>
        <w:r w:rsidR="00B25F63" w:rsidRPr="00745C24">
          <w:rPr>
            <w:rFonts w:ascii="Calibri" w:eastAsia="SimSun" w:hAnsi="Calibri" w:cs="Times New Roman"/>
            <w:b w:val="0"/>
            <w:bCs w:val="0"/>
            <w:caps w:val="0"/>
            <w:szCs w:val="22"/>
            <w:lang w:val="en-US" w:eastAsia="zh-CN"/>
          </w:rPr>
          <w:tab/>
        </w:r>
        <w:r w:rsidR="00B25F63" w:rsidRPr="00962705">
          <w:rPr>
            <w:rStyle w:val="Hyperlink"/>
            <w:kern w:val="28"/>
          </w:rPr>
          <w:t>PROGRAM EVALUATION</w:t>
        </w:r>
        <w:r w:rsidR="00B25F63">
          <w:rPr>
            <w:webHidden/>
          </w:rPr>
          <w:tab/>
        </w:r>
        <w:r w:rsidR="00B25F63">
          <w:rPr>
            <w:webHidden/>
          </w:rPr>
          <w:fldChar w:fldCharType="begin"/>
        </w:r>
        <w:r w:rsidR="00B25F63">
          <w:rPr>
            <w:webHidden/>
          </w:rPr>
          <w:instrText xml:space="preserve"> PAGEREF _Toc423359314 \h </w:instrText>
        </w:r>
        <w:r w:rsidR="00B25F63">
          <w:rPr>
            <w:webHidden/>
          </w:rPr>
        </w:r>
        <w:r w:rsidR="00B25F63">
          <w:rPr>
            <w:webHidden/>
          </w:rPr>
          <w:fldChar w:fldCharType="separate"/>
        </w:r>
        <w:r w:rsidR="00B545F7">
          <w:rPr>
            <w:webHidden/>
          </w:rPr>
          <w:t>4</w:t>
        </w:r>
        <w:r w:rsidR="00B25F63">
          <w:rPr>
            <w:webHidden/>
          </w:rPr>
          <w:fldChar w:fldCharType="end"/>
        </w:r>
      </w:hyperlink>
    </w:p>
    <w:p w:rsidR="00B25F63" w:rsidRPr="00745C24" w:rsidRDefault="00C05C3D">
      <w:pPr>
        <w:pStyle w:val="TOC2"/>
        <w:rPr>
          <w:rFonts w:ascii="Calibri" w:eastAsia="SimSun" w:hAnsi="Calibri"/>
          <w:noProof/>
          <w:szCs w:val="22"/>
        </w:rPr>
      </w:pPr>
      <w:hyperlink w:anchor="_Toc423359315" w:history="1">
        <w:r w:rsidR="00B25F63" w:rsidRPr="00962705">
          <w:rPr>
            <w:rStyle w:val="Hyperlink"/>
            <w:noProof/>
            <w:lang w:eastAsia="en-US"/>
          </w:rPr>
          <w:t>A.</w:t>
        </w:r>
        <w:r w:rsidR="00B25F63" w:rsidRPr="00745C24">
          <w:rPr>
            <w:rFonts w:ascii="Calibri" w:eastAsia="SimSun" w:hAnsi="Calibri"/>
            <w:noProof/>
            <w:szCs w:val="22"/>
          </w:rPr>
          <w:tab/>
        </w:r>
        <w:r w:rsidR="00B25F63" w:rsidRPr="00962705">
          <w:rPr>
            <w:rStyle w:val="Hyperlink"/>
            <w:noProof/>
            <w:lang w:eastAsia="en-US"/>
          </w:rPr>
          <w:t>Relevance</w:t>
        </w:r>
        <w:r w:rsidR="00B25F63">
          <w:rPr>
            <w:noProof/>
            <w:webHidden/>
          </w:rPr>
          <w:tab/>
        </w:r>
        <w:r w:rsidR="00B25F63">
          <w:rPr>
            <w:noProof/>
            <w:webHidden/>
          </w:rPr>
          <w:fldChar w:fldCharType="begin"/>
        </w:r>
        <w:r w:rsidR="00B25F63">
          <w:rPr>
            <w:noProof/>
            <w:webHidden/>
          </w:rPr>
          <w:instrText xml:space="preserve"> PAGEREF _Toc423359315 \h </w:instrText>
        </w:r>
        <w:r w:rsidR="00B25F63">
          <w:rPr>
            <w:noProof/>
            <w:webHidden/>
          </w:rPr>
        </w:r>
        <w:r w:rsidR="00B25F63">
          <w:rPr>
            <w:noProof/>
            <w:webHidden/>
          </w:rPr>
          <w:fldChar w:fldCharType="separate"/>
        </w:r>
        <w:r w:rsidR="00B545F7">
          <w:rPr>
            <w:noProof/>
            <w:webHidden/>
          </w:rPr>
          <w:t>4</w:t>
        </w:r>
        <w:r w:rsidR="00B25F63">
          <w:rPr>
            <w:noProof/>
            <w:webHidden/>
          </w:rPr>
          <w:fldChar w:fldCharType="end"/>
        </w:r>
      </w:hyperlink>
    </w:p>
    <w:p w:rsidR="00B25F63" w:rsidRPr="00745C24" w:rsidRDefault="00C05C3D">
      <w:pPr>
        <w:pStyle w:val="TOC3"/>
        <w:rPr>
          <w:rFonts w:ascii="Calibri" w:eastAsia="SimSun" w:hAnsi="Calibri"/>
          <w:noProof/>
          <w:sz w:val="22"/>
          <w:szCs w:val="22"/>
        </w:rPr>
      </w:pPr>
      <w:hyperlink w:anchor="_Toc423359316" w:history="1">
        <w:r w:rsidR="00B25F63" w:rsidRPr="00962705">
          <w:rPr>
            <w:rStyle w:val="Hyperlink"/>
            <w:noProof/>
            <w:lang w:eastAsia="en-US"/>
          </w:rPr>
          <w:t>I.</w:t>
        </w:r>
        <w:r w:rsidR="00B25F63" w:rsidRPr="00745C24">
          <w:rPr>
            <w:rFonts w:ascii="Calibri" w:eastAsia="SimSun" w:hAnsi="Calibri"/>
            <w:noProof/>
            <w:sz w:val="22"/>
            <w:szCs w:val="22"/>
          </w:rPr>
          <w:tab/>
        </w:r>
        <w:r w:rsidR="00B25F63" w:rsidRPr="00962705">
          <w:rPr>
            <w:rStyle w:val="Hyperlink"/>
            <w:noProof/>
            <w:lang w:eastAsia="en-US"/>
          </w:rPr>
          <w:t>Relevance to the Development Priorities of the GoV</w:t>
        </w:r>
        <w:r w:rsidR="00B25F63">
          <w:rPr>
            <w:noProof/>
            <w:webHidden/>
          </w:rPr>
          <w:tab/>
        </w:r>
        <w:r w:rsidR="00B25F63">
          <w:rPr>
            <w:noProof/>
            <w:webHidden/>
          </w:rPr>
          <w:fldChar w:fldCharType="begin"/>
        </w:r>
        <w:r w:rsidR="00B25F63">
          <w:rPr>
            <w:noProof/>
            <w:webHidden/>
          </w:rPr>
          <w:instrText xml:space="preserve"> PAGEREF _Toc423359316 \h </w:instrText>
        </w:r>
        <w:r w:rsidR="00B25F63">
          <w:rPr>
            <w:noProof/>
            <w:webHidden/>
          </w:rPr>
        </w:r>
        <w:r w:rsidR="00B25F63">
          <w:rPr>
            <w:noProof/>
            <w:webHidden/>
          </w:rPr>
          <w:fldChar w:fldCharType="separate"/>
        </w:r>
        <w:r w:rsidR="00B545F7">
          <w:rPr>
            <w:noProof/>
            <w:webHidden/>
          </w:rPr>
          <w:t>4</w:t>
        </w:r>
        <w:r w:rsidR="00B25F63">
          <w:rPr>
            <w:noProof/>
            <w:webHidden/>
          </w:rPr>
          <w:fldChar w:fldCharType="end"/>
        </w:r>
      </w:hyperlink>
    </w:p>
    <w:p w:rsidR="00B25F63" w:rsidRPr="00745C24" w:rsidRDefault="00C05C3D">
      <w:pPr>
        <w:pStyle w:val="TOC3"/>
        <w:rPr>
          <w:rFonts w:ascii="Calibri" w:eastAsia="SimSun" w:hAnsi="Calibri"/>
          <w:noProof/>
          <w:sz w:val="22"/>
          <w:szCs w:val="22"/>
        </w:rPr>
      </w:pPr>
      <w:hyperlink w:anchor="_Toc423359317" w:history="1">
        <w:r w:rsidR="00B25F63" w:rsidRPr="00962705">
          <w:rPr>
            <w:rStyle w:val="Hyperlink"/>
            <w:noProof/>
            <w:lang w:eastAsia="en-US"/>
          </w:rPr>
          <w:t>II.</w:t>
        </w:r>
        <w:r w:rsidR="00B25F63" w:rsidRPr="00745C24">
          <w:rPr>
            <w:rFonts w:ascii="Calibri" w:eastAsia="SimSun" w:hAnsi="Calibri"/>
            <w:noProof/>
            <w:sz w:val="22"/>
            <w:szCs w:val="22"/>
          </w:rPr>
          <w:tab/>
        </w:r>
        <w:r w:rsidR="00B25F63" w:rsidRPr="00962705">
          <w:rPr>
            <w:rStyle w:val="Hyperlink"/>
            <w:noProof/>
            <w:lang w:eastAsia="en-US"/>
          </w:rPr>
          <w:t>Relevance to the Aid Investment Strategies of the GoA</w:t>
        </w:r>
        <w:r w:rsidR="00B25F63">
          <w:rPr>
            <w:noProof/>
            <w:webHidden/>
          </w:rPr>
          <w:tab/>
        </w:r>
        <w:r w:rsidR="00B25F63">
          <w:rPr>
            <w:noProof/>
            <w:webHidden/>
          </w:rPr>
          <w:fldChar w:fldCharType="begin"/>
        </w:r>
        <w:r w:rsidR="00B25F63">
          <w:rPr>
            <w:noProof/>
            <w:webHidden/>
          </w:rPr>
          <w:instrText xml:space="preserve"> PAGEREF _Toc423359317 \h </w:instrText>
        </w:r>
        <w:r w:rsidR="00B25F63">
          <w:rPr>
            <w:noProof/>
            <w:webHidden/>
          </w:rPr>
        </w:r>
        <w:r w:rsidR="00B25F63">
          <w:rPr>
            <w:noProof/>
            <w:webHidden/>
          </w:rPr>
          <w:fldChar w:fldCharType="separate"/>
        </w:r>
        <w:r w:rsidR="00B545F7">
          <w:rPr>
            <w:noProof/>
            <w:webHidden/>
          </w:rPr>
          <w:t>4</w:t>
        </w:r>
        <w:r w:rsidR="00B25F63">
          <w:rPr>
            <w:noProof/>
            <w:webHidden/>
          </w:rPr>
          <w:fldChar w:fldCharType="end"/>
        </w:r>
      </w:hyperlink>
    </w:p>
    <w:p w:rsidR="00B25F63" w:rsidRPr="00745C24" w:rsidRDefault="00C05C3D">
      <w:pPr>
        <w:pStyle w:val="TOC3"/>
        <w:rPr>
          <w:rFonts w:ascii="Calibri" w:eastAsia="SimSun" w:hAnsi="Calibri"/>
          <w:noProof/>
          <w:sz w:val="22"/>
          <w:szCs w:val="22"/>
        </w:rPr>
      </w:pPr>
      <w:hyperlink w:anchor="_Toc423359318" w:history="1">
        <w:r w:rsidR="00B25F63" w:rsidRPr="00962705">
          <w:rPr>
            <w:rStyle w:val="Hyperlink"/>
            <w:noProof/>
            <w:lang w:eastAsia="en-US"/>
          </w:rPr>
          <w:t>III.</w:t>
        </w:r>
        <w:r w:rsidR="00B25F63" w:rsidRPr="00745C24">
          <w:rPr>
            <w:rFonts w:ascii="Calibri" w:eastAsia="SimSun" w:hAnsi="Calibri"/>
            <w:noProof/>
            <w:sz w:val="22"/>
            <w:szCs w:val="22"/>
          </w:rPr>
          <w:tab/>
        </w:r>
        <w:r w:rsidR="00B25F63" w:rsidRPr="00962705">
          <w:rPr>
            <w:rStyle w:val="Hyperlink"/>
            <w:noProof/>
            <w:lang w:eastAsia="en-US"/>
          </w:rPr>
          <w:t>Relevance to the Investment Strategies of the ADB</w:t>
        </w:r>
        <w:r w:rsidR="00B25F63">
          <w:rPr>
            <w:noProof/>
            <w:webHidden/>
          </w:rPr>
          <w:tab/>
        </w:r>
        <w:r w:rsidR="00B25F63">
          <w:rPr>
            <w:noProof/>
            <w:webHidden/>
          </w:rPr>
          <w:fldChar w:fldCharType="begin"/>
        </w:r>
        <w:r w:rsidR="00B25F63">
          <w:rPr>
            <w:noProof/>
            <w:webHidden/>
          </w:rPr>
          <w:instrText xml:space="preserve"> PAGEREF _Toc423359318 \h </w:instrText>
        </w:r>
        <w:r w:rsidR="00B25F63">
          <w:rPr>
            <w:noProof/>
            <w:webHidden/>
          </w:rPr>
        </w:r>
        <w:r w:rsidR="00B25F63">
          <w:rPr>
            <w:noProof/>
            <w:webHidden/>
          </w:rPr>
          <w:fldChar w:fldCharType="separate"/>
        </w:r>
        <w:r w:rsidR="00B545F7">
          <w:rPr>
            <w:noProof/>
            <w:webHidden/>
          </w:rPr>
          <w:t>5</w:t>
        </w:r>
        <w:r w:rsidR="00B25F63">
          <w:rPr>
            <w:noProof/>
            <w:webHidden/>
          </w:rPr>
          <w:fldChar w:fldCharType="end"/>
        </w:r>
      </w:hyperlink>
    </w:p>
    <w:p w:rsidR="00B25F63" w:rsidRPr="00745C24" w:rsidRDefault="00C05C3D">
      <w:pPr>
        <w:pStyle w:val="TOC3"/>
        <w:rPr>
          <w:rFonts w:ascii="Calibri" w:eastAsia="SimSun" w:hAnsi="Calibri"/>
          <w:noProof/>
          <w:sz w:val="22"/>
          <w:szCs w:val="22"/>
        </w:rPr>
      </w:pPr>
      <w:hyperlink w:anchor="_Toc423359319" w:history="1">
        <w:r w:rsidR="00B25F63" w:rsidRPr="00962705">
          <w:rPr>
            <w:rStyle w:val="Hyperlink"/>
            <w:noProof/>
            <w:lang w:eastAsia="en-US"/>
          </w:rPr>
          <w:t>IV.</w:t>
        </w:r>
        <w:r w:rsidR="00B25F63" w:rsidRPr="00745C24">
          <w:rPr>
            <w:rFonts w:ascii="Calibri" w:eastAsia="SimSun" w:hAnsi="Calibri"/>
            <w:noProof/>
            <w:sz w:val="22"/>
            <w:szCs w:val="22"/>
          </w:rPr>
          <w:tab/>
        </w:r>
        <w:r w:rsidR="00B25F63" w:rsidRPr="00962705">
          <w:rPr>
            <w:rStyle w:val="Hyperlink"/>
            <w:noProof/>
            <w:lang w:eastAsia="en-US"/>
          </w:rPr>
          <w:t>Overall Assessment</w:t>
        </w:r>
        <w:r w:rsidR="00B25F63">
          <w:rPr>
            <w:noProof/>
            <w:webHidden/>
          </w:rPr>
          <w:tab/>
        </w:r>
        <w:r w:rsidR="00B25F63">
          <w:rPr>
            <w:noProof/>
            <w:webHidden/>
          </w:rPr>
          <w:fldChar w:fldCharType="begin"/>
        </w:r>
        <w:r w:rsidR="00B25F63">
          <w:rPr>
            <w:noProof/>
            <w:webHidden/>
          </w:rPr>
          <w:instrText xml:space="preserve"> PAGEREF _Toc423359319 \h </w:instrText>
        </w:r>
        <w:r w:rsidR="00B25F63">
          <w:rPr>
            <w:noProof/>
            <w:webHidden/>
          </w:rPr>
        </w:r>
        <w:r w:rsidR="00B25F63">
          <w:rPr>
            <w:noProof/>
            <w:webHidden/>
          </w:rPr>
          <w:fldChar w:fldCharType="separate"/>
        </w:r>
        <w:r w:rsidR="00B545F7">
          <w:rPr>
            <w:noProof/>
            <w:webHidden/>
          </w:rPr>
          <w:t>5</w:t>
        </w:r>
        <w:r w:rsidR="00B25F63">
          <w:rPr>
            <w:noProof/>
            <w:webHidden/>
          </w:rPr>
          <w:fldChar w:fldCharType="end"/>
        </w:r>
      </w:hyperlink>
    </w:p>
    <w:p w:rsidR="00B25F63" w:rsidRPr="00745C24" w:rsidRDefault="00C05C3D">
      <w:pPr>
        <w:pStyle w:val="TOC2"/>
        <w:rPr>
          <w:rFonts w:ascii="Calibri" w:eastAsia="SimSun" w:hAnsi="Calibri"/>
          <w:noProof/>
          <w:szCs w:val="22"/>
        </w:rPr>
      </w:pPr>
      <w:hyperlink w:anchor="_Toc423359320" w:history="1">
        <w:r w:rsidR="00B25F63" w:rsidRPr="00962705">
          <w:rPr>
            <w:rStyle w:val="Hyperlink"/>
            <w:noProof/>
            <w:lang w:eastAsia="en-US"/>
          </w:rPr>
          <w:t>B.</w:t>
        </w:r>
        <w:r w:rsidR="00B25F63" w:rsidRPr="00745C24">
          <w:rPr>
            <w:rFonts w:ascii="Calibri" w:eastAsia="SimSun" w:hAnsi="Calibri"/>
            <w:noProof/>
            <w:szCs w:val="22"/>
          </w:rPr>
          <w:tab/>
        </w:r>
        <w:r w:rsidR="00B25F63" w:rsidRPr="00962705">
          <w:rPr>
            <w:rStyle w:val="Hyperlink"/>
            <w:noProof/>
            <w:lang w:eastAsia="en-US"/>
          </w:rPr>
          <w:t>Effectiveness</w:t>
        </w:r>
        <w:r w:rsidR="00B25F63">
          <w:rPr>
            <w:noProof/>
            <w:webHidden/>
          </w:rPr>
          <w:tab/>
        </w:r>
        <w:r w:rsidR="00B25F63">
          <w:rPr>
            <w:noProof/>
            <w:webHidden/>
          </w:rPr>
          <w:fldChar w:fldCharType="begin"/>
        </w:r>
        <w:r w:rsidR="00B25F63">
          <w:rPr>
            <w:noProof/>
            <w:webHidden/>
          </w:rPr>
          <w:instrText xml:space="preserve"> PAGEREF _Toc423359320 \h </w:instrText>
        </w:r>
        <w:r w:rsidR="00B25F63">
          <w:rPr>
            <w:noProof/>
            <w:webHidden/>
          </w:rPr>
        </w:r>
        <w:r w:rsidR="00B25F63">
          <w:rPr>
            <w:noProof/>
            <w:webHidden/>
          </w:rPr>
          <w:fldChar w:fldCharType="separate"/>
        </w:r>
        <w:r w:rsidR="00B545F7">
          <w:rPr>
            <w:noProof/>
            <w:webHidden/>
          </w:rPr>
          <w:t>6</w:t>
        </w:r>
        <w:r w:rsidR="00B25F63">
          <w:rPr>
            <w:noProof/>
            <w:webHidden/>
          </w:rPr>
          <w:fldChar w:fldCharType="end"/>
        </w:r>
      </w:hyperlink>
    </w:p>
    <w:p w:rsidR="00B25F63" w:rsidRPr="00745C24" w:rsidRDefault="00C05C3D">
      <w:pPr>
        <w:pStyle w:val="TOC3"/>
        <w:rPr>
          <w:rFonts w:ascii="Calibri" w:eastAsia="SimSun" w:hAnsi="Calibri"/>
          <w:noProof/>
          <w:sz w:val="22"/>
          <w:szCs w:val="22"/>
        </w:rPr>
      </w:pPr>
      <w:hyperlink w:anchor="_Toc423359321" w:history="1">
        <w:r w:rsidR="00B25F63" w:rsidRPr="00962705">
          <w:rPr>
            <w:rStyle w:val="Hyperlink"/>
            <w:noProof/>
            <w:lang w:eastAsia="en-US"/>
          </w:rPr>
          <w:t>I.</w:t>
        </w:r>
        <w:r w:rsidR="00B25F63" w:rsidRPr="00745C24">
          <w:rPr>
            <w:rFonts w:ascii="Calibri" w:eastAsia="SimSun" w:hAnsi="Calibri"/>
            <w:noProof/>
            <w:sz w:val="22"/>
            <w:szCs w:val="22"/>
          </w:rPr>
          <w:tab/>
        </w:r>
        <w:r w:rsidR="00B25F63" w:rsidRPr="00962705">
          <w:rPr>
            <w:rStyle w:val="Hyperlink"/>
            <w:noProof/>
            <w:lang w:eastAsia="en-US"/>
          </w:rPr>
          <w:t>Project Outcomes</w:t>
        </w:r>
        <w:r w:rsidR="00B25F63">
          <w:rPr>
            <w:noProof/>
            <w:webHidden/>
          </w:rPr>
          <w:tab/>
        </w:r>
        <w:r w:rsidR="00B25F63">
          <w:rPr>
            <w:noProof/>
            <w:webHidden/>
          </w:rPr>
          <w:fldChar w:fldCharType="begin"/>
        </w:r>
        <w:r w:rsidR="00B25F63">
          <w:rPr>
            <w:noProof/>
            <w:webHidden/>
          </w:rPr>
          <w:instrText xml:space="preserve"> PAGEREF _Toc423359321 \h </w:instrText>
        </w:r>
        <w:r w:rsidR="00B25F63">
          <w:rPr>
            <w:noProof/>
            <w:webHidden/>
          </w:rPr>
        </w:r>
        <w:r w:rsidR="00B25F63">
          <w:rPr>
            <w:noProof/>
            <w:webHidden/>
          </w:rPr>
          <w:fldChar w:fldCharType="separate"/>
        </w:r>
        <w:r w:rsidR="00B545F7">
          <w:rPr>
            <w:noProof/>
            <w:webHidden/>
          </w:rPr>
          <w:t>6</w:t>
        </w:r>
        <w:r w:rsidR="00B25F63">
          <w:rPr>
            <w:noProof/>
            <w:webHidden/>
          </w:rPr>
          <w:fldChar w:fldCharType="end"/>
        </w:r>
      </w:hyperlink>
    </w:p>
    <w:p w:rsidR="00B25F63" w:rsidRPr="00745C24" w:rsidRDefault="00C05C3D">
      <w:pPr>
        <w:pStyle w:val="TOC3"/>
        <w:rPr>
          <w:rFonts w:ascii="Calibri" w:eastAsia="SimSun" w:hAnsi="Calibri"/>
          <w:noProof/>
          <w:sz w:val="22"/>
          <w:szCs w:val="22"/>
        </w:rPr>
      </w:pPr>
      <w:hyperlink w:anchor="_Toc423359322" w:history="1">
        <w:r w:rsidR="00B25F63" w:rsidRPr="00962705">
          <w:rPr>
            <w:rStyle w:val="Hyperlink"/>
            <w:noProof/>
            <w:lang w:eastAsia="en-US"/>
          </w:rPr>
          <w:t>II.</w:t>
        </w:r>
        <w:r w:rsidR="00B25F63" w:rsidRPr="00745C24">
          <w:rPr>
            <w:rFonts w:ascii="Calibri" w:eastAsia="SimSun" w:hAnsi="Calibri"/>
            <w:noProof/>
            <w:sz w:val="22"/>
            <w:szCs w:val="22"/>
          </w:rPr>
          <w:tab/>
        </w:r>
        <w:r w:rsidR="00B25F63" w:rsidRPr="00962705">
          <w:rPr>
            <w:rStyle w:val="Hyperlink"/>
            <w:noProof/>
            <w:lang w:eastAsia="en-US"/>
          </w:rPr>
          <w:t>Program Outputs</w:t>
        </w:r>
        <w:r w:rsidR="00B25F63">
          <w:rPr>
            <w:noProof/>
            <w:webHidden/>
          </w:rPr>
          <w:tab/>
        </w:r>
        <w:r w:rsidR="00B25F63">
          <w:rPr>
            <w:noProof/>
            <w:webHidden/>
          </w:rPr>
          <w:fldChar w:fldCharType="begin"/>
        </w:r>
        <w:r w:rsidR="00B25F63">
          <w:rPr>
            <w:noProof/>
            <w:webHidden/>
          </w:rPr>
          <w:instrText xml:space="preserve"> PAGEREF _Toc423359322 \h </w:instrText>
        </w:r>
        <w:r w:rsidR="00B25F63">
          <w:rPr>
            <w:noProof/>
            <w:webHidden/>
          </w:rPr>
        </w:r>
        <w:r w:rsidR="00B25F63">
          <w:rPr>
            <w:noProof/>
            <w:webHidden/>
          </w:rPr>
          <w:fldChar w:fldCharType="separate"/>
        </w:r>
        <w:r w:rsidR="00B545F7">
          <w:rPr>
            <w:noProof/>
            <w:webHidden/>
          </w:rPr>
          <w:t>8</w:t>
        </w:r>
        <w:r w:rsidR="00B25F63">
          <w:rPr>
            <w:noProof/>
            <w:webHidden/>
          </w:rPr>
          <w:fldChar w:fldCharType="end"/>
        </w:r>
      </w:hyperlink>
    </w:p>
    <w:p w:rsidR="00B25F63" w:rsidRPr="00745C24" w:rsidRDefault="00C05C3D">
      <w:pPr>
        <w:pStyle w:val="TOC3"/>
        <w:rPr>
          <w:rFonts w:ascii="Calibri" w:eastAsia="SimSun" w:hAnsi="Calibri"/>
          <w:noProof/>
          <w:sz w:val="22"/>
          <w:szCs w:val="22"/>
        </w:rPr>
      </w:pPr>
      <w:hyperlink w:anchor="_Toc423359323" w:history="1">
        <w:r w:rsidR="00B25F63" w:rsidRPr="00962705">
          <w:rPr>
            <w:rStyle w:val="Hyperlink"/>
            <w:noProof/>
            <w:lang w:eastAsia="en-US"/>
          </w:rPr>
          <w:t>III.</w:t>
        </w:r>
        <w:r w:rsidR="00B25F63" w:rsidRPr="00745C24">
          <w:rPr>
            <w:rFonts w:ascii="Calibri" w:eastAsia="SimSun" w:hAnsi="Calibri"/>
            <w:noProof/>
            <w:sz w:val="22"/>
            <w:szCs w:val="22"/>
          </w:rPr>
          <w:tab/>
        </w:r>
        <w:r w:rsidR="00B25F63" w:rsidRPr="00962705">
          <w:rPr>
            <w:rStyle w:val="Hyperlink"/>
            <w:noProof/>
            <w:lang w:eastAsia="en-US"/>
          </w:rPr>
          <w:t>Project Outputs</w:t>
        </w:r>
        <w:r w:rsidR="00B25F63">
          <w:rPr>
            <w:noProof/>
            <w:webHidden/>
          </w:rPr>
          <w:tab/>
        </w:r>
        <w:r w:rsidR="00B25F63">
          <w:rPr>
            <w:noProof/>
            <w:webHidden/>
          </w:rPr>
          <w:fldChar w:fldCharType="begin"/>
        </w:r>
        <w:r w:rsidR="00B25F63">
          <w:rPr>
            <w:noProof/>
            <w:webHidden/>
          </w:rPr>
          <w:instrText xml:space="preserve"> PAGEREF _Toc423359323 \h </w:instrText>
        </w:r>
        <w:r w:rsidR="00B25F63">
          <w:rPr>
            <w:noProof/>
            <w:webHidden/>
          </w:rPr>
        </w:r>
        <w:r w:rsidR="00B25F63">
          <w:rPr>
            <w:noProof/>
            <w:webHidden/>
          </w:rPr>
          <w:fldChar w:fldCharType="separate"/>
        </w:r>
        <w:r w:rsidR="00B545F7">
          <w:rPr>
            <w:noProof/>
            <w:webHidden/>
          </w:rPr>
          <w:t>8</w:t>
        </w:r>
        <w:r w:rsidR="00B25F63">
          <w:rPr>
            <w:noProof/>
            <w:webHidden/>
          </w:rPr>
          <w:fldChar w:fldCharType="end"/>
        </w:r>
      </w:hyperlink>
    </w:p>
    <w:p w:rsidR="00B25F63" w:rsidRPr="00745C24" w:rsidRDefault="00C05C3D">
      <w:pPr>
        <w:pStyle w:val="TOC3"/>
        <w:rPr>
          <w:rFonts w:ascii="Calibri" w:eastAsia="SimSun" w:hAnsi="Calibri"/>
          <w:noProof/>
          <w:sz w:val="22"/>
          <w:szCs w:val="22"/>
        </w:rPr>
      </w:pPr>
      <w:hyperlink w:anchor="_Toc423359324" w:history="1">
        <w:r w:rsidR="00B25F63" w:rsidRPr="00962705">
          <w:rPr>
            <w:rStyle w:val="Hyperlink"/>
            <w:noProof/>
            <w:lang w:eastAsia="en-US"/>
          </w:rPr>
          <w:t>IV.</w:t>
        </w:r>
        <w:r w:rsidR="00B25F63" w:rsidRPr="00745C24">
          <w:rPr>
            <w:rFonts w:ascii="Calibri" w:eastAsia="SimSun" w:hAnsi="Calibri"/>
            <w:noProof/>
            <w:sz w:val="22"/>
            <w:szCs w:val="22"/>
          </w:rPr>
          <w:tab/>
        </w:r>
        <w:r w:rsidR="00B25F63" w:rsidRPr="00962705">
          <w:rPr>
            <w:rStyle w:val="Hyperlink"/>
            <w:noProof/>
            <w:lang w:eastAsia="en-US"/>
          </w:rPr>
          <w:t>Overall Rating</w:t>
        </w:r>
        <w:r w:rsidR="00B25F63">
          <w:rPr>
            <w:noProof/>
            <w:webHidden/>
          </w:rPr>
          <w:tab/>
        </w:r>
        <w:r w:rsidR="00B25F63">
          <w:rPr>
            <w:noProof/>
            <w:webHidden/>
          </w:rPr>
          <w:fldChar w:fldCharType="begin"/>
        </w:r>
        <w:r w:rsidR="00B25F63">
          <w:rPr>
            <w:noProof/>
            <w:webHidden/>
          </w:rPr>
          <w:instrText xml:space="preserve"> PAGEREF _Toc423359324 \h </w:instrText>
        </w:r>
        <w:r w:rsidR="00B25F63">
          <w:rPr>
            <w:noProof/>
            <w:webHidden/>
          </w:rPr>
        </w:r>
        <w:r w:rsidR="00B25F63">
          <w:rPr>
            <w:noProof/>
            <w:webHidden/>
          </w:rPr>
          <w:fldChar w:fldCharType="separate"/>
        </w:r>
        <w:r w:rsidR="00B545F7">
          <w:rPr>
            <w:noProof/>
            <w:webHidden/>
          </w:rPr>
          <w:t>14</w:t>
        </w:r>
        <w:r w:rsidR="00B25F63">
          <w:rPr>
            <w:noProof/>
            <w:webHidden/>
          </w:rPr>
          <w:fldChar w:fldCharType="end"/>
        </w:r>
      </w:hyperlink>
    </w:p>
    <w:p w:rsidR="00B25F63" w:rsidRPr="00745C24" w:rsidRDefault="00C05C3D">
      <w:pPr>
        <w:pStyle w:val="TOC2"/>
        <w:rPr>
          <w:rFonts w:ascii="Calibri" w:eastAsia="SimSun" w:hAnsi="Calibri"/>
          <w:noProof/>
          <w:szCs w:val="22"/>
        </w:rPr>
      </w:pPr>
      <w:hyperlink w:anchor="_Toc423359325" w:history="1">
        <w:r w:rsidR="00B25F63" w:rsidRPr="00962705">
          <w:rPr>
            <w:rStyle w:val="Hyperlink"/>
            <w:noProof/>
            <w:lang w:eastAsia="en-US"/>
          </w:rPr>
          <w:t>C.</w:t>
        </w:r>
        <w:r w:rsidR="00B25F63" w:rsidRPr="00745C24">
          <w:rPr>
            <w:rFonts w:ascii="Calibri" w:eastAsia="SimSun" w:hAnsi="Calibri"/>
            <w:noProof/>
            <w:szCs w:val="22"/>
          </w:rPr>
          <w:tab/>
        </w:r>
        <w:r w:rsidR="00B25F63" w:rsidRPr="00962705">
          <w:rPr>
            <w:rStyle w:val="Hyperlink"/>
            <w:noProof/>
            <w:lang w:eastAsia="en-US"/>
          </w:rPr>
          <w:t>Efficiency</w:t>
        </w:r>
        <w:r w:rsidR="00B25F63">
          <w:rPr>
            <w:noProof/>
            <w:webHidden/>
          </w:rPr>
          <w:tab/>
        </w:r>
        <w:r w:rsidR="00B25F63">
          <w:rPr>
            <w:noProof/>
            <w:webHidden/>
          </w:rPr>
          <w:fldChar w:fldCharType="begin"/>
        </w:r>
        <w:r w:rsidR="00B25F63">
          <w:rPr>
            <w:noProof/>
            <w:webHidden/>
          </w:rPr>
          <w:instrText xml:space="preserve"> PAGEREF _Toc423359325 \h </w:instrText>
        </w:r>
        <w:r w:rsidR="00B25F63">
          <w:rPr>
            <w:noProof/>
            <w:webHidden/>
          </w:rPr>
        </w:r>
        <w:r w:rsidR="00B25F63">
          <w:rPr>
            <w:noProof/>
            <w:webHidden/>
          </w:rPr>
          <w:fldChar w:fldCharType="separate"/>
        </w:r>
        <w:r w:rsidR="00B545F7">
          <w:rPr>
            <w:noProof/>
            <w:webHidden/>
          </w:rPr>
          <w:t>15</w:t>
        </w:r>
        <w:r w:rsidR="00B25F63">
          <w:rPr>
            <w:noProof/>
            <w:webHidden/>
          </w:rPr>
          <w:fldChar w:fldCharType="end"/>
        </w:r>
      </w:hyperlink>
    </w:p>
    <w:p w:rsidR="00B25F63" w:rsidRPr="00745C24" w:rsidRDefault="00C05C3D">
      <w:pPr>
        <w:pStyle w:val="TOC3"/>
        <w:rPr>
          <w:rFonts w:ascii="Calibri" w:eastAsia="SimSun" w:hAnsi="Calibri"/>
          <w:noProof/>
          <w:sz w:val="22"/>
          <w:szCs w:val="22"/>
        </w:rPr>
      </w:pPr>
      <w:hyperlink w:anchor="_Toc423359326" w:history="1">
        <w:r w:rsidR="00B25F63" w:rsidRPr="00962705">
          <w:rPr>
            <w:rStyle w:val="Hyperlink"/>
            <w:noProof/>
          </w:rPr>
          <w:t>I.</w:t>
        </w:r>
        <w:r w:rsidR="00B25F63" w:rsidRPr="00745C24">
          <w:rPr>
            <w:rFonts w:ascii="Calibri" w:eastAsia="SimSun" w:hAnsi="Calibri"/>
            <w:noProof/>
            <w:sz w:val="22"/>
            <w:szCs w:val="22"/>
          </w:rPr>
          <w:tab/>
        </w:r>
        <w:r w:rsidR="00B25F63" w:rsidRPr="00962705">
          <w:rPr>
            <w:rStyle w:val="Hyperlink"/>
            <w:noProof/>
          </w:rPr>
          <w:t>Costs and Disbursements</w:t>
        </w:r>
        <w:r w:rsidR="00B25F63">
          <w:rPr>
            <w:noProof/>
            <w:webHidden/>
          </w:rPr>
          <w:tab/>
        </w:r>
        <w:r w:rsidR="00B25F63">
          <w:rPr>
            <w:noProof/>
            <w:webHidden/>
          </w:rPr>
          <w:fldChar w:fldCharType="begin"/>
        </w:r>
        <w:r w:rsidR="00B25F63">
          <w:rPr>
            <w:noProof/>
            <w:webHidden/>
          </w:rPr>
          <w:instrText xml:space="preserve"> PAGEREF _Toc423359326 \h </w:instrText>
        </w:r>
        <w:r w:rsidR="00B25F63">
          <w:rPr>
            <w:noProof/>
            <w:webHidden/>
          </w:rPr>
        </w:r>
        <w:r w:rsidR="00B25F63">
          <w:rPr>
            <w:noProof/>
            <w:webHidden/>
          </w:rPr>
          <w:fldChar w:fldCharType="separate"/>
        </w:r>
        <w:r w:rsidR="00B545F7">
          <w:rPr>
            <w:noProof/>
            <w:webHidden/>
          </w:rPr>
          <w:t>15</w:t>
        </w:r>
        <w:r w:rsidR="00B25F63">
          <w:rPr>
            <w:noProof/>
            <w:webHidden/>
          </w:rPr>
          <w:fldChar w:fldCharType="end"/>
        </w:r>
      </w:hyperlink>
    </w:p>
    <w:p w:rsidR="00B25F63" w:rsidRPr="00745C24" w:rsidRDefault="00C05C3D">
      <w:pPr>
        <w:pStyle w:val="TOC3"/>
        <w:rPr>
          <w:rFonts w:ascii="Calibri" w:eastAsia="SimSun" w:hAnsi="Calibri"/>
          <w:noProof/>
          <w:sz w:val="22"/>
          <w:szCs w:val="22"/>
        </w:rPr>
      </w:pPr>
      <w:hyperlink w:anchor="_Toc423359327" w:history="1">
        <w:r w:rsidR="00B25F63" w:rsidRPr="00962705">
          <w:rPr>
            <w:rStyle w:val="Hyperlink"/>
            <w:noProof/>
          </w:rPr>
          <w:t>II.</w:t>
        </w:r>
        <w:r w:rsidR="00B25F63" w:rsidRPr="00745C24">
          <w:rPr>
            <w:rFonts w:ascii="Calibri" w:eastAsia="SimSun" w:hAnsi="Calibri"/>
            <w:noProof/>
            <w:sz w:val="22"/>
            <w:szCs w:val="22"/>
          </w:rPr>
          <w:tab/>
        </w:r>
        <w:r w:rsidR="00B25F63" w:rsidRPr="00962705">
          <w:rPr>
            <w:rStyle w:val="Hyperlink"/>
            <w:noProof/>
          </w:rPr>
          <w:t>Implementation Arrangements</w:t>
        </w:r>
        <w:r w:rsidR="00B25F63">
          <w:rPr>
            <w:noProof/>
            <w:webHidden/>
          </w:rPr>
          <w:tab/>
        </w:r>
        <w:r w:rsidR="00B25F63">
          <w:rPr>
            <w:noProof/>
            <w:webHidden/>
          </w:rPr>
          <w:fldChar w:fldCharType="begin"/>
        </w:r>
        <w:r w:rsidR="00B25F63">
          <w:rPr>
            <w:noProof/>
            <w:webHidden/>
          </w:rPr>
          <w:instrText xml:space="preserve"> PAGEREF _Toc423359327 \h </w:instrText>
        </w:r>
        <w:r w:rsidR="00B25F63">
          <w:rPr>
            <w:noProof/>
            <w:webHidden/>
          </w:rPr>
        </w:r>
        <w:r w:rsidR="00B25F63">
          <w:rPr>
            <w:noProof/>
            <w:webHidden/>
          </w:rPr>
          <w:fldChar w:fldCharType="separate"/>
        </w:r>
        <w:r w:rsidR="00B545F7">
          <w:rPr>
            <w:noProof/>
            <w:webHidden/>
          </w:rPr>
          <w:t>15</w:t>
        </w:r>
        <w:r w:rsidR="00B25F63">
          <w:rPr>
            <w:noProof/>
            <w:webHidden/>
          </w:rPr>
          <w:fldChar w:fldCharType="end"/>
        </w:r>
      </w:hyperlink>
    </w:p>
    <w:p w:rsidR="00B25F63" w:rsidRPr="00745C24" w:rsidRDefault="00C05C3D">
      <w:pPr>
        <w:pStyle w:val="TOC3"/>
        <w:rPr>
          <w:rFonts w:ascii="Calibri" w:eastAsia="SimSun" w:hAnsi="Calibri"/>
          <w:noProof/>
          <w:sz w:val="22"/>
          <w:szCs w:val="22"/>
        </w:rPr>
      </w:pPr>
      <w:hyperlink w:anchor="_Toc423359328" w:history="1">
        <w:r w:rsidR="00B25F63" w:rsidRPr="00962705">
          <w:rPr>
            <w:rStyle w:val="Hyperlink"/>
            <w:noProof/>
          </w:rPr>
          <w:t>III.</w:t>
        </w:r>
        <w:r w:rsidR="00B25F63" w:rsidRPr="00745C24">
          <w:rPr>
            <w:rFonts w:ascii="Calibri" w:eastAsia="SimSun" w:hAnsi="Calibri"/>
            <w:noProof/>
            <w:sz w:val="22"/>
            <w:szCs w:val="22"/>
          </w:rPr>
          <w:tab/>
        </w:r>
        <w:r w:rsidR="00B25F63" w:rsidRPr="00962705">
          <w:rPr>
            <w:rStyle w:val="Hyperlink"/>
            <w:noProof/>
          </w:rPr>
          <w:t>Planning</w:t>
        </w:r>
        <w:r w:rsidR="00B25F63">
          <w:rPr>
            <w:noProof/>
            <w:webHidden/>
          </w:rPr>
          <w:tab/>
        </w:r>
        <w:r w:rsidR="00B25F63">
          <w:rPr>
            <w:noProof/>
            <w:webHidden/>
          </w:rPr>
          <w:fldChar w:fldCharType="begin"/>
        </w:r>
        <w:r w:rsidR="00B25F63">
          <w:rPr>
            <w:noProof/>
            <w:webHidden/>
          </w:rPr>
          <w:instrText xml:space="preserve"> PAGEREF _Toc423359328 \h </w:instrText>
        </w:r>
        <w:r w:rsidR="00B25F63">
          <w:rPr>
            <w:noProof/>
            <w:webHidden/>
          </w:rPr>
        </w:r>
        <w:r w:rsidR="00B25F63">
          <w:rPr>
            <w:noProof/>
            <w:webHidden/>
          </w:rPr>
          <w:fldChar w:fldCharType="separate"/>
        </w:r>
        <w:r w:rsidR="00B545F7">
          <w:rPr>
            <w:noProof/>
            <w:webHidden/>
          </w:rPr>
          <w:t>17</w:t>
        </w:r>
        <w:r w:rsidR="00B25F63">
          <w:rPr>
            <w:noProof/>
            <w:webHidden/>
          </w:rPr>
          <w:fldChar w:fldCharType="end"/>
        </w:r>
      </w:hyperlink>
    </w:p>
    <w:p w:rsidR="00B25F63" w:rsidRPr="00745C24" w:rsidRDefault="00C05C3D">
      <w:pPr>
        <w:pStyle w:val="TOC3"/>
        <w:rPr>
          <w:rFonts w:ascii="Calibri" w:eastAsia="SimSun" w:hAnsi="Calibri"/>
          <w:noProof/>
          <w:sz w:val="22"/>
          <w:szCs w:val="22"/>
        </w:rPr>
      </w:pPr>
      <w:hyperlink w:anchor="_Toc423359329" w:history="1">
        <w:r w:rsidR="00B25F63" w:rsidRPr="00962705">
          <w:rPr>
            <w:rStyle w:val="Hyperlink"/>
            <w:noProof/>
          </w:rPr>
          <w:t>IV.</w:t>
        </w:r>
        <w:r w:rsidR="00B25F63" w:rsidRPr="00745C24">
          <w:rPr>
            <w:rFonts w:ascii="Calibri" w:eastAsia="SimSun" w:hAnsi="Calibri"/>
            <w:noProof/>
            <w:sz w:val="22"/>
            <w:szCs w:val="22"/>
          </w:rPr>
          <w:tab/>
        </w:r>
        <w:r w:rsidR="00B25F63" w:rsidRPr="00962705">
          <w:rPr>
            <w:rStyle w:val="Hyperlink"/>
            <w:noProof/>
          </w:rPr>
          <w:t>Procurement</w:t>
        </w:r>
        <w:r w:rsidR="00B25F63">
          <w:rPr>
            <w:noProof/>
            <w:webHidden/>
          </w:rPr>
          <w:tab/>
        </w:r>
        <w:r w:rsidR="00B25F63">
          <w:rPr>
            <w:noProof/>
            <w:webHidden/>
          </w:rPr>
          <w:fldChar w:fldCharType="begin"/>
        </w:r>
        <w:r w:rsidR="00B25F63">
          <w:rPr>
            <w:noProof/>
            <w:webHidden/>
          </w:rPr>
          <w:instrText xml:space="preserve"> PAGEREF _Toc423359329 \h </w:instrText>
        </w:r>
        <w:r w:rsidR="00B25F63">
          <w:rPr>
            <w:noProof/>
            <w:webHidden/>
          </w:rPr>
        </w:r>
        <w:r w:rsidR="00B25F63">
          <w:rPr>
            <w:noProof/>
            <w:webHidden/>
          </w:rPr>
          <w:fldChar w:fldCharType="separate"/>
        </w:r>
        <w:r w:rsidR="00B545F7">
          <w:rPr>
            <w:noProof/>
            <w:webHidden/>
          </w:rPr>
          <w:t>17</w:t>
        </w:r>
        <w:r w:rsidR="00B25F63">
          <w:rPr>
            <w:noProof/>
            <w:webHidden/>
          </w:rPr>
          <w:fldChar w:fldCharType="end"/>
        </w:r>
      </w:hyperlink>
    </w:p>
    <w:p w:rsidR="00B25F63" w:rsidRPr="00745C24" w:rsidRDefault="00C05C3D">
      <w:pPr>
        <w:pStyle w:val="TOC3"/>
        <w:rPr>
          <w:rFonts w:ascii="Calibri" w:eastAsia="SimSun" w:hAnsi="Calibri"/>
          <w:noProof/>
          <w:sz w:val="22"/>
          <w:szCs w:val="22"/>
        </w:rPr>
      </w:pPr>
      <w:hyperlink w:anchor="_Toc423359330" w:history="1">
        <w:r w:rsidR="00B25F63" w:rsidRPr="00962705">
          <w:rPr>
            <w:rStyle w:val="Hyperlink"/>
            <w:noProof/>
          </w:rPr>
          <w:t>V.</w:t>
        </w:r>
        <w:r w:rsidR="00B25F63" w:rsidRPr="00745C24">
          <w:rPr>
            <w:rFonts w:ascii="Calibri" w:eastAsia="SimSun" w:hAnsi="Calibri"/>
            <w:noProof/>
            <w:sz w:val="22"/>
            <w:szCs w:val="22"/>
          </w:rPr>
          <w:tab/>
        </w:r>
        <w:r w:rsidR="00B25F63" w:rsidRPr="00962705">
          <w:rPr>
            <w:rStyle w:val="Hyperlink"/>
            <w:noProof/>
          </w:rPr>
          <w:t>Performance of ADB</w:t>
        </w:r>
        <w:r w:rsidR="00B25F63">
          <w:rPr>
            <w:noProof/>
            <w:webHidden/>
          </w:rPr>
          <w:tab/>
        </w:r>
        <w:r w:rsidR="00B25F63">
          <w:rPr>
            <w:noProof/>
            <w:webHidden/>
          </w:rPr>
          <w:fldChar w:fldCharType="begin"/>
        </w:r>
        <w:r w:rsidR="00B25F63">
          <w:rPr>
            <w:noProof/>
            <w:webHidden/>
          </w:rPr>
          <w:instrText xml:space="preserve"> PAGEREF _Toc423359330 \h </w:instrText>
        </w:r>
        <w:r w:rsidR="00B25F63">
          <w:rPr>
            <w:noProof/>
            <w:webHidden/>
          </w:rPr>
        </w:r>
        <w:r w:rsidR="00B25F63">
          <w:rPr>
            <w:noProof/>
            <w:webHidden/>
          </w:rPr>
          <w:fldChar w:fldCharType="separate"/>
        </w:r>
        <w:r w:rsidR="00B545F7">
          <w:rPr>
            <w:noProof/>
            <w:webHidden/>
          </w:rPr>
          <w:t>18</w:t>
        </w:r>
        <w:r w:rsidR="00B25F63">
          <w:rPr>
            <w:noProof/>
            <w:webHidden/>
          </w:rPr>
          <w:fldChar w:fldCharType="end"/>
        </w:r>
      </w:hyperlink>
    </w:p>
    <w:p w:rsidR="00B25F63" w:rsidRPr="00745C24" w:rsidRDefault="00C05C3D">
      <w:pPr>
        <w:pStyle w:val="TOC3"/>
        <w:rPr>
          <w:rFonts w:ascii="Calibri" w:eastAsia="SimSun" w:hAnsi="Calibri"/>
          <w:noProof/>
          <w:sz w:val="22"/>
          <w:szCs w:val="22"/>
        </w:rPr>
      </w:pPr>
      <w:hyperlink w:anchor="_Toc423359331" w:history="1">
        <w:r w:rsidR="00B25F63" w:rsidRPr="00962705">
          <w:rPr>
            <w:rStyle w:val="Hyperlink"/>
            <w:noProof/>
          </w:rPr>
          <w:t>VI.</w:t>
        </w:r>
        <w:r w:rsidR="00B25F63" w:rsidRPr="00745C24">
          <w:rPr>
            <w:rFonts w:ascii="Calibri" w:eastAsia="SimSun" w:hAnsi="Calibri"/>
            <w:noProof/>
            <w:sz w:val="22"/>
            <w:szCs w:val="22"/>
          </w:rPr>
          <w:tab/>
        </w:r>
        <w:r w:rsidR="00B25F63" w:rsidRPr="00962705">
          <w:rPr>
            <w:rStyle w:val="Hyperlink"/>
            <w:noProof/>
          </w:rPr>
          <w:t>Overall Assessment</w:t>
        </w:r>
        <w:r w:rsidR="00B25F63">
          <w:rPr>
            <w:noProof/>
            <w:webHidden/>
          </w:rPr>
          <w:tab/>
        </w:r>
        <w:r w:rsidR="00B25F63">
          <w:rPr>
            <w:noProof/>
            <w:webHidden/>
          </w:rPr>
          <w:fldChar w:fldCharType="begin"/>
        </w:r>
        <w:r w:rsidR="00B25F63">
          <w:rPr>
            <w:noProof/>
            <w:webHidden/>
          </w:rPr>
          <w:instrText xml:space="preserve"> PAGEREF _Toc423359331 \h </w:instrText>
        </w:r>
        <w:r w:rsidR="00B25F63">
          <w:rPr>
            <w:noProof/>
            <w:webHidden/>
          </w:rPr>
        </w:r>
        <w:r w:rsidR="00B25F63">
          <w:rPr>
            <w:noProof/>
            <w:webHidden/>
          </w:rPr>
          <w:fldChar w:fldCharType="separate"/>
        </w:r>
        <w:r w:rsidR="00B545F7">
          <w:rPr>
            <w:noProof/>
            <w:webHidden/>
          </w:rPr>
          <w:t>19</w:t>
        </w:r>
        <w:r w:rsidR="00B25F63">
          <w:rPr>
            <w:noProof/>
            <w:webHidden/>
          </w:rPr>
          <w:fldChar w:fldCharType="end"/>
        </w:r>
      </w:hyperlink>
    </w:p>
    <w:p w:rsidR="00B25F63" w:rsidRPr="00745C24" w:rsidRDefault="00C05C3D">
      <w:pPr>
        <w:pStyle w:val="TOC2"/>
        <w:rPr>
          <w:rFonts w:ascii="Calibri" w:eastAsia="SimSun" w:hAnsi="Calibri"/>
          <w:noProof/>
          <w:szCs w:val="22"/>
        </w:rPr>
      </w:pPr>
      <w:hyperlink w:anchor="_Toc423359332" w:history="1">
        <w:r w:rsidR="00B25F63" w:rsidRPr="00962705">
          <w:rPr>
            <w:rStyle w:val="Hyperlink"/>
            <w:noProof/>
            <w:lang w:eastAsia="en-US"/>
          </w:rPr>
          <w:t>D.</w:t>
        </w:r>
        <w:r w:rsidR="00B25F63" w:rsidRPr="00745C24">
          <w:rPr>
            <w:rFonts w:ascii="Calibri" w:eastAsia="SimSun" w:hAnsi="Calibri"/>
            <w:noProof/>
            <w:szCs w:val="22"/>
          </w:rPr>
          <w:tab/>
        </w:r>
        <w:r w:rsidR="00B25F63" w:rsidRPr="00962705">
          <w:rPr>
            <w:rStyle w:val="Hyperlink"/>
            <w:noProof/>
            <w:lang w:eastAsia="en-US"/>
          </w:rPr>
          <w:t>Impact</w:t>
        </w:r>
        <w:r w:rsidR="00B25F63">
          <w:rPr>
            <w:noProof/>
            <w:webHidden/>
          </w:rPr>
          <w:tab/>
        </w:r>
        <w:r w:rsidR="00B25F63">
          <w:rPr>
            <w:noProof/>
            <w:webHidden/>
          </w:rPr>
          <w:fldChar w:fldCharType="begin"/>
        </w:r>
        <w:r w:rsidR="00B25F63">
          <w:rPr>
            <w:noProof/>
            <w:webHidden/>
          </w:rPr>
          <w:instrText xml:space="preserve"> PAGEREF _Toc423359332 \h </w:instrText>
        </w:r>
        <w:r w:rsidR="00B25F63">
          <w:rPr>
            <w:noProof/>
            <w:webHidden/>
          </w:rPr>
        </w:r>
        <w:r w:rsidR="00B25F63">
          <w:rPr>
            <w:noProof/>
            <w:webHidden/>
          </w:rPr>
          <w:fldChar w:fldCharType="separate"/>
        </w:r>
        <w:r w:rsidR="00B545F7">
          <w:rPr>
            <w:noProof/>
            <w:webHidden/>
          </w:rPr>
          <w:t>20</w:t>
        </w:r>
        <w:r w:rsidR="00B25F63">
          <w:rPr>
            <w:noProof/>
            <w:webHidden/>
          </w:rPr>
          <w:fldChar w:fldCharType="end"/>
        </w:r>
      </w:hyperlink>
    </w:p>
    <w:p w:rsidR="00B25F63" w:rsidRPr="00745C24" w:rsidRDefault="00C05C3D">
      <w:pPr>
        <w:pStyle w:val="TOC2"/>
        <w:rPr>
          <w:rFonts w:ascii="Calibri" w:eastAsia="SimSun" w:hAnsi="Calibri"/>
          <w:noProof/>
          <w:szCs w:val="22"/>
        </w:rPr>
      </w:pPr>
      <w:hyperlink w:anchor="_Toc423359333" w:history="1">
        <w:r w:rsidR="00B25F63" w:rsidRPr="00962705">
          <w:rPr>
            <w:rStyle w:val="Hyperlink"/>
            <w:noProof/>
            <w:lang w:eastAsia="en-US"/>
          </w:rPr>
          <w:t>E.</w:t>
        </w:r>
        <w:r w:rsidR="00B25F63" w:rsidRPr="00745C24">
          <w:rPr>
            <w:rFonts w:ascii="Calibri" w:eastAsia="SimSun" w:hAnsi="Calibri"/>
            <w:noProof/>
            <w:szCs w:val="22"/>
          </w:rPr>
          <w:tab/>
        </w:r>
        <w:r w:rsidR="00B25F63" w:rsidRPr="00962705">
          <w:rPr>
            <w:rStyle w:val="Hyperlink"/>
            <w:noProof/>
            <w:lang w:eastAsia="en-US"/>
          </w:rPr>
          <w:t>Sustainability</w:t>
        </w:r>
        <w:r w:rsidR="00B25F63">
          <w:rPr>
            <w:noProof/>
            <w:webHidden/>
          </w:rPr>
          <w:tab/>
        </w:r>
        <w:r w:rsidR="00B25F63">
          <w:rPr>
            <w:noProof/>
            <w:webHidden/>
          </w:rPr>
          <w:fldChar w:fldCharType="begin"/>
        </w:r>
        <w:r w:rsidR="00B25F63">
          <w:rPr>
            <w:noProof/>
            <w:webHidden/>
          </w:rPr>
          <w:instrText xml:space="preserve"> PAGEREF _Toc423359333 \h </w:instrText>
        </w:r>
        <w:r w:rsidR="00B25F63">
          <w:rPr>
            <w:noProof/>
            <w:webHidden/>
          </w:rPr>
        </w:r>
        <w:r w:rsidR="00B25F63">
          <w:rPr>
            <w:noProof/>
            <w:webHidden/>
          </w:rPr>
          <w:fldChar w:fldCharType="separate"/>
        </w:r>
        <w:r w:rsidR="00B545F7">
          <w:rPr>
            <w:noProof/>
            <w:webHidden/>
          </w:rPr>
          <w:t>21</w:t>
        </w:r>
        <w:r w:rsidR="00B25F63">
          <w:rPr>
            <w:noProof/>
            <w:webHidden/>
          </w:rPr>
          <w:fldChar w:fldCharType="end"/>
        </w:r>
      </w:hyperlink>
    </w:p>
    <w:p w:rsidR="00B25F63" w:rsidRPr="00745C24" w:rsidRDefault="00C05C3D">
      <w:pPr>
        <w:pStyle w:val="TOC3"/>
        <w:rPr>
          <w:rFonts w:ascii="Calibri" w:eastAsia="SimSun" w:hAnsi="Calibri"/>
          <w:noProof/>
          <w:sz w:val="22"/>
          <w:szCs w:val="22"/>
        </w:rPr>
      </w:pPr>
      <w:hyperlink w:anchor="_Toc423359334" w:history="1">
        <w:r w:rsidR="00B25F63" w:rsidRPr="00962705">
          <w:rPr>
            <w:rStyle w:val="Hyperlink"/>
            <w:noProof/>
          </w:rPr>
          <w:t>I.</w:t>
        </w:r>
        <w:r w:rsidR="00B25F63" w:rsidRPr="00745C24">
          <w:rPr>
            <w:rFonts w:ascii="Calibri" w:eastAsia="SimSun" w:hAnsi="Calibri"/>
            <w:noProof/>
            <w:sz w:val="22"/>
            <w:szCs w:val="22"/>
          </w:rPr>
          <w:tab/>
        </w:r>
        <w:r w:rsidR="00B25F63" w:rsidRPr="00962705">
          <w:rPr>
            <w:rStyle w:val="Hyperlink"/>
            <w:noProof/>
          </w:rPr>
          <w:t>Component 1. Better Planning and Management of Human Resources</w:t>
        </w:r>
        <w:r w:rsidR="00B25F63">
          <w:rPr>
            <w:noProof/>
            <w:webHidden/>
          </w:rPr>
          <w:tab/>
        </w:r>
        <w:r w:rsidR="00B25F63">
          <w:rPr>
            <w:noProof/>
            <w:webHidden/>
          </w:rPr>
          <w:fldChar w:fldCharType="begin"/>
        </w:r>
        <w:r w:rsidR="00B25F63">
          <w:rPr>
            <w:noProof/>
            <w:webHidden/>
          </w:rPr>
          <w:instrText xml:space="preserve"> PAGEREF _Toc423359334 \h </w:instrText>
        </w:r>
        <w:r w:rsidR="00B25F63">
          <w:rPr>
            <w:noProof/>
            <w:webHidden/>
          </w:rPr>
        </w:r>
        <w:r w:rsidR="00B25F63">
          <w:rPr>
            <w:noProof/>
            <w:webHidden/>
          </w:rPr>
          <w:fldChar w:fldCharType="separate"/>
        </w:r>
        <w:r w:rsidR="00B545F7">
          <w:rPr>
            <w:noProof/>
            <w:webHidden/>
          </w:rPr>
          <w:t>21</w:t>
        </w:r>
        <w:r w:rsidR="00B25F63">
          <w:rPr>
            <w:noProof/>
            <w:webHidden/>
          </w:rPr>
          <w:fldChar w:fldCharType="end"/>
        </w:r>
      </w:hyperlink>
    </w:p>
    <w:p w:rsidR="00B25F63" w:rsidRPr="00745C24" w:rsidRDefault="00C05C3D">
      <w:pPr>
        <w:pStyle w:val="TOC3"/>
        <w:rPr>
          <w:rFonts w:ascii="Calibri" w:eastAsia="SimSun" w:hAnsi="Calibri"/>
          <w:noProof/>
          <w:sz w:val="22"/>
          <w:szCs w:val="22"/>
        </w:rPr>
      </w:pPr>
      <w:hyperlink w:anchor="_Toc423359335" w:history="1">
        <w:r w:rsidR="00B25F63" w:rsidRPr="00962705">
          <w:rPr>
            <w:rStyle w:val="Hyperlink"/>
            <w:noProof/>
          </w:rPr>
          <w:t>II.</w:t>
        </w:r>
        <w:r w:rsidR="00B25F63" w:rsidRPr="00745C24">
          <w:rPr>
            <w:rFonts w:ascii="Calibri" w:eastAsia="SimSun" w:hAnsi="Calibri"/>
            <w:noProof/>
            <w:sz w:val="22"/>
            <w:szCs w:val="22"/>
          </w:rPr>
          <w:tab/>
        </w:r>
        <w:r w:rsidR="00B25F63" w:rsidRPr="00962705">
          <w:rPr>
            <w:rStyle w:val="Hyperlink"/>
            <w:noProof/>
          </w:rPr>
          <w:t>Component 2. Higher Quality Human Resources Training</w:t>
        </w:r>
        <w:r w:rsidR="00B25F63">
          <w:rPr>
            <w:noProof/>
            <w:webHidden/>
          </w:rPr>
          <w:tab/>
        </w:r>
        <w:r w:rsidR="00B25F63">
          <w:rPr>
            <w:noProof/>
            <w:webHidden/>
          </w:rPr>
          <w:fldChar w:fldCharType="begin"/>
        </w:r>
        <w:r w:rsidR="00B25F63">
          <w:rPr>
            <w:noProof/>
            <w:webHidden/>
          </w:rPr>
          <w:instrText xml:space="preserve"> PAGEREF _Toc423359335 \h </w:instrText>
        </w:r>
        <w:r w:rsidR="00B25F63">
          <w:rPr>
            <w:noProof/>
            <w:webHidden/>
          </w:rPr>
        </w:r>
        <w:r w:rsidR="00B25F63">
          <w:rPr>
            <w:noProof/>
            <w:webHidden/>
          </w:rPr>
          <w:fldChar w:fldCharType="separate"/>
        </w:r>
        <w:r w:rsidR="00B545F7">
          <w:rPr>
            <w:noProof/>
            <w:webHidden/>
          </w:rPr>
          <w:t>21</w:t>
        </w:r>
        <w:r w:rsidR="00B25F63">
          <w:rPr>
            <w:noProof/>
            <w:webHidden/>
          </w:rPr>
          <w:fldChar w:fldCharType="end"/>
        </w:r>
      </w:hyperlink>
    </w:p>
    <w:p w:rsidR="00B25F63" w:rsidRPr="00745C24" w:rsidRDefault="00C05C3D">
      <w:pPr>
        <w:pStyle w:val="TOC3"/>
        <w:rPr>
          <w:rFonts w:ascii="Calibri" w:eastAsia="SimSun" w:hAnsi="Calibri"/>
          <w:noProof/>
          <w:sz w:val="22"/>
          <w:szCs w:val="22"/>
        </w:rPr>
      </w:pPr>
      <w:hyperlink w:anchor="_Toc423359336" w:history="1">
        <w:r w:rsidR="00B25F63" w:rsidRPr="00962705">
          <w:rPr>
            <w:rStyle w:val="Hyperlink"/>
            <w:noProof/>
          </w:rPr>
          <w:t>III.</w:t>
        </w:r>
        <w:r w:rsidR="00B25F63" w:rsidRPr="00745C24">
          <w:rPr>
            <w:rFonts w:ascii="Calibri" w:eastAsia="SimSun" w:hAnsi="Calibri"/>
            <w:noProof/>
            <w:sz w:val="22"/>
            <w:szCs w:val="22"/>
          </w:rPr>
          <w:tab/>
        </w:r>
        <w:r w:rsidR="00B25F63" w:rsidRPr="00962705">
          <w:rPr>
            <w:rStyle w:val="Hyperlink"/>
            <w:noProof/>
          </w:rPr>
          <w:t>Component 3. Improved Management Systems in Health Service Delivery</w:t>
        </w:r>
        <w:r w:rsidR="00B25F63">
          <w:rPr>
            <w:noProof/>
            <w:webHidden/>
          </w:rPr>
          <w:tab/>
        </w:r>
        <w:r w:rsidR="00B25F63">
          <w:rPr>
            <w:noProof/>
            <w:webHidden/>
          </w:rPr>
          <w:fldChar w:fldCharType="begin"/>
        </w:r>
        <w:r w:rsidR="00B25F63">
          <w:rPr>
            <w:noProof/>
            <w:webHidden/>
          </w:rPr>
          <w:instrText xml:space="preserve"> PAGEREF _Toc423359336 \h </w:instrText>
        </w:r>
        <w:r w:rsidR="00B25F63">
          <w:rPr>
            <w:noProof/>
            <w:webHidden/>
          </w:rPr>
        </w:r>
        <w:r w:rsidR="00B25F63">
          <w:rPr>
            <w:noProof/>
            <w:webHidden/>
          </w:rPr>
          <w:fldChar w:fldCharType="separate"/>
        </w:r>
        <w:r w:rsidR="00B545F7">
          <w:rPr>
            <w:noProof/>
            <w:webHidden/>
          </w:rPr>
          <w:t>22</w:t>
        </w:r>
        <w:r w:rsidR="00B25F63">
          <w:rPr>
            <w:noProof/>
            <w:webHidden/>
          </w:rPr>
          <w:fldChar w:fldCharType="end"/>
        </w:r>
      </w:hyperlink>
    </w:p>
    <w:p w:rsidR="00B25F63" w:rsidRPr="00745C24" w:rsidRDefault="00C05C3D">
      <w:pPr>
        <w:pStyle w:val="TOC3"/>
        <w:rPr>
          <w:rFonts w:ascii="Calibri" w:eastAsia="SimSun" w:hAnsi="Calibri"/>
          <w:noProof/>
          <w:sz w:val="22"/>
          <w:szCs w:val="22"/>
        </w:rPr>
      </w:pPr>
      <w:hyperlink w:anchor="_Toc423359337" w:history="1">
        <w:r w:rsidR="00B25F63" w:rsidRPr="00962705">
          <w:rPr>
            <w:rStyle w:val="Hyperlink"/>
            <w:noProof/>
          </w:rPr>
          <w:t>IV.</w:t>
        </w:r>
        <w:r w:rsidR="00B25F63" w:rsidRPr="00745C24">
          <w:rPr>
            <w:rFonts w:ascii="Calibri" w:eastAsia="SimSun" w:hAnsi="Calibri"/>
            <w:noProof/>
            <w:sz w:val="22"/>
            <w:szCs w:val="22"/>
          </w:rPr>
          <w:tab/>
        </w:r>
        <w:r w:rsidR="00B25F63" w:rsidRPr="00962705">
          <w:rPr>
            <w:rStyle w:val="Hyperlink"/>
            <w:noProof/>
          </w:rPr>
          <w:t>Overall Assessment</w:t>
        </w:r>
        <w:r w:rsidR="00B25F63">
          <w:rPr>
            <w:noProof/>
            <w:webHidden/>
          </w:rPr>
          <w:tab/>
        </w:r>
        <w:r w:rsidR="00B25F63">
          <w:rPr>
            <w:noProof/>
            <w:webHidden/>
          </w:rPr>
          <w:fldChar w:fldCharType="begin"/>
        </w:r>
        <w:r w:rsidR="00B25F63">
          <w:rPr>
            <w:noProof/>
            <w:webHidden/>
          </w:rPr>
          <w:instrText xml:space="preserve"> PAGEREF _Toc423359337 \h </w:instrText>
        </w:r>
        <w:r w:rsidR="00B25F63">
          <w:rPr>
            <w:noProof/>
            <w:webHidden/>
          </w:rPr>
        </w:r>
        <w:r w:rsidR="00B25F63">
          <w:rPr>
            <w:noProof/>
            <w:webHidden/>
          </w:rPr>
          <w:fldChar w:fldCharType="separate"/>
        </w:r>
        <w:r w:rsidR="00B545F7">
          <w:rPr>
            <w:noProof/>
            <w:webHidden/>
          </w:rPr>
          <w:t>23</w:t>
        </w:r>
        <w:r w:rsidR="00B25F63">
          <w:rPr>
            <w:noProof/>
            <w:webHidden/>
          </w:rPr>
          <w:fldChar w:fldCharType="end"/>
        </w:r>
      </w:hyperlink>
    </w:p>
    <w:p w:rsidR="00B25F63" w:rsidRPr="00745C24" w:rsidRDefault="00C05C3D">
      <w:pPr>
        <w:pStyle w:val="TOC2"/>
        <w:rPr>
          <w:rFonts w:ascii="Calibri" w:eastAsia="SimSun" w:hAnsi="Calibri"/>
          <w:noProof/>
          <w:szCs w:val="22"/>
        </w:rPr>
      </w:pPr>
      <w:hyperlink w:anchor="_Toc423359338" w:history="1">
        <w:r w:rsidR="00B25F63" w:rsidRPr="00962705">
          <w:rPr>
            <w:rStyle w:val="Hyperlink"/>
            <w:noProof/>
            <w:lang w:eastAsia="en-US"/>
          </w:rPr>
          <w:t>F.</w:t>
        </w:r>
        <w:r w:rsidR="00B25F63" w:rsidRPr="00745C24">
          <w:rPr>
            <w:rFonts w:ascii="Calibri" w:eastAsia="SimSun" w:hAnsi="Calibri"/>
            <w:noProof/>
            <w:szCs w:val="22"/>
          </w:rPr>
          <w:tab/>
        </w:r>
        <w:r w:rsidR="00B25F63" w:rsidRPr="00962705">
          <w:rPr>
            <w:rStyle w:val="Hyperlink"/>
            <w:noProof/>
            <w:lang w:eastAsia="en-US"/>
          </w:rPr>
          <w:t>Gender Equality</w:t>
        </w:r>
        <w:r w:rsidR="00B25F63">
          <w:rPr>
            <w:noProof/>
            <w:webHidden/>
          </w:rPr>
          <w:tab/>
        </w:r>
        <w:r w:rsidR="00B25F63">
          <w:rPr>
            <w:noProof/>
            <w:webHidden/>
          </w:rPr>
          <w:fldChar w:fldCharType="begin"/>
        </w:r>
        <w:r w:rsidR="00B25F63">
          <w:rPr>
            <w:noProof/>
            <w:webHidden/>
          </w:rPr>
          <w:instrText xml:space="preserve"> PAGEREF _Toc423359338 \h </w:instrText>
        </w:r>
        <w:r w:rsidR="00B25F63">
          <w:rPr>
            <w:noProof/>
            <w:webHidden/>
          </w:rPr>
        </w:r>
        <w:r w:rsidR="00B25F63">
          <w:rPr>
            <w:noProof/>
            <w:webHidden/>
          </w:rPr>
          <w:fldChar w:fldCharType="separate"/>
        </w:r>
        <w:r w:rsidR="00B545F7">
          <w:rPr>
            <w:noProof/>
            <w:webHidden/>
          </w:rPr>
          <w:t>24</w:t>
        </w:r>
        <w:r w:rsidR="00B25F63">
          <w:rPr>
            <w:noProof/>
            <w:webHidden/>
          </w:rPr>
          <w:fldChar w:fldCharType="end"/>
        </w:r>
      </w:hyperlink>
    </w:p>
    <w:p w:rsidR="00B25F63" w:rsidRPr="00745C24" w:rsidRDefault="00C05C3D">
      <w:pPr>
        <w:pStyle w:val="TOC3"/>
        <w:rPr>
          <w:rFonts w:ascii="Calibri" w:eastAsia="SimSun" w:hAnsi="Calibri"/>
          <w:noProof/>
          <w:sz w:val="22"/>
          <w:szCs w:val="22"/>
        </w:rPr>
      </w:pPr>
      <w:hyperlink w:anchor="_Toc423359339" w:history="1">
        <w:r w:rsidR="00B25F63" w:rsidRPr="00962705">
          <w:rPr>
            <w:rStyle w:val="Hyperlink"/>
            <w:noProof/>
            <w:lang w:eastAsia="en-US"/>
          </w:rPr>
          <w:t>I.</w:t>
        </w:r>
        <w:r w:rsidR="00B25F63" w:rsidRPr="00745C24">
          <w:rPr>
            <w:rFonts w:ascii="Calibri" w:eastAsia="SimSun" w:hAnsi="Calibri"/>
            <w:noProof/>
            <w:sz w:val="22"/>
            <w:szCs w:val="22"/>
          </w:rPr>
          <w:tab/>
        </w:r>
        <w:r w:rsidR="00B25F63" w:rsidRPr="00962705">
          <w:rPr>
            <w:rStyle w:val="Hyperlink"/>
            <w:noProof/>
            <w:lang w:eastAsia="en-US"/>
          </w:rPr>
          <w:t>Gender Considerations Integrated at Design</w:t>
        </w:r>
        <w:r w:rsidR="00B25F63">
          <w:rPr>
            <w:noProof/>
            <w:webHidden/>
          </w:rPr>
          <w:tab/>
        </w:r>
        <w:r w:rsidR="00B25F63">
          <w:rPr>
            <w:noProof/>
            <w:webHidden/>
          </w:rPr>
          <w:fldChar w:fldCharType="begin"/>
        </w:r>
        <w:r w:rsidR="00B25F63">
          <w:rPr>
            <w:noProof/>
            <w:webHidden/>
          </w:rPr>
          <w:instrText xml:space="preserve"> PAGEREF _Toc423359339 \h </w:instrText>
        </w:r>
        <w:r w:rsidR="00B25F63">
          <w:rPr>
            <w:noProof/>
            <w:webHidden/>
          </w:rPr>
        </w:r>
        <w:r w:rsidR="00B25F63">
          <w:rPr>
            <w:noProof/>
            <w:webHidden/>
          </w:rPr>
          <w:fldChar w:fldCharType="separate"/>
        </w:r>
        <w:r w:rsidR="00B545F7">
          <w:rPr>
            <w:noProof/>
            <w:webHidden/>
          </w:rPr>
          <w:t>24</w:t>
        </w:r>
        <w:r w:rsidR="00B25F63">
          <w:rPr>
            <w:noProof/>
            <w:webHidden/>
          </w:rPr>
          <w:fldChar w:fldCharType="end"/>
        </w:r>
      </w:hyperlink>
    </w:p>
    <w:p w:rsidR="00B25F63" w:rsidRPr="00745C24" w:rsidRDefault="00C05C3D">
      <w:pPr>
        <w:pStyle w:val="TOC3"/>
        <w:rPr>
          <w:rFonts w:ascii="Calibri" w:eastAsia="SimSun" w:hAnsi="Calibri"/>
          <w:noProof/>
          <w:sz w:val="22"/>
          <w:szCs w:val="22"/>
        </w:rPr>
      </w:pPr>
      <w:hyperlink w:anchor="_Toc423359340" w:history="1">
        <w:r w:rsidR="00B25F63" w:rsidRPr="00962705">
          <w:rPr>
            <w:rStyle w:val="Hyperlink"/>
            <w:noProof/>
            <w:lang w:eastAsia="en-US"/>
          </w:rPr>
          <w:t>II.</w:t>
        </w:r>
        <w:r w:rsidR="00B25F63" w:rsidRPr="00745C24">
          <w:rPr>
            <w:rFonts w:ascii="Calibri" w:eastAsia="SimSun" w:hAnsi="Calibri"/>
            <w:noProof/>
            <w:sz w:val="22"/>
            <w:szCs w:val="22"/>
          </w:rPr>
          <w:tab/>
        </w:r>
        <w:r w:rsidR="00B25F63" w:rsidRPr="00962705">
          <w:rPr>
            <w:rStyle w:val="Hyperlink"/>
            <w:noProof/>
            <w:lang w:eastAsia="en-US"/>
          </w:rPr>
          <w:t>Gender Considerations at Implementation</w:t>
        </w:r>
        <w:r w:rsidR="00B25F63">
          <w:rPr>
            <w:noProof/>
            <w:webHidden/>
          </w:rPr>
          <w:tab/>
        </w:r>
        <w:r w:rsidR="00B25F63">
          <w:rPr>
            <w:noProof/>
            <w:webHidden/>
          </w:rPr>
          <w:fldChar w:fldCharType="begin"/>
        </w:r>
        <w:r w:rsidR="00B25F63">
          <w:rPr>
            <w:noProof/>
            <w:webHidden/>
          </w:rPr>
          <w:instrText xml:space="preserve"> PAGEREF _Toc423359340 \h </w:instrText>
        </w:r>
        <w:r w:rsidR="00B25F63">
          <w:rPr>
            <w:noProof/>
            <w:webHidden/>
          </w:rPr>
        </w:r>
        <w:r w:rsidR="00B25F63">
          <w:rPr>
            <w:noProof/>
            <w:webHidden/>
          </w:rPr>
          <w:fldChar w:fldCharType="separate"/>
        </w:r>
        <w:r w:rsidR="00B545F7">
          <w:rPr>
            <w:noProof/>
            <w:webHidden/>
          </w:rPr>
          <w:t>24</w:t>
        </w:r>
        <w:r w:rsidR="00B25F63">
          <w:rPr>
            <w:noProof/>
            <w:webHidden/>
          </w:rPr>
          <w:fldChar w:fldCharType="end"/>
        </w:r>
      </w:hyperlink>
    </w:p>
    <w:p w:rsidR="00B25F63" w:rsidRPr="00745C24" w:rsidRDefault="00C05C3D">
      <w:pPr>
        <w:pStyle w:val="TOC3"/>
        <w:rPr>
          <w:rFonts w:ascii="Calibri" w:eastAsia="SimSun" w:hAnsi="Calibri"/>
          <w:noProof/>
          <w:sz w:val="22"/>
          <w:szCs w:val="22"/>
        </w:rPr>
      </w:pPr>
      <w:hyperlink w:anchor="_Toc423359341" w:history="1">
        <w:r w:rsidR="00B25F63" w:rsidRPr="00962705">
          <w:rPr>
            <w:rStyle w:val="Hyperlink"/>
            <w:noProof/>
            <w:lang w:eastAsia="en-US"/>
          </w:rPr>
          <w:t>III.</w:t>
        </w:r>
        <w:r w:rsidR="00B25F63" w:rsidRPr="00745C24">
          <w:rPr>
            <w:rFonts w:ascii="Calibri" w:eastAsia="SimSun" w:hAnsi="Calibri"/>
            <w:noProof/>
            <w:sz w:val="22"/>
            <w:szCs w:val="22"/>
          </w:rPr>
          <w:tab/>
        </w:r>
        <w:r w:rsidR="00B25F63" w:rsidRPr="00962705">
          <w:rPr>
            <w:rStyle w:val="Hyperlink"/>
            <w:noProof/>
            <w:lang w:eastAsia="en-US"/>
          </w:rPr>
          <w:t>Progress Against the Gender Indicators</w:t>
        </w:r>
        <w:r w:rsidR="00B25F63">
          <w:rPr>
            <w:noProof/>
            <w:webHidden/>
          </w:rPr>
          <w:tab/>
        </w:r>
        <w:r w:rsidR="00B25F63">
          <w:rPr>
            <w:noProof/>
            <w:webHidden/>
          </w:rPr>
          <w:fldChar w:fldCharType="begin"/>
        </w:r>
        <w:r w:rsidR="00B25F63">
          <w:rPr>
            <w:noProof/>
            <w:webHidden/>
          </w:rPr>
          <w:instrText xml:space="preserve"> PAGEREF _Toc423359341 \h </w:instrText>
        </w:r>
        <w:r w:rsidR="00B25F63">
          <w:rPr>
            <w:noProof/>
            <w:webHidden/>
          </w:rPr>
        </w:r>
        <w:r w:rsidR="00B25F63">
          <w:rPr>
            <w:noProof/>
            <w:webHidden/>
          </w:rPr>
          <w:fldChar w:fldCharType="separate"/>
        </w:r>
        <w:r w:rsidR="00B545F7">
          <w:rPr>
            <w:noProof/>
            <w:webHidden/>
          </w:rPr>
          <w:t>24</w:t>
        </w:r>
        <w:r w:rsidR="00B25F63">
          <w:rPr>
            <w:noProof/>
            <w:webHidden/>
          </w:rPr>
          <w:fldChar w:fldCharType="end"/>
        </w:r>
      </w:hyperlink>
    </w:p>
    <w:p w:rsidR="00B25F63" w:rsidRPr="00745C24" w:rsidRDefault="00C05C3D">
      <w:pPr>
        <w:pStyle w:val="TOC3"/>
        <w:rPr>
          <w:rFonts w:ascii="Calibri" w:eastAsia="SimSun" w:hAnsi="Calibri"/>
          <w:noProof/>
          <w:sz w:val="22"/>
          <w:szCs w:val="22"/>
        </w:rPr>
      </w:pPr>
      <w:hyperlink w:anchor="_Toc423359342" w:history="1">
        <w:r w:rsidR="00B25F63" w:rsidRPr="00962705">
          <w:rPr>
            <w:rStyle w:val="Hyperlink"/>
            <w:noProof/>
            <w:lang w:eastAsia="en-US"/>
          </w:rPr>
          <w:t>IV.</w:t>
        </w:r>
        <w:r w:rsidR="00B25F63" w:rsidRPr="00745C24">
          <w:rPr>
            <w:rFonts w:ascii="Calibri" w:eastAsia="SimSun" w:hAnsi="Calibri"/>
            <w:noProof/>
            <w:sz w:val="22"/>
            <w:szCs w:val="22"/>
          </w:rPr>
          <w:tab/>
        </w:r>
        <w:r w:rsidR="00B25F63" w:rsidRPr="00962705">
          <w:rPr>
            <w:rStyle w:val="Hyperlink"/>
            <w:noProof/>
            <w:lang w:eastAsia="en-US"/>
          </w:rPr>
          <w:t>Overall Assessment</w:t>
        </w:r>
        <w:r w:rsidR="00B25F63">
          <w:rPr>
            <w:noProof/>
            <w:webHidden/>
          </w:rPr>
          <w:tab/>
        </w:r>
        <w:r w:rsidR="00B25F63">
          <w:rPr>
            <w:noProof/>
            <w:webHidden/>
          </w:rPr>
          <w:fldChar w:fldCharType="begin"/>
        </w:r>
        <w:r w:rsidR="00B25F63">
          <w:rPr>
            <w:noProof/>
            <w:webHidden/>
          </w:rPr>
          <w:instrText xml:space="preserve"> PAGEREF _Toc423359342 \h </w:instrText>
        </w:r>
        <w:r w:rsidR="00B25F63">
          <w:rPr>
            <w:noProof/>
            <w:webHidden/>
          </w:rPr>
        </w:r>
        <w:r w:rsidR="00B25F63">
          <w:rPr>
            <w:noProof/>
            <w:webHidden/>
          </w:rPr>
          <w:fldChar w:fldCharType="separate"/>
        </w:r>
        <w:r w:rsidR="00B545F7">
          <w:rPr>
            <w:noProof/>
            <w:webHidden/>
          </w:rPr>
          <w:t>25</w:t>
        </w:r>
        <w:r w:rsidR="00B25F63">
          <w:rPr>
            <w:noProof/>
            <w:webHidden/>
          </w:rPr>
          <w:fldChar w:fldCharType="end"/>
        </w:r>
      </w:hyperlink>
    </w:p>
    <w:p w:rsidR="00B25F63" w:rsidRPr="00745C24" w:rsidRDefault="00C05C3D">
      <w:pPr>
        <w:pStyle w:val="TOC2"/>
        <w:rPr>
          <w:rFonts w:ascii="Calibri" w:eastAsia="SimSun" w:hAnsi="Calibri"/>
          <w:noProof/>
          <w:szCs w:val="22"/>
        </w:rPr>
      </w:pPr>
      <w:hyperlink w:anchor="_Toc423359343" w:history="1">
        <w:r w:rsidR="00B25F63" w:rsidRPr="00962705">
          <w:rPr>
            <w:rStyle w:val="Hyperlink"/>
            <w:noProof/>
            <w:lang w:eastAsia="en-US"/>
          </w:rPr>
          <w:t>G.</w:t>
        </w:r>
        <w:r w:rsidR="00B25F63" w:rsidRPr="00745C24">
          <w:rPr>
            <w:rFonts w:ascii="Calibri" w:eastAsia="SimSun" w:hAnsi="Calibri"/>
            <w:noProof/>
            <w:szCs w:val="22"/>
          </w:rPr>
          <w:tab/>
        </w:r>
        <w:r w:rsidR="00B25F63" w:rsidRPr="00962705">
          <w:rPr>
            <w:rStyle w:val="Hyperlink"/>
            <w:noProof/>
            <w:lang w:eastAsia="en-US"/>
          </w:rPr>
          <w:t>Monitoring and Evaluation</w:t>
        </w:r>
        <w:r w:rsidR="00B25F63">
          <w:rPr>
            <w:noProof/>
            <w:webHidden/>
          </w:rPr>
          <w:tab/>
        </w:r>
        <w:r w:rsidR="00B25F63">
          <w:rPr>
            <w:noProof/>
            <w:webHidden/>
          </w:rPr>
          <w:fldChar w:fldCharType="begin"/>
        </w:r>
        <w:r w:rsidR="00B25F63">
          <w:rPr>
            <w:noProof/>
            <w:webHidden/>
          </w:rPr>
          <w:instrText xml:space="preserve"> PAGEREF _Toc423359343 \h </w:instrText>
        </w:r>
        <w:r w:rsidR="00B25F63">
          <w:rPr>
            <w:noProof/>
            <w:webHidden/>
          </w:rPr>
        </w:r>
        <w:r w:rsidR="00B25F63">
          <w:rPr>
            <w:noProof/>
            <w:webHidden/>
          </w:rPr>
          <w:fldChar w:fldCharType="separate"/>
        </w:r>
        <w:r w:rsidR="00B545F7">
          <w:rPr>
            <w:noProof/>
            <w:webHidden/>
          </w:rPr>
          <w:t>26</w:t>
        </w:r>
        <w:r w:rsidR="00B25F63">
          <w:rPr>
            <w:noProof/>
            <w:webHidden/>
          </w:rPr>
          <w:fldChar w:fldCharType="end"/>
        </w:r>
      </w:hyperlink>
    </w:p>
    <w:p w:rsidR="00B25F63" w:rsidRPr="00745C24" w:rsidRDefault="00C05C3D">
      <w:pPr>
        <w:pStyle w:val="TOC3"/>
        <w:rPr>
          <w:rFonts w:ascii="Calibri" w:eastAsia="SimSun" w:hAnsi="Calibri"/>
          <w:noProof/>
          <w:sz w:val="22"/>
          <w:szCs w:val="22"/>
        </w:rPr>
      </w:pPr>
      <w:hyperlink w:anchor="_Toc423359344" w:history="1">
        <w:r w:rsidR="00B25F63" w:rsidRPr="00962705">
          <w:rPr>
            <w:rStyle w:val="Hyperlink"/>
            <w:noProof/>
          </w:rPr>
          <w:t>I.</w:t>
        </w:r>
        <w:r w:rsidR="00B25F63" w:rsidRPr="00745C24">
          <w:rPr>
            <w:rFonts w:ascii="Calibri" w:eastAsia="SimSun" w:hAnsi="Calibri"/>
            <w:noProof/>
            <w:sz w:val="22"/>
            <w:szCs w:val="22"/>
          </w:rPr>
          <w:tab/>
        </w:r>
        <w:r w:rsidR="00B25F63" w:rsidRPr="00962705">
          <w:rPr>
            <w:rStyle w:val="Hyperlink"/>
            <w:noProof/>
          </w:rPr>
          <w:t>M&amp;E Considerations at Design</w:t>
        </w:r>
        <w:r w:rsidR="00B25F63">
          <w:rPr>
            <w:noProof/>
            <w:webHidden/>
          </w:rPr>
          <w:tab/>
        </w:r>
        <w:r w:rsidR="00B25F63">
          <w:rPr>
            <w:noProof/>
            <w:webHidden/>
          </w:rPr>
          <w:fldChar w:fldCharType="begin"/>
        </w:r>
        <w:r w:rsidR="00B25F63">
          <w:rPr>
            <w:noProof/>
            <w:webHidden/>
          </w:rPr>
          <w:instrText xml:space="preserve"> PAGEREF _Toc423359344 \h </w:instrText>
        </w:r>
        <w:r w:rsidR="00B25F63">
          <w:rPr>
            <w:noProof/>
            <w:webHidden/>
          </w:rPr>
        </w:r>
        <w:r w:rsidR="00B25F63">
          <w:rPr>
            <w:noProof/>
            <w:webHidden/>
          </w:rPr>
          <w:fldChar w:fldCharType="separate"/>
        </w:r>
        <w:r w:rsidR="00B545F7">
          <w:rPr>
            <w:noProof/>
            <w:webHidden/>
          </w:rPr>
          <w:t>26</w:t>
        </w:r>
        <w:r w:rsidR="00B25F63">
          <w:rPr>
            <w:noProof/>
            <w:webHidden/>
          </w:rPr>
          <w:fldChar w:fldCharType="end"/>
        </w:r>
      </w:hyperlink>
    </w:p>
    <w:p w:rsidR="00B25F63" w:rsidRPr="00745C24" w:rsidRDefault="00C05C3D">
      <w:pPr>
        <w:pStyle w:val="TOC3"/>
        <w:rPr>
          <w:rFonts w:ascii="Calibri" w:eastAsia="SimSun" w:hAnsi="Calibri"/>
          <w:noProof/>
          <w:sz w:val="22"/>
          <w:szCs w:val="22"/>
        </w:rPr>
      </w:pPr>
      <w:hyperlink w:anchor="_Toc423359345" w:history="1">
        <w:r w:rsidR="00B25F63" w:rsidRPr="00962705">
          <w:rPr>
            <w:rStyle w:val="Hyperlink"/>
            <w:noProof/>
          </w:rPr>
          <w:t>II.</w:t>
        </w:r>
        <w:r w:rsidR="00B25F63" w:rsidRPr="00745C24">
          <w:rPr>
            <w:rFonts w:ascii="Calibri" w:eastAsia="SimSun" w:hAnsi="Calibri"/>
            <w:noProof/>
            <w:sz w:val="22"/>
            <w:szCs w:val="22"/>
          </w:rPr>
          <w:tab/>
        </w:r>
        <w:r w:rsidR="00B25F63" w:rsidRPr="00962705">
          <w:rPr>
            <w:rStyle w:val="Hyperlink"/>
            <w:noProof/>
          </w:rPr>
          <w:t>M&amp;E at Implementation</w:t>
        </w:r>
        <w:r w:rsidR="00B25F63">
          <w:rPr>
            <w:noProof/>
            <w:webHidden/>
          </w:rPr>
          <w:tab/>
        </w:r>
        <w:r w:rsidR="00B25F63">
          <w:rPr>
            <w:noProof/>
            <w:webHidden/>
          </w:rPr>
          <w:fldChar w:fldCharType="begin"/>
        </w:r>
        <w:r w:rsidR="00B25F63">
          <w:rPr>
            <w:noProof/>
            <w:webHidden/>
          </w:rPr>
          <w:instrText xml:space="preserve"> PAGEREF _Toc423359345 \h </w:instrText>
        </w:r>
        <w:r w:rsidR="00B25F63">
          <w:rPr>
            <w:noProof/>
            <w:webHidden/>
          </w:rPr>
        </w:r>
        <w:r w:rsidR="00B25F63">
          <w:rPr>
            <w:noProof/>
            <w:webHidden/>
          </w:rPr>
          <w:fldChar w:fldCharType="separate"/>
        </w:r>
        <w:r w:rsidR="00B545F7">
          <w:rPr>
            <w:noProof/>
            <w:webHidden/>
          </w:rPr>
          <w:t>26</w:t>
        </w:r>
        <w:r w:rsidR="00B25F63">
          <w:rPr>
            <w:noProof/>
            <w:webHidden/>
          </w:rPr>
          <w:fldChar w:fldCharType="end"/>
        </w:r>
      </w:hyperlink>
    </w:p>
    <w:p w:rsidR="00B25F63" w:rsidRPr="00745C24" w:rsidRDefault="00C05C3D">
      <w:pPr>
        <w:pStyle w:val="TOC3"/>
        <w:rPr>
          <w:rFonts w:ascii="Calibri" w:eastAsia="SimSun" w:hAnsi="Calibri"/>
          <w:noProof/>
          <w:sz w:val="22"/>
          <w:szCs w:val="22"/>
        </w:rPr>
      </w:pPr>
      <w:hyperlink w:anchor="_Toc423359346" w:history="1">
        <w:r w:rsidR="00B25F63" w:rsidRPr="00962705">
          <w:rPr>
            <w:rStyle w:val="Hyperlink"/>
            <w:noProof/>
          </w:rPr>
          <w:t>III.</w:t>
        </w:r>
        <w:r w:rsidR="00B25F63" w:rsidRPr="00745C24">
          <w:rPr>
            <w:rFonts w:ascii="Calibri" w:eastAsia="SimSun" w:hAnsi="Calibri"/>
            <w:noProof/>
            <w:sz w:val="22"/>
            <w:szCs w:val="22"/>
          </w:rPr>
          <w:tab/>
        </w:r>
        <w:r w:rsidR="00B25F63" w:rsidRPr="00962705">
          <w:rPr>
            <w:rStyle w:val="Hyperlink"/>
            <w:noProof/>
          </w:rPr>
          <w:t>Assessment of the M&amp;E System</w:t>
        </w:r>
        <w:r w:rsidR="00B25F63">
          <w:rPr>
            <w:noProof/>
            <w:webHidden/>
          </w:rPr>
          <w:tab/>
        </w:r>
        <w:r w:rsidR="00B25F63">
          <w:rPr>
            <w:noProof/>
            <w:webHidden/>
          </w:rPr>
          <w:fldChar w:fldCharType="begin"/>
        </w:r>
        <w:r w:rsidR="00B25F63">
          <w:rPr>
            <w:noProof/>
            <w:webHidden/>
          </w:rPr>
          <w:instrText xml:space="preserve"> PAGEREF _Toc423359346 \h </w:instrText>
        </w:r>
        <w:r w:rsidR="00B25F63">
          <w:rPr>
            <w:noProof/>
            <w:webHidden/>
          </w:rPr>
        </w:r>
        <w:r w:rsidR="00B25F63">
          <w:rPr>
            <w:noProof/>
            <w:webHidden/>
          </w:rPr>
          <w:fldChar w:fldCharType="separate"/>
        </w:r>
        <w:r w:rsidR="00B545F7">
          <w:rPr>
            <w:noProof/>
            <w:webHidden/>
          </w:rPr>
          <w:t>27</w:t>
        </w:r>
        <w:r w:rsidR="00B25F63">
          <w:rPr>
            <w:noProof/>
            <w:webHidden/>
          </w:rPr>
          <w:fldChar w:fldCharType="end"/>
        </w:r>
      </w:hyperlink>
    </w:p>
    <w:p w:rsidR="00B25F63" w:rsidRPr="00745C24" w:rsidRDefault="00C05C3D">
      <w:pPr>
        <w:pStyle w:val="TOC3"/>
        <w:rPr>
          <w:rFonts w:ascii="Calibri" w:eastAsia="SimSun" w:hAnsi="Calibri"/>
          <w:noProof/>
          <w:sz w:val="22"/>
          <w:szCs w:val="22"/>
        </w:rPr>
      </w:pPr>
      <w:hyperlink w:anchor="_Toc423359347" w:history="1">
        <w:r w:rsidR="00B25F63" w:rsidRPr="00962705">
          <w:rPr>
            <w:rStyle w:val="Hyperlink"/>
            <w:noProof/>
          </w:rPr>
          <w:t>IV.</w:t>
        </w:r>
        <w:r w:rsidR="00B25F63" w:rsidRPr="00745C24">
          <w:rPr>
            <w:rFonts w:ascii="Calibri" w:eastAsia="SimSun" w:hAnsi="Calibri"/>
            <w:noProof/>
            <w:sz w:val="22"/>
            <w:szCs w:val="22"/>
          </w:rPr>
          <w:tab/>
        </w:r>
        <w:r w:rsidR="00B25F63" w:rsidRPr="00962705">
          <w:rPr>
            <w:rStyle w:val="Hyperlink"/>
            <w:noProof/>
          </w:rPr>
          <w:t>Overall Assessment</w:t>
        </w:r>
        <w:r w:rsidR="00B25F63">
          <w:rPr>
            <w:noProof/>
            <w:webHidden/>
          </w:rPr>
          <w:tab/>
        </w:r>
        <w:r w:rsidR="00B25F63">
          <w:rPr>
            <w:noProof/>
            <w:webHidden/>
          </w:rPr>
          <w:fldChar w:fldCharType="begin"/>
        </w:r>
        <w:r w:rsidR="00B25F63">
          <w:rPr>
            <w:noProof/>
            <w:webHidden/>
          </w:rPr>
          <w:instrText xml:space="preserve"> PAGEREF _Toc423359347 \h </w:instrText>
        </w:r>
        <w:r w:rsidR="00B25F63">
          <w:rPr>
            <w:noProof/>
            <w:webHidden/>
          </w:rPr>
        </w:r>
        <w:r w:rsidR="00B25F63">
          <w:rPr>
            <w:noProof/>
            <w:webHidden/>
          </w:rPr>
          <w:fldChar w:fldCharType="separate"/>
        </w:r>
        <w:r w:rsidR="00B545F7">
          <w:rPr>
            <w:noProof/>
            <w:webHidden/>
          </w:rPr>
          <w:t>28</w:t>
        </w:r>
        <w:r w:rsidR="00B25F63">
          <w:rPr>
            <w:noProof/>
            <w:webHidden/>
          </w:rPr>
          <w:fldChar w:fldCharType="end"/>
        </w:r>
      </w:hyperlink>
    </w:p>
    <w:p w:rsidR="00B25F63" w:rsidRPr="00745C24" w:rsidRDefault="00C05C3D">
      <w:pPr>
        <w:pStyle w:val="TOC1"/>
        <w:tabs>
          <w:tab w:val="left" w:pos="600"/>
        </w:tabs>
        <w:rPr>
          <w:rFonts w:ascii="Calibri" w:eastAsia="SimSun" w:hAnsi="Calibri" w:cs="Times New Roman"/>
          <w:b w:val="0"/>
          <w:bCs w:val="0"/>
          <w:caps w:val="0"/>
          <w:szCs w:val="22"/>
          <w:lang w:val="en-US" w:eastAsia="zh-CN"/>
        </w:rPr>
      </w:pPr>
      <w:hyperlink w:anchor="_Toc423359348" w:history="1">
        <w:r w:rsidR="00B25F63" w:rsidRPr="00962705">
          <w:rPr>
            <w:rStyle w:val="Hyperlink"/>
          </w:rPr>
          <w:t>III.</w:t>
        </w:r>
        <w:r w:rsidR="00B25F63" w:rsidRPr="00745C24">
          <w:rPr>
            <w:rFonts w:ascii="Calibri" w:eastAsia="SimSun" w:hAnsi="Calibri" w:cs="Times New Roman"/>
            <w:b w:val="0"/>
            <w:bCs w:val="0"/>
            <w:caps w:val="0"/>
            <w:szCs w:val="22"/>
            <w:lang w:val="en-US" w:eastAsia="zh-CN"/>
          </w:rPr>
          <w:tab/>
        </w:r>
        <w:r w:rsidR="00B25F63" w:rsidRPr="00962705">
          <w:rPr>
            <w:rStyle w:val="Hyperlink"/>
            <w:kern w:val="28"/>
          </w:rPr>
          <w:t>LEARNING, CONCLUSIONS AND RECOMMENDATIONS</w:t>
        </w:r>
        <w:r w:rsidR="00B25F63">
          <w:rPr>
            <w:webHidden/>
          </w:rPr>
          <w:tab/>
        </w:r>
        <w:r w:rsidR="00B25F63">
          <w:rPr>
            <w:webHidden/>
          </w:rPr>
          <w:fldChar w:fldCharType="begin"/>
        </w:r>
        <w:r w:rsidR="00B25F63">
          <w:rPr>
            <w:webHidden/>
          </w:rPr>
          <w:instrText xml:space="preserve"> PAGEREF _Toc423359348 \h </w:instrText>
        </w:r>
        <w:r w:rsidR="00B25F63">
          <w:rPr>
            <w:webHidden/>
          </w:rPr>
        </w:r>
        <w:r w:rsidR="00B25F63">
          <w:rPr>
            <w:webHidden/>
          </w:rPr>
          <w:fldChar w:fldCharType="separate"/>
        </w:r>
        <w:r w:rsidR="00B545F7">
          <w:rPr>
            <w:webHidden/>
          </w:rPr>
          <w:t>29</w:t>
        </w:r>
        <w:r w:rsidR="00B25F63">
          <w:rPr>
            <w:webHidden/>
          </w:rPr>
          <w:fldChar w:fldCharType="end"/>
        </w:r>
      </w:hyperlink>
    </w:p>
    <w:p w:rsidR="00B25F63" w:rsidRPr="00745C24" w:rsidRDefault="00C05C3D">
      <w:pPr>
        <w:pStyle w:val="TOC2"/>
        <w:rPr>
          <w:rFonts w:ascii="Calibri" w:eastAsia="SimSun" w:hAnsi="Calibri"/>
          <w:noProof/>
          <w:szCs w:val="22"/>
        </w:rPr>
      </w:pPr>
      <w:hyperlink w:anchor="_Toc423359349" w:history="1">
        <w:r w:rsidR="00B25F63" w:rsidRPr="00962705">
          <w:rPr>
            <w:rStyle w:val="Hyperlink"/>
            <w:noProof/>
            <w:lang w:eastAsia="en-US"/>
          </w:rPr>
          <w:t>A.</w:t>
        </w:r>
        <w:r w:rsidR="00B25F63" w:rsidRPr="00745C24">
          <w:rPr>
            <w:rFonts w:ascii="Calibri" w:eastAsia="SimSun" w:hAnsi="Calibri"/>
            <w:noProof/>
            <w:szCs w:val="22"/>
          </w:rPr>
          <w:tab/>
        </w:r>
        <w:r w:rsidR="00B25F63" w:rsidRPr="00962705">
          <w:rPr>
            <w:rStyle w:val="Hyperlink"/>
            <w:noProof/>
            <w:lang w:eastAsia="en-US"/>
          </w:rPr>
          <w:t>Analysis and Learning at Implementation</w:t>
        </w:r>
        <w:r w:rsidR="00B25F63">
          <w:rPr>
            <w:noProof/>
            <w:webHidden/>
          </w:rPr>
          <w:tab/>
        </w:r>
        <w:r w:rsidR="00B25F63">
          <w:rPr>
            <w:noProof/>
            <w:webHidden/>
          </w:rPr>
          <w:fldChar w:fldCharType="begin"/>
        </w:r>
        <w:r w:rsidR="00B25F63">
          <w:rPr>
            <w:noProof/>
            <w:webHidden/>
          </w:rPr>
          <w:instrText xml:space="preserve"> PAGEREF _Toc423359349 \h </w:instrText>
        </w:r>
        <w:r w:rsidR="00B25F63">
          <w:rPr>
            <w:noProof/>
            <w:webHidden/>
          </w:rPr>
        </w:r>
        <w:r w:rsidR="00B25F63">
          <w:rPr>
            <w:noProof/>
            <w:webHidden/>
          </w:rPr>
          <w:fldChar w:fldCharType="separate"/>
        </w:r>
        <w:r w:rsidR="00B545F7">
          <w:rPr>
            <w:noProof/>
            <w:webHidden/>
          </w:rPr>
          <w:t>29</w:t>
        </w:r>
        <w:r w:rsidR="00B25F63">
          <w:rPr>
            <w:noProof/>
            <w:webHidden/>
          </w:rPr>
          <w:fldChar w:fldCharType="end"/>
        </w:r>
      </w:hyperlink>
    </w:p>
    <w:p w:rsidR="00B25F63" w:rsidRPr="00745C24" w:rsidRDefault="00C05C3D">
      <w:pPr>
        <w:pStyle w:val="TOC2"/>
        <w:rPr>
          <w:rFonts w:ascii="Calibri" w:eastAsia="SimSun" w:hAnsi="Calibri"/>
          <w:noProof/>
          <w:szCs w:val="22"/>
        </w:rPr>
      </w:pPr>
      <w:hyperlink w:anchor="_Toc423359350" w:history="1">
        <w:r w:rsidR="00B25F63" w:rsidRPr="00962705">
          <w:rPr>
            <w:rStyle w:val="Hyperlink"/>
            <w:noProof/>
            <w:lang w:eastAsia="en-US"/>
          </w:rPr>
          <w:t>B.</w:t>
        </w:r>
        <w:r w:rsidR="00B25F63" w:rsidRPr="00745C24">
          <w:rPr>
            <w:rFonts w:ascii="Calibri" w:eastAsia="SimSun" w:hAnsi="Calibri"/>
            <w:noProof/>
            <w:szCs w:val="22"/>
          </w:rPr>
          <w:tab/>
        </w:r>
        <w:r w:rsidR="00B25F63" w:rsidRPr="00962705">
          <w:rPr>
            <w:rStyle w:val="Hyperlink"/>
            <w:noProof/>
            <w:lang w:eastAsia="en-US"/>
          </w:rPr>
          <w:t>Lessons Learnt</w:t>
        </w:r>
        <w:r w:rsidR="00B25F63">
          <w:rPr>
            <w:noProof/>
            <w:webHidden/>
          </w:rPr>
          <w:tab/>
        </w:r>
        <w:r w:rsidR="00B25F63">
          <w:rPr>
            <w:noProof/>
            <w:webHidden/>
          </w:rPr>
          <w:fldChar w:fldCharType="begin"/>
        </w:r>
        <w:r w:rsidR="00B25F63">
          <w:rPr>
            <w:noProof/>
            <w:webHidden/>
          </w:rPr>
          <w:instrText xml:space="preserve"> PAGEREF _Toc423359350 \h </w:instrText>
        </w:r>
        <w:r w:rsidR="00B25F63">
          <w:rPr>
            <w:noProof/>
            <w:webHidden/>
          </w:rPr>
        </w:r>
        <w:r w:rsidR="00B25F63">
          <w:rPr>
            <w:noProof/>
            <w:webHidden/>
          </w:rPr>
          <w:fldChar w:fldCharType="separate"/>
        </w:r>
        <w:r w:rsidR="00B545F7">
          <w:rPr>
            <w:noProof/>
            <w:webHidden/>
          </w:rPr>
          <w:t>29</w:t>
        </w:r>
        <w:r w:rsidR="00B25F63">
          <w:rPr>
            <w:noProof/>
            <w:webHidden/>
          </w:rPr>
          <w:fldChar w:fldCharType="end"/>
        </w:r>
      </w:hyperlink>
    </w:p>
    <w:p w:rsidR="00B25F63" w:rsidRPr="00745C24" w:rsidRDefault="00C05C3D">
      <w:pPr>
        <w:pStyle w:val="TOC2"/>
        <w:rPr>
          <w:rFonts w:ascii="Calibri" w:eastAsia="SimSun" w:hAnsi="Calibri"/>
          <w:noProof/>
          <w:szCs w:val="22"/>
        </w:rPr>
      </w:pPr>
      <w:hyperlink w:anchor="_Toc423359351" w:history="1">
        <w:r w:rsidR="00B25F63" w:rsidRPr="00962705">
          <w:rPr>
            <w:rStyle w:val="Hyperlink"/>
            <w:noProof/>
            <w:lang w:eastAsia="en-US"/>
          </w:rPr>
          <w:t>C.</w:t>
        </w:r>
        <w:r w:rsidR="00B25F63" w:rsidRPr="00745C24">
          <w:rPr>
            <w:rFonts w:ascii="Calibri" w:eastAsia="SimSun" w:hAnsi="Calibri"/>
            <w:noProof/>
            <w:szCs w:val="22"/>
          </w:rPr>
          <w:tab/>
        </w:r>
        <w:r w:rsidR="00B25F63" w:rsidRPr="00962705">
          <w:rPr>
            <w:rStyle w:val="Hyperlink"/>
            <w:noProof/>
            <w:lang w:eastAsia="en-US"/>
          </w:rPr>
          <w:t>Recommendations</w:t>
        </w:r>
        <w:r w:rsidR="00B25F63">
          <w:rPr>
            <w:noProof/>
            <w:webHidden/>
          </w:rPr>
          <w:tab/>
        </w:r>
        <w:r w:rsidR="00B25F63">
          <w:rPr>
            <w:noProof/>
            <w:webHidden/>
          </w:rPr>
          <w:fldChar w:fldCharType="begin"/>
        </w:r>
        <w:r w:rsidR="00B25F63">
          <w:rPr>
            <w:noProof/>
            <w:webHidden/>
          </w:rPr>
          <w:instrText xml:space="preserve"> PAGEREF _Toc423359351 \h </w:instrText>
        </w:r>
        <w:r w:rsidR="00B25F63">
          <w:rPr>
            <w:noProof/>
            <w:webHidden/>
          </w:rPr>
        </w:r>
        <w:r w:rsidR="00B25F63">
          <w:rPr>
            <w:noProof/>
            <w:webHidden/>
          </w:rPr>
          <w:fldChar w:fldCharType="separate"/>
        </w:r>
        <w:r w:rsidR="00B545F7">
          <w:rPr>
            <w:noProof/>
            <w:webHidden/>
          </w:rPr>
          <w:t>30</w:t>
        </w:r>
        <w:r w:rsidR="00B25F63">
          <w:rPr>
            <w:noProof/>
            <w:webHidden/>
          </w:rPr>
          <w:fldChar w:fldCharType="end"/>
        </w:r>
      </w:hyperlink>
    </w:p>
    <w:p w:rsidR="00B25F63" w:rsidRPr="00745C24" w:rsidRDefault="00C05C3D">
      <w:pPr>
        <w:pStyle w:val="TOC3"/>
        <w:rPr>
          <w:rFonts w:ascii="Calibri" w:eastAsia="SimSun" w:hAnsi="Calibri"/>
          <w:noProof/>
          <w:sz w:val="22"/>
          <w:szCs w:val="22"/>
        </w:rPr>
      </w:pPr>
      <w:hyperlink w:anchor="_Toc423359352" w:history="1">
        <w:r w:rsidR="00B25F63" w:rsidRPr="00962705">
          <w:rPr>
            <w:rStyle w:val="Hyperlink"/>
            <w:noProof/>
          </w:rPr>
          <w:t>I.</w:t>
        </w:r>
        <w:r w:rsidR="00B25F63" w:rsidRPr="00745C24">
          <w:rPr>
            <w:rFonts w:ascii="Calibri" w:eastAsia="SimSun" w:hAnsi="Calibri"/>
            <w:noProof/>
            <w:sz w:val="22"/>
            <w:szCs w:val="22"/>
          </w:rPr>
          <w:tab/>
        </w:r>
        <w:r w:rsidR="00B25F63" w:rsidRPr="00962705">
          <w:rPr>
            <w:rStyle w:val="Hyperlink"/>
            <w:noProof/>
          </w:rPr>
          <w:t>Recommendations for Implementation of the HHRSDP</w:t>
        </w:r>
        <w:r w:rsidR="00B25F63">
          <w:rPr>
            <w:noProof/>
            <w:webHidden/>
          </w:rPr>
          <w:tab/>
        </w:r>
        <w:r w:rsidR="00B25F63">
          <w:rPr>
            <w:noProof/>
            <w:webHidden/>
          </w:rPr>
          <w:fldChar w:fldCharType="begin"/>
        </w:r>
        <w:r w:rsidR="00B25F63">
          <w:rPr>
            <w:noProof/>
            <w:webHidden/>
          </w:rPr>
          <w:instrText xml:space="preserve"> PAGEREF _Toc423359352 \h </w:instrText>
        </w:r>
        <w:r w:rsidR="00B25F63">
          <w:rPr>
            <w:noProof/>
            <w:webHidden/>
          </w:rPr>
        </w:r>
        <w:r w:rsidR="00B25F63">
          <w:rPr>
            <w:noProof/>
            <w:webHidden/>
          </w:rPr>
          <w:fldChar w:fldCharType="separate"/>
        </w:r>
        <w:r w:rsidR="00B545F7">
          <w:rPr>
            <w:noProof/>
            <w:webHidden/>
          </w:rPr>
          <w:t>30</w:t>
        </w:r>
        <w:r w:rsidR="00B25F63">
          <w:rPr>
            <w:noProof/>
            <w:webHidden/>
          </w:rPr>
          <w:fldChar w:fldCharType="end"/>
        </w:r>
      </w:hyperlink>
    </w:p>
    <w:p w:rsidR="00B25F63" w:rsidRPr="00745C24" w:rsidRDefault="00C05C3D">
      <w:pPr>
        <w:pStyle w:val="TOC3"/>
        <w:rPr>
          <w:rFonts w:ascii="Calibri" w:eastAsia="SimSun" w:hAnsi="Calibri"/>
          <w:noProof/>
          <w:sz w:val="22"/>
          <w:szCs w:val="22"/>
        </w:rPr>
      </w:pPr>
      <w:hyperlink w:anchor="_Toc423359353" w:history="1">
        <w:r w:rsidR="00B25F63" w:rsidRPr="00962705">
          <w:rPr>
            <w:rStyle w:val="Hyperlink"/>
            <w:noProof/>
          </w:rPr>
          <w:t>II.</w:t>
        </w:r>
        <w:r w:rsidR="00B25F63" w:rsidRPr="00745C24">
          <w:rPr>
            <w:rFonts w:ascii="Calibri" w:eastAsia="SimSun" w:hAnsi="Calibri"/>
            <w:noProof/>
            <w:sz w:val="22"/>
            <w:szCs w:val="22"/>
          </w:rPr>
          <w:tab/>
        </w:r>
        <w:r w:rsidR="00B25F63" w:rsidRPr="00962705">
          <w:rPr>
            <w:rStyle w:val="Hyperlink"/>
            <w:noProof/>
          </w:rPr>
          <w:t>Recommendations for Future Programming</w:t>
        </w:r>
        <w:r w:rsidR="00B25F63">
          <w:rPr>
            <w:noProof/>
            <w:webHidden/>
          </w:rPr>
          <w:tab/>
        </w:r>
        <w:r w:rsidR="00B25F63">
          <w:rPr>
            <w:noProof/>
            <w:webHidden/>
          </w:rPr>
          <w:fldChar w:fldCharType="begin"/>
        </w:r>
        <w:r w:rsidR="00B25F63">
          <w:rPr>
            <w:noProof/>
            <w:webHidden/>
          </w:rPr>
          <w:instrText xml:space="preserve"> PAGEREF _Toc423359353 \h </w:instrText>
        </w:r>
        <w:r w:rsidR="00B25F63">
          <w:rPr>
            <w:noProof/>
            <w:webHidden/>
          </w:rPr>
        </w:r>
        <w:r w:rsidR="00B25F63">
          <w:rPr>
            <w:noProof/>
            <w:webHidden/>
          </w:rPr>
          <w:fldChar w:fldCharType="separate"/>
        </w:r>
        <w:r w:rsidR="00B545F7">
          <w:rPr>
            <w:noProof/>
            <w:webHidden/>
          </w:rPr>
          <w:t>31</w:t>
        </w:r>
        <w:r w:rsidR="00B25F63">
          <w:rPr>
            <w:noProof/>
            <w:webHidden/>
          </w:rPr>
          <w:fldChar w:fldCharType="end"/>
        </w:r>
      </w:hyperlink>
    </w:p>
    <w:p w:rsidR="00B25F63" w:rsidRPr="00745C24" w:rsidRDefault="00C05C3D">
      <w:pPr>
        <w:pStyle w:val="TOC1"/>
        <w:tabs>
          <w:tab w:val="left" w:pos="1601"/>
        </w:tabs>
        <w:rPr>
          <w:rFonts w:ascii="Calibri" w:eastAsia="SimSun" w:hAnsi="Calibri" w:cs="Times New Roman"/>
          <w:b w:val="0"/>
          <w:bCs w:val="0"/>
          <w:caps w:val="0"/>
          <w:sz w:val="21"/>
          <w:szCs w:val="21"/>
          <w:lang w:val="en-US" w:eastAsia="zh-CN"/>
        </w:rPr>
      </w:pPr>
      <w:hyperlink w:anchor="_Toc423359354" w:history="1">
        <w:r w:rsidR="00B25F63" w:rsidRPr="00B25F63">
          <w:rPr>
            <w:rStyle w:val="Hyperlink"/>
            <w:b w:val="0"/>
            <w:iCs/>
            <w:sz w:val="21"/>
            <w:szCs w:val="21"/>
          </w:rPr>
          <w:t>APPENDIX 1:</w:t>
        </w:r>
        <w:r w:rsidR="00B25F63" w:rsidRPr="00745C24">
          <w:rPr>
            <w:rFonts w:ascii="Calibri" w:eastAsia="SimSun" w:hAnsi="Calibri" w:cs="Times New Roman"/>
            <w:b w:val="0"/>
            <w:bCs w:val="0"/>
            <w:caps w:val="0"/>
            <w:sz w:val="21"/>
            <w:szCs w:val="21"/>
            <w:lang w:val="en-US" w:eastAsia="zh-CN"/>
          </w:rPr>
          <w:tab/>
        </w:r>
        <w:r w:rsidR="00B25F63" w:rsidRPr="00B25F63">
          <w:rPr>
            <w:rStyle w:val="Hyperlink"/>
            <w:b w:val="0"/>
            <w:iCs/>
            <w:sz w:val="21"/>
            <w:szCs w:val="21"/>
          </w:rPr>
          <w:t>ICE EVALUATION CRITERIA</w:t>
        </w:r>
        <w:r w:rsidR="00B25F63" w:rsidRPr="00B25F63">
          <w:rPr>
            <w:b w:val="0"/>
            <w:webHidden/>
            <w:sz w:val="21"/>
            <w:szCs w:val="21"/>
          </w:rPr>
          <w:tab/>
        </w:r>
        <w:r w:rsidR="00B25F63" w:rsidRPr="00B25F63">
          <w:rPr>
            <w:b w:val="0"/>
            <w:webHidden/>
            <w:sz w:val="21"/>
            <w:szCs w:val="21"/>
          </w:rPr>
          <w:fldChar w:fldCharType="begin"/>
        </w:r>
        <w:r w:rsidR="00B25F63" w:rsidRPr="00B25F63">
          <w:rPr>
            <w:b w:val="0"/>
            <w:webHidden/>
            <w:sz w:val="21"/>
            <w:szCs w:val="21"/>
          </w:rPr>
          <w:instrText xml:space="preserve"> PAGEREF _Toc423359354 \h </w:instrText>
        </w:r>
        <w:r w:rsidR="00B25F63" w:rsidRPr="00B25F63">
          <w:rPr>
            <w:b w:val="0"/>
            <w:webHidden/>
            <w:sz w:val="21"/>
            <w:szCs w:val="21"/>
          </w:rPr>
        </w:r>
        <w:r w:rsidR="00B25F63" w:rsidRPr="00B25F63">
          <w:rPr>
            <w:b w:val="0"/>
            <w:webHidden/>
            <w:sz w:val="21"/>
            <w:szCs w:val="21"/>
          </w:rPr>
          <w:fldChar w:fldCharType="separate"/>
        </w:r>
        <w:r w:rsidR="00B545F7">
          <w:rPr>
            <w:b w:val="0"/>
            <w:webHidden/>
            <w:sz w:val="21"/>
            <w:szCs w:val="21"/>
          </w:rPr>
          <w:t>32</w:t>
        </w:r>
        <w:r w:rsidR="00B25F63" w:rsidRPr="00B25F63">
          <w:rPr>
            <w:b w:val="0"/>
            <w:webHidden/>
            <w:sz w:val="21"/>
            <w:szCs w:val="21"/>
          </w:rPr>
          <w:fldChar w:fldCharType="end"/>
        </w:r>
      </w:hyperlink>
    </w:p>
    <w:p w:rsidR="00B25F63" w:rsidRPr="00745C24" w:rsidRDefault="00C05C3D">
      <w:pPr>
        <w:pStyle w:val="TOC1"/>
        <w:tabs>
          <w:tab w:val="left" w:pos="1601"/>
        </w:tabs>
        <w:rPr>
          <w:rFonts w:ascii="Calibri" w:eastAsia="SimSun" w:hAnsi="Calibri" w:cs="Times New Roman"/>
          <w:b w:val="0"/>
          <w:bCs w:val="0"/>
          <w:caps w:val="0"/>
          <w:sz w:val="21"/>
          <w:szCs w:val="21"/>
          <w:lang w:val="en-US" w:eastAsia="zh-CN"/>
        </w:rPr>
      </w:pPr>
      <w:hyperlink w:anchor="_Toc423359355" w:history="1">
        <w:r w:rsidR="00B25F63" w:rsidRPr="00B25F63">
          <w:rPr>
            <w:rStyle w:val="Hyperlink"/>
            <w:b w:val="0"/>
            <w:sz w:val="21"/>
            <w:szCs w:val="21"/>
          </w:rPr>
          <w:t>APPENDIX 2:</w:t>
        </w:r>
        <w:r w:rsidR="00B25F63" w:rsidRPr="00745C24">
          <w:rPr>
            <w:rFonts w:ascii="Calibri" w:eastAsia="SimSun" w:hAnsi="Calibri" w:cs="Times New Roman"/>
            <w:b w:val="0"/>
            <w:bCs w:val="0"/>
            <w:caps w:val="0"/>
            <w:sz w:val="21"/>
            <w:szCs w:val="21"/>
            <w:lang w:val="en-US" w:eastAsia="zh-CN"/>
          </w:rPr>
          <w:tab/>
        </w:r>
        <w:r w:rsidR="00B25F63" w:rsidRPr="00B25F63">
          <w:rPr>
            <w:rStyle w:val="Hyperlink"/>
            <w:b w:val="0"/>
            <w:sz w:val="21"/>
            <w:szCs w:val="21"/>
          </w:rPr>
          <w:t>DESIGN AND MONITORING FRAMEWORK</w:t>
        </w:r>
        <w:r w:rsidR="00B25F63" w:rsidRPr="00B25F63">
          <w:rPr>
            <w:b w:val="0"/>
            <w:webHidden/>
            <w:sz w:val="21"/>
            <w:szCs w:val="21"/>
          </w:rPr>
          <w:tab/>
        </w:r>
        <w:r w:rsidR="00B25F63" w:rsidRPr="00B25F63">
          <w:rPr>
            <w:b w:val="0"/>
            <w:webHidden/>
            <w:sz w:val="21"/>
            <w:szCs w:val="21"/>
          </w:rPr>
          <w:fldChar w:fldCharType="begin"/>
        </w:r>
        <w:r w:rsidR="00B25F63" w:rsidRPr="00B25F63">
          <w:rPr>
            <w:b w:val="0"/>
            <w:webHidden/>
            <w:sz w:val="21"/>
            <w:szCs w:val="21"/>
          </w:rPr>
          <w:instrText xml:space="preserve"> PAGEREF _Toc423359355 \h </w:instrText>
        </w:r>
        <w:r w:rsidR="00B25F63" w:rsidRPr="00B25F63">
          <w:rPr>
            <w:b w:val="0"/>
            <w:webHidden/>
            <w:sz w:val="21"/>
            <w:szCs w:val="21"/>
          </w:rPr>
        </w:r>
        <w:r w:rsidR="00B25F63" w:rsidRPr="00B25F63">
          <w:rPr>
            <w:b w:val="0"/>
            <w:webHidden/>
            <w:sz w:val="21"/>
            <w:szCs w:val="21"/>
          </w:rPr>
          <w:fldChar w:fldCharType="separate"/>
        </w:r>
        <w:r w:rsidR="00B545F7">
          <w:rPr>
            <w:b w:val="0"/>
            <w:webHidden/>
            <w:sz w:val="21"/>
            <w:szCs w:val="21"/>
          </w:rPr>
          <w:t>34</w:t>
        </w:r>
        <w:r w:rsidR="00B25F63" w:rsidRPr="00B25F63">
          <w:rPr>
            <w:b w:val="0"/>
            <w:webHidden/>
            <w:sz w:val="21"/>
            <w:szCs w:val="21"/>
          </w:rPr>
          <w:fldChar w:fldCharType="end"/>
        </w:r>
      </w:hyperlink>
    </w:p>
    <w:p w:rsidR="00B25F63" w:rsidRPr="00745C24" w:rsidRDefault="00C05C3D">
      <w:pPr>
        <w:pStyle w:val="TOC1"/>
        <w:tabs>
          <w:tab w:val="left" w:pos="1601"/>
        </w:tabs>
        <w:rPr>
          <w:rFonts w:ascii="Calibri" w:eastAsia="SimSun" w:hAnsi="Calibri" w:cs="Times New Roman"/>
          <w:b w:val="0"/>
          <w:bCs w:val="0"/>
          <w:caps w:val="0"/>
          <w:sz w:val="21"/>
          <w:szCs w:val="21"/>
          <w:lang w:val="en-US" w:eastAsia="zh-CN"/>
        </w:rPr>
      </w:pPr>
      <w:hyperlink w:anchor="_Toc423359356" w:history="1">
        <w:r w:rsidR="00B25F63" w:rsidRPr="00B25F63">
          <w:rPr>
            <w:rStyle w:val="Hyperlink"/>
            <w:b w:val="0"/>
            <w:sz w:val="21"/>
            <w:szCs w:val="21"/>
          </w:rPr>
          <w:t>APPENDIX 3:</w:t>
        </w:r>
        <w:r w:rsidR="00B25F63" w:rsidRPr="00745C24">
          <w:rPr>
            <w:rFonts w:ascii="Calibri" w:eastAsia="SimSun" w:hAnsi="Calibri" w:cs="Times New Roman"/>
            <w:b w:val="0"/>
            <w:bCs w:val="0"/>
            <w:caps w:val="0"/>
            <w:sz w:val="21"/>
            <w:szCs w:val="21"/>
            <w:lang w:val="en-US" w:eastAsia="zh-CN"/>
          </w:rPr>
          <w:tab/>
        </w:r>
        <w:r w:rsidR="00B25F63" w:rsidRPr="00B25F63">
          <w:rPr>
            <w:rStyle w:val="Hyperlink"/>
            <w:b w:val="0"/>
            <w:sz w:val="21"/>
            <w:szCs w:val="21"/>
          </w:rPr>
          <w:t>STATUS OF POLICY ACTIONS</w:t>
        </w:r>
        <w:r w:rsidR="00B25F63" w:rsidRPr="00B25F63">
          <w:rPr>
            <w:b w:val="0"/>
            <w:webHidden/>
            <w:sz w:val="21"/>
            <w:szCs w:val="21"/>
          </w:rPr>
          <w:tab/>
        </w:r>
        <w:r w:rsidR="00B25F63" w:rsidRPr="00B25F63">
          <w:rPr>
            <w:b w:val="0"/>
            <w:webHidden/>
            <w:sz w:val="21"/>
            <w:szCs w:val="21"/>
          </w:rPr>
          <w:fldChar w:fldCharType="begin"/>
        </w:r>
        <w:r w:rsidR="00B25F63" w:rsidRPr="00B25F63">
          <w:rPr>
            <w:b w:val="0"/>
            <w:webHidden/>
            <w:sz w:val="21"/>
            <w:szCs w:val="21"/>
          </w:rPr>
          <w:instrText xml:space="preserve"> PAGEREF _Toc423359356 \h </w:instrText>
        </w:r>
        <w:r w:rsidR="00B25F63" w:rsidRPr="00B25F63">
          <w:rPr>
            <w:b w:val="0"/>
            <w:webHidden/>
            <w:sz w:val="21"/>
            <w:szCs w:val="21"/>
          </w:rPr>
        </w:r>
        <w:r w:rsidR="00B25F63" w:rsidRPr="00B25F63">
          <w:rPr>
            <w:b w:val="0"/>
            <w:webHidden/>
            <w:sz w:val="21"/>
            <w:szCs w:val="21"/>
          </w:rPr>
          <w:fldChar w:fldCharType="separate"/>
        </w:r>
        <w:r w:rsidR="00B545F7">
          <w:rPr>
            <w:b w:val="0"/>
            <w:webHidden/>
            <w:sz w:val="21"/>
            <w:szCs w:val="21"/>
          </w:rPr>
          <w:t>41</w:t>
        </w:r>
        <w:r w:rsidR="00B25F63" w:rsidRPr="00B25F63">
          <w:rPr>
            <w:b w:val="0"/>
            <w:webHidden/>
            <w:sz w:val="21"/>
            <w:szCs w:val="21"/>
          </w:rPr>
          <w:fldChar w:fldCharType="end"/>
        </w:r>
      </w:hyperlink>
    </w:p>
    <w:p w:rsidR="00B25F63" w:rsidRPr="00745C24" w:rsidRDefault="00C05C3D">
      <w:pPr>
        <w:pStyle w:val="TOC1"/>
        <w:tabs>
          <w:tab w:val="left" w:pos="1601"/>
        </w:tabs>
        <w:rPr>
          <w:rFonts w:ascii="Calibri" w:eastAsia="SimSun" w:hAnsi="Calibri" w:cs="Times New Roman"/>
          <w:b w:val="0"/>
          <w:bCs w:val="0"/>
          <w:caps w:val="0"/>
          <w:sz w:val="21"/>
          <w:szCs w:val="21"/>
          <w:lang w:val="en-US" w:eastAsia="zh-CN"/>
        </w:rPr>
      </w:pPr>
      <w:hyperlink w:anchor="_Toc423359357" w:history="1">
        <w:r w:rsidR="00B25F63" w:rsidRPr="00B25F63">
          <w:rPr>
            <w:rStyle w:val="Hyperlink"/>
            <w:b w:val="0"/>
            <w:sz w:val="21"/>
            <w:szCs w:val="21"/>
          </w:rPr>
          <w:t>APPENDIX 4:</w:t>
        </w:r>
        <w:r w:rsidR="00B25F63" w:rsidRPr="00745C24">
          <w:rPr>
            <w:rFonts w:ascii="Calibri" w:eastAsia="SimSun" w:hAnsi="Calibri" w:cs="Times New Roman"/>
            <w:b w:val="0"/>
            <w:bCs w:val="0"/>
            <w:caps w:val="0"/>
            <w:sz w:val="21"/>
            <w:szCs w:val="21"/>
            <w:lang w:val="en-US" w:eastAsia="zh-CN"/>
          </w:rPr>
          <w:tab/>
        </w:r>
        <w:r w:rsidR="00B25F63" w:rsidRPr="00B25F63">
          <w:rPr>
            <w:rStyle w:val="Hyperlink"/>
            <w:b w:val="0"/>
            <w:sz w:val="21"/>
            <w:szCs w:val="21"/>
          </w:rPr>
          <w:t>TRAINING OUTPUTS</w:t>
        </w:r>
        <w:r w:rsidR="00B25F63" w:rsidRPr="00B25F63">
          <w:rPr>
            <w:b w:val="0"/>
            <w:webHidden/>
            <w:sz w:val="21"/>
            <w:szCs w:val="21"/>
          </w:rPr>
          <w:tab/>
        </w:r>
        <w:r w:rsidR="00B25F63" w:rsidRPr="00B25F63">
          <w:rPr>
            <w:b w:val="0"/>
            <w:webHidden/>
            <w:sz w:val="21"/>
            <w:szCs w:val="21"/>
          </w:rPr>
          <w:fldChar w:fldCharType="begin"/>
        </w:r>
        <w:r w:rsidR="00B25F63" w:rsidRPr="00B25F63">
          <w:rPr>
            <w:b w:val="0"/>
            <w:webHidden/>
            <w:sz w:val="21"/>
            <w:szCs w:val="21"/>
          </w:rPr>
          <w:instrText xml:space="preserve"> PAGEREF _Toc423359357 \h </w:instrText>
        </w:r>
        <w:r w:rsidR="00B25F63" w:rsidRPr="00B25F63">
          <w:rPr>
            <w:b w:val="0"/>
            <w:webHidden/>
            <w:sz w:val="21"/>
            <w:szCs w:val="21"/>
          </w:rPr>
        </w:r>
        <w:r w:rsidR="00B25F63" w:rsidRPr="00B25F63">
          <w:rPr>
            <w:b w:val="0"/>
            <w:webHidden/>
            <w:sz w:val="21"/>
            <w:szCs w:val="21"/>
          </w:rPr>
          <w:fldChar w:fldCharType="separate"/>
        </w:r>
        <w:r w:rsidR="00B545F7">
          <w:rPr>
            <w:b w:val="0"/>
            <w:webHidden/>
            <w:sz w:val="21"/>
            <w:szCs w:val="21"/>
          </w:rPr>
          <w:t>45</w:t>
        </w:r>
        <w:r w:rsidR="00B25F63" w:rsidRPr="00B25F63">
          <w:rPr>
            <w:b w:val="0"/>
            <w:webHidden/>
            <w:sz w:val="21"/>
            <w:szCs w:val="21"/>
          </w:rPr>
          <w:fldChar w:fldCharType="end"/>
        </w:r>
      </w:hyperlink>
    </w:p>
    <w:p w:rsidR="00B25F63" w:rsidRPr="00745C24" w:rsidRDefault="00C05C3D">
      <w:pPr>
        <w:pStyle w:val="TOC1"/>
        <w:tabs>
          <w:tab w:val="left" w:pos="1601"/>
        </w:tabs>
        <w:rPr>
          <w:rFonts w:ascii="Calibri" w:eastAsia="SimSun" w:hAnsi="Calibri" w:cs="Times New Roman"/>
          <w:b w:val="0"/>
          <w:bCs w:val="0"/>
          <w:caps w:val="0"/>
          <w:sz w:val="21"/>
          <w:szCs w:val="21"/>
          <w:lang w:val="en-US" w:eastAsia="zh-CN"/>
        </w:rPr>
      </w:pPr>
      <w:hyperlink w:anchor="_Toc423359358" w:history="1">
        <w:r w:rsidR="00B25F63" w:rsidRPr="00B25F63">
          <w:rPr>
            <w:rStyle w:val="Hyperlink"/>
            <w:b w:val="0"/>
            <w:sz w:val="21"/>
            <w:szCs w:val="21"/>
          </w:rPr>
          <w:t>APPENDIX 5:</w:t>
        </w:r>
        <w:r w:rsidR="00B25F63" w:rsidRPr="00745C24">
          <w:rPr>
            <w:rFonts w:ascii="Calibri" w:eastAsia="SimSun" w:hAnsi="Calibri" w:cs="Times New Roman"/>
            <w:b w:val="0"/>
            <w:bCs w:val="0"/>
            <w:caps w:val="0"/>
            <w:sz w:val="21"/>
            <w:szCs w:val="21"/>
            <w:lang w:val="en-US" w:eastAsia="zh-CN"/>
          </w:rPr>
          <w:tab/>
        </w:r>
        <w:r w:rsidR="00B25F63" w:rsidRPr="00B25F63">
          <w:rPr>
            <w:rStyle w:val="Hyperlink"/>
            <w:b w:val="0"/>
            <w:sz w:val="21"/>
            <w:szCs w:val="21"/>
          </w:rPr>
          <w:t>REGISTRATION AND LICENSING SYSTEM</w:t>
        </w:r>
        <w:r w:rsidR="00B25F63" w:rsidRPr="00B25F63">
          <w:rPr>
            <w:b w:val="0"/>
            <w:webHidden/>
            <w:sz w:val="21"/>
            <w:szCs w:val="21"/>
          </w:rPr>
          <w:tab/>
        </w:r>
        <w:r w:rsidR="00B25F63" w:rsidRPr="00B25F63">
          <w:rPr>
            <w:b w:val="0"/>
            <w:webHidden/>
            <w:sz w:val="21"/>
            <w:szCs w:val="21"/>
          </w:rPr>
          <w:fldChar w:fldCharType="begin"/>
        </w:r>
        <w:r w:rsidR="00B25F63" w:rsidRPr="00B25F63">
          <w:rPr>
            <w:b w:val="0"/>
            <w:webHidden/>
            <w:sz w:val="21"/>
            <w:szCs w:val="21"/>
          </w:rPr>
          <w:instrText xml:space="preserve"> PAGEREF _Toc423359358 \h </w:instrText>
        </w:r>
        <w:r w:rsidR="00B25F63" w:rsidRPr="00B25F63">
          <w:rPr>
            <w:b w:val="0"/>
            <w:webHidden/>
            <w:sz w:val="21"/>
            <w:szCs w:val="21"/>
          </w:rPr>
        </w:r>
        <w:r w:rsidR="00B25F63" w:rsidRPr="00B25F63">
          <w:rPr>
            <w:b w:val="0"/>
            <w:webHidden/>
            <w:sz w:val="21"/>
            <w:szCs w:val="21"/>
          </w:rPr>
          <w:fldChar w:fldCharType="separate"/>
        </w:r>
        <w:r w:rsidR="00B545F7">
          <w:rPr>
            <w:b w:val="0"/>
            <w:webHidden/>
            <w:sz w:val="21"/>
            <w:szCs w:val="21"/>
          </w:rPr>
          <w:t>48</w:t>
        </w:r>
        <w:r w:rsidR="00B25F63" w:rsidRPr="00B25F63">
          <w:rPr>
            <w:b w:val="0"/>
            <w:webHidden/>
            <w:sz w:val="21"/>
            <w:szCs w:val="21"/>
          </w:rPr>
          <w:fldChar w:fldCharType="end"/>
        </w:r>
      </w:hyperlink>
    </w:p>
    <w:p w:rsidR="00B25F63" w:rsidRPr="00745C24" w:rsidRDefault="00C05C3D">
      <w:pPr>
        <w:pStyle w:val="TOC1"/>
        <w:tabs>
          <w:tab w:val="left" w:pos="1601"/>
        </w:tabs>
        <w:rPr>
          <w:rFonts w:ascii="Calibri" w:eastAsia="SimSun" w:hAnsi="Calibri" w:cs="Times New Roman"/>
          <w:b w:val="0"/>
          <w:bCs w:val="0"/>
          <w:caps w:val="0"/>
          <w:sz w:val="21"/>
          <w:szCs w:val="21"/>
          <w:lang w:val="en-US" w:eastAsia="zh-CN"/>
        </w:rPr>
      </w:pPr>
      <w:hyperlink w:anchor="_Toc423359359" w:history="1">
        <w:r w:rsidR="00B25F63" w:rsidRPr="00B25F63">
          <w:rPr>
            <w:rStyle w:val="Hyperlink"/>
            <w:b w:val="0"/>
            <w:sz w:val="21"/>
            <w:szCs w:val="21"/>
          </w:rPr>
          <w:t>APPENDIX 6:</w:t>
        </w:r>
        <w:r w:rsidR="00B25F63" w:rsidRPr="00745C24">
          <w:rPr>
            <w:rFonts w:ascii="Calibri" w:eastAsia="SimSun" w:hAnsi="Calibri" w:cs="Times New Roman"/>
            <w:b w:val="0"/>
            <w:bCs w:val="0"/>
            <w:caps w:val="0"/>
            <w:sz w:val="21"/>
            <w:szCs w:val="21"/>
            <w:lang w:val="en-US" w:eastAsia="zh-CN"/>
          </w:rPr>
          <w:tab/>
        </w:r>
        <w:r w:rsidR="00B25F63" w:rsidRPr="00B25F63">
          <w:rPr>
            <w:rStyle w:val="Hyperlink"/>
            <w:b w:val="0"/>
            <w:sz w:val="21"/>
            <w:szCs w:val="21"/>
          </w:rPr>
          <w:t>FACILITY UPGRADE WORKS IN SEVENTEEN UNIVERSITIES</w:t>
        </w:r>
        <w:r w:rsidR="00B25F63" w:rsidRPr="00B25F63">
          <w:rPr>
            <w:b w:val="0"/>
            <w:webHidden/>
            <w:sz w:val="21"/>
            <w:szCs w:val="21"/>
          </w:rPr>
          <w:tab/>
        </w:r>
        <w:r w:rsidR="00B25F63" w:rsidRPr="00B25F63">
          <w:rPr>
            <w:b w:val="0"/>
            <w:webHidden/>
            <w:sz w:val="21"/>
            <w:szCs w:val="21"/>
          </w:rPr>
          <w:fldChar w:fldCharType="begin"/>
        </w:r>
        <w:r w:rsidR="00B25F63" w:rsidRPr="00B25F63">
          <w:rPr>
            <w:b w:val="0"/>
            <w:webHidden/>
            <w:sz w:val="21"/>
            <w:szCs w:val="21"/>
          </w:rPr>
          <w:instrText xml:space="preserve"> PAGEREF _Toc423359359 \h </w:instrText>
        </w:r>
        <w:r w:rsidR="00B25F63" w:rsidRPr="00B25F63">
          <w:rPr>
            <w:b w:val="0"/>
            <w:webHidden/>
            <w:sz w:val="21"/>
            <w:szCs w:val="21"/>
          </w:rPr>
        </w:r>
        <w:r w:rsidR="00B25F63" w:rsidRPr="00B25F63">
          <w:rPr>
            <w:b w:val="0"/>
            <w:webHidden/>
            <w:sz w:val="21"/>
            <w:szCs w:val="21"/>
          </w:rPr>
          <w:fldChar w:fldCharType="separate"/>
        </w:r>
        <w:r w:rsidR="00B545F7">
          <w:rPr>
            <w:b w:val="0"/>
            <w:webHidden/>
            <w:sz w:val="21"/>
            <w:szCs w:val="21"/>
          </w:rPr>
          <w:t>50</w:t>
        </w:r>
        <w:r w:rsidR="00B25F63" w:rsidRPr="00B25F63">
          <w:rPr>
            <w:b w:val="0"/>
            <w:webHidden/>
            <w:sz w:val="21"/>
            <w:szCs w:val="21"/>
          </w:rPr>
          <w:fldChar w:fldCharType="end"/>
        </w:r>
      </w:hyperlink>
    </w:p>
    <w:p w:rsidR="00B25F63" w:rsidRPr="00745C24" w:rsidRDefault="00C05C3D">
      <w:pPr>
        <w:pStyle w:val="TOC1"/>
        <w:tabs>
          <w:tab w:val="left" w:pos="1601"/>
        </w:tabs>
        <w:rPr>
          <w:rFonts w:ascii="Calibri" w:eastAsia="SimSun" w:hAnsi="Calibri" w:cs="Times New Roman"/>
          <w:b w:val="0"/>
          <w:bCs w:val="0"/>
          <w:caps w:val="0"/>
          <w:sz w:val="21"/>
          <w:szCs w:val="21"/>
          <w:lang w:val="en-US" w:eastAsia="zh-CN"/>
        </w:rPr>
      </w:pPr>
      <w:hyperlink w:anchor="_Toc423359360" w:history="1">
        <w:r w:rsidR="00B25F63" w:rsidRPr="00B25F63">
          <w:rPr>
            <w:rStyle w:val="Hyperlink"/>
            <w:b w:val="0"/>
            <w:sz w:val="21"/>
            <w:szCs w:val="21"/>
          </w:rPr>
          <w:t>APPENDIX 7:</w:t>
        </w:r>
        <w:r w:rsidR="00B25F63" w:rsidRPr="00745C24">
          <w:rPr>
            <w:rFonts w:ascii="Calibri" w:eastAsia="SimSun" w:hAnsi="Calibri" w:cs="Times New Roman"/>
            <w:b w:val="0"/>
            <w:bCs w:val="0"/>
            <w:caps w:val="0"/>
            <w:sz w:val="21"/>
            <w:szCs w:val="21"/>
            <w:lang w:val="en-US" w:eastAsia="zh-CN"/>
          </w:rPr>
          <w:tab/>
        </w:r>
        <w:r w:rsidR="00B25F63" w:rsidRPr="00B25F63">
          <w:rPr>
            <w:rStyle w:val="Hyperlink"/>
            <w:b w:val="0"/>
            <w:sz w:val="21"/>
            <w:szCs w:val="21"/>
          </w:rPr>
          <w:t>CARE PATHWAYS PILOT</w:t>
        </w:r>
        <w:r w:rsidR="00B25F63" w:rsidRPr="00B25F63">
          <w:rPr>
            <w:b w:val="0"/>
            <w:webHidden/>
            <w:sz w:val="21"/>
            <w:szCs w:val="21"/>
          </w:rPr>
          <w:tab/>
        </w:r>
        <w:r w:rsidR="00B25F63" w:rsidRPr="00B25F63">
          <w:rPr>
            <w:b w:val="0"/>
            <w:webHidden/>
            <w:sz w:val="21"/>
            <w:szCs w:val="21"/>
          </w:rPr>
          <w:fldChar w:fldCharType="begin"/>
        </w:r>
        <w:r w:rsidR="00B25F63" w:rsidRPr="00B25F63">
          <w:rPr>
            <w:b w:val="0"/>
            <w:webHidden/>
            <w:sz w:val="21"/>
            <w:szCs w:val="21"/>
          </w:rPr>
          <w:instrText xml:space="preserve"> PAGEREF _Toc423359360 \h </w:instrText>
        </w:r>
        <w:r w:rsidR="00B25F63" w:rsidRPr="00B25F63">
          <w:rPr>
            <w:b w:val="0"/>
            <w:webHidden/>
            <w:sz w:val="21"/>
            <w:szCs w:val="21"/>
          </w:rPr>
        </w:r>
        <w:r w:rsidR="00B25F63" w:rsidRPr="00B25F63">
          <w:rPr>
            <w:b w:val="0"/>
            <w:webHidden/>
            <w:sz w:val="21"/>
            <w:szCs w:val="21"/>
          </w:rPr>
          <w:fldChar w:fldCharType="separate"/>
        </w:r>
        <w:r w:rsidR="00B545F7">
          <w:rPr>
            <w:b w:val="0"/>
            <w:webHidden/>
            <w:sz w:val="21"/>
            <w:szCs w:val="21"/>
          </w:rPr>
          <w:t>51</w:t>
        </w:r>
        <w:r w:rsidR="00B25F63" w:rsidRPr="00B25F63">
          <w:rPr>
            <w:b w:val="0"/>
            <w:webHidden/>
            <w:sz w:val="21"/>
            <w:szCs w:val="21"/>
          </w:rPr>
          <w:fldChar w:fldCharType="end"/>
        </w:r>
      </w:hyperlink>
    </w:p>
    <w:p w:rsidR="00B25F63" w:rsidRPr="00745C24" w:rsidRDefault="00C05C3D">
      <w:pPr>
        <w:pStyle w:val="TOC1"/>
        <w:tabs>
          <w:tab w:val="left" w:pos="1601"/>
        </w:tabs>
        <w:rPr>
          <w:rFonts w:ascii="Calibri" w:eastAsia="SimSun" w:hAnsi="Calibri" w:cs="Times New Roman"/>
          <w:b w:val="0"/>
          <w:bCs w:val="0"/>
          <w:caps w:val="0"/>
          <w:sz w:val="21"/>
          <w:szCs w:val="21"/>
          <w:lang w:val="en-US" w:eastAsia="zh-CN"/>
        </w:rPr>
      </w:pPr>
      <w:hyperlink w:anchor="_Toc423359361" w:history="1">
        <w:r w:rsidR="00B25F63" w:rsidRPr="00B25F63">
          <w:rPr>
            <w:rStyle w:val="Hyperlink"/>
            <w:b w:val="0"/>
            <w:sz w:val="21"/>
            <w:szCs w:val="21"/>
          </w:rPr>
          <w:t>APPENDIX 8:</w:t>
        </w:r>
        <w:r w:rsidR="00B25F63" w:rsidRPr="00745C24">
          <w:rPr>
            <w:rFonts w:ascii="Calibri" w:eastAsia="SimSun" w:hAnsi="Calibri" w:cs="Times New Roman"/>
            <w:b w:val="0"/>
            <w:bCs w:val="0"/>
            <w:caps w:val="0"/>
            <w:sz w:val="21"/>
            <w:szCs w:val="21"/>
            <w:lang w:val="en-US" w:eastAsia="zh-CN"/>
          </w:rPr>
          <w:tab/>
        </w:r>
        <w:r w:rsidR="00B25F63" w:rsidRPr="00B25F63">
          <w:rPr>
            <w:rStyle w:val="Hyperlink"/>
            <w:b w:val="0"/>
            <w:sz w:val="21"/>
            <w:szCs w:val="21"/>
          </w:rPr>
          <w:t>EQUIPMENT PROCUREMENT</w:t>
        </w:r>
        <w:r w:rsidR="00B25F63" w:rsidRPr="00B25F63">
          <w:rPr>
            <w:b w:val="0"/>
            <w:webHidden/>
            <w:sz w:val="21"/>
            <w:szCs w:val="21"/>
          </w:rPr>
          <w:tab/>
        </w:r>
        <w:r w:rsidR="00B25F63" w:rsidRPr="00B25F63">
          <w:rPr>
            <w:b w:val="0"/>
            <w:webHidden/>
            <w:sz w:val="21"/>
            <w:szCs w:val="21"/>
          </w:rPr>
          <w:fldChar w:fldCharType="begin"/>
        </w:r>
        <w:r w:rsidR="00B25F63" w:rsidRPr="00B25F63">
          <w:rPr>
            <w:b w:val="0"/>
            <w:webHidden/>
            <w:sz w:val="21"/>
            <w:szCs w:val="21"/>
          </w:rPr>
          <w:instrText xml:space="preserve"> PAGEREF _Toc423359361 \h </w:instrText>
        </w:r>
        <w:r w:rsidR="00B25F63" w:rsidRPr="00B25F63">
          <w:rPr>
            <w:b w:val="0"/>
            <w:webHidden/>
            <w:sz w:val="21"/>
            <w:szCs w:val="21"/>
          </w:rPr>
        </w:r>
        <w:r w:rsidR="00B25F63" w:rsidRPr="00B25F63">
          <w:rPr>
            <w:b w:val="0"/>
            <w:webHidden/>
            <w:sz w:val="21"/>
            <w:szCs w:val="21"/>
          </w:rPr>
          <w:fldChar w:fldCharType="separate"/>
        </w:r>
        <w:r w:rsidR="00B545F7">
          <w:rPr>
            <w:b w:val="0"/>
            <w:webHidden/>
            <w:sz w:val="21"/>
            <w:szCs w:val="21"/>
          </w:rPr>
          <w:t>53</w:t>
        </w:r>
        <w:r w:rsidR="00B25F63" w:rsidRPr="00B25F63">
          <w:rPr>
            <w:b w:val="0"/>
            <w:webHidden/>
            <w:sz w:val="21"/>
            <w:szCs w:val="21"/>
          </w:rPr>
          <w:fldChar w:fldCharType="end"/>
        </w:r>
      </w:hyperlink>
    </w:p>
    <w:p w:rsidR="00B25F63" w:rsidRPr="00745C24" w:rsidRDefault="00C05C3D">
      <w:pPr>
        <w:pStyle w:val="TOC1"/>
        <w:tabs>
          <w:tab w:val="left" w:pos="1601"/>
        </w:tabs>
        <w:rPr>
          <w:rFonts w:ascii="Calibri" w:eastAsia="SimSun" w:hAnsi="Calibri" w:cs="Times New Roman"/>
          <w:b w:val="0"/>
          <w:bCs w:val="0"/>
          <w:caps w:val="0"/>
          <w:sz w:val="21"/>
          <w:szCs w:val="21"/>
          <w:lang w:val="en-US" w:eastAsia="zh-CN"/>
        </w:rPr>
      </w:pPr>
      <w:hyperlink w:anchor="_Toc423359362" w:history="1">
        <w:r w:rsidR="00B25F63" w:rsidRPr="00B25F63">
          <w:rPr>
            <w:rStyle w:val="Hyperlink"/>
            <w:b w:val="0"/>
            <w:sz w:val="21"/>
            <w:szCs w:val="21"/>
          </w:rPr>
          <w:t>APPENDIX 9:</w:t>
        </w:r>
        <w:r w:rsidR="00B25F63" w:rsidRPr="00745C24">
          <w:rPr>
            <w:rFonts w:ascii="Calibri" w:eastAsia="SimSun" w:hAnsi="Calibri" w:cs="Times New Roman"/>
            <w:b w:val="0"/>
            <w:bCs w:val="0"/>
            <w:caps w:val="0"/>
            <w:sz w:val="21"/>
            <w:szCs w:val="21"/>
            <w:lang w:val="en-US" w:eastAsia="zh-CN"/>
          </w:rPr>
          <w:tab/>
        </w:r>
        <w:r w:rsidR="00B25F63" w:rsidRPr="00B25F63">
          <w:rPr>
            <w:rStyle w:val="Hyperlink"/>
            <w:b w:val="0"/>
            <w:sz w:val="21"/>
            <w:szCs w:val="21"/>
          </w:rPr>
          <w:t>COST DATA</w:t>
        </w:r>
        <w:r w:rsidR="00B25F63" w:rsidRPr="00B25F63">
          <w:rPr>
            <w:b w:val="0"/>
            <w:webHidden/>
            <w:sz w:val="21"/>
            <w:szCs w:val="21"/>
          </w:rPr>
          <w:tab/>
        </w:r>
        <w:r w:rsidR="00B25F63" w:rsidRPr="00B25F63">
          <w:rPr>
            <w:b w:val="0"/>
            <w:webHidden/>
            <w:sz w:val="21"/>
            <w:szCs w:val="21"/>
          </w:rPr>
          <w:fldChar w:fldCharType="begin"/>
        </w:r>
        <w:r w:rsidR="00B25F63" w:rsidRPr="00B25F63">
          <w:rPr>
            <w:b w:val="0"/>
            <w:webHidden/>
            <w:sz w:val="21"/>
            <w:szCs w:val="21"/>
          </w:rPr>
          <w:instrText xml:space="preserve"> PAGEREF _Toc423359362 \h </w:instrText>
        </w:r>
        <w:r w:rsidR="00B25F63" w:rsidRPr="00B25F63">
          <w:rPr>
            <w:b w:val="0"/>
            <w:webHidden/>
            <w:sz w:val="21"/>
            <w:szCs w:val="21"/>
          </w:rPr>
        </w:r>
        <w:r w:rsidR="00B25F63" w:rsidRPr="00B25F63">
          <w:rPr>
            <w:b w:val="0"/>
            <w:webHidden/>
            <w:sz w:val="21"/>
            <w:szCs w:val="21"/>
          </w:rPr>
          <w:fldChar w:fldCharType="separate"/>
        </w:r>
        <w:r w:rsidR="00B545F7">
          <w:rPr>
            <w:b w:val="0"/>
            <w:webHidden/>
            <w:sz w:val="21"/>
            <w:szCs w:val="21"/>
          </w:rPr>
          <w:t>86</w:t>
        </w:r>
        <w:r w:rsidR="00B25F63" w:rsidRPr="00B25F63">
          <w:rPr>
            <w:b w:val="0"/>
            <w:webHidden/>
            <w:sz w:val="21"/>
            <w:szCs w:val="21"/>
          </w:rPr>
          <w:fldChar w:fldCharType="end"/>
        </w:r>
      </w:hyperlink>
    </w:p>
    <w:p w:rsidR="00B25F63" w:rsidRPr="00745C24" w:rsidRDefault="00C05C3D">
      <w:pPr>
        <w:pStyle w:val="TOC1"/>
        <w:tabs>
          <w:tab w:val="left" w:pos="1724"/>
        </w:tabs>
        <w:rPr>
          <w:rFonts w:ascii="Calibri" w:eastAsia="SimSun" w:hAnsi="Calibri" w:cs="Times New Roman"/>
          <w:b w:val="0"/>
          <w:bCs w:val="0"/>
          <w:caps w:val="0"/>
          <w:sz w:val="21"/>
          <w:szCs w:val="21"/>
          <w:lang w:val="en-US" w:eastAsia="zh-CN"/>
        </w:rPr>
      </w:pPr>
      <w:hyperlink w:anchor="_Toc423359363" w:history="1">
        <w:r w:rsidR="00B25F63" w:rsidRPr="00B25F63">
          <w:rPr>
            <w:rStyle w:val="Hyperlink"/>
            <w:b w:val="0"/>
            <w:sz w:val="21"/>
            <w:szCs w:val="21"/>
          </w:rPr>
          <w:t>APPENDIX 10:</w:t>
        </w:r>
        <w:r w:rsidR="00B25F63" w:rsidRPr="00745C24">
          <w:rPr>
            <w:rFonts w:ascii="Calibri" w:eastAsia="SimSun" w:hAnsi="Calibri" w:cs="Times New Roman"/>
            <w:b w:val="0"/>
            <w:bCs w:val="0"/>
            <w:caps w:val="0"/>
            <w:sz w:val="21"/>
            <w:szCs w:val="21"/>
            <w:lang w:val="en-US" w:eastAsia="zh-CN"/>
          </w:rPr>
          <w:tab/>
        </w:r>
        <w:r w:rsidR="00B25F63" w:rsidRPr="00B25F63">
          <w:rPr>
            <w:rStyle w:val="Hyperlink"/>
            <w:b w:val="0"/>
            <w:sz w:val="21"/>
            <w:szCs w:val="21"/>
          </w:rPr>
          <w:t>PHYSICAL IMPLEMENTION STATUS</w:t>
        </w:r>
        <w:r w:rsidR="00B25F63" w:rsidRPr="00B25F63">
          <w:rPr>
            <w:b w:val="0"/>
            <w:webHidden/>
            <w:sz w:val="21"/>
            <w:szCs w:val="21"/>
          </w:rPr>
          <w:tab/>
        </w:r>
        <w:r w:rsidR="00B25F63" w:rsidRPr="00B25F63">
          <w:rPr>
            <w:b w:val="0"/>
            <w:webHidden/>
            <w:sz w:val="21"/>
            <w:szCs w:val="21"/>
          </w:rPr>
          <w:fldChar w:fldCharType="begin"/>
        </w:r>
        <w:r w:rsidR="00B25F63" w:rsidRPr="00B25F63">
          <w:rPr>
            <w:b w:val="0"/>
            <w:webHidden/>
            <w:sz w:val="21"/>
            <w:szCs w:val="21"/>
          </w:rPr>
          <w:instrText xml:space="preserve"> PAGEREF _Toc423359363 \h </w:instrText>
        </w:r>
        <w:r w:rsidR="00B25F63" w:rsidRPr="00B25F63">
          <w:rPr>
            <w:b w:val="0"/>
            <w:webHidden/>
            <w:sz w:val="21"/>
            <w:szCs w:val="21"/>
          </w:rPr>
        </w:r>
        <w:r w:rsidR="00B25F63" w:rsidRPr="00B25F63">
          <w:rPr>
            <w:b w:val="0"/>
            <w:webHidden/>
            <w:sz w:val="21"/>
            <w:szCs w:val="21"/>
          </w:rPr>
          <w:fldChar w:fldCharType="separate"/>
        </w:r>
        <w:r w:rsidR="00B545F7">
          <w:rPr>
            <w:b w:val="0"/>
            <w:webHidden/>
            <w:sz w:val="21"/>
            <w:szCs w:val="21"/>
          </w:rPr>
          <w:t>91</w:t>
        </w:r>
        <w:r w:rsidR="00B25F63" w:rsidRPr="00B25F63">
          <w:rPr>
            <w:b w:val="0"/>
            <w:webHidden/>
            <w:sz w:val="21"/>
            <w:szCs w:val="21"/>
          </w:rPr>
          <w:fldChar w:fldCharType="end"/>
        </w:r>
      </w:hyperlink>
    </w:p>
    <w:p w:rsidR="00B25F63" w:rsidRPr="00745C24" w:rsidRDefault="00C05C3D">
      <w:pPr>
        <w:pStyle w:val="TOC1"/>
        <w:tabs>
          <w:tab w:val="left" w:pos="1724"/>
        </w:tabs>
        <w:rPr>
          <w:rFonts w:ascii="Calibri" w:eastAsia="SimSun" w:hAnsi="Calibri" w:cs="Times New Roman"/>
          <w:b w:val="0"/>
          <w:bCs w:val="0"/>
          <w:caps w:val="0"/>
          <w:sz w:val="21"/>
          <w:szCs w:val="21"/>
          <w:lang w:val="en-US" w:eastAsia="zh-CN"/>
        </w:rPr>
      </w:pPr>
      <w:hyperlink w:anchor="_Toc423359364" w:history="1">
        <w:r w:rsidR="00B25F63" w:rsidRPr="00B25F63">
          <w:rPr>
            <w:rStyle w:val="Hyperlink"/>
            <w:b w:val="0"/>
            <w:sz w:val="21"/>
            <w:szCs w:val="21"/>
          </w:rPr>
          <w:t>APPENDIX 11:</w:t>
        </w:r>
        <w:r w:rsidR="00B25F63" w:rsidRPr="00745C24">
          <w:rPr>
            <w:rFonts w:ascii="Calibri" w:eastAsia="SimSun" w:hAnsi="Calibri" w:cs="Times New Roman"/>
            <w:b w:val="0"/>
            <w:bCs w:val="0"/>
            <w:caps w:val="0"/>
            <w:sz w:val="21"/>
            <w:szCs w:val="21"/>
            <w:lang w:val="en-US" w:eastAsia="zh-CN"/>
          </w:rPr>
          <w:tab/>
        </w:r>
        <w:r w:rsidR="00B25F63" w:rsidRPr="00B25F63">
          <w:rPr>
            <w:rStyle w:val="Hyperlink"/>
            <w:b w:val="0"/>
            <w:sz w:val="21"/>
            <w:szCs w:val="21"/>
          </w:rPr>
          <w:t>PROGRAM IMPACT</w:t>
        </w:r>
        <w:r w:rsidR="00B25F63" w:rsidRPr="00B25F63">
          <w:rPr>
            <w:b w:val="0"/>
            <w:webHidden/>
            <w:sz w:val="21"/>
            <w:szCs w:val="21"/>
          </w:rPr>
          <w:tab/>
        </w:r>
        <w:r w:rsidR="00B25F63" w:rsidRPr="00B25F63">
          <w:rPr>
            <w:b w:val="0"/>
            <w:webHidden/>
            <w:sz w:val="21"/>
            <w:szCs w:val="21"/>
          </w:rPr>
          <w:fldChar w:fldCharType="begin"/>
        </w:r>
        <w:r w:rsidR="00B25F63" w:rsidRPr="00B25F63">
          <w:rPr>
            <w:b w:val="0"/>
            <w:webHidden/>
            <w:sz w:val="21"/>
            <w:szCs w:val="21"/>
          </w:rPr>
          <w:instrText xml:space="preserve"> PAGEREF _Toc423359364 \h </w:instrText>
        </w:r>
        <w:r w:rsidR="00B25F63" w:rsidRPr="00B25F63">
          <w:rPr>
            <w:b w:val="0"/>
            <w:webHidden/>
            <w:sz w:val="21"/>
            <w:szCs w:val="21"/>
          </w:rPr>
        </w:r>
        <w:r w:rsidR="00B25F63" w:rsidRPr="00B25F63">
          <w:rPr>
            <w:b w:val="0"/>
            <w:webHidden/>
            <w:sz w:val="21"/>
            <w:szCs w:val="21"/>
          </w:rPr>
          <w:fldChar w:fldCharType="separate"/>
        </w:r>
        <w:r w:rsidR="00B545F7">
          <w:rPr>
            <w:b w:val="0"/>
            <w:webHidden/>
            <w:sz w:val="21"/>
            <w:szCs w:val="21"/>
          </w:rPr>
          <w:t>92</w:t>
        </w:r>
        <w:r w:rsidR="00B25F63" w:rsidRPr="00B25F63">
          <w:rPr>
            <w:b w:val="0"/>
            <w:webHidden/>
            <w:sz w:val="21"/>
            <w:szCs w:val="21"/>
          </w:rPr>
          <w:fldChar w:fldCharType="end"/>
        </w:r>
      </w:hyperlink>
    </w:p>
    <w:p w:rsidR="00B25F63" w:rsidRPr="00745C24" w:rsidRDefault="00C05C3D">
      <w:pPr>
        <w:pStyle w:val="TOC1"/>
        <w:tabs>
          <w:tab w:val="left" w:pos="1724"/>
        </w:tabs>
        <w:rPr>
          <w:rFonts w:ascii="Calibri" w:eastAsia="SimSun" w:hAnsi="Calibri" w:cs="Times New Roman"/>
          <w:b w:val="0"/>
          <w:bCs w:val="0"/>
          <w:caps w:val="0"/>
          <w:sz w:val="21"/>
          <w:szCs w:val="21"/>
          <w:lang w:val="en-US" w:eastAsia="zh-CN"/>
        </w:rPr>
      </w:pPr>
      <w:hyperlink w:anchor="_Toc423359365" w:history="1">
        <w:r w:rsidR="00B25F63" w:rsidRPr="00B25F63">
          <w:rPr>
            <w:rStyle w:val="Hyperlink"/>
            <w:b w:val="0"/>
            <w:sz w:val="21"/>
            <w:szCs w:val="21"/>
          </w:rPr>
          <w:t>APPENDIX 12:</w:t>
        </w:r>
        <w:r w:rsidR="00B25F63" w:rsidRPr="00745C24">
          <w:rPr>
            <w:rFonts w:ascii="Calibri" w:eastAsia="SimSun" w:hAnsi="Calibri" w:cs="Times New Roman"/>
            <w:b w:val="0"/>
            <w:bCs w:val="0"/>
            <w:caps w:val="0"/>
            <w:sz w:val="21"/>
            <w:szCs w:val="21"/>
            <w:lang w:val="en-US" w:eastAsia="zh-CN"/>
          </w:rPr>
          <w:tab/>
        </w:r>
        <w:r w:rsidR="00B25F63" w:rsidRPr="00B25F63">
          <w:rPr>
            <w:rStyle w:val="Hyperlink"/>
            <w:b w:val="0"/>
            <w:sz w:val="21"/>
            <w:szCs w:val="21"/>
          </w:rPr>
          <w:t>SUSTAINABILITY DATA</w:t>
        </w:r>
        <w:r w:rsidR="00B25F63" w:rsidRPr="00B25F63">
          <w:rPr>
            <w:b w:val="0"/>
            <w:webHidden/>
            <w:sz w:val="21"/>
            <w:szCs w:val="21"/>
          </w:rPr>
          <w:tab/>
        </w:r>
        <w:r w:rsidR="00B25F63" w:rsidRPr="00B25F63">
          <w:rPr>
            <w:b w:val="0"/>
            <w:webHidden/>
            <w:sz w:val="21"/>
            <w:szCs w:val="21"/>
          </w:rPr>
          <w:fldChar w:fldCharType="begin"/>
        </w:r>
        <w:r w:rsidR="00B25F63" w:rsidRPr="00B25F63">
          <w:rPr>
            <w:b w:val="0"/>
            <w:webHidden/>
            <w:sz w:val="21"/>
            <w:szCs w:val="21"/>
          </w:rPr>
          <w:instrText xml:space="preserve"> PAGEREF _Toc423359365 \h </w:instrText>
        </w:r>
        <w:r w:rsidR="00B25F63" w:rsidRPr="00B25F63">
          <w:rPr>
            <w:b w:val="0"/>
            <w:webHidden/>
            <w:sz w:val="21"/>
            <w:szCs w:val="21"/>
          </w:rPr>
        </w:r>
        <w:r w:rsidR="00B25F63" w:rsidRPr="00B25F63">
          <w:rPr>
            <w:b w:val="0"/>
            <w:webHidden/>
            <w:sz w:val="21"/>
            <w:szCs w:val="21"/>
          </w:rPr>
          <w:fldChar w:fldCharType="separate"/>
        </w:r>
        <w:r w:rsidR="00B545F7">
          <w:rPr>
            <w:b w:val="0"/>
            <w:webHidden/>
            <w:sz w:val="21"/>
            <w:szCs w:val="21"/>
          </w:rPr>
          <w:t>93</w:t>
        </w:r>
        <w:r w:rsidR="00B25F63" w:rsidRPr="00B25F63">
          <w:rPr>
            <w:b w:val="0"/>
            <w:webHidden/>
            <w:sz w:val="21"/>
            <w:szCs w:val="21"/>
          </w:rPr>
          <w:fldChar w:fldCharType="end"/>
        </w:r>
      </w:hyperlink>
    </w:p>
    <w:p w:rsidR="00B25F63" w:rsidRPr="00745C24" w:rsidRDefault="00C05C3D">
      <w:pPr>
        <w:pStyle w:val="TOC1"/>
        <w:tabs>
          <w:tab w:val="left" w:pos="1724"/>
        </w:tabs>
        <w:rPr>
          <w:rFonts w:ascii="Calibri" w:eastAsia="SimSun" w:hAnsi="Calibri" w:cs="Times New Roman"/>
          <w:b w:val="0"/>
          <w:bCs w:val="0"/>
          <w:caps w:val="0"/>
          <w:sz w:val="21"/>
          <w:szCs w:val="21"/>
          <w:lang w:val="en-US" w:eastAsia="zh-CN"/>
        </w:rPr>
      </w:pPr>
      <w:hyperlink w:anchor="_Toc423359366" w:history="1">
        <w:r w:rsidR="00B25F63" w:rsidRPr="00B25F63">
          <w:rPr>
            <w:rStyle w:val="Hyperlink"/>
            <w:b w:val="0"/>
            <w:sz w:val="21"/>
            <w:szCs w:val="21"/>
          </w:rPr>
          <w:t>APPENDIX 13:</w:t>
        </w:r>
        <w:r w:rsidR="00B25F63" w:rsidRPr="00745C24">
          <w:rPr>
            <w:rFonts w:ascii="Calibri" w:eastAsia="SimSun" w:hAnsi="Calibri" w:cs="Times New Roman"/>
            <w:b w:val="0"/>
            <w:bCs w:val="0"/>
            <w:caps w:val="0"/>
            <w:sz w:val="21"/>
            <w:szCs w:val="21"/>
            <w:lang w:val="en-US" w:eastAsia="zh-CN"/>
          </w:rPr>
          <w:tab/>
        </w:r>
        <w:r w:rsidR="00B25F63" w:rsidRPr="00B25F63">
          <w:rPr>
            <w:rStyle w:val="Hyperlink"/>
            <w:b w:val="0"/>
            <w:sz w:val="21"/>
            <w:szCs w:val="21"/>
          </w:rPr>
          <w:t>GENDER DATA</w:t>
        </w:r>
        <w:r w:rsidR="00B25F63" w:rsidRPr="00B25F63">
          <w:rPr>
            <w:b w:val="0"/>
            <w:webHidden/>
            <w:sz w:val="21"/>
            <w:szCs w:val="21"/>
          </w:rPr>
          <w:tab/>
        </w:r>
        <w:r w:rsidR="00B25F63" w:rsidRPr="00B25F63">
          <w:rPr>
            <w:b w:val="0"/>
            <w:webHidden/>
            <w:sz w:val="21"/>
            <w:szCs w:val="21"/>
          </w:rPr>
          <w:fldChar w:fldCharType="begin"/>
        </w:r>
        <w:r w:rsidR="00B25F63" w:rsidRPr="00B25F63">
          <w:rPr>
            <w:b w:val="0"/>
            <w:webHidden/>
            <w:sz w:val="21"/>
            <w:szCs w:val="21"/>
          </w:rPr>
          <w:instrText xml:space="preserve"> PAGEREF _Toc423359366 \h </w:instrText>
        </w:r>
        <w:r w:rsidR="00B25F63" w:rsidRPr="00B25F63">
          <w:rPr>
            <w:b w:val="0"/>
            <w:webHidden/>
            <w:sz w:val="21"/>
            <w:szCs w:val="21"/>
          </w:rPr>
        </w:r>
        <w:r w:rsidR="00B25F63" w:rsidRPr="00B25F63">
          <w:rPr>
            <w:b w:val="0"/>
            <w:webHidden/>
            <w:sz w:val="21"/>
            <w:szCs w:val="21"/>
          </w:rPr>
          <w:fldChar w:fldCharType="separate"/>
        </w:r>
        <w:r w:rsidR="00B545F7">
          <w:rPr>
            <w:b w:val="0"/>
            <w:webHidden/>
            <w:sz w:val="21"/>
            <w:szCs w:val="21"/>
          </w:rPr>
          <w:t>94</w:t>
        </w:r>
        <w:r w:rsidR="00B25F63" w:rsidRPr="00B25F63">
          <w:rPr>
            <w:b w:val="0"/>
            <w:webHidden/>
            <w:sz w:val="21"/>
            <w:szCs w:val="21"/>
          </w:rPr>
          <w:fldChar w:fldCharType="end"/>
        </w:r>
      </w:hyperlink>
    </w:p>
    <w:p w:rsidR="00B25F63" w:rsidRPr="00745C24" w:rsidRDefault="00C05C3D">
      <w:pPr>
        <w:pStyle w:val="TOC1"/>
        <w:tabs>
          <w:tab w:val="left" w:pos="1724"/>
        </w:tabs>
        <w:rPr>
          <w:rFonts w:ascii="Calibri" w:eastAsia="SimSun" w:hAnsi="Calibri" w:cs="Times New Roman"/>
          <w:b w:val="0"/>
          <w:bCs w:val="0"/>
          <w:caps w:val="0"/>
          <w:sz w:val="21"/>
          <w:szCs w:val="21"/>
          <w:lang w:val="en-US" w:eastAsia="zh-CN"/>
        </w:rPr>
      </w:pPr>
      <w:hyperlink w:anchor="_Toc423359367" w:history="1">
        <w:r w:rsidR="00B25F63" w:rsidRPr="00B25F63">
          <w:rPr>
            <w:rStyle w:val="Hyperlink"/>
            <w:b w:val="0"/>
            <w:sz w:val="21"/>
            <w:szCs w:val="21"/>
          </w:rPr>
          <w:t>APPENDIX 14:</w:t>
        </w:r>
        <w:r w:rsidR="00B25F63" w:rsidRPr="00745C24">
          <w:rPr>
            <w:rFonts w:ascii="Calibri" w:eastAsia="SimSun" w:hAnsi="Calibri" w:cs="Times New Roman"/>
            <w:b w:val="0"/>
            <w:bCs w:val="0"/>
            <w:caps w:val="0"/>
            <w:sz w:val="21"/>
            <w:szCs w:val="21"/>
            <w:lang w:val="en-US" w:eastAsia="zh-CN"/>
          </w:rPr>
          <w:tab/>
        </w:r>
        <w:r w:rsidR="00B25F63" w:rsidRPr="00B25F63">
          <w:rPr>
            <w:rStyle w:val="Hyperlink"/>
            <w:b w:val="0"/>
            <w:sz w:val="21"/>
            <w:szCs w:val="21"/>
          </w:rPr>
          <w:t>STAKEHOLDERS MET BY THE ICE TEAM</w:t>
        </w:r>
        <w:r w:rsidR="00B25F63" w:rsidRPr="00B25F63">
          <w:rPr>
            <w:b w:val="0"/>
            <w:webHidden/>
            <w:sz w:val="21"/>
            <w:szCs w:val="21"/>
          </w:rPr>
          <w:tab/>
        </w:r>
        <w:r w:rsidR="00B25F63" w:rsidRPr="00B25F63">
          <w:rPr>
            <w:b w:val="0"/>
            <w:webHidden/>
            <w:sz w:val="21"/>
            <w:szCs w:val="21"/>
          </w:rPr>
          <w:fldChar w:fldCharType="begin"/>
        </w:r>
        <w:r w:rsidR="00B25F63" w:rsidRPr="00B25F63">
          <w:rPr>
            <w:b w:val="0"/>
            <w:webHidden/>
            <w:sz w:val="21"/>
            <w:szCs w:val="21"/>
          </w:rPr>
          <w:instrText xml:space="preserve"> PAGEREF _Toc423359367 \h </w:instrText>
        </w:r>
        <w:r w:rsidR="00B25F63" w:rsidRPr="00B25F63">
          <w:rPr>
            <w:b w:val="0"/>
            <w:webHidden/>
            <w:sz w:val="21"/>
            <w:szCs w:val="21"/>
          </w:rPr>
        </w:r>
        <w:r w:rsidR="00B25F63" w:rsidRPr="00B25F63">
          <w:rPr>
            <w:b w:val="0"/>
            <w:webHidden/>
            <w:sz w:val="21"/>
            <w:szCs w:val="21"/>
          </w:rPr>
          <w:fldChar w:fldCharType="separate"/>
        </w:r>
        <w:r w:rsidR="00B545F7">
          <w:rPr>
            <w:b w:val="0"/>
            <w:webHidden/>
            <w:sz w:val="21"/>
            <w:szCs w:val="21"/>
          </w:rPr>
          <w:t>105</w:t>
        </w:r>
        <w:r w:rsidR="00B25F63" w:rsidRPr="00B25F63">
          <w:rPr>
            <w:b w:val="0"/>
            <w:webHidden/>
            <w:sz w:val="21"/>
            <w:szCs w:val="21"/>
          </w:rPr>
          <w:fldChar w:fldCharType="end"/>
        </w:r>
      </w:hyperlink>
    </w:p>
    <w:p w:rsidR="00095D13" w:rsidRPr="00E65146" w:rsidRDefault="00F81918" w:rsidP="00B4562D">
      <w:pPr>
        <w:rPr>
          <w:rFonts w:ascii="Arial" w:hAnsi="Arial" w:cs="Arial"/>
        </w:rPr>
      </w:pPr>
      <w:r>
        <w:rPr>
          <w:rFonts w:ascii="Arial" w:hAnsi="Arial" w:cs="Arial"/>
          <w:bCs/>
          <w:caps/>
          <w:noProof/>
          <w:sz w:val="22"/>
          <w:lang w:val="en-AU" w:eastAsia="en-US"/>
        </w:rPr>
        <w:fldChar w:fldCharType="end"/>
      </w:r>
    </w:p>
    <w:p w:rsidR="002B1559" w:rsidRPr="00E65146" w:rsidRDefault="002B1559">
      <w:pPr>
        <w:rPr>
          <w:rFonts w:ascii="Arial" w:hAnsi="Arial" w:cs="Arial"/>
          <w:b/>
          <w:sz w:val="24"/>
          <w:szCs w:val="24"/>
        </w:rPr>
      </w:pPr>
    </w:p>
    <w:p w:rsidR="0028387D" w:rsidRPr="00376AAF" w:rsidRDefault="00D50DA0" w:rsidP="00616DD8">
      <w:pPr>
        <w:pStyle w:val="Heading1"/>
        <w:rPr>
          <w:sz w:val="22"/>
          <w:szCs w:val="22"/>
        </w:rPr>
      </w:pPr>
      <w:bookmarkStart w:id="4" w:name="_Toc422301188"/>
      <w:r>
        <w:rPr>
          <w:sz w:val="22"/>
          <w:szCs w:val="22"/>
        </w:rPr>
        <w:br w:type="page"/>
      </w:r>
      <w:bookmarkStart w:id="5" w:name="_Toc423359303"/>
      <w:r w:rsidR="00FD78DB" w:rsidRPr="00376AAF">
        <w:rPr>
          <w:sz w:val="22"/>
          <w:szCs w:val="22"/>
        </w:rPr>
        <w:t>EXECUTIVE SUMMARY</w:t>
      </w:r>
      <w:bookmarkEnd w:id="2"/>
      <w:bookmarkEnd w:id="3"/>
      <w:bookmarkEnd w:id="4"/>
      <w:bookmarkEnd w:id="5"/>
    </w:p>
    <w:p w:rsidR="00113D51" w:rsidRPr="005B520D" w:rsidRDefault="00113D51" w:rsidP="00C539B5">
      <w:pPr>
        <w:pStyle w:val="Heading2"/>
        <w:spacing w:before="120" w:after="120"/>
        <w:rPr>
          <w:bCs w:val="0"/>
          <w:i w:val="0"/>
          <w:iCs w:val="0"/>
          <w:color w:val="000000"/>
          <w:sz w:val="24"/>
          <w:szCs w:val="20"/>
          <w:lang w:eastAsia="en-US"/>
        </w:rPr>
      </w:pPr>
      <w:bookmarkStart w:id="6" w:name="_Toc423359304"/>
      <w:bookmarkStart w:id="7" w:name="_Toc207171370"/>
      <w:bookmarkStart w:id="8" w:name="_Toc213472684"/>
      <w:r w:rsidRPr="005B520D">
        <w:rPr>
          <w:bCs w:val="0"/>
          <w:i w:val="0"/>
          <w:iCs w:val="0"/>
          <w:color w:val="000000"/>
          <w:sz w:val="22"/>
          <w:szCs w:val="20"/>
          <w:lang w:eastAsia="en-US"/>
        </w:rPr>
        <w:t>Background</w:t>
      </w:r>
      <w:bookmarkEnd w:id="6"/>
      <w:r w:rsidRPr="005B520D">
        <w:rPr>
          <w:bCs w:val="0"/>
          <w:i w:val="0"/>
          <w:iCs w:val="0"/>
          <w:color w:val="000000"/>
          <w:sz w:val="24"/>
          <w:szCs w:val="20"/>
          <w:lang w:eastAsia="en-US"/>
        </w:rPr>
        <w:t xml:space="preserve"> </w:t>
      </w:r>
    </w:p>
    <w:p w:rsidR="00113D51" w:rsidRDefault="00113D51" w:rsidP="00113D51">
      <w:pPr>
        <w:jc w:val="both"/>
        <w:rPr>
          <w:rFonts w:ascii="Arial" w:hAnsi="Arial" w:cs="Arial"/>
        </w:rPr>
      </w:pPr>
      <w:r w:rsidRPr="00807C42">
        <w:rPr>
          <w:rFonts w:ascii="Arial" w:hAnsi="Arial" w:cs="Arial"/>
        </w:rPr>
        <w:fldChar w:fldCharType="begin"/>
      </w:r>
      <w:r w:rsidRPr="00807C42">
        <w:rPr>
          <w:rFonts w:ascii="Arial" w:hAnsi="Arial" w:cs="Arial"/>
        </w:rPr>
        <w:instrText>AUTONUMLGL</w:instrText>
      </w:r>
      <w:r w:rsidRPr="00807C42">
        <w:rPr>
          <w:rFonts w:ascii="Arial" w:hAnsi="Arial" w:cs="Arial"/>
        </w:rPr>
        <w:fldChar w:fldCharType="end"/>
      </w:r>
      <w:r w:rsidRPr="00807C42">
        <w:rPr>
          <w:rFonts w:ascii="Arial" w:hAnsi="Arial" w:cs="Arial"/>
          <w:b/>
        </w:rPr>
        <w:tab/>
      </w:r>
      <w:r w:rsidRPr="00807C42">
        <w:rPr>
          <w:rFonts w:ascii="Arial" w:hAnsi="Arial" w:cs="Arial"/>
        </w:rPr>
        <w:t>The Health Human Resource Sector Development Program (HHRSDP) is</w:t>
      </w:r>
      <w:r>
        <w:rPr>
          <w:rFonts w:ascii="Arial" w:hAnsi="Arial" w:cs="Arial"/>
        </w:rPr>
        <w:t xml:space="preserve"> a</w:t>
      </w:r>
      <w:r w:rsidRPr="00807C42">
        <w:rPr>
          <w:rFonts w:ascii="Arial" w:hAnsi="Arial" w:cs="Arial"/>
        </w:rPr>
        <w:t xml:space="preserve"> $76.3 million initiative financed by a $30 million program loan and $30 million project loan from the Asian Development Bank (ADB), a $AUD12 million grant from the Government of Australia (GoA) and $5.3 million in counterpart funding from the Government of Viet Nam (GoV). </w:t>
      </w:r>
      <w:r>
        <w:rPr>
          <w:rFonts w:ascii="Arial" w:hAnsi="Arial" w:cs="Arial"/>
        </w:rPr>
        <w:t>The intended</w:t>
      </w:r>
      <w:r w:rsidRPr="00BA6D5D">
        <w:rPr>
          <w:rFonts w:ascii="Arial" w:hAnsi="Arial" w:cs="Arial"/>
        </w:rPr>
        <w:t xml:space="preserve"> outcome</w:t>
      </w:r>
      <w:r>
        <w:rPr>
          <w:rFonts w:ascii="Arial" w:hAnsi="Arial" w:cs="Arial"/>
        </w:rPr>
        <w:t xml:space="preserve"> of the HHRSDP</w:t>
      </w:r>
      <w:r w:rsidRPr="00BA6D5D">
        <w:rPr>
          <w:rFonts w:ascii="Arial" w:hAnsi="Arial" w:cs="Arial"/>
        </w:rPr>
        <w:t xml:space="preserve"> is improved quality, efficiency and equity in health workforce and health service delivery</w:t>
      </w:r>
      <w:r>
        <w:rPr>
          <w:rFonts w:ascii="Arial" w:hAnsi="Arial" w:cs="Arial"/>
        </w:rPr>
        <w:t xml:space="preserve">. </w:t>
      </w:r>
      <w:r w:rsidRPr="00BA6D5D">
        <w:rPr>
          <w:rFonts w:ascii="Arial" w:hAnsi="Arial" w:cs="Arial"/>
        </w:rPr>
        <w:t xml:space="preserve">The </w:t>
      </w:r>
      <w:r>
        <w:rPr>
          <w:rFonts w:ascii="Arial" w:hAnsi="Arial" w:cs="Arial"/>
        </w:rPr>
        <w:t xml:space="preserve">combined program and project investments will </w:t>
      </w:r>
      <w:r w:rsidRPr="00BA6D5D">
        <w:rPr>
          <w:rFonts w:ascii="Arial" w:hAnsi="Arial" w:cs="Arial"/>
        </w:rPr>
        <w:t>contribute</w:t>
      </w:r>
      <w:r>
        <w:rPr>
          <w:rFonts w:ascii="Arial" w:hAnsi="Arial" w:cs="Arial"/>
        </w:rPr>
        <w:t xml:space="preserve"> to achieving this outcome through outputs in three </w:t>
      </w:r>
      <w:r w:rsidRPr="00BD605E">
        <w:rPr>
          <w:rFonts w:ascii="Arial" w:hAnsi="Arial" w:cs="Arial"/>
        </w:rPr>
        <w:t>areas: (1) Better planning and management of human resources; (2) Higher quality human resources training</w:t>
      </w:r>
      <w:r>
        <w:rPr>
          <w:rFonts w:ascii="Arial" w:hAnsi="Arial" w:cs="Arial"/>
        </w:rPr>
        <w:t>; (3) I</w:t>
      </w:r>
      <w:r w:rsidRPr="00BD605E">
        <w:rPr>
          <w:rFonts w:ascii="Arial" w:hAnsi="Arial" w:cs="Arial"/>
        </w:rPr>
        <w:t>mproved management systems in health service delivery</w:t>
      </w:r>
      <w:r>
        <w:rPr>
          <w:rFonts w:ascii="Arial" w:hAnsi="Arial" w:cs="Arial"/>
        </w:rPr>
        <w:t xml:space="preserve">. A series of </w:t>
      </w:r>
      <w:r w:rsidRPr="00807C42">
        <w:rPr>
          <w:rFonts w:ascii="Arial" w:hAnsi="Arial" w:cs="Arial"/>
        </w:rPr>
        <w:t xml:space="preserve">policy </w:t>
      </w:r>
      <w:r>
        <w:rPr>
          <w:rFonts w:ascii="Arial" w:hAnsi="Arial" w:cs="Arial"/>
        </w:rPr>
        <w:t>deliverables linked to the program loan create regulatory and operational frameworks for interventions under each output area. The project loan and g</w:t>
      </w:r>
      <w:r w:rsidR="00182D51">
        <w:rPr>
          <w:rFonts w:ascii="Arial" w:hAnsi="Arial" w:cs="Arial"/>
        </w:rPr>
        <w:t>rant support implementation of</w:t>
      </w:r>
      <w:r>
        <w:rPr>
          <w:rFonts w:ascii="Arial" w:hAnsi="Arial" w:cs="Arial"/>
        </w:rPr>
        <w:t xml:space="preserve"> interventions through </w:t>
      </w:r>
      <w:r w:rsidRPr="00807C42">
        <w:rPr>
          <w:rFonts w:ascii="Arial" w:hAnsi="Arial" w:cs="Arial"/>
        </w:rPr>
        <w:t>investments</w:t>
      </w:r>
      <w:r>
        <w:rPr>
          <w:rFonts w:ascii="Arial" w:hAnsi="Arial" w:cs="Arial"/>
        </w:rPr>
        <w:t xml:space="preserve"> in the Ministry of Health (MoH) </w:t>
      </w:r>
      <w:r w:rsidRPr="00807C42">
        <w:rPr>
          <w:rFonts w:ascii="Arial" w:hAnsi="Arial" w:cs="Arial"/>
        </w:rPr>
        <w:t xml:space="preserve">and </w:t>
      </w:r>
      <w:r>
        <w:rPr>
          <w:rFonts w:ascii="Arial" w:hAnsi="Arial" w:cs="Arial"/>
        </w:rPr>
        <w:t xml:space="preserve">seventeen teaching institutions. </w:t>
      </w:r>
      <w:r w:rsidRPr="00BA6D5D">
        <w:rPr>
          <w:rFonts w:ascii="Arial" w:hAnsi="Arial" w:cs="Arial"/>
        </w:rPr>
        <w:t xml:space="preserve">The project loan and grant became effective on 6 January 2011. The physical completion date </w:t>
      </w:r>
      <w:r>
        <w:rPr>
          <w:rFonts w:ascii="Arial" w:hAnsi="Arial" w:cs="Arial"/>
        </w:rPr>
        <w:t>is 31 December 2015. The l</w:t>
      </w:r>
      <w:r w:rsidRPr="00BA6D5D">
        <w:rPr>
          <w:rFonts w:ascii="Arial" w:hAnsi="Arial" w:cs="Arial"/>
        </w:rPr>
        <w:t>oan</w:t>
      </w:r>
      <w:r>
        <w:rPr>
          <w:rFonts w:ascii="Arial" w:hAnsi="Arial" w:cs="Arial"/>
        </w:rPr>
        <w:t xml:space="preserve"> </w:t>
      </w:r>
      <w:r w:rsidRPr="00BA6D5D">
        <w:rPr>
          <w:rFonts w:ascii="Arial" w:hAnsi="Arial" w:cs="Arial"/>
        </w:rPr>
        <w:t>closing date</w:t>
      </w:r>
      <w:r>
        <w:rPr>
          <w:rFonts w:ascii="Arial" w:hAnsi="Arial" w:cs="Arial"/>
        </w:rPr>
        <w:t xml:space="preserve"> is </w:t>
      </w:r>
      <w:r w:rsidRPr="00BA6D5D">
        <w:rPr>
          <w:rFonts w:ascii="Arial" w:hAnsi="Arial" w:cs="Arial"/>
        </w:rPr>
        <w:t>30 June 2016</w:t>
      </w:r>
      <w:r>
        <w:rPr>
          <w:rFonts w:ascii="Arial" w:hAnsi="Arial" w:cs="Arial"/>
        </w:rPr>
        <w:t xml:space="preserve">. </w:t>
      </w:r>
      <w:r w:rsidRPr="00BA6D5D">
        <w:rPr>
          <w:rFonts w:ascii="Arial" w:hAnsi="Arial" w:cs="Arial"/>
        </w:rPr>
        <w:t>T</w:t>
      </w:r>
      <w:r w:rsidRPr="00BA6D5D">
        <w:rPr>
          <w:rFonts w:ascii="Arial" w:hAnsi="Arial" w:cs="Arial"/>
          <w:color w:val="000000"/>
        </w:rPr>
        <w:t xml:space="preserve">he termination date of </w:t>
      </w:r>
      <w:r>
        <w:rPr>
          <w:rFonts w:ascii="Arial" w:hAnsi="Arial" w:cs="Arial"/>
          <w:color w:val="000000"/>
        </w:rPr>
        <w:t>the Grant Co</w:t>
      </w:r>
      <w:r w:rsidRPr="00BA6D5D">
        <w:rPr>
          <w:rFonts w:ascii="Arial" w:hAnsi="Arial" w:cs="Arial"/>
          <w:color w:val="000000"/>
        </w:rPr>
        <w:t>-financing A</w:t>
      </w:r>
      <w:r>
        <w:rPr>
          <w:rFonts w:ascii="Arial" w:hAnsi="Arial" w:cs="Arial"/>
          <w:color w:val="000000"/>
        </w:rPr>
        <w:t>greement between the GoA and</w:t>
      </w:r>
      <w:r w:rsidRPr="00BA6D5D">
        <w:rPr>
          <w:rFonts w:ascii="Arial" w:hAnsi="Arial" w:cs="Arial"/>
          <w:color w:val="000000"/>
        </w:rPr>
        <w:t xml:space="preserve"> ADB is 01 </w:t>
      </w:r>
      <w:r>
        <w:rPr>
          <w:rFonts w:ascii="Arial" w:hAnsi="Arial" w:cs="Arial"/>
        </w:rPr>
        <w:t>July 2015. Following the requirements of the Co-financing Agreement, ADB commissioned an independent evaluation team</w:t>
      </w:r>
      <w:r w:rsidRPr="00000240">
        <w:rPr>
          <w:rFonts w:ascii="Arial" w:hAnsi="Arial" w:cs="Arial"/>
        </w:rPr>
        <w:t xml:space="preserve"> to assess the Program against the OECD-DAC and </w:t>
      </w:r>
      <w:r>
        <w:rPr>
          <w:rFonts w:ascii="Arial" w:hAnsi="Arial" w:cs="Arial"/>
        </w:rPr>
        <w:t>GoA’s</w:t>
      </w:r>
      <w:r w:rsidRPr="00000240">
        <w:rPr>
          <w:rFonts w:ascii="Arial" w:hAnsi="Arial" w:cs="Arial"/>
        </w:rPr>
        <w:t xml:space="preserve"> </w:t>
      </w:r>
      <w:r>
        <w:rPr>
          <w:rFonts w:ascii="Arial" w:hAnsi="Arial" w:cs="Arial"/>
        </w:rPr>
        <w:t xml:space="preserve">evaluation </w:t>
      </w:r>
      <w:r w:rsidRPr="00000240">
        <w:rPr>
          <w:rFonts w:ascii="Arial" w:hAnsi="Arial" w:cs="Arial"/>
        </w:rPr>
        <w:t>criteria</w:t>
      </w:r>
      <w:r>
        <w:rPr>
          <w:rFonts w:ascii="Arial" w:hAnsi="Arial" w:cs="Arial"/>
        </w:rPr>
        <w:t xml:space="preserve"> </w:t>
      </w:r>
      <w:r w:rsidRPr="00000240">
        <w:rPr>
          <w:rFonts w:ascii="Arial" w:hAnsi="Arial" w:cs="Arial"/>
        </w:rPr>
        <w:t>and produce an ind</w:t>
      </w:r>
      <w:r w:rsidR="00146235">
        <w:rPr>
          <w:rFonts w:ascii="Arial" w:hAnsi="Arial" w:cs="Arial"/>
        </w:rPr>
        <w:t>ependent completion report. While the completion report</w:t>
      </w:r>
      <w:r w:rsidRPr="00BA6D5D">
        <w:rPr>
          <w:rFonts w:ascii="Arial" w:hAnsi="Arial" w:cs="Arial"/>
        </w:rPr>
        <w:t xml:space="preserve"> is intended to provide an assessment of </w:t>
      </w:r>
      <w:r>
        <w:rPr>
          <w:rFonts w:ascii="Arial" w:hAnsi="Arial" w:cs="Arial"/>
        </w:rPr>
        <w:t xml:space="preserve">the </w:t>
      </w:r>
      <w:r w:rsidRPr="00BA6D5D">
        <w:rPr>
          <w:rFonts w:ascii="Arial" w:hAnsi="Arial" w:cs="Arial"/>
        </w:rPr>
        <w:t>performance of the overall</w:t>
      </w:r>
      <w:r>
        <w:rPr>
          <w:rFonts w:ascii="Arial" w:hAnsi="Arial" w:cs="Arial"/>
        </w:rPr>
        <w:t xml:space="preserve"> Program</w:t>
      </w:r>
      <w:r w:rsidRPr="00BA6D5D">
        <w:rPr>
          <w:rFonts w:ascii="Arial" w:hAnsi="Arial" w:cs="Arial"/>
        </w:rPr>
        <w:t>, the primary focus is on the investments under the project loan and grant.</w:t>
      </w:r>
    </w:p>
    <w:p w:rsidR="00113D51" w:rsidRPr="005B520D" w:rsidRDefault="00113D51" w:rsidP="00C539B5">
      <w:pPr>
        <w:pStyle w:val="Heading2"/>
        <w:spacing w:before="120" w:after="120"/>
        <w:rPr>
          <w:bCs w:val="0"/>
          <w:i w:val="0"/>
          <w:iCs w:val="0"/>
          <w:color w:val="000000"/>
          <w:sz w:val="22"/>
          <w:szCs w:val="20"/>
          <w:lang w:eastAsia="en-US"/>
        </w:rPr>
      </w:pPr>
      <w:bookmarkStart w:id="9" w:name="_Toc423359305"/>
      <w:r w:rsidRPr="005B520D">
        <w:rPr>
          <w:bCs w:val="0"/>
          <w:i w:val="0"/>
          <w:iCs w:val="0"/>
          <w:color w:val="000000"/>
          <w:sz w:val="22"/>
          <w:szCs w:val="20"/>
          <w:lang w:eastAsia="en-US"/>
        </w:rPr>
        <w:t>Outline of Evaluation Findings</w:t>
      </w:r>
      <w:bookmarkEnd w:id="9"/>
    </w:p>
    <w:p w:rsidR="00113D51" w:rsidRDefault="00113D51" w:rsidP="00113D51">
      <w:pPr>
        <w:widowControl w:val="0"/>
        <w:autoSpaceDE w:val="0"/>
        <w:autoSpaceDN w:val="0"/>
        <w:adjustRightInd w:val="0"/>
        <w:spacing w:after="240"/>
        <w:jc w:val="both"/>
        <w:rPr>
          <w:rFonts w:ascii="Arial" w:hAnsi="Arial" w:cs="Arial"/>
        </w:rPr>
      </w:pPr>
      <w:r w:rsidRPr="00807C42">
        <w:rPr>
          <w:rFonts w:ascii="Arial" w:hAnsi="Arial" w:cs="Arial"/>
        </w:rPr>
        <w:fldChar w:fldCharType="begin"/>
      </w:r>
      <w:r w:rsidRPr="00807C42">
        <w:rPr>
          <w:rFonts w:ascii="Arial" w:hAnsi="Arial" w:cs="Arial"/>
        </w:rPr>
        <w:instrText>AUTONUMLGL</w:instrText>
      </w:r>
      <w:r w:rsidRPr="00807C42">
        <w:rPr>
          <w:rFonts w:ascii="Arial" w:hAnsi="Arial" w:cs="Arial"/>
        </w:rPr>
        <w:fldChar w:fldCharType="end"/>
      </w:r>
      <w:r w:rsidRPr="00807C42">
        <w:rPr>
          <w:rFonts w:ascii="Arial" w:hAnsi="Arial" w:cs="Arial"/>
          <w:b/>
        </w:rPr>
        <w:tab/>
      </w:r>
      <w:r>
        <w:rPr>
          <w:rFonts w:ascii="Arial" w:hAnsi="Arial" w:cs="Arial"/>
          <w:b/>
        </w:rPr>
        <w:t>Relev</w:t>
      </w:r>
      <w:r w:rsidRPr="004E38C3">
        <w:rPr>
          <w:rFonts w:ascii="Arial" w:hAnsi="Arial" w:cs="Arial"/>
          <w:b/>
        </w:rPr>
        <w:t>ance.</w:t>
      </w:r>
      <w:r>
        <w:rPr>
          <w:rFonts w:ascii="Arial" w:hAnsi="Arial" w:cs="Arial"/>
        </w:rPr>
        <w:t xml:space="preserve"> </w:t>
      </w:r>
      <w:r w:rsidRPr="00AA71D0">
        <w:rPr>
          <w:rFonts w:ascii="Arial" w:hAnsi="Arial" w:cs="Arial"/>
        </w:rPr>
        <w:t>The HHRSDP is highly relevant to the human resource development (HRD) priorities of the GoV and the MoH, as articul</w:t>
      </w:r>
      <w:r>
        <w:rPr>
          <w:rFonts w:ascii="Arial" w:hAnsi="Arial" w:cs="Arial"/>
        </w:rPr>
        <w:t>ated in the Government’s Socio-E</w:t>
      </w:r>
      <w:r w:rsidRPr="00AA71D0">
        <w:rPr>
          <w:rFonts w:ascii="Arial" w:hAnsi="Arial" w:cs="Arial"/>
        </w:rPr>
        <w:t xml:space="preserve">conomic Development Strategies and sector specific plans. </w:t>
      </w:r>
      <w:r w:rsidRPr="00AA71D0">
        <w:rPr>
          <w:rFonts w:ascii="Arial" w:hAnsi="Arial" w:cs="Arial"/>
          <w:color w:val="000000"/>
        </w:rPr>
        <w:t xml:space="preserve">The HHRSDP at design was relevant to the GoA’s then </w:t>
      </w:r>
      <w:r w:rsidR="0028006A">
        <w:rPr>
          <w:rFonts w:ascii="Arial" w:hAnsi="Arial" w:cs="Arial"/>
          <w:i/>
          <w:color w:val="000000"/>
        </w:rPr>
        <w:t>Viet Nam</w:t>
      </w:r>
      <w:r w:rsidRPr="00AA71D0">
        <w:rPr>
          <w:rFonts w:ascii="Arial" w:hAnsi="Arial" w:cs="Arial"/>
          <w:i/>
          <w:color w:val="000000"/>
        </w:rPr>
        <w:t xml:space="preserve"> Country Strategy 2007–2009</w:t>
      </w:r>
      <w:r w:rsidRPr="00AA71D0">
        <w:rPr>
          <w:rFonts w:ascii="Arial" w:hAnsi="Arial" w:cs="Arial"/>
          <w:color w:val="000000"/>
        </w:rPr>
        <w:t>, a goal of which was to strengthen core</w:t>
      </w:r>
      <w:r w:rsidRPr="00AA71D0">
        <w:rPr>
          <w:rFonts w:ascii="Arial" w:hAnsi="Arial" w:cs="Arial"/>
          <w:lang w:val="en-AU" w:eastAsia="en-US"/>
        </w:rPr>
        <w:t xml:space="preserve"> elements of the </w:t>
      </w:r>
      <w:r w:rsidR="0028006A">
        <w:rPr>
          <w:rFonts w:ascii="Arial" w:hAnsi="Arial" w:cs="Arial"/>
          <w:lang w:val="en-AU" w:eastAsia="en-US"/>
        </w:rPr>
        <w:t>Viet Nam</w:t>
      </w:r>
      <w:r w:rsidRPr="00AA71D0">
        <w:rPr>
          <w:rFonts w:ascii="Arial" w:hAnsi="Arial" w:cs="Arial"/>
          <w:lang w:val="en-AU" w:eastAsia="en-US"/>
        </w:rPr>
        <w:t xml:space="preserve"> health system that impact on service delivery. </w:t>
      </w:r>
      <w:r w:rsidRPr="00AA71D0">
        <w:rPr>
          <w:rFonts w:ascii="Arial" w:hAnsi="Arial" w:cs="Arial"/>
        </w:rPr>
        <w:t>The HHRSDP built on Australia’s comparative advantage in health workforce regulation and international education as</w:t>
      </w:r>
      <w:r>
        <w:rPr>
          <w:rFonts w:ascii="Arial" w:hAnsi="Arial" w:cs="Arial"/>
        </w:rPr>
        <w:t xml:space="preserve"> well as</w:t>
      </w:r>
      <w:r w:rsidRPr="00AA71D0">
        <w:rPr>
          <w:rFonts w:ascii="Arial" w:hAnsi="Arial" w:cs="Arial"/>
        </w:rPr>
        <w:t xml:space="preserve"> earlier Australian investments in health financing reform. The Project is less </w:t>
      </w:r>
      <w:r w:rsidRPr="00AA71D0">
        <w:rPr>
          <w:rFonts w:ascii="Arial" w:hAnsi="Arial" w:cs="Arial"/>
          <w:color w:val="000000"/>
        </w:rPr>
        <w:t xml:space="preserve">relevant to the </w:t>
      </w:r>
      <w:r w:rsidRPr="00AA71D0">
        <w:rPr>
          <w:rFonts w:ascii="Arial" w:hAnsi="Arial" w:cs="Arial"/>
          <w:i/>
          <w:color w:val="000000"/>
        </w:rPr>
        <w:t>Australia – Viet Nam Joint AID Program Strategy 2010-2015</w:t>
      </w:r>
      <w:r w:rsidRPr="00AA71D0">
        <w:rPr>
          <w:rFonts w:ascii="Arial" w:hAnsi="Arial" w:cs="Arial"/>
          <w:color w:val="000000"/>
        </w:rPr>
        <w:t xml:space="preserve"> under</w:t>
      </w:r>
      <w:r w:rsidRPr="00AA71D0">
        <w:rPr>
          <w:rFonts w:ascii="Arial" w:hAnsi="Arial" w:cs="Arial"/>
        </w:rPr>
        <w:t xml:space="preserve"> which Australia has disengaged from health sector investments. </w:t>
      </w:r>
      <w:r>
        <w:rPr>
          <w:rFonts w:ascii="Arial" w:hAnsi="Arial" w:cs="Arial"/>
        </w:rPr>
        <w:t xml:space="preserve">The </w:t>
      </w:r>
      <w:r w:rsidRPr="00AA71D0">
        <w:rPr>
          <w:rFonts w:ascii="Arial" w:hAnsi="Arial" w:cs="Arial"/>
        </w:rPr>
        <w:t>HHRSDP remains relevant to the current strategic and operational priorities of ADB, which includes</w:t>
      </w:r>
      <w:r>
        <w:rPr>
          <w:rFonts w:ascii="Arial" w:hAnsi="Arial" w:cs="Arial"/>
        </w:rPr>
        <w:t xml:space="preserve"> </w:t>
      </w:r>
      <w:r w:rsidRPr="00AA71D0">
        <w:rPr>
          <w:rFonts w:ascii="Arial" w:hAnsi="Arial" w:cs="Arial"/>
        </w:rPr>
        <w:t>proposed financing</w:t>
      </w:r>
      <w:r w:rsidR="00863743">
        <w:rPr>
          <w:rFonts w:ascii="Arial" w:hAnsi="Arial" w:cs="Arial"/>
        </w:rPr>
        <w:t xml:space="preserve"> ($80 million)</w:t>
      </w:r>
      <w:r w:rsidRPr="00AA71D0">
        <w:rPr>
          <w:rFonts w:ascii="Arial" w:hAnsi="Arial" w:cs="Arial"/>
        </w:rPr>
        <w:t xml:space="preserve"> for a</w:t>
      </w:r>
      <w:r>
        <w:rPr>
          <w:rFonts w:ascii="Arial" w:hAnsi="Arial" w:cs="Arial"/>
        </w:rPr>
        <w:t xml:space="preserve"> </w:t>
      </w:r>
      <w:r w:rsidRPr="00AA71D0">
        <w:rPr>
          <w:rFonts w:ascii="Arial" w:hAnsi="Arial" w:cs="Arial"/>
        </w:rPr>
        <w:t xml:space="preserve">second phase of </w:t>
      </w:r>
      <w:r>
        <w:rPr>
          <w:rFonts w:ascii="Arial" w:hAnsi="Arial" w:cs="Arial"/>
        </w:rPr>
        <w:t>the Program.</w:t>
      </w:r>
    </w:p>
    <w:p w:rsidR="00113D51" w:rsidRDefault="00113D51" w:rsidP="00113D51">
      <w:pPr>
        <w:jc w:val="both"/>
        <w:rPr>
          <w:rFonts w:ascii="Arial" w:hAnsi="Arial" w:cs="Arial"/>
        </w:rPr>
      </w:pPr>
      <w:r w:rsidRPr="00807C42">
        <w:rPr>
          <w:rFonts w:ascii="Arial" w:hAnsi="Arial" w:cs="Arial"/>
        </w:rPr>
        <w:fldChar w:fldCharType="begin"/>
      </w:r>
      <w:r w:rsidRPr="00807C42">
        <w:rPr>
          <w:rFonts w:ascii="Arial" w:hAnsi="Arial" w:cs="Arial"/>
        </w:rPr>
        <w:instrText>AUTONUMLGL</w:instrText>
      </w:r>
      <w:r w:rsidRPr="00807C42">
        <w:rPr>
          <w:rFonts w:ascii="Arial" w:hAnsi="Arial" w:cs="Arial"/>
        </w:rPr>
        <w:fldChar w:fldCharType="end"/>
      </w:r>
      <w:r w:rsidRPr="00807C42">
        <w:rPr>
          <w:rFonts w:ascii="Arial" w:hAnsi="Arial" w:cs="Arial"/>
          <w:b/>
        </w:rPr>
        <w:tab/>
      </w:r>
      <w:r w:rsidRPr="004E38C3">
        <w:rPr>
          <w:rFonts w:ascii="Arial" w:hAnsi="Arial" w:cs="Arial"/>
          <w:b/>
        </w:rPr>
        <w:t>Effectiveness.</w:t>
      </w:r>
      <w:r>
        <w:rPr>
          <w:rFonts w:ascii="Arial" w:hAnsi="Arial" w:cs="Arial"/>
        </w:rPr>
        <w:t xml:space="preserve"> The HHRSDP was assessed as likely effective, </w:t>
      </w:r>
      <w:r w:rsidR="006A31EE">
        <w:rPr>
          <w:rFonts w:ascii="Arial" w:hAnsi="Arial" w:cs="Arial"/>
        </w:rPr>
        <w:t xml:space="preserve">with the caveat </w:t>
      </w:r>
      <w:r>
        <w:rPr>
          <w:rFonts w:ascii="Arial" w:hAnsi="Arial" w:cs="Arial"/>
        </w:rPr>
        <w:t>that at the time of the evaluation the Program had</w:t>
      </w:r>
      <w:r w:rsidRPr="00BA6D5D">
        <w:rPr>
          <w:rFonts w:ascii="Arial" w:hAnsi="Arial" w:cs="Arial"/>
        </w:rPr>
        <w:t xml:space="preserve"> n</w:t>
      </w:r>
      <w:r>
        <w:rPr>
          <w:rFonts w:ascii="Arial" w:hAnsi="Arial" w:cs="Arial"/>
        </w:rPr>
        <w:t>ot reached physical completion, preventing a full assessment of effectiveness against the intended outcomes. The Program has delivered all but one policy action under the program loan and the majority of key outputs under the project loan and grant. These include: (i) The establishment of a Joint Committee for Human Resource Planning and Management (</w:t>
      </w:r>
      <w:r w:rsidRPr="00D33652">
        <w:rPr>
          <w:rFonts w:ascii="Arial" w:hAnsi="Arial" w:cs="Arial"/>
        </w:rPr>
        <w:t>JC-HRPM</w:t>
      </w:r>
      <w:r>
        <w:rPr>
          <w:rFonts w:ascii="Arial" w:hAnsi="Arial" w:cs="Arial"/>
        </w:rPr>
        <w:t xml:space="preserve">); (ii) </w:t>
      </w:r>
      <w:r w:rsidRPr="00777FA0">
        <w:rPr>
          <w:rFonts w:ascii="Arial" w:hAnsi="Arial" w:cs="Arial"/>
        </w:rPr>
        <w:t>A uniform national system for registration</w:t>
      </w:r>
      <w:r w:rsidR="008F3E12">
        <w:rPr>
          <w:rFonts w:ascii="Arial" w:hAnsi="Arial" w:cs="Arial"/>
        </w:rPr>
        <w:t xml:space="preserve"> and licensing</w:t>
      </w:r>
      <w:r w:rsidRPr="00777FA0">
        <w:rPr>
          <w:rFonts w:ascii="Arial" w:hAnsi="Arial" w:cs="Arial"/>
        </w:rPr>
        <w:t xml:space="preserve"> of health practitioners and facilities</w:t>
      </w:r>
      <w:r>
        <w:rPr>
          <w:rFonts w:ascii="Arial" w:hAnsi="Arial" w:cs="Arial"/>
        </w:rPr>
        <w:t>; (iii) Equipment provision and facility upgrades in 17 Universities; (iv) A</w:t>
      </w:r>
      <w:r w:rsidRPr="00D33652">
        <w:rPr>
          <w:rFonts w:ascii="Arial" w:hAnsi="Arial" w:cs="Arial"/>
        </w:rPr>
        <w:t xml:space="preserve"> comprehensive program to strengthen capacity of teaching and management staff</w:t>
      </w:r>
      <w:r>
        <w:rPr>
          <w:rFonts w:ascii="Arial" w:hAnsi="Arial" w:cs="Arial"/>
        </w:rPr>
        <w:t xml:space="preserve"> in 17 Universities, with all training targets met; (iv) Development of 26 costed care pathways.</w:t>
      </w:r>
      <w:r w:rsidRPr="00777FA0">
        <w:rPr>
          <w:rFonts w:ascii="Arial" w:hAnsi="Arial" w:cs="Arial"/>
        </w:rPr>
        <w:t xml:space="preserve"> </w:t>
      </w:r>
      <w:r>
        <w:rPr>
          <w:rFonts w:ascii="Arial" w:hAnsi="Arial" w:cs="Arial"/>
        </w:rPr>
        <w:t>Several outputs that remain to be completed include the enhancement of the registration and licensing database and the</w:t>
      </w:r>
      <w:r w:rsidRPr="004D0B83">
        <w:rPr>
          <w:rFonts w:ascii="Arial" w:hAnsi="Arial" w:cs="Arial"/>
        </w:rPr>
        <w:t xml:space="preserve"> piloting of case-based funding mechanisms</w:t>
      </w:r>
      <w:r>
        <w:rPr>
          <w:rFonts w:ascii="Arial" w:hAnsi="Arial" w:cs="Arial"/>
        </w:rPr>
        <w:t xml:space="preserve">, both of which are </w:t>
      </w:r>
      <w:r w:rsidRPr="004D0B83">
        <w:rPr>
          <w:rFonts w:ascii="Arial" w:hAnsi="Arial" w:cs="Arial"/>
        </w:rPr>
        <w:t>likely to be deliver</w:t>
      </w:r>
      <w:r>
        <w:rPr>
          <w:rFonts w:ascii="Arial" w:hAnsi="Arial" w:cs="Arial"/>
        </w:rPr>
        <w:t>e</w:t>
      </w:r>
      <w:r w:rsidRPr="004D0B83">
        <w:rPr>
          <w:rFonts w:ascii="Arial" w:hAnsi="Arial" w:cs="Arial"/>
        </w:rPr>
        <w:t>d in full if the</w:t>
      </w:r>
      <w:r>
        <w:rPr>
          <w:rFonts w:ascii="Arial" w:hAnsi="Arial" w:cs="Arial"/>
        </w:rPr>
        <w:t xml:space="preserve"> Program is extended. The Program’s outputs relating to university accreditation were considered overly ambitious. These were revised </w:t>
      </w:r>
      <w:r w:rsidR="00863743">
        <w:rPr>
          <w:rFonts w:ascii="Arial" w:hAnsi="Arial" w:cs="Arial"/>
        </w:rPr>
        <w:t xml:space="preserve">during implementation </w:t>
      </w:r>
      <w:r>
        <w:rPr>
          <w:rFonts w:ascii="Arial" w:hAnsi="Arial" w:cs="Arial"/>
        </w:rPr>
        <w:t xml:space="preserve">to a </w:t>
      </w:r>
      <w:r w:rsidRPr="00305303">
        <w:rPr>
          <w:rFonts w:ascii="Arial" w:hAnsi="Arial" w:cs="Arial"/>
        </w:rPr>
        <w:t xml:space="preserve">series of </w:t>
      </w:r>
      <w:r>
        <w:rPr>
          <w:rFonts w:ascii="Arial" w:hAnsi="Arial" w:cs="Arial"/>
        </w:rPr>
        <w:t xml:space="preserve">more </w:t>
      </w:r>
      <w:r w:rsidRPr="00305303">
        <w:rPr>
          <w:rFonts w:ascii="Arial" w:hAnsi="Arial" w:cs="Arial"/>
        </w:rPr>
        <w:t xml:space="preserve">achievable outputs that </w:t>
      </w:r>
      <w:r>
        <w:rPr>
          <w:rFonts w:ascii="Arial" w:hAnsi="Arial" w:cs="Arial"/>
        </w:rPr>
        <w:t>constitute</w:t>
      </w:r>
      <w:r w:rsidRPr="00305303">
        <w:rPr>
          <w:rFonts w:ascii="Arial" w:hAnsi="Arial" w:cs="Arial"/>
        </w:rPr>
        <w:t xml:space="preserve"> preliminary steps towards the medium-term goal </w:t>
      </w:r>
      <w:r>
        <w:rPr>
          <w:rFonts w:ascii="Arial" w:hAnsi="Arial" w:cs="Arial"/>
        </w:rPr>
        <w:t xml:space="preserve">of accreditation. Outputs for the development of </w:t>
      </w:r>
      <w:r w:rsidRPr="00FD6EB5">
        <w:rPr>
          <w:rFonts w:ascii="Arial" w:eastAsia="MS Mincho" w:hAnsi="Arial" w:cs="Arial"/>
          <w:color w:val="000000"/>
        </w:rPr>
        <w:t xml:space="preserve">e-learning </w:t>
      </w:r>
      <w:r w:rsidRPr="00D33652">
        <w:rPr>
          <w:rFonts w:ascii="Arial" w:hAnsi="Arial" w:cs="Arial"/>
        </w:rPr>
        <w:t>as a modali</w:t>
      </w:r>
      <w:r>
        <w:rPr>
          <w:rFonts w:ascii="Arial" w:hAnsi="Arial" w:cs="Arial"/>
        </w:rPr>
        <w:t xml:space="preserve">ty for the delivery </w:t>
      </w:r>
      <w:r w:rsidR="00794E75">
        <w:rPr>
          <w:rFonts w:ascii="Arial" w:hAnsi="Arial" w:cs="Arial"/>
        </w:rPr>
        <w:t>of</w:t>
      </w:r>
      <w:r>
        <w:rPr>
          <w:rFonts w:ascii="Arial" w:hAnsi="Arial" w:cs="Arial"/>
        </w:rPr>
        <w:t xml:space="preserve"> continu</w:t>
      </w:r>
      <w:r w:rsidR="00794E75">
        <w:rPr>
          <w:rFonts w:ascii="Arial" w:hAnsi="Arial" w:cs="Arial"/>
        </w:rPr>
        <w:t>ing</w:t>
      </w:r>
      <w:r>
        <w:rPr>
          <w:rFonts w:ascii="Arial" w:hAnsi="Arial" w:cs="Arial"/>
        </w:rPr>
        <w:t xml:space="preserve"> medical education (CME) are</w:t>
      </w:r>
      <w:r w:rsidRPr="00D33652">
        <w:rPr>
          <w:rFonts w:ascii="Arial" w:hAnsi="Arial" w:cs="Arial"/>
        </w:rPr>
        <w:t xml:space="preserve"> </w:t>
      </w:r>
      <w:r w:rsidR="00E93E8D">
        <w:rPr>
          <w:rFonts w:ascii="Arial" w:hAnsi="Arial" w:cs="Arial"/>
        </w:rPr>
        <w:t>less likely</w:t>
      </w:r>
      <w:r w:rsidRPr="00D33652">
        <w:rPr>
          <w:rFonts w:ascii="Arial" w:hAnsi="Arial" w:cs="Arial"/>
        </w:rPr>
        <w:t xml:space="preserve"> to be completed as intended</w:t>
      </w:r>
      <w:r>
        <w:rPr>
          <w:rFonts w:ascii="Arial" w:hAnsi="Arial" w:cs="Arial"/>
        </w:rPr>
        <w:t>.</w:t>
      </w:r>
    </w:p>
    <w:p w:rsidR="00113D51" w:rsidRDefault="00113D51" w:rsidP="00113D51">
      <w:pPr>
        <w:jc w:val="both"/>
        <w:rPr>
          <w:rFonts w:ascii="Arial" w:hAnsi="Arial" w:cs="Arial"/>
        </w:rPr>
      </w:pPr>
    </w:p>
    <w:p w:rsidR="00113D51" w:rsidRDefault="00113D51" w:rsidP="00113D51">
      <w:pPr>
        <w:pStyle w:val="Default"/>
        <w:jc w:val="both"/>
        <w:rPr>
          <w:sz w:val="20"/>
          <w:szCs w:val="20"/>
        </w:rPr>
      </w:pPr>
      <w:r w:rsidRPr="00407E5B">
        <w:rPr>
          <w:sz w:val="20"/>
          <w:szCs w:val="20"/>
        </w:rPr>
        <w:fldChar w:fldCharType="begin"/>
      </w:r>
      <w:r w:rsidRPr="00407E5B">
        <w:rPr>
          <w:sz w:val="20"/>
          <w:szCs w:val="20"/>
        </w:rPr>
        <w:instrText>AUTONUMLGL</w:instrText>
      </w:r>
      <w:r w:rsidRPr="00407E5B">
        <w:rPr>
          <w:sz w:val="20"/>
          <w:szCs w:val="20"/>
        </w:rPr>
        <w:fldChar w:fldCharType="end"/>
      </w:r>
      <w:r w:rsidRPr="00407E5B">
        <w:rPr>
          <w:sz w:val="20"/>
          <w:szCs w:val="20"/>
        </w:rPr>
        <w:tab/>
      </w:r>
      <w:r w:rsidRPr="004E38C3">
        <w:rPr>
          <w:rFonts w:eastAsia="Times New Roman"/>
          <w:b/>
          <w:color w:val="auto"/>
          <w:sz w:val="20"/>
          <w:szCs w:val="20"/>
          <w:lang w:eastAsia="zh-CN"/>
        </w:rPr>
        <w:t>Efficiency.</w:t>
      </w:r>
      <w:r>
        <w:rPr>
          <w:b/>
        </w:rPr>
        <w:t xml:space="preserve"> </w:t>
      </w:r>
      <w:r>
        <w:rPr>
          <w:sz w:val="20"/>
          <w:szCs w:val="20"/>
        </w:rPr>
        <w:t>Implementation of the HHRSDP</w:t>
      </w:r>
      <w:r w:rsidRPr="00D33652">
        <w:rPr>
          <w:sz w:val="20"/>
          <w:szCs w:val="20"/>
        </w:rPr>
        <w:t xml:space="preserve"> </w:t>
      </w:r>
      <w:r>
        <w:rPr>
          <w:sz w:val="20"/>
          <w:szCs w:val="20"/>
        </w:rPr>
        <w:t xml:space="preserve">was assessed as </w:t>
      </w:r>
      <w:r w:rsidRPr="00D33652">
        <w:rPr>
          <w:sz w:val="20"/>
          <w:szCs w:val="20"/>
        </w:rPr>
        <w:t>sub-optimal</w:t>
      </w:r>
      <w:r>
        <w:rPr>
          <w:sz w:val="20"/>
          <w:szCs w:val="20"/>
        </w:rPr>
        <w:t xml:space="preserve">. </w:t>
      </w:r>
      <w:r w:rsidRPr="00D33652">
        <w:rPr>
          <w:sz w:val="20"/>
          <w:szCs w:val="20"/>
        </w:rPr>
        <w:t xml:space="preserve">The </w:t>
      </w:r>
      <w:r>
        <w:rPr>
          <w:sz w:val="20"/>
          <w:szCs w:val="20"/>
        </w:rPr>
        <w:t xml:space="preserve">Project experienced significant implementation delays, specifically through project years 1-4. </w:t>
      </w:r>
      <w:r w:rsidRPr="00D33652">
        <w:rPr>
          <w:sz w:val="20"/>
          <w:szCs w:val="20"/>
        </w:rPr>
        <w:t xml:space="preserve">At the time of grant closing 60% of grant funding and </w:t>
      </w:r>
      <w:r w:rsidR="00863743">
        <w:rPr>
          <w:sz w:val="20"/>
          <w:szCs w:val="20"/>
        </w:rPr>
        <w:t>56% of total project funding had</w:t>
      </w:r>
      <w:r w:rsidRPr="00D33652">
        <w:rPr>
          <w:sz w:val="20"/>
          <w:szCs w:val="20"/>
        </w:rPr>
        <w:t xml:space="preserve"> been disbursed. DFAT issued a no objection letter for the </w:t>
      </w:r>
      <w:r>
        <w:rPr>
          <w:sz w:val="20"/>
          <w:szCs w:val="20"/>
        </w:rPr>
        <w:t>remaining grant contribution to be disbursed by</w:t>
      </w:r>
      <w:r w:rsidRPr="00D33652">
        <w:rPr>
          <w:sz w:val="20"/>
          <w:szCs w:val="20"/>
        </w:rPr>
        <w:t xml:space="preserve"> project closing date. Forward projections estimate disb</w:t>
      </w:r>
      <w:r>
        <w:rPr>
          <w:sz w:val="20"/>
          <w:szCs w:val="20"/>
        </w:rPr>
        <w:t>ursements at 31 December 2015 as</w:t>
      </w:r>
      <w:r w:rsidRPr="00D33652">
        <w:rPr>
          <w:sz w:val="20"/>
          <w:szCs w:val="20"/>
        </w:rPr>
        <w:t xml:space="preserve"> 99% for grant funds and 89% for total project funds. The sub-optimal implementation progress </w:t>
      </w:r>
      <w:r>
        <w:rPr>
          <w:sz w:val="20"/>
          <w:szCs w:val="20"/>
        </w:rPr>
        <w:t>resulted</w:t>
      </w:r>
      <w:r w:rsidRPr="00D33652">
        <w:rPr>
          <w:sz w:val="20"/>
          <w:szCs w:val="20"/>
        </w:rPr>
        <w:t xml:space="preserve"> from a combination </w:t>
      </w:r>
      <w:r>
        <w:rPr>
          <w:sz w:val="20"/>
          <w:szCs w:val="20"/>
        </w:rPr>
        <w:t xml:space="preserve">of </w:t>
      </w:r>
      <w:r w:rsidRPr="00D33652">
        <w:rPr>
          <w:sz w:val="20"/>
          <w:szCs w:val="20"/>
        </w:rPr>
        <w:t>project rel</w:t>
      </w:r>
      <w:r>
        <w:rPr>
          <w:sz w:val="20"/>
          <w:szCs w:val="20"/>
        </w:rPr>
        <w:t xml:space="preserve">ated and institutional factors. Implementation experience from the HHRSDP highlights the inherent weaknesses of the project-based PMU model as a mechanism for investment delivery. These weaknesses include: (i) Part-time leadership; (ii) </w:t>
      </w:r>
      <w:r w:rsidRPr="00291FB1">
        <w:rPr>
          <w:sz w:val="20"/>
          <w:szCs w:val="20"/>
        </w:rPr>
        <w:t>T</w:t>
      </w:r>
      <w:r>
        <w:rPr>
          <w:sz w:val="20"/>
          <w:szCs w:val="20"/>
        </w:rPr>
        <w:t>he t</w:t>
      </w:r>
      <w:r w:rsidRPr="00291FB1">
        <w:rPr>
          <w:sz w:val="20"/>
          <w:szCs w:val="20"/>
        </w:rPr>
        <w:t xml:space="preserve">ime lag from project inception to full implementation while </w:t>
      </w:r>
      <w:r>
        <w:rPr>
          <w:sz w:val="20"/>
          <w:szCs w:val="20"/>
        </w:rPr>
        <w:t xml:space="preserve">systems are established and new staff learn procedures; (iii) High transaction costs; (iv) </w:t>
      </w:r>
      <w:r w:rsidRPr="00291FB1">
        <w:rPr>
          <w:sz w:val="20"/>
          <w:szCs w:val="20"/>
        </w:rPr>
        <w:t xml:space="preserve">Lack of continuity between </w:t>
      </w:r>
      <w:r w:rsidR="00E01341">
        <w:rPr>
          <w:sz w:val="20"/>
          <w:szCs w:val="20"/>
        </w:rPr>
        <w:t xml:space="preserve">the </w:t>
      </w:r>
      <w:r w:rsidRPr="00291FB1">
        <w:rPr>
          <w:sz w:val="20"/>
          <w:szCs w:val="20"/>
        </w:rPr>
        <w:t>PPTA and implementation teams</w:t>
      </w:r>
      <w:r>
        <w:rPr>
          <w:sz w:val="20"/>
          <w:szCs w:val="20"/>
        </w:rPr>
        <w:t xml:space="preserve">. </w:t>
      </w:r>
      <w:r w:rsidRPr="008369CA">
        <w:rPr>
          <w:sz w:val="20"/>
          <w:szCs w:val="20"/>
        </w:rPr>
        <w:t>The successful delivery of the prog</w:t>
      </w:r>
      <w:r>
        <w:rPr>
          <w:sz w:val="20"/>
          <w:szCs w:val="20"/>
        </w:rPr>
        <w:t>ram loan under the HHRSDP demonstrates</w:t>
      </w:r>
      <w:r w:rsidRPr="008369CA">
        <w:rPr>
          <w:sz w:val="20"/>
          <w:szCs w:val="20"/>
        </w:rPr>
        <w:t xml:space="preserve"> the potential gains to efficiency and effectiveness that can flow from a shift to more responsive modalities for investment financing and delivery.</w:t>
      </w:r>
    </w:p>
    <w:p w:rsidR="00113D51" w:rsidRDefault="00113D51" w:rsidP="00113D51">
      <w:pPr>
        <w:pStyle w:val="Default"/>
        <w:jc w:val="both"/>
        <w:rPr>
          <w:sz w:val="20"/>
          <w:szCs w:val="20"/>
        </w:rPr>
      </w:pPr>
    </w:p>
    <w:p w:rsidR="00113D51" w:rsidRDefault="00113D51" w:rsidP="00113D51">
      <w:pPr>
        <w:pStyle w:val="Default"/>
        <w:jc w:val="both"/>
        <w:rPr>
          <w:sz w:val="20"/>
          <w:szCs w:val="20"/>
        </w:rPr>
      </w:pPr>
      <w:r w:rsidRPr="00407E5B">
        <w:rPr>
          <w:sz w:val="20"/>
          <w:szCs w:val="20"/>
        </w:rPr>
        <w:fldChar w:fldCharType="begin"/>
      </w:r>
      <w:r w:rsidRPr="00407E5B">
        <w:rPr>
          <w:sz w:val="20"/>
          <w:szCs w:val="20"/>
        </w:rPr>
        <w:instrText>AUTONUMLGL</w:instrText>
      </w:r>
      <w:r w:rsidRPr="00407E5B">
        <w:rPr>
          <w:sz w:val="20"/>
          <w:szCs w:val="20"/>
        </w:rPr>
        <w:fldChar w:fldCharType="end"/>
      </w:r>
      <w:r w:rsidRPr="00407E5B">
        <w:rPr>
          <w:sz w:val="20"/>
          <w:szCs w:val="20"/>
        </w:rPr>
        <w:tab/>
      </w:r>
      <w:r w:rsidRPr="00407E5B">
        <w:rPr>
          <w:b/>
          <w:sz w:val="20"/>
          <w:szCs w:val="20"/>
        </w:rPr>
        <w:t>Impact.</w:t>
      </w:r>
      <w:r>
        <w:rPr>
          <w:sz w:val="20"/>
          <w:szCs w:val="20"/>
        </w:rPr>
        <w:t xml:space="preserve"> </w:t>
      </w:r>
      <w:r w:rsidRPr="008369CA">
        <w:rPr>
          <w:sz w:val="20"/>
          <w:szCs w:val="20"/>
        </w:rPr>
        <w:t xml:space="preserve">Assessment of impact </w:t>
      </w:r>
      <w:r>
        <w:rPr>
          <w:sz w:val="20"/>
          <w:szCs w:val="20"/>
        </w:rPr>
        <w:t>during the completion evaluation is</w:t>
      </w:r>
      <w:r w:rsidRPr="008369CA">
        <w:rPr>
          <w:sz w:val="20"/>
          <w:szCs w:val="20"/>
        </w:rPr>
        <w:t xml:space="preserve"> premature. </w:t>
      </w:r>
      <w:r>
        <w:rPr>
          <w:sz w:val="20"/>
          <w:szCs w:val="20"/>
        </w:rPr>
        <w:t>A minimum of six months of Program implementation remains. Impact indicators</w:t>
      </w:r>
      <w:r w:rsidRPr="008369CA">
        <w:rPr>
          <w:sz w:val="20"/>
          <w:szCs w:val="20"/>
        </w:rPr>
        <w:t xml:space="preserve"> are based on 2020 targets.  </w:t>
      </w:r>
    </w:p>
    <w:p w:rsidR="00113D51" w:rsidRDefault="00113D51" w:rsidP="00113D51">
      <w:pPr>
        <w:pStyle w:val="Default"/>
        <w:jc w:val="both"/>
        <w:rPr>
          <w:sz w:val="20"/>
          <w:szCs w:val="20"/>
        </w:rPr>
      </w:pPr>
    </w:p>
    <w:p w:rsidR="00113D51" w:rsidRDefault="00113D51" w:rsidP="00113D51">
      <w:pPr>
        <w:pStyle w:val="Default"/>
        <w:jc w:val="both"/>
        <w:rPr>
          <w:rFonts w:eastAsia="Times New Roman"/>
          <w:color w:val="auto"/>
          <w:sz w:val="20"/>
          <w:szCs w:val="20"/>
          <w:lang w:eastAsia="zh-CN"/>
        </w:rPr>
      </w:pPr>
      <w:r w:rsidRPr="00407E5B">
        <w:rPr>
          <w:sz w:val="20"/>
          <w:szCs w:val="20"/>
        </w:rPr>
        <w:fldChar w:fldCharType="begin"/>
      </w:r>
      <w:r w:rsidRPr="00407E5B">
        <w:rPr>
          <w:sz w:val="20"/>
          <w:szCs w:val="20"/>
        </w:rPr>
        <w:instrText>AUTONUMLGL</w:instrText>
      </w:r>
      <w:r w:rsidRPr="00407E5B">
        <w:rPr>
          <w:sz w:val="20"/>
          <w:szCs w:val="20"/>
        </w:rPr>
        <w:fldChar w:fldCharType="end"/>
      </w:r>
      <w:r w:rsidRPr="00407E5B">
        <w:rPr>
          <w:sz w:val="20"/>
          <w:szCs w:val="20"/>
        </w:rPr>
        <w:tab/>
      </w:r>
      <w:r>
        <w:rPr>
          <w:b/>
          <w:sz w:val="20"/>
          <w:szCs w:val="20"/>
        </w:rPr>
        <w:t xml:space="preserve">Sustainability. </w:t>
      </w:r>
      <w:r w:rsidRPr="0058540A">
        <w:rPr>
          <w:sz w:val="20"/>
          <w:szCs w:val="20"/>
        </w:rPr>
        <w:t>Benefits from the</w:t>
      </w:r>
      <w:r>
        <w:rPr>
          <w:rFonts w:eastAsia="Times New Roman"/>
          <w:color w:val="auto"/>
          <w:sz w:val="20"/>
          <w:szCs w:val="20"/>
          <w:lang w:eastAsia="zh-CN"/>
        </w:rPr>
        <w:t xml:space="preserve"> HHRSDP are likely to continue post-Program with a number of k</w:t>
      </w:r>
      <w:r w:rsidRPr="00100C14">
        <w:rPr>
          <w:rFonts w:eastAsia="Times New Roman"/>
          <w:color w:val="auto"/>
          <w:sz w:val="20"/>
          <w:szCs w:val="20"/>
          <w:lang w:eastAsia="zh-CN"/>
        </w:rPr>
        <w:t>ey outputs assessed as likely sustainable</w:t>
      </w:r>
      <w:r>
        <w:rPr>
          <w:rFonts w:eastAsia="Times New Roman"/>
          <w:color w:val="auto"/>
          <w:sz w:val="20"/>
          <w:szCs w:val="20"/>
          <w:lang w:eastAsia="zh-CN"/>
        </w:rPr>
        <w:t>. The</w:t>
      </w:r>
      <w:r w:rsidRPr="00100C14">
        <w:rPr>
          <w:rFonts w:eastAsia="Times New Roman"/>
          <w:color w:val="auto"/>
          <w:sz w:val="20"/>
          <w:szCs w:val="20"/>
          <w:lang w:eastAsia="zh-CN"/>
        </w:rPr>
        <w:t xml:space="preserve"> registration</w:t>
      </w:r>
      <w:r w:rsidR="00E01341">
        <w:rPr>
          <w:rFonts w:eastAsia="Times New Roman"/>
          <w:color w:val="auto"/>
          <w:sz w:val="20"/>
          <w:szCs w:val="20"/>
          <w:lang w:eastAsia="zh-CN"/>
        </w:rPr>
        <w:t xml:space="preserve"> and licensing</w:t>
      </w:r>
      <w:r w:rsidRPr="00100C14">
        <w:rPr>
          <w:rFonts w:eastAsia="Times New Roman"/>
          <w:color w:val="auto"/>
          <w:sz w:val="20"/>
          <w:szCs w:val="20"/>
          <w:lang w:eastAsia="zh-CN"/>
        </w:rPr>
        <w:t xml:space="preserve"> system</w:t>
      </w:r>
      <w:r>
        <w:rPr>
          <w:rFonts w:eastAsia="Times New Roman"/>
          <w:color w:val="auto"/>
          <w:sz w:val="20"/>
          <w:szCs w:val="20"/>
          <w:lang w:eastAsia="zh-CN"/>
        </w:rPr>
        <w:t xml:space="preserve"> for health practitioners and facilities</w:t>
      </w:r>
      <w:r w:rsidRPr="00100C14">
        <w:rPr>
          <w:rFonts w:eastAsia="Times New Roman"/>
          <w:color w:val="auto"/>
          <w:sz w:val="20"/>
          <w:szCs w:val="20"/>
          <w:lang w:eastAsia="zh-CN"/>
        </w:rPr>
        <w:t xml:space="preserve"> </w:t>
      </w:r>
      <w:r>
        <w:rPr>
          <w:rFonts w:eastAsia="Times New Roman"/>
          <w:color w:val="auto"/>
          <w:sz w:val="20"/>
          <w:szCs w:val="20"/>
          <w:lang w:eastAsia="zh-CN"/>
        </w:rPr>
        <w:t>operates</w:t>
      </w:r>
      <w:r w:rsidRPr="00100C14">
        <w:rPr>
          <w:rFonts w:eastAsia="Times New Roman"/>
          <w:color w:val="auto"/>
          <w:sz w:val="20"/>
          <w:szCs w:val="20"/>
          <w:lang w:eastAsia="zh-CN"/>
        </w:rPr>
        <w:t xml:space="preserve"> nationwide</w:t>
      </w:r>
      <w:r>
        <w:rPr>
          <w:rFonts w:eastAsia="Times New Roman"/>
          <w:color w:val="auto"/>
          <w:sz w:val="20"/>
          <w:szCs w:val="20"/>
          <w:lang w:eastAsia="zh-CN"/>
        </w:rPr>
        <w:t xml:space="preserve"> though</w:t>
      </w:r>
      <w:r w:rsidRPr="00100C14">
        <w:rPr>
          <w:rFonts w:eastAsia="Times New Roman"/>
          <w:color w:val="auto"/>
          <w:sz w:val="20"/>
          <w:szCs w:val="20"/>
          <w:lang w:eastAsia="zh-CN"/>
        </w:rPr>
        <w:t xml:space="preserve"> uniform implementation mechanisms</w:t>
      </w:r>
      <w:r>
        <w:rPr>
          <w:rFonts w:eastAsia="Times New Roman"/>
          <w:color w:val="auto"/>
          <w:sz w:val="20"/>
          <w:szCs w:val="20"/>
          <w:lang w:eastAsia="zh-CN"/>
        </w:rPr>
        <w:t xml:space="preserve"> that are </w:t>
      </w:r>
      <w:r w:rsidRPr="00100C14">
        <w:rPr>
          <w:rFonts w:eastAsia="Times New Roman"/>
          <w:color w:val="auto"/>
          <w:sz w:val="20"/>
          <w:szCs w:val="20"/>
          <w:lang w:eastAsia="zh-CN"/>
        </w:rPr>
        <w:t>integrated within provincial health department structures. Nine universities provided with equipment under the</w:t>
      </w:r>
      <w:r>
        <w:rPr>
          <w:rFonts w:eastAsia="Times New Roman"/>
          <w:color w:val="auto"/>
          <w:sz w:val="20"/>
          <w:szCs w:val="20"/>
          <w:lang w:eastAsia="zh-CN"/>
        </w:rPr>
        <w:t xml:space="preserve"> grant and project loan </w:t>
      </w:r>
      <w:r w:rsidRPr="00100C14">
        <w:rPr>
          <w:rFonts w:eastAsia="Times New Roman"/>
          <w:color w:val="auto"/>
          <w:sz w:val="20"/>
          <w:szCs w:val="20"/>
          <w:lang w:eastAsia="zh-CN"/>
        </w:rPr>
        <w:t>have allocations for maintenance in annual operating budgets. The casemix database has provided a platform for linking the care pathways pilot to the broader work of the Technical Taskforce on Provider Payment Reform. The draft Standards for Accreditation for Medical Facilities constitute a foundation step towards the longer-term goal of medical univers</w:t>
      </w:r>
      <w:r>
        <w:rPr>
          <w:rFonts w:eastAsia="Times New Roman"/>
          <w:color w:val="auto"/>
          <w:sz w:val="20"/>
          <w:szCs w:val="20"/>
          <w:lang w:eastAsia="zh-CN"/>
        </w:rPr>
        <w:t>ity accreditation, which MoH is</w:t>
      </w:r>
      <w:r w:rsidRPr="00100C14">
        <w:rPr>
          <w:rFonts w:eastAsia="Times New Roman"/>
          <w:color w:val="auto"/>
          <w:sz w:val="20"/>
          <w:szCs w:val="20"/>
          <w:lang w:eastAsia="zh-CN"/>
        </w:rPr>
        <w:t xml:space="preserve"> progressing through their World</w:t>
      </w:r>
      <w:r>
        <w:rPr>
          <w:rFonts w:eastAsia="Times New Roman"/>
          <w:color w:val="auto"/>
          <w:sz w:val="20"/>
          <w:szCs w:val="20"/>
          <w:lang w:eastAsia="zh-CN"/>
        </w:rPr>
        <w:t xml:space="preserve"> Bank financed program</w:t>
      </w:r>
      <w:r w:rsidRPr="00100C14">
        <w:rPr>
          <w:rFonts w:eastAsia="Times New Roman"/>
          <w:color w:val="auto"/>
          <w:sz w:val="20"/>
          <w:szCs w:val="20"/>
          <w:lang w:eastAsia="zh-CN"/>
        </w:rPr>
        <w:t>. Several outputs require further inputs to ensure sustainability. The</w:t>
      </w:r>
      <w:r>
        <w:rPr>
          <w:rFonts w:eastAsia="Times New Roman"/>
          <w:color w:val="auto"/>
          <w:sz w:val="20"/>
          <w:szCs w:val="20"/>
          <w:lang w:eastAsia="zh-CN"/>
        </w:rPr>
        <w:t xml:space="preserve"> </w:t>
      </w:r>
      <w:r w:rsidRPr="00732B59">
        <w:rPr>
          <w:rFonts w:eastAsia="Times New Roman"/>
          <w:color w:val="auto"/>
          <w:sz w:val="20"/>
          <w:szCs w:val="20"/>
          <w:lang w:eastAsia="zh-CN"/>
        </w:rPr>
        <w:t>JC-HRPM</w:t>
      </w:r>
      <w:r>
        <w:rPr>
          <w:rFonts w:eastAsia="Times New Roman"/>
          <w:color w:val="auto"/>
          <w:sz w:val="20"/>
          <w:szCs w:val="20"/>
          <w:lang w:eastAsia="zh-CN"/>
        </w:rPr>
        <w:t xml:space="preserve"> </w:t>
      </w:r>
      <w:r w:rsidRPr="00100C14">
        <w:rPr>
          <w:rFonts w:eastAsia="Times New Roman"/>
          <w:color w:val="auto"/>
          <w:sz w:val="20"/>
          <w:szCs w:val="20"/>
          <w:lang w:eastAsia="zh-CN"/>
        </w:rPr>
        <w:t xml:space="preserve">is supported by a Secretariat that has not been established as a formal unit of MoH and is assessed as </w:t>
      </w:r>
      <w:r w:rsidR="00E93E8D" w:rsidRPr="00100C14">
        <w:rPr>
          <w:rFonts w:eastAsia="Times New Roman"/>
          <w:color w:val="auto"/>
          <w:sz w:val="20"/>
          <w:szCs w:val="20"/>
          <w:lang w:eastAsia="zh-CN"/>
        </w:rPr>
        <w:t>less likely</w:t>
      </w:r>
      <w:r w:rsidRPr="00100C14">
        <w:rPr>
          <w:rFonts w:eastAsia="Times New Roman"/>
          <w:color w:val="auto"/>
          <w:sz w:val="20"/>
          <w:szCs w:val="20"/>
          <w:lang w:eastAsia="zh-CN"/>
        </w:rPr>
        <w:t xml:space="preserve"> to be resourced post-project. </w:t>
      </w:r>
      <w:r>
        <w:rPr>
          <w:rFonts w:eastAsia="Times New Roman"/>
          <w:color w:val="auto"/>
          <w:sz w:val="20"/>
          <w:szCs w:val="20"/>
          <w:lang w:eastAsia="zh-CN"/>
        </w:rPr>
        <w:t xml:space="preserve">Capacity building with </w:t>
      </w:r>
      <w:r w:rsidRPr="00100C14">
        <w:rPr>
          <w:rFonts w:eastAsia="Times New Roman"/>
          <w:color w:val="auto"/>
          <w:sz w:val="20"/>
          <w:szCs w:val="20"/>
          <w:lang w:eastAsia="zh-CN"/>
        </w:rPr>
        <w:t xml:space="preserve">teaching staff </w:t>
      </w:r>
      <w:r>
        <w:rPr>
          <w:rFonts w:eastAsia="Times New Roman"/>
          <w:color w:val="auto"/>
          <w:sz w:val="20"/>
          <w:szCs w:val="20"/>
          <w:lang w:eastAsia="zh-CN"/>
        </w:rPr>
        <w:t xml:space="preserve">in </w:t>
      </w:r>
      <w:r w:rsidRPr="00100C14">
        <w:rPr>
          <w:rFonts w:eastAsia="Times New Roman"/>
          <w:color w:val="auto"/>
          <w:sz w:val="20"/>
          <w:szCs w:val="20"/>
          <w:lang w:eastAsia="zh-CN"/>
        </w:rPr>
        <w:t xml:space="preserve">17 universities </w:t>
      </w:r>
      <w:r>
        <w:rPr>
          <w:rFonts w:eastAsia="Times New Roman"/>
          <w:color w:val="auto"/>
          <w:sz w:val="20"/>
          <w:szCs w:val="20"/>
          <w:lang w:eastAsia="zh-CN"/>
        </w:rPr>
        <w:t xml:space="preserve">to impart </w:t>
      </w:r>
      <w:r w:rsidRPr="00100C14">
        <w:rPr>
          <w:rFonts w:eastAsia="Times New Roman"/>
          <w:color w:val="auto"/>
          <w:sz w:val="20"/>
          <w:szCs w:val="20"/>
          <w:lang w:eastAsia="zh-CN"/>
        </w:rPr>
        <w:t>modern teaching methods may require follow-up interventions</w:t>
      </w:r>
      <w:r>
        <w:rPr>
          <w:rFonts w:eastAsia="Times New Roman"/>
          <w:color w:val="auto"/>
          <w:sz w:val="20"/>
          <w:szCs w:val="20"/>
          <w:lang w:eastAsia="zh-CN"/>
        </w:rPr>
        <w:t xml:space="preserve"> in the workplace</w:t>
      </w:r>
      <w:r w:rsidRPr="00100C14">
        <w:rPr>
          <w:rFonts w:eastAsia="Times New Roman"/>
          <w:color w:val="auto"/>
          <w:sz w:val="20"/>
          <w:szCs w:val="20"/>
          <w:lang w:eastAsia="zh-CN"/>
        </w:rPr>
        <w:t xml:space="preserve"> to </w:t>
      </w:r>
      <w:r>
        <w:rPr>
          <w:rFonts w:eastAsia="Times New Roman"/>
          <w:color w:val="auto"/>
          <w:sz w:val="20"/>
          <w:szCs w:val="20"/>
          <w:lang w:eastAsia="zh-CN"/>
        </w:rPr>
        <w:t>support</w:t>
      </w:r>
      <w:r w:rsidRPr="00100C14">
        <w:rPr>
          <w:rFonts w:eastAsia="Times New Roman"/>
          <w:color w:val="auto"/>
          <w:sz w:val="20"/>
          <w:szCs w:val="20"/>
          <w:lang w:eastAsia="zh-CN"/>
        </w:rPr>
        <w:t xml:space="preserve"> </w:t>
      </w:r>
      <w:r>
        <w:rPr>
          <w:rFonts w:eastAsia="Times New Roman"/>
          <w:color w:val="auto"/>
          <w:sz w:val="20"/>
          <w:szCs w:val="20"/>
          <w:lang w:eastAsia="zh-CN"/>
        </w:rPr>
        <w:t>application of learning</w:t>
      </w:r>
      <w:r w:rsidRPr="00100C14">
        <w:rPr>
          <w:rFonts w:eastAsia="Times New Roman"/>
          <w:color w:val="auto"/>
          <w:sz w:val="20"/>
          <w:szCs w:val="20"/>
          <w:lang w:eastAsia="zh-CN"/>
        </w:rPr>
        <w:t xml:space="preserve"> into practice.  Benefits from the capacity strengthening for hea</w:t>
      </w:r>
      <w:r>
        <w:rPr>
          <w:rFonts w:eastAsia="Times New Roman"/>
          <w:color w:val="auto"/>
          <w:sz w:val="20"/>
          <w:szCs w:val="20"/>
          <w:lang w:eastAsia="zh-CN"/>
        </w:rPr>
        <w:t>lth workers in remote areas would</w:t>
      </w:r>
      <w:r w:rsidRPr="00100C14">
        <w:rPr>
          <w:rFonts w:eastAsia="Times New Roman"/>
          <w:color w:val="auto"/>
          <w:sz w:val="20"/>
          <w:szCs w:val="20"/>
          <w:lang w:eastAsia="zh-CN"/>
        </w:rPr>
        <w:t xml:space="preserve"> be enhanced through the </w:t>
      </w:r>
      <w:r>
        <w:rPr>
          <w:rFonts w:eastAsia="Times New Roman"/>
          <w:color w:val="auto"/>
          <w:sz w:val="20"/>
          <w:szCs w:val="20"/>
          <w:lang w:eastAsia="zh-CN"/>
        </w:rPr>
        <w:t xml:space="preserve">delivery of CME through e-learning, </w:t>
      </w:r>
      <w:r w:rsidRPr="00100C14">
        <w:rPr>
          <w:rFonts w:eastAsia="Times New Roman"/>
          <w:color w:val="auto"/>
          <w:sz w:val="20"/>
          <w:szCs w:val="20"/>
          <w:lang w:eastAsia="zh-CN"/>
        </w:rPr>
        <w:t>however this output</w:t>
      </w:r>
      <w:r>
        <w:rPr>
          <w:rFonts w:eastAsia="Times New Roman"/>
          <w:color w:val="auto"/>
          <w:sz w:val="20"/>
          <w:szCs w:val="20"/>
          <w:lang w:eastAsia="zh-CN"/>
        </w:rPr>
        <w:t xml:space="preserve"> is </w:t>
      </w:r>
      <w:r w:rsidR="00E93E8D">
        <w:rPr>
          <w:rFonts w:eastAsia="Times New Roman"/>
          <w:color w:val="auto"/>
          <w:sz w:val="20"/>
          <w:szCs w:val="20"/>
          <w:lang w:eastAsia="zh-CN"/>
        </w:rPr>
        <w:t>less likely</w:t>
      </w:r>
      <w:r>
        <w:rPr>
          <w:rFonts w:eastAsia="Times New Roman"/>
          <w:color w:val="auto"/>
          <w:sz w:val="20"/>
          <w:szCs w:val="20"/>
          <w:lang w:eastAsia="zh-CN"/>
        </w:rPr>
        <w:t xml:space="preserve"> to be completed.</w:t>
      </w:r>
    </w:p>
    <w:p w:rsidR="00113D51" w:rsidRDefault="00113D51" w:rsidP="00113D51">
      <w:pPr>
        <w:pStyle w:val="Default"/>
        <w:jc w:val="both"/>
        <w:rPr>
          <w:rFonts w:eastAsia="Times New Roman"/>
          <w:color w:val="auto"/>
          <w:sz w:val="20"/>
          <w:szCs w:val="20"/>
          <w:lang w:eastAsia="zh-CN"/>
        </w:rPr>
      </w:pPr>
    </w:p>
    <w:p w:rsidR="00113D51" w:rsidRDefault="00113D51" w:rsidP="00113D51">
      <w:pPr>
        <w:jc w:val="both"/>
        <w:rPr>
          <w:rFonts w:ascii="Arial" w:hAnsi="Arial" w:cs="Arial"/>
        </w:rPr>
      </w:pPr>
      <w:r w:rsidRPr="00807C42">
        <w:rPr>
          <w:rFonts w:ascii="Arial" w:hAnsi="Arial" w:cs="Arial"/>
        </w:rPr>
        <w:fldChar w:fldCharType="begin"/>
      </w:r>
      <w:r w:rsidRPr="00807C42">
        <w:rPr>
          <w:rFonts w:ascii="Arial" w:hAnsi="Arial" w:cs="Arial"/>
        </w:rPr>
        <w:instrText>AUTONUMLGL</w:instrText>
      </w:r>
      <w:r w:rsidRPr="00807C42">
        <w:rPr>
          <w:rFonts w:ascii="Arial" w:hAnsi="Arial" w:cs="Arial"/>
        </w:rPr>
        <w:fldChar w:fldCharType="end"/>
      </w:r>
      <w:r w:rsidRPr="00807C42">
        <w:rPr>
          <w:rFonts w:ascii="Arial" w:hAnsi="Arial" w:cs="Arial"/>
          <w:b/>
        </w:rPr>
        <w:tab/>
      </w:r>
      <w:r w:rsidRPr="00407E5B">
        <w:rPr>
          <w:rFonts w:ascii="Arial" w:hAnsi="Arial" w:cs="Arial"/>
          <w:b/>
        </w:rPr>
        <w:t>Gender.</w:t>
      </w:r>
      <w:r>
        <w:rPr>
          <w:rFonts w:ascii="Arial" w:hAnsi="Arial" w:cs="Arial"/>
        </w:rPr>
        <w:t xml:space="preserve"> Gender considerations were adequately incorporated at design with a </w:t>
      </w:r>
      <w:r>
        <w:rPr>
          <w:rFonts w:ascii="Arial" w:hAnsi="Arial" w:cs="Arial"/>
          <w:szCs w:val="16"/>
        </w:rPr>
        <w:t>s</w:t>
      </w:r>
      <w:r w:rsidRPr="00D33652">
        <w:rPr>
          <w:rFonts w:ascii="Arial" w:hAnsi="Arial" w:cs="Arial"/>
          <w:szCs w:val="16"/>
        </w:rPr>
        <w:t>o</w:t>
      </w:r>
      <w:r>
        <w:rPr>
          <w:rFonts w:ascii="Arial" w:hAnsi="Arial" w:cs="Arial"/>
          <w:szCs w:val="16"/>
        </w:rPr>
        <w:t>cial a</w:t>
      </w:r>
      <w:r w:rsidRPr="00D33652">
        <w:rPr>
          <w:rFonts w:ascii="Arial" w:hAnsi="Arial" w:cs="Arial"/>
          <w:szCs w:val="16"/>
        </w:rPr>
        <w:t xml:space="preserve">nalysis </w:t>
      </w:r>
      <w:r>
        <w:rPr>
          <w:rFonts w:ascii="Arial" w:hAnsi="Arial" w:cs="Arial"/>
          <w:szCs w:val="16"/>
        </w:rPr>
        <w:t>undertaken and a</w:t>
      </w:r>
      <w:r w:rsidRPr="00D33652">
        <w:rPr>
          <w:rFonts w:ascii="Arial" w:hAnsi="Arial" w:cs="Arial"/>
          <w:szCs w:val="16"/>
        </w:rPr>
        <w:t xml:space="preserve"> Gender and Ethnic Minority Strategy</w:t>
      </w:r>
      <w:r>
        <w:rPr>
          <w:rFonts w:ascii="Arial" w:hAnsi="Arial" w:cs="Arial"/>
          <w:szCs w:val="16"/>
        </w:rPr>
        <w:t xml:space="preserve"> developed. Implementation of the Strategy during project years 1-3 was inadequate. This reflected, </w:t>
      </w:r>
      <w:r w:rsidR="00E93E8D">
        <w:rPr>
          <w:rFonts w:ascii="Arial" w:hAnsi="Arial" w:cs="Arial"/>
          <w:szCs w:val="16"/>
        </w:rPr>
        <w:t>in part</w:t>
      </w:r>
      <w:r>
        <w:rPr>
          <w:rFonts w:ascii="Arial" w:hAnsi="Arial" w:cs="Arial"/>
          <w:szCs w:val="16"/>
        </w:rPr>
        <w:t xml:space="preserve">, the overall </w:t>
      </w:r>
      <w:r w:rsidRPr="00D33652">
        <w:rPr>
          <w:rFonts w:ascii="Arial" w:hAnsi="Arial" w:cs="Arial"/>
        </w:rPr>
        <w:t xml:space="preserve">delays in </w:t>
      </w:r>
      <w:r>
        <w:rPr>
          <w:rFonts w:ascii="Arial" w:hAnsi="Arial" w:cs="Arial"/>
        </w:rPr>
        <w:t>program implementation and a l</w:t>
      </w:r>
      <w:r w:rsidRPr="00D33652">
        <w:rPr>
          <w:rFonts w:ascii="Arial" w:hAnsi="Arial" w:cs="Arial"/>
        </w:rPr>
        <w:t xml:space="preserve">ow awareness of the actions </w:t>
      </w:r>
      <w:r>
        <w:rPr>
          <w:rFonts w:ascii="Arial" w:hAnsi="Arial" w:cs="Arial"/>
        </w:rPr>
        <w:t xml:space="preserve">required </w:t>
      </w:r>
      <w:r w:rsidRPr="00D33652">
        <w:rPr>
          <w:rFonts w:ascii="Arial" w:hAnsi="Arial" w:cs="Arial"/>
        </w:rPr>
        <w:t xml:space="preserve">under the </w:t>
      </w:r>
      <w:r>
        <w:rPr>
          <w:rFonts w:ascii="Arial" w:hAnsi="Arial" w:cs="Arial"/>
        </w:rPr>
        <w:t xml:space="preserve">Strategy </w:t>
      </w:r>
      <w:r w:rsidRPr="00D33652">
        <w:rPr>
          <w:rFonts w:ascii="Arial" w:hAnsi="Arial" w:cs="Arial"/>
        </w:rPr>
        <w:t>amongst staff and consultants</w:t>
      </w:r>
      <w:r>
        <w:rPr>
          <w:rFonts w:ascii="Arial" w:hAnsi="Arial" w:cs="Arial"/>
        </w:rPr>
        <w:t>.</w:t>
      </w:r>
      <w:r w:rsidRPr="00D33652">
        <w:rPr>
          <w:rFonts w:ascii="Arial" w:hAnsi="Arial" w:cs="Arial"/>
        </w:rPr>
        <w:t xml:space="preserve"> </w:t>
      </w:r>
      <w:r>
        <w:rPr>
          <w:rFonts w:ascii="Arial" w:hAnsi="Arial" w:cs="Arial"/>
        </w:rPr>
        <w:t>At</w:t>
      </w:r>
      <w:r w:rsidRPr="00D33652">
        <w:rPr>
          <w:rFonts w:ascii="Arial" w:hAnsi="Arial" w:cs="Arial"/>
        </w:rPr>
        <w:t xml:space="preserve"> the time of the </w:t>
      </w:r>
      <w:r>
        <w:rPr>
          <w:rFonts w:ascii="Arial" w:hAnsi="Arial" w:cs="Arial"/>
        </w:rPr>
        <w:t>completion evaluation</w:t>
      </w:r>
      <w:r w:rsidRPr="00D33652">
        <w:rPr>
          <w:rFonts w:ascii="Arial" w:hAnsi="Arial" w:cs="Arial"/>
        </w:rPr>
        <w:t xml:space="preserve"> </w:t>
      </w:r>
      <w:r>
        <w:rPr>
          <w:rFonts w:ascii="Arial" w:hAnsi="Arial" w:cs="Arial"/>
        </w:rPr>
        <w:t>progress against the Strategy had improved with several</w:t>
      </w:r>
      <w:r w:rsidRPr="00D33652">
        <w:rPr>
          <w:rFonts w:ascii="Arial" w:hAnsi="Arial" w:cs="Arial"/>
        </w:rPr>
        <w:t xml:space="preserve"> of the</w:t>
      </w:r>
      <w:r>
        <w:rPr>
          <w:rFonts w:ascii="Arial" w:hAnsi="Arial" w:cs="Arial"/>
        </w:rPr>
        <w:t xml:space="preserve"> Program’s key gender targets met. With at least six months of implementation remaining, further progress against the remaining targets is assessed as being likely.</w:t>
      </w:r>
    </w:p>
    <w:p w:rsidR="00113D51" w:rsidRDefault="00113D51" w:rsidP="00113D51">
      <w:pPr>
        <w:pStyle w:val="Default"/>
        <w:jc w:val="both"/>
        <w:rPr>
          <w:rFonts w:eastAsia="Times New Roman"/>
          <w:color w:val="auto"/>
          <w:sz w:val="20"/>
          <w:szCs w:val="20"/>
          <w:lang w:eastAsia="zh-CN"/>
        </w:rPr>
      </w:pPr>
    </w:p>
    <w:p w:rsidR="00113D51" w:rsidRDefault="00113D51" w:rsidP="00113D51">
      <w:pPr>
        <w:pStyle w:val="Default"/>
        <w:jc w:val="both"/>
        <w:rPr>
          <w:rFonts w:eastAsia="Times New Roman"/>
          <w:color w:val="auto"/>
          <w:sz w:val="20"/>
          <w:szCs w:val="20"/>
          <w:lang w:eastAsia="zh-CN"/>
        </w:rPr>
      </w:pPr>
      <w:r w:rsidRPr="00407E5B">
        <w:rPr>
          <w:sz w:val="20"/>
          <w:szCs w:val="20"/>
        </w:rPr>
        <w:fldChar w:fldCharType="begin"/>
      </w:r>
      <w:r w:rsidRPr="00407E5B">
        <w:rPr>
          <w:sz w:val="20"/>
          <w:szCs w:val="20"/>
        </w:rPr>
        <w:instrText>AUTONUMLGL</w:instrText>
      </w:r>
      <w:r w:rsidRPr="00407E5B">
        <w:rPr>
          <w:sz w:val="20"/>
          <w:szCs w:val="20"/>
        </w:rPr>
        <w:fldChar w:fldCharType="end"/>
      </w:r>
      <w:r w:rsidRPr="00407E5B">
        <w:rPr>
          <w:b/>
          <w:sz w:val="20"/>
          <w:szCs w:val="20"/>
        </w:rPr>
        <w:tab/>
      </w:r>
      <w:r>
        <w:rPr>
          <w:rFonts w:eastAsia="Times New Roman"/>
          <w:b/>
          <w:color w:val="auto"/>
          <w:sz w:val="20"/>
          <w:szCs w:val="20"/>
          <w:lang w:eastAsia="zh-CN"/>
        </w:rPr>
        <w:t xml:space="preserve">Monitoring and Evaluation. </w:t>
      </w:r>
      <w:r>
        <w:rPr>
          <w:rFonts w:eastAsia="Times New Roman"/>
          <w:color w:val="auto"/>
          <w:sz w:val="20"/>
          <w:szCs w:val="20"/>
          <w:lang w:eastAsia="zh-CN"/>
        </w:rPr>
        <w:t>The Program’s</w:t>
      </w:r>
      <w:r w:rsidRPr="003E4D55">
        <w:rPr>
          <w:rFonts w:eastAsia="Times New Roman"/>
          <w:color w:val="auto"/>
          <w:sz w:val="20"/>
          <w:szCs w:val="20"/>
          <w:lang w:eastAsia="zh-CN"/>
        </w:rPr>
        <w:t xml:space="preserve"> monitoring and evaluation</w:t>
      </w:r>
      <w:r>
        <w:rPr>
          <w:rFonts w:eastAsia="Times New Roman"/>
          <w:color w:val="auto"/>
          <w:sz w:val="20"/>
          <w:szCs w:val="20"/>
          <w:lang w:eastAsia="zh-CN"/>
        </w:rPr>
        <w:t xml:space="preserve"> (M&amp;E) system was</w:t>
      </w:r>
      <w:r w:rsidRPr="003E4D55">
        <w:rPr>
          <w:rFonts w:eastAsia="Times New Roman"/>
          <w:color w:val="auto"/>
          <w:sz w:val="20"/>
          <w:szCs w:val="20"/>
          <w:lang w:eastAsia="zh-CN"/>
        </w:rPr>
        <w:t xml:space="preserve"> </w:t>
      </w:r>
      <w:r>
        <w:rPr>
          <w:rFonts w:eastAsia="Times New Roman"/>
          <w:color w:val="auto"/>
          <w:sz w:val="20"/>
          <w:szCs w:val="20"/>
          <w:lang w:eastAsia="zh-CN"/>
        </w:rPr>
        <w:t xml:space="preserve">assessed as being </w:t>
      </w:r>
      <w:r w:rsidRPr="003E4D55">
        <w:rPr>
          <w:rFonts w:eastAsia="Times New Roman"/>
          <w:color w:val="auto"/>
          <w:sz w:val="20"/>
          <w:szCs w:val="20"/>
          <w:lang w:eastAsia="zh-CN"/>
        </w:rPr>
        <w:t>less than adequate.</w:t>
      </w:r>
      <w:r>
        <w:rPr>
          <w:rFonts w:eastAsia="Times New Roman"/>
          <w:color w:val="auto"/>
          <w:sz w:val="20"/>
          <w:szCs w:val="20"/>
          <w:lang w:eastAsia="zh-CN"/>
        </w:rPr>
        <w:t xml:space="preserve"> The M&amp;E system </w:t>
      </w:r>
      <w:r w:rsidRPr="003E4D55">
        <w:rPr>
          <w:rFonts w:eastAsia="Times New Roman"/>
          <w:color w:val="auto"/>
          <w:sz w:val="20"/>
          <w:szCs w:val="20"/>
          <w:lang w:eastAsia="zh-CN"/>
        </w:rPr>
        <w:t>w</w:t>
      </w:r>
      <w:r>
        <w:rPr>
          <w:rFonts w:eastAsia="Times New Roman"/>
          <w:color w:val="auto"/>
          <w:sz w:val="20"/>
          <w:szCs w:val="20"/>
          <w:lang w:eastAsia="zh-CN"/>
        </w:rPr>
        <w:t>as</w:t>
      </w:r>
      <w:r w:rsidRPr="003E4D55">
        <w:rPr>
          <w:rFonts w:eastAsia="Times New Roman"/>
          <w:color w:val="auto"/>
          <w:sz w:val="20"/>
          <w:szCs w:val="20"/>
          <w:lang w:eastAsia="zh-CN"/>
        </w:rPr>
        <w:t xml:space="preserve"> </w:t>
      </w:r>
      <w:r>
        <w:rPr>
          <w:rFonts w:eastAsia="Times New Roman"/>
          <w:color w:val="auto"/>
          <w:sz w:val="20"/>
          <w:szCs w:val="20"/>
          <w:lang w:eastAsia="zh-CN"/>
        </w:rPr>
        <w:t xml:space="preserve">not </w:t>
      </w:r>
      <w:r w:rsidRPr="003E4D55">
        <w:rPr>
          <w:rFonts w:eastAsia="Times New Roman"/>
          <w:color w:val="auto"/>
          <w:sz w:val="20"/>
          <w:szCs w:val="20"/>
          <w:lang w:eastAsia="zh-CN"/>
        </w:rPr>
        <w:t>established</w:t>
      </w:r>
      <w:r>
        <w:rPr>
          <w:rFonts w:eastAsia="Times New Roman"/>
          <w:color w:val="auto"/>
          <w:sz w:val="20"/>
          <w:szCs w:val="20"/>
          <w:lang w:eastAsia="zh-CN"/>
        </w:rPr>
        <w:t xml:space="preserve"> until </w:t>
      </w:r>
      <w:r w:rsidR="00E01341">
        <w:rPr>
          <w:rFonts w:eastAsia="Times New Roman"/>
          <w:color w:val="auto"/>
          <w:sz w:val="20"/>
          <w:szCs w:val="20"/>
          <w:lang w:eastAsia="zh-CN"/>
        </w:rPr>
        <w:t>early</w:t>
      </w:r>
      <w:r>
        <w:rPr>
          <w:rFonts w:eastAsia="Times New Roman"/>
          <w:color w:val="auto"/>
          <w:sz w:val="20"/>
          <w:szCs w:val="20"/>
          <w:lang w:eastAsia="zh-CN"/>
        </w:rPr>
        <w:t xml:space="preserve"> </w:t>
      </w:r>
      <w:r w:rsidR="00E01341">
        <w:rPr>
          <w:rFonts w:eastAsia="Times New Roman"/>
          <w:color w:val="auto"/>
          <w:sz w:val="20"/>
          <w:szCs w:val="20"/>
          <w:lang w:eastAsia="zh-CN"/>
        </w:rPr>
        <w:t>2014</w:t>
      </w:r>
      <w:r>
        <w:rPr>
          <w:rFonts w:eastAsia="Times New Roman"/>
          <w:color w:val="auto"/>
          <w:sz w:val="20"/>
          <w:szCs w:val="20"/>
          <w:lang w:eastAsia="zh-CN"/>
        </w:rPr>
        <w:t xml:space="preserve">. This was due, </w:t>
      </w:r>
      <w:r w:rsidR="00E93E8D">
        <w:rPr>
          <w:rFonts w:eastAsia="Times New Roman"/>
          <w:color w:val="auto"/>
          <w:sz w:val="20"/>
          <w:szCs w:val="20"/>
          <w:lang w:eastAsia="zh-CN"/>
        </w:rPr>
        <w:t>in part</w:t>
      </w:r>
      <w:r>
        <w:rPr>
          <w:rFonts w:eastAsia="Times New Roman"/>
          <w:color w:val="auto"/>
          <w:sz w:val="20"/>
          <w:szCs w:val="20"/>
          <w:lang w:eastAsia="zh-CN"/>
        </w:rPr>
        <w:t>, to inadequate</w:t>
      </w:r>
      <w:r w:rsidRPr="003E4D55">
        <w:rPr>
          <w:rFonts w:eastAsia="Times New Roman"/>
          <w:color w:val="auto"/>
          <w:sz w:val="20"/>
          <w:szCs w:val="20"/>
          <w:lang w:eastAsia="zh-CN"/>
        </w:rPr>
        <w:t xml:space="preserve"> </w:t>
      </w:r>
      <w:r>
        <w:rPr>
          <w:rFonts w:eastAsia="Times New Roman"/>
          <w:color w:val="auto"/>
          <w:sz w:val="20"/>
          <w:szCs w:val="20"/>
          <w:lang w:eastAsia="zh-CN"/>
        </w:rPr>
        <w:t xml:space="preserve">allocation of resources for M&amp;E in the investment budget. </w:t>
      </w:r>
      <w:r w:rsidRPr="002B5542">
        <w:rPr>
          <w:rFonts w:eastAsia="Times New Roman"/>
          <w:color w:val="auto"/>
          <w:sz w:val="20"/>
          <w:szCs w:val="20"/>
          <w:lang w:eastAsia="zh-CN"/>
        </w:rPr>
        <w:t xml:space="preserve">Review of the </w:t>
      </w:r>
      <w:r>
        <w:rPr>
          <w:rFonts w:eastAsia="Times New Roman"/>
          <w:color w:val="auto"/>
          <w:sz w:val="20"/>
          <w:szCs w:val="20"/>
          <w:lang w:eastAsia="zh-CN"/>
        </w:rPr>
        <w:t>M&amp;E system</w:t>
      </w:r>
      <w:r w:rsidRPr="002B5542">
        <w:rPr>
          <w:rFonts w:eastAsia="Times New Roman"/>
          <w:color w:val="auto"/>
          <w:sz w:val="20"/>
          <w:szCs w:val="20"/>
          <w:lang w:eastAsia="zh-CN"/>
        </w:rPr>
        <w:t xml:space="preserve"> found limitations in the scope</w:t>
      </w:r>
      <w:r>
        <w:rPr>
          <w:rFonts w:eastAsia="Times New Roman"/>
          <w:color w:val="auto"/>
          <w:sz w:val="20"/>
          <w:szCs w:val="20"/>
          <w:lang w:eastAsia="zh-CN"/>
        </w:rPr>
        <w:t xml:space="preserve"> and quality</w:t>
      </w:r>
      <w:r w:rsidRPr="002B5542">
        <w:rPr>
          <w:rFonts w:eastAsia="Times New Roman"/>
          <w:color w:val="auto"/>
          <w:sz w:val="20"/>
          <w:szCs w:val="20"/>
          <w:lang w:eastAsia="zh-CN"/>
        </w:rPr>
        <w:t xml:space="preserve"> of data collected</w:t>
      </w:r>
      <w:r>
        <w:rPr>
          <w:rFonts w:eastAsia="Times New Roman"/>
          <w:color w:val="auto"/>
          <w:sz w:val="20"/>
          <w:szCs w:val="20"/>
          <w:lang w:eastAsia="zh-CN"/>
        </w:rPr>
        <w:t xml:space="preserve">. Reliable baseline data remains outstanding </w:t>
      </w:r>
      <w:r w:rsidRPr="003E4D55">
        <w:rPr>
          <w:rFonts w:eastAsia="Times New Roman"/>
          <w:color w:val="auto"/>
          <w:sz w:val="20"/>
          <w:szCs w:val="20"/>
          <w:lang w:eastAsia="zh-CN"/>
        </w:rPr>
        <w:t xml:space="preserve">for a number of indicators. </w:t>
      </w:r>
      <w:r>
        <w:rPr>
          <w:rFonts w:eastAsia="Times New Roman"/>
          <w:color w:val="auto"/>
          <w:sz w:val="20"/>
          <w:szCs w:val="20"/>
          <w:lang w:eastAsia="zh-CN"/>
        </w:rPr>
        <w:t xml:space="preserve">There was </w:t>
      </w:r>
      <w:r w:rsidR="005C742E">
        <w:rPr>
          <w:rFonts w:eastAsia="Times New Roman"/>
          <w:color w:val="auto"/>
          <w:sz w:val="20"/>
          <w:szCs w:val="20"/>
          <w:lang w:eastAsia="zh-CN"/>
        </w:rPr>
        <w:t>limited evidence at the program</w:t>
      </w:r>
      <w:r w:rsidRPr="00F84E18">
        <w:rPr>
          <w:rFonts w:eastAsia="Times New Roman"/>
          <w:color w:val="auto"/>
          <w:sz w:val="20"/>
          <w:szCs w:val="20"/>
          <w:lang w:eastAsia="zh-CN"/>
        </w:rPr>
        <w:t>-level of the</w:t>
      </w:r>
      <w:r>
        <w:rPr>
          <w:rFonts w:eastAsia="Times New Roman"/>
          <w:color w:val="auto"/>
          <w:sz w:val="20"/>
          <w:szCs w:val="20"/>
          <w:lang w:eastAsia="zh-CN"/>
        </w:rPr>
        <w:t xml:space="preserve"> use of M&amp;E data to inform </w:t>
      </w:r>
      <w:r w:rsidRPr="00F84E18">
        <w:rPr>
          <w:rFonts w:eastAsia="Times New Roman"/>
          <w:color w:val="auto"/>
          <w:sz w:val="20"/>
          <w:szCs w:val="20"/>
          <w:lang w:eastAsia="zh-CN"/>
        </w:rPr>
        <w:t>manag</w:t>
      </w:r>
      <w:r>
        <w:rPr>
          <w:rFonts w:eastAsia="Times New Roman"/>
          <w:color w:val="auto"/>
          <w:sz w:val="20"/>
          <w:szCs w:val="20"/>
          <w:lang w:eastAsia="zh-CN"/>
        </w:rPr>
        <w:t>ement decision-making. S</w:t>
      </w:r>
      <w:r w:rsidRPr="00F84E18">
        <w:rPr>
          <w:rFonts w:eastAsia="Times New Roman"/>
          <w:color w:val="auto"/>
          <w:sz w:val="20"/>
          <w:szCs w:val="20"/>
          <w:lang w:eastAsia="zh-CN"/>
        </w:rPr>
        <w:t>everal examples of good practice in analysis and learning were identifi</w:t>
      </w:r>
      <w:r>
        <w:rPr>
          <w:rFonts w:eastAsia="Times New Roman"/>
          <w:color w:val="auto"/>
          <w:sz w:val="20"/>
          <w:szCs w:val="20"/>
          <w:lang w:eastAsia="zh-CN"/>
        </w:rPr>
        <w:t>ed at component level.</w:t>
      </w:r>
    </w:p>
    <w:p w:rsidR="00113D51" w:rsidRPr="00C539B5" w:rsidRDefault="00113D51" w:rsidP="00C539B5">
      <w:pPr>
        <w:pStyle w:val="Heading2"/>
        <w:spacing w:before="120" w:after="120"/>
        <w:rPr>
          <w:bCs w:val="0"/>
          <w:i w:val="0"/>
          <w:iCs w:val="0"/>
          <w:color w:val="000000"/>
          <w:sz w:val="22"/>
          <w:szCs w:val="20"/>
          <w:lang w:eastAsia="en-US"/>
        </w:rPr>
      </w:pPr>
      <w:bookmarkStart w:id="10" w:name="_Toc423359306"/>
      <w:r w:rsidRPr="00C539B5">
        <w:rPr>
          <w:bCs w:val="0"/>
          <w:i w:val="0"/>
          <w:iCs w:val="0"/>
          <w:color w:val="000000"/>
          <w:sz w:val="22"/>
          <w:szCs w:val="20"/>
          <w:lang w:eastAsia="en-US"/>
        </w:rPr>
        <w:t>Outline of Recommendations</w:t>
      </w:r>
      <w:bookmarkEnd w:id="10"/>
    </w:p>
    <w:p w:rsidR="00113D51" w:rsidRPr="007D316E" w:rsidRDefault="00113D51" w:rsidP="00113D51">
      <w:pPr>
        <w:pStyle w:val="Default"/>
        <w:jc w:val="both"/>
        <w:rPr>
          <w:rFonts w:eastAsia="Times New Roman"/>
          <w:color w:val="auto"/>
          <w:sz w:val="20"/>
          <w:szCs w:val="20"/>
          <w:lang w:eastAsia="zh-CN"/>
        </w:rPr>
      </w:pPr>
      <w:r w:rsidRPr="00407E5B">
        <w:rPr>
          <w:sz w:val="20"/>
          <w:szCs w:val="20"/>
        </w:rPr>
        <w:fldChar w:fldCharType="begin"/>
      </w:r>
      <w:r w:rsidRPr="00407E5B">
        <w:rPr>
          <w:sz w:val="20"/>
          <w:szCs w:val="20"/>
        </w:rPr>
        <w:instrText>AUTONUMLGL</w:instrText>
      </w:r>
      <w:r w:rsidRPr="00407E5B">
        <w:rPr>
          <w:sz w:val="20"/>
          <w:szCs w:val="20"/>
        </w:rPr>
        <w:fldChar w:fldCharType="end"/>
      </w:r>
      <w:r w:rsidRPr="00407E5B">
        <w:rPr>
          <w:b/>
          <w:sz w:val="20"/>
          <w:szCs w:val="20"/>
        </w:rPr>
        <w:tab/>
      </w:r>
      <w:r w:rsidRPr="00413283">
        <w:rPr>
          <w:rFonts w:eastAsia="Times New Roman"/>
          <w:b/>
          <w:color w:val="auto"/>
          <w:sz w:val="20"/>
          <w:szCs w:val="20"/>
          <w:lang w:eastAsia="zh-CN"/>
        </w:rPr>
        <w:t>HHRSDP Implementation.</w:t>
      </w:r>
      <w:r>
        <w:rPr>
          <w:rFonts w:eastAsia="Times New Roman"/>
          <w:b/>
          <w:color w:val="auto"/>
          <w:sz w:val="20"/>
          <w:szCs w:val="20"/>
          <w:lang w:eastAsia="zh-CN"/>
        </w:rPr>
        <w:t xml:space="preserve"> </w:t>
      </w:r>
      <w:r>
        <w:rPr>
          <w:rFonts w:eastAsia="Times New Roman"/>
          <w:color w:val="auto"/>
          <w:sz w:val="20"/>
          <w:szCs w:val="20"/>
          <w:lang w:eastAsia="zh-CN"/>
        </w:rPr>
        <w:t>Four main recommendations were made to inform ongoing HHRSDP implementation: (1) A 12 month implementation extension for the Program is recommended</w:t>
      </w:r>
      <w:r w:rsidRPr="00413283">
        <w:rPr>
          <w:rFonts w:eastAsia="Times New Roman"/>
          <w:color w:val="auto"/>
          <w:sz w:val="20"/>
          <w:szCs w:val="20"/>
          <w:lang w:eastAsia="zh-CN"/>
        </w:rPr>
        <w:t xml:space="preserve"> to allow </w:t>
      </w:r>
      <w:r>
        <w:rPr>
          <w:rFonts w:eastAsia="Times New Roman"/>
          <w:color w:val="auto"/>
          <w:sz w:val="20"/>
          <w:szCs w:val="20"/>
          <w:lang w:eastAsia="zh-CN"/>
        </w:rPr>
        <w:t xml:space="preserve">the benefits </w:t>
      </w:r>
      <w:r w:rsidRPr="00413283">
        <w:rPr>
          <w:rFonts w:eastAsia="Times New Roman"/>
          <w:color w:val="auto"/>
          <w:sz w:val="20"/>
          <w:szCs w:val="20"/>
          <w:lang w:eastAsia="zh-CN"/>
        </w:rPr>
        <w:t xml:space="preserve">of the </w:t>
      </w:r>
      <w:r>
        <w:rPr>
          <w:rFonts w:eastAsia="Times New Roman"/>
          <w:color w:val="auto"/>
          <w:sz w:val="20"/>
          <w:szCs w:val="20"/>
          <w:lang w:eastAsia="zh-CN"/>
        </w:rPr>
        <w:t xml:space="preserve">investment </w:t>
      </w:r>
      <w:r w:rsidRPr="00413283">
        <w:rPr>
          <w:rFonts w:eastAsia="Times New Roman"/>
          <w:color w:val="auto"/>
          <w:sz w:val="20"/>
          <w:szCs w:val="20"/>
          <w:lang w:eastAsia="zh-CN"/>
        </w:rPr>
        <w:t xml:space="preserve">to be </w:t>
      </w:r>
      <w:r>
        <w:rPr>
          <w:rFonts w:eastAsia="Times New Roman"/>
          <w:color w:val="auto"/>
          <w:sz w:val="20"/>
          <w:szCs w:val="20"/>
          <w:lang w:eastAsia="zh-CN"/>
        </w:rPr>
        <w:t>realized</w:t>
      </w:r>
      <w:r w:rsidRPr="00413283">
        <w:rPr>
          <w:rFonts w:eastAsia="Times New Roman"/>
          <w:color w:val="auto"/>
          <w:sz w:val="20"/>
          <w:szCs w:val="20"/>
          <w:lang w:eastAsia="zh-CN"/>
        </w:rPr>
        <w:t xml:space="preserve"> in full</w:t>
      </w:r>
      <w:r>
        <w:rPr>
          <w:rFonts w:eastAsia="Times New Roman"/>
          <w:color w:val="auto"/>
          <w:sz w:val="20"/>
          <w:szCs w:val="20"/>
          <w:lang w:eastAsia="zh-CN"/>
        </w:rPr>
        <w:t>; (2) P</w:t>
      </w:r>
      <w:r w:rsidRPr="00413283">
        <w:rPr>
          <w:rFonts w:eastAsia="Times New Roman"/>
          <w:color w:val="auto"/>
          <w:sz w:val="20"/>
          <w:szCs w:val="20"/>
          <w:lang w:eastAsia="zh-CN"/>
        </w:rPr>
        <w:t xml:space="preserve">lanning capacity within the </w:t>
      </w:r>
      <w:r>
        <w:rPr>
          <w:rFonts w:eastAsia="Times New Roman"/>
          <w:color w:val="auto"/>
          <w:sz w:val="20"/>
          <w:szCs w:val="20"/>
          <w:lang w:eastAsia="zh-CN"/>
        </w:rPr>
        <w:t xml:space="preserve">Program should be reviewed to ensure </w:t>
      </w:r>
      <w:r w:rsidRPr="007D316E">
        <w:rPr>
          <w:rFonts w:eastAsia="Times New Roman"/>
          <w:color w:val="auto"/>
          <w:sz w:val="20"/>
          <w:szCs w:val="20"/>
          <w:lang w:eastAsia="zh-CN"/>
        </w:rPr>
        <w:t xml:space="preserve">adequate systems, tools and personnel are in place to support efficient implementation during the remaining </w:t>
      </w:r>
      <w:r>
        <w:rPr>
          <w:rFonts w:eastAsia="Times New Roman"/>
          <w:color w:val="auto"/>
          <w:sz w:val="20"/>
          <w:szCs w:val="20"/>
          <w:lang w:eastAsia="zh-CN"/>
        </w:rPr>
        <w:t>implementation</w:t>
      </w:r>
      <w:r w:rsidRPr="007D316E">
        <w:rPr>
          <w:rFonts w:eastAsia="Times New Roman"/>
          <w:color w:val="auto"/>
          <w:sz w:val="20"/>
          <w:szCs w:val="20"/>
          <w:lang w:eastAsia="zh-CN"/>
        </w:rPr>
        <w:t xml:space="preserve"> peri</w:t>
      </w:r>
      <w:r>
        <w:rPr>
          <w:rFonts w:eastAsia="Times New Roman"/>
          <w:color w:val="auto"/>
          <w:sz w:val="20"/>
          <w:szCs w:val="20"/>
          <w:lang w:eastAsia="zh-CN"/>
        </w:rPr>
        <w:t>od; (3</w:t>
      </w:r>
      <w:r w:rsidRPr="007D316E">
        <w:rPr>
          <w:rFonts w:eastAsia="Times New Roman"/>
          <w:color w:val="auto"/>
          <w:sz w:val="20"/>
          <w:szCs w:val="20"/>
          <w:lang w:eastAsia="zh-CN"/>
        </w:rPr>
        <w:t xml:space="preserve">) </w:t>
      </w:r>
      <w:r w:rsidRPr="002C6999">
        <w:rPr>
          <w:color w:val="auto"/>
          <w:sz w:val="20"/>
          <w:szCs w:val="20"/>
        </w:rPr>
        <w:t xml:space="preserve">The Program’s final evaluation </w:t>
      </w:r>
      <w:r>
        <w:rPr>
          <w:sz w:val="20"/>
          <w:szCs w:val="20"/>
        </w:rPr>
        <w:t xml:space="preserve">should provide a more in-depth assessment of the Program’s </w:t>
      </w:r>
      <w:r w:rsidRPr="002C6999">
        <w:rPr>
          <w:color w:val="auto"/>
          <w:sz w:val="20"/>
          <w:szCs w:val="20"/>
        </w:rPr>
        <w:t>outcomes to capture the full benefits of the investment</w:t>
      </w:r>
      <w:r>
        <w:rPr>
          <w:rFonts w:eastAsia="Times New Roman"/>
          <w:color w:val="auto"/>
          <w:sz w:val="20"/>
          <w:szCs w:val="20"/>
          <w:lang w:eastAsia="zh-CN"/>
        </w:rPr>
        <w:t>; (4</w:t>
      </w:r>
      <w:r w:rsidRPr="007D316E">
        <w:rPr>
          <w:rFonts w:eastAsia="Times New Roman"/>
          <w:color w:val="auto"/>
          <w:sz w:val="20"/>
          <w:szCs w:val="20"/>
          <w:lang w:eastAsia="zh-CN"/>
        </w:rPr>
        <w:t xml:space="preserve">) Systems for knowledge management should be </w:t>
      </w:r>
      <w:r>
        <w:rPr>
          <w:rFonts w:eastAsia="Times New Roman"/>
          <w:color w:val="auto"/>
          <w:sz w:val="20"/>
          <w:szCs w:val="20"/>
          <w:lang w:eastAsia="zh-CN"/>
        </w:rPr>
        <w:t>implemented</w:t>
      </w:r>
      <w:r w:rsidRPr="007D316E">
        <w:rPr>
          <w:rFonts w:eastAsia="Times New Roman"/>
          <w:color w:val="auto"/>
          <w:sz w:val="20"/>
          <w:szCs w:val="20"/>
          <w:lang w:eastAsia="zh-CN"/>
        </w:rPr>
        <w:t xml:space="preserve"> to ensure the tran</w:t>
      </w:r>
      <w:r>
        <w:rPr>
          <w:rFonts w:eastAsia="Times New Roman"/>
          <w:color w:val="auto"/>
          <w:sz w:val="20"/>
          <w:szCs w:val="20"/>
          <w:lang w:eastAsia="zh-CN"/>
        </w:rPr>
        <w:t>sfer</w:t>
      </w:r>
      <w:r w:rsidRPr="007D316E">
        <w:rPr>
          <w:rFonts w:eastAsia="Times New Roman"/>
          <w:color w:val="auto"/>
          <w:sz w:val="20"/>
          <w:szCs w:val="20"/>
          <w:lang w:eastAsia="zh-CN"/>
        </w:rPr>
        <w:t xml:space="preserve"> of outputs, produ</w:t>
      </w:r>
      <w:r>
        <w:rPr>
          <w:rFonts w:eastAsia="Times New Roman"/>
          <w:color w:val="auto"/>
          <w:sz w:val="20"/>
          <w:szCs w:val="20"/>
          <w:lang w:eastAsia="zh-CN"/>
        </w:rPr>
        <w:t xml:space="preserve">cts and learning from the Program to the MoH at </w:t>
      </w:r>
      <w:r w:rsidRPr="007D316E">
        <w:rPr>
          <w:rFonts w:eastAsia="Times New Roman"/>
          <w:color w:val="auto"/>
          <w:sz w:val="20"/>
          <w:szCs w:val="20"/>
          <w:lang w:eastAsia="zh-CN"/>
        </w:rPr>
        <w:t>completion.</w:t>
      </w:r>
    </w:p>
    <w:p w:rsidR="00113D51" w:rsidRPr="007D316E" w:rsidRDefault="00113D51" w:rsidP="00113D51">
      <w:pPr>
        <w:pStyle w:val="Default"/>
        <w:jc w:val="both"/>
        <w:rPr>
          <w:rFonts w:eastAsia="Times New Roman"/>
          <w:color w:val="auto"/>
          <w:sz w:val="20"/>
          <w:szCs w:val="20"/>
          <w:lang w:eastAsia="zh-CN"/>
        </w:rPr>
      </w:pPr>
    </w:p>
    <w:p w:rsidR="00113D51" w:rsidRDefault="00113D51" w:rsidP="00113D51">
      <w:pPr>
        <w:jc w:val="both"/>
        <w:rPr>
          <w:rFonts w:ascii="Arial" w:hAnsi="Arial" w:cs="Arial"/>
        </w:rPr>
      </w:pPr>
      <w:r w:rsidRPr="00700CF3">
        <w:rPr>
          <w:rFonts w:ascii="Arial" w:hAnsi="Arial" w:cs="Arial"/>
        </w:rPr>
        <w:fldChar w:fldCharType="begin"/>
      </w:r>
      <w:r w:rsidRPr="00700CF3">
        <w:rPr>
          <w:rFonts w:ascii="Arial" w:hAnsi="Arial" w:cs="Arial"/>
        </w:rPr>
        <w:instrText>AUTONUMLGL</w:instrText>
      </w:r>
      <w:r w:rsidRPr="00700CF3">
        <w:rPr>
          <w:rFonts w:ascii="Arial" w:hAnsi="Arial" w:cs="Arial"/>
        </w:rPr>
        <w:fldChar w:fldCharType="end"/>
      </w:r>
      <w:r w:rsidRPr="00407E5B">
        <w:rPr>
          <w:b/>
        </w:rPr>
        <w:tab/>
      </w:r>
      <w:r w:rsidRPr="00E27CB6">
        <w:rPr>
          <w:rFonts w:ascii="Arial" w:hAnsi="Arial" w:cs="Arial"/>
          <w:b/>
        </w:rPr>
        <w:t>Future Programming.</w:t>
      </w:r>
      <w:r w:rsidRPr="007D316E">
        <w:rPr>
          <w:rFonts w:ascii="Arial" w:hAnsi="Arial" w:cs="Arial"/>
          <w:bCs/>
        </w:rPr>
        <w:t xml:space="preserve"> </w:t>
      </w:r>
      <w:r>
        <w:rPr>
          <w:rFonts w:ascii="Arial" w:hAnsi="Arial" w:cs="Arial"/>
        </w:rPr>
        <w:t>Three</w:t>
      </w:r>
      <w:r w:rsidRPr="007D316E">
        <w:rPr>
          <w:rFonts w:ascii="Arial" w:hAnsi="Arial" w:cs="Arial"/>
        </w:rPr>
        <w:t xml:space="preserve"> main recommendations were made t</w:t>
      </w:r>
      <w:r>
        <w:rPr>
          <w:rFonts w:ascii="Arial" w:hAnsi="Arial" w:cs="Arial"/>
        </w:rPr>
        <w:t>o inform future programming: (1)</w:t>
      </w:r>
      <w:r w:rsidRPr="007D316E">
        <w:rPr>
          <w:rFonts w:ascii="Arial" w:hAnsi="Arial" w:cs="Arial"/>
        </w:rPr>
        <w:t xml:space="preserve"> Future investments in health HRD </w:t>
      </w:r>
      <w:r>
        <w:rPr>
          <w:rFonts w:ascii="Arial" w:hAnsi="Arial" w:cs="Arial"/>
        </w:rPr>
        <w:t>should move</w:t>
      </w:r>
      <w:r w:rsidRPr="007D316E">
        <w:rPr>
          <w:rFonts w:ascii="Arial" w:hAnsi="Arial" w:cs="Arial"/>
        </w:rPr>
        <w:t xml:space="preserve"> away from discrete project investments and be delivered under the umbrella of a sector-wide program, with health HRD a</w:t>
      </w:r>
      <w:r>
        <w:rPr>
          <w:rFonts w:ascii="Arial" w:hAnsi="Arial" w:cs="Arial"/>
        </w:rPr>
        <w:t>s a core programming pillar; (2</w:t>
      </w:r>
      <w:r w:rsidRPr="007D316E">
        <w:rPr>
          <w:rFonts w:ascii="Arial" w:hAnsi="Arial" w:cs="Arial"/>
        </w:rPr>
        <w:t xml:space="preserve">) </w:t>
      </w:r>
      <w:r>
        <w:rPr>
          <w:rFonts w:ascii="Arial" w:hAnsi="Arial" w:cs="Arial"/>
        </w:rPr>
        <w:t xml:space="preserve">The </w:t>
      </w:r>
      <w:r w:rsidRPr="007D316E">
        <w:rPr>
          <w:rFonts w:ascii="Arial" w:hAnsi="Arial" w:cs="Arial"/>
        </w:rPr>
        <w:t xml:space="preserve">MoH </w:t>
      </w:r>
      <w:r>
        <w:rPr>
          <w:rFonts w:ascii="Arial" w:hAnsi="Arial" w:cs="Arial"/>
        </w:rPr>
        <w:t xml:space="preserve">should consider </w:t>
      </w:r>
      <w:r w:rsidRPr="007D316E">
        <w:rPr>
          <w:rFonts w:ascii="Arial" w:hAnsi="Arial" w:cs="Arial"/>
        </w:rPr>
        <w:t>establish</w:t>
      </w:r>
      <w:r>
        <w:rPr>
          <w:rFonts w:ascii="Arial" w:hAnsi="Arial" w:cs="Arial"/>
        </w:rPr>
        <w:t>ing</w:t>
      </w:r>
      <w:r w:rsidRPr="007D316E">
        <w:rPr>
          <w:rFonts w:ascii="Arial" w:hAnsi="Arial" w:cs="Arial"/>
        </w:rPr>
        <w:t xml:space="preserve"> a single full-time PMU responsible for overseeing the portfolio of ADB invest</w:t>
      </w:r>
      <w:r>
        <w:rPr>
          <w:rFonts w:ascii="Arial" w:hAnsi="Arial" w:cs="Arial"/>
        </w:rPr>
        <w:t>ments in the health sector; (3</w:t>
      </w:r>
      <w:r w:rsidRPr="007D316E">
        <w:rPr>
          <w:rFonts w:ascii="Arial" w:hAnsi="Arial" w:cs="Arial"/>
        </w:rPr>
        <w:t>) Future investment in the registration and licensing system</w:t>
      </w:r>
      <w:r>
        <w:rPr>
          <w:rFonts w:ascii="Arial" w:hAnsi="Arial" w:cs="Arial"/>
        </w:rPr>
        <w:t xml:space="preserve">, </w:t>
      </w:r>
      <w:r w:rsidRPr="007D316E">
        <w:rPr>
          <w:rFonts w:ascii="Arial" w:hAnsi="Arial" w:cs="Arial"/>
        </w:rPr>
        <w:t xml:space="preserve">the accreditation of CME programs and the development </w:t>
      </w:r>
      <w:r>
        <w:rPr>
          <w:rFonts w:ascii="Arial" w:hAnsi="Arial" w:cs="Arial"/>
        </w:rPr>
        <w:t xml:space="preserve">of modalities for CME delivery is warranted to </w:t>
      </w:r>
      <w:r w:rsidRPr="007D316E">
        <w:rPr>
          <w:rFonts w:ascii="Arial" w:hAnsi="Arial" w:cs="Arial"/>
        </w:rPr>
        <w:t>consolidate the achievements</w:t>
      </w:r>
      <w:r>
        <w:rPr>
          <w:rFonts w:ascii="Arial" w:hAnsi="Arial" w:cs="Arial"/>
        </w:rPr>
        <w:t xml:space="preserve"> under the </w:t>
      </w:r>
      <w:r w:rsidRPr="007D316E">
        <w:rPr>
          <w:rFonts w:ascii="Arial" w:hAnsi="Arial" w:cs="Arial"/>
        </w:rPr>
        <w:t>HHRSDP</w:t>
      </w:r>
      <w:r>
        <w:rPr>
          <w:rFonts w:ascii="Arial" w:hAnsi="Arial" w:cs="Arial"/>
        </w:rPr>
        <w:t xml:space="preserve">. Future </w:t>
      </w:r>
      <w:r w:rsidRPr="00305303">
        <w:rPr>
          <w:rFonts w:ascii="Arial" w:hAnsi="Arial" w:cs="Arial"/>
        </w:rPr>
        <w:t>investment in provider payment reform is</w:t>
      </w:r>
      <w:r>
        <w:rPr>
          <w:rFonts w:ascii="Arial" w:hAnsi="Arial" w:cs="Arial"/>
        </w:rPr>
        <w:t xml:space="preserve"> also</w:t>
      </w:r>
      <w:r w:rsidRPr="00305303">
        <w:rPr>
          <w:rFonts w:ascii="Arial" w:hAnsi="Arial" w:cs="Arial"/>
        </w:rPr>
        <w:t xml:space="preserve"> warranted</w:t>
      </w:r>
      <w:r>
        <w:rPr>
          <w:rFonts w:ascii="Arial" w:hAnsi="Arial" w:cs="Arial"/>
        </w:rPr>
        <w:t xml:space="preserve"> but should be </w:t>
      </w:r>
      <w:r w:rsidRPr="00305303">
        <w:rPr>
          <w:rFonts w:ascii="Arial" w:hAnsi="Arial" w:cs="Arial"/>
        </w:rPr>
        <w:t xml:space="preserve">developed under </w:t>
      </w:r>
      <w:r>
        <w:rPr>
          <w:rFonts w:ascii="Arial" w:hAnsi="Arial" w:cs="Arial"/>
        </w:rPr>
        <w:t>the umbrella of a</w:t>
      </w:r>
      <w:r w:rsidRPr="00305303">
        <w:rPr>
          <w:rFonts w:ascii="Arial" w:hAnsi="Arial" w:cs="Arial"/>
        </w:rPr>
        <w:t xml:space="preserve"> health financing</w:t>
      </w:r>
      <w:r>
        <w:rPr>
          <w:rFonts w:ascii="Arial" w:hAnsi="Arial" w:cs="Arial"/>
        </w:rPr>
        <w:t xml:space="preserve"> program rather than health HRD</w:t>
      </w:r>
      <w:r w:rsidRPr="00305303">
        <w:rPr>
          <w:rFonts w:ascii="Arial" w:hAnsi="Arial" w:cs="Arial"/>
        </w:rPr>
        <w:t>.</w:t>
      </w:r>
    </w:p>
    <w:p w:rsidR="00113D51" w:rsidRPr="00C539B5" w:rsidRDefault="00113D51" w:rsidP="00C539B5">
      <w:pPr>
        <w:pStyle w:val="Heading2"/>
        <w:spacing w:before="120" w:after="120"/>
        <w:rPr>
          <w:bCs w:val="0"/>
          <w:i w:val="0"/>
          <w:iCs w:val="0"/>
          <w:color w:val="000000"/>
          <w:sz w:val="22"/>
          <w:szCs w:val="20"/>
          <w:lang w:eastAsia="en-US"/>
        </w:rPr>
      </w:pPr>
      <w:bookmarkStart w:id="11" w:name="_Toc423359307"/>
      <w:r w:rsidRPr="00C539B5">
        <w:rPr>
          <w:bCs w:val="0"/>
          <w:i w:val="0"/>
          <w:iCs w:val="0"/>
          <w:color w:val="000000"/>
          <w:sz w:val="22"/>
          <w:szCs w:val="20"/>
          <w:lang w:eastAsia="en-US"/>
        </w:rPr>
        <w:t>Evaluation Criteria Ratings</w:t>
      </w:r>
      <w:bookmarkEnd w:id="11"/>
    </w:p>
    <w:p w:rsidR="00113D51" w:rsidRPr="00A97FEB" w:rsidRDefault="00113D51" w:rsidP="00113D51"/>
    <w:tbl>
      <w:tblPr>
        <w:tblW w:w="4874" w:type="dxa"/>
        <w:jc w:val="center"/>
        <w:tblInd w:w="-4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3164"/>
        <w:gridCol w:w="1710"/>
      </w:tblGrid>
      <w:tr w:rsidR="00113D51" w:rsidRPr="005F7617" w:rsidTr="008F5AD8">
        <w:trPr>
          <w:cantSplit/>
          <w:tblHeader/>
          <w:jc w:val="center"/>
        </w:trPr>
        <w:tc>
          <w:tcPr>
            <w:tcW w:w="3164" w:type="dxa"/>
            <w:shd w:val="clear" w:color="auto" w:fill="E0E0E0"/>
            <w:vAlign w:val="center"/>
          </w:tcPr>
          <w:p w:rsidR="00113D51" w:rsidRPr="005F7617" w:rsidRDefault="00113D51" w:rsidP="001C2C06">
            <w:pPr>
              <w:jc w:val="center"/>
              <w:rPr>
                <w:rFonts w:ascii="Arial" w:hAnsi="Arial" w:cs="Arial"/>
                <w:b/>
              </w:rPr>
            </w:pPr>
            <w:r w:rsidRPr="005F7617">
              <w:rPr>
                <w:rFonts w:ascii="Arial" w:hAnsi="Arial" w:cs="Arial"/>
                <w:b/>
              </w:rPr>
              <w:t>Criteria</w:t>
            </w:r>
          </w:p>
        </w:tc>
        <w:tc>
          <w:tcPr>
            <w:tcW w:w="1710" w:type="dxa"/>
            <w:shd w:val="clear" w:color="auto" w:fill="E0E0E0"/>
            <w:vAlign w:val="center"/>
          </w:tcPr>
          <w:p w:rsidR="00113D51" w:rsidRPr="005F7617" w:rsidRDefault="00113D51" w:rsidP="008F5AD8">
            <w:pPr>
              <w:jc w:val="center"/>
              <w:rPr>
                <w:rFonts w:ascii="Arial" w:hAnsi="Arial" w:cs="Arial"/>
                <w:b/>
              </w:rPr>
            </w:pPr>
            <w:r w:rsidRPr="005F7617">
              <w:rPr>
                <w:rFonts w:ascii="Arial" w:hAnsi="Arial" w:cs="Arial"/>
                <w:b/>
              </w:rPr>
              <w:t>Rating</w:t>
            </w:r>
            <w:r w:rsidR="008F5AD8">
              <w:rPr>
                <w:rFonts w:ascii="Arial" w:hAnsi="Arial" w:cs="Arial"/>
                <w:b/>
              </w:rPr>
              <w:t xml:space="preserve"> </w:t>
            </w:r>
            <w:r w:rsidR="008F5AD8" w:rsidRPr="008F5AD8">
              <w:rPr>
                <w:rStyle w:val="FootnoteReference"/>
              </w:rPr>
              <w:t>a</w:t>
            </w:r>
            <w:r w:rsidR="008F5AD8">
              <w:rPr>
                <w:rFonts w:ascii="Arial" w:hAnsi="Arial" w:cs="Arial"/>
                <w:b/>
              </w:rPr>
              <w:t xml:space="preserve"> </w:t>
            </w:r>
          </w:p>
        </w:tc>
      </w:tr>
      <w:tr w:rsidR="00113D51" w:rsidRPr="005F7617" w:rsidTr="008F5AD8">
        <w:trPr>
          <w:cantSplit/>
          <w:jc w:val="center"/>
        </w:trPr>
        <w:tc>
          <w:tcPr>
            <w:tcW w:w="3164" w:type="dxa"/>
            <w:shd w:val="clear" w:color="auto" w:fill="auto"/>
          </w:tcPr>
          <w:p w:rsidR="00113D51" w:rsidRPr="005F7617" w:rsidRDefault="00113D51" w:rsidP="001C2C06">
            <w:pPr>
              <w:spacing w:before="40"/>
              <w:rPr>
                <w:rFonts w:ascii="Arial" w:hAnsi="Arial" w:cs="Arial"/>
              </w:rPr>
            </w:pPr>
            <w:r w:rsidRPr="005F7617">
              <w:rPr>
                <w:rFonts w:ascii="Arial" w:hAnsi="Arial" w:cs="Arial"/>
              </w:rPr>
              <w:t>Relevance</w:t>
            </w:r>
          </w:p>
        </w:tc>
        <w:tc>
          <w:tcPr>
            <w:tcW w:w="1710" w:type="dxa"/>
            <w:shd w:val="clear" w:color="auto" w:fill="auto"/>
          </w:tcPr>
          <w:p w:rsidR="00113D51" w:rsidRPr="005F7617" w:rsidRDefault="00113D51" w:rsidP="001C2C06">
            <w:pPr>
              <w:spacing w:before="40"/>
              <w:jc w:val="center"/>
              <w:rPr>
                <w:rFonts w:ascii="Arial" w:hAnsi="Arial" w:cs="Arial"/>
              </w:rPr>
            </w:pPr>
            <w:r>
              <w:rPr>
                <w:rFonts w:ascii="Arial" w:hAnsi="Arial" w:cs="Arial"/>
              </w:rPr>
              <w:t>5</w:t>
            </w:r>
          </w:p>
        </w:tc>
      </w:tr>
      <w:tr w:rsidR="00113D51" w:rsidRPr="005F7617" w:rsidTr="008F5AD8">
        <w:trPr>
          <w:cantSplit/>
          <w:jc w:val="center"/>
        </w:trPr>
        <w:tc>
          <w:tcPr>
            <w:tcW w:w="3164" w:type="dxa"/>
            <w:shd w:val="clear" w:color="auto" w:fill="auto"/>
          </w:tcPr>
          <w:p w:rsidR="00113D51" w:rsidRPr="005F7617" w:rsidRDefault="00113D51" w:rsidP="001C2C06">
            <w:pPr>
              <w:spacing w:before="40"/>
              <w:rPr>
                <w:rFonts w:ascii="Arial" w:hAnsi="Arial" w:cs="Arial"/>
              </w:rPr>
            </w:pPr>
            <w:r w:rsidRPr="005F7617">
              <w:rPr>
                <w:rFonts w:ascii="Arial" w:hAnsi="Arial" w:cs="Arial"/>
              </w:rPr>
              <w:t>Effectiveness</w:t>
            </w:r>
          </w:p>
        </w:tc>
        <w:tc>
          <w:tcPr>
            <w:tcW w:w="1710" w:type="dxa"/>
            <w:shd w:val="clear" w:color="auto" w:fill="auto"/>
          </w:tcPr>
          <w:p w:rsidR="00113D51" w:rsidRPr="005F7617" w:rsidRDefault="00113D51" w:rsidP="001C2C06">
            <w:pPr>
              <w:spacing w:before="40"/>
              <w:jc w:val="center"/>
              <w:rPr>
                <w:rFonts w:ascii="Arial" w:hAnsi="Arial" w:cs="Arial"/>
              </w:rPr>
            </w:pPr>
            <w:r>
              <w:rPr>
                <w:rFonts w:ascii="Arial" w:hAnsi="Arial" w:cs="Arial"/>
              </w:rPr>
              <w:t>4</w:t>
            </w:r>
          </w:p>
        </w:tc>
      </w:tr>
      <w:tr w:rsidR="00113D51" w:rsidRPr="005F7617" w:rsidTr="008F5AD8">
        <w:trPr>
          <w:cantSplit/>
          <w:jc w:val="center"/>
        </w:trPr>
        <w:tc>
          <w:tcPr>
            <w:tcW w:w="3164" w:type="dxa"/>
            <w:shd w:val="clear" w:color="auto" w:fill="auto"/>
          </w:tcPr>
          <w:p w:rsidR="00113D51" w:rsidRPr="005F7617" w:rsidRDefault="00113D51" w:rsidP="001C2C06">
            <w:pPr>
              <w:spacing w:before="40"/>
              <w:rPr>
                <w:rFonts w:ascii="Arial" w:hAnsi="Arial" w:cs="Arial"/>
              </w:rPr>
            </w:pPr>
            <w:r w:rsidRPr="005F7617">
              <w:rPr>
                <w:rFonts w:ascii="Arial" w:hAnsi="Arial" w:cs="Arial"/>
              </w:rPr>
              <w:t>Efficiency</w:t>
            </w:r>
          </w:p>
        </w:tc>
        <w:tc>
          <w:tcPr>
            <w:tcW w:w="1710" w:type="dxa"/>
            <w:shd w:val="clear" w:color="auto" w:fill="auto"/>
          </w:tcPr>
          <w:p w:rsidR="00113D51" w:rsidRPr="005F7617" w:rsidRDefault="00113D51" w:rsidP="001C2C06">
            <w:pPr>
              <w:spacing w:before="40"/>
              <w:jc w:val="center"/>
              <w:rPr>
                <w:rFonts w:ascii="Arial" w:hAnsi="Arial" w:cs="Arial"/>
              </w:rPr>
            </w:pPr>
            <w:r>
              <w:rPr>
                <w:rFonts w:ascii="Arial" w:hAnsi="Arial" w:cs="Arial"/>
              </w:rPr>
              <w:t>4</w:t>
            </w:r>
          </w:p>
        </w:tc>
      </w:tr>
      <w:tr w:rsidR="004E7E72" w:rsidRPr="005F7617" w:rsidTr="008F5AD8">
        <w:trPr>
          <w:cantSplit/>
          <w:jc w:val="center"/>
        </w:trPr>
        <w:tc>
          <w:tcPr>
            <w:tcW w:w="3164" w:type="dxa"/>
            <w:shd w:val="clear" w:color="auto" w:fill="auto"/>
          </w:tcPr>
          <w:p w:rsidR="004E7E72" w:rsidRPr="005F7617" w:rsidRDefault="004E7E72" w:rsidP="001C2C06">
            <w:pPr>
              <w:spacing w:before="40"/>
              <w:rPr>
                <w:rFonts w:ascii="Arial" w:hAnsi="Arial" w:cs="Arial"/>
              </w:rPr>
            </w:pPr>
            <w:r>
              <w:rPr>
                <w:rFonts w:ascii="Arial" w:hAnsi="Arial" w:cs="Arial"/>
              </w:rPr>
              <w:t>Impact</w:t>
            </w:r>
          </w:p>
        </w:tc>
        <w:tc>
          <w:tcPr>
            <w:tcW w:w="1710" w:type="dxa"/>
            <w:shd w:val="clear" w:color="auto" w:fill="auto"/>
          </w:tcPr>
          <w:p w:rsidR="004E7E72" w:rsidRDefault="004E7E72" w:rsidP="001C2C06">
            <w:pPr>
              <w:spacing w:before="40"/>
              <w:jc w:val="center"/>
              <w:rPr>
                <w:rFonts w:ascii="Arial" w:hAnsi="Arial" w:cs="Arial"/>
              </w:rPr>
            </w:pPr>
            <w:r>
              <w:rPr>
                <w:rFonts w:ascii="Arial" w:hAnsi="Arial" w:cs="Arial"/>
              </w:rPr>
              <w:t>Not evaluated</w:t>
            </w:r>
          </w:p>
        </w:tc>
      </w:tr>
      <w:tr w:rsidR="00113D51" w:rsidRPr="005F7617" w:rsidTr="008F5AD8">
        <w:trPr>
          <w:cantSplit/>
          <w:jc w:val="center"/>
        </w:trPr>
        <w:tc>
          <w:tcPr>
            <w:tcW w:w="3164" w:type="dxa"/>
            <w:shd w:val="clear" w:color="auto" w:fill="auto"/>
          </w:tcPr>
          <w:p w:rsidR="00113D51" w:rsidRPr="005F7617" w:rsidRDefault="00113D51" w:rsidP="001C2C06">
            <w:pPr>
              <w:spacing w:before="40"/>
              <w:rPr>
                <w:rFonts w:ascii="Arial" w:hAnsi="Arial" w:cs="Arial"/>
              </w:rPr>
            </w:pPr>
            <w:r w:rsidRPr="005F7617">
              <w:rPr>
                <w:rFonts w:ascii="Arial" w:hAnsi="Arial" w:cs="Arial"/>
              </w:rPr>
              <w:t>Sustainability</w:t>
            </w:r>
          </w:p>
        </w:tc>
        <w:tc>
          <w:tcPr>
            <w:tcW w:w="1710" w:type="dxa"/>
            <w:shd w:val="clear" w:color="auto" w:fill="auto"/>
          </w:tcPr>
          <w:p w:rsidR="00113D51" w:rsidRPr="005F7617" w:rsidRDefault="00113D51" w:rsidP="001C2C06">
            <w:pPr>
              <w:spacing w:before="40"/>
              <w:jc w:val="center"/>
              <w:rPr>
                <w:rFonts w:ascii="Arial" w:hAnsi="Arial" w:cs="Arial"/>
              </w:rPr>
            </w:pPr>
            <w:r>
              <w:rPr>
                <w:rFonts w:ascii="Arial" w:hAnsi="Arial" w:cs="Arial"/>
              </w:rPr>
              <w:t>5</w:t>
            </w:r>
          </w:p>
        </w:tc>
      </w:tr>
      <w:tr w:rsidR="00113D51" w:rsidRPr="005F7617" w:rsidTr="008F5AD8">
        <w:trPr>
          <w:cantSplit/>
          <w:jc w:val="center"/>
        </w:trPr>
        <w:tc>
          <w:tcPr>
            <w:tcW w:w="3164" w:type="dxa"/>
            <w:shd w:val="clear" w:color="auto" w:fill="auto"/>
          </w:tcPr>
          <w:p w:rsidR="00113D51" w:rsidRPr="005F7617" w:rsidRDefault="00113D51" w:rsidP="001C2C06">
            <w:pPr>
              <w:spacing w:before="40"/>
              <w:rPr>
                <w:rFonts w:ascii="Arial" w:hAnsi="Arial" w:cs="Arial"/>
              </w:rPr>
            </w:pPr>
            <w:r w:rsidRPr="005F7617">
              <w:rPr>
                <w:rFonts w:ascii="Arial" w:hAnsi="Arial" w:cs="Arial"/>
              </w:rPr>
              <w:t>Gender Equality</w:t>
            </w:r>
          </w:p>
        </w:tc>
        <w:tc>
          <w:tcPr>
            <w:tcW w:w="1710" w:type="dxa"/>
            <w:shd w:val="clear" w:color="auto" w:fill="auto"/>
          </w:tcPr>
          <w:p w:rsidR="00113D51" w:rsidRPr="005F7617" w:rsidRDefault="00113D51" w:rsidP="001C2C06">
            <w:pPr>
              <w:spacing w:before="40"/>
              <w:jc w:val="center"/>
              <w:rPr>
                <w:rFonts w:ascii="Arial" w:hAnsi="Arial" w:cs="Arial"/>
              </w:rPr>
            </w:pPr>
            <w:r>
              <w:rPr>
                <w:rFonts w:ascii="Arial" w:hAnsi="Arial" w:cs="Arial"/>
              </w:rPr>
              <w:t>4</w:t>
            </w:r>
          </w:p>
        </w:tc>
      </w:tr>
      <w:tr w:rsidR="00113D51" w:rsidRPr="005F7617" w:rsidTr="008F5AD8">
        <w:trPr>
          <w:cantSplit/>
          <w:jc w:val="center"/>
        </w:trPr>
        <w:tc>
          <w:tcPr>
            <w:tcW w:w="3164" w:type="dxa"/>
            <w:shd w:val="clear" w:color="auto" w:fill="auto"/>
          </w:tcPr>
          <w:p w:rsidR="00113D51" w:rsidRPr="005F7617" w:rsidRDefault="00113D51" w:rsidP="001C2C06">
            <w:pPr>
              <w:spacing w:before="40"/>
              <w:rPr>
                <w:rFonts w:ascii="Arial" w:hAnsi="Arial" w:cs="Arial"/>
              </w:rPr>
            </w:pPr>
            <w:r w:rsidRPr="005F7617">
              <w:rPr>
                <w:rFonts w:ascii="Arial" w:hAnsi="Arial" w:cs="Arial"/>
              </w:rPr>
              <w:t>Monitoring &amp; Evaluation</w:t>
            </w:r>
          </w:p>
        </w:tc>
        <w:tc>
          <w:tcPr>
            <w:tcW w:w="1710" w:type="dxa"/>
            <w:shd w:val="clear" w:color="auto" w:fill="auto"/>
          </w:tcPr>
          <w:p w:rsidR="00113D51" w:rsidRPr="005F7617" w:rsidRDefault="00113D51" w:rsidP="001C2C06">
            <w:pPr>
              <w:spacing w:before="40"/>
              <w:jc w:val="center"/>
              <w:rPr>
                <w:rFonts w:ascii="Arial" w:hAnsi="Arial" w:cs="Arial"/>
              </w:rPr>
            </w:pPr>
            <w:r>
              <w:rPr>
                <w:rFonts w:ascii="Arial" w:hAnsi="Arial" w:cs="Arial"/>
              </w:rPr>
              <w:t>3</w:t>
            </w:r>
          </w:p>
        </w:tc>
      </w:tr>
    </w:tbl>
    <w:p w:rsidR="00113D51" w:rsidRPr="008F5AD8" w:rsidRDefault="00113D51" w:rsidP="00113D51">
      <w:pPr>
        <w:jc w:val="both"/>
        <w:rPr>
          <w:rFonts w:ascii="Arial" w:hAnsi="Arial" w:cs="Arial"/>
          <w:sz w:val="18"/>
          <w:szCs w:val="18"/>
        </w:rPr>
      </w:pPr>
    </w:p>
    <w:p w:rsidR="008F5AD8" w:rsidRPr="008F5AD8" w:rsidRDefault="008F5AD8" w:rsidP="008F5AD8">
      <w:pPr>
        <w:tabs>
          <w:tab w:val="left" w:pos="6946"/>
        </w:tabs>
        <w:ind w:left="2127" w:right="2080"/>
        <w:jc w:val="both"/>
        <w:rPr>
          <w:rFonts w:ascii="Arial" w:hAnsi="Arial" w:cs="Arial"/>
          <w:b/>
          <w:bCs/>
          <w:sz w:val="18"/>
          <w:szCs w:val="18"/>
        </w:rPr>
        <w:sectPr w:rsidR="008F5AD8" w:rsidRPr="008F5AD8" w:rsidSect="009F6E10">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567" w:footer="431" w:gutter="0"/>
          <w:pgNumType w:fmt="lowerRoman" w:start="1"/>
          <w:cols w:space="708"/>
          <w:titlePg/>
          <w:docGrid w:linePitch="360"/>
        </w:sectPr>
      </w:pPr>
      <w:r>
        <w:rPr>
          <w:rFonts w:ascii="Arial" w:hAnsi="Arial" w:cs="Arial"/>
          <w:b/>
          <w:bCs/>
          <w:sz w:val="18"/>
          <w:szCs w:val="18"/>
        </w:rPr>
        <w:t>Note</w:t>
      </w:r>
      <w:r w:rsidRPr="008F5AD8">
        <w:rPr>
          <w:rFonts w:ascii="Arial" w:hAnsi="Arial" w:cs="Arial"/>
          <w:b/>
          <w:bCs/>
          <w:sz w:val="18"/>
          <w:szCs w:val="18"/>
        </w:rPr>
        <w:t xml:space="preserve">: </w:t>
      </w:r>
      <w:r w:rsidRPr="008F5AD8">
        <w:rPr>
          <w:rStyle w:val="FootnoteReference"/>
        </w:rPr>
        <w:t>a</w:t>
      </w:r>
      <w:r>
        <w:rPr>
          <w:rFonts w:ascii="Arial" w:hAnsi="Arial" w:cs="Arial"/>
          <w:b/>
        </w:rPr>
        <w:t xml:space="preserve"> </w:t>
      </w:r>
      <w:r w:rsidRPr="008F5AD8">
        <w:rPr>
          <w:rFonts w:ascii="Arial" w:hAnsi="Arial" w:cs="Arial"/>
          <w:bCs/>
          <w:sz w:val="18"/>
          <w:szCs w:val="18"/>
        </w:rPr>
        <w:t>Rating is based on a scale of 1-6. The evaluation criteria rating scale is attached in Appendix 1, Table 1.2</w:t>
      </w:r>
    </w:p>
    <w:p w:rsidR="0028387D" w:rsidRPr="00BA6D5D" w:rsidRDefault="0028387D" w:rsidP="00CA718F">
      <w:pPr>
        <w:pStyle w:val="Heading1"/>
        <w:numPr>
          <w:ilvl w:val="0"/>
          <w:numId w:val="5"/>
        </w:numPr>
        <w:spacing w:after="120"/>
        <w:ind w:left="734" w:hanging="547"/>
        <w:jc w:val="both"/>
        <w:rPr>
          <w:bCs w:val="0"/>
          <w:caps/>
          <w:color w:val="000000"/>
          <w:kern w:val="28"/>
          <w:sz w:val="24"/>
          <w:szCs w:val="24"/>
          <w:lang w:eastAsia="en-US"/>
        </w:rPr>
      </w:pPr>
      <w:bookmarkStart w:id="12" w:name="_Toc422301189"/>
      <w:bookmarkStart w:id="13" w:name="_Toc423359308"/>
      <w:r w:rsidRPr="00BA6D5D">
        <w:rPr>
          <w:bCs w:val="0"/>
          <w:caps/>
          <w:color w:val="000000"/>
          <w:kern w:val="28"/>
          <w:sz w:val="24"/>
          <w:szCs w:val="24"/>
          <w:lang w:eastAsia="en-US"/>
        </w:rPr>
        <w:t>Introduction</w:t>
      </w:r>
      <w:bookmarkEnd w:id="7"/>
      <w:bookmarkEnd w:id="8"/>
      <w:bookmarkEnd w:id="12"/>
      <w:bookmarkEnd w:id="13"/>
    </w:p>
    <w:p w:rsidR="0098315D" w:rsidRPr="00185E36" w:rsidRDefault="0098315D" w:rsidP="00185E36">
      <w:pPr>
        <w:pStyle w:val="Heading2"/>
        <w:numPr>
          <w:ilvl w:val="1"/>
          <w:numId w:val="49"/>
        </w:numPr>
        <w:spacing w:before="120" w:after="120"/>
        <w:rPr>
          <w:bCs w:val="0"/>
          <w:i w:val="0"/>
          <w:iCs w:val="0"/>
          <w:color w:val="000000"/>
          <w:sz w:val="22"/>
          <w:szCs w:val="20"/>
          <w:lang w:eastAsia="en-US"/>
        </w:rPr>
      </w:pPr>
      <w:bookmarkStart w:id="14" w:name="_Toc422301190"/>
      <w:bookmarkStart w:id="15" w:name="_Toc423359309"/>
      <w:r w:rsidRPr="00185E36">
        <w:rPr>
          <w:bCs w:val="0"/>
          <w:i w:val="0"/>
          <w:iCs w:val="0"/>
          <w:color w:val="000000"/>
          <w:sz w:val="22"/>
          <w:szCs w:val="20"/>
          <w:lang w:eastAsia="en-US"/>
        </w:rPr>
        <w:t>Activity Background</w:t>
      </w:r>
      <w:bookmarkEnd w:id="14"/>
      <w:bookmarkEnd w:id="15"/>
    </w:p>
    <w:p w:rsidR="00DC2154" w:rsidRPr="00BA6D5D" w:rsidRDefault="00DC2154" w:rsidP="00DC2154">
      <w:pPr>
        <w:jc w:val="both"/>
        <w:rPr>
          <w:rFonts w:ascii="Arial" w:hAnsi="Arial" w:cs="Arial"/>
        </w:rPr>
      </w:pPr>
      <w:r w:rsidRPr="00BA6D5D">
        <w:rPr>
          <w:rFonts w:ascii="Arial" w:hAnsi="Arial" w:cs="Arial"/>
        </w:rPr>
        <w:fldChar w:fldCharType="begin"/>
      </w:r>
      <w:r w:rsidRPr="00BA6D5D">
        <w:rPr>
          <w:rFonts w:ascii="Arial" w:hAnsi="Arial" w:cs="Arial"/>
        </w:rPr>
        <w:instrText>AUTONUMLGL</w:instrText>
      </w:r>
      <w:r w:rsidRPr="00BA6D5D">
        <w:rPr>
          <w:rFonts w:ascii="Arial" w:hAnsi="Arial" w:cs="Arial"/>
        </w:rPr>
        <w:fldChar w:fldCharType="end"/>
      </w:r>
      <w:r w:rsidRPr="00BA6D5D">
        <w:rPr>
          <w:rFonts w:ascii="Arial" w:hAnsi="Arial" w:cs="Arial"/>
          <w:b/>
        </w:rPr>
        <w:tab/>
      </w:r>
      <w:r w:rsidRPr="00BA6D5D">
        <w:rPr>
          <w:rFonts w:ascii="Arial" w:hAnsi="Arial" w:cs="Arial"/>
        </w:rPr>
        <w:t>The Health Human Resource Sector Development Program (HHRSDP) is</w:t>
      </w:r>
      <w:r w:rsidR="00192A0A">
        <w:rPr>
          <w:rFonts w:ascii="Arial" w:hAnsi="Arial" w:cs="Arial"/>
        </w:rPr>
        <w:t xml:space="preserve"> a</w:t>
      </w:r>
      <w:r w:rsidRPr="00BA6D5D">
        <w:rPr>
          <w:rFonts w:ascii="Arial" w:hAnsi="Arial" w:cs="Arial"/>
        </w:rPr>
        <w:t xml:space="preserve"> $76.3 million</w:t>
      </w:r>
      <w:r w:rsidR="00FE44AB" w:rsidRPr="00BA6D5D">
        <w:rPr>
          <w:rStyle w:val="FootnoteReference"/>
          <w:rFonts w:cs="Arial"/>
        </w:rPr>
        <w:footnoteReference w:id="1"/>
      </w:r>
      <w:r w:rsidRPr="00BA6D5D">
        <w:rPr>
          <w:rFonts w:ascii="Arial" w:hAnsi="Arial" w:cs="Arial"/>
        </w:rPr>
        <w:t xml:space="preserve"> initiative financed by</w:t>
      </w:r>
      <w:r w:rsidR="007F25B3">
        <w:rPr>
          <w:rFonts w:ascii="Arial" w:hAnsi="Arial" w:cs="Arial"/>
        </w:rPr>
        <w:t xml:space="preserve"> a</w:t>
      </w:r>
      <w:r w:rsidRPr="00BA6D5D">
        <w:rPr>
          <w:rFonts w:ascii="Arial" w:hAnsi="Arial" w:cs="Arial"/>
        </w:rPr>
        <w:t xml:space="preserve"> $30 million program loan and $30 million project loan from the Asian Development Bank (ADB), a $AUD12 million grant from the Government of Australia (GoA) and $5.3 million</w:t>
      </w:r>
      <w:r w:rsidR="00FE44AB" w:rsidRPr="00BA6D5D">
        <w:rPr>
          <w:rFonts w:ascii="Arial" w:hAnsi="Arial" w:cs="Arial"/>
        </w:rPr>
        <w:t xml:space="preserve"> in counterpart funding</w:t>
      </w:r>
      <w:r w:rsidRPr="00BA6D5D">
        <w:rPr>
          <w:rFonts w:ascii="Arial" w:hAnsi="Arial" w:cs="Arial"/>
        </w:rPr>
        <w:t xml:space="preserve"> </w:t>
      </w:r>
      <w:r w:rsidR="00FE44AB" w:rsidRPr="00BA6D5D">
        <w:rPr>
          <w:rFonts w:ascii="Arial" w:hAnsi="Arial" w:cs="Arial"/>
        </w:rPr>
        <w:t>from the Government of Viet Nam (GoV)</w:t>
      </w:r>
      <w:r w:rsidRPr="00BA6D5D">
        <w:rPr>
          <w:rFonts w:ascii="Arial" w:hAnsi="Arial" w:cs="Arial"/>
        </w:rPr>
        <w:t xml:space="preserve">. The HHRSDP supports the </w:t>
      </w:r>
      <w:r w:rsidR="00FE44AB" w:rsidRPr="00BA6D5D">
        <w:rPr>
          <w:rFonts w:ascii="Arial" w:hAnsi="Arial" w:cs="Arial"/>
        </w:rPr>
        <w:t>GoV</w:t>
      </w:r>
      <w:r w:rsidRPr="00BA6D5D">
        <w:rPr>
          <w:rFonts w:ascii="Arial" w:hAnsi="Arial" w:cs="Arial"/>
        </w:rPr>
        <w:t xml:space="preserve"> to carry out key reforms in governing public and private health staff and facilities, </w:t>
      </w:r>
      <w:r w:rsidR="004E545D">
        <w:rPr>
          <w:rFonts w:ascii="Arial" w:hAnsi="Arial" w:cs="Arial"/>
        </w:rPr>
        <w:t xml:space="preserve">health human resource development and management, </w:t>
      </w:r>
      <w:r w:rsidRPr="00BA6D5D">
        <w:rPr>
          <w:rFonts w:ascii="Arial" w:hAnsi="Arial" w:cs="Arial"/>
        </w:rPr>
        <w:t>and hospital financing. The program loan supports key policy actions to implement the Law on Examination and Treatment</w:t>
      </w:r>
      <w:r w:rsidR="00FE44AB" w:rsidRPr="00FD6EB5">
        <w:rPr>
          <w:rStyle w:val="FootnoteReference"/>
          <w:rFonts w:eastAsia="MS Mincho" w:cs="Arial"/>
        </w:rPr>
        <w:footnoteReference w:id="2"/>
      </w:r>
      <w:r w:rsidRPr="00BA6D5D">
        <w:rPr>
          <w:rFonts w:ascii="Arial" w:hAnsi="Arial" w:cs="Arial"/>
        </w:rPr>
        <w:t xml:space="preserve"> (LET) </w:t>
      </w:r>
      <w:r w:rsidR="004E545D">
        <w:rPr>
          <w:rFonts w:ascii="Arial" w:hAnsi="Arial" w:cs="Arial"/>
        </w:rPr>
        <w:t>governing</w:t>
      </w:r>
      <w:r w:rsidRPr="00BA6D5D">
        <w:rPr>
          <w:rFonts w:ascii="Arial" w:hAnsi="Arial" w:cs="Arial"/>
        </w:rPr>
        <w:t xml:space="preserve"> the registration and practice of health professionals, upgrading teaching institutions, and improving hospital financing. The project loan and grant support investments directly linked to implementation of the program level policy actions in key institutions including the MoH and teaching institutions. </w:t>
      </w:r>
    </w:p>
    <w:p w:rsidR="00DC2154" w:rsidRPr="00BA6D5D" w:rsidRDefault="00DC2154" w:rsidP="00DC2154">
      <w:pPr>
        <w:jc w:val="both"/>
        <w:rPr>
          <w:rFonts w:ascii="Arial" w:hAnsi="Arial" w:cs="Arial"/>
        </w:rPr>
      </w:pPr>
    </w:p>
    <w:p w:rsidR="00DC2154" w:rsidRPr="00BA6D5D" w:rsidRDefault="00DC2154" w:rsidP="00DC2154">
      <w:pPr>
        <w:spacing w:after="120"/>
        <w:jc w:val="both"/>
        <w:rPr>
          <w:rFonts w:ascii="Arial" w:hAnsi="Arial" w:cs="Arial"/>
        </w:rPr>
      </w:pPr>
      <w:r w:rsidRPr="00BA6D5D">
        <w:rPr>
          <w:rFonts w:ascii="Arial" w:hAnsi="Arial" w:cs="Arial"/>
        </w:rPr>
        <w:fldChar w:fldCharType="begin"/>
      </w:r>
      <w:r w:rsidRPr="00BA6D5D">
        <w:rPr>
          <w:rFonts w:ascii="Arial" w:hAnsi="Arial" w:cs="Arial"/>
        </w:rPr>
        <w:instrText>AUTONUMLGL</w:instrText>
      </w:r>
      <w:r w:rsidRPr="00BA6D5D">
        <w:rPr>
          <w:rFonts w:ascii="Arial" w:hAnsi="Arial" w:cs="Arial"/>
        </w:rPr>
        <w:fldChar w:fldCharType="end"/>
      </w:r>
      <w:r w:rsidRPr="00BA6D5D">
        <w:rPr>
          <w:rFonts w:ascii="Arial" w:hAnsi="Arial" w:cs="Arial"/>
        </w:rPr>
        <w:tab/>
        <w:t>The intended impact of the HHRSDP is improved health status of the population and progress towards the health Millennium Development Goals (MDGs)/Viet Nam Development Goals (VDGs), especially amongst the twenty poorest provinces in Viet Nam. The Program’s outcome is improved quality, efficiency and equity in health workforce and health service delivery. The program loan and project investments contribute to the following three outputs and major products/reforms:</w:t>
      </w:r>
    </w:p>
    <w:p w:rsidR="00DC2154" w:rsidRPr="00BA6D5D" w:rsidRDefault="00DC2154" w:rsidP="00DC2154">
      <w:pPr>
        <w:spacing w:after="120"/>
        <w:ind w:left="567"/>
        <w:jc w:val="both"/>
        <w:rPr>
          <w:rFonts w:ascii="Arial" w:hAnsi="Arial" w:cs="Arial"/>
        </w:rPr>
      </w:pPr>
      <w:r w:rsidRPr="00BA6D5D">
        <w:rPr>
          <w:rFonts w:ascii="Arial" w:hAnsi="Arial" w:cs="Arial"/>
          <w:b/>
        </w:rPr>
        <w:t xml:space="preserve">Output 1: Better planning and management of human </w:t>
      </w:r>
      <w:r w:rsidRPr="007F25B3">
        <w:rPr>
          <w:rFonts w:ascii="Arial" w:hAnsi="Arial" w:cs="Arial"/>
          <w:b/>
        </w:rPr>
        <w:t>resource</w:t>
      </w:r>
      <w:r w:rsidR="007F25B3" w:rsidRPr="007F25B3">
        <w:rPr>
          <w:rFonts w:ascii="Arial" w:hAnsi="Arial" w:cs="Arial"/>
          <w:b/>
        </w:rPr>
        <w:t>s</w:t>
      </w:r>
      <w:r w:rsidRPr="00777CBC">
        <w:rPr>
          <w:rFonts w:ascii="Arial" w:hAnsi="Arial" w:cs="Arial"/>
          <w:b/>
        </w:rPr>
        <w:t xml:space="preserve"> including:</w:t>
      </w:r>
      <w:r w:rsidRPr="00BA6D5D">
        <w:rPr>
          <w:rFonts w:ascii="Arial" w:hAnsi="Arial" w:cs="Arial"/>
        </w:rPr>
        <w:t xml:space="preserve"> (i) Stronger human resources policy, planning, and implementation through the establishment of a joint committee on health human resource</w:t>
      </w:r>
      <w:r w:rsidR="007F25B3">
        <w:rPr>
          <w:rFonts w:ascii="Arial" w:hAnsi="Arial" w:cs="Arial"/>
        </w:rPr>
        <w:t>s</w:t>
      </w:r>
      <w:r w:rsidRPr="00BA6D5D">
        <w:rPr>
          <w:rFonts w:ascii="Arial" w:hAnsi="Arial" w:cs="Arial"/>
        </w:rPr>
        <w:t xml:space="preserve"> (HHR); (ii) </w:t>
      </w:r>
      <w:r w:rsidR="00B71E97">
        <w:rPr>
          <w:rFonts w:ascii="Arial" w:hAnsi="Arial" w:cs="Arial"/>
        </w:rPr>
        <w:t xml:space="preserve">A </w:t>
      </w:r>
      <w:r w:rsidRPr="00BA6D5D">
        <w:rPr>
          <w:rFonts w:ascii="Arial" w:hAnsi="Arial" w:cs="Arial"/>
        </w:rPr>
        <w:t xml:space="preserve">report </w:t>
      </w:r>
      <w:r w:rsidR="00B71E97" w:rsidRPr="00E65146">
        <w:rPr>
          <w:rFonts w:ascii="Arial" w:hAnsi="Arial" w:cs="Arial"/>
          <w:color w:val="000000"/>
        </w:rPr>
        <w:t>on reform, planning, and management of the health workforce</w:t>
      </w:r>
      <w:r w:rsidRPr="00BA6D5D">
        <w:rPr>
          <w:rFonts w:ascii="Arial" w:hAnsi="Arial" w:cs="Arial"/>
        </w:rPr>
        <w:t xml:space="preserve">; (iii) </w:t>
      </w:r>
      <w:r w:rsidR="00FE44AB" w:rsidRPr="00BA6D5D">
        <w:rPr>
          <w:rFonts w:ascii="Arial" w:hAnsi="Arial" w:cs="Arial"/>
        </w:rPr>
        <w:t>E</w:t>
      </w:r>
      <w:r w:rsidRPr="00BA6D5D">
        <w:rPr>
          <w:rFonts w:ascii="Arial" w:hAnsi="Arial" w:cs="Arial"/>
        </w:rPr>
        <w:t>stablishment of a registration system for certification and licensing of health professionals</w:t>
      </w:r>
      <w:r w:rsidR="00B71E97">
        <w:rPr>
          <w:rFonts w:ascii="Arial" w:hAnsi="Arial" w:cs="Arial"/>
        </w:rPr>
        <w:t>.</w:t>
      </w:r>
    </w:p>
    <w:p w:rsidR="00DC2154" w:rsidRPr="00BA6D5D" w:rsidRDefault="00DC2154" w:rsidP="00DC2154">
      <w:pPr>
        <w:spacing w:after="120"/>
        <w:ind w:left="567"/>
        <w:jc w:val="both"/>
        <w:rPr>
          <w:rFonts w:ascii="Arial" w:hAnsi="Arial" w:cs="Arial"/>
        </w:rPr>
      </w:pPr>
      <w:r w:rsidRPr="00BA6D5D">
        <w:rPr>
          <w:rFonts w:ascii="Arial" w:hAnsi="Arial" w:cs="Arial"/>
          <w:b/>
        </w:rPr>
        <w:t>Output 2: Higher quality human resources training including</w:t>
      </w:r>
      <w:r w:rsidRPr="00BA6D5D">
        <w:rPr>
          <w:rFonts w:ascii="Arial" w:hAnsi="Arial" w:cs="Arial"/>
        </w:rPr>
        <w:t>: (i) A master plan for developing the training network; (ii) Improved capacity o</w:t>
      </w:r>
      <w:r w:rsidR="00FE44AB" w:rsidRPr="00BA6D5D">
        <w:rPr>
          <w:rFonts w:ascii="Arial" w:hAnsi="Arial" w:cs="Arial"/>
        </w:rPr>
        <w:t>f teaching institutions; (iii) A</w:t>
      </w:r>
      <w:r w:rsidRPr="00BA6D5D">
        <w:rPr>
          <w:rFonts w:ascii="Arial" w:hAnsi="Arial" w:cs="Arial"/>
        </w:rPr>
        <w:t>ccreditation and other mechanisms for quality assurance; (iv) Rotation of medical specialists to lower-level hospitals; (iv) Increasing access to training and education for ethnic minorities and women; (v) Support for rural and remote health workers.</w:t>
      </w:r>
    </w:p>
    <w:p w:rsidR="00DC2154" w:rsidRPr="00BA6D5D" w:rsidRDefault="00DC2154" w:rsidP="00DC2154">
      <w:pPr>
        <w:spacing w:after="120"/>
        <w:ind w:left="567"/>
        <w:jc w:val="both"/>
        <w:rPr>
          <w:rFonts w:ascii="Arial" w:hAnsi="Arial" w:cs="Arial"/>
        </w:rPr>
      </w:pPr>
      <w:r w:rsidRPr="00BA6D5D">
        <w:rPr>
          <w:rFonts w:ascii="Arial" w:hAnsi="Arial" w:cs="Arial"/>
          <w:b/>
        </w:rPr>
        <w:t>Output 3: Improved management systems in health service delivery</w:t>
      </w:r>
      <w:r w:rsidRPr="00777CBC">
        <w:rPr>
          <w:rFonts w:ascii="Arial" w:hAnsi="Arial" w:cs="Arial"/>
          <w:b/>
        </w:rPr>
        <w:t xml:space="preserve"> including</w:t>
      </w:r>
      <w:r w:rsidRPr="00BA6D5D">
        <w:rPr>
          <w:rFonts w:ascii="Arial" w:hAnsi="Arial" w:cs="Arial"/>
        </w:rPr>
        <w:t xml:space="preserve">: (i) Increased government spending on health; (ii) Piloting clinical care pathways; (iii) Testing case-based funding mechanisms for more efficient hospital financing. </w:t>
      </w:r>
    </w:p>
    <w:p w:rsidR="00DC2154" w:rsidRPr="00BA6D5D" w:rsidRDefault="00DC2154" w:rsidP="00DC2154">
      <w:pPr>
        <w:jc w:val="both"/>
        <w:rPr>
          <w:rFonts w:ascii="Arial" w:hAnsi="Arial" w:cs="Arial"/>
        </w:rPr>
      </w:pPr>
      <w:r w:rsidRPr="00BA6D5D">
        <w:rPr>
          <w:rFonts w:ascii="Arial" w:hAnsi="Arial" w:cs="Arial"/>
        </w:rPr>
        <w:t>The Program design structure and performance targets are detailed in the Design and Monitoring Framework (DMF) in Appendix 2, Table 2.1.</w:t>
      </w:r>
    </w:p>
    <w:p w:rsidR="00DC2154" w:rsidRPr="00BA6D5D" w:rsidRDefault="00DC2154" w:rsidP="00DC2154">
      <w:pPr>
        <w:jc w:val="both"/>
        <w:rPr>
          <w:rFonts w:ascii="Arial" w:hAnsi="Arial" w:cs="Arial"/>
        </w:rPr>
      </w:pPr>
    </w:p>
    <w:p w:rsidR="0086235F" w:rsidRDefault="00DC2154">
      <w:pPr>
        <w:jc w:val="both"/>
        <w:rPr>
          <w:rFonts w:ascii="Arial" w:hAnsi="Arial" w:cs="Arial"/>
        </w:rPr>
      </w:pPr>
      <w:r w:rsidRPr="00BA6D5D">
        <w:rPr>
          <w:rFonts w:ascii="Arial" w:hAnsi="Arial" w:cs="Arial"/>
        </w:rPr>
        <w:fldChar w:fldCharType="begin"/>
      </w:r>
      <w:r w:rsidRPr="00BA6D5D">
        <w:rPr>
          <w:rFonts w:ascii="Arial" w:hAnsi="Arial" w:cs="Arial"/>
        </w:rPr>
        <w:instrText>AUTONUMLGL</w:instrText>
      </w:r>
      <w:r w:rsidRPr="00BA6D5D">
        <w:rPr>
          <w:rFonts w:ascii="Arial" w:hAnsi="Arial" w:cs="Arial"/>
        </w:rPr>
        <w:fldChar w:fldCharType="end"/>
      </w:r>
      <w:r w:rsidRPr="00BA6D5D">
        <w:rPr>
          <w:rFonts w:ascii="Arial" w:hAnsi="Arial" w:cs="Arial"/>
        </w:rPr>
        <w:tab/>
        <w:t xml:space="preserve">The GoA’s investment in the HHRSDP builds on earlier investments under the Developing Better Health Initiative (DBHI). Phase 1 of the DBHI, implemented between 2007 and 2009, </w:t>
      </w:r>
      <w:r w:rsidR="0086235F" w:rsidRPr="00777CBC">
        <w:rPr>
          <w:rFonts w:ascii="Arial" w:hAnsi="Arial" w:cs="Arial"/>
        </w:rPr>
        <w:t xml:space="preserve">focused on small, strategic engagement to strengthen the </w:t>
      </w:r>
      <w:r w:rsidRPr="00BA6D5D">
        <w:rPr>
          <w:rFonts w:ascii="Arial" w:hAnsi="Arial" w:cs="Arial"/>
        </w:rPr>
        <w:t xml:space="preserve">GoV’s capacity to coordinate the health sector, regulate the health workforce and reform health financing. </w:t>
      </w:r>
      <w:r w:rsidR="00B71E97">
        <w:rPr>
          <w:rFonts w:ascii="Arial" w:hAnsi="Arial" w:cs="Arial"/>
        </w:rPr>
        <w:t xml:space="preserve">Phase 2 of the Initiative includes funding for the </w:t>
      </w:r>
      <w:r w:rsidR="00520171">
        <w:rPr>
          <w:rFonts w:ascii="Arial" w:hAnsi="Arial" w:cs="Arial"/>
        </w:rPr>
        <w:t>HHRSDP</w:t>
      </w:r>
      <w:r w:rsidR="00B71E97">
        <w:rPr>
          <w:rFonts w:ascii="Arial" w:hAnsi="Arial" w:cs="Arial"/>
        </w:rPr>
        <w:t>.</w:t>
      </w:r>
    </w:p>
    <w:p w:rsidR="00DC2154" w:rsidRPr="00BA6D5D" w:rsidRDefault="00DC2154" w:rsidP="00DC2154">
      <w:pPr>
        <w:jc w:val="both"/>
        <w:rPr>
          <w:rFonts w:ascii="Arial" w:hAnsi="Arial" w:cs="Arial"/>
        </w:rPr>
      </w:pPr>
    </w:p>
    <w:p w:rsidR="00DC2154" w:rsidRPr="00BA6D5D" w:rsidRDefault="00DC2154" w:rsidP="00DC2154">
      <w:pPr>
        <w:jc w:val="both"/>
        <w:rPr>
          <w:rFonts w:ascii="Arial" w:hAnsi="Arial" w:cs="Arial"/>
        </w:rPr>
      </w:pPr>
      <w:r w:rsidRPr="00BA6D5D">
        <w:rPr>
          <w:rFonts w:ascii="Arial" w:hAnsi="Arial" w:cs="Arial"/>
        </w:rPr>
        <w:fldChar w:fldCharType="begin"/>
      </w:r>
      <w:r w:rsidRPr="00BA6D5D">
        <w:rPr>
          <w:rFonts w:ascii="Arial" w:hAnsi="Arial" w:cs="Arial"/>
        </w:rPr>
        <w:instrText>AUTONUMLGL</w:instrText>
      </w:r>
      <w:r w:rsidRPr="00BA6D5D">
        <w:rPr>
          <w:rFonts w:ascii="Arial" w:hAnsi="Arial" w:cs="Arial"/>
        </w:rPr>
        <w:fldChar w:fldCharType="end"/>
      </w:r>
      <w:r w:rsidR="004C1140" w:rsidRPr="00BA6D5D">
        <w:rPr>
          <w:rFonts w:ascii="Arial" w:hAnsi="Arial" w:cs="Arial"/>
        </w:rPr>
        <w:tab/>
      </w:r>
      <w:r w:rsidRPr="00BA6D5D">
        <w:rPr>
          <w:rFonts w:ascii="Arial" w:hAnsi="Arial" w:cs="Arial"/>
        </w:rPr>
        <w:t xml:space="preserve">The project loan and grant became effective on 6 January 2011. The physical completion date </w:t>
      </w:r>
      <w:r w:rsidR="0086235F">
        <w:rPr>
          <w:rFonts w:ascii="Arial" w:hAnsi="Arial" w:cs="Arial"/>
        </w:rPr>
        <w:t xml:space="preserve">for </w:t>
      </w:r>
      <w:r w:rsidR="00A50C99">
        <w:rPr>
          <w:rFonts w:ascii="Arial" w:hAnsi="Arial" w:cs="Arial"/>
        </w:rPr>
        <w:t>the HHRSDP</w:t>
      </w:r>
      <w:r w:rsidR="0086235F">
        <w:rPr>
          <w:rFonts w:ascii="Arial" w:hAnsi="Arial" w:cs="Arial"/>
        </w:rPr>
        <w:t xml:space="preserve"> is 31 December 2015. The l</w:t>
      </w:r>
      <w:r w:rsidRPr="00BA6D5D">
        <w:rPr>
          <w:rFonts w:ascii="Arial" w:hAnsi="Arial" w:cs="Arial"/>
        </w:rPr>
        <w:t>oan</w:t>
      </w:r>
      <w:r w:rsidR="0086235F">
        <w:rPr>
          <w:rFonts w:ascii="Arial" w:hAnsi="Arial" w:cs="Arial"/>
        </w:rPr>
        <w:t xml:space="preserve"> and </w:t>
      </w:r>
      <w:r w:rsidRPr="00BA6D5D">
        <w:rPr>
          <w:rFonts w:ascii="Arial" w:hAnsi="Arial" w:cs="Arial"/>
        </w:rPr>
        <w:t>grant closing date</w:t>
      </w:r>
      <w:r w:rsidR="00520171">
        <w:rPr>
          <w:rFonts w:ascii="Arial" w:hAnsi="Arial" w:cs="Arial"/>
        </w:rPr>
        <w:t xml:space="preserve"> is </w:t>
      </w:r>
      <w:r w:rsidR="00520171" w:rsidRPr="00BA6D5D">
        <w:rPr>
          <w:rFonts w:ascii="Arial" w:hAnsi="Arial" w:cs="Arial"/>
        </w:rPr>
        <w:t>30 June 2016</w:t>
      </w:r>
      <w:r w:rsidRPr="00BA6D5D">
        <w:rPr>
          <w:rFonts w:ascii="Arial" w:hAnsi="Arial" w:cs="Arial"/>
        </w:rPr>
        <w:t>, as specified in the Loan and Grant Agreements between ADB and the GoV</w:t>
      </w:r>
      <w:r w:rsidR="00520171">
        <w:rPr>
          <w:rFonts w:ascii="Arial" w:hAnsi="Arial" w:cs="Arial"/>
        </w:rPr>
        <w:t xml:space="preserve">. </w:t>
      </w:r>
      <w:r w:rsidR="008319D4" w:rsidRPr="00BA6D5D">
        <w:rPr>
          <w:rFonts w:ascii="Arial" w:hAnsi="Arial" w:cs="Arial"/>
        </w:rPr>
        <w:t>The GoA</w:t>
      </w:r>
      <w:r w:rsidR="008319D4">
        <w:rPr>
          <w:rFonts w:ascii="Arial" w:hAnsi="Arial" w:cs="Arial"/>
        </w:rPr>
        <w:t>’s</w:t>
      </w:r>
      <w:r w:rsidR="008319D4" w:rsidRPr="00BA6D5D">
        <w:rPr>
          <w:rFonts w:ascii="Arial" w:hAnsi="Arial" w:cs="Arial"/>
        </w:rPr>
        <w:t xml:space="preserve"> grant </w:t>
      </w:r>
      <w:r w:rsidR="008319D4">
        <w:rPr>
          <w:rFonts w:ascii="Arial" w:hAnsi="Arial" w:cs="Arial"/>
        </w:rPr>
        <w:t>investment in the HHRSDP</w:t>
      </w:r>
      <w:r w:rsidR="008319D4" w:rsidRPr="00BA6D5D">
        <w:rPr>
          <w:rFonts w:ascii="Arial" w:hAnsi="Arial" w:cs="Arial"/>
        </w:rPr>
        <w:t xml:space="preserve"> is delivered through </w:t>
      </w:r>
      <w:r w:rsidR="008319D4">
        <w:rPr>
          <w:rFonts w:ascii="Arial" w:hAnsi="Arial" w:cs="Arial"/>
        </w:rPr>
        <w:t>a Co-financing Agreement with</w:t>
      </w:r>
      <w:r w:rsidR="008319D4" w:rsidRPr="00BA6D5D">
        <w:rPr>
          <w:rFonts w:ascii="Arial" w:hAnsi="Arial" w:cs="Arial"/>
        </w:rPr>
        <w:t xml:space="preserve"> ADB</w:t>
      </w:r>
      <w:r w:rsidR="001E4770">
        <w:rPr>
          <w:rFonts w:ascii="Arial" w:hAnsi="Arial" w:cs="Arial"/>
        </w:rPr>
        <w:t xml:space="preserve"> that</w:t>
      </w:r>
      <w:r w:rsidR="008319D4">
        <w:rPr>
          <w:rFonts w:ascii="Arial" w:hAnsi="Arial" w:cs="Arial"/>
        </w:rPr>
        <w:t xml:space="preserve"> terminates on</w:t>
      </w:r>
      <w:r w:rsidRPr="00BA6D5D">
        <w:rPr>
          <w:rFonts w:ascii="Arial" w:hAnsi="Arial" w:cs="Arial"/>
          <w:color w:val="000000"/>
        </w:rPr>
        <w:t xml:space="preserve"> </w:t>
      </w:r>
      <w:r w:rsidR="004C1140" w:rsidRPr="00BA6D5D">
        <w:rPr>
          <w:rFonts w:ascii="Arial" w:hAnsi="Arial" w:cs="Arial"/>
          <w:color w:val="000000"/>
        </w:rPr>
        <w:t xml:space="preserve">01 </w:t>
      </w:r>
      <w:r w:rsidR="004C1140" w:rsidRPr="00BA6D5D">
        <w:rPr>
          <w:rFonts w:ascii="Arial" w:hAnsi="Arial" w:cs="Arial"/>
        </w:rPr>
        <w:t>July</w:t>
      </w:r>
      <w:r w:rsidRPr="00BA6D5D">
        <w:rPr>
          <w:rFonts w:ascii="Arial" w:hAnsi="Arial" w:cs="Arial"/>
        </w:rPr>
        <w:t xml:space="preserve"> 2015.  </w:t>
      </w:r>
      <w:r w:rsidRPr="00BA6D5D">
        <w:rPr>
          <w:rFonts w:ascii="Arial" w:hAnsi="Arial" w:cs="Arial"/>
          <w:color w:val="000000"/>
        </w:rPr>
        <w:t>The reason for the discre</w:t>
      </w:r>
      <w:r w:rsidR="004C1140" w:rsidRPr="00BA6D5D">
        <w:rPr>
          <w:rFonts w:ascii="Arial" w:hAnsi="Arial" w:cs="Arial"/>
          <w:color w:val="000000"/>
        </w:rPr>
        <w:t xml:space="preserve">pancy in the closing dates of the Grant Agreement and Co-financing Agreement </w:t>
      </w:r>
      <w:r w:rsidRPr="00BA6D5D">
        <w:rPr>
          <w:rFonts w:ascii="Arial" w:hAnsi="Arial" w:cs="Arial"/>
          <w:color w:val="000000"/>
        </w:rPr>
        <w:t>was not apparent to the ICE team.</w:t>
      </w:r>
    </w:p>
    <w:p w:rsidR="00FA2C9A" w:rsidRPr="00BA6D5D" w:rsidRDefault="00FA2C9A" w:rsidP="00151AC6">
      <w:pPr>
        <w:jc w:val="both"/>
        <w:rPr>
          <w:rFonts w:ascii="Arial" w:hAnsi="Arial" w:cs="Arial"/>
        </w:rPr>
      </w:pPr>
    </w:p>
    <w:p w:rsidR="00FA2C9A" w:rsidRPr="00BA6D5D" w:rsidRDefault="00FA2C9A" w:rsidP="00151AC6">
      <w:pPr>
        <w:jc w:val="both"/>
        <w:rPr>
          <w:rFonts w:ascii="Arial" w:hAnsi="Arial" w:cs="Arial"/>
        </w:rPr>
      </w:pPr>
    </w:p>
    <w:p w:rsidR="005557FE" w:rsidRPr="00BA6D5D" w:rsidRDefault="005557FE" w:rsidP="00151AC6">
      <w:pPr>
        <w:jc w:val="both"/>
        <w:rPr>
          <w:rFonts w:ascii="Arial" w:hAnsi="Arial" w:cs="Arial"/>
        </w:rPr>
      </w:pPr>
    </w:p>
    <w:p w:rsidR="0098315D" w:rsidRPr="00BA6D5D" w:rsidRDefault="0098315D" w:rsidP="00D90140">
      <w:pPr>
        <w:pStyle w:val="Heading2"/>
        <w:spacing w:after="120"/>
        <w:rPr>
          <w:bCs w:val="0"/>
          <w:i w:val="0"/>
          <w:iCs w:val="0"/>
          <w:color w:val="000000"/>
          <w:sz w:val="22"/>
          <w:szCs w:val="20"/>
          <w:lang w:eastAsia="en-US"/>
        </w:rPr>
      </w:pPr>
      <w:bookmarkStart w:id="16" w:name="_Toc422301191"/>
      <w:bookmarkStart w:id="17" w:name="_Toc423359310"/>
      <w:r w:rsidRPr="00BA6D5D">
        <w:rPr>
          <w:bCs w:val="0"/>
          <w:i w:val="0"/>
          <w:iCs w:val="0"/>
          <w:color w:val="000000"/>
          <w:sz w:val="22"/>
          <w:szCs w:val="20"/>
          <w:lang w:eastAsia="en-US"/>
        </w:rPr>
        <w:t>Evaluation Objectives and Questions</w:t>
      </w:r>
      <w:bookmarkEnd w:id="16"/>
      <w:bookmarkEnd w:id="17"/>
    </w:p>
    <w:p w:rsidR="003D7AB8" w:rsidRPr="00BA6D5D" w:rsidRDefault="0098315D" w:rsidP="00151AC6">
      <w:pPr>
        <w:pStyle w:val="BodyText"/>
        <w:jc w:val="both"/>
        <w:rPr>
          <w:rFonts w:ascii="Arial" w:hAnsi="Arial" w:cs="Arial"/>
          <w:sz w:val="20"/>
          <w:szCs w:val="20"/>
        </w:rPr>
      </w:pPr>
      <w:r w:rsidRPr="00BA6D5D">
        <w:rPr>
          <w:rFonts w:ascii="Arial" w:hAnsi="Arial" w:cs="Arial"/>
          <w:sz w:val="20"/>
          <w:szCs w:val="20"/>
        </w:rPr>
        <w:fldChar w:fldCharType="begin"/>
      </w:r>
      <w:r w:rsidRPr="00BA6D5D">
        <w:rPr>
          <w:rFonts w:ascii="Arial" w:hAnsi="Arial" w:cs="Arial"/>
          <w:sz w:val="20"/>
          <w:szCs w:val="20"/>
        </w:rPr>
        <w:instrText>AUTONUMLGL</w:instrText>
      </w:r>
      <w:r w:rsidRPr="00BA6D5D">
        <w:rPr>
          <w:rFonts w:ascii="Arial" w:hAnsi="Arial" w:cs="Arial"/>
          <w:sz w:val="20"/>
          <w:szCs w:val="20"/>
        </w:rPr>
        <w:fldChar w:fldCharType="end"/>
      </w:r>
      <w:r w:rsidRPr="00BA6D5D">
        <w:rPr>
          <w:rFonts w:ascii="Arial" w:hAnsi="Arial" w:cs="Arial"/>
          <w:sz w:val="20"/>
          <w:szCs w:val="20"/>
        </w:rPr>
        <w:tab/>
      </w:r>
      <w:r w:rsidR="003D7AB8" w:rsidRPr="00BA6D5D">
        <w:rPr>
          <w:rFonts w:ascii="Arial" w:hAnsi="Arial" w:cs="Arial"/>
          <w:sz w:val="20"/>
          <w:szCs w:val="20"/>
        </w:rPr>
        <w:t>The</w:t>
      </w:r>
      <w:r w:rsidR="006D512E" w:rsidRPr="00BA6D5D">
        <w:rPr>
          <w:rFonts w:ascii="Arial" w:hAnsi="Arial" w:cs="Arial"/>
          <w:sz w:val="20"/>
          <w:szCs w:val="20"/>
        </w:rPr>
        <w:t xml:space="preserve"> Independent Completion Evaluation (ICE</w:t>
      </w:r>
      <w:r w:rsidR="003D7AB8" w:rsidRPr="00BA6D5D">
        <w:rPr>
          <w:rFonts w:ascii="Arial" w:hAnsi="Arial" w:cs="Arial"/>
          <w:sz w:val="20"/>
          <w:szCs w:val="20"/>
        </w:rPr>
        <w:t>) of the HHSRDP is intended to</w:t>
      </w:r>
      <w:r w:rsidR="00597DB3" w:rsidRPr="00BA6D5D">
        <w:rPr>
          <w:rFonts w:ascii="Arial" w:hAnsi="Arial" w:cs="Arial"/>
          <w:sz w:val="20"/>
          <w:szCs w:val="20"/>
        </w:rPr>
        <w:t xml:space="preserve"> provide an</w:t>
      </w:r>
      <w:r w:rsidR="008827A4" w:rsidRPr="00BA6D5D">
        <w:rPr>
          <w:rFonts w:ascii="Arial" w:hAnsi="Arial" w:cs="Arial"/>
          <w:sz w:val="20"/>
          <w:szCs w:val="20"/>
        </w:rPr>
        <w:t xml:space="preserve"> assessment of the P</w:t>
      </w:r>
      <w:r w:rsidR="003D7AB8" w:rsidRPr="00BA6D5D">
        <w:rPr>
          <w:rFonts w:ascii="Arial" w:hAnsi="Arial" w:cs="Arial"/>
          <w:sz w:val="20"/>
          <w:szCs w:val="20"/>
        </w:rPr>
        <w:t>rogram</w:t>
      </w:r>
      <w:r w:rsidR="008827A4" w:rsidRPr="00BA6D5D">
        <w:rPr>
          <w:rFonts w:ascii="Arial" w:hAnsi="Arial" w:cs="Arial"/>
          <w:sz w:val="20"/>
          <w:szCs w:val="20"/>
        </w:rPr>
        <w:t>’</w:t>
      </w:r>
      <w:r w:rsidR="003D7AB8" w:rsidRPr="00BA6D5D">
        <w:rPr>
          <w:rFonts w:ascii="Arial" w:hAnsi="Arial" w:cs="Arial"/>
          <w:sz w:val="20"/>
          <w:szCs w:val="20"/>
        </w:rPr>
        <w:t>s per</w:t>
      </w:r>
      <w:r w:rsidR="006A6C06" w:rsidRPr="00BA6D5D">
        <w:rPr>
          <w:rFonts w:ascii="Arial" w:hAnsi="Arial" w:cs="Arial"/>
          <w:sz w:val="20"/>
          <w:szCs w:val="20"/>
        </w:rPr>
        <w:t xml:space="preserve">formance against the following </w:t>
      </w:r>
      <w:r w:rsidR="00597DB3" w:rsidRPr="00BA6D5D">
        <w:rPr>
          <w:rFonts w:ascii="Arial" w:hAnsi="Arial" w:cs="Arial"/>
          <w:sz w:val="20"/>
          <w:szCs w:val="20"/>
        </w:rPr>
        <w:t xml:space="preserve">OECD-DAC and GoA </w:t>
      </w:r>
      <w:r w:rsidR="003D7AB8" w:rsidRPr="00BA6D5D">
        <w:rPr>
          <w:rFonts w:ascii="Arial" w:hAnsi="Arial" w:cs="Arial"/>
          <w:sz w:val="20"/>
          <w:szCs w:val="20"/>
        </w:rPr>
        <w:t>evaluation criteria:</w:t>
      </w:r>
    </w:p>
    <w:p w:rsidR="003D7AB8" w:rsidRPr="00BA6D5D" w:rsidRDefault="003D7AB8" w:rsidP="00CA718F">
      <w:pPr>
        <w:pStyle w:val="BodyText"/>
        <w:numPr>
          <w:ilvl w:val="0"/>
          <w:numId w:val="6"/>
        </w:numPr>
        <w:jc w:val="both"/>
        <w:rPr>
          <w:rFonts w:ascii="Arial" w:hAnsi="Arial" w:cs="Arial"/>
          <w:sz w:val="20"/>
          <w:szCs w:val="20"/>
        </w:rPr>
      </w:pPr>
      <w:r w:rsidRPr="00BA6D5D">
        <w:rPr>
          <w:rFonts w:ascii="Arial" w:hAnsi="Arial" w:cs="Arial"/>
          <w:sz w:val="20"/>
          <w:szCs w:val="20"/>
        </w:rPr>
        <w:t>Rel</w:t>
      </w:r>
      <w:r w:rsidR="006A6C06" w:rsidRPr="00BA6D5D">
        <w:rPr>
          <w:rFonts w:ascii="Arial" w:hAnsi="Arial" w:cs="Arial"/>
          <w:sz w:val="20"/>
          <w:szCs w:val="20"/>
        </w:rPr>
        <w:t xml:space="preserve">evance - </w:t>
      </w:r>
      <w:r w:rsidRPr="00BA6D5D">
        <w:rPr>
          <w:rFonts w:ascii="Arial" w:hAnsi="Arial" w:cs="Arial"/>
          <w:sz w:val="20"/>
          <w:szCs w:val="20"/>
        </w:rPr>
        <w:t>is this still the right thing to do?</w:t>
      </w:r>
    </w:p>
    <w:p w:rsidR="003D7AB8" w:rsidRPr="00BA6D5D" w:rsidRDefault="006A6C06" w:rsidP="00CA718F">
      <w:pPr>
        <w:pStyle w:val="BodyText"/>
        <w:numPr>
          <w:ilvl w:val="0"/>
          <w:numId w:val="6"/>
        </w:numPr>
        <w:jc w:val="both"/>
        <w:rPr>
          <w:rFonts w:ascii="Arial" w:hAnsi="Arial" w:cs="Arial"/>
          <w:sz w:val="20"/>
          <w:szCs w:val="20"/>
        </w:rPr>
      </w:pPr>
      <w:r w:rsidRPr="00BA6D5D">
        <w:rPr>
          <w:rFonts w:ascii="Arial" w:hAnsi="Arial" w:cs="Arial"/>
          <w:sz w:val="20"/>
          <w:szCs w:val="20"/>
        </w:rPr>
        <w:t xml:space="preserve">Effectiveness - </w:t>
      </w:r>
      <w:r w:rsidR="003D7AB8" w:rsidRPr="00BA6D5D">
        <w:rPr>
          <w:rFonts w:ascii="Arial" w:hAnsi="Arial" w:cs="Arial"/>
          <w:sz w:val="20"/>
          <w:szCs w:val="20"/>
        </w:rPr>
        <w:t>are we making the progress we e</w:t>
      </w:r>
      <w:r w:rsidRPr="00BA6D5D">
        <w:rPr>
          <w:rFonts w:ascii="Arial" w:hAnsi="Arial" w:cs="Arial"/>
          <w:sz w:val="20"/>
          <w:szCs w:val="20"/>
        </w:rPr>
        <w:t>xpected at this point in time?</w:t>
      </w:r>
    </w:p>
    <w:p w:rsidR="003D7AB8" w:rsidRPr="00BA6D5D" w:rsidRDefault="003D7AB8" w:rsidP="00CA718F">
      <w:pPr>
        <w:pStyle w:val="BodyText"/>
        <w:numPr>
          <w:ilvl w:val="0"/>
          <w:numId w:val="6"/>
        </w:numPr>
        <w:jc w:val="both"/>
        <w:rPr>
          <w:rFonts w:ascii="Arial" w:hAnsi="Arial" w:cs="Arial"/>
          <w:sz w:val="20"/>
          <w:szCs w:val="20"/>
        </w:rPr>
      </w:pPr>
      <w:r w:rsidRPr="00BA6D5D">
        <w:rPr>
          <w:rFonts w:ascii="Arial" w:hAnsi="Arial" w:cs="Arial"/>
          <w:sz w:val="20"/>
          <w:szCs w:val="20"/>
        </w:rPr>
        <w:t xml:space="preserve">Efficiency </w:t>
      </w:r>
      <w:r w:rsidR="008827A4" w:rsidRPr="00BA6D5D">
        <w:rPr>
          <w:rFonts w:ascii="Arial" w:hAnsi="Arial" w:cs="Arial"/>
          <w:sz w:val="20"/>
          <w:szCs w:val="20"/>
        </w:rPr>
        <w:t>-</w:t>
      </w:r>
      <w:r w:rsidRPr="00BA6D5D">
        <w:rPr>
          <w:rFonts w:ascii="Arial" w:hAnsi="Arial" w:cs="Arial"/>
          <w:sz w:val="20"/>
          <w:szCs w:val="20"/>
        </w:rPr>
        <w:t xml:space="preserve"> is the investment making appropriate use of Australia’s and ADB’s time and res</w:t>
      </w:r>
      <w:r w:rsidR="006A6C06" w:rsidRPr="00BA6D5D">
        <w:rPr>
          <w:rFonts w:ascii="Arial" w:hAnsi="Arial" w:cs="Arial"/>
          <w:sz w:val="20"/>
          <w:szCs w:val="20"/>
        </w:rPr>
        <w:t>ources to achieve objectives?</w:t>
      </w:r>
    </w:p>
    <w:p w:rsidR="003D7AB8" w:rsidRPr="00BA6D5D" w:rsidRDefault="003D7AB8" w:rsidP="00CA718F">
      <w:pPr>
        <w:pStyle w:val="BodyText"/>
        <w:numPr>
          <w:ilvl w:val="0"/>
          <w:numId w:val="6"/>
        </w:numPr>
        <w:jc w:val="both"/>
        <w:rPr>
          <w:rFonts w:ascii="Arial" w:hAnsi="Arial" w:cs="Arial"/>
          <w:sz w:val="20"/>
          <w:szCs w:val="20"/>
        </w:rPr>
      </w:pPr>
      <w:r w:rsidRPr="00BA6D5D">
        <w:rPr>
          <w:rFonts w:ascii="Arial" w:hAnsi="Arial" w:cs="Arial"/>
          <w:sz w:val="20"/>
          <w:szCs w:val="20"/>
        </w:rPr>
        <w:t xml:space="preserve">Impact </w:t>
      </w:r>
      <w:r w:rsidR="006A6C06" w:rsidRPr="00BA6D5D">
        <w:rPr>
          <w:rFonts w:ascii="Arial" w:hAnsi="Arial" w:cs="Arial"/>
          <w:sz w:val="20"/>
          <w:szCs w:val="20"/>
        </w:rPr>
        <w:t xml:space="preserve">- </w:t>
      </w:r>
      <w:r w:rsidRPr="00BA6D5D">
        <w:rPr>
          <w:rFonts w:ascii="Arial" w:hAnsi="Arial" w:cs="Arial"/>
          <w:sz w:val="20"/>
          <w:szCs w:val="20"/>
        </w:rPr>
        <w:t>what positive and negative changes we</w:t>
      </w:r>
      <w:r w:rsidR="00D563BB">
        <w:rPr>
          <w:rFonts w:ascii="Arial" w:hAnsi="Arial" w:cs="Arial"/>
          <w:sz w:val="20"/>
          <w:szCs w:val="20"/>
        </w:rPr>
        <w:t>re</w:t>
      </w:r>
      <w:r w:rsidRPr="00BA6D5D">
        <w:rPr>
          <w:rFonts w:ascii="Arial" w:hAnsi="Arial" w:cs="Arial"/>
          <w:sz w:val="20"/>
          <w:szCs w:val="20"/>
        </w:rPr>
        <w:t xml:space="preserve"> produce</w:t>
      </w:r>
      <w:r w:rsidR="00D563BB">
        <w:rPr>
          <w:rFonts w:ascii="Arial" w:hAnsi="Arial" w:cs="Arial"/>
          <w:sz w:val="20"/>
          <w:szCs w:val="20"/>
        </w:rPr>
        <w:t>d</w:t>
      </w:r>
      <w:r w:rsidRPr="00BA6D5D">
        <w:rPr>
          <w:rFonts w:ascii="Arial" w:hAnsi="Arial" w:cs="Arial"/>
          <w:sz w:val="20"/>
          <w:szCs w:val="20"/>
        </w:rPr>
        <w:t xml:space="preserve"> by</w:t>
      </w:r>
      <w:r w:rsidR="00D563BB">
        <w:rPr>
          <w:rFonts w:ascii="Arial" w:hAnsi="Arial" w:cs="Arial"/>
          <w:sz w:val="20"/>
          <w:szCs w:val="20"/>
        </w:rPr>
        <w:t xml:space="preserve"> the</w:t>
      </w:r>
      <w:r w:rsidRPr="00BA6D5D">
        <w:rPr>
          <w:rFonts w:ascii="Arial" w:hAnsi="Arial" w:cs="Arial"/>
          <w:sz w:val="20"/>
          <w:szCs w:val="20"/>
        </w:rPr>
        <w:t xml:space="preserve"> initiative, directly or indi</w:t>
      </w:r>
      <w:r w:rsidR="006A6C06" w:rsidRPr="00BA6D5D">
        <w:rPr>
          <w:rFonts w:ascii="Arial" w:hAnsi="Arial" w:cs="Arial"/>
          <w:sz w:val="20"/>
          <w:szCs w:val="20"/>
        </w:rPr>
        <w:t>rectly, intended or unintended?</w:t>
      </w:r>
    </w:p>
    <w:p w:rsidR="003D7AB8" w:rsidRPr="00BA6D5D" w:rsidRDefault="003D7AB8" w:rsidP="00CA718F">
      <w:pPr>
        <w:pStyle w:val="BodyText"/>
        <w:numPr>
          <w:ilvl w:val="0"/>
          <w:numId w:val="6"/>
        </w:numPr>
        <w:jc w:val="both"/>
        <w:rPr>
          <w:rFonts w:ascii="Arial" w:hAnsi="Arial" w:cs="Arial"/>
          <w:sz w:val="20"/>
          <w:szCs w:val="20"/>
        </w:rPr>
      </w:pPr>
      <w:r w:rsidRPr="00BA6D5D">
        <w:rPr>
          <w:rFonts w:ascii="Arial" w:hAnsi="Arial" w:cs="Arial"/>
          <w:sz w:val="20"/>
          <w:szCs w:val="20"/>
        </w:rPr>
        <w:t xml:space="preserve">Sustainability </w:t>
      </w:r>
      <w:r w:rsidR="006A6C06" w:rsidRPr="00BA6D5D">
        <w:rPr>
          <w:rFonts w:ascii="Arial" w:hAnsi="Arial" w:cs="Arial"/>
          <w:sz w:val="20"/>
          <w:szCs w:val="20"/>
        </w:rPr>
        <w:t xml:space="preserve">- </w:t>
      </w:r>
      <w:r w:rsidRPr="00BA6D5D">
        <w:rPr>
          <w:rFonts w:ascii="Arial" w:hAnsi="Arial" w:cs="Arial"/>
          <w:sz w:val="20"/>
          <w:szCs w:val="20"/>
        </w:rPr>
        <w:t>to what extent will benefits endure after Australia’s and A</w:t>
      </w:r>
      <w:r w:rsidR="006A6C06" w:rsidRPr="00BA6D5D">
        <w:rPr>
          <w:rFonts w:ascii="Arial" w:hAnsi="Arial" w:cs="Arial"/>
          <w:sz w:val="20"/>
          <w:szCs w:val="20"/>
        </w:rPr>
        <w:t>BD’s contribution has ceased?</w:t>
      </w:r>
    </w:p>
    <w:p w:rsidR="003D7AB8" w:rsidRPr="00BA6D5D" w:rsidRDefault="003D7AB8" w:rsidP="00CA718F">
      <w:pPr>
        <w:pStyle w:val="BodyText"/>
        <w:numPr>
          <w:ilvl w:val="0"/>
          <w:numId w:val="6"/>
        </w:numPr>
        <w:jc w:val="both"/>
        <w:rPr>
          <w:rFonts w:ascii="Arial" w:hAnsi="Arial" w:cs="Arial"/>
          <w:sz w:val="20"/>
          <w:szCs w:val="20"/>
        </w:rPr>
      </w:pPr>
      <w:r w:rsidRPr="00BA6D5D">
        <w:rPr>
          <w:rFonts w:ascii="Arial" w:hAnsi="Arial" w:cs="Arial"/>
          <w:sz w:val="20"/>
          <w:szCs w:val="20"/>
        </w:rPr>
        <w:t xml:space="preserve">Monitoring and evaluation </w:t>
      </w:r>
      <w:r w:rsidR="006A6C06" w:rsidRPr="00BA6D5D">
        <w:rPr>
          <w:rFonts w:ascii="Arial" w:hAnsi="Arial" w:cs="Arial"/>
          <w:sz w:val="20"/>
          <w:szCs w:val="20"/>
        </w:rPr>
        <w:t xml:space="preserve">- </w:t>
      </w:r>
      <w:r w:rsidR="008827A4" w:rsidRPr="00BA6D5D">
        <w:rPr>
          <w:rFonts w:ascii="Arial" w:hAnsi="Arial" w:cs="Arial"/>
          <w:sz w:val="20"/>
          <w:szCs w:val="20"/>
        </w:rPr>
        <w:t>is the monitoring and e</w:t>
      </w:r>
      <w:r w:rsidRPr="00BA6D5D">
        <w:rPr>
          <w:rFonts w:ascii="Arial" w:hAnsi="Arial" w:cs="Arial"/>
          <w:sz w:val="20"/>
          <w:szCs w:val="20"/>
        </w:rPr>
        <w:t>valuation system being used to effectively measure implementation progress and progress towar</w:t>
      </w:r>
      <w:r w:rsidR="008827A4" w:rsidRPr="00BA6D5D">
        <w:rPr>
          <w:rFonts w:ascii="Arial" w:hAnsi="Arial" w:cs="Arial"/>
          <w:sz w:val="20"/>
          <w:szCs w:val="20"/>
        </w:rPr>
        <w:t>ds meeting expected outcomes?</w:t>
      </w:r>
    </w:p>
    <w:p w:rsidR="003D7AB8" w:rsidRPr="00BA6D5D" w:rsidRDefault="003D7AB8" w:rsidP="00CA718F">
      <w:pPr>
        <w:pStyle w:val="BodyText"/>
        <w:numPr>
          <w:ilvl w:val="0"/>
          <w:numId w:val="6"/>
        </w:numPr>
        <w:jc w:val="both"/>
        <w:rPr>
          <w:rFonts w:ascii="Arial" w:hAnsi="Arial" w:cs="Arial"/>
          <w:sz w:val="20"/>
          <w:szCs w:val="20"/>
        </w:rPr>
      </w:pPr>
      <w:r w:rsidRPr="00BA6D5D">
        <w:rPr>
          <w:rFonts w:ascii="Arial" w:hAnsi="Arial" w:cs="Arial"/>
          <w:sz w:val="20"/>
          <w:szCs w:val="20"/>
        </w:rPr>
        <w:t xml:space="preserve">Gender </w:t>
      </w:r>
      <w:r w:rsidR="006A6C06" w:rsidRPr="00BA6D5D">
        <w:rPr>
          <w:rFonts w:ascii="Arial" w:hAnsi="Arial" w:cs="Arial"/>
          <w:sz w:val="20"/>
          <w:szCs w:val="20"/>
        </w:rPr>
        <w:t xml:space="preserve">- </w:t>
      </w:r>
      <w:r w:rsidRPr="00BA6D5D">
        <w:rPr>
          <w:rFonts w:ascii="Arial" w:hAnsi="Arial" w:cs="Arial"/>
          <w:sz w:val="20"/>
          <w:szCs w:val="20"/>
        </w:rPr>
        <w:t>how do we respond to gender equality co</w:t>
      </w:r>
      <w:r w:rsidR="006A6C06" w:rsidRPr="00BA6D5D">
        <w:rPr>
          <w:rFonts w:ascii="Arial" w:hAnsi="Arial" w:cs="Arial"/>
          <w:sz w:val="20"/>
          <w:szCs w:val="20"/>
        </w:rPr>
        <w:t>ncerns and are we doing it well?</w:t>
      </w:r>
    </w:p>
    <w:p w:rsidR="003D7AB8" w:rsidRPr="00BA6D5D" w:rsidRDefault="003D7AB8" w:rsidP="00CA718F">
      <w:pPr>
        <w:pStyle w:val="BodyText"/>
        <w:numPr>
          <w:ilvl w:val="0"/>
          <w:numId w:val="6"/>
        </w:numPr>
        <w:jc w:val="both"/>
        <w:rPr>
          <w:rFonts w:ascii="Arial" w:hAnsi="Arial" w:cs="Arial"/>
          <w:sz w:val="20"/>
          <w:szCs w:val="20"/>
        </w:rPr>
      </w:pPr>
      <w:r w:rsidRPr="00BA6D5D">
        <w:rPr>
          <w:rFonts w:ascii="Arial" w:hAnsi="Arial" w:cs="Arial"/>
          <w:sz w:val="20"/>
          <w:szCs w:val="20"/>
        </w:rPr>
        <w:t>Analysis and lear</w:t>
      </w:r>
      <w:r w:rsidR="008827A4" w:rsidRPr="00BA6D5D">
        <w:rPr>
          <w:rFonts w:ascii="Arial" w:hAnsi="Arial" w:cs="Arial"/>
          <w:sz w:val="20"/>
          <w:szCs w:val="20"/>
        </w:rPr>
        <w:t>ning - i</w:t>
      </w:r>
      <w:r w:rsidRPr="00BA6D5D">
        <w:rPr>
          <w:rFonts w:ascii="Arial" w:hAnsi="Arial" w:cs="Arial"/>
          <w:sz w:val="20"/>
          <w:szCs w:val="20"/>
        </w:rPr>
        <w:t xml:space="preserve">dentify key lessons learnt from the Program that will inform ADB’s future engagement in the health sector in </w:t>
      </w:r>
      <w:r w:rsidR="0028006A">
        <w:rPr>
          <w:rFonts w:ascii="Arial" w:hAnsi="Arial" w:cs="Arial"/>
          <w:sz w:val="20"/>
          <w:szCs w:val="20"/>
        </w:rPr>
        <w:t>Viet Nam</w:t>
      </w:r>
      <w:r w:rsidRPr="00BA6D5D">
        <w:rPr>
          <w:rFonts w:ascii="Arial" w:hAnsi="Arial" w:cs="Arial"/>
          <w:sz w:val="20"/>
          <w:szCs w:val="20"/>
        </w:rPr>
        <w:t>.</w:t>
      </w:r>
    </w:p>
    <w:p w:rsidR="003D7AB8" w:rsidRPr="00BA6D5D" w:rsidRDefault="003D7AB8" w:rsidP="00151AC6">
      <w:pPr>
        <w:pStyle w:val="BodyText"/>
        <w:jc w:val="both"/>
        <w:rPr>
          <w:rFonts w:ascii="Arial" w:hAnsi="Arial" w:cs="Arial"/>
          <w:sz w:val="20"/>
          <w:szCs w:val="20"/>
        </w:rPr>
      </w:pPr>
    </w:p>
    <w:p w:rsidR="003D7AB8" w:rsidRPr="00BA6D5D" w:rsidRDefault="003D7AB8" w:rsidP="00151AC6">
      <w:pPr>
        <w:pStyle w:val="BodyText"/>
        <w:jc w:val="both"/>
        <w:rPr>
          <w:rFonts w:ascii="Arial" w:hAnsi="Arial" w:cs="Arial"/>
          <w:sz w:val="20"/>
          <w:szCs w:val="20"/>
        </w:rPr>
      </w:pPr>
      <w:r w:rsidRPr="00BA6D5D">
        <w:rPr>
          <w:rFonts w:ascii="Arial" w:hAnsi="Arial" w:cs="Arial"/>
          <w:sz w:val="20"/>
          <w:szCs w:val="20"/>
        </w:rPr>
        <w:fldChar w:fldCharType="begin"/>
      </w:r>
      <w:r w:rsidRPr="00BA6D5D">
        <w:rPr>
          <w:rFonts w:ascii="Arial" w:hAnsi="Arial" w:cs="Arial"/>
          <w:sz w:val="20"/>
          <w:szCs w:val="20"/>
        </w:rPr>
        <w:instrText>AUTONUMLGL</w:instrText>
      </w:r>
      <w:r w:rsidRPr="00BA6D5D">
        <w:rPr>
          <w:rFonts w:ascii="Arial" w:hAnsi="Arial" w:cs="Arial"/>
          <w:sz w:val="20"/>
          <w:szCs w:val="20"/>
        </w:rPr>
        <w:fldChar w:fldCharType="end"/>
      </w:r>
      <w:r w:rsidRPr="00BA6D5D">
        <w:rPr>
          <w:rFonts w:ascii="Arial" w:hAnsi="Arial" w:cs="Arial"/>
          <w:sz w:val="20"/>
          <w:szCs w:val="20"/>
        </w:rPr>
        <w:tab/>
        <w:t>Within the</w:t>
      </w:r>
      <w:r w:rsidR="006A6C06" w:rsidRPr="00BA6D5D">
        <w:rPr>
          <w:rFonts w:ascii="Arial" w:hAnsi="Arial" w:cs="Arial"/>
          <w:sz w:val="20"/>
          <w:szCs w:val="20"/>
        </w:rPr>
        <w:t xml:space="preserve"> framework of </w:t>
      </w:r>
      <w:r w:rsidR="008827A4" w:rsidRPr="00BA6D5D">
        <w:rPr>
          <w:rFonts w:ascii="Arial" w:hAnsi="Arial" w:cs="Arial"/>
          <w:sz w:val="20"/>
          <w:szCs w:val="20"/>
        </w:rPr>
        <w:t xml:space="preserve">the </w:t>
      </w:r>
      <w:r w:rsidR="00597DB3" w:rsidRPr="00BA6D5D">
        <w:rPr>
          <w:rFonts w:ascii="Arial" w:hAnsi="Arial" w:cs="Arial"/>
          <w:sz w:val="20"/>
          <w:szCs w:val="20"/>
        </w:rPr>
        <w:t>above</w:t>
      </w:r>
      <w:r w:rsidR="00510207" w:rsidRPr="00BA6D5D">
        <w:rPr>
          <w:rFonts w:ascii="Arial" w:hAnsi="Arial" w:cs="Arial"/>
          <w:sz w:val="20"/>
          <w:szCs w:val="20"/>
        </w:rPr>
        <w:t>-</w:t>
      </w:r>
      <w:r w:rsidR="00597DB3" w:rsidRPr="00BA6D5D">
        <w:rPr>
          <w:rFonts w:ascii="Arial" w:hAnsi="Arial" w:cs="Arial"/>
          <w:sz w:val="20"/>
          <w:szCs w:val="20"/>
        </w:rPr>
        <w:t xml:space="preserve">mentioned </w:t>
      </w:r>
      <w:r w:rsidR="008827A4" w:rsidRPr="00BA6D5D">
        <w:rPr>
          <w:rFonts w:ascii="Arial" w:hAnsi="Arial" w:cs="Arial"/>
          <w:sz w:val="20"/>
          <w:szCs w:val="20"/>
        </w:rPr>
        <w:t>evaluation criteria the ICE will pay</w:t>
      </w:r>
      <w:r w:rsidRPr="00BA6D5D">
        <w:rPr>
          <w:rFonts w:ascii="Arial" w:hAnsi="Arial" w:cs="Arial"/>
          <w:sz w:val="20"/>
          <w:szCs w:val="20"/>
        </w:rPr>
        <w:t xml:space="preserve"> particular attention to</w:t>
      </w:r>
      <w:r w:rsidR="008827A4" w:rsidRPr="00BA6D5D">
        <w:rPr>
          <w:rFonts w:ascii="Arial" w:hAnsi="Arial" w:cs="Arial"/>
          <w:sz w:val="20"/>
          <w:szCs w:val="20"/>
        </w:rPr>
        <w:t xml:space="preserve"> the following </w:t>
      </w:r>
      <w:r w:rsidR="00597DB3" w:rsidRPr="00BA6D5D">
        <w:rPr>
          <w:rFonts w:ascii="Arial" w:hAnsi="Arial" w:cs="Arial"/>
          <w:sz w:val="20"/>
          <w:szCs w:val="20"/>
        </w:rPr>
        <w:t>topics as</w:t>
      </w:r>
      <w:r w:rsidR="008827A4" w:rsidRPr="00BA6D5D">
        <w:rPr>
          <w:rFonts w:ascii="Arial" w:hAnsi="Arial" w:cs="Arial"/>
          <w:sz w:val="20"/>
          <w:szCs w:val="20"/>
        </w:rPr>
        <w:t xml:space="preserve"> specified in the</w:t>
      </w:r>
      <w:r w:rsidR="00EA1347">
        <w:rPr>
          <w:rFonts w:ascii="Arial" w:hAnsi="Arial" w:cs="Arial"/>
          <w:sz w:val="20"/>
          <w:szCs w:val="20"/>
        </w:rPr>
        <w:t xml:space="preserve"> </w:t>
      </w:r>
      <w:r w:rsidR="00722303">
        <w:rPr>
          <w:rFonts w:ascii="Arial" w:hAnsi="Arial" w:cs="Arial"/>
          <w:sz w:val="20"/>
          <w:szCs w:val="20"/>
        </w:rPr>
        <w:t>t</w:t>
      </w:r>
      <w:r w:rsidR="00EA1347">
        <w:rPr>
          <w:rFonts w:ascii="Arial" w:hAnsi="Arial" w:cs="Arial"/>
          <w:sz w:val="20"/>
          <w:szCs w:val="20"/>
        </w:rPr>
        <w:t>erms of reference</w:t>
      </w:r>
      <w:r w:rsidR="00722303">
        <w:rPr>
          <w:rFonts w:ascii="Arial" w:hAnsi="Arial" w:cs="Arial"/>
          <w:sz w:val="20"/>
          <w:szCs w:val="20"/>
        </w:rPr>
        <w:t xml:space="preserve"> (ToR)</w:t>
      </w:r>
      <w:r w:rsidR="00EA1347">
        <w:rPr>
          <w:rFonts w:ascii="Arial" w:hAnsi="Arial" w:cs="Arial"/>
          <w:sz w:val="20"/>
          <w:szCs w:val="20"/>
        </w:rPr>
        <w:t xml:space="preserve"> for the ICE</w:t>
      </w:r>
      <w:r w:rsidRPr="00BA6D5D">
        <w:rPr>
          <w:rFonts w:ascii="Arial" w:hAnsi="Arial" w:cs="Arial"/>
          <w:sz w:val="20"/>
          <w:szCs w:val="20"/>
        </w:rPr>
        <w:t>:</w:t>
      </w:r>
    </w:p>
    <w:p w:rsidR="003D7AB8" w:rsidRPr="00BA6D5D" w:rsidRDefault="003D7AB8" w:rsidP="00CA718F">
      <w:pPr>
        <w:pStyle w:val="BodyText"/>
        <w:keepNext/>
        <w:numPr>
          <w:ilvl w:val="0"/>
          <w:numId w:val="1"/>
        </w:numPr>
        <w:jc w:val="both"/>
        <w:rPr>
          <w:rFonts w:ascii="Arial" w:hAnsi="Arial" w:cs="Arial"/>
          <w:sz w:val="20"/>
          <w:szCs w:val="20"/>
        </w:rPr>
      </w:pPr>
      <w:r w:rsidRPr="00BA6D5D">
        <w:rPr>
          <w:rFonts w:ascii="Arial" w:hAnsi="Arial" w:cs="Arial"/>
          <w:sz w:val="20"/>
          <w:szCs w:val="20"/>
        </w:rPr>
        <w:t xml:space="preserve">The extent to which the </w:t>
      </w:r>
      <w:r w:rsidR="00597DB3" w:rsidRPr="00BA6D5D">
        <w:rPr>
          <w:rFonts w:ascii="Arial" w:hAnsi="Arial" w:cs="Arial"/>
          <w:sz w:val="20"/>
          <w:szCs w:val="20"/>
        </w:rPr>
        <w:t>Program achieved its objectives.</w:t>
      </w:r>
    </w:p>
    <w:p w:rsidR="003D7AB8" w:rsidRPr="00BA6D5D" w:rsidRDefault="003D7AB8" w:rsidP="00CA718F">
      <w:pPr>
        <w:numPr>
          <w:ilvl w:val="0"/>
          <w:numId w:val="1"/>
        </w:numPr>
        <w:jc w:val="both"/>
        <w:rPr>
          <w:rFonts w:ascii="Arial" w:hAnsi="Arial" w:cs="Arial"/>
        </w:rPr>
      </w:pPr>
      <w:r w:rsidRPr="00BA6D5D">
        <w:rPr>
          <w:rFonts w:ascii="Arial" w:hAnsi="Arial" w:cs="Arial"/>
        </w:rPr>
        <w:t xml:space="preserve">Identify and highlight lessons/achievements that may have wider implications/interest for the </w:t>
      </w:r>
      <w:r w:rsidR="00D563BB">
        <w:rPr>
          <w:rFonts w:ascii="Arial" w:hAnsi="Arial" w:cs="Arial"/>
        </w:rPr>
        <w:t>GoV</w:t>
      </w:r>
      <w:r w:rsidRPr="00BA6D5D">
        <w:rPr>
          <w:rFonts w:ascii="Arial" w:hAnsi="Arial" w:cs="Arial"/>
        </w:rPr>
        <w:t>, A</w:t>
      </w:r>
      <w:r w:rsidR="00597DB3" w:rsidRPr="00BA6D5D">
        <w:rPr>
          <w:rFonts w:ascii="Arial" w:hAnsi="Arial" w:cs="Arial"/>
        </w:rPr>
        <w:t xml:space="preserve">DB or the </w:t>
      </w:r>
      <w:r w:rsidR="000229F1">
        <w:rPr>
          <w:rFonts w:ascii="Arial" w:hAnsi="Arial" w:cs="Arial"/>
        </w:rPr>
        <w:t>GoA.</w:t>
      </w:r>
    </w:p>
    <w:p w:rsidR="003D7AB8" w:rsidRPr="00BA6D5D" w:rsidRDefault="003D7AB8" w:rsidP="00CA718F">
      <w:pPr>
        <w:numPr>
          <w:ilvl w:val="0"/>
          <w:numId w:val="1"/>
        </w:numPr>
        <w:jc w:val="both"/>
        <w:rPr>
          <w:rFonts w:ascii="Arial" w:hAnsi="Arial" w:cs="Arial"/>
        </w:rPr>
      </w:pPr>
      <w:r w:rsidRPr="00BA6D5D">
        <w:rPr>
          <w:rFonts w:ascii="Arial" w:hAnsi="Arial" w:cs="Arial"/>
        </w:rPr>
        <w:t xml:space="preserve">Assess the contribution of the Program </w:t>
      </w:r>
      <w:r w:rsidR="000229F1">
        <w:rPr>
          <w:rFonts w:ascii="Arial" w:hAnsi="Arial" w:cs="Arial"/>
        </w:rPr>
        <w:t>to achieving the</w:t>
      </w:r>
      <w:r w:rsidRPr="00BA6D5D">
        <w:rPr>
          <w:rFonts w:ascii="Arial" w:hAnsi="Arial" w:cs="Arial"/>
        </w:rPr>
        <w:t xml:space="preserve"> objectives </w:t>
      </w:r>
      <w:r w:rsidR="000229F1">
        <w:rPr>
          <w:rFonts w:ascii="Arial" w:hAnsi="Arial" w:cs="Arial"/>
        </w:rPr>
        <w:t>of MoH’s</w:t>
      </w:r>
      <w:r w:rsidRPr="00BA6D5D">
        <w:rPr>
          <w:rFonts w:ascii="Arial" w:hAnsi="Arial" w:cs="Arial"/>
        </w:rPr>
        <w:t xml:space="preserve"> </w:t>
      </w:r>
      <w:r w:rsidR="00597DB3" w:rsidRPr="00BA6D5D">
        <w:rPr>
          <w:rFonts w:ascii="Arial" w:hAnsi="Arial" w:cs="Arial"/>
        </w:rPr>
        <w:t>Health Human Resource Strategy.</w:t>
      </w:r>
    </w:p>
    <w:p w:rsidR="003D7AB8" w:rsidRPr="00BA6D5D" w:rsidRDefault="003D7AB8" w:rsidP="00CA718F">
      <w:pPr>
        <w:pStyle w:val="BodyText"/>
        <w:keepNext/>
        <w:numPr>
          <w:ilvl w:val="0"/>
          <w:numId w:val="1"/>
        </w:numPr>
        <w:jc w:val="both"/>
        <w:rPr>
          <w:rFonts w:ascii="Arial" w:hAnsi="Arial" w:cs="Arial"/>
          <w:sz w:val="20"/>
          <w:szCs w:val="20"/>
        </w:rPr>
      </w:pPr>
      <w:r w:rsidRPr="00BA6D5D">
        <w:rPr>
          <w:rFonts w:ascii="Arial" w:hAnsi="Arial" w:cs="Arial"/>
          <w:sz w:val="20"/>
          <w:szCs w:val="20"/>
        </w:rPr>
        <w:t>The management and technical</w:t>
      </w:r>
      <w:r w:rsidR="008827A4" w:rsidRPr="00BA6D5D">
        <w:rPr>
          <w:rFonts w:ascii="Arial" w:hAnsi="Arial" w:cs="Arial"/>
          <w:sz w:val="20"/>
          <w:szCs w:val="20"/>
        </w:rPr>
        <w:t xml:space="preserve"> quality of in-country:</w:t>
      </w:r>
      <w:r w:rsidR="006A6C06" w:rsidRPr="00BA6D5D">
        <w:rPr>
          <w:rFonts w:ascii="Arial" w:hAnsi="Arial" w:cs="Arial"/>
          <w:sz w:val="20"/>
          <w:szCs w:val="20"/>
        </w:rPr>
        <w:t xml:space="preserve"> </w:t>
      </w:r>
      <w:r w:rsidR="00E93E8D">
        <w:rPr>
          <w:rFonts w:ascii="Arial" w:hAnsi="Arial" w:cs="Arial"/>
          <w:sz w:val="20"/>
          <w:szCs w:val="20"/>
        </w:rPr>
        <w:t>(</w:t>
      </w:r>
      <w:r w:rsidRPr="00BA6D5D">
        <w:rPr>
          <w:rFonts w:ascii="Arial" w:hAnsi="Arial" w:cs="Arial"/>
          <w:sz w:val="20"/>
          <w:szCs w:val="20"/>
        </w:rPr>
        <w:t xml:space="preserve">i) planning and management of </w:t>
      </w:r>
      <w:r w:rsidR="000229F1">
        <w:rPr>
          <w:rFonts w:ascii="Arial" w:hAnsi="Arial" w:cs="Arial"/>
          <w:sz w:val="20"/>
          <w:szCs w:val="20"/>
        </w:rPr>
        <w:t xml:space="preserve">health </w:t>
      </w:r>
      <w:r w:rsidRPr="00BA6D5D">
        <w:rPr>
          <w:rFonts w:ascii="Arial" w:hAnsi="Arial" w:cs="Arial"/>
          <w:sz w:val="20"/>
          <w:szCs w:val="20"/>
        </w:rPr>
        <w:t xml:space="preserve">human resources; (ii) </w:t>
      </w:r>
      <w:r w:rsidR="000229F1">
        <w:rPr>
          <w:rFonts w:ascii="Arial" w:hAnsi="Arial" w:cs="Arial"/>
          <w:sz w:val="20"/>
          <w:szCs w:val="20"/>
        </w:rPr>
        <w:t xml:space="preserve">health </w:t>
      </w:r>
      <w:r w:rsidRPr="00BA6D5D">
        <w:rPr>
          <w:rFonts w:ascii="Arial" w:hAnsi="Arial" w:cs="Arial"/>
          <w:sz w:val="20"/>
          <w:szCs w:val="20"/>
        </w:rPr>
        <w:t>human</w:t>
      </w:r>
      <w:r w:rsidR="00612D1D">
        <w:rPr>
          <w:rFonts w:ascii="Arial" w:hAnsi="Arial" w:cs="Arial"/>
          <w:sz w:val="20"/>
          <w:szCs w:val="20"/>
        </w:rPr>
        <w:t xml:space="preserve"> resources training; (iii) </w:t>
      </w:r>
      <w:r w:rsidRPr="00BA6D5D">
        <w:rPr>
          <w:rFonts w:ascii="Arial" w:hAnsi="Arial" w:cs="Arial"/>
          <w:sz w:val="20"/>
          <w:szCs w:val="20"/>
        </w:rPr>
        <w:t xml:space="preserve">management systems in health service delivery.  </w:t>
      </w:r>
    </w:p>
    <w:p w:rsidR="0098315D" w:rsidRPr="00BA6D5D" w:rsidRDefault="008827A4" w:rsidP="00151AC6">
      <w:pPr>
        <w:pStyle w:val="List-bullet-1"/>
        <w:numPr>
          <w:ilvl w:val="0"/>
          <w:numId w:val="1"/>
        </w:numPr>
        <w:spacing w:before="0"/>
        <w:jc w:val="both"/>
        <w:rPr>
          <w:sz w:val="20"/>
          <w:szCs w:val="20"/>
        </w:rPr>
      </w:pPr>
      <w:r w:rsidRPr="00BA6D5D">
        <w:rPr>
          <w:sz w:val="20"/>
          <w:szCs w:val="20"/>
        </w:rPr>
        <w:t>The effectiveness and long-</w:t>
      </w:r>
      <w:r w:rsidR="003D7AB8" w:rsidRPr="00BA6D5D">
        <w:rPr>
          <w:sz w:val="20"/>
          <w:szCs w:val="20"/>
        </w:rPr>
        <w:t xml:space="preserve">term sustainability, ownership, capacity and resources of the </w:t>
      </w:r>
      <w:r w:rsidRPr="00BA6D5D">
        <w:rPr>
          <w:sz w:val="20"/>
          <w:szCs w:val="20"/>
        </w:rPr>
        <w:t>GoV</w:t>
      </w:r>
      <w:r w:rsidR="003D7AB8" w:rsidRPr="00BA6D5D">
        <w:rPr>
          <w:sz w:val="20"/>
          <w:szCs w:val="20"/>
        </w:rPr>
        <w:t xml:space="preserve"> to maintain the activity outcomes after ADB and Australian Government funding have ceased.</w:t>
      </w:r>
    </w:p>
    <w:p w:rsidR="0098315D" w:rsidRPr="00BA6D5D" w:rsidRDefault="0098315D" w:rsidP="00151AC6">
      <w:pPr>
        <w:jc w:val="both"/>
        <w:rPr>
          <w:rFonts w:ascii="Arial" w:hAnsi="Arial" w:cs="Arial"/>
          <w:lang w:eastAsia="en-US"/>
        </w:rPr>
      </w:pPr>
    </w:p>
    <w:p w:rsidR="0098315D" w:rsidRPr="00BA6D5D" w:rsidRDefault="00DF2BFA" w:rsidP="00D90140">
      <w:pPr>
        <w:pStyle w:val="Heading2"/>
        <w:spacing w:after="120"/>
        <w:rPr>
          <w:bCs w:val="0"/>
          <w:i w:val="0"/>
          <w:iCs w:val="0"/>
          <w:color w:val="000000"/>
          <w:sz w:val="22"/>
          <w:szCs w:val="20"/>
          <w:lang w:eastAsia="en-US"/>
        </w:rPr>
      </w:pPr>
      <w:bookmarkStart w:id="18" w:name="_Toc422301192"/>
      <w:bookmarkStart w:id="19" w:name="_Toc423359311"/>
      <w:r w:rsidRPr="00BA6D5D">
        <w:rPr>
          <w:bCs w:val="0"/>
          <w:i w:val="0"/>
          <w:iCs w:val="0"/>
          <w:color w:val="000000"/>
          <w:sz w:val="22"/>
          <w:szCs w:val="20"/>
          <w:lang w:eastAsia="en-US"/>
        </w:rPr>
        <w:t>Evaluation Team and</w:t>
      </w:r>
      <w:r w:rsidR="00981BB9" w:rsidRPr="00BA6D5D">
        <w:rPr>
          <w:bCs w:val="0"/>
          <w:i w:val="0"/>
          <w:iCs w:val="0"/>
          <w:color w:val="000000"/>
          <w:sz w:val="22"/>
          <w:szCs w:val="20"/>
          <w:lang w:eastAsia="en-US"/>
        </w:rPr>
        <w:t xml:space="preserve"> </w:t>
      </w:r>
      <w:r w:rsidR="0098315D" w:rsidRPr="00BA6D5D">
        <w:rPr>
          <w:bCs w:val="0"/>
          <w:i w:val="0"/>
          <w:iCs w:val="0"/>
          <w:color w:val="000000"/>
          <w:sz w:val="22"/>
          <w:szCs w:val="20"/>
          <w:lang w:eastAsia="en-US"/>
        </w:rPr>
        <w:t>Evaluation Methods</w:t>
      </w:r>
      <w:bookmarkEnd w:id="18"/>
      <w:bookmarkEnd w:id="19"/>
    </w:p>
    <w:p w:rsidR="00DF2BFA" w:rsidRPr="00BA6D5D" w:rsidRDefault="008827A4" w:rsidP="00DF2BFA">
      <w:pPr>
        <w:jc w:val="both"/>
        <w:rPr>
          <w:rFonts w:ascii="Arial" w:hAnsi="Arial" w:cs="Arial"/>
        </w:rPr>
      </w:pPr>
      <w:r w:rsidRPr="00BA6D5D">
        <w:rPr>
          <w:rFonts w:ascii="Arial" w:hAnsi="Arial" w:cs="Arial"/>
        </w:rPr>
        <w:fldChar w:fldCharType="begin"/>
      </w:r>
      <w:r w:rsidRPr="00BA6D5D">
        <w:rPr>
          <w:rFonts w:ascii="Arial" w:hAnsi="Arial" w:cs="Arial"/>
        </w:rPr>
        <w:instrText>AUTONUMLGL</w:instrText>
      </w:r>
      <w:r w:rsidRPr="00BA6D5D">
        <w:rPr>
          <w:rFonts w:ascii="Arial" w:hAnsi="Arial" w:cs="Arial"/>
        </w:rPr>
        <w:fldChar w:fldCharType="end"/>
      </w:r>
      <w:r w:rsidRPr="00BA6D5D">
        <w:rPr>
          <w:rFonts w:ascii="Arial" w:hAnsi="Arial" w:cs="Arial"/>
        </w:rPr>
        <w:tab/>
      </w:r>
      <w:r w:rsidR="00DF2BFA" w:rsidRPr="00BA6D5D">
        <w:rPr>
          <w:rFonts w:ascii="Arial" w:hAnsi="Arial" w:cs="Arial"/>
        </w:rPr>
        <w:t>The evaluation team comprises of Alistair Briscombe, Team Leader/International Specialist and Nguyen Thanh Hai, National Evaluation Specialist. The period for the evaluation is 18 May – 26 June 2015. The evaluation methodology comprised the following stages:</w:t>
      </w:r>
    </w:p>
    <w:p w:rsidR="00DF2BFA" w:rsidRPr="00BA6D5D" w:rsidRDefault="00DF2BFA" w:rsidP="00DF2BFA">
      <w:pPr>
        <w:pStyle w:val="BodyText"/>
        <w:numPr>
          <w:ilvl w:val="0"/>
          <w:numId w:val="20"/>
        </w:numPr>
        <w:jc w:val="both"/>
        <w:rPr>
          <w:rFonts w:ascii="Arial" w:hAnsi="Arial" w:cs="Arial"/>
          <w:sz w:val="20"/>
          <w:szCs w:val="20"/>
        </w:rPr>
      </w:pPr>
      <w:r w:rsidRPr="00BA6D5D">
        <w:rPr>
          <w:rFonts w:ascii="Arial" w:hAnsi="Arial" w:cs="Arial"/>
          <w:sz w:val="20"/>
          <w:szCs w:val="20"/>
        </w:rPr>
        <w:t>Document review including PPTA reports, Program Feasibility Study, Project Administration Manual (PAM)</w:t>
      </w:r>
      <w:r w:rsidR="00D563BB">
        <w:rPr>
          <w:rFonts w:ascii="Arial" w:hAnsi="Arial" w:cs="Arial"/>
          <w:sz w:val="20"/>
          <w:szCs w:val="20"/>
        </w:rPr>
        <w:t xml:space="preserve">, </w:t>
      </w:r>
      <w:r w:rsidRPr="00BA6D5D">
        <w:rPr>
          <w:rFonts w:ascii="Arial" w:hAnsi="Arial" w:cs="Arial"/>
          <w:sz w:val="20"/>
          <w:szCs w:val="20"/>
        </w:rPr>
        <w:t xml:space="preserve">Aide Memoires </w:t>
      </w:r>
      <w:r w:rsidR="00D563BB">
        <w:rPr>
          <w:rFonts w:ascii="Arial" w:hAnsi="Arial" w:cs="Arial"/>
          <w:sz w:val="20"/>
          <w:szCs w:val="20"/>
        </w:rPr>
        <w:t>from all</w:t>
      </w:r>
      <w:r w:rsidR="00BD35CC">
        <w:rPr>
          <w:rFonts w:ascii="Arial" w:hAnsi="Arial" w:cs="Arial"/>
          <w:sz w:val="20"/>
          <w:szCs w:val="20"/>
        </w:rPr>
        <w:t xml:space="preserve"> ADB m</w:t>
      </w:r>
      <w:r w:rsidRPr="00BA6D5D">
        <w:rPr>
          <w:rFonts w:ascii="Arial" w:hAnsi="Arial" w:cs="Arial"/>
          <w:sz w:val="20"/>
          <w:szCs w:val="20"/>
        </w:rPr>
        <w:t xml:space="preserve">issions, reports </w:t>
      </w:r>
      <w:r w:rsidR="00D563BB">
        <w:rPr>
          <w:rFonts w:ascii="Arial" w:hAnsi="Arial" w:cs="Arial"/>
          <w:sz w:val="20"/>
          <w:szCs w:val="20"/>
        </w:rPr>
        <w:t>of the</w:t>
      </w:r>
      <w:r w:rsidRPr="00BA6D5D">
        <w:rPr>
          <w:rFonts w:ascii="Arial" w:hAnsi="Arial" w:cs="Arial"/>
          <w:sz w:val="20"/>
          <w:szCs w:val="20"/>
        </w:rPr>
        <w:t xml:space="preserve"> </w:t>
      </w:r>
      <w:r w:rsidR="00D563BB">
        <w:rPr>
          <w:rFonts w:ascii="Arial" w:hAnsi="Arial" w:cs="Arial"/>
          <w:sz w:val="20"/>
          <w:szCs w:val="20"/>
        </w:rPr>
        <w:t>M</w:t>
      </w:r>
      <w:r w:rsidRPr="00BA6D5D">
        <w:rPr>
          <w:rFonts w:ascii="Arial" w:hAnsi="Arial" w:cs="Arial"/>
          <w:sz w:val="20"/>
          <w:szCs w:val="20"/>
        </w:rPr>
        <w:t xml:space="preserve">onitoring and Evaluation (M&amp;E) Consultants, annual plans and other operational documents of the </w:t>
      </w:r>
      <w:r w:rsidR="00D563BB">
        <w:rPr>
          <w:rFonts w:ascii="Arial" w:hAnsi="Arial" w:cs="Arial"/>
          <w:sz w:val="20"/>
          <w:szCs w:val="20"/>
        </w:rPr>
        <w:t>P</w:t>
      </w:r>
      <w:r w:rsidRPr="00BA6D5D">
        <w:rPr>
          <w:rFonts w:ascii="Arial" w:hAnsi="Arial" w:cs="Arial"/>
          <w:sz w:val="20"/>
          <w:szCs w:val="20"/>
        </w:rPr>
        <w:t>rogram, technical documents of each component, and relevant polices and strategies of the GoV, GoA and ADB.</w:t>
      </w:r>
    </w:p>
    <w:p w:rsidR="00DF2BFA" w:rsidRPr="00BA6D5D" w:rsidRDefault="00DF2BFA" w:rsidP="00DF2BFA">
      <w:pPr>
        <w:pStyle w:val="BodyText"/>
        <w:numPr>
          <w:ilvl w:val="0"/>
          <w:numId w:val="20"/>
        </w:numPr>
        <w:jc w:val="both"/>
        <w:rPr>
          <w:rFonts w:ascii="Arial" w:hAnsi="Arial" w:cs="Arial"/>
          <w:sz w:val="20"/>
          <w:szCs w:val="20"/>
        </w:rPr>
      </w:pPr>
      <w:r w:rsidRPr="00BA6D5D">
        <w:rPr>
          <w:rFonts w:ascii="Arial" w:hAnsi="Arial" w:cs="Arial"/>
          <w:sz w:val="20"/>
          <w:szCs w:val="20"/>
        </w:rPr>
        <w:t xml:space="preserve">Analysis of existing M&amp;E data sets and liaison </w:t>
      </w:r>
      <w:r w:rsidR="00597DB3" w:rsidRPr="00BA6D5D">
        <w:rPr>
          <w:rFonts w:ascii="Arial" w:hAnsi="Arial" w:cs="Arial"/>
          <w:sz w:val="20"/>
          <w:szCs w:val="20"/>
        </w:rPr>
        <w:t xml:space="preserve">with </w:t>
      </w:r>
      <w:r w:rsidRPr="00BA6D5D">
        <w:rPr>
          <w:rFonts w:ascii="Arial" w:hAnsi="Arial" w:cs="Arial"/>
          <w:sz w:val="20"/>
          <w:szCs w:val="20"/>
        </w:rPr>
        <w:t>teams from each component to generat</w:t>
      </w:r>
      <w:r w:rsidR="00597DB3" w:rsidRPr="00BA6D5D">
        <w:rPr>
          <w:rFonts w:ascii="Arial" w:hAnsi="Arial" w:cs="Arial"/>
          <w:sz w:val="20"/>
          <w:szCs w:val="20"/>
        </w:rPr>
        <w:t>e additional data as required (d</w:t>
      </w:r>
      <w:r w:rsidRPr="00BA6D5D">
        <w:rPr>
          <w:rFonts w:ascii="Arial" w:hAnsi="Arial" w:cs="Arial"/>
          <w:sz w:val="20"/>
          <w:szCs w:val="20"/>
        </w:rPr>
        <w:t>ue to the limited time period for the ICE it was not feasible for the I</w:t>
      </w:r>
      <w:r w:rsidR="00597DB3" w:rsidRPr="00BA6D5D">
        <w:rPr>
          <w:rFonts w:ascii="Arial" w:hAnsi="Arial" w:cs="Arial"/>
          <w:sz w:val="20"/>
          <w:szCs w:val="20"/>
        </w:rPr>
        <w:t>CE team to collect detailed primary data).</w:t>
      </w:r>
    </w:p>
    <w:p w:rsidR="00DF2BFA" w:rsidRPr="00BA6D5D" w:rsidRDefault="00F00761" w:rsidP="00DF2BFA">
      <w:pPr>
        <w:pStyle w:val="BodyText"/>
        <w:numPr>
          <w:ilvl w:val="0"/>
          <w:numId w:val="20"/>
        </w:numPr>
        <w:jc w:val="both"/>
        <w:rPr>
          <w:rFonts w:ascii="Arial" w:hAnsi="Arial" w:cs="Arial"/>
          <w:sz w:val="20"/>
          <w:szCs w:val="20"/>
        </w:rPr>
      </w:pPr>
      <w:r>
        <w:rPr>
          <w:rFonts w:ascii="Arial" w:hAnsi="Arial" w:cs="Arial"/>
          <w:sz w:val="20"/>
          <w:szCs w:val="20"/>
        </w:rPr>
        <w:t>C</w:t>
      </w:r>
      <w:r w:rsidR="00DF2BFA" w:rsidRPr="00BA6D5D">
        <w:rPr>
          <w:rFonts w:ascii="Arial" w:hAnsi="Arial" w:cs="Arial"/>
          <w:sz w:val="20"/>
          <w:szCs w:val="20"/>
        </w:rPr>
        <w:t>onsultation</w:t>
      </w:r>
      <w:r>
        <w:rPr>
          <w:rFonts w:ascii="Arial" w:hAnsi="Arial" w:cs="Arial"/>
          <w:sz w:val="20"/>
          <w:szCs w:val="20"/>
        </w:rPr>
        <w:t xml:space="preserve"> with key stakeholders</w:t>
      </w:r>
      <w:r w:rsidR="00DF2BFA" w:rsidRPr="00BA6D5D">
        <w:rPr>
          <w:rFonts w:ascii="Arial" w:hAnsi="Arial" w:cs="Arial"/>
          <w:sz w:val="20"/>
          <w:szCs w:val="20"/>
        </w:rPr>
        <w:t xml:space="preserve"> including: (i) Representatives of ADB and </w:t>
      </w:r>
      <w:r w:rsidR="00831D98" w:rsidRPr="00185E36">
        <w:rPr>
          <w:rFonts w:ascii="Arial" w:hAnsi="Arial" w:cs="Arial"/>
          <w:sz w:val="20"/>
          <w:szCs w:val="20"/>
        </w:rPr>
        <w:t>the Department of Foreign Affairs and Trade</w:t>
      </w:r>
      <w:r w:rsidR="00831D98">
        <w:rPr>
          <w:sz w:val="20"/>
          <w:szCs w:val="20"/>
        </w:rPr>
        <w:t xml:space="preserve"> (</w:t>
      </w:r>
      <w:r w:rsidR="00DF2BFA" w:rsidRPr="00BA6D5D">
        <w:rPr>
          <w:rFonts w:ascii="Arial" w:hAnsi="Arial" w:cs="Arial"/>
          <w:sz w:val="20"/>
          <w:szCs w:val="20"/>
        </w:rPr>
        <w:t>DFAT</w:t>
      </w:r>
      <w:r w:rsidR="00831D98">
        <w:rPr>
          <w:rFonts w:ascii="Arial" w:hAnsi="Arial" w:cs="Arial"/>
          <w:sz w:val="20"/>
          <w:szCs w:val="20"/>
        </w:rPr>
        <w:t>)</w:t>
      </w:r>
      <w:r w:rsidR="00DF2BFA" w:rsidRPr="00BA6D5D">
        <w:rPr>
          <w:rFonts w:ascii="Arial" w:hAnsi="Arial" w:cs="Arial"/>
          <w:sz w:val="20"/>
          <w:szCs w:val="20"/>
        </w:rPr>
        <w:t xml:space="preserve">; (ii) </w:t>
      </w:r>
      <w:r w:rsidR="00597DB3" w:rsidRPr="00BA6D5D">
        <w:rPr>
          <w:rFonts w:ascii="Arial" w:hAnsi="Arial" w:cs="Arial"/>
          <w:sz w:val="20"/>
          <w:szCs w:val="20"/>
        </w:rPr>
        <w:t>M</w:t>
      </w:r>
      <w:r w:rsidR="00DF2BFA" w:rsidRPr="00BA6D5D">
        <w:rPr>
          <w:rFonts w:ascii="Arial" w:hAnsi="Arial" w:cs="Arial"/>
          <w:sz w:val="20"/>
          <w:szCs w:val="20"/>
        </w:rPr>
        <w:t xml:space="preserve">embers of the Project Management Unit </w:t>
      </w:r>
      <w:r w:rsidR="00597DB3" w:rsidRPr="00BA6D5D">
        <w:rPr>
          <w:rFonts w:ascii="Arial" w:hAnsi="Arial" w:cs="Arial"/>
          <w:sz w:val="20"/>
          <w:szCs w:val="20"/>
        </w:rPr>
        <w:t xml:space="preserve">(PMU) </w:t>
      </w:r>
      <w:r w:rsidR="00DF2BFA" w:rsidRPr="00BA6D5D">
        <w:rPr>
          <w:rFonts w:ascii="Arial" w:hAnsi="Arial" w:cs="Arial"/>
          <w:sz w:val="20"/>
          <w:szCs w:val="20"/>
        </w:rPr>
        <w:t>including the Project Director and other managing committee members, PMU staff and consultants; (iii</w:t>
      </w:r>
      <w:r w:rsidR="00597DB3" w:rsidRPr="00BA6D5D">
        <w:rPr>
          <w:rFonts w:ascii="Arial" w:hAnsi="Arial" w:cs="Arial"/>
          <w:sz w:val="20"/>
          <w:szCs w:val="20"/>
        </w:rPr>
        <w:t xml:space="preserve">) </w:t>
      </w:r>
      <w:r w:rsidRPr="00BA6D5D">
        <w:rPr>
          <w:rFonts w:ascii="Arial" w:hAnsi="Arial" w:cs="Arial"/>
          <w:sz w:val="20"/>
          <w:szCs w:val="20"/>
        </w:rPr>
        <w:t>Representatives</w:t>
      </w:r>
      <w:r w:rsidR="00597DB3" w:rsidRPr="00BA6D5D">
        <w:rPr>
          <w:rFonts w:ascii="Arial" w:hAnsi="Arial" w:cs="Arial"/>
          <w:sz w:val="20"/>
          <w:szCs w:val="20"/>
        </w:rPr>
        <w:t xml:space="preserve"> fro</w:t>
      </w:r>
      <w:r w:rsidR="00DF2BFA" w:rsidRPr="00BA6D5D">
        <w:rPr>
          <w:rFonts w:ascii="Arial" w:hAnsi="Arial" w:cs="Arial"/>
          <w:sz w:val="20"/>
          <w:szCs w:val="20"/>
        </w:rPr>
        <w:t>m relevant Departments within the MoH; (iv</w:t>
      </w:r>
      <w:r w:rsidR="00597DB3" w:rsidRPr="00BA6D5D">
        <w:rPr>
          <w:rFonts w:ascii="Arial" w:hAnsi="Arial" w:cs="Arial"/>
          <w:sz w:val="20"/>
          <w:szCs w:val="20"/>
        </w:rPr>
        <w:t xml:space="preserve">) </w:t>
      </w:r>
      <w:r w:rsidRPr="00BA6D5D">
        <w:rPr>
          <w:rFonts w:ascii="Arial" w:hAnsi="Arial" w:cs="Arial"/>
          <w:sz w:val="20"/>
          <w:szCs w:val="20"/>
        </w:rPr>
        <w:t>Representatives</w:t>
      </w:r>
      <w:r w:rsidR="00DF2BFA" w:rsidRPr="00BA6D5D">
        <w:rPr>
          <w:rFonts w:ascii="Arial" w:hAnsi="Arial" w:cs="Arial"/>
          <w:sz w:val="20"/>
          <w:szCs w:val="20"/>
        </w:rPr>
        <w:t xml:space="preserve"> fro</w:t>
      </w:r>
      <w:r w:rsidR="00597DB3" w:rsidRPr="00BA6D5D">
        <w:rPr>
          <w:rFonts w:ascii="Arial" w:hAnsi="Arial" w:cs="Arial"/>
          <w:sz w:val="20"/>
          <w:szCs w:val="20"/>
        </w:rPr>
        <w:t>m Project I</w:t>
      </w:r>
      <w:r w:rsidR="00DF2BFA" w:rsidRPr="00BA6D5D">
        <w:rPr>
          <w:rFonts w:ascii="Arial" w:hAnsi="Arial" w:cs="Arial"/>
          <w:sz w:val="20"/>
          <w:szCs w:val="20"/>
        </w:rPr>
        <w:t>mplementation Units (PIU), Provincial Departments of Health (DoH) and hospitals participating in the care pathways pilot.</w:t>
      </w:r>
    </w:p>
    <w:p w:rsidR="00DF2BFA" w:rsidRPr="00BA6D5D" w:rsidRDefault="00DF2BFA" w:rsidP="00DF2BFA">
      <w:pPr>
        <w:pStyle w:val="BodyText"/>
        <w:numPr>
          <w:ilvl w:val="0"/>
          <w:numId w:val="20"/>
        </w:numPr>
        <w:jc w:val="both"/>
        <w:rPr>
          <w:rFonts w:ascii="Arial" w:hAnsi="Arial" w:cs="Arial"/>
          <w:sz w:val="20"/>
          <w:szCs w:val="20"/>
        </w:rPr>
      </w:pPr>
      <w:r w:rsidRPr="00BA6D5D">
        <w:rPr>
          <w:rFonts w:ascii="Arial" w:hAnsi="Arial" w:cs="Arial"/>
          <w:sz w:val="20"/>
          <w:szCs w:val="20"/>
        </w:rPr>
        <w:t>Site visits to Thai Binh and Hue to verify data collected.</w:t>
      </w:r>
    </w:p>
    <w:p w:rsidR="00DF2BFA" w:rsidRPr="00BA6D5D" w:rsidRDefault="00DF2BFA" w:rsidP="00DF2BFA">
      <w:pPr>
        <w:pStyle w:val="BodyText"/>
        <w:numPr>
          <w:ilvl w:val="0"/>
          <w:numId w:val="20"/>
        </w:numPr>
        <w:jc w:val="both"/>
        <w:rPr>
          <w:rFonts w:ascii="Arial" w:hAnsi="Arial" w:cs="Arial"/>
          <w:sz w:val="20"/>
          <w:szCs w:val="20"/>
        </w:rPr>
      </w:pPr>
      <w:r w:rsidRPr="00BA6D5D">
        <w:rPr>
          <w:rFonts w:ascii="Arial" w:hAnsi="Arial" w:cs="Arial"/>
          <w:sz w:val="20"/>
          <w:szCs w:val="20"/>
        </w:rPr>
        <w:t>Feedback from stakeholders on the draft report prior to completion.</w:t>
      </w:r>
    </w:p>
    <w:p w:rsidR="00DF2BFA" w:rsidRPr="00BA6D5D" w:rsidRDefault="00DF2BFA" w:rsidP="008827A4">
      <w:pPr>
        <w:jc w:val="both"/>
        <w:rPr>
          <w:rFonts w:ascii="Arial" w:hAnsi="Arial" w:cs="Arial"/>
        </w:rPr>
      </w:pPr>
    </w:p>
    <w:p w:rsidR="00DF2BFA" w:rsidRPr="00BA6D5D" w:rsidRDefault="00DF2BFA" w:rsidP="00DF2BFA">
      <w:pPr>
        <w:jc w:val="both"/>
        <w:rPr>
          <w:rFonts w:ascii="Arial" w:hAnsi="Arial" w:cs="Arial"/>
        </w:rPr>
      </w:pPr>
      <w:r w:rsidRPr="00BA6D5D">
        <w:rPr>
          <w:rFonts w:ascii="Arial" w:hAnsi="Arial" w:cs="Arial"/>
        </w:rPr>
        <w:fldChar w:fldCharType="begin"/>
      </w:r>
      <w:r w:rsidRPr="00BA6D5D">
        <w:rPr>
          <w:rFonts w:ascii="Arial" w:hAnsi="Arial" w:cs="Arial"/>
        </w:rPr>
        <w:instrText>AUTONUMLGL</w:instrText>
      </w:r>
      <w:r w:rsidRPr="00BA6D5D">
        <w:rPr>
          <w:rFonts w:ascii="Arial" w:hAnsi="Arial" w:cs="Arial"/>
        </w:rPr>
        <w:fldChar w:fldCharType="end"/>
      </w:r>
      <w:r w:rsidRPr="00BA6D5D">
        <w:rPr>
          <w:rFonts w:ascii="Arial" w:hAnsi="Arial" w:cs="Arial"/>
        </w:rPr>
        <w:tab/>
        <w:t xml:space="preserve">A list of persons met </w:t>
      </w:r>
      <w:r w:rsidR="00597DB3" w:rsidRPr="00BA6D5D">
        <w:rPr>
          <w:rFonts w:ascii="Arial" w:hAnsi="Arial" w:cs="Arial"/>
        </w:rPr>
        <w:t xml:space="preserve">by the ICE team </w:t>
      </w:r>
      <w:r w:rsidRPr="00BA6D5D">
        <w:rPr>
          <w:rFonts w:ascii="Arial" w:hAnsi="Arial" w:cs="Arial"/>
        </w:rPr>
        <w:t>is provided in Appendix 14</w:t>
      </w:r>
      <w:r w:rsidR="00A846C6">
        <w:rPr>
          <w:rFonts w:ascii="Arial" w:hAnsi="Arial" w:cs="Arial"/>
        </w:rPr>
        <w:t>,</w:t>
      </w:r>
      <w:r w:rsidRPr="00BA6D5D">
        <w:rPr>
          <w:rFonts w:ascii="Arial" w:hAnsi="Arial" w:cs="Arial"/>
        </w:rPr>
        <w:t xml:space="preserve"> Table 14.1.</w:t>
      </w:r>
    </w:p>
    <w:p w:rsidR="00AC1FFD" w:rsidRPr="00BA6D5D" w:rsidRDefault="00AC1FFD" w:rsidP="00151AC6">
      <w:pPr>
        <w:jc w:val="both"/>
        <w:rPr>
          <w:rFonts w:ascii="Arial" w:hAnsi="Arial" w:cs="Arial"/>
        </w:rPr>
      </w:pPr>
    </w:p>
    <w:p w:rsidR="00AC1FFD" w:rsidRPr="00BA6D5D" w:rsidRDefault="00AC1FFD" w:rsidP="00D90140">
      <w:pPr>
        <w:pStyle w:val="Heading2"/>
        <w:spacing w:after="120"/>
        <w:rPr>
          <w:bCs w:val="0"/>
          <w:i w:val="0"/>
          <w:iCs w:val="0"/>
          <w:color w:val="000000"/>
          <w:sz w:val="22"/>
          <w:szCs w:val="20"/>
          <w:lang w:eastAsia="en-US"/>
        </w:rPr>
      </w:pPr>
      <w:bookmarkStart w:id="20" w:name="_Toc422301193"/>
      <w:bookmarkStart w:id="21" w:name="_Toc423359312"/>
      <w:r w:rsidRPr="00BA6D5D">
        <w:rPr>
          <w:bCs w:val="0"/>
          <w:i w:val="0"/>
          <w:iCs w:val="0"/>
          <w:color w:val="000000"/>
          <w:sz w:val="22"/>
          <w:szCs w:val="20"/>
          <w:lang w:eastAsia="en-US"/>
        </w:rPr>
        <w:t>Limitations</w:t>
      </w:r>
      <w:bookmarkEnd w:id="20"/>
      <w:r w:rsidR="00DF2BFA" w:rsidRPr="00BA6D5D">
        <w:rPr>
          <w:bCs w:val="0"/>
          <w:i w:val="0"/>
          <w:iCs w:val="0"/>
          <w:color w:val="000000"/>
          <w:sz w:val="22"/>
          <w:szCs w:val="20"/>
          <w:lang w:eastAsia="en-US"/>
        </w:rPr>
        <w:t xml:space="preserve"> to the Evaluation</w:t>
      </w:r>
      <w:bookmarkEnd w:id="21"/>
    </w:p>
    <w:p w:rsidR="00FB1BEE" w:rsidRPr="00BA6D5D" w:rsidRDefault="00DF2BFA" w:rsidP="00151AC6">
      <w:pPr>
        <w:jc w:val="both"/>
        <w:rPr>
          <w:rFonts w:ascii="Arial" w:hAnsi="Arial" w:cs="Arial"/>
        </w:rPr>
      </w:pPr>
      <w:r w:rsidRPr="00BA6D5D">
        <w:rPr>
          <w:rFonts w:ascii="Arial" w:hAnsi="Arial" w:cs="Arial"/>
        </w:rPr>
        <w:fldChar w:fldCharType="begin"/>
      </w:r>
      <w:r w:rsidRPr="00BA6D5D">
        <w:rPr>
          <w:rFonts w:ascii="Arial" w:hAnsi="Arial" w:cs="Arial"/>
        </w:rPr>
        <w:instrText>AUTONUMLGL</w:instrText>
      </w:r>
      <w:r w:rsidRPr="00BA6D5D">
        <w:rPr>
          <w:rFonts w:ascii="Arial" w:hAnsi="Arial" w:cs="Arial"/>
        </w:rPr>
        <w:fldChar w:fldCharType="end"/>
      </w:r>
      <w:r w:rsidRPr="00BA6D5D">
        <w:rPr>
          <w:rFonts w:ascii="Arial" w:hAnsi="Arial" w:cs="Arial"/>
        </w:rPr>
        <w:tab/>
      </w:r>
      <w:r w:rsidR="00597DB3" w:rsidRPr="00BA6D5D">
        <w:rPr>
          <w:rFonts w:ascii="Arial" w:hAnsi="Arial" w:cs="Arial"/>
        </w:rPr>
        <w:t>There are two key limitations to the</w:t>
      </w:r>
      <w:r w:rsidRPr="00BA6D5D">
        <w:rPr>
          <w:rFonts w:ascii="Arial" w:hAnsi="Arial" w:cs="Arial"/>
        </w:rPr>
        <w:t xml:space="preserve"> ICE.</w:t>
      </w:r>
      <w:r w:rsidR="001238D0" w:rsidRPr="00BA6D5D">
        <w:rPr>
          <w:rFonts w:ascii="Arial" w:hAnsi="Arial" w:cs="Arial"/>
        </w:rPr>
        <w:t xml:space="preserve"> </w:t>
      </w:r>
      <w:r w:rsidR="00FB1BEE" w:rsidRPr="00BA6D5D">
        <w:rPr>
          <w:rFonts w:ascii="Arial" w:hAnsi="Arial" w:cs="Arial"/>
        </w:rPr>
        <w:t>The primary limitation stems from the non-alignment of the closing date</w:t>
      </w:r>
      <w:r w:rsidR="00A846C6">
        <w:rPr>
          <w:rFonts w:ascii="Arial" w:hAnsi="Arial" w:cs="Arial"/>
        </w:rPr>
        <w:t xml:space="preserve"> for the Grant Co-financing Agreement</w:t>
      </w:r>
      <w:r w:rsidR="00FB1BEE" w:rsidRPr="00BA6D5D">
        <w:rPr>
          <w:rFonts w:ascii="Arial" w:hAnsi="Arial" w:cs="Arial"/>
        </w:rPr>
        <w:t xml:space="preserve"> (</w:t>
      </w:r>
      <w:r w:rsidR="00D563BB">
        <w:rPr>
          <w:rFonts w:ascii="Arial" w:hAnsi="Arial" w:cs="Arial"/>
        </w:rPr>
        <w:t xml:space="preserve">30 </w:t>
      </w:r>
      <w:r w:rsidR="00FB1BEE" w:rsidRPr="00BA6D5D">
        <w:rPr>
          <w:rFonts w:ascii="Arial" w:hAnsi="Arial" w:cs="Arial"/>
        </w:rPr>
        <w:t xml:space="preserve">June 2015) and </w:t>
      </w:r>
      <w:r w:rsidR="00A846C6">
        <w:rPr>
          <w:rFonts w:ascii="Arial" w:hAnsi="Arial" w:cs="Arial"/>
        </w:rPr>
        <w:t>the Project L</w:t>
      </w:r>
      <w:r w:rsidR="001238D0" w:rsidRPr="00BA6D5D">
        <w:rPr>
          <w:rFonts w:ascii="Arial" w:hAnsi="Arial" w:cs="Arial"/>
        </w:rPr>
        <w:t>oan</w:t>
      </w:r>
      <w:r w:rsidR="00A846C6">
        <w:rPr>
          <w:rFonts w:ascii="Arial" w:hAnsi="Arial" w:cs="Arial"/>
        </w:rPr>
        <w:t xml:space="preserve"> Agreement</w:t>
      </w:r>
      <w:r w:rsidR="00FB1BEE" w:rsidRPr="00BA6D5D">
        <w:rPr>
          <w:rFonts w:ascii="Arial" w:hAnsi="Arial" w:cs="Arial"/>
        </w:rPr>
        <w:t xml:space="preserve"> (30 June 2016). At the time of the ICE </w:t>
      </w:r>
      <w:r w:rsidR="006F429F">
        <w:rPr>
          <w:rFonts w:ascii="Arial" w:hAnsi="Arial" w:cs="Arial"/>
        </w:rPr>
        <w:t xml:space="preserve">the </w:t>
      </w:r>
      <w:r w:rsidR="009C1D95">
        <w:rPr>
          <w:rFonts w:ascii="Arial" w:hAnsi="Arial" w:cs="Arial"/>
        </w:rPr>
        <w:t>Program</w:t>
      </w:r>
      <w:r w:rsidR="006F429F">
        <w:rPr>
          <w:rFonts w:ascii="Arial" w:hAnsi="Arial" w:cs="Arial"/>
        </w:rPr>
        <w:t xml:space="preserve"> had not reached physical completion</w:t>
      </w:r>
      <w:r w:rsidR="009C1D95">
        <w:rPr>
          <w:rFonts w:ascii="Arial" w:hAnsi="Arial" w:cs="Arial"/>
        </w:rPr>
        <w:t xml:space="preserve">, with </w:t>
      </w:r>
      <w:r w:rsidR="00E552B1">
        <w:rPr>
          <w:rFonts w:ascii="Arial" w:hAnsi="Arial" w:cs="Arial"/>
        </w:rPr>
        <w:t>six</w:t>
      </w:r>
      <w:r w:rsidR="001238D0" w:rsidRPr="00BA6D5D">
        <w:rPr>
          <w:rFonts w:ascii="Arial" w:hAnsi="Arial" w:cs="Arial"/>
        </w:rPr>
        <w:t xml:space="preserve"> months of implementation</w:t>
      </w:r>
      <w:r w:rsidR="009C1D95">
        <w:rPr>
          <w:rFonts w:ascii="Arial" w:hAnsi="Arial" w:cs="Arial"/>
        </w:rPr>
        <w:t xml:space="preserve"> remaining</w:t>
      </w:r>
      <w:r w:rsidR="00FB1BEE" w:rsidRPr="00BA6D5D">
        <w:rPr>
          <w:rFonts w:ascii="Arial" w:hAnsi="Arial" w:cs="Arial"/>
        </w:rPr>
        <w:t xml:space="preserve"> </w:t>
      </w:r>
      <w:r w:rsidR="009C1D95">
        <w:rPr>
          <w:rFonts w:ascii="Arial" w:hAnsi="Arial" w:cs="Arial"/>
        </w:rPr>
        <w:t>and</w:t>
      </w:r>
      <w:r w:rsidR="00FB1BEE" w:rsidRPr="00BA6D5D">
        <w:rPr>
          <w:rFonts w:ascii="Arial" w:hAnsi="Arial" w:cs="Arial"/>
        </w:rPr>
        <w:t xml:space="preserve"> the possibility o</w:t>
      </w:r>
      <w:r w:rsidR="001238D0" w:rsidRPr="00BA6D5D">
        <w:rPr>
          <w:rFonts w:ascii="Arial" w:hAnsi="Arial" w:cs="Arial"/>
        </w:rPr>
        <w:t xml:space="preserve">f a further </w:t>
      </w:r>
      <w:r w:rsidR="00E552B1">
        <w:rPr>
          <w:rFonts w:ascii="Arial" w:hAnsi="Arial" w:cs="Arial"/>
        </w:rPr>
        <w:t>twelve</w:t>
      </w:r>
      <w:r w:rsidR="001238D0" w:rsidRPr="00BA6D5D">
        <w:rPr>
          <w:rFonts w:ascii="Arial" w:hAnsi="Arial" w:cs="Arial"/>
        </w:rPr>
        <w:t xml:space="preserve"> months should</w:t>
      </w:r>
      <w:r w:rsidR="00FB1BEE" w:rsidRPr="00BA6D5D">
        <w:rPr>
          <w:rFonts w:ascii="Arial" w:hAnsi="Arial" w:cs="Arial"/>
        </w:rPr>
        <w:t xml:space="preserve"> an extension to the Program, currently under consideration, be approved. A number of activities to which the Program’s key outputs and outcomes are linked remain underway.</w:t>
      </w:r>
    </w:p>
    <w:p w:rsidR="00FB1BEE" w:rsidRPr="00BA6D5D" w:rsidRDefault="00FB1BEE" w:rsidP="00151AC6">
      <w:pPr>
        <w:jc w:val="both"/>
        <w:rPr>
          <w:rFonts w:ascii="Arial" w:hAnsi="Arial" w:cs="Arial"/>
        </w:rPr>
      </w:pPr>
    </w:p>
    <w:p w:rsidR="00FB1BEE" w:rsidRPr="00BA6D5D" w:rsidRDefault="00FB1BEE" w:rsidP="00151AC6">
      <w:pPr>
        <w:jc w:val="both"/>
        <w:rPr>
          <w:rFonts w:ascii="Arial" w:hAnsi="Arial" w:cs="Arial"/>
        </w:rPr>
      </w:pPr>
      <w:r w:rsidRPr="00BA6D5D">
        <w:rPr>
          <w:rFonts w:ascii="Arial" w:hAnsi="Arial" w:cs="Arial"/>
        </w:rPr>
        <w:fldChar w:fldCharType="begin"/>
      </w:r>
      <w:r w:rsidRPr="00BA6D5D">
        <w:rPr>
          <w:rFonts w:ascii="Arial" w:hAnsi="Arial" w:cs="Arial"/>
        </w:rPr>
        <w:instrText>AUTONUMLGL</w:instrText>
      </w:r>
      <w:r w:rsidRPr="00BA6D5D">
        <w:rPr>
          <w:rFonts w:ascii="Arial" w:hAnsi="Arial" w:cs="Arial"/>
        </w:rPr>
        <w:fldChar w:fldCharType="end"/>
      </w:r>
      <w:r w:rsidRPr="00BA6D5D">
        <w:rPr>
          <w:rFonts w:ascii="Arial" w:hAnsi="Arial" w:cs="Arial"/>
        </w:rPr>
        <w:tab/>
        <w:t xml:space="preserve">A second key limitation was the lack of </w:t>
      </w:r>
      <w:r w:rsidR="006E08F1" w:rsidRPr="00BA6D5D">
        <w:rPr>
          <w:rFonts w:ascii="Arial" w:hAnsi="Arial" w:cs="Arial"/>
        </w:rPr>
        <w:t>baseline data and robust M&amp;E data available to the ICE team. As detailed in Section II.E, the Program’s monitoring and evaluation system was established in 2014</w:t>
      </w:r>
      <w:r w:rsidR="006F1DA4">
        <w:rPr>
          <w:rFonts w:ascii="Arial" w:hAnsi="Arial" w:cs="Arial"/>
        </w:rPr>
        <w:t>, three years after program inception</w:t>
      </w:r>
      <w:r w:rsidR="006E08F1" w:rsidRPr="00BA6D5D">
        <w:rPr>
          <w:rFonts w:ascii="Arial" w:hAnsi="Arial" w:cs="Arial"/>
        </w:rPr>
        <w:t>. Baseline data was collected retrospectively and remained incomplete at the time of the ICE. Data from the</w:t>
      </w:r>
      <w:r w:rsidR="001238D0" w:rsidRPr="00BA6D5D">
        <w:rPr>
          <w:rFonts w:ascii="Arial" w:hAnsi="Arial" w:cs="Arial"/>
        </w:rPr>
        <w:t xml:space="preserve"> Program’s M&amp;E system lacked</w:t>
      </w:r>
      <w:r w:rsidR="006E08F1" w:rsidRPr="00BA6D5D">
        <w:rPr>
          <w:rFonts w:ascii="Arial" w:hAnsi="Arial" w:cs="Arial"/>
        </w:rPr>
        <w:t xml:space="preserve"> the scope, completeness and quality required by the ICE team. </w:t>
      </w:r>
      <w:r w:rsidR="00E552B1" w:rsidRPr="00BA6D5D">
        <w:rPr>
          <w:rFonts w:ascii="Arial" w:hAnsi="Arial" w:cs="Arial"/>
        </w:rPr>
        <w:t>The collection of endline evaluation data has not yet been scheduled</w:t>
      </w:r>
      <w:r w:rsidR="00E552B1">
        <w:rPr>
          <w:rFonts w:ascii="Arial" w:hAnsi="Arial" w:cs="Arial"/>
        </w:rPr>
        <w:t xml:space="preserve">. </w:t>
      </w:r>
      <w:r w:rsidR="006E08F1" w:rsidRPr="00BA6D5D">
        <w:rPr>
          <w:rFonts w:ascii="Arial" w:hAnsi="Arial" w:cs="Arial"/>
        </w:rPr>
        <w:t>To overcome this limitation the ICE team worked with staff and consultants from each Program component to generate additional data as required</w:t>
      </w:r>
      <w:r w:rsidR="007F4332" w:rsidRPr="00BA6D5D">
        <w:rPr>
          <w:rFonts w:ascii="Arial" w:hAnsi="Arial" w:cs="Arial"/>
        </w:rPr>
        <w:t>.</w:t>
      </w:r>
    </w:p>
    <w:p w:rsidR="00510207" w:rsidRPr="00BA6D5D" w:rsidRDefault="00510207" w:rsidP="00151AC6">
      <w:pPr>
        <w:jc w:val="both"/>
        <w:rPr>
          <w:rFonts w:ascii="Arial" w:hAnsi="Arial" w:cs="Arial"/>
        </w:rPr>
      </w:pPr>
    </w:p>
    <w:p w:rsidR="006E08F1" w:rsidRPr="00BA6D5D" w:rsidRDefault="00510207" w:rsidP="00FD49A3">
      <w:pPr>
        <w:pStyle w:val="Heading2"/>
        <w:spacing w:after="120"/>
        <w:rPr>
          <w:bCs w:val="0"/>
          <w:i w:val="0"/>
          <w:iCs w:val="0"/>
          <w:color w:val="000000"/>
          <w:sz w:val="22"/>
          <w:szCs w:val="20"/>
          <w:lang w:eastAsia="en-US"/>
        </w:rPr>
      </w:pPr>
      <w:bookmarkStart w:id="22" w:name="_Toc423359313"/>
      <w:r w:rsidRPr="00BA6D5D">
        <w:rPr>
          <w:bCs w:val="0"/>
          <w:i w:val="0"/>
          <w:iCs w:val="0"/>
          <w:color w:val="000000"/>
          <w:sz w:val="22"/>
          <w:szCs w:val="20"/>
          <w:lang w:eastAsia="en-US"/>
        </w:rPr>
        <w:t>Terminology used in</w:t>
      </w:r>
      <w:r w:rsidR="006F1DA4">
        <w:rPr>
          <w:bCs w:val="0"/>
          <w:i w:val="0"/>
          <w:iCs w:val="0"/>
          <w:color w:val="000000"/>
          <w:sz w:val="22"/>
          <w:szCs w:val="20"/>
          <w:lang w:eastAsia="en-US"/>
        </w:rPr>
        <w:t xml:space="preserve"> the</w:t>
      </w:r>
      <w:r w:rsidRPr="00BA6D5D">
        <w:rPr>
          <w:bCs w:val="0"/>
          <w:i w:val="0"/>
          <w:iCs w:val="0"/>
          <w:color w:val="000000"/>
          <w:sz w:val="22"/>
          <w:szCs w:val="20"/>
          <w:lang w:eastAsia="en-US"/>
        </w:rPr>
        <w:t xml:space="preserve"> ICE Report</w:t>
      </w:r>
      <w:bookmarkEnd w:id="22"/>
    </w:p>
    <w:p w:rsidR="006E08F1" w:rsidRPr="00BA6D5D" w:rsidRDefault="00FD49A3" w:rsidP="00151AC6">
      <w:pPr>
        <w:jc w:val="both"/>
        <w:rPr>
          <w:rFonts w:ascii="Arial" w:hAnsi="Arial" w:cs="Arial"/>
        </w:rPr>
      </w:pPr>
      <w:r w:rsidRPr="00BA6D5D">
        <w:rPr>
          <w:rFonts w:ascii="Arial" w:hAnsi="Arial" w:cs="Arial"/>
        </w:rPr>
        <w:fldChar w:fldCharType="begin"/>
      </w:r>
      <w:r w:rsidRPr="00BA6D5D">
        <w:rPr>
          <w:rFonts w:ascii="Arial" w:hAnsi="Arial" w:cs="Arial"/>
        </w:rPr>
        <w:instrText>AUTONUMLGL</w:instrText>
      </w:r>
      <w:r w:rsidRPr="00BA6D5D">
        <w:rPr>
          <w:rFonts w:ascii="Arial" w:hAnsi="Arial" w:cs="Arial"/>
        </w:rPr>
        <w:fldChar w:fldCharType="end"/>
      </w:r>
      <w:r w:rsidRPr="00BA6D5D">
        <w:rPr>
          <w:rFonts w:ascii="Arial" w:hAnsi="Arial" w:cs="Arial"/>
        </w:rPr>
        <w:tab/>
      </w:r>
      <w:r w:rsidR="005018B3" w:rsidRPr="00BA6D5D">
        <w:rPr>
          <w:rFonts w:ascii="Arial" w:hAnsi="Arial" w:cs="Arial"/>
        </w:rPr>
        <w:t xml:space="preserve">While the ICE is intended to provide an assessment of </w:t>
      </w:r>
      <w:r w:rsidR="006F1DA4">
        <w:rPr>
          <w:rFonts w:ascii="Arial" w:hAnsi="Arial" w:cs="Arial"/>
        </w:rPr>
        <w:t xml:space="preserve">the </w:t>
      </w:r>
      <w:r w:rsidR="005018B3" w:rsidRPr="00BA6D5D">
        <w:rPr>
          <w:rFonts w:ascii="Arial" w:hAnsi="Arial" w:cs="Arial"/>
        </w:rPr>
        <w:t>performance of the</w:t>
      </w:r>
      <w:r w:rsidR="00531BCE" w:rsidRPr="00BA6D5D">
        <w:rPr>
          <w:rFonts w:ascii="Arial" w:hAnsi="Arial" w:cs="Arial"/>
        </w:rPr>
        <w:t xml:space="preserve"> overall</w:t>
      </w:r>
      <w:r w:rsidR="005018B3" w:rsidRPr="00BA6D5D">
        <w:rPr>
          <w:rFonts w:ascii="Arial" w:hAnsi="Arial" w:cs="Arial"/>
        </w:rPr>
        <w:t xml:space="preserve"> ‘Program’, the </w:t>
      </w:r>
      <w:r w:rsidRPr="00BA6D5D">
        <w:rPr>
          <w:rFonts w:ascii="Arial" w:hAnsi="Arial" w:cs="Arial"/>
        </w:rPr>
        <w:t xml:space="preserve">primary </w:t>
      </w:r>
      <w:r w:rsidR="005018B3" w:rsidRPr="00BA6D5D">
        <w:rPr>
          <w:rFonts w:ascii="Arial" w:hAnsi="Arial" w:cs="Arial"/>
        </w:rPr>
        <w:t>f</w:t>
      </w:r>
      <w:r w:rsidR="00531BCE" w:rsidRPr="00BA6D5D">
        <w:rPr>
          <w:rFonts w:ascii="Arial" w:hAnsi="Arial" w:cs="Arial"/>
        </w:rPr>
        <w:t>ocus of the evaluation is on the</w:t>
      </w:r>
      <w:r w:rsidR="005018B3" w:rsidRPr="00BA6D5D">
        <w:rPr>
          <w:rFonts w:ascii="Arial" w:hAnsi="Arial" w:cs="Arial"/>
        </w:rPr>
        <w:t xml:space="preserve"> investments under the project loan</w:t>
      </w:r>
      <w:r w:rsidRPr="00BA6D5D">
        <w:rPr>
          <w:rFonts w:ascii="Arial" w:hAnsi="Arial" w:cs="Arial"/>
        </w:rPr>
        <w:t xml:space="preserve"> and grant</w:t>
      </w:r>
      <w:r w:rsidR="005018B3" w:rsidRPr="00BA6D5D">
        <w:rPr>
          <w:rFonts w:ascii="Arial" w:hAnsi="Arial" w:cs="Arial"/>
        </w:rPr>
        <w:t xml:space="preserve">. In this regard the terms “Program” and “Project” are used interchangeably in the report. </w:t>
      </w:r>
      <w:r w:rsidR="00531BCE" w:rsidRPr="00BA6D5D">
        <w:rPr>
          <w:rFonts w:ascii="Arial" w:hAnsi="Arial" w:cs="Arial"/>
        </w:rPr>
        <w:t xml:space="preserve">As a rule the term </w:t>
      </w:r>
      <w:r w:rsidR="005018B3" w:rsidRPr="00BA6D5D">
        <w:rPr>
          <w:rFonts w:ascii="Arial" w:hAnsi="Arial" w:cs="Arial"/>
        </w:rPr>
        <w:t>Program is used when referri</w:t>
      </w:r>
      <w:r w:rsidR="00531BCE" w:rsidRPr="00BA6D5D">
        <w:rPr>
          <w:rFonts w:ascii="Arial" w:hAnsi="Arial" w:cs="Arial"/>
        </w:rPr>
        <w:t>ng to the HHRSDP as a whole. The term Pro</w:t>
      </w:r>
      <w:r w:rsidR="005018B3" w:rsidRPr="00BA6D5D">
        <w:rPr>
          <w:rFonts w:ascii="Arial" w:hAnsi="Arial" w:cs="Arial"/>
        </w:rPr>
        <w:t>ject</w:t>
      </w:r>
      <w:r w:rsidR="00531BCE" w:rsidRPr="00BA6D5D">
        <w:rPr>
          <w:rFonts w:ascii="Arial" w:hAnsi="Arial" w:cs="Arial"/>
        </w:rPr>
        <w:t xml:space="preserve"> is use in discussions pertaining to the project loan and grant investments.</w:t>
      </w:r>
    </w:p>
    <w:p w:rsidR="001858E2" w:rsidRPr="00BA6D5D" w:rsidRDefault="00AB05C0" w:rsidP="006E08F1">
      <w:pPr>
        <w:pStyle w:val="Heading1"/>
        <w:spacing w:before="0" w:after="240"/>
        <w:ind w:left="720"/>
        <w:jc w:val="both"/>
        <w:rPr>
          <w:bCs w:val="0"/>
          <w:caps/>
          <w:color w:val="000000"/>
          <w:kern w:val="28"/>
          <w:sz w:val="22"/>
          <w:szCs w:val="20"/>
          <w:lang w:eastAsia="en-US"/>
        </w:rPr>
      </w:pPr>
      <w:r w:rsidRPr="00BA6D5D">
        <w:rPr>
          <w:bCs w:val="0"/>
          <w:caps/>
          <w:color w:val="000000"/>
          <w:kern w:val="28"/>
          <w:sz w:val="22"/>
          <w:szCs w:val="20"/>
          <w:lang w:eastAsia="en-US"/>
        </w:rPr>
        <w:br w:type="page"/>
      </w:r>
    </w:p>
    <w:p w:rsidR="0098315D" w:rsidRPr="00EE4E98" w:rsidRDefault="00AB05C0" w:rsidP="00CA718F">
      <w:pPr>
        <w:pStyle w:val="Heading1"/>
        <w:numPr>
          <w:ilvl w:val="0"/>
          <w:numId w:val="5"/>
        </w:numPr>
        <w:spacing w:after="120"/>
        <w:ind w:left="734" w:hanging="547"/>
        <w:rPr>
          <w:bCs w:val="0"/>
          <w:caps/>
          <w:color w:val="000000"/>
          <w:kern w:val="28"/>
          <w:sz w:val="22"/>
          <w:szCs w:val="24"/>
          <w:lang w:eastAsia="en-US"/>
        </w:rPr>
      </w:pPr>
      <w:bookmarkStart w:id="23" w:name="_Toc422301194"/>
      <w:bookmarkStart w:id="24" w:name="_Toc423359314"/>
      <w:bookmarkStart w:id="25" w:name="_Toc486840645"/>
      <w:bookmarkStart w:id="26" w:name="_Toc3703488"/>
      <w:r w:rsidRPr="00EE4E98">
        <w:rPr>
          <w:bCs w:val="0"/>
          <w:caps/>
          <w:color w:val="000000"/>
          <w:kern w:val="28"/>
          <w:sz w:val="22"/>
          <w:szCs w:val="24"/>
          <w:lang w:eastAsia="en-US"/>
        </w:rPr>
        <w:t xml:space="preserve">PROGRAM </w:t>
      </w:r>
      <w:r w:rsidR="0098315D" w:rsidRPr="00EE4E98">
        <w:rPr>
          <w:bCs w:val="0"/>
          <w:caps/>
          <w:color w:val="000000"/>
          <w:kern w:val="28"/>
          <w:sz w:val="22"/>
          <w:szCs w:val="24"/>
          <w:lang w:eastAsia="en-US"/>
        </w:rPr>
        <w:t>EVALUATION</w:t>
      </w:r>
      <w:bookmarkEnd w:id="23"/>
      <w:bookmarkEnd w:id="24"/>
      <w:r w:rsidR="0098315D" w:rsidRPr="00EE4E98">
        <w:rPr>
          <w:bCs w:val="0"/>
          <w:caps/>
          <w:color w:val="000000"/>
          <w:kern w:val="28"/>
          <w:sz w:val="22"/>
          <w:szCs w:val="24"/>
          <w:lang w:eastAsia="en-US"/>
        </w:rPr>
        <w:t xml:space="preserve"> </w:t>
      </w:r>
      <w:bookmarkEnd w:id="25"/>
      <w:bookmarkEnd w:id="26"/>
    </w:p>
    <w:p w:rsidR="0057598A" w:rsidRPr="00BA6D5D" w:rsidRDefault="005B520D" w:rsidP="00754B31">
      <w:pPr>
        <w:pStyle w:val="Heading2"/>
        <w:numPr>
          <w:ilvl w:val="1"/>
          <w:numId w:val="23"/>
        </w:numPr>
        <w:spacing w:after="120"/>
        <w:rPr>
          <w:bCs w:val="0"/>
          <w:i w:val="0"/>
          <w:iCs w:val="0"/>
          <w:color w:val="000000"/>
          <w:sz w:val="22"/>
          <w:szCs w:val="20"/>
          <w:lang w:eastAsia="en-US"/>
        </w:rPr>
      </w:pPr>
      <w:bookmarkStart w:id="27" w:name="_Toc422301195"/>
      <w:bookmarkStart w:id="28" w:name="_Toc423359315"/>
      <w:r>
        <w:rPr>
          <w:bCs w:val="0"/>
          <w:i w:val="0"/>
          <w:iCs w:val="0"/>
          <w:color w:val="000000"/>
          <w:sz w:val="22"/>
          <w:szCs w:val="20"/>
          <w:lang w:eastAsia="en-US"/>
        </w:rPr>
        <w:t>Relevance</w:t>
      </w:r>
      <w:bookmarkEnd w:id="27"/>
      <w:bookmarkEnd w:id="28"/>
    </w:p>
    <w:p w:rsidR="0057598A" w:rsidRPr="00C539B5" w:rsidRDefault="0057598A" w:rsidP="00C539B5">
      <w:pPr>
        <w:pStyle w:val="Heading3"/>
        <w:numPr>
          <w:ilvl w:val="0"/>
          <w:numId w:val="4"/>
        </w:numPr>
        <w:spacing w:after="120"/>
        <w:ind w:hanging="540"/>
        <w:jc w:val="both"/>
        <w:rPr>
          <w:rFonts w:cs="Times New Roman"/>
          <w:bCs w:val="0"/>
          <w:color w:val="000000"/>
          <w:sz w:val="21"/>
          <w:szCs w:val="21"/>
          <w:lang w:eastAsia="en-US"/>
        </w:rPr>
      </w:pPr>
      <w:bookmarkStart w:id="29" w:name="_Toc422301196"/>
      <w:bookmarkStart w:id="30" w:name="_Toc423359316"/>
      <w:r w:rsidRPr="00C539B5">
        <w:rPr>
          <w:rFonts w:cs="Times New Roman"/>
          <w:bCs w:val="0"/>
          <w:color w:val="000000"/>
          <w:sz w:val="21"/>
          <w:szCs w:val="21"/>
          <w:lang w:eastAsia="en-US"/>
        </w:rPr>
        <w:t>Relevance to the Development Priorities of the GoV</w:t>
      </w:r>
      <w:bookmarkEnd w:id="29"/>
      <w:bookmarkEnd w:id="30"/>
    </w:p>
    <w:p w:rsidR="0057598A" w:rsidRPr="00BA6D5D" w:rsidRDefault="0057598A" w:rsidP="00151AC6">
      <w:pPr>
        <w:jc w:val="both"/>
        <w:rPr>
          <w:rFonts w:ascii="Arial" w:hAnsi="Arial" w:cs="Arial"/>
        </w:rPr>
      </w:pPr>
      <w:r w:rsidRPr="00BA6D5D">
        <w:rPr>
          <w:rFonts w:ascii="Arial" w:hAnsi="Arial" w:cs="Arial"/>
        </w:rPr>
        <w:fldChar w:fldCharType="begin"/>
      </w:r>
      <w:r w:rsidRPr="00BA6D5D">
        <w:rPr>
          <w:rFonts w:ascii="Arial" w:hAnsi="Arial" w:cs="Arial"/>
        </w:rPr>
        <w:instrText>AUTONUMLGL</w:instrText>
      </w:r>
      <w:r w:rsidRPr="00BA6D5D">
        <w:rPr>
          <w:rFonts w:ascii="Arial" w:hAnsi="Arial" w:cs="Arial"/>
        </w:rPr>
        <w:fldChar w:fldCharType="end"/>
      </w:r>
      <w:r w:rsidRPr="00BA6D5D">
        <w:rPr>
          <w:rFonts w:ascii="Arial" w:hAnsi="Arial" w:cs="Arial"/>
        </w:rPr>
        <w:tab/>
        <w:t xml:space="preserve">The HHRSDP is highly relevant to the GoV’s central policies for human resource development (HRD). As outlined in the </w:t>
      </w:r>
      <w:r w:rsidR="0028006A">
        <w:rPr>
          <w:rFonts w:ascii="Arial" w:hAnsi="Arial" w:cs="Arial"/>
        </w:rPr>
        <w:t>Viet Nam</w:t>
      </w:r>
      <w:r w:rsidRPr="00BA6D5D">
        <w:rPr>
          <w:rFonts w:ascii="Arial" w:hAnsi="Arial" w:cs="Arial"/>
        </w:rPr>
        <w:t xml:space="preserve"> Socio-Economic Development Strategy 2011-2020 and the </w:t>
      </w:r>
      <w:r w:rsidR="0028006A">
        <w:rPr>
          <w:rFonts w:ascii="Arial" w:hAnsi="Arial" w:cs="Arial"/>
        </w:rPr>
        <w:t>Viet Nam</w:t>
      </w:r>
      <w:r w:rsidRPr="00BA6D5D">
        <w:rPr>
          <w:rFonts w:ascii="Arial" w:hAnsi="Arial" w:cs="Arial"/>
        </w:rPr>
        <w:t xml:space="preserve"> Manpower Development Master Plan (2011-2020) the Government aims to increase the trained workforce from 20 million in 2010 to 44 million by 2020, have over four universities and ten vocational training schools meeting international standards and 30 per cent of university lecturers with doctorate degrees by 2020. Investments under the HHRSDP in postgraduate training of staff in health professional training facilities (HPTF) and strengthening accreditation of processes within HPTF will contribute to achieving these targets. </w:t>
      </w:r>
    </w:p>
    <w:p w:rsidR="0057598A" w:rsidRPr="00BA6D5D" w:rsidRDefault="0057598A" w:rsidP="00151AC6">
      <w:pPr>
        <w:jc w:val="both"/>
        <w:rPr>
          <w:rFonts w:ascii="Arial" w:hAnsi="Arial" w:cs="Arial"/>
        </w:rPr>
      </w:pPr>
    </w:p>
    <w:p w:rsidR="0057598A" w:rsidRPr="00BA6D5D" w:rsidRDefault="0057598A" w:rsidP="00151AC6">
      <w:pPr>
        <w:widowControl w:val="0"/>
        <w:autoSpaceDE w:val="0"/>
        <w:autoSpaceDN w:val="0"/>
        <w:adjustRightInd w:val="0"/>
        <w:spacing w:after="240"/>
        <w:jc w:val="both"/>
        <w:rPr>
          <w:rFonts w:ascii="Arial" w:hAnsi="Arial" w:cs="Arial"/>
        </w:rPr>
      </w:pPr>
      <w:r w:rsidRPr="00BA6D5D">
        <w:rPr>
          <w:rFonts w:ascii="Arial" w:hAnsi="Arial" w:cs="Arial"/>
        </w:rPr>
        <w:fldChar w:fldCharType="begin"/>
      </w:r>
      <w:r w:rsidRPr="00BA6D5D">
        <w:rPr>
          <w:rFonts w:ascii="Arial" w:hAnsi="Arial" w:cs="Arial"/>
        </w:rPr>
        <w:instrText>AUTONUMLGL</w:instrText>
      </w:r>
      <w:r w:rsidRPr="00BA6D5D">
        <w:rPr>
          <w:rFonts w:ascii="Arial" w:hAnsi="Arial" w:cs="Arial"/>
        </w:rPr>
        <w:fldChar w:fldCharType="end"/>
      </w:r>
      <w:r w:rsidRPr="00BA6D5D">
        <w:rPr>
          <w:rFonts w:ascii="Arial" w:hAnsi="Arial" w:cs="Arial"/>
        </w:rPr>
        <w:tab/>
        <w:t xml:space="preserve">The HHRSDP is similarly relevant to the sector priorities of the MoH. Human resource development remains a priority focus of the sector. The National Health Sector Development </w:t>
      </w:r>
      <w:r w:rsidR="00AF646B">
        <w:rPr>
          <w:rFonts w:ascii="Arial" w:hAnsi="Arial" w:cs="Arial"/>
        </w:rPr>
        <w:t>P</w:t>
      </w:r>
      <w:r w:rsidRPr="00BA6D5D">
        <w:rPr>
          <w:rFonts w:ascii="Arial" w:hAnsi="Arial" w:cs="Arial"/>
        </w:rPr>
        <w:t xml:space="preserve">lan 2011-2015 includes, as one of eight strategic objectives, to promote human resource quantity and quality. Priority areas for action are set out in the Master Plan for Developing Health Human Resources for the </w:t>
      </w:r>
      <w:r w:rsidR="00B55B87">
        <w:rPr>
          <w:rFonts w:ascii="Arial" w:hAnsi="Arial" w:cs="Arial"/>
        </w:rPr>
        <w:t>P</w:t>
      </w:r>
      <w:r w:rsidRPr="00BA6D5D">
        <w:rPr>
          <w:rFonts w:ascii="Arial" w:hAnsi="Arial" w:cs="Arial"/>
        </w:rPr>
        <w:t>eriod 2012-2020.</w:t>
      </w:r>
      <w:r w:rsidRPr="00BA6D5D">
        <w:rPr>
          <w:rStyle w:val="FootnoteReference"/>
          <w:rFonts w:cs="Arial"/>
        </w:rPr>
        <w:footnoteReference w:id="3"/>
      </w:r>
      <w:r w:rsidRPr="00BA6D5D">
        <w:rPr>
          <w:rFonts w:ascii="Arial" w:hAnsi="Arial" w:cs="Arial"/>
        </w:rPr>
        <w:t xml:space="preserve"> </w:t>
      </w:r>
      <w:r w:rsidR="00AF646B">
        <w:rPr>
          <w:rFonts w:ascii="Arial" w:hAnsi="Arial" w:cs="Arial"/>
        </w:rPr>
        <w:t xml:space="preserve">Activities under the </w:t>
      </w:r>
      <w:r w:rsidRPr="00BA6D5D">
        <w:rPr>
          <w:rFonts w:ascii="Arial" w:hAnsi="Arial" w:cs="Arial"/>
        </w:rPr>
        <w:t>HHRSDP are consistent with th</w:t>
      </w:r>
      <w:r w:rsidR="00AF646B">
        <w:rPr>
          <w:rFonts w:ascii="Arial" w:hAnsi="Arial" w:cs="Arial"/>
        </w:rPr>
        <w:t>e</w:t>
      </w:r>
      <w:r w:rsidRPr="00BA6D5D">
        <w:rPr>
          <w:rFonts w:ascii="Arial" w:hAnsi="Arial" w:cs="Arial"/>
        </w:rPr>
        <w:t xml:space="preserve"> Master Plan and support MoH in delivering the Plan’s key outputs. </w:t>
      </w:r>
      <w:r w:rsidR="00A50C99">
        <w:rPr>
          <w:rFonts w:ascii="Arial" w:hAnsi="Arial" w:cs="Arial"/>
        </w:rPr>
        <w:t>The HHRSDP</w:t>
      </w:r>
      <w:r w:rsidRPr="00BA6D5D">
        <w:rPr>
          <w:rFonts w:ascii="Arial" w:hAnsi="Arial" w:cs="Arial"/>
        </w:rPr>
        <w:t xml:space="preserve"> is further relevant in supporting MoH’s efforts to strengthen the quality of human resources through the registration and licensing of health professionals and health facilities as required under the </w:t>
      </w:r>
      <w:r w:rsidR="00612D1D">
        <w:rPr>
          <w:rFonts w:ascii="Arial" w:hAnsi="Arial" w:cs="Arial"/>
        </w:rPr>
        <w:t>LET.</w:t>
      </w:r>
    </w:p>
    <w:p w:rsidR="0057598A" w:rsidRPr="00BA6D5D" w:rsidRDefault="0057598A" w:rsidP="00151AC6">
      <w:pPr>
        <w:widowControl w:val="0"/>
        <w:autoSpaceDE w:val="0"/>
        <w:autoSpaceDN w:val="0"/>
        <w:adjustRightInd w:val="0"/>
        <w:spacing w:after="240"/>
        <w:jc w:val="both"/>
        <w:rPr>
          <w:rFonts w:ascii="Arial" w:hAnsi="Arial" w:cs="Arial"/>
        </w:rPr>
      </w:pPr>
      <w:r w:rsidRPr="00BA6D5D">
        <w:rPr>
          <w:rFonts w:ascii="Arial" w:hAnsi="Arial" w:cs="Arial"/>
        </w:rPr>
        <w:fldChar w:fldCharType="begin"/>
      </w:r>
      <w:r w:rsidRPr="00BA6D5D">
        <w:rPr>
          <w:rFonts w:ascii="Arial" w:hAnsi="Arial" w:cs="Arial"/>
        </w:rPr>
        <w:instrText>AUTONUMLGL</w:instrText>
      </w:r>
      <w:r w:rsidRPr="00BA6D5D">
        <w:rPr>
          <w:rFonts w:ascii="Arial" w:hAnsi="Arial" w:cs="Arial"/>
        </w:rPr>
        <w:fldChar w:fldCharType="end"/>
      </w:r>
      <w:r w:rsidRPr="00BA6D5D">
        <w:rPr>
          <w:rFonts w:ascii="Arial" w:hAnsi="Arial" w:cs="Arial"/>
        </w:rPr>
        <w:tab/>
      </w:r>
      <w:r w:rsidR="00A50C99">
        <w:rPr>
          <w:rFonts w:ascii="Arial" w:hAnsi="Arial" w:cs="Arial"/>
        </w:rPr>
        <w:t xml:space="preserve">The </w:t>
      </w:r>
      <w:r w:rsidRPr="00BA6D5D">
        <w:rPr>
          <w:rFonts w:ascii="Arial" w:hAnsi="Arial" w:cs="Arial"/>
        </w:rPr>
        <w:t>HHRSDP Component 3, which focuses on improved management systems in health service delivery through: (i) Piloting care pathways to organize clinical work, and (ii) Introducing and testing case-based funding mechanisms, is less closely linked to the HRD priorities and strategies of the MoH. However, outputs under this component are consistent with the policy directions on health financing reform outlined by the GoV in Decree No. 85/2012/ ND-CP</w:t>
      </w:r>
      <w:r w:rsidRPr="00BA6D5D">
        <w:rPr>
          <w:rStyle w:val="FootnoteReference"/>
          <w:rFonts w:cs="Arial"/>
        </w:rPr>
        <w:footnoteReference w:id="4"/>
      </w:r>
      <w:r w:rsidRPr="00BA6D5D">
        <w:rPr>
          <w:rFonts w:ascii="Arial" w:hAnsi="Arial" w:cs="Arial"/>
        </w:rPr>
        <w:t xml:space="preserve"> and feed into the current work on health financing being implemented by the Department of Planning and Finance of the MoH.</w:t>
      </w:r>
    </w:p>
    <w:p w:rsidR="0057598A" w:rsidRPr="00C539B5" w:rsidRDefault="0057598A" w:rsidP="00C539B5">
      <w:pPr>
        <w:pStyle w:val="Heading3"/>
        <w:numPr>
          <w:ilvl w:val="0"/>
          <w:numId w:val="4"/>
        </w:numPr>
        <w:spacing w:after="120"/>
        <w:ind w:hanging="540"/>
        <w:jc w:val="both"/>
        <w:rPr>
          <w:rFonts w:cs="Times New Roman"/>
          <w:bCs w:val="0"/>
          <w:color w:val="000000"/>
          <w:sz w:val="21"/>
          <w:szCs w:val="21"/>
          <w:lang w:eastAsia="en-US"/>
        </w:rPr>
      </w:pPr>
      <w:bookmarkStart w:id="31" w:name="_Toc422301197"/>
      <w:bookmarkStart w:id="32" w:name="_Toc423359317"/>
      <w:r w:rsidRPr="00C539B5">
        <w:rPr>
          <w:rFonts w:cs="Times New Roman"/>
          <w:bCs w:val="0"/>
          <w:color w:val="000000"/>
          <w:sz w:val="21"/>
          <w:szCs w:val="21"/>
          <w:lang w:eastAsia="en-US"/>
        </w:rPr>
        <w:t>Relevance to the Aid Investment Strategies of the GoA</w:t>
      </w:r>
      <w:bookmarkEnd w:id="31"/>
      <w:bookmarkEnd w:id="32"/>
    </w:p>
    <w:p w:rsidR="00AF646B" w:rsidRDefault="0057598A" w:rsidP="00151AC6">
      <w:pPr>
        <w:jc w:val="both"/>
        <w:rPr>
          <w:rFonts w:ascii="Arial" w:hAnsi="Arial" w:cs="Arial"/>
          <w:lang w:val="en-AU" w:eastAsia="en-US"/>
        </w:rPr>
      </w:pPr>
      <w:r w:rsidRPr="00BA6D5D">
        <w:rPr>
          <w:rFonts w:ascii="Arial" w:hAnsi="Arial" w:cs="Arial"/>
        </w:rPr>
        <w:fldChar w:fldCharType="begin"/>
      </w:r>
      <w:r w:rsidRPr="00BA6D5D">
        <w:rPr>
          <w:rFonts w:ascii="Arial" w:hAnsi="Arial" w:cs="Arial"/>
        </w:rPr>
        <w:instrText>AUTONUMLGL</w:instrText>
      </w:r>
      <w:r w:rsidRPr="00BA6D5D">
        <w:rPr>
          <w:rFonts w:ascii="Arial" w:hAnsi="Arial" w:cs="Arial"/>
        </w:rPr>
        <w:fldChar w:fldCharType="end"/>
      </w:r>
      <w:r w:rsidRPr="00BA6D5D">
        <w:rPr>
          <w:rFonts w:ascii="Arial" w:hAnsi="Arial" w:cs="Arial"/>
        </w:rPr>
        <w:tab/>
      </w:r>
      <w:r w:rsidRPr="00BA6D5D">
        <w:rPr>
          <w:rFonts w:ascii="Arial" w:hAnsi="Arial" w:cs="Arial"/>
          <w:color w:val="000000"/>
        </w:rPr>
        <w:t xml:space="preserve">The HHRSDP at design was relevant to the GoA’s then </w:t>
      </w:r>
      <w:r w:rsidR="0028006A">
        <w:rPr>
          <w:rFonts w:ascii="Arial" w:hAnsi="Arial" w:cs="Arial"/>
          <w:color w:val="000000"/>
        </w:rPr>
        <w:t>Viet Nam</w:t>
      </w:r>
      <w:r w:rsidRPr="00BA6D5D">
        <w:rPr>
          <w:rFonts w:ascii="Arial" w:hAnsi="Arial" w:cs="Arial"/>
          <w:color w:val="000000"/>
        </w:rPr>
        <w:t xml:space="preserve"> Country Strategy.</w:t>
      </w:r>
      <w:r w:rsidRPr="00BA6D5D">
        <w:rPr>
          <w:rStyle w:val="FootnoteReference"/>
          <w:rFonts w:cs="Arial"/>
          <w:color w:val="000000"/>
        </w:rPr>
        <w:footnoteReference w:id="5"/>
      </w:r>
      <w:r w:rsidRPr="00BA6D5D">
        <w:rPr>
          <w:rFonts w:ascii="Arial" w:hAnsi="Arial" w:cs="Arial"/>
          <w:color w:val="000000"/>
        </w:rPr>
        <w:t xml:space="preserve"> A goal of this Strategy was to strengthen core</w:t>
      </w:r>
      <w:r w:rsidRPr="00BA6D5D">
        <w:rPr>
          <w:rFonts w:ascii="Arial" w:hAnsi="Arial" w:cs="Arial"/>
          <w:lang w:val="en-AU" w:eastAsia="en-US"/>
        </w:rPr>
        <w:t xml:space="preserve"> elements of the </w:t>
      </w:r>
      <w:r w:rsidR="0028006A">
        <w:rPr>
          <w:rFonts w:ascii="Arial" w:hAnsi="Arial" w:cs="Arial"/>
          <w:lang w:val="en-AU" w:eastAsia="en-US"/>
        </w:rPr>
        <w:t>Viet Nam</w:t>
      </w:r>
      <w:r w:rsidRPr="00BA6D5D">
        <w:rPr>
          <w:rFonts w:ascii="Arial" w:hAnsi="Arial" w:cs="Arial"/>
          <w:lang w:val="en-AU" w:eastAsia="en-US"/>
        </w:rPr>
        <w:t xml:space="preserve"> health system that impact on service delivery, with the specific objective of improving the management, financing and coordination of the health sector.</w:t>
      </w:r>
      <w:r w:rsidRPr="00BA6D5D">
        <w:rPr>
          <w:rStyle w:val="FootnoteReference"/>
          <w:rFonts w:cs="Arial"/>
          <w:lang w:val="en-AU" w:eastAsia="en-US"/>
        </w:rPr>
        <w:footnoteReference w:id="6"/>
      </w:r>
      <w:r w:rsidRPr="00BA6D5D">
        <w:rPr>
          <w:rFonts w:ascii="Arial" w:hAnsi="Arial" w:cs="Arial"/>
          <w:lang w:val="en-AU" w:eastAsia="en-US"/>
        </w:rPr>
        <w:t xml:space="preserve"> Investments at the time included </w:t>
      </w:r>
      <w:r w:rsidR="00AF646B">
        <w:rPr>
          <w:rFonts w:ascii="Arial" w:hAnsi="Arial" w:cs="Arial"/>
          <w:lang w:val="en-AU" w:eastAsia="en-US"/>
        </w:rPr>
        <w:t>those under phase I of the DBHI.</w:t>
      </w:r>
    </w:p>
    <w:p w:rsidR="0057598A" w:rsidRPr="00BA6D5D" w:rsidRDefault="0057598A" w:rsidP="00151AC6">
      <w:pPr>
        <w:jc w:val="both"/>
        <w:rPr>
          <w:rFonts w:ascii="Arial" w:hAnsi="Arial" w:cs="Arial"/>
        </w:rPr>
      </w:pPr>
    </w:p>
    <w:p w:rsidR="0057598A" w:rsidRPr="00BA6D5D" w:rsidRDefault="0057598A" w:rsidP="00151AC6">
      <w:pPr>
        <w:jc w:val="both"/>
        <w:rPr>
          <w:rFonts w:ascii="Arial" w:hAnsi="Arial" w:cs="Arial"/>
        </w:rPr>
      </w:pPr>
      <w:r w:rsidRPr="00BA6D5D">
        <w:rPr>
          <w:rFonts w:ascii="Arial" w:hAnsi="Arial" w:cs="Arial"/>
        </w:rPr>
        <w:fldChar w:fldCharType="begin"/>
      </w:r>
      <w:r w:rsidRPr="00BA6D5D">
        <w:rPr>
          <w:rFonts w:ascii="Arial" w:hAnsi="Arial" w:cs="Arial"/>
        </w:rPr>
        <w:instrText>AUTONUMLGL</w:instrText>
      </w:r>
      <w:r w:rsidRPr="00BA6D5D">
        <w:rPr>
          <w:rFonts w:ascii="Arial" w:hAnsi="Arial" w:cs="Arial"/>
        </w:rPr>
        <w:fldChar w:fldCharType="end"/>
      </w:r>
      <w:r w:rsidRPr="00BA6D5D">
        <w:rPr>
          <w:rFonts w:ascii="Arial" w:hAnsi="Arial" w:cs="Arial"/>
        </w:rPr>
        <w:tab/>
        <w:t xml:space="preserve">The Project is less relevant to the </w:t>
      </w:r>
      <w:r w:rsidRPr="00BA6D5D">
        <w:rPr>
          <w:rFonts w:ascii="Arial" w:hAnsi="Arial" w:cs="Arial"/>
          <w:color w:val="000000"/>
        </w:rPr>
        <w:t xml:space="preserve">GoA’s current </w:t>
      </w:r>
      <w:r w:rsidR="0028006A">
        <w:rPr>
          <w:rFonts w:ascii="Arial" w:hAnsi="Arial" w:cs="Arial"/>
          <w:color w:val="000000"/>
        </w:rPr>
        <w:t>Viet Nam</w:t>
      </w:r>
      <w:r w:rsidRPr="00BA6D5D">
        <w:rPr>
          <w:rFonts w:ascii="Arial" w:hAnsi="Arial" w:cs="Arial"/>
          <w:color w:val="000000"/>
        </w:rPr>
        <w:t xml:space="preserve"> Country Strategy</w:t>
      </w:r>
      <w:r w:rsidRPr="00BA6D5D">
        <w:rPr>
          <w:rStyle w:val="FootnoteReference"/>
          <w:rFonts w:cs="Arial"/>
          <w:i/>
        </w:rPr>
        <w:footnoteReference w:id="7"/>
      </w:r>
      <w:r w:rsidRPr="00BA6D5D">
        <w:rPr>
          <w:rFonts w:ascii="Arial" w:hAnsi="Arial" w:cs="Arial"/>
        </w:rPr>
        <w:t xml:space="preserve"> under which Australia has disengaged from health sector investments to focus on the core areas of human resource development</w:t>
      </w:r>
      <w:r w:rsidR="00AF646B">
        <w:rPr>
          <w:rFonts w:ascii="Arial" w:hAnsi="Arial" w:cs="Arial"/>
        </w:rPr>
        <w:t>,</w:t>
      </w:r>
      <w:r w:rsidRPr="00BA6D5D">
        <w:rPr>
          <w:rFonts w:ascii="Arial" w:hAnsi="Arial" w:cs="Arial"/>
        </w:rPr>
        <w:t xml:space="preserve"> economic integration</w:t>
      </w:r>
      <w:r w:rsidR="00AF646B">
        <w:rPr>
          <w:rFonts w:ascii="Arial" w:hAnsi="Arial" w:cs="Arial"/>
        </w:rPr>
        <w:t>,</w:t>
      </w:r>
      <w:r w:rsidRPr="00BA6D5D">
        <w:rPr>
          <w:rFonts w:ascii="Arial" w:hAnsi="Arial" w:cs="Arial"/>
        </w:rPr>
        <w:t xml:space="preserve"> and environmental sustainability. While the Strategy recognizes the GoV’s wider development goal of meeting human resource needs associated with </w:t>
      </w:r>
      <w:r w:rsidRPr="00BA6D5D">
        <w:rPr>
          <w:rFonts w:ascii="Arial" w:hAnsi="Arial" w:cs="Arial"/>
          <w:color w:val="000000"/>
        </w:rPr>
        <w:t xml:space="preserve">progression to an industrialized country by 2020, the GoA’s contribution is more narrowly focused on improving the quality of </w:t>
      </w:r>
      <w:r w:rsidR="0028006A">
        <w:rPr>
          <w:rFonts w:ascii="Arial" w:hAnsi="Arial" w:cs="Arial"/>
          <w:color w:val="000000"/>
        </w:rPr>
        <w:t>Viet Nam</w:t>
      </w:r>
      <w:r w:rsidRPr="00BA6D5D">
        <w:rPr>
          <w:rFonts w:ascii="Arial" w:hAnsi="Arial" w:cs="Arial"/>
          <w:color w:val="000000"/>
        </w:rPr>
        <w:t xml:space="preserve">'s human resources through scholarships and increasing links </w:t>
      </w:r>
      <w:r w:rsidRPr="00BA6D5D">
        <w:rPr>
          <w:rFonts w:ascii="Arial" w:hAnsi="Arial" w:cs="Arial"/>
        </w:rPr>
        <w:t>between public secto</w:t>
      </w:r>
      <w:r w:rsidR="00A50C99">
        <w:rPr>
          <w:rFonts w:ascii="Arial" w:hAnsi="Arial" w:cs="Arial"/>
        </w:rPr>
        <w:t>r institutions. Nonetheless,</w:t>
      </w:r>
      <w:r w:rsidRPr="00BA6D5D">
        <w:rPr>
          <w:rFonts w:ascii="Arial" w:hAnsi="Arial" w:cs="Arial"/>
        </w:rPr>
        <w:t xml:space="preserve"> investments under </w:t>
      </w:r>
      <w:r w:rsidR="00A50C99">
        <w:rPr>
          <w:rFonts w:ascii="Arial" w:hAnsi="Arial" w:cs="Arial"/>
        </w:rPr>
        <w:t>the HHRSDP for</w:t>
      </w:r>
      <w:r w:rsidRPr="00BA6D5D">
        <w:rPr>
          <w:rFonts w:ascii="Arial" w:hAnsi="Arial" w:cs="Arial"/>
        </w:rPr>
        <w:t xml:space="preserve"> postgraduate training and strengthening accreditation of processes within </w:t>
      </w:r>
      <w:r w:rsidR="0084683F">
        <w:rPr>
          <w:rFonts w:ascii="Arial" w:hAnsi="Arial" w:cs="Arial"/>
        </w:rPr>
        <w:t>HPTF</w:t>
      </w:r>
      <w:r w:rsidRPr="00BA6D5D">
        <w:rPr>
          <w:rFonts w:ascii="Arial" w:hAnsi="Arial" w:cs="Arial"/>
        </w:rPr>
        <w:t xml:space="preserve"> will contribute the GoV’s wider development goal.</w:t>
      </w:r>
    </w:p>
    <w:p w:rsidR="0057598A" w:rsidRPr="00BA6D5D" w:rsidRDefault="0057598A" w:rsidP="00151AC6">
      <w:pPr>
        <w:jc w:val="both"/>
        <w:rPr>
          <w:rFonts w:ascii="Arial" w:hAnsi="Arial" w:cs="Arial"/>
        </w:rPr>
      </w:pPr>
    </w:p>
    <w:p w:rsidR="0057598A" w:rsidRPr="00BA6D5D" w:rsidRDefault="0057598A" w:rsidP="00151AC6">
      <w:pPr>
        <w:jc w:val="both"/>
        <w:rPr>
          <w:rFonts w:ascii="Arial" w:hAnsi="Arial" w:cs="Arial"/>
        </w:rPr>
      </w:pPr>
      <w:r w:rsidRPr="00BA6D5D">
        <w:rPr>
          <w:rFonts w:ascii="Arial" w:hAnsi="Arial" w:cs="Arial"/>
        </w:rPr>
        <w:t xml:space="preserve">3. </w:t>
      </w:r>
      <w:r w:rsidR="00AF646B">
        <w:rPr>
          <w:rFonts w:ascii="Arial" w:hAnsi="Arial" w:cs="Arial"/>
        </w:rPr>
        <w:t>I</w:t>
      </w:r>
      <w:r w:rsidRPr="00BA6D5D">
        <w:rPr>
          <w:rFonts w:ascii="Arial" w:hAnsi="Arial" w:cs="Arial"/>
        </w:rPr>
        <w:t xml:space="preserve">nvestments under </w:t>
      </w:r>
      <w:r w:rsidR="00AF646B">
        <w:rPr>
          <w:rFonts w:ascii="Arial" w:hAnsi="Arial" w:cs="Arial"/>
        </w:rPr>
        <w:t xml:space="preserve">the </w:t>
      </w:r>
      <w:r w:rsidRPr="00BA6D5D">
        <w:rPr>
          <w:rFonts w:ascii="Arial" w:hAnsi="Arial" w:cs="Arial"/>
        </w:rPr>
        <w:t xml:space="preserve">HHRSDP built on Australia’s comparative advantage on several levels. Exposure of MoH policy makers to Australia’s experience in health workforce regulation culminated in MoH drawing on Australian technical inputs to support the development of policies for the registration </w:t>
      </w:r>
      <w:r w:rsidRPr="00325847">
        <w:rPr>
          <w:rFonts w:ascii="Arial" w:hAnsi="Arial" w:cs="Arial"/>
        </w:rPr>
        <w:t xml:space="preserve">and licensing of health professionals and health facilities. Australia’s comparative advantage in the education sector has been </w:t>
      </w:r>
      <w:r w:rsidR="001A5AD9" w:rsidRPr="00325847">
        <w:rPr>
          <w:rFonts w:ascii="Arial" w:hAnsi="Arial" w:cs="Arial"/>
        </w:rPr>
        <w:t>drawn on</w:t>
      </w:r>
      <w:r w:rsidRPr="00325847">
        <w:rPr>
          <w:rFonts w:ascii="Arial" w:hAnsi="Arial" w:cs="Arial"/>
        </w:rPr>
        <w:t xml:space="preserve"> to support </w:t>
      </w:r>
      <w:r w:rsidR="007A050B" w:rsidRPr="00325847">
        <w:rPr>
          <w:rFonts w:ascii="Arial" w:hAnsi="Arial" w:cs="Arial"/>
        </w:rPr>
        <w:t xml:space="preserve">strengthening of internal quality assurance </w:t>
      </w:r>
      <w:r w:rsidR="007A050B" w:rsidRPr="005030F5">
        <w:rPr>
          <w:rFonts w:ascii="Arial" w:hAnsi="Arial" w:cs="Arial"/>
        </w:rPr>
        <w:t>processes within HPTF</w:t>
      </w:r>
      <w:r w:rsidRPr="00583184">
        <w:rPr>
          <w:rFonts w:ascii="Arial" w:hAnsi="Arial" w:cs="Arial"/>
        </w:rPr>
        <w:t xml:space="preserve">, setting the foundation for future efforts </w:t>
      </w:r>
      <w:r w:rsidR="001A5AD9" w:rsidRPr="00325847">
        <w:rPr>
          <w:rFonts w:ascii="Arial" w:hAnsi="Arial" w:cs="Arial"/>
        </w:rPr>
        <w:t>by</w:t>
      </w:r>
      <w:r w:rsidRPr="00325847">
        <w:rPr>
          <w:rFonts w:ascii="Arial" w:hAnsi="Arial" w:cs="Arial"/>
        </w:rPr>
        <w:t xml:space="preserve"> medical teaching institutions to </w:t>
      </w:r>
      <w:r w:rsidR="001A5AD9" w:rsidRPr="00325847">
        <w:rPr>
          <w:rFonts w:ascii="Arial" w:hAnsi="Arial" w:cs="Arial"/>
        </w:rPr>
        <w:t xml:space="preserve">gain </w:t>
      </w:r>
      <w:r w:rsidRPr="00325847">
        <w:rPr>
          <w:rFonts w:ascii="Arial" w:hAnsi="Arial" w:cs="Arial"/>
        </w:rPr>
        <w:t xml:space="preserve">international accreditation. Investments in testing case-based funding mechanisms under </w:t>
      </w:r>
      <w:r w:rsidR="00A50C99">
        <w:rPr>
          <w:rFonts w:ascii="Arial" w:hAnsi="Arial" w:cs="Arial"/>
        </w:rPr>
        <w:t>the HHRSDP</w:t>
      </w:r>
      <w:r w:rsidRPr="00325847">
        <w:rPr>
          <w:rFonts w:ascii="Arial" w:hAnsi="Arial" w:cs="Arial"/>
        </w:rPr>
        <w:t xml:space="preserve"> built on the accomplishments of earlier Australian investments under the DBHI to pilot approaches for health financing reform.</w:t>
      </w:r>
    </w:p>
    <w:p w:rsidR="0057598A" w:rsidRPr="00BA6D5D" w:rsidRDefault="0057598A" w:rsidP="00151AC6">
      <w:pPr>
        <w:jc w:val="both"/>
        <w:rPr>
          <w:rFonts w:ascii="Arial" w:hAnsi="Arial" w:cs="Arial"/>
        </w:rPr>
      </w:pPr>
    </w:p>
    <w:p w:rsidR="0057598A" w:rsidRPr="00C539B5" w:rsidRDefault="0057598A" w:rsidP="00C539B5">
      <w:pPr>
        <w:pStyle w:val="Heading3"/>
        <w:numPr>
          <w:ilvl w:val="0"/>
          <w:numId w:val="4"/>
        </w:numPr>
        <w:spacing w:after="120"/>
        <w:ind w:hanging="540"/>
        <w:jc w:val="both"/>
        <w:rPr>
          <w:rFonts w:cs="Times New Roman"/>
          <w:bCs w:val="0"/>
          <w:color w:val="000000"/>
          <w:sz w:val="21"/>
          <w:szCs w:val="21"/>
          <w:lang w:eastAsia="en-US"/>
        </w:rPr>
      </w:pPr>
      <w:bookmarkStart w:id="33" w:name="_Toc422301198"/>
      <w:bookmarkStart w:id="34" w:name="_Toc423359318"/>
      <w:r w:rsidRPr="00C539B5">
        <w:rPr>
          <w:rFonts w:cs="Times New Roman"/>
          <w:bCs w:val="0"/>
          <w:color w:val="000000"/>
          <w:sz w:val="21"/>
          <w:szCs w:val="21"/>
          <w:lang w:eastAsia="en-US"/>
        </w:rPr>
        <w:t>Relevance to the Investment Strategies of the ADB</w:t>
      </w:r>
      <w:bookmarkEnd w:id="33"/>
      <w:bookmarkEnd w:id="34"/>
    </w:p>
    <w:p w:rsidR="0057598A" w:rsidRPr="00FD6EB5" w:rsidRDefault="0057598A" w:rsidP="00151AC6">
      <w:pPr>
        <w:widowControl w:val="0"/>
        <w:autoSpaceDE w:val="0"/>
        <w:autoSpaceDN w:val="0"/>
        <w:adjustRightInd w:val="0"/>
        <w:spacing w:after="240"/>
        <w:jc w:val="both"/>
        <w:rPr>
          <w:rFonts w:ascii="Arial" w:eastAsia="MS Mincho" w:hAnsi="Arial" w:cs="Arial"/>
          <w:sz w:val="24"/>
          <w:szCs w:val="24"/>
          <w:lang w:eastAsia="en-US"/>
        </w:rPr>
      </w:pPr>
      <w:r w:rsidRPr="00BA6D5D">
        <w:rPr>
          <w:rFonts w:ascii="Arial" w:hAnsi="Arial" w:cs="Arial"/>
        </w:rPr>
        <w:fldChar w:fldCharType="begin"/>
      </w:r>
      <w:r w:rsidRPr="00BA6D5D">
        <w:rPr>
          <w:rFonts w:ascii="Arial" w:hAnsi="Arial" w:cs="Arial"/>
        </w:rPr>
        <w:instrText>AUTONUMLGL</w:instrText>
      </w:r>
      <w:r w:rsidRPr="00BA6D5D">
        <w:rPr>
          <w:rFonts w:ascii="Arial" w:hAnsi="Arial" w:cs="Arial"/>
        </w:rPr>
        <w:fldChar w:fldCharType="end"/>
      </w:r>
      <w:r w:rsidRPr="00BA6D5D">
        <w:rPr>
          <w:rFonts w:ascii="Arial" w:hAnsi="Arial" w:cs="Arial"/>
        </w:rPr>
        <w:tab/>
      </w:r>
      <w:r w:rsidRPr="00BA6D5D">
        <w:rPr>
          <w:rFonts w:ascii="Arial" w:hAnsi="Arial" w:cs="Arial"/>
          <w:color w:val="000000"/>
        </w:rPr>
        <w:t>The HHRSDP at design was consistent with ADB’s Long Term Strategic Framework</w:t>
      </w:r>
      <w:r w:rsidRPr="00BA6D5D">
        <w:rPr>
          <w:rStyle w:val="FootnoteReference"/>
          <w:rFonts w:cs="Arial"/>
          <w:color w:val="000000"/>
        </w:rPr>
        <w:footnoteReference w:id="8"/>
      </w:r>
      <w:r w:rsidRPr="00BA6D5D">
        <w:rPr>
          <w:rFonts w:ascii="Arial" w:hAnsi="Arial" w:cs="Arial"/>
          <w:color w:val="000000"/>
        </w:rPr>
        <w:t xml:space="preserve"> and it’s complimentary Operational Plan for Health,</w:t>
      </w:r>
      <w:r w:rsidRPr="00BA6D5D">
        <w:rPr>
          <w:rStyle w:val="FootnoteReference"/>
          <w:rFonts w:cs="Arial"/>
          <w:color w:val="000000"/>
        </w:rPr>
        <w:footnoteReference w:id="9"/>
      </w:r>
      <w:r w:rsidRPr="00BA6D5D">
        <w:rPr>
          <w:rStyle w:val="FootnoteReference"/>
          <w:rFonts w:cs="Arial"/>
          <w:color w:val="000000"/>
        </w:rPr>
        <w:t xml:space="preserve"> </w:t>
      </w:r>
      <w:r w:rsidRPr="00BA6D5D">
        <w:rPr>
          <w:rFonts w:ascii="Arial" w:hAnsi="Arial" w:cs="Arial"/>
          <w:color w:val="000000"/>
        </w:rPr>
        <w:t xml:space="preserve">which emphasize selective health sector engagement in key strategic support areas including improved human resources for health. </w:t>
      </w:r>
      <w:r w:rsidR="00A50C99">
        <w:rPr>
          <w:rFonts w:ascii="Arial" w:hAnsi="Arial" w:cs="Arial"/>
          <w:color w:val="000000"/>
        </w:rPr>
        <w:t xml:space="preserve">The </w:t>
      </w:r>
      <w:r w:rsidRPr="00BA6D5D">
        <w:rPr>
          <w:rFonts w:ascii="Arial" w:hAnsi="Arial" w:cs="Arial"/>
          <w:color w:val="000000"/>
        </w:rPr>
        <w:t>HHRSDP was included in ADB’s country operations business plan 2010– 2012.</w:t>
      </w:r>
      <w:r w:rsidRPr="00BA6D5D">
        <w:rPr>
          <w:rStyle w:val="FootnoteReference"/>
          <w:rFonts w:cs="Arial"/>
          <w:color w:val="000000"/>
        </w:rPr>
        <w:footnoteReference w:id="10"/>
      </w:r>
      <w:r w:rsidRPr="00FD6EB5">
        <w:rPr>
          <w:rFonts w:ascii="Arial" w:eastAsia="MS Mincho" w:hAnsi="Arial" w:cs="Arial"/>
          <w:sz w:val="24"/>
          <w:szCs w:val="24"/>
          <w:lang w:eastAsia="en-US"/>
        </w:rPr>
        <w:t xml:space="preserve"> </w:t>
      </w:r>
      <w:r w:rsidRPr="00BA6D5D">
        <w:rPr>
          <w:rFonts w:ascii="Arial" w:hAnsi="Arial" w:cs="Arial"/>
        </w:rPr>
        <w:t xml:space="preserve">Investments under the </w:t>
      </w:r>
      <w:r w:rsidRPr="00BA6D5D">
        <w:rPr>
          <w:rFonts w:ascii="Arial" w:hAnsi="Arial" w:cs="Arial"/>
          <w:color w:val="000000"/>
        </w:rPr>
        <w:t>HHRSDP</w:t>
      </w:r>
      <w:r w:rsidRPr="00BA6D5D">
        <w:rPr>
          <w:rFonts w:ascii="Arial" w:hAnsi="Arial" w:cs="Arial"/>
        </w:rPr>
        <w:t xml:space="preserve"> in health training institutions, health workforce development, and the strengthening of planning and governance of health public expenditure remain relevant to ADB’s current strategic priorities. ADB’s Operational Plan for Health for 2015-2020 includes three focus areas: (i) </w:t>
      </w:r>
      <w:r w:rsidR="00542948">
        <w:rPr>
          <w:rFonts w:ascii="Arial" w:hAnsi="Arial" w:cs="Arial"/>
        </w:rPr>
        <w:t>H</w:t>
      </w:r>
      <w:r w:rsidRPr="00BA6D5D">
        <w:rPr>
          <w:rFonts w:ascii="Arial" w:hAnsi="Arial" w:cs="Arial"/>
        </w:rPr>
        <w:t xml:space="preserve">ealth infrastructure, (ii) </w:t>
      </w:r>
      <w:r w:rsidR="00542948">
        <w:rPr>
          <w:rFonts w:ascii="Arial" w:hAnsi="Arial" w:cs="Arial"/>
        </w:rPr>
        <w:t>H</w:t>
      </w:r>
      <w:r w:rsidRPr="00BA6D5D">
        <w:rPr>
          <w:rFonts w:ascii="Arial" w:hAnsi="Arial" w:cs="Arial"/>
        </w:rPr>
        <w:t xml:space="preserve">ealth sector governance and regional public goods, and (iii) </w:t>
      </w:r>
      <w:r w:rsidR="00542948">
        <w:rPr>
          <w:rFonts w:ascii="Arial" w:hAnsi="Arial" w:cs="Arial"/>
        </w:rPr>
        <w:t>H</w:t>
      </w:r>
      <w:r w:rsidRPr="00BA6D5D">
        <w:rPr>
          <w:rFonts w:ascii="Arial" w:hAnsi="Arial" w:cs="Arial"/>
        </w:rPr>
        <w:t>ealth financing. Future ADB engagement will target supply side constraints to health service delivery and health workforce and enhance demand side through support to health financing reform.</w:t>
      </w:r>
      <w:r w:rsidRPr="00BA6D5D">
        <w:rPr>
          <w:rStyle w:val="FootnoteReference"/>
          <w:rFonts w:cs="Arial"/>
        </w:rPr>
        <w:footnoteReference w:id="11"/>
      </w:r>
      <w:r w:rsidRPr="00BA6D5D">
        <w:rPr>
          <w:rFonts w:ascii="Arial" w:hAnsi="Arial" w:cs="Arial"/>
        </w:rPr>
        <w:t xml:space="preserve"> ADB’s current </w:t>
      </w:r>
      <w:r w:rsidR="00542948">
        <w:rPr>
          <w:rFonts w:ascii="Arial" w:hAnsi="Arial" w:cs="Arial"/>
        </w:rPr>
        <w:t>H</w:t>
      </w:r>
      <w:r w:rsidRPr="00BA6D5D">
        <w:rPr>
          <w:rFonts w:ascii="Arial" w:hAnsi="Arial" w:cs="Arial"/>
        </w:rPr>
        <w:t xml:space="preserve">ealth </w:t>
      </w:r>
      <w:r w:rsidR="00542948">
        <w:rPr>
          <w:rFonts w:ascii="Arial" w:hAnsi="Arial" w:cs="Arial"/>
        </w:rPr>
        <w:t>Re</w:t>
      </w:r>
      <w:r w:rsidRPr="00BA6D5D">
        <w:rPr>
          <w:rFonts w:ascii="Arial" w:hAnsi="Arial" w:cs="Arial"/>
        </w:rPr>
        <w:t xml:space="preserve">sults </w:t>
      </w:r>
      <w:r w:rsidR="00542948">
        <w:rPr>
          <w:rFonts w:ascii="Arial" w:hAnsi="Arial" w:cs="Arial"/>
        </w:rPr>
        <w:t>F</w:t>
      </w:r>
      <w:r w:rsidRPr="00BA6D5D">
        <w:rPr>
          <w:rFonts w:ascii="Arial" w:hAnsi="Arial" w:cs="Arial"/>
        </w:rPr>
        <w:t xml:space="preserve">ramework includes: (i) </w:t>
      </w:r>
      <w:r w:rsidR="00542948">
        <w:rPr>
          <w:rFonts w:ascii="Arial" w:hAnsi="Arial" w:cs="Arial"/>
        </w:rPr>
        <w:t>A</w:t>
      </w:r>
      <w:r w:rsidRPr="00BA6D5D">
        <w:rPr>
          <w:rFonts w:ascii="Arial" w:hAnsi="Arial" w:cs="Arial"/>
        </w:rPr>
        <w:t xml:space="preserve"> proposed </w:t>
      </w:r>
      <w:r w:rsidR="00B55B87" w:rsidRPr="00D33652">
        <w:rPr>
          <w:rFonts w:ascii="Arial" w:hAnsi="Arial" w:cs="Arial"/>
        </w:rPr>
        <w:t>Project Preparatory Technical Assistance (PPTA</w:t>
      </w:r>
      <w:r w:rsidR="00B55B87">
        <w:rPr>
          <w:rFonts w:ascii="Arial" w:hAnsi="Arial" w:cs="Arial"/>
        </w:rPr>
        <w:t xml:space="preserve">) </w:t>
      </w:r>
      <w:r w:rsidRPr="00BA6D5D">
        <w:rPr>
          <w:rFonts w:ascii="Arial" w:hAnsi="Arial" w:cs="Arial"/>
        </w:rPr>
        <w:t>for a second phase of</w:t>
      </w:r>
      <w:r w:rsidR="00A50C99">
        <w:rPr>
          <w:rFonts w:ascii="Arial" w:hAnsi="Arial" w:cs="Arial"/>
        </w:rPr>
        <w:t xml:space="preserve"> the</w:t>
      </w:r>
      <w:r w:rsidRPr="00BA6D5D">
        <w:rPr>
          <w:rFonts w:ascii="Arial" w:hAnsi="Arial" w:cs="Arial"/>
        </w:rPr>
        <w:t xml:space="preserve"> HHRSDP; (ii) HHRSDP</w:t>
      </w:r>
      <w:r w:rsidR="00542948">
        <w:rPr>
          <w:rFonts w:ascii="Arial" w:hAnsi="Arial" w:cs="Arial"/>
        </w:rPr>
        <w:t xml:space="preserve"> Phase 2</w:t>
      </w:r>
      <w:r w:rsidRPr="00BA6D5D">
        <w:rPr>
          <w:rFonts w:ascii="Arial" w:hAnsi="Arial" w:cs="Arial"/>
        </w:rPr>
        <w:t xml:space="preserve"> (estimated at $80M). </w:t>
      </w:r>
    </w:p>
    <w:p w:rsidR="0057598A" w:rsidRPr="00BA6D5D" w:rsidRDefault="0057598A" w:rsidP="00151AC6">
      <w:pPr>
        <w:jc w:val="both"/>
        <w:rPr>
          <w:rFonts w:ascii="Arial" w:hAnsi="Arial" w:cs="Arial"/>
        </w:rPr>
      </w:pPr>
    </w:p>
    <w:p w:rsidR="0057598A" w:rsidRPr="00C539B5" w:rsidRDefault="0057598A" w:rsidP="00C539B5">
      <w:pPr>
        <w:pStyle w:val="Heading3"/>
        <w:numPr>
          <w:ilvl w:val="0"/>
          <w:numId w:val="4"/>
        </w:numPr>
        <w:spacing w:after="120"/>
        <w:ind w:hanging="540"/>
        <w:jc w:val="both"/>
        <w:rPr>
          <w:rFonts w:cs="Times New Roman"/>
          <w:bCs w:val="0"/>
          <w:color w:val="000000"/>
          <w:sz w:val="21"/>
          <w:szCs w:val="21"/>
          <w:lang w:eastAsia="en-US"/>
        </w:rPr>
      </w:pPr>
      <w:bookmarkStart w:id="35" w:name="_Toc422301199"/>
      <w:bookmarkStart w:id="36" w:name="_Toc423359319"/>
      <w:r w:rsidRPr="00C539B5">
        <w:rPr>
          <w:rFonts w:cs="Times New Roman"/>
          <w:bCs w:val="0"/>
          <w:color w:val="000000"/>
          <w:sz w:val="21"/>
          <w:szCs w:val="21"/>
          <w:lang w:eastAsia="en-US"/>
        </w:rPr>
        <w:t>Overall Assessment</w:t>
      </w:r>
      <w:bookmarkEnd w:id="35"/>
      <w:bookmarkEnd w:id="36"/>
    </w:p>
    <w:p w:rsidR="0057598A" w:rsidRPr="00BA6D5D" w:rsidRDefault="0057598A" w:rsidP="00151AC6">
      <w:pPr>
        <w:jc w:val="both"/>
        <w:rPr>
          <w:rFonts w:ascii="Arial" w:hAnsi="Arial" w:cs="Arial"/>
          <w:lang w:eastAsia="en-US"/>
        </w:rPr>
      </w:pPr>
      <w:r w:rsidRPr="00BA6D5D">
        <w:rPr>
          <w:rFonts w:ascii="Arial" w:hAnsi="Arial" w:cs="Arial"/>
        </w:rPr>
        <w:fldChar w:fldCharType="begin"/>
      </w:r>
      <w:r w:rsidRPr="00BA6D5D">
        <w:rPr>
          <w:rFonts w:ascii="Arial" w:hAnsi="Arial" w:cs="Arial"/>
        </w:rPr>
        <w:instrText xml:space="preserve"> AUTONUM </w:instrText>
      </w:r>
      <w:r w:rsidRPr="00BA6D5D">
        <w:rPr>
          <w:rFonts w:ascii="Arial" w:hAnsi="Arial" w:cs="Arial"/>
        </w:rPr>
        <w:fldChar w:fldCharType="end"/>
      </w:r>
      <w:r w:rsidRPr="00BA6D5D">
        <w:rPr>
          <w:rFonts w:ascii="Arial" w:hAnsi="Arial" w:cs="Arial"/>
        </w:rPr>
        <w:tab/>
        <w:t>The ICE team scored the HHRSDP’s o</w:t>
      </w:r>
      <w:r w:rsidR="00A500FF" w:rsidRPr="00BA6D5D">
        <w:rPr>
          <w:rFonts w:ascii="Arial" w:hAnsi="Arial" w:cs="Arial"/>
        </w:rPr>
        <w:t>verall rating for relevance as 5</w:t>
      </w:r>
      <w:r w:rsidRPr="00BA6D5D">
        <w:rPr>
          <w:rFonts w:ascii="Arial" w:hAnsi="Arial" w:cs="Arial"/>
        </w:rPr>
        <w:t>. Ratings for individual relevance sub-criteria are listed in Ap</w:t>
      </w:r>
      <w:r w:rsidR="0083545E" w:rsidRPr="00BA6D5D">
        <w:rPr>
          <w:rFonts w:ascii="Arial" w:hAnsi="Arial" w:cs="Arial"/>
        </w:rPr>
        <w:t xml:space="preserve">pendix </w:t>
      </w:r>
      <w:r w:rsidR="00542948">
        <w:rPr>
          <w:rFonts w:ascii="Arial" w:hAnsi="Arial" w:cs="Arial"/>
        </w:rPr>
        <w:t>1</w:t>
      </w:r>
      <w:r w:rsidR="0083545E" w:rsidRPr="00BA6D5D">
        <w:rPr>
          <w:rFonts w:ascii="Arial" w:hAnsi="Arial" w:cs="Arial"/>
        </w:rPr>
        <w:t xml:space="preserve">, Table </w:t>
      </w:r>
      <w:r w:rsidR="00542948">
        <w:rPr>
          <w:rFonts w:ascii="Arial" w:hAnsi="Arial" w:cs="Arial"/>
        </w:rPr>
        <w:t>1</w:t>
      </w:r>
      <w:r w:rsidR="0083545E" w:rsidRPr="00BA6D5D">
        <w:rPr>
          <w:rFonts w:ascii="Arial" w:hAnsi="Arial" w:cs="Arial"/>
        </w:rPr>
        <w:t>.1</w:t>
      </w:r>
      <w:r w:rsidRPr="00BA6D5D">
        <w:rPr>
          <w:rFonts w:ascii="Arial" w:hAnsi="Arial" w:cs="Arial"/>
        </w:rPr>
        <w:t>.</w:t>
      </w:r>
      <w:r w:rsidR="00A500FF" w:rsidRPr="00BA6D5D">
        <w:rPr>
          <w:rFonts w:ascii="Arial" w:hAnsi="Arial" w:cs="Arial"/>
          <w:lang w:eastAsia="en-US"/>
        </w:rPr>
        <w:t xml:space="preserve"> </w:t>
      </w:r>
    </w:p>
    <w:p w:rsidR="0057598A" w:rsidRPr="00BA6D5D" w:rsidRDefault="0057598A" w:rsidP="00151AC6">
      <w:pPr>
        <w:jc w:val="both"/>
        <w:rPr>
          <w:rFonts w:ascii="Arial" w:hAnsi="Arial" w:cs="Arial"/>
        </w:rPr>
      </w:pPr>
    </w:p>
    <w:p w:rsidR="0057598A" w:rsidRPr="00BA6D5D" w:rsidRDefault="0057598A" w:rsidP="00151AC6">
      <w:pPr>
        <w:jc w:val="both"/>
        <w:rPr>
          <w:rFonts w:ascii="Arial" w:hAnsi="Arial" w:cs="Arial"/>
        </w:rPr>
      </w:pPr>
    </w:p>
    <w:p w:rsidR="0057598A" w:rsidRPr="00BA6D5D" w:rsidRDefault="0057598A" w:rsidP="00151AC6">
      <w:pPr>
        <w:jc w:val="both"/>
        <w:rPr>
          <w:rFonts w:ascii="Arial" w:hAnsi="Arial" w:cs="Arial"/>
        </w:rPr>
      </w:pPr>
    </w:p>
    <w:p w:rsidR="00BD505B" w:rsidRPr="00BA6D5D" w:rsidRDefault="00BD505B" w:rsidP="00151AC6">
      <w:pPr>
        <w:jc w:val="both"/>
        <w:rPr>
          <w:rFonts w:ascii="Arial" w:hAnsi="Arial" w:cs="Arial"/>
        </w:rPr>
      </w:pPr>
    </w:p>
    <w:p w:rsidR="00AB05C0" w:rsidRPr="00BA6D5D" w:rsidRDefault="00AB05C0" w:rsidP="00151AC6">
      <w:pPr>
        <w:jc w:val="both"/>
        <w:rPr>
          <w:rFonts w:ascii="Arial" w:hAnsi="Arial" w:cs="Arial"/>
        </w:rPr>
      </w:pPr>
    </w:p>
    <w:p w:rsidR="0057598A" w:rsidRPr="00BA6D5D" w:rsidRDefault="00A24407" w:rsidP="00D90140">
      <w:pPr>
        <w:pStyle w:val="Heading2"/>
        <w:spacing w:after="120"/>
        <w:rPr>
          <w:bCs w:val="0"/>
          <w:i w:val="0"/>
          <w:iCs w:val="0"/>
          <w:color w:val="000000"/>
          <w:sz w:val="22"/>
          <w:szCs w:val="20"/>
          <w:lang w:eastAsia="en-US"/>
        </w:rPr>
      </w:pPr>
      <w:r w:rsidRPr="00BA6D5D">
        <w:br w:type="page"/>
      </w:r>
      <w:bookmarkStart w:id="37" w:name="_Toc422301200"/>
      <w:bookmarkStart w:id="38" w:name="_Toc423359320"/>
      <w:bookmarkStart w:id="39" w:name="_Toc207171373"/>
      <w:r w:rsidR="0057598A" w:rsidRPr="00BA6D5D">
        <w:rPr>
          <w:bCs w:val="0"/>
          <w:i w:val="0"/>
          <w:iCs w:val="0"/>
          <w:color w:val="000000"/>
          <w:sz w:val="22"/>
          <w:szCs w:val="20"/>
          <w:lang w:eastAsia="en-US"/>
        </w:rPr>
        <w:t>E</w:t>
      </w:r>
      <w:r w:rsidR="005B520D">
        <w:rPr>
          <w:bCs w:val="0"/>
          <w:i w:val="0"/>
          <w:iCs w:val="0"/>
          <w:color w:val="000000"/>
          <w:sz w:val="22"/>
          <w:szCs w:val="20"/>
          <w:lang w:eastAsia="en-US"/>
        </w:rPr>
        <w:t>ffectiveness</w:t>
      </w:r>
      <w:bookmarkEnd w:id="37"/>
      <w:bookmarkEnd w:id="38"/>
    </w:p>
    <w:p w:rsidR="00F167A8" w:rsidRPr="00BA6D5D" w:rsidRDefault="00F167A8" w:rsidP="00F167A8">
      <w:pPr>
        <w:jc w:val="both"/>
        <w:rPr>
          <w:rFonts w:ascii="Arial" w:hAnsi="Arial" w:cs="Arial"/>
        </w:rPr>
      </w:pPr>
      <w:r w:rsidRPr="00BA6D5D">
        <w:rPr>
          <w:rFonts w:ascii="Arial" w:hAnsi="Arial" w:cs="Arial"/>
        </w:rPr>
        <w:fldChar w:fldCharType="begin"/>
      </w:r>
      <w:r w:rsidRPr="00BA6D5D">
        <w:rPr>
          <w:rFonts w:ascii="Arial" w:hAnsi="Arial" w:cs="Arial"/>
        </w:rPr>
        <w:instrText>AUTONUMLGL</w:instrText>
      </w:r>
      <w:r w:rsidRPr="00BA6D5D">
        <w:rPr>
          <w:rFonts w:ascii="Arial" w:hAnsi="Arial" w:cs="Arial"/>
        </w:rPr>
        <w:fldChar w:fldCharType="end"/>
      </w:r>
      <w:r w:rsidRPr="00BA6D5D">
        <w:rPr>
          <w:rFonts w:ascii="Arial" w:hAnsi="Arial" w:cs="Arial"/>
        </w:rPr>
        <w:tab/>
        <w:t>Assessment of effectiveness provide</w:t>
      </w:r>
      <w:r w:rsidR="00515CD2">
        <w:rPr>
          <w:rFonts w:ascii="Arial" w:hAnsi="Arial" w:cs="Arial"/>
        </w:rPr>
        <w:t>s</w:t>
      </w:r>
      <w:r w:rsidRPr="00BA6D5D">
        <w:rPr>
          <w:rFonts w:ascii="Arial" w:hAnsi="Arial" w:cs="Arial"/>
        </w:rPr>
        <w:t xml:space="preserve"> a measure of achievement against the intended objectives of the investment. </w:t>
      </w:r>
      <w:r w:rsidR="008F7D4B">
        <w:rPr>
          <w:rFonts w:ascii="Arial" w:hAnsi="Arial" w:cs="Arial"/>
        </w:rPr>
        <w:t xml:space="preserve">As noted in the methodology section, </w:t>
      </w:r>
      <w:r w:rsidRPr="00BA6D5D">
        <w:rPr>
          <w:rFonts w:ascii="Arial" w:hAnsi="Arial" w:cs="Arial"/>
        </w:rPr>
        <w:t>assessment of</w:t>
      </w:r>
      <w:r w:rsidR="002A4610">
        <w:rPr>
          <w:rFonts w:ascii="Arial" w:hAnsi="Arial" w:cs="Arial"/>
        </w:rPr>
        <w:t xml:space="preserve"> </w:t>
      </w:r>
      <w:r w:rsidRPr="00BA6D5D">
        <w:rPr>
          <w:rFonts w:ascii="Arial" w:hAnsi="Arial" w:cs="Arial"/>
        </w:rPr>
        <w:t xml:space="preserve">effectiveness of </w:t>
      </w:r>
      <w:r w:rsidR="008C41E0">
        <w:rPr>
          <w:rFonts w:ascii="Arial" w:hAnsi="Arial" w:cs="Arial"/>
        </w:rPr>
        <w:t xml:space="preserve">the </w:t>
      </w:r>
      <w:r w:rsidRPr="00BA6D5D">
        <w:rPr>
          <w:rFonts w:ascii="Arial" w:hAnsi="Arial" w:cs="Arial"/>
        </w:rPr>
        <w:t xml:space="preserve">investment </w:t>
      </w:r>
      <w:r w:rsidR="00515CD2">
        <w:rPr>
          <w:rFonts w:ascii="Arial" w:hAnsi="Arial" w:cs="Arial"/>
        </w:rPr>
        <w:t>under the</w:t>
      </w:r>
      <w:r w:rsidRPr="00BA6D5D">
        <w:rPr>
          <w:rFonts w:ascii="Arial" w:hAnsi="Arial" w:cs="Arial"/>
        </w:rPr>
        <w:t xml:space="preserve"> HHRSDP is limited by the fact that the Project has n</w:t>
      </w:r>
      <w:r w:rsidR="008F7D4B">
        <w:rPr>
          <w:rFonts w:ascii="Arial" w:hAnsi="Arial" w:cs="Arial"/>
        </w:rPr>
        <w:t xml:space="preserve">ot reached physical completion and that the </w:t>
      </w:r>
      <w:r w:rsidRPr="00BA6D5D">
        <w:rPr>
          <w:rFonts w:ascii="Arial" w:hAnsi="Arial" w:cs="Arial"/>
        </w:rPr>
        <w:t>collection of endline evaluation d</w:t>
      </w:r>
      <w:r w:rsidR="008F7D4B">
        <w:rPr>
          <w:rFonts w:ascii="Arial" w:hAnsi="Arial" w:cs="Arial"/>
        </w:rPr>
        <w:t xml:space="preserve">ata has not yet been scheduled. </w:t>
      </w:r>
      <w:r w:rsidRPr="00BA6D5D">
        <w:rPr>
          <w:rFonts w:ascii="Arial" w:hAnsi="Arial" w:cs="Arial"/>
        </w:rPr>
        <w:t xml:space="preserve">Within this context the ICE team have implemented three key steps to assess effectiveness: </w:t>
      </w:r>
    </w:p>
    <w:p w:rsidR="00F167A8" w:rsidRPr="00BA6D5D" w:rsidRDefault="00F167A8" w:rsidP="00CA718F">
      <w:pPr>
        <w:pStyle w:val="ColorfulList-Accent11"/>
        <w:numPr>
          <w:ilvl w:val="0"/>
          <w:numId w:val="19"/>
        </w:numPr>
        <w:ind w:left="1134" w:hanging="425"/>
        <w:jc w:val="both"/>
        <w:rPr>
          <w:rFonts w:ascii="Arial" w:hAnsi="Arial" w:cs="Arial"/>
          <w:sz w:val="20"/>
          <w:szCs w:val="20"/>
        </w:rPr>
      </w:pPr>
      <w:r w:rsidRPr="00BA6D5D">
        <w:rPr>
          <w:rFonts w:ascii="Arial" w:hAnsi="Arial" w:cs="Arial"/>
          <w:sz w:val="20"/>
          <w:szCs w:val="20"/>
        </w:rPr>
        <w:t xml:space="preserve">A synthesis of data currently available for each of the output and outcome targets detailed in the Project’s </w:t>
      </w:r>
      <w:r w:rsidR="00444B2B">
        <w:rPr>
          <w:rFonts w:ascii="Arial" w:hAnsi="Arial" w:cs="Arial"/>
          <w:sz w:val="20"/>
          <w:szCs w:val="20"/>
        </w:rPr>
        <w:t>DMF.</w:t>
      </w:r>
      <w:r w:rsidRPr="00BA6D5D">
        <w:rPr>
          <w:rFonts w:ascii="Arial" w:hAnsi="Arial" w:cs="Arial"/>
          <w:sz w:val="20"/>
          <w:szCs w:val="20"/>
        </w:rPr>
        <w:t xml:space="preserve"> </w:t>
      </w:r>
    </w:p>
    <w:p w:rsidR="00F167A8" w:rsidRPr="00BA6D5D" w:rsidRDefault="00F167A8" w:rsidP="00CA718F">
      <w:pPr>
        <w:pStyle w:val="ColorfulList-Accent11"/>
        <w:numPr>
          <w:ilvl w:val="0"/>
          <w:numId w:val="19"/>
        </w:numPr>
        <w:ind w:left="1134" w:hanging="425"/>
        <w:jc w:val="both"/>
        <w:rPr>
          <w:rFonts w:ascii="Arial" w:hAnsi="Arial" w:cs="Arial"/>
          <w:sz w:val="20"/>
          <w:szCs w:val="20"/>
        </w:rPr>
      </w:pPr>
      <w:r w:rsidRPr="00BA6D5D">
        <w:rPr>
          <w:rFonts w:ascii="Arial" w:hAnsi="Arial" w:cs="Arial"/>
          <w:sz w:val="20"/>
          <w:szCs w:val="20"/>
        </w:rPr>
        <w:t xml:space="preserve">An analysis of current progress against key activities to assess the likelihood of outputs being delivered by the Project’s physical completion date (31 December 2015) or within a 12-month project extension period. </w:t>
      </w:r>
    </w:p>
    <w:p w:rsidR="00F167A8" w:rsidRPr="00BA6D5D" w:rsidRDefault="00F167A8" w:rsidP="00CA718F">
      <w:pPr>
        <w:pStyle w:val="ColorfulList-Accent11"/>
        <w:numPr>
          <w:ilvl w:val="0"/>
          <w:numId w:val="19"/>
        </w:numPr>
        <w:ind w:left="1134" w:hanging="425"/>
        <w:jc w:val="both"/>
        <w:rPr>
          <w:rFonts w:ascii="Arial" w:hAnsi="Arial" w:cs="Arial"/>
          <w:sz w:val="20"/>
          <w:szCs w:val="20"/>
        </w:rPr>
      </w:pPr>
      <w:r w:rsidRPr="00BA6D5D">
        <w:rPr>
          <w:rFonts w:ascii="Arial" w:hAnsi="Arial" w:cs="Arial"/>
          <w:sz w:val="20"/>
          <w:szCs w:val="20"/>
        </w:rPr>
        <w:t>Draw</w:t>
      </w:r>
      <w:r w:rsidR="00AF53B2">
        <w:rPr>
          <w:rFonts w:ascii="Arial" w:hAnsi="Arial" w:cs="Arial"/>
          <w:sz w:val="20"/>
          <w:szCs w:val="20"/>
        </w:rPr>
        <w:t>ing</w:t>
      </w:r>
      <w:r w:rsidRPr="00BA6D5D">
        <w:rPr>
          <w:rFonts w:ascii="Arial" w:hAnsi="Arial" w:cs="Arial"/>
          <w:sz w:val="20"/>
          <w:szCs w:val="20"/>
        </w:rPr>
        <w:t xml:space="preserve"> on the analysis in steps (i) and (ii)</w:t>
      </w:r>
      <w:r w:rsidR="00AF53B2">
        <w:rPr>
          <w:rFonts w:ascii="Arial" w:hAnsi="Arial" w:cs="Arial"/>
          <w:sz w:val="20"/>
          <w:szCs w:val="20"/>
        </w:rPr>
        <w:t>,</w:t>
      </w:r>
      <w:r w:rsidR="002A4610">
        <w:rPr>
          <w:rFonts w:ascii="Arial" w:hAnsi="Arial" w:cs="Arial"/>
          <w:sz w:val="20"/>
          <w:szCs w:val="20"/>
        </w:rPr>
        <w:t xml:space="preserve"> </w:t>
      </w:r>
      <w:r w:rsidRPr="00BA6D5D">
        <w:rPr>
          <w:rFonts w:ascii="Arial" w:hAnsi="Arial" w:cs="Arial"/>
          <w:sz w:val="20"/>
          <w:szCs w:val="20"/>
        </w:rPr>
        <w:t>assess the likelihood that the HHRSDP will achieve its stated outcomes by Project completion</w:t>
      </w:r>
    </w:p>
    <w:p w:rsidR="00F167A8" w:rsidRPr="00BA6D5D" w:rsidRDefault="00F167A8" w:rsidP="00F167A8">
      <w:pPr>
        <w:pStyle w:val="ColorfulList-Accent11"/>
        <w:ind w:left="1418"/>
        <w:jc w:val="both"/>
        <w:rPr>
          <w:rFonts w:ascii="Arial" w:hAnsi="Arial" w:cs="Arial"/>
          <w:sz w:val="20"/>
          <w:szCs w:val="20"/>
        </w:rPr>
      </w:pPr>
    </w:p>
    <w:p w:rsidR="00F167A8" w:rsidRDefault="00F167A8" w:rsidP="00F167A8">
      <w:pPr>
        <w:jc w:val="both"/>
        <w:rPr>
          <w:rFonts w:ascii="Arial" w:hAnsi="Arial" w:cs="Arial"/>
        </w:rPr>
      </w:pPr>
      <w:r w:rsidRPr="00BA6D5D">
        <w:rPr>
          <w:rFonts w:ascii="Arial" w:hAnsi="Arial" w:cs="Arial"/>
        </w:rPr>
        <w:fldChar w:fldCharType="begin"/>
      </w:r>
      <w:r w:rsidRPr="00BA6D5D">
        <w:rPr>
          <w:rFonts w:ascii="Arial" w:hAnsi="Arial" w:cs="Arial"/>
        </w:rPr>
        <w:instrText>AUTONUMLGL</w:instrText>
      </w:r>
      <w:r w:rsidRPr="00BA6D5D">
        <w:rPr>
          <w:rFonts w:ascii="Arial" w:hAnsi="Arial" w:cs="Arial"/>
        </w:rPr>
        <w:fldChar w:fldCharType="end"/>
      </w:r>
      <w:r w:rsidRPr="00BA6D5D">
        <w:rPr>
          <w:rFonts w:ascii="Arial" w:hAnsi="Arial" w:cs="Arial"/>
        </w:rPr>
        <w:tab/>
        <w:t>A summary of achievements against the DMF targets for outcomes and outputs is attached in Appendix 2</w:t>
      </w:r>
      <w:r w:rsidR="00A657CE">
        <w:rPr>
          <w:rFonts w:ascii="Arial" w:hAnsi="Arial" w:cs="Arial"/>
        </w:rPr>
        <w:t>,</w:t>
      </w:r>
      <w:r w:rsidRPr="00BA6D5D">
        <w:rPr>
          <w:rFonts w:ascii="Arial" w:hAnsi="Arial" w:cs="Arial"/>
        </w:rPr>
        <w:t xml:space="preserve"> Table 2.1.</w:t>
      </w:r>
      <w:r w:rsidRPr="00FD6EB5">
        <w:rPr>
          <w:rStyle w:val="FootnoteReference"/>
          <w:rFonts w:eastAsia="MS Mincho" w:cs="Arial"/>
          <w:sz w:val="20"/>
        </w:rPr>
        <w:footnoteReference w:id="12"/>
      </w:r>
    </w:p>
    <w:p w:rsidR="00F167A8" w:rsidRPr="00C539B5" w:rsidRDefault="00F167A8" w:rsidP="00EE4E98">
      <w:pPr>
        <w:pStyle w:val="Heading3"/>
        <w:numPr>
          <w:ilvl w:val="0"/>
          <w:numId w:val="56"/>
        </w:numPr>
        <w:spacing w:after="120"/>
        <w:ind w:hanging="540"/>
        <w:jc w:val="both"/>
        <w:rPr>
          <w:rFonts w:cs="Times New Roman"/>
          <w:bCs w:val="0"/>
          <w:color w:val="000000"/>
          <w:sz w:val="21"/>
          <w:szCs w:val="21"/>
          <w:lang w:eastAsia="en-US"/>
        </w:rPr>
      </w:pPr>
      <w:bookmarkStart w:id="40" w:name="_Toc423359321"/>
      <w:r w:rsidRPr="00C539B5">
        <w:rPr>
          <w:rFonts w:cs="Times New Roman"/>
          <w:bCs w:val="0"/>
          <w:color w:val="000000"/>
          <w:sz w:val="21"/>
          <w:szCs w:val="21"/>
          <w:lang w:eastAsia="en-US"/>
        </w:rPr>
        <w:t>Project Outcomes</w:t>
      </w:r>
      <w:bookmarkEnd w:id="40"/>
    </w:p>
    <w:p w:rsidR="00F167A8" w:rsidRDefault="00F167A8" w:rsidP="00F167A8">
      <w:pPr>
        <w:jc w:val="both"/>
        <w:rPr>
          <w:rFonts w:ascii="Arial" w:hAnsi="Arial" w:cs="Arial"/>
        </w:rPr>
      </w:pPr>
      <w:r w:rsidRPr="009F6E10">
        <w:rPr>
          <w:rFonts w:ascii="Arial" w:hAnsi="Arial" w:cs="Arial"/>
        </w:rPr>
        <w:fldChar w:fldCharType="begin"/>
      </w:r>
      <w:r w:rsidRPr="009F6E10">
        <w:rPr>
          <w:rFonts w:ascii="Arial" w:hAnsi="Arial" w:cs="Arial"/>
        </w:rPr>
        <w:instrText>AUTONUMLGL</w:instrText>
      </w:r>
      <w:r w:rsidRPr="009F6E10">
        <w:rPr>
          <w:rFonts w:ascii="Arial" w:hAnsi="Arial" w:cs="Arial"/>
        </w:rPr>
        <w:fldChar w:fldCharType="end"/>
      </w:r>
      <w:r w:rsidRPr="009F6E10">
        <w:rPr>
          <w:rFonts w:ascii="Arial" w:hAnsi="Arial" w:cs="Arial"/>
        </w:rPr>
        <w:tab/>
      </w:r>
      <w:r>
        <w:rPr>
          <w:rFonts w:ascii="Arial" w:hAnsi="Arial" w:cs="Arial"/>
        </w:rPr>
        <w:t>The intended outcome of the HHSRPDP is i</w:t>
      </w:r>
      <w:r w:rsidRPr="000B3D50">
        <w:rPr>
          <w:rFonts w:ascii="Arial" w:hAnsi="Arial" w:cs="Arial"/>
        </w:rPr>
        <w:t>mproved quality, efficiency and equity in health workforce and health service delivery</w:t>
      </w:r>
      <w:r>
        <w:rPr>
          <w:rFonts w:ascii="Arial" w:hAnsi="Arial" w:cs="Arial"/>
        </w:rPr>
        <w:t xml:space="preserve">. The Project has five outcome targets, </w:t>
      </w:r>
      <w:r w:rsidR="00AE79BF">
        <w:rPr>
          <w:rFonts w:ascii="Arial" w:hAnsi="Arial" w:cs="Arial"/>
        </w:rPr>
        <w:t>progress</w:t>
      </w:r>
      <w:r>
        <w:rPr>
          <w:rFonts w:ascii="Arial" w:hAnsi="Arial" w:cs="Arial"/>
        </w:rPr>
        <w:t xml:space="preserve"> against which is discussed below. </w:t>
      </w:r>
    </w:p>
    <w:p w:rsidR="00F167A8" w:rsidRDefault="00F167A8" w:rsidP="00F167A8">
      <w:pPr>
        <w:jc w:val="both"/>
        <w:rPr>
          <w:rFonts w:ascii="Arial" w:hAnsi="Arial" w:cs="Arial"/>
        </w:rPr>
      </w:pPr>
    </w:p>
    <w:p w:rsidR="00F167A8" w:rsidRDefault="000C2519" w:rsidP="00F167A8">
      <w:pPr>
        <w:jc w:val="both"/>
        <w:rPr>
          <w:rFonts w:ascii="Arial" w:hAnsi="Arial" w:cs="Arial"/>
          <w:b/>
          <w:i/>
        </w:rPr>
      </w:pPr>
      <w:r>
        <w:rPr>
          <w:rFonts w:ascii="Arial" w:hAnsi="Arial" w:cs="Arial"/>
          <w:b/>
          <w:i/>
        </w:rPr>
        <w:t>Target 1: By project c</w:t>
      </w:r>
      <w:r w:rsidR="00F167A8" w:rsidRPr="00E43ECF">
        <w:rPr>
          <w:rFonts w:ascii="Arial" w:hAnsi="Arial" w:cs="Arial"/>
          <w:b/>
          <w:i/>
        </w:rPr>
        <w:t xml:space="preserve">ompletion at least 50% of doctors and nurses practicing in public facilities registered and licensed. </w:t>
      </w:r>
    </w:p>
    <w:p w:rsidR="00F167A8" w:rsidRDefault="00F167A8" w:rsidP="00F167A8">
      <w:pPr>
        <w:jc w:val="both"/>
        <w:rPr>
          <w:rFonts w:ascii="Arial" w:hAnsi="Arial" w:cs="Arial"/>
        </w:rPr>
      </w:pPr>
    </w:p>
    <w:p w:rsidR="00F167A8" w:rsidRPr="00BA6D5D" w:rsidRDefault="00F167A8" w:rsidP="00F167A8">
      <w:pPr>
        <w:jc w:val="both"/>
        <w:rPr>
          <w:rFonts w:ascii="Arial" w:hAnsi="Arial" w:cs="Arial"/>
        </w:rPr>
      </w:pPr>
      <w:r w:rsidRPr="009F6E10">
        <w:rPr>
          <w:rFonts w:ascii="Arial" w:hAnsi="Arial" w:cs="Arial"/>
        </w:rPr>
        <w:fldChar w:fldCharType="begin"/>
      </w:r>
      <w:r w:rsidRPr="009F6E10">
        <w:rPr>
          <w:rFonts w:ascii="Arial" w:hAnsi="Arial" w:cs="Arial"/>
        </w:rPr>
        <w:instrText>AUTONUMLGL</w:instrText>
      </w:r>
      <w:r w:rsidRPr="009F6E10">
        <w:rPr>
          <w:rFonts w:ascii="Arial" w:hAnsi="Arial" w:cs="Arial"/>
        </w:rPr>
        <w:fldChar w:fldCharType="end"/>
      </w:r>
      <w:r w:rsidRPr="009F6E10">
        <w:rPr>
          <w:rFonts w:ascii="Arial" w:hAnsi="Arial" w:cs="Arial"/>
        </w:rPr>
        <w:tab/>
      </w:r>
      <w:r w:rsidRPr="00E43ECF">
        <w:rPr>
          <w:rFonts w:ascii="Arial" w:hAnsi="Arial" w:cs="Arial"/>
        </w:rPr>
        <w:t>At</w:t>
      </w:r>
      <w:r w:rsidR="00515CD2">
        <w:rPr>
          <w:rFonts w:ascii="Arial" w:hAnsi="Arial" w:cs="Arial"/>
        </w:rPr>
        <w:t xml:space="preserve"> </w:t>
      </w:r>
      <w:r w:rsidRPr="00E43ECF">
        <w:rPr>
          <w:rFonts w:ascii="Arial" w:hAnsi="Arial" w:cs="Arial"/>
        </w:rPr>
        <w:t>the</w:t>
      </w:r>
      <w:r>
        <w:rPr>
          <w:rFonts w:ascii="Arial" w:hAnsi="Arial" w:cs="Arial"/>
        </w:rPr>
        <w:t xml:space="preserve"> time of the ICE the outcome target for the percentage of doctors and nurses registered and licensed had been significantly exceeded. There are presently 229,939 health </w:t>
      </w:r>
      <w:r w:rsidR="001B44C7">
        <w:rPr>
          <w:rFonts w:ascii="Arial" w:hAnsi="Arial" w:cs="Arial"/>
        </w:rPr>
        <w:t>practitioners,</w:t>
      </w:r>
      <w:r>
        <w:rPr>
          <w:rFonts w:ascii="Arial" w:hAnsi="Arial" w:cs="Arial"/>
        </w:rPr>
        <w:t xml:space="preserve"> representing 91% of the estimated number of practitioners nationwide, who are registered under the licensing database. Th</w:t>
      </w:r>
      <w:r w:rsidR="00D03EFB">
        <w:rPr>
          <w:rFonts w:ascii="Arial" w:hAnsi="Arial" w:cs="Arial"/>
        </w:rPr>
        <w:t>is</w:t>
      </w:r>
      <w:r>
        <w:rPr>
          <w:rFonts w:ascii="Arial" w:hAnsi="Arial" w:cs="Arial"/>
        </w:rPr>
        <w:t xml:space="preserve"> include</w:t>
      </w:r>
      <w:r w:rsidR="00D03EFB">
        <w:rPr>
          <w:rFonts w:ascii="Arial" w:hAnsi="Arial" w:cs="Arial"/>
        </w:rPr>
        <w:t>s</w:t>
      </w:r>
      <w:r>
        <w:rPr>
          <w:rFonts w:ascii="Arial" w:hAnsi="Arial" w:cs="Arial"/>
        </w:rPr>
        <w:t xml:space="preserve"> </w:t>
      </w:r>
      <w:r w:rsidR="00D03EFB">
        <w:rPr>
          <w:rFonts w:ascii="Arial" w:hAnsi="Arial" w:cs="Arial"/>
        </w:rPr>
        <w:t>54,785</w:t>
      </w:r>
      <w:r>
        <w:rPr>
          <w:rFonts w:ascii="Arial" w:hAnsi="Arial" w:cs="Arial"/>
        </w:rPr>
        <w:t xml:space="preserve"> doctors</w:t>
      </w:r>
      <w:r w:rsidR="00D03EFB">
        <w:rPr>
          <w:rFonts w:ascii="Arial" w:hAnsi="Arial" w:cs="Arial"/>
        </w:rPr>
        <w:t xml:space="preserve"> </w:t>
      </w:r>
      <w:r>
        <w:rPr>
          <w:rFonts w:ascii="Arial" w:hAnsi="Arial" w:cs="Arial"/>
        </w:rPr>
        <w:t xml:space="preserve">and </w:t>
      </w:r>
      <w:r w:rsidR="00D03EFB">
        <w:rPr>
          <w:rFonts w:ascii="Arial" w:hAnsi="Arial" w:cs="Arial"/>
        </w:rPr>
        <w:t>8</w:t>
      </w:r>
      <w:r w:rsidR="009F5770">
        <w:rPr>
          <w:rFonts w:ascii="Arial" w:hAnsi="Arial" w:cs="Arial"/>
        </w:rPr>
        <w:t>7,649</w:t>
      </w:r>
      <w:r>
        <w:rPr>
          <w:rFonts w:ascii="Arial" w:hAnsi="Arial" w:cs="Arial"/>
        </w:rPr>
        <w:t xml:space="preserve"> nurses</w:t>
      </w:r>
      <w:r w:rsidR="00D03EFB">
        <w:rPr>
          <w:rFonts w:ascii="Arial" w:hAnsi="Arial" w:cs="Arial"/>
        </w:rPr>
        <w:t xml:space="preserve"> within 822 public facilities</w:t>
      </w:r>
      <w:r w:rsidR="009F5770">
        <w:rPr>
          <w:rFonts w:ascii="Arial" w:hAnsi="Arial" w:cs="Arial"/>
        </w:rPr>
        <w:t>.</w:t>
      </w:r>
      <w:r w:rsidR="00E470AE">
        <w:rPr>
          <w:rStyle w:val="FootnoteReference"/>
          <w:rFonts w:cs="Arial"/>
        </w:rPr>
        <w:footnoteReference w:id="13"/>
      </w:r>
      <w:r w:rsidR="009F5770">
        <w:rPr>
          <w:rFonts w:ascii="Arial" w:hAnsi="Arial" w:cs="Arial"/>
        </w:rPr>
        <w:t xml:space="preserve"> </w:t>
      </w:r>
      <w:r w:rsidRPr="00BA6D5D">
        <w:rPr>
          <w:rFonts w:ascii="Arial" w:hAnsi="Arial" w:cs="Arial"/>
        </w:rPr>
        <w:t>Data on health practitioner regist</w:t>
      </w:r>
      <w:r w:rsidR="00B1115D">
        <w:rPr>
          <w:rFonts w:ascii="Arial" w:hAnsi="Arial" w:cs="Arial"/>
        </w:rPr>
        <w:t>ration</w:t>
      </w:r>
      <w:r w:rsidRPr="00BA6D5D">
        <w:rPr>
          <w:rFonts w:ascii="Arial" w:hAnsi="Arial" w:cs="Arial"/>
        </w:rPr>
        <w:t xml:space="preserve"> by occupation is detailed in Appendix 5</w:t>
      </w:r>
      <w:r w:rsidR="009F5770">
        <w:rPr>
          <w:rFonts w:ascii="Arial" w:hAnsi="Arial" w:cs="Arial"/>
        </w:rPr>
        <w:t>,</w:t>
      </w:r>
      <w:r w:rsidRPr="00BA6D5D">
        <w:rPr>
          <w:rFonts w:ascii="Arial" w:hAnsi="Arial" w:cs="Arial"/>
        </w:rPr>
        <w:t xml:space="preserve"> Table 5.1.</w:t>
      </w:r>
    </w:p>
    <w:p w:rsidR="00F167A8" w:rsidRPr="00BA6D5D" w:rsidRDefault="00F167A8" w:rsidP="00F167A8">
      <w:pPr>
        <w:jc w:val="both"/>
        <w:rPr>
          <w:rFonts w:ascii="Arial" w:hAnsi="Arial" w:cs="Arial"/>
        </w:rPr>
      </w:pPr>
    </w:p>
    <w:p w:rsidR="00F167A8" w:rsidRPr="00BA6D5D" w:rsidRDefault="00F167A8" w:rsidP="00F167A8">
      <w:pPr>
        <w:jc w:val="both"/>
        <w:rPr>
          <w:rFonts w:ascii="Arial" w:hAnsi="Arial" w:cs="Arial"/>
        </w:rPr>
      </w:pPr>
      <w:r w:rsidRPr="00BA6D5D">
        <w:rPr>
          <w:rFonts w:ascii="Arial" w:hAnsi="Arial" w:cs="Arial"/>
        </w:rPr>
        <w:fldChar w:fldCharType="begin"/>
      </w:r>
      <w:r w:rsidRPr="00BA6D5D">
        <w:rPr>
          <w:rFonts w:ascii="Arial" w:hAnsi="Arial" w:cs="Arial"/>
        </w:rPr>
        <w:instrText>AUTONUMLGL</w:instrText>
      </w:r>
      <w:r w:rsidRPr="00BA6D5D">
        <w:rPr>
          <w:rFonts w:ascii="Arial" w:hAnsi="Arial" w:cs="Arial"/>
        </w:rPr>
        <w:fldChar w:fldCharType="end"/>
      </w:r>
      <w:r w:rsidRPr="00BA6D5D">
        <w:rPr>
          <w:rFonts w:ascii="Arial" w:hAnsi="Arial" w:cs="Arial"/>
        </w:rPr>
        <w:tab/>
        <w:t>A registration and licensing system that regulates the quality of medical examination and treatment within health facilities was recognized as a necessary reform under the LET. The ICE team assessed</w:t>
      </w:r>
      <w:r w:rsidR="00D82865">
        <w:rPr>
          <w:rFonts w:ascii="Arial" w:hAnsi="Arial" w:cs="Arial"/>
        </w:rPr>
        <w:t xml:space="preserve"> </w:t>
      </w:r>
      <w:r w:rsidRPr="00BA6D5D">
        <w:rPr>
          <w:rFonts w:ascii="Arial" w:hAnsi="Arial" w:cs="Arial"/>
        </w:rPr>
        <w:t>th</w:t>
      </w:r>
      <w:r w:rsidR="00E470AE">
        <w:rPr>
          <w:rFonts w:ascii="Arial" w:hAnsi="Arial" w:cs="Arial"/>
        </w:rPr>
        <w:t>at</w:t>
      </w:r>
      <w:r w:rsidRPr="00BA6D5D">
        <w:rPr>
          <w:rFonts w:ascii="Arial" w:hAnsi="Arial" w:cs="Arial"/>
        </w:rPr>
        <w:t xml:space="preserve"> outputs from the Project investment have contributed significantly to creating the regulatory </w:t>
      </w:r>
      <w:r w:rsidR="009F5770">
        <w:rPr>
          <w:rFonts w:ascii="Arial" w:hAnsi="Arial" w:cs="Arial"/>
        </w:rPr>
        <w:t>framework</w:t>
      </w:r>
      <w:r w:rsidR="009F5770" w:rsidRPr="00BA6D5D">
        <w:rPr>
          <w:rFonts w:ascii="Arial" w:hAnsi="Arial" w:cs="Arial"/>
        </w:rPr>
        <w:t xml:space="preserve"> </w:t>
      </w:r>
      <w:r w:rsidRPr="00BA6D5D">
        <w:rPr>
          <w:rFonts w:ascii="Arial" w:hAnsi="Arial" w:cs="Arial"/>
        </w:rPr>
        <w:t xml:space="preserve">and implementation structures for the establishment and operation of this system. The outcome data on registration coverage demonstrates the scale of </w:t>
      </w:r>
      <w:r w:rsidR="00D82865">
        <w:rPr>
          <w:rFonts w:ascii="Arial" w:hAnsi="Arial" w:cs="Arial"/>
        </w:rPr>
        <w:t xml:space="preserve">system rollout and the scope of </w:t>
      </w:r>
      <w:r w:rsidRPr="00BA6D5D">
        <w:rPr>
          <w:rFonts w:ascii="Arial" w:hAnsi="Arial" w:cs="Arial"/>
        </w:rPr>
        <w:t>the Project’s achievements. Ongoing work to enhance the system and update the regulatory framework will consolidate these achievements, providing an important mechanism for improving the quality, efficiency and equity in health workforce and health service delivery.</w:t>
      </w:r>
    </w:p>
    <w:p w:rsidR="00F167A8" w:rsidRPr="00BA6D5D" w:rsidRDefault="00F167A8" w:rsidP="00F167A8">
      <w:pPr>
        <w:jc w:val="both"/>
        <w:rPr>
          <w:rFonts w:ascii="Arial" w:hAnsi="Arial" w:cs="Arial"/>
        </w:rPr>
      </w:pPr>
    </w:p>
    <w:p w:rsidR="00F167A8" w:rsidRPr="00BA6D5D" w:rsidRDefault="00F167A8" w:rsidP="00F167A8">
      <w:pPr>
        <w:jc w:val="both"/>
        <w:rPr>
          <w:rFonts w:ascii="Arial" w:hAnsi="Arial" w:cs="Arial"/>
          <w:b/>
          <w:i/>
        </w:rPr>
      </w:pPr>
      <w:r w:rsidRPr="00BA6D5D">
        <w:rPr>
          <w:rFonts w:ascii="Arial" w:hAnsi="Arial" w:cs="Arial"/>
          <w:b/>
          <w:i/>
        </w:rPr>
        <w:t>Target 2: At least 50% of doctors and nurses practicing in public facilities participating in accredited continuing education programs (50% women).</w:t>
      </w:r>
    </w:p>
    <w:p w:rsidR="00F167A8" w:rsidRPr="00BA6D5D" w:rsidRDefault="00F167A8" w:rsidP="00F167A8">
      <w:pPr>
        <w:jc w:val="both"/>
        <w:rPr>
          <w:rFonts w:ascii="Arial" w:hAnsi="Arial" w:cs="Arial"/>
        </w:rPr>
      </w:pPr>
    </w:p>
    <w:p w:rsidR="00F167A8" w:rsidRPr="00BA6D5D" w:rsidRDefault="00F167A8" w:rsidP="00F167A8">
      <w:pPr>
        <w:widowControl w:val="0"/>
        <w:autoSpaceDE w:val="0"/>
        <w:autoSpaceDN w:val="0"/>
        <w:adjustRightInd w:val="0"/>
        <w:spacing w:after="120"/>
        <w:jc w:val="both"/>
        <w:rPr>
          <w:rFonts w:ascii="Arial" w:hAnsi="Arial" w:cs="Arial"/>
        </w:rPr>
      </w:pPr>
      <w:r w:rsidRPr="00BA6D5D">
        <w:rPr>
          <w:rFonts w:ascii="Arial" w:hAnsi="Arial" w:cs="Arial"/>
        </w:rPr>
        <w:fldChar w:fldCharType="begin"/>
      </w:r>
      <w:r w:rsidRPr="00BA6D5D">
        <w:rPr>
          <w:rFonts w:ascii="Arial" w:hAnsi="Arial" w:cs="Arial"/>
        </w:rPr>
        <w:instrText>AUTONUMLGL</w:instrText>
      </w:r>
      <w:r w:rsidRPr="00BA6D5D">
        <w:rPr>
          <w:rFonts w:ascii="Arial" w:hAnsi="Arial" w:cs="Arial"/>
        </w:rPr>
        <w:fldChar w:fldCharType="end"/>
      </w:r>
      <w:r w:rsidRPr="00BA6D5D">
        <w:rPr>
          <w:rFonts w:ascii="Arial" w:hAnsi="Arial" w:cs="Arial"/>
        </w:rPr>
        <w:tab/>
        <w:t xml:space="preserve">The ICE team used data on practitioner licensing from the registration system as a proxy measure of current levels of participation in CME by medical and nursing staff. </w:t>
      </w:r>
      <w:r w:rsidR="00B1115D">
        <w:rPr>
          <w:rFonts w:ascii="Arial" w:hAnsi="Arial" w:cs="Arial"/>
        </w:rPr>
        <w:t>C</w:t>
      </w:r>
      <w:r w:rsidRPr="00BA6D5D">
        <w:rPr>
          <w:rFonts w:ascii="Arial" w:hAnsi="Arial" w:cs="Arial"/>
        </w:rPr>
        <w:t>ompliance with the CME requirement under Circular 22</w:t>
      </w:r>
      <w:r w:rsidR="009F5770">
        <w:rPr>
          <w:rStyle w:val="FootnoteReference"/>
          <w:rFonts w:cs="Arial"/>
        </w:rPr>
        <w:footnoteReference w:id="14"/>
      </w:r>
      <w:r w:rsidRPr="00BA6D5D">
        <w:rPr>
          <w:rFonts w:ascii="Arial" w:hAnsi="Arial" w:cs="Arial"/>
        </w:rPr>
        <w:t xml:space="preserve"> is a pre-requisite for the issuance of a practitioner license. At June 2015 </w:t>
      </w:r>
      <w:r w:rsidR="00D03EFB">
        <w:rPr>
          <w:rFonts w:ascii="Arial" w:hAnsi="Arial" w:cs="Arial"/>
        </w:rPr>
        <w:t xml:space="preserve">54,785 doctors and </w:t>
      </w:r>
      <w:r w:rsidR="009F5770">
        <w:rPr>
          <w:rFonts w:ascii="Arial" w:hAnsi="Arial" w:cs="Arial"/>
        </w:rPr>
        <w:t xml:space="preserve">87,649 </w:t>
      </w:r>
      <w:r w:rsidR="00D03EFB">
        <w:rPr>
          <w:rFonts w:ascii="Arial" w:hAnsi="Arial" w:cs="Arial"/>
        </w:rPr>
        <w:t>nurses within 822 public facilities</w:t>
      </w:r>
      <w:r w:rsidRPr="00BA6D5D">
        <w:rPr>
          <w:rFonts w:ascii="Arial" w:hAnsi="Arial" w:cs="Arial"/>
        </w:rPr>
        <w:t xml:space="preserve"> had demonstrated compliance with </w:t>
      </w:r>
      <w:r w:rsidR="00B1115D">
        <w:rPr>
          <w:rFonts w:ascii="Arial" w:hAnsi="Arial" w:cs="Arial"/>
        </w:rPr>
        <w:t xml:space="preserve">the </w:t>
      </w:r>
      <w:r w:rsidRPr="00BA6D5D">
        <w:rPr>
          <w:rFonts w:ascii="Arial" w:hAnsi="Arial" w:cs="Arial"/>
        </w:rPr>
        <w:t>requirement for CME at</w:t>
      </w:r>
      <w:r w:rsidR="009F5770">
        <w:rPr>
          <w:rFonts w:ascii="Arial" w:hAnsi="Arial" w:cs="Arial"/>
        </w:rPr>
        <w:t xml:space="preserve"> the</w:t>
      </w:r>
      <w:r w:rsidRPr="00BA6D5D">
        <w:rPr>
          <w:rFonts w:ascii="Arial" w:hAnsi="Arial" w:cs="Arial"/>
        </w:rPr>
        <w:t xml:space="preserve"> time of registration.</w:t>
      </w:r>
      <w:r w:rsidR="00862FEC" w:rsidRPr="00185E36">
        <w:rPr>
          <w:rStyle w:val="FootnoteReference"/>
        </w:rPr>
        <w:t>13</w:t>
      </w:r>
    </w:p>
    <w:p w:rsidR="00F167A8" w:rsidRDefault="00F167A8" w:rsidP="007F1A31">
      <w:pPr>
        <w:widowControl w:val="0"/>
        <w:autoSpaceDE w:val="0"/>
        <w:autoSpaceDN w:val="0"/>
        <w:adjustRightInd w:val="0"/>
        <w:jc w:val="both"/>
        <w:rPr>
          <w:rFonts w:ascii="Arial" w:hAnsi="Arial" w:cs="Arial"/>
        </w:rPr>
      </w:pPr>
      <w:r w:rsidRPr="00BA6D5D">
        <w:rPr>
          <w:rFonts w:ascii="Arial" w:hAnsi="Arial" w:cs="Arial"/>
        </w:rPr>
        <w:fldChar w:fldCharType="begin"/>
      </w:r>
      <w:r w:rsidRPr="00BA6D5D">
        <w:rPr>
          <w:rFonts w:ascii="Arial" w:hAnsi="Arial" w:cs="Arial"/>
        </w:rPr>
        <w:instrText>AUTONUMLGL</w:instrText>
      </w:r>
      <w:r w:rsidRPr="00BA6D5D">
        <w:rPr>
          <w:rFonts w:ascii="Arial" w:hAnsi="Arial" w:cs="Arial"/>
        </w:rPr>
        <w:fldChar w:fldCharType="end"/>
      </w:r>
      <w:r w:rsidRPr="00BA6D5D">
        <w:rPr>
          <w:rFonts w:ascii="Arial" w:hAnsi="Arial" w:cs="Arial"/>
        </w:rPr>
        <w:tab/>
        <w:t xml:space="preserve">The ICE team assess </w:t>
      </w:r>
      <w:r w:rsidR="009F5770">
        <w:rPr>
          <w:rFonts w:ascii="Arial" w:hAnsi="Arial" w:cs="Arial"/>
        </w:rPr>
        <w:t xml:space="preserve">that </w:t>
      </w:r>
      <w:r w:rsidRPr="00BA6D5D">
        <w:rPr>
          <w:rFonts w:ascii="Arial" w:hAnsi="Arial" w:cs="Arial"/>
        </w:rPr>
        <w:t xml:space="preserve">the Project’s investment in developing the regulatory and delivery mechanisms for CME </w:t>
      </w:r>
      <w:r w:rsidR="009F5770">
        <w:rPr>
          <w:rFonts w:ascii="Arial" w:hAnsi="Arial" w:cs="Arial"/>
        </w:rPr>
        <w:t>will contribute</w:t>
      </w:r>
      <w:r w:rsidRPr="00BA6D5D">
        <w:rPr>
          <w:rFonts w:ascii="Arial" w:hAnsi="Arial" w:cs="Arial"/>
        </w:rPr>
        <w:t xml:space="preserve"> to </w:t>
      </w:r>
      <w:r w:rsidR="009F5770" w:rsidRPr="00BA6D5D">
        <w:rPr>
          <w:rFonts w:ascii="Arial" w:hAnsi="Arial" w:cs="Arial"/>
        </w:rPr>
        <w:t>improving quality, efficiency and equity in health workforce and health service delivery</w:t>
      </w:r>
      <w:r w:rsidRPr="00BA6D5D">
        <w:rPr>
          <w:rFonts w:ascii="Arial" w:hAnsi="Arial" w:cs="Arial"/>
        </w:rPr>
        <w:t>. Circular 22</w:t>
      </w:r>
      <w:r w:rsidR="00385380">
        <w:rPr>
          <w:rFonts w:ascii="Arial" w:hAnsi="Arial" w:cs="Arial"/>
        </w:rPr>
        <w:t xml:space="preserve">, </w:t>
      </w:r>
      <w:r w:rsidR="00385380" w:rsidRPr="00BA6D5D">
        <w:rPr>
          <w:rFonts w:ascii="Arial" w:hAnsi="Arial" w:cs="Arial"/>
        </w:rPr>
        <w:t>developed as a policy commitment under the program loan</w:t>
      </w:r>
      <w:r w:rsidR="00385380">
        <w:rPr>
          <w:rFonts w:ascii="Arial" w:hAnsi="Arial" w:cs="Arial"/>
        </w:rPr>
        <w:t>,</w:t>
      </w:r>
      <w:r w:rsidR="009F5770">
        <w:rPr>
          <w:rFonts w:ascii="Arial" w:hAnsi="Arial" w:cs="Arial"/>
        </w:rPr>
        <w:t xml:space="preserve"> </w:t>
      </w:r>
      <w:r w:rsidR="00385380">
        <w:rPr>
          <w:rFonts w:ascii="Arial" w:hAnsi="Arial" w:cs="Arial"/>
        </w:rPr>
        <w:t>provides the regulatory basis for</w:t>
      </w:r>
      <w:r w:rsidR="00A81797">
        <w:rPr>
          <w:rFonts w:ascii="Arial" w:hAnsi="Arial" w:cs="Arial"/>
        </w:rPr>
        <w:t xml:space="preserve"> CME</w:t>
      </w:r>
      <w:r w:rsidR="00385380">
        <w:rPr>
          <w:rFonts w:ascii="Arial" w:hAnsi="Arial" w:cs="Arial"/>
        </w:rPr>
        <w:t>.</w:t>
      </w:r>
      <w:r w:rsidR="00385380">
        <w:rPr>
          <w:rStyle w:val="FootnoteReference"/>
          <w:rFonts w:cs="Arial"/>
        </w:rPr>
        <w:footnoteReference w:id="15"/>
      </w:r>
      <w:r w:rsidR="00385380">
        <w:rPr>
          <w:rFonts w:ascii="Arial" w:hAnsi="Arial" w:cs="Arial"/>
        </w:rPr>
        <w:t xml:space="preserve"> </w:t>
      </w:r>
      <w:r w:rsidRPr="00BA6D5D">
        <w:rPr>
          <w:rFonts w:ascii="Arial" w:hAnsi="Arial" w:cs="Arial"/>
        </w:rPr>
        <w:t xml:space="preserve"> The system for registration and licensing of health professionals serves as </w:t>
      </w:r>
      <w:r w:rsidR="00A81797">
        <w:rPr>
          <w:rFonts w:ascii="Arial" w:hAnsi="Arial" w:cs="Arial"/>
        </w:rPr>
        <w:t xml:space="preserve">a </w:t>
      </w:r>
      <w:r w:rsidRPr="00BA6D5D">
        <w:rPr>
          <w:rFonts w:ascii="Arial" w:hAnsi="Arial" w:cs="Arial"/>
        </w:rPr>
        <w:t xml:space="preserve">mechanism </w:t>
      </w:r>
      <w:r w:rsidR="00A81797">
        <w:rPr>
          <w:rFonts w:ascii="Arial" w:hAnsi="Arial" w:cs="Arial"/>
        </w:rPr>
        <w:t>for</w:t>
      </w:r>
      <w:r w:rsidRPr="00BA6D5D">
        <w:rPr>
          <w:rFonts w:ascii="Arial" w:hAnsi="Arial" w:cs="Arial"/>
        </w:rPr>
        <w:t xml:space="preserve"> regulat</w:t>
      </w:r>
      <w:r w:rsidR="00A81797">
        <w:rPr>
          <w:rFonts w:ascii="Arial" w:hAnsi="Arial" w:cs="Arial"/>
        </w:rPr>
        <w:t>ing</w:t>
      </w:r>
      <w:r w:rsidRPr="00BA6D5D">
        <w:rPr>
          <w:rFonts w:ascii="Arial" w:hAnsi="Arial" w:cs="Arial"/>
        </w:rPr>
        <w:t xml:space="preserve"> practitioners’ compliance with CME requirements. Delivery of CME has been strengthened through capacity building with HPTF staff and the development of initial e-learning modules, however the objective of developing a comprehensive and integrated e-learning system as a modality for the delivery of CME may not be achieved. The accreditation of CME courses is ongoing work to be developed under MoH’s HRD project with the World Bank.</w:t>
      </w:r>
      <w:r w:rsidRPr="00FD6EB5">
        <w:rPr>
          <w:rStyle w:val="FootnoteReference"/>
          <w:rFonts w:eastAsia="MS Mincho" w:cs="Arial"/>
        </w:rPr>
        <w:footnoteReference w:id="16"/>
      </w:r>
      <w:r w:rsidRPr="00BA6D5D">
        <w:rPr>
          <w:rFonts w:ascii="Arial" w:hAnsi="Arial" w:cs="Arial"/>
        </w:rPr>
        <w:t xml:space="preserve"> </w:t>
      </w:r>
    </w:p>
    <w:p w:rsidR="00CC5FA0" w:rsidRPr="00BA6D5D" w:rsidRDefault="00CC5FA0" w:rsidP="00185E36">
      <w:pPr>
        <w:rPr>
          <w:rFonts w:ascii="Arial" w:hAnsi="Arial" w:cs="Arial"/>
        </w:rPr>
      </w:pPr>
    </w:p>
    <w:p w:rsidR="00F167A8" w:rsidRPr="00BA6D5D" w:rsidRDefault="00F167A8" w:rsidP="00185E36">
      <w:pPr>
        <w:jc w:val="both"/>
        <w:rPr>
          <w:rFonts w:ascii="Arial" w:hAnsi="Arial" w:cs="Arial"/>
          <w:b/>
          <w:i/>
        </w:rPr>
      </w:pPr>
      <w:r w:rsidRPr="00BA6D5D">
        <w:rPr>
          <w:rFonts w:ascii="Arial" w:hAnsi="Arial" w:cs="Arial"/>
          <w:b/>
          <w:i/>
        </w:rPr>
        <w:t>Target 3: At least 240 health professionals per year for 3 years from central and provincial level institutions have done placements in rural and underserved areas</w:t>
      </w:r>
      <w:r w:rsidR="00CC5FA0">
        <w:rPr>
          <w:rFonts w:ascii="Arial" w:hAnsi="Arial" w:cs="Arial"/>
          <w:b/>
          <w:i/>
        </w:rPr>
        <w:t>.</w:t>
      </w:r>
    </w:p>
    <w:p w:rsidR="00F167A8" w:rsidRPr="00BA6D5D" w:rsidRDefault="00F167A8" w:rsidP="00F167A8">
      <w:pPr>
        <w:widowControl w:val="0"/>
        <w:autoSpaceDE w:val="0"/>
        <w:autoSpaceDN w:val="0"/>
        <w:adjustRightInd w:val="0"/>
        <w:spacing w:after="120"/>
        <w:jc w:val="both"/>
        <w:rPr>
          <w:rFonts w:ascii="Arial" w:hAnsi="Arial" w:cs="Arial"/>
        </w:rPr>
      </w:pPr>
    </w:p>
    <w:p w:rsidR="00F167A8" w:rsidRPr="00BA6D5D" w:rsidRDefault="00F167A8" w:rsidP="00F167A8">
      <w:pPr>
        <w:jc w:val="both"/>
        <w:rPr>
          <w:rFonts w:ascii="Arial" w:hAnsi="Arial" w:cs="Arial"/>
        </w:rPr>
      </w:pPr>
      <w:r w:rsidRPr="00BA6D5D">
        <w:rPr>
          <w:rFonts w:ascii="Arial" w:hAnsi="Arial" w:cs="Arial"/>
        </w:rPr>
        <w:fldChar w:fldCharType="begin"/>
      </w:r>
      <w:r w:rsidRPr="00BA6D5D">
        <w:rPr>
          <w:rFonts w:ascii="Arial" w:hAnsi="Arial" w:cs="Arial"/>
        </w:rPr>
        <w:instrText>AUTONUMLGL</w:instrText>
      </w:r>
      <w:r w:rsidRPr="00BA6D5D">
        <w:rPr>
          <w:rFonts w:ascii="Arial" w:hAnsi="Arial" w:cs="Arial"/>
        </w:rPr>
        <w:fldChar w:fldCharType="end"/>
      </w:r>
      <w:r w:rsidRPr="00BA6D5D">
        <w:rPr>
          <w:rFonts w:ascii="Arial" w:hAnsi="Arial" w:cs="Arial"/>
        </w:rPr>
        <w:tab/>
        <w:t>The Project’s M&amp;E system captures data on the</w:t>
      </w:r>
      <w:r w:rsidR="00A13AE7">
        <w:rPr>
          <w:rFonts w:ascii="Arial" w:hAnsi="Arial" w:cs="Arial"/>
        </w:rPr>
        <w:t xml:space="preserve"> </w:t>
      </w:r>
      <w:r w:rsidR="00A13AE7" w:rsidRPr="00BA6D5D">
        <w:rPr>
          <w:rFonts w:ascii="Arial" w:hAnsi="Arial" w:cs="Arial"/>
        </w:rPr>
        <w:t>annual</w:t>
      </w:r>
      <w:r w:rsidRPr="00BA6D5D">
        <w:rPr>
          <w:rFonts w:ascii="Arial" w:hAnsi="Arial" w:cs="Arial"/>
        </w:rPr>
        <w:t xml:space="preserve"> number of health professionals undertaking placements in rural and remote areas </w:t>
      </w:r>
      <w:r w:rsidR="00A13AE7">
        <w:rPr>
          <w:rFonts w:ascii="Arial" w:hAnsi="Arial" w:cs="Arial"/>
        </w:rPr>
        <w:t>following</w:t>
      </w:r>
      <w:r w:rsidR="00A13AE7" w:rsidRPr="00BA6D5D">
        <w:rPr>
          <w:rFonts w:ascii="Arial" w:hAnsi="Arial" w:cs="Arial"/>
        </w:rPr>
        <w:t xml:space="preserve"> </w:t>
      </w:r>
      <w:r w:rsidRPr="00BA6D5D">
        <w:rPr>
          <w:rFonts w:ascii="Arial" w:hAnsi="Arial" w:cs="Arial"/>
        </w:rPr>
        <w:t>Decision 1816/QD-BYT. The numbers for 2013 and 2014 were 1,037 and 1,012 respectively, exceeding the Project’s outcome target.</w:t>
      </w:r>
    </w:p>
    <w:p w:rsidR="00F167A8" w:rsidRPr="00BA6D5D" w:rsidRDefault="00F167A8" w:rsidP="00F167A8">
      <w:pPr>
        <w:rPr>
          <w:rFonts w:ascii="Arial" w:hAnsi="Arial" w:cs="Arial"/>
        </w:rPr>
      </w:pPr>
    </w:p>
    <w:p w:rsidR="00F167A8" w:rsidRPr="00BA6D5D" w:rsidRDefault="00F167A8" w:rsidP="00F167A8">
      <w:pPr>
        <w:jc w:val="both"/>
        <w:rPr>
          <w:rFonts w:ascii="Arial" w:hAnsi="Arial" w:cs="Arial"/>
        </w:rPr>
      </w:pPr>
      <w:r w:rsidRPr="00777CBC">
        <w:rPr>
          <w:rFonts w:ascii="Arial" w:hAnsi="Arial" w:cs="Arial"/>
        </w:rPr>
        <w:fldChar w:fldCharType="begin"/>
      </w:r>
      <w:r w:rsidRPr="00A92DC3">
        <w:rPr>
          <w:rFonts w:ascii="Arial" w:hAnsi="Arial" w:cs="Arial"/>
        </w:rPr>
        <w:instrText>AUTONUMLGL</w:instrText>
      </w:r>
      <w:r w:rsidRPr="00777CBC">
        <w:rPr>
          <w:rFonts w:ascii="Arial" w:hAnsi="Arial" w:cs="Arial"/>
        </w:rPr>
        <w:fldChar w:fldCharType="end"/>
      </w:r>
      <w:r w:rsidRPr="00A92DC3">
        <w:rPr>
          <w:rFonts w:ascii="Arial" w:hAnsi="Arial" w:cs="Arial"/>
        </w:rPr>
        <w:tab/>
        <w:t xml:space="preserve">The rotation of specialist medical staff through lower-level hospitals and commune health centers under Decision 1816 boosts the availability and quality of local health care in remote and mountainous areas and supports skills transfer to local health care staff. As a policy action under the </w:t>
      </w:r>
      <w:r w:rsidR="00F454A9" w:rsidRPr="00A92DC3">
        <w:rPr>
          <w:rFonts w:ascii="Arial" w:hAnsi="Arial" w:cs="Arial"/>
        </w:rPr>
        <w:t>program loan</w:t>
      </w:r>
      <w:r w:rsidRPr="00A92DC3">
        <w:rPr>
          <w:rFonts w:ascii="Arial" w:hAnsi="Arial" w:cs="Arial"/>
        </w:rPr>
        <w:t xml:space="preserve">, MoH undertook an assessment of the implementation of Decision 1816 and made recommendations for strengthening implementation. </w:t>
      </w:r>
      <w:r w:rsidR="00C03189" w:rsidRPr="00A92DC3">
        <w:rPr>
          <w:rFonts w:ascii="Arial" w:hAnsi="Arial" w:cs="Arial"/>
        </w:rPr>
        <w:t xml:space="preserve">The </w:t>
      </w:r>
      <w:r w:rsidR="00610357" w:rsidRPr="00A92DC3">
        <w:rPr>
          <w:rFonts w:ascii="Arial" w:hAnsi="Arial" w:cs="Arial"/>
        </w:rPr>
        <w:t>Joint Committee for Human Resource Planning and Management (JC-HRPM)</w:t>
      </w:r>
      <w:r w:rsidR="00C03189" w:rsidRPr="00A92DC3">
        <w:rPr>
          <w:rFonts w:ascii="Arial" w:hAnsi="Arial" w:cs="Arial"/>
        </w:rPr>
        <w:t>, which receives operational support under the project loan,</w:t>
      </w:r>
      <w:r w:rsidR="00610357" w:rsidRPr="00A92DC3">
        <w:rPr>
          <w:rFonts w:ascii="Arial" w:hAnsi="Arial" w:cs="Arial"/>
        </w:rPr>
        <w:t xml:space="preserve"> </w:t>
      </w:r>
      <w:r w:rsidRPr="00A92DC3">
        <w:rPr>
          <w:rFonts w:ascii="Arial" w:hAnsi="Arial" w:cs="Arial"/>
        </w:rPr>
        <w:t xml:space="preserve">provides a mechanism to </w:t>
      </w:r>
      <w:r w:rsidR="00690F7C" w:rsidRPr="00A92DC3">
        <w:rPr>
          <w:rFonts w:ascii="Arial" w:hAnsi="Arial" w:cs="Arial"/>
        </w:rPr>
        <w:t xml:space="preserve">strengthen coordination and management </w:t>
      </w:r>
      <w:r w:rsidR="00CC4835" w:rsidRPr="00A92DC3">
        <w:rPr>
          <w:rFonts w:ascii="Arial" w:hAnsi="Arial" w:cs="Arial"/>
        </w:rPr>
        <w:t>of activities under Decision 1816, including the rotation program</w:t>
      </w:r>
      <w:r w:rsidRPr="00A92DC3">
        <w:rPr>
          <w:rFonts w:ascii="Arial" w:hAnsi="Arial" w:cs="Arial"/>
        </w:rPr>
        <w:t xml:space="preserve">. </w:t>
      </w:r>
      <w:r w:rsidR="00A92DC3" w:rsidRPr="00777CBC">
        <w:rPr>
          <w:rFonts w:ascii="Arial" w:hAnsi="Arial" w:cs="Arial"/>
        </w:rPr>
        <w:t>P</w:t>
      </w:r>
      <w:r w:rsidRPr="005030F5">
        <w:rPr>
          <w:rFonts w:ascii="Arial" w:hAnsi="Arial" w:cs="Arial"/>
        </w:rPr>
        <w:t xml:space="preserve">rogress against the outcome indicator demonstrates that the </w:t>
      </w:r>
      <w:r w:rsidR="00A92DC3" w:rsidRPr="00777CBC">
        <w:rPr>
          <w:rFonts w:ascii="Arial" w:hAnsi="Arial" w:cs="Arial"/>
        </w:rPr>
        <w:t xml:space="preserve">rotation </w:t>
      </w:r>
      <w:r w:rsidRPr="005030F5">
        <w:rPr>
          <w:rFonts w:ascii="Arial" w:hAnsi="Arial" w:cs="Arial"/>
        </w:rPr>
        <w:t>program is operating beyond the levels that were en</w:t>
      </w:r>
      <w:r w:rsidRPr="00A13AE7">
        <w:rPr>
          <w:rFonts w:ascii="Arial" w:hAnsi="Arial" w:cs="Arial"/>
        </w:rPr>
        <w:t>visaged at design.</w:t>
      </w:r>
    </w:p>
    <w:p w:rsidR="00F167A8" w:rsidRPr="00BA6D5D" w:rsidRDefault="00F167A8" w:rsidP="00F167A8">
      <w:pPr>
        <w:rPr>
          <w:rFonts w:ascii="Arial" w:hAnsi="Arial" w:cs="Arial"/>
        </w:rPr>
      </w:pPr>
    </w:p>
    <w:p w:rsidR="00F167A8" w:rsidRPr="00BA6D5D" w:rsidRDefault="00F167A8" w:rsidP="00185E36">
      <w:pPr>
        <w:jc w:val="both"/>
        <w:rPr>
          <w:rFonts w:ascii="Arial" w:hAnsi="Arial" w:cs="Arial"/>
          <w:b/>
          <w:i/>
        </w:rPr>
      </w:pPr>
      <w:r w:rsidRPr="00BA6D5D">
        <w:rPr>
          <w:rFonts w:ascii="Arial" w:hAnsi="Arial" w:cs="Arial"/>
          <w:b/>
          <w:i/>
        </w:rPr>
        <w:t>Target 4: 10% increase in number of Ethnic Minority students graduating from six prioritized medical universities over baseline level</w:t>
      </w:r>
      <w:r w:rsidR="00CC5FA0">
        <w:rPr>
          <w:rFonts w:ascii="Arial" w:hAnsi="Arial" w:cs="Arial"/>
          <w:b/>
          <w:i/>
        </w:rPr>
        <w:t>.</w:t>
      </w:r>
    </w:p>
    <w:p w:rsidR="00F167A8" w:rsidRPr="00BA6D5D" w:rsidRDefault="00F167A8" w:rsidP="00F167A8">
      <w:pPr>
        <w:widowControl w:val="0"/>
        <w:autoSpaceDE w:val="0"/>
        <w:autoSpaceDN w:val="0"/>
        <w:adjustRightInd w:val="0"/>
        <w:spacing w:after="120"/>
        <w:jc w:val="both"/>
        <w:rPr>
          <w:rFonts w:ascii="Arial" w:hAnsi="Arial" w:cs="Arial"/>
        </w:rPr>
      </w:pPr>
    </w:p>
    <w:p w:rsidR="00F167A8" w:rsidRPr="005030F5" w:rsidRDefault="00F167A8" w:rsidP="00F167A8">
      <w:pPr>
        <w:jc w:val="both"/>
        <w:rPr>
          <w:rFonts w:ascii="Arial" w:hAnsi="Arial" w:cs="Arial"/>
        </w:rPr>
      </w:pPr>
      <w:r w:rsidRPr="00777CBC">
        <w:rPr>
          <w:rFonts w:ascii="Arial" w:hAnsi="Arial" w:cs="Arial"/>
        </w:rPr>
        <w:fldChar w:fldCharType="begin"/>
      </w:r>
      <w:r w:rsidRPr="005030F5">
        <w:rPr>
          <w:rFonts w:ascii="Arial" w:hAnsi="Arial" w:cs="Arial"/>
        </w:rPr>
        <w:instrText>AUTONUMLGL</w:instrText>
      </w:r>
      <w:r w:rsidRPr="00777CBC">
        <w:rPr>
          <w:rFonts w:ascii="Arial" w:hAnsi="Arial" w:cs="Arial"/>
        </w:rPr>
        <w:fldChar w:fldCharType="end"/>
      </w:r>
      <w:r w:rsidRPr="005030F5">
        <w:rPr>
          <w:rFonts w:ascii="Arial" w:hAnsi="Arial" w:cs="Arial"/>
        </w:rPr>
        <w:tab/>
        <w:t xml:space="preserve">The ICE </w:t>
      </w:r>
      <w:r w:rsidR="00AE79BF" w:rsidRPr="005030F5">
        <w:rPr>
          <w:rFonts w:ascii="Arial" w:hAnsi="Arial" w:cs="Arial"/>
        </w:rPr>
        <w:t>team was</w:t>
      </w:r>
      <w:r w:rsidRPr="005030F5">
        <w:rPr>
          <w:rFonts w:ascii="Arial" w:hAnsi="Arial" w:cs="Arial"/>
        </w:rPr>
        <w:t xml:space="preserve"> unable to assess progress against this indicator </w:t>
      </w:r>
      <w:r w:rsidR="00561617" w:rsidRPr="005030F5">
        <w:rPr>
          <w:rFonts w:ascii="Arial" w:hAnsi="Arial" w:cs="Arial"/>
        </w:rPr>
        <w:t xml:space="preserve">in full </w:t>
      </w:r>
      <w:r w:rsidRPr="005030F5">
        <w:rPr>
          <w:rFonts w:ascii="Arial" w:hAnsi="Arial" w:cs="Arial"/>
        </w:rPr>
        <w:t xml:space="preserve">due to a lack of </w:t>
      </w:r>
      <w:r w:rsidR="005030F5" w:rsidRPr="005030F5">
        <w:rPr>
          <w:rFonts w:ascii="Arial" w:hAnsi="Arial" w:cs="Arial"/>
        </w:rPr>
        <w:t xml:space="preserve">pre-Project </w:t>
      </w:r>
      <w:r w:rsidRPr="005030F5">
        <w:rPr>
          <w:rFonts w:ascii="Arial" w:hAnsi="Arial" w:cs="Arial"/>
        </w:rPr>
        <w:t xml:space="preserve">baseline data. </w:t>
      </w:r>
      <w:r w:rsidR="00574E70" w:rsidRPr="005030F5">
        <w:rPr>
          <w:rFonts w:ascii="Arial" w:hAnsi="Arial" w:cs="Arial"/>
        </w:rPr>
        <w:t xml:space="preserve">Data on </w:t>
      </w:r>
      <w:r w:rsidR="00574E70" w:rsidRPr="00A13AE7">
        <w:rPr>
          <w:rFonts w:ascii="Arial" w:hAnsi="Arial" w:cs="Arial"/>
        </w:rPr>
        <w:t>the average</w:t>
      </w:r>
      <w:r w:rsidRPr="00A11A3E">
        <w:rPr>
          <w:rFonts w:ascii="Arial" w:hAnsi="Arial" w:cs="Arial"/>
        </w:rPr>
        <w:t xml:space="preserve"> number of EM students </w:t>
      </w:r>
      <w:r w:rsidR="003A6670">
        <w:rPr>
          <w:rFonts w:ascii="Arial" w:hAnsi="Arial" w:cs="Arial"/>
        </w:rPr>
        <w:t>enrolled</w:t>
      </w:r>
      <w:r w:rsidR="003A6670" w:rsidRPr="00A11A3E">
        <w:rPr>
          <w:rFonts w:ascii="Arial" w:hAnsi="Arial" w:cs="Arial"/>
        </w:rPr>
        <w:t xml:space="preserve"> </w:t>
      </w:r>
      <w:r w:rsidR="003A6670">
        <w:rPr>
          <w:rFonts w:ascii="Arial" w:hAnsi="Arial" w:cs="Arial"/>
        </w:rPr>
        <w:t>at</w:t>
      </w:r>
      <w:r w:rsidR="003A6670" w:rsidRPr="00583184">
        <w:rPr>
          <w:rFonts w:ascii="Arial" w:hAnsi="Arial" w:cs="Arial"/>
        </w:rPr>
        <w:t xml:space="preserve"> </w:t>
      </w:r>
      <w:r w:rsidR="00574E70" w:rsidRPr="00583184">
        <w:rPr>
          <w:rFonts w:ascii="Arial" w:hAnsi="Arial" w:cs="Arial"/>
        </w:rPr>
        <w:t xml:space="preserve">HPTF </w:t>
      </w:r>
      <w:r w:rsidRPr="007C7E1B">
        <w:rPr>
          <w:rFonts w:ascii="Arial" w:hAnsi="Arial" w:cs="Arial"/>
        </w:rPr>
        <w:t>during the Project period (2011-2014) wa</w:t>
      </w:r>
      <w:r w:rsidR="00574E70" w:rsidRPr="007C7E1B">
        <w:rPr>
          <w:rFonts w:ascii="Arial" w:hAnsi="Arial" w:cs="Arial"/>
        </w:rPr>
        <w:t>s available</w:t>
      </w:r>
      <w:r w:rsidRPr="007C7E1B">
        <w:rPr>
          <w:rFonts w:ascii="Arial" w:hAnsi="Arial" w:cs="Arial"/>
        </w:rPr>
        <w:t xml:space="preserve">. An average of </w:t>
      </w:r>
      <w:r w:rsidR="00574E70" w:rsidRPr="007C7E1B">
        <w:rPr>
          <w:rFonts w:ascii="Arial" w:hAnsi="Arial" w:cs="Arial"/>
        </w:rPr>
        <w:t xml:space="preserve">10,783 </w:t>
      </w:r>
      <w:r w:rsidRPr="006F02FE">
        <w:rPr>
          <w:rFonts w:ascii="Arial" w:hAnsi="Arial" w:cs="Arial"/>
        </w:rPr>
        <w:t>EM students</w:t>
      </w:r>
      <w:r w:rsidRPr="00052969">
        <w:rPr>
          <w:rFonts w:ascii="Arial" w:hAnsi="Arial" w:cs="Arial"/>
        </w:rPr>
        <w:t xml:space="preserve"> </w:t>
      </w:r>
      <w:r w:rsidR="003A6670">
        <w:rPr>
          <w:rFonts w:ascii="Arial" w:hAnsi="Arial" w:cs="Arial"/>
        </w:rPr>
        <w:t>were enrolled annually at</w:t>
      </w:r>
      <w:r w:rsidR="00574E70" w:rsidRPr="005030F5">
        <w:rPr>
          <w:rFonts w:ascii="Arial" w:hAnsi="Arial" w:cs="Arial"/>
        </w:rPr>
        <w:t xml:space="preserve"> the 17 HPTF combined, with 7,867</w:t>
      </w:r>
      <w:r w:rsidR="00574E70" w:rsidRPr="00A13AE7">
        <w:rPr>
          <w:rFonts w:ascii="Arial" w:hAnsi="Arial" w:cs="Arial"/>
        </w:rPr>
        <w:t xml:space="preserve"> </w:t>
      </w:r>
      <w:r w:rsidR="003A6670">
        <w:rPr>
          <w:rFonts w:ascii="Arial" w:hAnsi="Arial" w:cs="Arial"/>
        </w:rPr>
        <w:t>enrolled at</w:t>
      </w:r>
      <w:r w:rsidRPr="00A11A3E">
        <w:rPr>
          <w:rFonts w:ascii="Arial" w:hAnsi="Arial" w:cs="Arial"/>
        </w:rPr>
        <w:t xml:space="preserve"> the six </w:t>
      </w:r>
      <w:r w:rsidR="00574E70" w:rsidRPr="00A11A3E">
        <w:rPr>
          <w:rFonts w:ascii="Arial" w:hAnsi="Arial" w:cs="Arial"/>
        </w:rPr>
        <w:t>priority universities</w:t>
      </w:r>
      <w:r w:rsidR="00574E70" w:rsidRPr="00583184">
        <w:rPr>
          <w:rFonts w:ascii="Arial" w:hAnsi="Arial" w:cs="Arial"/>
        </w:rPr>
        <w:t xml:space="preserve">. </w:t>
      </w:r>
      <w:r w:rsidRPr="007C7E1B">
        <w:rPr>
          <w:rFonts w:ascii="Arial" w:hAnsi="Arial" w:cs="Arial"/>
        </w:rPr>
        <w:t xml:space="preserve">Data </w:t>
      </w:r>
      <w:r w:rsidR="009263DB">
        <w:rPr>
          <w:rFonts w:ascii="Arial" w:hAnsi="Arial" w:cs="Arial"/>
        </w:rPr>
        <w:t xml:space="preserve">on enrolment numbers </w:t>
      </w:r>
      <w:r w:rsidRPr="007C7E1B">
        <w:rPr>
          <w:rFonts w:ascii="Arial" w:hAnsi="Arial" w:cs="Arial"/>
        </w:rPr>
        <w:t>for individual HPTF is detailed in the DMF in Appendix 2</w:t>
      </w:r>
      <w:r w:rsidR="005030F5" w:rsidRPr="005030F5">
        <w:rPr>
          <w:rFonts w:ascii="Arial" w:hAnsi="Arial" w:cs="Arial"/>
        </w:rPr>
        <w:t>,</w:t>
      </w:r>
      <w:r w:rsidRPr="005030F5">
        <w:rPr>
          <w:rFonts w:ascii="Arial" w:hAnsi="Arial" w:cs="Arial"/>
        </w:rPr>
        <w:t xml:space="preserve"> Table 2.1.</w:t>
      </w:r>
    </w:p>
    <w:p w:rsidR="00F167A8" w:rsidRPr="005030F5" w:rsidRDefault="00F167A8" w:rsidP="00F167A8">
      <w:pPr>
        <w:jc w:val="both"/>
        <w:rPr>
          <w:rFonts w:ascii="Arial" w:hAnsi="Arial" w:cs="Arial"/>
        </w:rPr>
      </w:pPr>
    </w:p>
    <w:p w:rsidR="00F167A8" w:rsidRPr="00BA6D5D" w:rsidRDefault="00F167A8" w:rsidP="00F167A8">
      <w:pPr>
        <w:jc w:val="both"/>
        <w:rPr>
          <w:rFonts w:ascii="Arial" w:hAnsi="Arial" w:cs="Arial"/>
          <w:color w:val="000000"/>
        </w:rPr>
      </w:pPr>
      <w:r w:rsidRPr="005030F5">
        <w:rPr>
          <w:rFonts w:ascii="Arial" w:hAnsi="Arial" w:cs="Arial"/>
        </w:rPr>
        <w:fldChar w:fldCharType="begin"/>
      </w:r>
      <w:r w:rsidRPr="005030F5">
        <w:rPr>
          <w:rFonts w:ascii="Arial" w:hAnsi="Arial" w:cs="Arial"/>
        </w:rPr>
        <w:instrText>AUTONUMLGL</w:instrText>
      </w:r>
      <w:r w:rsidRPr="005030F5">
        <w:rPr>
          <w:rFonts w:ascii="Arial" w:hAnsi="Arial" w:cs="Arial"/>
        </w:rPr>
        <w:fldChar w:fldCharType="end"/>
      </w:r>
      <w:r w:rsidRPr="005030F5">
        <w:rPr>
          <w:rFonts w:ascii="Arial" w:hAnsi="Arial" w:cs="Arial"/>
        </w:rPr>
        <w:tab/>
        <w:t xml:space="preserve">Increasing the number of qualified health professionals from EM backgrounds is an important strategy for improving the quality, efficiency and equity of the health workforce and health service delivery in remote areas, particularly those areas with large EM populations.  The ICE team assess that the Project’s investments have partially </w:t>
      </w:r>
      <w:r w:rsidR="005231FA" w:rsidRPr="005030F5">
        <w:rPr>
          <w:rFonts w:ascii="Arial" w:hAnsi="Arial" w:cs="Arial"/>
        </w:rPr>
        <w:t xml:space="preserve">contributed to this. </w:t>
      </w:r>
      <w:r w:rsidRPr="005030F5">
        <w:rPr>
          <w:rFonts w:ascii="Arial" w:hAnsi="Arial" w:cs="Arial"/>
        </w:rPr>
        <w:t xml:space="preserve">The most direct evidence is the 51 health professionals from an EM background who received scholarships to study </w:t>
      </w:r>
      <w:r w:rsidRPr="005030F5">
        <w:rPr>
          <w:rFonts w:ascii="Arial" w:hAnsi="Arial" w:cs="Arial"/>
          <w:color w:val="000000"/>
        </w:rPr>
        <w:t xml:space="preserve">Medical Specialization Level 1. </w:t>
      </w:r>
      <w:r w:rsidR="005231FA" w:rsidRPr="005030F5">
        <w:rPr>
          <w:rFonts w:ascii="Arial" w:hAnsi="Arial" w:cs="Arial"/>
          <w:color w:val="000000"/>
        </w:rPr>
        <w:t xml:space="preserve">The effects of the Project’s other key activity, the provision of </w:t>
      </w:r>
      <w:r w:rsidRPr="00A13AE7">
        <w:rPr>
          <w:rFonts w:ascii="Arial" w:hAnsi="Arial" w:cs="Arial"/>
          <w:color w:val="000000"/>
        </w:rPr>
        <w:t>top-up scholarships for 2,280 EM stude</w:t>
      </w:r>
      <w:r w:rsidR="00AE79BF" w:rsidRPr="00A11A3E">
        <w:rPr>
          <w:rFonts w:ascii="Arial" w:hAnsi="Arial" w:cs="Arial"/>
          <w:color w:val="000000"/>
        </w:rPr>
        <w:t>nts already enrolled in HPTF</w:t>
      </w:r>
      <w:r w:rsidR="005231FA" w:rsidRPr="00A11A3E">
        <w:rPr>
          <w:rFonts w:ascii="Arial" w:hAnsi="Arial" w:cs="Arial"/>
          <w:color w:val="000000"/>
        </w:rPr>
        <w:t>,</w:t>
      </w:r>
      <w:r w:rsidR="00AE79BF" w:rsidRPr="00583184">
        <w:rPr>
          <w:rFonts w:ascii="Arial" w:hAnsi="Arial" w:cs="Arial"/>
          <w:color w:val="000000"/>
        </w:rPr>
        <w:t xml:space="preserve"> are</w:t>
      </w:r>
      <w:r w:rsidRPr="00583184">
        <w:rPr>
          <w:rFonts w:ascii="Arial" w:hAnsi="Arial" w:cs="Arial"/>
          <w:color w:val="000000"/>
        </w:rPr>
        <w:t xml:space="preserve"> less direct. While the scholarships do not increase the number of new enrollees, the additional funding</w:t>
      </w:r>
      <w:r w:rsidR="005231FA" w:rsidRPr="00583184">
        <w:rPr>
          <w:rFonts w:ascii="Arial" w:hAnsi="Arial" w:cs="Arial"/>
          <w:color w:val="000000"/>
        </w:rPr>
        <w:t xml:space="preserve"> </w:t>
      </w:r>
      <w:r w:rsidR="005231FA" w:rsidRPr="007C7E1B">
        <w:rPr>
          <w:rFonts w:ascii="Arial" w:hAnsi="Arial" w:cs="Arial"/>
          <w:color w:val="000000"/>
        </w:rPr>
        <w:t xml:space="preserve">supports </w:t>
      </w:r>
      <w:r w:rsidRPr="007C7E1B">
        <w:rPr>
          <w:rFonts w:ascii="Arial" w:hAnsi="Arial" w:cs="Arial"/>
          <w:color w:val="000000"/>
        </w:rPr>
        <w:t>retention of these students through to graduation</w:t>
      </w:r>
      <w:r w:rsidRPr="005030F5">
        <w:rPr>
          <w:rFonts w:ascii="Arial" w:hAnsi="Arial" w:cs="Arial"/>
          <w:color w:val="000000"/>
        </w:rPr>
        <w:t xml:space="preserve">. </w:t>
      </w:r>
      <w:r w:rsidR="00E93E8D" w:rsidRPr="005030F5">
        <w:rPr>
          <w:rFonts w:ascii="Arial" w:hAnsi="Arial" w:cs="Arial"/>
          <w:color w:val="000000"/>
        </w:rPr>
        <w:t>The final</w:t>
      </w:r>
      <w:r w:rsidRPr="005030F5">
        <w:rPr>
          <w:rFonts w:ascii="Arial" w:hAnsi="Arial" w:cs="Arial"/>
          <w:color w:val="000000"/>
        </w:rPr>
        <w:t xml:space="preserve"> evaluation should be used to better capture and quantify the direct and indirect contributions of the Project in increasing the number of EM students graduating from </w:t>
      </w:r>
      <w:r w:rsidR="0084683F">
        <w:rPr>
          <w:rFonts w:ascii="Arial" w:hAnsi="Arial" w:cs="Arial"/>
          <w:color w:val="000000"/>
        </w:rPr>
        <w:t>HPTF</w:t>
      </w:r>
      <w:r w:rsidRPr="005030F5">
        <w:rPr>
          <w:rFonts w:ascii="Arial" w:hAnsi="Arial" w:cs="Arial"/>
          <w:color w:val="000000"/>
        </w:rPr>
        <w:t xml:space="preserve"> and the proportion that return to work in rural and remote areas.</w:t>
      </w:r>
      <w:r w:rsidRPr="00BA6D5D">
        <w:rPr>
          <w:rFonts w:ascii="Arial" w:hAnsi="Arial" w:cs="Arial"/>
          <w:color w:val="000000"/>
        </w:rPr>
        <w:t xml:space="preserve"> </w:t>
      </w:r>
    </w:p>
    <w:p w:rsidR="00146A91" w:rsidRPr="00BA6D5D" w:rsidRDefault="00146A91" w:rsidP="00F167A8">
      <w:pPr>
        <w:jc w:val="both"/>
        <w:rPr>
          <w:rFonts w:ascii="Arial" w:hAnsi="Arial" w:cs="Arial"/>
          <w:color w:val="000000"/>
        </w:rPr>
      </w:pPr>
    </w:p>
    <w:p w:rsidR="00F167A8" w:rsidRPr="00BA6D5D" w:rsidRDefault="00F167A8" w:rsidP="00185E36">
      <w:pPr>
        <w:jc w:val="both"/>
        <w:rPr>
          <w:rFonts w:ascii="Arial" w:hAnsi="Arial" w:cs="Arial"/>
          <w:b/>
          <w:i/>
        </w:rPr>
      </w:pPr>
      <w:r w:rsidRPr="00BA6D5D">
        <w:rPr>
          <w:rFonts w:ascii="Arial" w:hAnsi="Arial" w:cs="Arial"/>
          <w:b/>
          <w:i/>
        </w:rPr>
        <w:t>Target 5: 20 hospitals with improved efficiency and quality of services through adoption of operational policies for use of care pathways and case-based payments</w:t>
      </w:r>
      <w:r w:rsidR="00CC5FA0">
        <w:rPr>
          <w:rFonts w:ascii="Arial" w:hAnsi="Arial" w:cs="Arial"/>
          <w:b/>
          <w:i/>
        </w:rPr>
        <w:t>.</w:t>
      </w:r>
    </w:p>
    <w:p w:rsidR="00F167A8" w:rsidRPr="00BA6D5D" w:rsidRDefault="00F167A8" w:rsidP="00F167A8">
      <w:pPr>
        <w:jc w:val="both"/>
        <w:rPr>
          <w:rFonts w:ascii="Arial" w:eastAsia="MS Mincho" w:hAnsi="Arial" w:cs="Arial"/>
          <w:color w:val="FF0000"/>
          <w:szCs w:val="22"/>
        </w:rPr>
      </w:pPr>
    </w:p>
    <w:p w:rsidR="00F167A8" w:rsidRPr="00BA6D5D" w:rsidRDefault="00F167A8" w:rsidP="00F167A8">
      <w:pPr>
        <w:jc w:val="both"/>
        <w:rPr>
          <w:rFonts w:ascii="Arial" w:hAnsi="Arial" w:cs="Arial"/>
        </w:rPr>
      </w:pPr>
      <w:r w:rsidRPr="00BA6D5D">
        <w:rPr>
          <w:rFonts w:ascii="Arial" w:hAnsi="Arial" w:cs="Arial"/>
        </w:rPr>
        <w:fldChar w:fldCharType="begin"/>
      </w:r>
      <w:r w:rsidRPr="00BA6D5D">
        <w:rPr>
          <w:rFonts w:ascii="Arial" w:hAnsi="Arial" w:cs="Arial"/>
        </w:rPr>
        <w:instrText>AUTONUMLGL</w:instrText>
      </w:r>
      <w:r w:rsidRPr="00BA6D5D">
        <w:rPr>
          <w:rFonts w:ascii="Arial" w:hAnsi="Arial" w:cs="Arial"/>
        </w:rPr>
        <w:fldChar w:fldCharType="end"/>
      </w:r>
      <w:r w:rsidRPr="00BA6D5D">
        <w:rPr>
          <w:rFonts w:ascii="Arial" w:hAnsi="Arial" w:cs="Arial"/>
        </w:rPr>
        <w:tab/>
        <w:t>The piloting of case</w:t>
      </w:r>
      <w:r w:rsidR="001D59BF">
        <w:rPr>
          <w:rFonts w:ascii="Arial" w:hAnsi="Arial" w:cs="Arial"/>
        </w:rPr>
        <w:t>-</w:t>
      </w:r>
      <w:r w:rsidRPr="00BA6D5D">
        <w:rPr>
          <w:rFonts w:ascii="Arial" w:hAnsi="Arial" w:cs="Arial"/>
        </w:rPr>
        <w:t>based payments using costed care pathways</w:t>
      </w:r>
      <w:r w:rsidR="0021511F">
        <w:rPr>
          <w:rFonts w:ascii="Arial" w:hAnsi="Arial" w:cs="Arial"/>
        </w:rPr>
        <w:t xml:space="preserve"> (CPs)</w:t>
      </w:r>
      <w:r w:rsidRPr="00BA6D5D">
        <w:rPr>
          <w:rFonts w:ascii="Arial" w:hAnsi="Arial" w:cs="Arial"/>
        </w:rPr>
        <w:t xml:space="preserve"> has not yet commenced. Despite this, the ICE team assess that the outputs to date have established the foundation for progressing to the pilot. It is anticipated that an additional 9-12 months are required to complete this work, which is likely to be achieved if an extension to the project implementation period is approved.</w:t>
      </w:r>
    </w:p>
    <w:p w:rsidR="00F167A8" w:rsidRPr="00BA6D5D" w:rsidRDefault="00F167A8" w:rsidP="00F167A8">
      <w:pPr>
        <w:jc w:val="both"/>
        <w:rPr>
          <w:rFonts w:ascii="Arial" w:hAnsi="Arial" w:cs="Arial"/>
        </w:rPr>
      </w:pPr>
    </w:p>
    <w:p w:rsidR="00F167A8" w:rsidRPr="00BA6D5D" w:rsidRDefault="00F167A8" w:rsidP="00F167A8">
      <w:pPr>
        <w:jc w:val="both"/>
        <w:rPr>
          <w:rFonts w:ascii="Arial" w:hAnsi="Arial" w:cs="Arial"/>
        </w:rPr>
      </w:pPr>
      <w:r w:rsidRPr="00BA6D5D">
        <w:rPr>
          <w:rFonts w:ascii="Arial" w:hAnsi="Arial" w:cs="Arial"/>
        </w:rPr>
        <w:fldChar w:fldCharType="begin"/>
      </w:r>
      <w:r w:rsidRPr="00BA6D5D">
        <w:rPr>
          <w:rFonts w:ascii="Arial" w:hAnsi="Arial" w:cs="Arial"/>
        </w:rPr>
        <w:instrText>AUTONUMLGL</w:instrText>
      </w:r>
      <w:r w:rsidRPr="00BA6D5D">
        <w:rPr>
          <w:rFonts w:ascii="Arial" w:hAnsi="Arial" w:cs="Arial"/>
        </w:rPr>
        <w:fldChar w:fldCharType="end"/>
      </w:r>
      <w:r w:rsidRPr="00BA6D5D">
        <w:rPr>
          <w:rFonts w:ascii="Arial" w:hAnsi="Arial" w:cs="Arial"/>
        </w:rPr>
        <w:tab/>
        <w:t xml:space="preserve">An important output of the Project has been the development of the casemix software and database. On a project level this has provided the methodological platform for costing the 26 CPs.  On a wider level the database has provided a platform for drawing together the </w:t>
      </w:r>
      <w:r w:rsidR="00AE79BF" w:rsidRPr="00BA6D5D">
        <w:rPr>
          <w:rFonts w:ascii="Arial" w:hAnsi="Arial" w:cs="Arial"/>
        </w:rPr>
        <w:t>MoH’s</w:t>
      </w:r>
      <w:r w:rsidRPr="00BA6D5D">
        <w:rPr>
          <w:rFonts w:ascii="Arial" w:hAnsi="Arial" w:cs="Arial"/>
        </w:rPr>
        <w:t xml:space="preserve"> work on other DRG related initiatives. It represents an important output of the Project and one that will support the wider work of the Ministry’s Technical Taskforce on Provider Payment Reform. The Project’s final evaluation</w:t>
      </w:r>
      <w:r w:rsidR="001D59BF">
        <w:rPr>
          <w:rFonts w:ascii="Arial" w:hAnsi="Arial" w:cs="Arial"/>
        </w:rPr>
        <w:t>, in assessing outcomes,</w:t>
      </w:r>
      <w:r w:rsidRPr="00BA6D5D">
        <w:rPr>
          <w:rFonts w:ascii="Arial" w:hAnsi="Arial" w:cs="Arial"/>
        </w:rPr>
        <w:t xml:space="preserve"> should attempt to capture</w:t>
      </w:r>
      <w:r w:rsidR="001D59BF">
        <w:rPr>
          <w:rFonts w:ascii="Arial" w:hAnsi="Arial" w:cs="Arial"/>
        </w:rPr>
        <w:t xml:space="preserve"> </w:t>
      </w:r>
      <w:r w:rsidRPr="00BA6D5D">
        <w:rPr>
          <w:rFonts w:ascii="Arial" w:hAnsi="Arial" w:cs="Arial"/>
        </w:rPr>
        <w:t>the broader work on provider payment reform that the HHRSDP has contributed to.</w:t>
      </w:r>
    </w:p>
    <w:p w:rsidR="00F167A8" w:rsidRPr="00BA6D5D" w:rsidRDefault="00F167A8" w:rsidP="00F167A8">
      <w:pPr>
        <w:jc w:val="both"/>
        <w:rPr>
          <w:rFonts w:ascii="Arial" w:hAnsi="Arial" w:cs="Arial"/>
        </w:rPr>
      </w:pPr>
    </w:p>
    <w:p w:rsidR="00F167A8" w:rsidRPr="00476ED5" w:rsidRDefault="00F167A8" w:rsidP="00EE4E98">
      <w:pPr>
        <w:pStyle w:val="Heading3"/>
        <w:numPr>
          <w:ilvl w:val="0"/>
          <w:numId w:val="56"/>
        </w:numPr>
        <w:spacing w:after="120"/>
        <w:ind w:hanging="540"/>
        <w:jc w:val="both"/>
        <w:rPr>
          <w:rFonts w:cs="Times New Roman"/>
          <w:bCs w:val="0"/>
          <w:color w:val="000000"/>
          <w:sz w:val="20"/>
          <w:szCs w:val="20"/>
          <w:lang w:eastAsia="en-US"/>
        </w:rPr>
      </w:pPr>
      <w:bookmarkStart w:id="41" w:name="_Toc423359322"/>
      <w:r w:rsidRPr="00476ED5">
        <w:rPr>
          <w:rFonts w:cs="Times New Roman"/>
          <w:bCs w:val="0"/>
          <w:color w:val="000000"/>
          <w:sz w:val="20"/>
          <w:szCs w:val="20"/>
          <w:lang w:eastAsia="en-US"/>
        </w:rPr>
        <w:t>Program Outputs</w:t>
      </w:r>
      <w:bookmarkEnd w:id="41"/>
    </w:p>
    <w:p w:rsidR="00F167A8" w:rsidRPr="00BA6D5D" w:rsidRDefault="00F167A8" w:rsidP="00F167A8">
      <w:pPr>
        <w:widowControl w:val="0"/>
        <w:autoSpaceDE w:val="0"/>
        <w:autoSpaceDN w:val="0"/>
        <w:adjustRightInd w:val="0"/>
        <w:spacing w:after="240"/>
        <w:jc w:val="both"/>
        <w:rPr>
          <w:rFonts w:ascii="Arial" w:hAnsi="Arial" w:cs="Arial"/>
        </w:rPr>
      </w:pPr>
      <w:r w:rsidRPr="00BA6D5D">
        <w:rPr>
          <w:rFonts w:ascii="Arial" w:hAnsi="Arial" w:cs="Arial"/>
        </w:rPr>
        <w:fldChar w:fldCharType="begin"/>
      </w:r>
      <w:r w:rsidRPr="00BA6D5D">
        <w:rPr>
          <w:rFonts w:ascii="Arial" w:hAnsi="Arial" w:cs="Arial"/>
        </w:rPr>
        <w:instrText>AUTONUMLGL</w:instrText>
      </w:r>
      <w:r w:rsidRPr="00BA6D5D">
        <w:rPr>
          <w:rFonts w:ascii="Arial" w:hAnsi="Arial" w:cs="Arial"/>
        </w:rPr>
        <w:fldChar w:fldCharType="end"/>
      </w:r>
      <w:r w:rsidRPr="00BA6D5D">
        <w:rPr>
          <w:rFonts w:ascii="Arial" w:hAnsi="Arial" w:cs="Arial"/>
        </w:rPr>
        <w:tab/>
        <w:t xml:space="preserve">Tranche releases of the </w:t>
      </w:r>
      <w:r w:rsidR="00610357">
        <w:rPr>
          <w:rFonts w:ascii="Arial" w:hAnsi="Arial" w:cs="Arial"/>
        </w:rPr>
        <w:t>p</w:t>
      </w:r>
      <w:r w:rsidRPr="00BA6D5D">
        <w:rPr>
          <w:rFonts w:ascii="Arial" w:hAnsi="Arial" w:cs="Arial"/>
        </w:rPr>
        <w:t xml:space="preserve">rogram </w:t>
      </w:r>
      <w:r w:rsidR="00610357">
        <w:rPr>
          <w:rFonts w:ascii="Arial" w:hAnsi="Arial" w:cs="Arial"/>
        </w:rPr>
        <w:t>l</w:t>
      </w:r>
      <w:r w:rsidRPr="00BA6D5D">
        <w:rPr>
          <w:rFonts w:ascii="Arial" w:hAnsi="Arial" w:cs="Arial"/>
        </w:rPr>
        <w:t xml:space="preserve">oan were conditional on the MOH delivering a series of reforms through key policy actions. Policy actions for the tranche one release included: (i) Passing of the </w:t>
      </w:r>
      <w:r w:rsidR="00610357">
        <w:rPr>
          <w:rFonts w:ascii="Arial" w:hAnsi="Arial" w:cs="Arial"/>
        </w:rPr>
        <w:t>LET</w:t>
      </w:r>
      <w:r w:rsidRPr="00BA6D5D">
        <w:rPr>
          <w:rFonts w:ascii="Arial" w:hAnsi="Arial" w:cs="Arial"/>
        </w:rPr>
        <w:t>; (ii) Establis</w:t>
      </w:r>
      <w:r w:rsidR="00610357">
        <w:rPr>
          <w:rFonts w:ascii="Arial" w:hAnsi="Arial" w:cs="Arial"/>
        </w:rPr>
        <w:t>hing</w:t>
      </w:r>
      <w:r w:rsidRPr="00BA6D5D">
        <w:rPr>
          <w:rFonts w:ascii="Arial" w:hAnsi="Arial" w:cs="Arial"/>
        </w:rPr>
        <w:t xml:space="preserve"> </w:t>
      </w:r>
      <w:r w:rsidR="00610357">
        <w:rPr>
          <w:rFonts w:ascii="Arial" w:hAnsi="Arial" w:cs="Arial"/>
        </w:rPr>
        <w:t xml:space="preserve">a </w:t>
      </w:r>
      <w:r w:rsidR="00610357" w:rsidRPr="00BA6D5D">
        <w:rPr>
          <w:rFonts w:ascii="Arial" w:hAnsi="Arial" w:cs="Arial"/>
        </w:rPr>
        <w:t xml:space="preserve">JC-HRPM </w:t>
      </w:r>
      <w:r w:rsidRPr="00BA6D5D">
        <w:rPr>
          <w:rFonts w:ascii="Arial" w:hAnsi="Arial" w:cs="Arial"/>
        </w:rPr>
        <w:t>within MOH</w:t>
      </w:r>
      <w:r w:rsidRPr="00BA6D5D">
        <w:rPr>
          <w:rFonts w:cs="Arial"/>
        </w:rPr>
        <w:t>;</w:t>
      </w:r>
      <w:r w:rsidRPr="00BA6D5D">
        <w:rPr>
          <w:rFonts w:ascii="Arial" w:hAnsi="Arial" w:cs="Arial"/>
        </w:rPr>
        <w:t xml:space="preserve"> (iii) Develop</w:t>
      </w:r>
      <w:r w:rsidR="00610357">
        <w:rPr>
          <w:rFonts w:ascii="Arial" w:hAnsi="Arial" w:cs="Arial"/>
        </w:rPr>
        <w:t>ing</w:t>
      </w:r>
      <w:r w:rsidRPr="00BA6D5D">
        <w:rPr>
          <w:rFonts w:ascii="Arial" w:hAnsi="Arial" w:cs="Arial"/>
        </w:rPr>
        <w:t xml:space="preserve"> of a Master plan for teaching institutions; (iv) Approval of a pilot study on case-based provider payment linked to care pathways.  The policy conditions were achieved and the tranche one program loan released on 4 March 2011. The first tranche of the </w:t>
      </w:r>
      <w:r w:rsidR="00F454A9" w:rsidRPr="00BA6D5D">
        <w:rPr>
          <w:rFonts w:ascii="Arial" w:hAnsi="Arial" w:cs="Arial"/>
        </w:rPr>
        <w:t>program loan</w:t>
      </w:r>
      <w:r w:rsidRPr="00BA6D5D">
        <w:rPr>
          <w:rFonts w:ascii="Arial" w:hAnsi="Arial" w:cs="Arial"/>
        </w:rPr>
        <w:t xml:space="preserve"> totaling $15.8m was released to the Universities in December 2012 and March 2013.</w:t>
      </w:r>
      <w:r w:rsidRPr="00FD6EB5">
        <w:rPr>
          <w:rStyle w:val="FootnoteReference"/>
          <w:rFonts w:eastAsia="MS Mincho" w:cs="Arial"/>
        </w:rPr>
        <w:t xml:space="preserve"> </w:t>
      </w:r>
      <w:r w:rsidRPr="00FD6EB5">
        <w:rPr>
          <w:rStyle w:val="FootnoteReference"/>
          <w:rFonts w:eastAsia="MS Mincho" w:cs="Arial"/>
        </w:rPr>
        <w:footnoteReference w:id="17"/>
      </w:r>
    </w:p>
    <w:p w:rsidR="00F167A8" w:rsidRPr="00D33652" w:rsidRDefault="00F167A8" w:rsidP="00F167A8">
      <w:pPr>
        <w:widowControl w:val="0"/>
        <w:autoSpaceDE w:val="0"/>
        <w:autoSpaceDN w:val="0"/>
        <w:adjustRightInd w:val="0"/>
        <w:spacing w:after="240"/>
        <w:jc w:val="both"/>
        <w:rPr>
          <w:rFonts w:ascii="Arial" w:hAnsi="Arial" w:cs="Arial"/>
          <w:sz w:val="24"/>
          <w:szCs w:val="24"/>
          <w:lang w:eastAsia="en-US"/>
        </w:rPr>
      </w:pPr>
      <w:r w:rsidRPr="00BA6D5D">
        <w:rPr>
          <w:rFonts w:ascii="Arial" w:hAnsi="Arial" w:cs="Arial"/>
        </w:rPr>
        <w:fldChar w:fldCharType="begin"/>
      </w:r>
      <w:r w:rsidRPr="00BA6D5D">
        <w:rPr>
          <w:rFonts w:ascii="Arial" w:hAnsi="Arial" w:cs="Arial"/>
        </w:rPr>
        <w:instrText>AUTONUMLGL</w:instrText>
      </w:r>
      <w:r w:rsidRPr="00BA6D5D">
        <w:rPr>
          <w:rFonts w:ascii="Arial" w:hAnsi="Arial" w:cs="Arial"/>
        </w:rPr>
        <w:fldChar w:fldCharType="end"/>
      </w:r>
      <w:r w:rsidRPr="00BA6D5D">
        <w:rPr>
          <w:rFonts w:ascii="Arial" w:hAnsi="Arial" w:cs="Arial"/>
        </w:rPr>
        <w:tab/>
        <w:t>The tranche two release, due on 31 December 2012, was conditional on ten additional policy actions. The actions are detailed in Appendix 3</w:t>
      </w:r>
      <w:r w:rsidR="0083264E">
        <w:rPr>
          <w:rFonts w:ascii="Arial" w:hAnsi="Arial" w:cs="Arial"/>
        </w:rPr>
        <w:t>,</w:t>
      </w:r>
      <w:r w:rsidRPr="00BA6D5D">
        <w:rPr>
          <w:rFonts w:ascii="Arial" w:hAnsi="Arial" w:cs="Arial"/>
        </w:rPr>
        <w:t xml:space="preserve"> Table 3.1. The</w:t>
      </w:r>
      <w:r w:rsidRPr="009F6E10">
        <w:rPr>
          <w:rFonts w:ascii="Arial" w:hAnsi="Arial" w:cs="Arial"/>
        </w:rPr>
        <w:t xml:space="preserve"> GoV requested ADB to postpone the second tranche release until 30 September 2013 to </w:t>
      </w:r>
      <w:r>
        <w:rPr>
          <w:rFonts w:ascii="Arial" w:hAnsi="Arial" w:cs="Arial"/>
        </w:rPr>
        <w:t>allow completion of all</w:t>
      </w:r>
      <w:r w:rsidRPr="009F6E10">
        <w:rPr>
          <w:rFonts w:ascii="Arial" w:hAnsi="Arial" w:cs="Arial"/>
        </w:rPr>
        <w:t xml:space="preserve"> </w:t>
      </w:r>
      <w:r>
        <w:rPr>
          <w:rFonts w:ascii="Arial" w:hAnsi="Arial" w:cs="Arial"/>
        </w:rPr>
        <w:t xml:space="preserve">ten </w:t>
      </w:r>
      <w:r w:rsidRPr="009F6E10">
        <w:rPr>
          <w:rFonts w:ascii="Arial" w:hAnsi="Arial" w:cs="Arial"/>
        </w:rPr>
        <w:t xml:space="preserve">actions. On </w:t>
      </w:r>
      <w:r w:rsidR="00EF1E50">
        <w:rPr>
          <w:rFonts w:ascii="Arial" w:hAnsi="Arial" w:cs="Arial"/>
        </w:rPr>
        <w:t>26 June 2013</w:t>
      </w:r>
      <w:r w:rsidRPr="009F6E10">
        <w:rPr>
          <w:rFonts w:ascii="Arial" w:hAnsi="Arial" w:cs="Arial"/>
        </w:rPr>
        <w:t xml:space="preserve"> the MoH submitted documentation detailing compliance </w:t>
      </w:r>
      <w:r>
        <w:rPr>
          <w:rFonts w:ascii="Arial" w:hAnsi="Arial" w:cs="Arial"/>
        </w:rPr>
        <w:t xml:space="preserve">with nine of the policy actions and a request for a </w:t>
      </w:r>
      <w:r w:rsidRPr="009F6E10">
        <w:rPr>
          <w:rFonts w:ascii="Arial" w:hAnsi="Arial" w:cs="Arial"/>
        </w:rPr>
        <w:t xml:space="preserve">partial waiver of </w:t>
      </w:r>
      <w:r>
        <w:rPr>
          <w:rFonts w:ascii="Arial" w:hAnsi="Arial" w:cs="Arial"/>
        </w:rPr>
        <w:t>one action related</w:t>
      </w:r>
      <w:r w:rsidRPr="009F6E10">
        <w:rPr>
          <w:rFonts w:ascii="Arial" w:hAnsi="Arial" w:cs="Arial"/>
        </w:rPr>
        <w:t xml:space="preserve"> to the benchmarking and costing of 20 </w:t>
      </w:r>
      <w:r w:rsidR="00610357">
        <w:rPr>
          <w:rFonts w:ascii="Arial" w:hAnsi="Arial" w:cs="Arial"/>
        </w:rPr>
        <w:t>CP</w:t>
      </w:r>
      <w:r w:rsidRPr="009F6E10">
        <w:rPr>
          <w:rFonts w:ascii="Arial" w:hAnsi="Arial" w:cs="Arial"/>
        </w:rPr>
        <w:t>s.</w:t>
      </w:r>
      <w:r w:rsidRPr="00FD6EB5">
        <w:rPr>
          <w:rStyle w:val="FootnoteReference"/>
          <w:rFonts w:eastAsia="MS Mincho" w:cs="Arial"/>
        </w:rPr>
        <w:footnoteReference w:id="18"/>
      </w:r>
      <w:r>
        <w:rPr>
          <w:rFonts w:ascii="Arial" w:hAnsi="Arial" w:cs="Arial"/>
        </w:rPr>
        <w:t xml:space="preserve"> ADB found that MOH had</w:t>
      </w:r>
      <w:r w:rsidRPr="009F6E10">
        <w:rPr>
          <w:rFonts w:ascii="Arial" w:hAnsi="Arial" w:cs="Arial"/>
        </w:rPr>
        <w:t xml:space="preserve"> made </w:t>
      </w:r>
      <w:r>
        <w:rPr>
          <w:rFonts w:ascii="Arial" w:hAnsi="Arial" w:cs="Arial"/>
        </w:rPr>
        <w:t>significant</w:t>
      </w:r>
      <w:r w:rsidRPr="009F6E10">
        <w:rPr>
          <w:rFonts w:ascii="Arial" w:hAnsi="Arial" w:cs="Arial"/>
        </w:rPr>
        <w:t xml:space="preserve"> progress in undertaking a set of complex reforms</w:t>
      </w:r>
      <w:r>
        <w:rPr>
          <w:rFonts w:ascii="Arial" w:hAnsi="Arial" w:cs="Arial"/>
        </w:rPr>
        <w:t xml:space="preserve"> and</w:t>
      </w:r>
      <w:r w:rsidRPr="009F6E10">
        <w:rPr>
          <w:rFonts w:ascii="Arial" w:hAnsi="Arial" w:cs="Arial"/>
        </w:rPr>
        <w:t xml:space="preserve"> approved the second tranche </w:t>
      </w:r>
      <w:r w:rsidRPr="00EF1E50">
        <w:rPr>
          <w:rFonts w:ascii="Arial" w:hAnsi="Arial" w:cs="Arial"/>
        </w:rPr>
        <w:t xml:space="preserve">release on </w:t>
      </w:r>
      <w:r w:rsidR="00EF1E50" w:rsidRPr="00185E36">
        <w:rPr>
          <w:rFonts w:ascii="Arial" w:hAnsi="Arial" w:cs="Arial"/>
        </w:rPr>
        <w:t>27 November 2013</w:t>
      </w:r>
      <w:r w:rsidRPr="00185E36">
        <w:rPr>
          <w:rFonts w:ascii="Arial" w:hAnsi="Arial" w:cs="Arial"/>
        </w:rPr>
        <w:t>. The</w:t>
      </w:r>
      <w:r w:rsidRPr="00E7456F">
        <w:rPr>
          <w:rFonts w:ascii="Arial" w:hAnsi="Arial" w:cs="Arial"/>
        </w:rPr>
        <w:t xml:space="preserve"> release included</w:t>
      </w:r>
      <w:r w:rsidRPr="009F6E10">
        <w:rPr>
          <w:rFonts w:ascii="Arial" w:hAnsi="Arial" w:cs="Arial"/>
        </w:rPr>
        <w:t xml:space="preserve"> a partial waiver of policy action 9, with the caveat that it be completed</w:t>
      </w:r>
      <w:r>
        <w:rPr>
          <w:rFonts w:ascii="Arial" w:hAnsi="Arial" w:cs="Arial"/>
        </w:rPr>
        <w:t xml:space="preserve"> under</w:t>
      </w:r>
      <w:r w:rsidRPr="009F6E10">
        <w:rPr>
          <w:rFonts w:ascii="Arial" w:hAnsi="Arial" w:cs="Arial"/>
        </w:rPr>
        <w:t xml:space="preserve"> the </w:t>
      </w:r>
      <w:r w:rsidR="00610357">
        <w:rPr>
          <w:rFonts w:ascii="Arial" w:hAnsi="Arial" w:cs="Arial"/>
        </w:rPr>
        <w:t>p</w:t>
      </w:r>
      <w:r w:rsidRPr="009F6E10">
        <w:rPr>
          <w:rFonts w:ascii="Arial" w:hAnsi="Arial" w:cs="Arial"/>
        </w:rPr>
        <w:t xml:space="preserve">roject </w:t>
      </w:r>
      <w:r w:rsidR="00610357">
        <w:rPr>
          <w:rFonts w:ascii="Arial" w:hAnsi="Arial" w:cs="Arial"/>
        </w:rPr>
        <w:t>l</w:t>
      </w:r>
      <w:r w:rsidRPr="009F6E10">
        <w:rPr>
          <w:rFonts w:ascii="Arial" w:hAnsi="Arial" w:cs="Arial"/>
        </w:rPr>
        <w:t xml:space="preserve">oan by the end of 2015. </w:t>
      </w:r>
      <w:r>
        <w:rPr>
          <w:rFonts w:ascii="Arial" w:hAnsi="Arial" w:cs="Arial"/>
        </w:rPr>
        <w:t xml:space="preserve">The second tranche of </w:t>
      </w:r>
      <w:r w:rsidRPr="00F1731E">
        <w:rPr>
          <w:rFonts w:ascii="Arial" w:hAnsi="Arial" w:cs="Arial"/>
        </w:rPr>
        <w:t xml:space="preserve">$15.48m was </w:t>
      </w:r>
      <w:r w:rsidRPr="00D33652">
        <w:rPr>
          <w:rFonts w:ascii="Arial" w:hAnsi="Arial" w:cs="Arial"/>
        </w:rPr>
        <w:t>released to Universities in December 2014.</w:t>
      </w:r>
      <w:r w:rsidRPr="00FD6EB5">
        <w:rPr>
          <w:rStyle w:val="FootnoteReference"/>
          <w:rFonts w:eastAsia="MS Mincho" w:cs="Arial"/>
        </w:rPr>
        <w:footnoteReference w:id="19"/>
      </w:r>
      <w:r w:rsidRPr="00D33652">
        <w:rPr>
          <w:rFonts w:ascii="Arial" w:hAnsi="Arial" w:cs="Arial"/>
        </w:rPr>
        <w:t xml:space="preserve"> ADB’s assessment of MoH’s compliance with the tranche two policy actions is detailed in Appendix 3</w:t>
      </w:r>
      <w:r w:rsidR="0083264E">
        <w:rPr>
          <w:rFonts w:ascii="Arial" w:hAnsi="Arial" w:cs="Arial"/>
        </w:rPr>
        <w:t>,</w:t>
      </w:r>
      <w:r w:rsidRPr="00D33652">
        <w:rPr>
          <w:rFonts w:ascii="Arial" w:hAnsi="Arial" w:cs="Arial"/>
        </w:rPr>
        <w:t xml:space="preserve"> Table 3.1.</w:t>
      </w:r>
    </w:p>
    <w:p w:rsidR="00F167A8" w:rsidRPr="00476ED5" w:rsidRDefault="00F167A8" w:rsidP="00EE4E98">
      <w:pPr>
        <w:pStyle w:val="Heading3"/>
        <w:numPr>
          <w:ilvl w:val="0"/>
          <w:numId w:val="56"/>
        </w:numPr>
        <w:spacing w:after="120"/>
        <w:ind w:hanging="540"/>
        <w:jc w:val="both"/>
        <w:rPr>
          <w:rFonts w:cs="Times New Roman"/>
          <w:bCs w:val="0"/>
          <w:color w:val="000000"/>
          <w:sz w:val="20"/>
          <w:szCs w:val="20"/>
          <w:lang w:eastAsia="en-US"/>
        </w:rPr>
      </w:pPr>
      <w:bookmarkStart w:id="42" w:name="_Toc423359323"/>
      <w:r w:rsidRPr="00476ED5">
        <w:rPr>
          <w:rFonts w:cs="Times New Roman"/>
          <w:bCs w:val="0"/>
          <w:color w:val="000000"/>
          <w:sz w:val="20"/>
          <w:szCs w:val="20"/>
          <w:lang w:eastAsia="en-US"/>
        </w:rPr>
        <w:t>Project Outputs</w:t>
      </w:r>
      <w:bookmarkEnd w:id="42"/>
    </w:p>
    <w:p w:rsidR="00F167A8" w:rsidRPr="00D33652" w:rsidRDefault="00F167A8" w:rsidP="00F2325A">
      <w:pPr>
        <w:spacing w:before="240" w:after="120"/>
        <w:rPr>
          <w:rFonts w:ascii="Arial" w:hAnsi="Arial" w:cs="Arial"/>
          <w:b/>
          <w:bCs/>
          <w:color w:val="000000"/>
          <w:lang w:eastAsia="en-US"/>
        </w:rPr>
      </w:pPr>
      <w:r w:rsidRPr="00D33652">
        <w:rPr>
          <w:rFonts w:ascii="Arial" w:hAnsi="Arial" w:cs="Arial"/>
          <w:b/>
          <w:color w:val="000000"/>
          <w:lang w:eastAsia="en-US"/>
        </w:rPr>
        <w:t>Output 1: Better Planning and Management of Human Resources</w:t>
      </w:r>
    </w:p>
    <w:p w:rsidR="00F167A8" w:rsidRDefault="00F167A8" w:rsidP="00F167A8">
      <w:pPr>
        <w:jc w:val="both"/>
        <w:rPr>
          <w:rFonts w:ascii="Arial" w:hAnsi="Arial" w:cs="Arial"/>
        </w:rPr>
      </w:pPr>
      <w:r w:rsidRPr="00D33652">
        <w:rPr>
          <w:rFonts w:ascii="Arial" w:hAnsi="Arial" w:cs="Arial"/>
        </w:rPr>
        <w:t xml:space="preserve">Component 1 comprises two sub-components: (i) </w:t>
      </w:r>
      <w:r w:rsidRPr="00D33652">
        <w:rPr>
          <w:rFonts w:ascii="Arial" w:hAnsi="Arial" w:cs="Arial"/>
          <w:i/>
        </w:rPr>
        <w:t>1A: Stronger human resources policy, planning, and implementation</w:t>
      </w:r>
      <w:r w:rsidRPr="00D33652">
        <w:rPr>
          <w:rFonts w:ascii="Arial" w:hAnsi="Arial" w:cs="Arial"/>
        </w:rPr>
        <w:t xml:space="preserve">; (ii) </w:t>
      </w:r>
      <w:r w:rsidRPr="00D33652">
        <w:rPr>
          <w:rFonts w:ascii="Arial" w:hAnsi="Arial" w:cs="Arial"/>
          <w:i/>
        </w:rPr>
        <w:t>1B: Established systems for the registration and licensure of health professionals</w:t>
      </w:r>
      <w:r w:rsidRPr="00D33652">
        <w:rPr>
          <w:rFonts w:ascii="Arial" w:hAnsi="Arial" w:cs="Arial"/>
        </w:rPr>
        <w:t xml:space="preserve">. Component 1 has made significant progress toward achieving the intended outputs. At the time of the ICE </w:t>
      </w:r>
      <w:r w:rsidRPr="00FD6EB5">
        <w:rPr>
          <w:rStyle w:val="FootnoteReference"/>
          <w:rFonts w:eastAsia="MS Mincho" w:cs="Arial"/>
        </w:rPr>
        <w:footnoteReference w:id="20"/>
      </w:r>
      <w:r w:rsidRPr="00D33652">
        <w:rPr>
          <w:rFonts w:ascii="Arial" w:hAnsi="Arial" w:cs="Arial"/>
        </w:rPr>
        <w:t xml:space="preserve"> 58% and 72% of planned activities under sub-components 1A and 1B respectively were on target for completion by 31 December 2015.</w:t>
      </w:r>
      <w:r w:rsidRPr="00FD6EB5">
        <w:rPr>
          <w:rStyle w:val="FootnoteReference"/>
          <w:rFonts w:eastAsia="MS Mincho" w:cs="Arial"/>
        </w:rPr>
        <w:footnoteReference w:id="21"/>
      </w:r>
      <w:r w:rsidRPr="00D33652">
        <w:rPr>
          <w:rFonts w:ascii="Arial" w:hAnsi="Arial" w:cs="Arial"/>
        </w:rPr>
        <w:t xml:space="preserve"> The component has produced a number of important outputs, specifically with respect to establishing a registration and licensing system for health professionals and health facilities.</w:t>
      </w:r>
    </w:p>
    <w:p w:rsidR="00547A9C" w:rsidRPr="00D33652" w:rsidRDefault="00547A9C" w:rsidP="00F167A8">
      <w:pPr>
        <w:jc w:val="both"/>
        <w:rPr>
          <w:rFonts w:ascii="Arial" w:hAnsi="Arial" w:cs="Arial"/>
        </w:rPr>
      </w:pPr>
    </w:p>
    <w:p w:rsidR="00F167A8" w:rsidRPr="00D33652" w:rsidRDefault="00F167A8" w:rsidP="00481F67">
      <w:pPr>
        <w:widowControl w:val="0"/>
        <w:autoSpaceDE w:val="0"/>
        <w:autoSpaceDN w:val="0"/>
        <w:adjustRightInd w:val="0"/>
        <w:spacing w:after="240"/>
        <w:jc w:val="both"/>
        <w:rPr>
          <w:rFonts w:ascii="Arial" w:hAnsi="Arial" w:cs="Arial"/>
          <w:b/>
        </w:rPr>
      </w:pPr>
      <w:r w:rsidRPr="00D33652">
        <w:rPr>
          <w:rFonts w:ascii="Arial" w:hAnsi="Arial" w:cs="Arial"/>
          <w:b/>
        </w:rPr>
        <w:t>1A</w:t>
      </w:r>
      <w:r w:rsidRPr="00D33652">
        <w:rPr>
          <w:rFonts w:ascii="Arial" w:hAnsi="Arial" w:cs="Arial"/>
          <w:b/>
        </w:rPr>
        <w:tab/>
        <w:t>Stronger human resources policy, planning, and implementation</w:t>
      </w:r>
    </w:p>
    <w:p w:rsidR="00F167A8" w:rsidRPr="00D33652" w:rsidRDefault="00F167A8" w:rsidP="00F167A8">
      <w:pPr>
        <w:jc w:val="both"/>
        <w:rPr>
          <w:rFonts w:ascii="Arial" w:hAnsi="Arial" w:cs="Arial"/>
          <w:color w:val="FF0000"/>
        </w:rPr>
      </w:pPr>
      <w:r w:rsidRPr="00D33652">
        <w:rPr>
          <w:rFonts w:ascii="Arial" w:hAnsi="Arial" w:cs="Arial"/>
        </w:rPr>
        <w:fldChar w:fldCharType="begin"/>
      </w:r>
      <w:r w:rsidRPr="00D33652">
        <w:rPr>
          <w:rFonts w:ascii="Arial" w:hAnsi="Arial" w:cs="Arial"/>
        </w:rPr>
        <w:instrText>AUTONUMLGL</w:instrText>
      </w:r>
      <w:r w:rsidRPr="00D33652">
        <w:rPr>
          <w:rFonts w:ascii="Arial" w:hAnsi="Arial" w:cs="Arial"/>
        </w:rPr>
        <w:fldChar w:fldCharType="end"/>
      </w:r>
      <w:r w:rsidRPr="00D33652">
        <w:rPr>
          <w:rFonts w:ascii="Arial" w:hAnsi="Arial" w:cs="Arial"/>
        </w:rPr>
        <w:tab/>
      </w:r>
      <w:r w:rsidR="005F2503">
        <w:rPr>
          <w:rFonts w:ascii="Arial" w:hAnsi="Arial" w:cs="Arial"/>
          <w:b/>
        </w:rPr>
        <w:t>HRD p</w:t>
      </w:r>
      <w:r w:rsidRPr="00D33652">
        <w:rPr>
          <w:rFonts w:ascii="Arial" w:hAnsi="Arial" w:cs="Arial"/>
          <w:b/>
        </w:rPr>
        <w:t xml:space="preserve">lanning </w:t>
      </w:r>
      <w:r w:rsidR="005F2503">
        <w:rPr>
          <w:rFonts w:ascii="Arial" w:hAnsi="Arial" w:cs="Arial"/>
          <w:b/>
        </w:rPr>
        <w:t>and c</w:t>
      </w:r>
      <w:r w:rsidRPr="00D33652">
        <w:rPr>
          <w:rFonts w:ascii="Arial" w:hAnsi="Arial" w:cs="Arial"/>
          <w:b/>
        </w:rPr>
        <w:t>oordination.</w:t>
      </w:r>
      <w:r w:rsidRPr="00D33652">
        <w:rPr>
          <w:rFonts w:ascii="Arial" w:hAnsi="Arial" w:cs="Arial"/>
        </w:rPr>
        <w:t xml:space="preserve"> MOH established the JC-HRPM as a tranche one policy commitment,</w:t>
      </w:r>
      <w:r w:rsidRPr="00FD6EB5">
        <w:rPr>
          <w:rStyle w:val="FootnoteReference"/>
          <w:rFonts w:eastAsia="MS Mincho" w:cs="Arial"/>
        </w:rPr>
        <w:footnoteReference w:id="22"/>
      </w:r>
      <w:r w:rsidRPr="00D33652">
        <w:rPr>
          <w:rFonts w:ascii="Arial" w:hAnsi="Arial" w:cs="Arial"/>
        </w:rPr>
        <w:t xml:space="preserve"> </w:t>
      </w:r>
      <w:r w:rsidR="00FB662B">
        <w:rPr>
          <w:rFonts w:ascii="Arial" w:hAnsi="Arial" w:cs="Arial"/>
        </w:rPr>
        <w:t>and issued</w:t>
      </w:r>
      <w:r w:rsidRPr="00D33652">
        <w:rPr>
          <w:rFonts w:ascii="Arial" w:hAnsi="Arial" w:cs="Arial"/>
        </w:rPr>
        <w:t xml:space="preserve"> several subsequent decisions to strengthen the </w:t>
      </w:r>
      <w:r w:rsidR="00FB662B">
        <w:rPr>
          <w:rFonts w:ascii="Arial" w:hAnsi="Arial" w:cs="Arial"/>
        </w:rPr>
        <w:t>C</w:t>
      </w:r>
      <w:r w:rsidRPr="00D33652">
        <w:rPr>
          <w:rFonts w:ascii="Arial" w:hAnsi="Arial" w:cs="Arial"/>
        </w:rPr>
        <w:t>ommittee</w:t>
      </w:r>
      <w:r w:rsidR="00FB662B">
        <w:rPr>
          <w:rFonts w:ascii="Arial" w:hAnsi="Arial" w:cs="Arial"/>
        </w:rPr>
        <w:t>’</w:t>
      </w:r>
      <w:r w:rsidRPr="00D33652">
        <w:rPr>
          <w:rFonts w:ascii="Arial" w:hAnsi="Arial" w:cs="Arial"/>
        </w:rPr>
        <w:t>s functioning.</w:t>
      </w:r>
      <w:r w:rsidRPr="00FD6EB5">
        <w:rPr>
          <w:rStyle w:val="FootnoteReference"/>
          <w:rFonts w:eastAsia="MS Mincho" w:cs="Arial"/>
        </w:rPr>
        <w:footnoteReference w:id="23"/>
      </w:r>
      <w:r w:rsidRPr="00D33652">
        <w:rPr>
          <w:rFonts w:ascii="Arial" w:hAnsi="Arial" w:cs="Arial"/>
        </w:rPr>
        <w:t xml:space="preserve"> The Committee serves as a focal point for human resource management and development within the Ministry and has delivered a number of key strategic outputs to strengthen health human resource development.</w:t>
      </w:r>
      <w:r w:rsidRPr="00FD6EB5">
        <w:rPr>
          <w:rStyle w:val="FootnoteReference"/>
          <w:rFonts w:eastAsia="MS Mincho" w:cs="Arial"/>
        </w:rPr>
        <w:t xml:space="preserve"> </w:t>
      </w:r>
      <w:r w:rsidRPr="00FD6EB5">
        <w:rPr>
          <w:rStyle w:val="FootnoteReference"/>
          <w:rFonts w:eastAsia="MS Mincho" w:cs="Arial"/>
        </w:rPr>
        <w:footnoteReference w:id="24"/>
      </w:r>
      <w:r w:rsidRPr="00D33652">
        <w:rPr>
          <w:rFonts w:cs="Arial"/>
        </w:rPr>
        <w:t xml:space="preserve"> </w:t>
      </w:r>
      <w:r w:rsidRPr="00FD6EB5">
        <w:rPr>
          <w:rStyle w:val="FootnoteReference"/>
          <w:rFonts w:eastAsia="MS Mincho" w:cs="Arial"/>
        </w:rPr>
        <w:footnoteReference w:id="25"/>
      </w:r>
      <w:r w:rsidRPr="00D33652">
        <w:rPr>
          <w:rFonts w:ascii="Arial" w:hAnsi="Arial" w:cs="Arial"/>
        </w:rPr>
        <w:t xml:space="preserve"> </w:t>
      </w:r>
      <w:r w:rsidRPr="00FD6EB5">
        <w:rPr>
          <w:rStyle w:val="FootnoteReference"/>
          <w:rFonts w:eastAsia="MS Mincho" w:cs="Arial"/>
        </w:rPr>
        <w:footnoteReference w:id="26"/>
      </w:r>
      <w:r w:rsidRPr="00D33652">
        <w:rPr>
          <w:rFonts w:ascii="Arial" w:hAnsi="Arial" w:cs="Arial"/>
        </w:rPr>
        <w:t xml:space="preserve"> </w:t>
      </w:r>
      <w:r w:rsidRPr="00FD6EB5">
        <w:rPr>
          <w:rStyle w:val="FootnoteReference"/>
          <w:rFonts w:eastAsia="MS Mincho" w:cs="Arial"/>
        </w:rPr>
        <w:footnoteReference w:id="27"/>
      </w:r>
      <w:r w:rsidRPr="00D33652">
        <w:rPr>
          <w:rFonts w:ascii="Arial" w:hAnsi="Arial" w:cs="Arial"/>
        </w:rPr>
        <w:t xml:space="preserve"> The project supported operation of the Committee through resourcing a Secretariat. Several members of the Secretariat sit on the Health Partnership Group’s Technical Working Group for HRD ensuring linkages between the JC-HRPM and wider donor community.  The Secretariat has not</w:t>
      </w:r>
      <w:r w:rsidRPr="00D33652">
        <w:rPr>
          <w:rFonts w:ascii="Arial" w:hAnsi="Arial" w:cs="Arial"/>
          <w:color w:val="000000"/>
        </w:rPr>
        <w:t xml:space="preserve"> been established as a formal unit of MOH. Mechanisms to support the continued operation of the Secretariat will be required to ensure the functionality of the JC-HRPM post</w:t>
      </w:r>
      <w:r w:rsidR="00FB662B">
        <w:rPr>
          <w:rFonts w:ascii="Arial" w:hAnsi="Arial" w:cs="Arial"/>
          <w:color w:val="000000"/>
        </w:rPr>
        <w:t>-</w:t>
      </w:r>
      <w:r w:rsidRPr="00D33652">
        <w:rPr>
          <w:rFonts w:ascii="Arial" w:hAnsi="Arial" w:cs="Arial"/>
          <w:color w:val="000000"/>
        </w:rPr>
        <w:t xml:space="preserve">project. This is discussed further in </w:t>
      </w:r>
      <w:r w:rsidRPr="00D33652">
        <w:rPr>
          <w:rFonts w:ascii="Arial" w:hAnsi="Arial" w:cs="Arial"/>
        </w:rPr>
        <w:t xml:space="preserve">Section </w:t>
      </w:r>
      <w:r w:rsidRPr="00D33652">
        <w:rPr>
          <w:rFonts w:ascii="Symbol" w:hAnsi="Symbol" w:cs="Arial"/>
          <w:sz w:val="22"/>
          <w:szCs w:val="22"/>
        </w:rPr>
        <w:t></w:t>
      </w:r>
      <w:r w:rsidRPr="00D33652">
        <w:rPr>
          <w:rFonts w:ascii="Symbol" w:hAnsi="Symbol" w:cs="Arial"/>
          <w:sz w:val="22"/>
          <w:szCs w:val="22"/>
        </w:rPr>
        <w:t></w:t>
      </w:r>
      <w:r w:rsidRPr="00D33652">
        <w:rPr>
          <w:rFonts w:ascii="Arial" w:hAnsi="Arial" w:cs="Arial"/>
        </w:rPr>
        <w:t>.E.</w:t>
      </w:r>
    </w:p>
    <w:p w:rsidR="00F167A8" w:rsidRPr="00D33652" w:rsidRDefault="00F167A8" w:rsidP="00F167A8">
      <w:pPr>
        <w:jc w:val="both"/>
        <w:rPr>
          <w:rFonts w:ascii="Arial" w:hAnsi="Arial" w:cs="Arial"/>
        </w:rPr>
      </w:pPr>
    </w:p>
    <w:p w:rsidR="00F167A8" w:rsidRPr="00D33652" w:rsidRDefault="00F167A8" w:rsidP="00F167A8">
      <w:pPr>
        <w:jc w:val="both"/>
        <w:rPr>
          <w:rFonts w:ascii="Arial" w:hAnsi="Arial" w:cs="Arial"/>
          <w:color w:val="000000"/>
        </w:rPr>
      </w:pPr>
      <w:r w:rsidRPr="00D33652">
        <w:rPr>
          <w:rFonts w:ascii="Arial" w:hAnsi="Arial" w:cs="Arial"/>
        </w:rPr>
        <w:fldChar w:fldCharType="begin"/>
      </w:r>
      <w:r w:rsidRPr="00D33652">
        <w:rPr>
          <w:rFonts w:ascii="Arial" w:hAnsi="Arial" w:cs="Arial"/>
        </w:rPr>
        <w:instrText>AUTONUMLGL</w:instrText>
      </w:r>
      <w:r w:rsidRPr="00D33652">
        <w:rPr>
          <w:rFonts w:ascii="Arial" w:hAnsi="Arial" w:cs="Arial"/>
        </w:rPr>
        <w:fldChar w:fldCharType="end"/>
      </w:r>
      <w:r w:rsidRPr="00D33652">
        <w:rPr>
          <w:rFonts w:ascii="Arial" w:hAnsi="Arial" w:cs="Arial"/>
        </w:rPr>
        <w:tab/>
      </w:r>
      <w:r w:rsidR="005F2503">
        <w:rPr>
          <w:rFonts w:ascii="Arial" w:hAnsi="Arial" w:cs="Arial"/>
          <w:b/>
        </w:rPr>
        <w:t>Strengthen HRD c</w:t>
      </w:r>
      <w:r w:rsidRPr="00D33652">
        <w:rPr>
          <w:rFonts w:ascii="Arial" w:hAnsi="Arial" w:cs="Arial"/>
          <w:b/>
        </w:rPr>
        <w:t xml:space="preserve">apacity. </w:t>
      </w:r>
      <w:r w:rsidRPr="00D33652">
        <w:rPr>
          <w:rFonts w:ascii="Arial" w:hAnsi="Arial" w:cs="Arial"/>
        </w:rPr>
        <w:t xml:space="preserve">The Project is likely to exceed its target for postgraduate training to support improved planning and management of human resources. A total of 52 health sector staff (target 36) are enrolled in postgraduate training, comprising 44 candidates in HR Management and 8 candidates HHR Planning and Policy Development. PMU noted a difficulty in finding appropriate candidates for post-graduate training in </w:t>
      </w:r>
      <w:r w:rsidRPr="00D33652">
        <w:rPr>
          <w:rFonts w:ascii="Arial" w:hAnsi="Arial" w:cs="Arial"/>
          <w:color w:val="000000"/>
        </w:rPr>
        <w:t>HHR Planning and Policy Development due to the entry requirements of courses, with resources being reallocated to other postgraduate programs. Training outputs by gender are detailed in Appendix 4, Table 4.1.</w:t>
      </w:r>
    </w:p>
    <w:p w:rsidR="00F167A8" w:rsidRPr="00D33652" w:rsidRDefault="00F167A8" w:rsidP="00F167A8">
      <w:pPr>
        <w:jc w:val="both"/>
        <w:rPr>
          <w:rFonts w:ascii="Arial" w:hAnsi="Arial" w:cs="Arial"/>
          <w:color w:val="000000"/>
        </w:rPr>
      </w:pPr>
    </w:p>
    <w:p w:rsidR="00F167A8" w:rsidRPr="00D33652" w:rsidRDefault="00F167A8" w:rsidP="00F167A8">
      <w:pPr>
        <w:jc w:val="both"/>
        <w:rPr>
          <w:rFonts w:ascii="Arial" w:hAnsi="Arial" w:cs="Arial"/>
        </w:rPr>
      </w:pPr>
    </w:p>
    <w:p w:rsidR="00F167A8" w:rsidRPr="00D33652" w:rsidRDefault="00F167A8" w:rsidP="00F167A8">
      <w:pPr>
        <w:rPr>
          <w:rFonts w:ascii="Arial" w:hAnsi="Arial" w:cs="Arial"/>
          <w:szCs w:val="22"/>
        </w:rPr>
      </w:pPr>
      <w:r w:rsidRPr="00D33652">
        <w:rPr>
          <w:rFonts w:ascii="Arial" w:hAnsi="Arial" w:cs="Arial"/>
          <w:b/>
        </w:rPr>
        <w:t>1B</w:t>
      </w:r>
      <w:r w:rsidRPr="00D33652">
        <w:rPr>
          <w:rFonts w:ascii="Arial" w:hAnsi="Arial" w:cs="Arial"/>
          <w:b/>
        </w:rPr>
        <w:tab/>
        <w:t xml:space="preserve"> Established systems for the registration and licensure of health professionals</w:t>
      </w:r>
    </w:p>
    <w:p w:rsidR="00F167A8" w:rsidRPr="00D33652" w:rsidRDefault="00F167A8" w:rsidP="00F167A8">
      <w:pPr>
        <w:rPr>
          <w:rFonts w:ascii="Arial" w:hAnsi="Arial" w:cs="Arial"/>
          <w:szCs w:val="22"/>
        </w:rPr>
      </w:pPr>
    </w:p>
    <w:p w:rsidR="00F167A8" w:rsidRPr="00D33652" w:rsidRDefault="00F167A8" w:rsidP="00F167A8">
      <w:pPr>
        <w:jc w:val="both"/>
        <w:rPr>
          <w:rFonts w:ascii="Arial" w:hAnsi="Arial" w:cs="Arial"/>
        </w:rPr>
      </w:pPr>
      <w:r w:rsidRPr="00D33652">
        <w:rPr>
          <w:rFonts w:ascii="Arial" w:hAnsi="Arial" w:cs="Arial"/>
        </w:rPr>
        <w:fldChar w:fldCharType="begin"/>
      </w:r>
      <w:r w:rsidRPr="00D33652">
        <w:rPr>
          <w:rFonts w:ascii="Arial" w:hAnsi="Arial" w:cs="Arial"/>
        </w:rPr>
        <w:instrText>AUTONUMLGL</w:instrText>
      </w:r>
      <w:r w:rsidRPr="00D33652">
        <w:rPr>
          <w:rFonts w:ascii="Arial" w:hAnsi="Arial" w:cs="Arial"/>
        </w:rPr>
        <w:fldChar w:fldCharType="end"/>
      </w:r>
      <w:r w:rsidRPr="00D33652">
        <w:rPr>
          <w:rFonts w:ascii="Arial" w:hAnsi="Arial" w:cs="Arial"/>
        </w:rPr>
        <w:tab/>
      </w:r>
      <w:r w:rsidR="005F2503">
        <w:rPr>
          <w:rFonts w:ascii="Arial" w:hAnsi="Arial" w:cs="Arial"/>
          <w:b/>
        </w:rPr>
        <w:t>Regulatory f</w:t>
      </w:r>
      <w:r w:rsidRPr="00D33652">
        <w:rPr>
          <w:rFonts w:ascii="Arial" w:hAnsi="Arial" w:cs="Arial"/>
          <w:b/>
        </w:rPr>
        <w:t>ra</w:t>
      </w:r>
      <w:r w:rsidR="005F2503">
        <w:rPr>
          <w:rFonts w:ascii="Arial" w:hAnsi="Arial" w:cs="Arial"/>
          <w:b/>
        </w:rPr>
        <w:t>mework and implementation structures</w:t>
      </w:r>
      <w:r w:rsidRPr="00D33652">
        <w:rPr>
          <w:rFonts w:ascii="Arial" w:hAnsi="Arial" w:cs="Arial"/>
        </w:rPr>
        <w:t>. The Project has supported the AMS</w:t>
      </w:r>
      <w:r w:rsidRPr="00FD6EB5">
        <w:rPr>
          <w:rStyle w:val="FootnoteReference"/>
          <w:rFonts w:eastAsia="MS Mincho" w:cs="Arial"/>
        </w:rPr>
        <w:footnoteReference w:id="28"/>
      </w:r>
      <w:r w:rsidRPr="00D33652">
        <w:rPr>
          <w:rFonts w:ascii="Arial" w:hAnsi="Arial" w:cs="Arial"/>
        </w:rPr>
        <w:t xml:space="preserve"> </w:t>
      </w:r>
      <w:r w:rsidR="00C667CA">
        <w:rPr>
          <w:rFonts w:ascii="Arial" w:hAnsi="Arial" w:cs="Arial"/>
        </w:rPr>
        <w:t xml:space="preserve">to develop </w:t>
      </w:r>
      <w:r w:rsidRPr="00D33652">
        <w:rPr>
          <w:rFonts w:ascii="Arial" w:hAnsi="Arial" w:cs="Arial"/>
        </w:rPr>
        <w:t xml:space="preserve">the regulatory environment for operationalizing key Articles under the LET </w:t>
      </w:r>
      <w:r w:rsidR="00C667CA">
        <w:rPr>
          <w:rFonts w:ascii="Arial" w:hAnsi="Arial" w:cs="Arial"/>
        </w:rPr>
        <w:t>concerning</w:t>
      </w:r>
      <w:r w:rsidRPr="00D33652">
        <w:rPr>
          <w:rFonts w:ascii="Arial" w:hAnsi="Arial" w:cs="Arial"/>
        </w:rPr>
        <w:t xml:space="preserve"> </w:t>
      </w:r>
      <w:r w:rsidR="00166445">
        <w:rPr>
          <w:rFonts w:ascii="Arial" w:hAnsi="Arial" w:cs="Arial"/>
        </w:rPr>
        <w:t xml:space="preserve">the </w:t>
      </w:r>
      <w:r w:rsidRPr="00D33652">
        <w:rPr>
          <w:rFonts w:ascii="Arial" w:hAnsi="Arial" w:cs="Arial"/>
        </w:rPr>
        <w:t>registration and licensing of health professionals and health facilities.</w:t>
      </w:r>
      <w:r w:rsidRPr="00FD6EB5">
        <w:rPr>
          <w:rStyle w:val="FootnoteReference"/>
          <w:rFonts w:eastAsia="MS Mincho" w:cs="Arial"/>
        </w:rPr>
        <w:t xml:space="preserve"> </w:t>
      </w:r>
      <w:r w:rsidRPr="00D33652">
        <w:rPr>
          <w:rFonts w:ascii="Arial" w:hAnsi="Arial" w:cs="Arial"/>
        </w:rPr>
        <w:t>Outputs include:</w:t>
      </w:r>
    </w:p>
    <w:p w:rsidR="00F167A8" w:rsidRPr="00D33652" w:rsidRDefault="00F167A8" w:rsidP="00CA718F">
      <w:pPr>
        <w:pStyle w:val="ColorfulList-Accent11"/>
        <w:widowControl w:val="0"/>
        <w:numPr>
          <w:ilvl w:val="0"/>
          <w:numId w:val="18"/>
        </w:numPr>
        <w:autoSpaceDE w:val="0"/>
        <w:autoSpaceDN w:val="0"/>
        <w:adjustRightInd w:val="0"/>
        <w:spacing w:after="120"/>
        <w:jc w:val="both"/>
        <w:rPr>
          <w:rFonts w:ascii="Arial" w:hAnsi="Arial" w:cs="Arial"/>
          <w:sz w:val="20"/>
          <w:szCs w:val="20"/>
        </w:rPr>
      </w:pPr>
      <w:r w:rsidRPr="00D33652">
        <w:rPr>
          <w:rFonts w:ascii="Arial" w:hAnsi="Arial" w:cs="Arial"/>
          <w:sz w:val="20"/>
          <w:szCs w:val="20"/>
        </w:rPr>
        <w:t xml:space="preserve">Circular No. 41/2011/TT-BYT (14/11/2011) </w:t>
      </w:r>
      <w:r w:rsidR="00C667CA">
        <w:rPr>
          <w:rFonts w:ascii="Arial" w:hAnsi="Arial" w:cs="Arial"/>
          <w:sz w:val="20"/>
          <w:szCs w:val="20"/>
        </w:rPr>
        <w:t>specifying</w:t>
      </w:r>
      <w:r w:rsidR="00C667CA" w:rsidRPr="00D33652">
        <w:rPr>
          <w:rFonts w:ascii="Arial" w:hAnsi="Arial" w:cs="Arial"/>
          <w:sz w:val="20"/>
          <w:szCs w:val="20"/>
        </w:rPr>
        <w:t xml:space="preserve"> </w:t>
      </w:r>
      <w:r w:rsidRPr="00D33652">
        <w:rPr>
          <w:rFonts w:ascii="Arial" w:hAnsi="Arial" w:cs="Arial"/>
          <w:sz w:val="20"/>
          <w:szCs w:val="20"/>
        </w:rPr>
        <w:t>the criteria and processes for granting certificates to medical practitioners and operating licenses to health care facilities</w:t>
      </w:r>
      <w:r w:rsidR="00C667CA">
        <w:rPr>
          <w:rFonts w:ascii="Arial" w:hAnsi="Arial" w:cs="Arial"/>
          <w:sz w:val="20"/>
          <w:szCs w:val="20"/>
        </w:rPr>
        <w:t>.</w:t>
      </w:r>
      <w:r w:rsidR="00C667CA">
        <w:rPr>
          <w:rStyle w:val="FootnoteReference"/>
          <w:rFonts w:cs="Arial"/>
          <w:szCs w:val="20"/>
        </w:rPr>
        <w:footnoteReference w:id="29"/>
      </w:r>
    </w:p>
    <w:p w:rsidR="00F167A8" w:rsidRPr="00D33652" w:rsidRDefault="00F167A8" w:rsidP="00CA718F">
      <w:pPr>
        <w:pStyle w:val="ColorfulList-Accent11"/>
        <w:widowControl w:val="0"/>
        <w:numPr>
          <w:ilvl w:val="0"/>
          <w:numId w:val="18"/>
        </w:numPr>
        <w:autoSpaceDE w:val="0"/>
        <w:autoSpaceDN w:val="0"/>
        <w:adjustRightInd w:val="0"/>
        <w:spacing w:after="120"/>
        <w:jc w:val="both"/>
        <w:rPr>
          <w:rFonts w:ascii="Arial" w:hAnsi="Arial" w:cs="Arial"/>
          <w:sz w:val="20"/>
          <w:szCs w:val="20"/>
        </w:rPr>
      </w:pPr>
      <w:r w:rsidRPr="00D33652">
        <w:rPr>
          <w:rFonts w:ascii="Arial" w:hAnsi="Arial" w:cs="Arial"/>
          <w:sz w:val="20"/>
          <w:szCs w:val="20"/>
        </w:rPr>
        <w:t>Circular 35/2013/TT-BYT (30/10/2013) on the revocation and suspension of licenses.</w:t>
      </w:r>
    </w:p>
    <w:p w:rsidR="00F167A8" w:rsidRPr="00D33652" w:rsidRDefault="00F167A8" w:rsidP="00CA718F">
      <w:pPr>
        <w:pStyle w:val="ColorfulList-Accent11"/>
        <w:widowControl w:val="0"/>
        <w:numPr>
          <w:ilvl w:val="0"/>
          <w:numId w:val="18"/>
        </w:numPr>
        <w:autoSpaceDE w:val="0"/>
        <w:autoSpaceDN w:val="0"/>
        <w:adjustRightInd w:val="0"/>
        <w:spacing w:after="120"/>
        <w:jc w:val="both"/>
        <w:rPr>
          <w:rFonts w:ascii="Arial" w:hAnsi="Arial" w:cs="Arial"/>
          <w:sz w:val="20"/>
          <w:szCs w:val="20"/>
        </w:rPr>
      </w:pPr>
      <w:r w:rsidRPr="00D33652">
        <w:rPr>
          <w:rFonts w:ascii="Arial" w:hAnsi="Arial" w:cs="Arial"/>
          <w:sz w:val="20"/>
          <w:szCs w:val="20"/>
        </w:rPr>
        <w:t xml:space="preserve">Circular No. 22/2013/TT-BYT (09/08/2013) detailing the requirements for continuing medical education amongst health professionals. </w:t>
      </w:r>
    </w:p>
    <w:p w:rsidR="00F167A8" w:rsidRPr="00D33652" w:rsidRDefault="00F167A8" w:rsidP="00CA718F">
      <w:pPr>
        <w:pStyle w:val="ColorfulList-Accent11"/>
        <w:widowControl w:val="0"/>
        <w:numPr>
          <w:ilvl w:val="0"/>
          <w:numId w:val="18"/>
        </w:numPr>
        <w:autoSpaceDE w:val="0"/>
        <w:autoSpaceDN w:val="0"/>
        <w:adjustRightInd w:val="0"/>
        <w:spacing w:after="120"/>
        <w:jc w:val="both"/>
        <w:rPr>
          <w:rFonts w:ascii="Arial" w:hAnsi="Arial" w:cs="Arial"/>
          <w:sz w:val="20"/>
          <w:szCs w:val="20"/>
        </w:rPr>
      </w:pPr>
      <w:r w:rsidRPr="00D33652">
        <w:rPr>
          <w:rFonts w:ascii="Arial" w:hAnsi="Arial" w:cs="Arial"/>
          <w:sz w:val="20"/>
          <w:szCs w:val="20"/>
        </w:rPr>
        <w:t>Circular 30/2014/TT-BYT (28/8/2014) concerning humanitarian examination and treatment.</w:t>
      </w:r>
    </w:p>
    <w:p w:rsidR="0078296B" w:rsidRDefault="0078296B" w:rsidP="00F167A8">
      <w:pPr>
        <w:spacing w:before="240" w:after="120"/>
        <w:jc w:val="both"/>
        <w:rPr>
          <w:rFonts w:ascii="Arial" w:hAnsi="Arial" w:cs="Arial"/>
        </w:rPr>
      </w:pPr>
      <w:r w:rsidRPr="00777CBC">
        <w:rPr>
          <w:rFonts w:ascii="Arial" w:hAnsi="Arial" w:cs="Arial"/>
        </w:rPr>
        <w:fldChar w:fldCharType="begin"/>
      </w:r>
      <w:r w:rsidRPr="00FB15A1">
        <w:rPr>
          <w:rFonts w:ascii="Arial" w:hAnsi="Arial" w:cs="Arial"/>
        </w:rPr>
        <w:instrText>AUTONUMLGL</w:instrText>
      </w:r>
      <w:r w:rsidRPr="00777CBC">
        <w:rPr>
          <w:rFonts w:ascii="Arial" w:hAnsi="Arial" w:cs="Arial"/>
        </w:rPr>
        <w:fldChar w:fldCharType="end"/>
      </w:r>
      <w:r w:rsidRPr="00FB15A1">
        <w:rPr>
          <w:rFonts w:ascii="Arial" w:hAnsi="Arial" w:cs="Arial"/>
        </w:rPr>
        <w:tab/>
        <w:t>Implementation</w:t>
      </w:r>
      <w:r w:rsidR="003E5318" w:rsidRPr="00FB15A1">
        <w:rPr>
          <w:rFonts w:ascii="Arial" w:hAnsi="Arial" w:cs="Arial"/>
        </w:rPr>
        <w:t xml:space="preserve"> structures for the</w:t>
      </w:r>
      <w:r w:rsidRPr="00FB15A1">
        <w:rPr>
          <w:rFonts w:ascii="Arial" w:hAnsi="Arial" w:cs="Arial"/>
        </w:rPr>
        <w:t xml:space="preserve"> registration and licensing system have been established at national and provincial levels following the requirements of Circular 41. The system is depicted in Appendix 5, Diagram 5.1.</w:t>
      </w:r>
    </w:p>
    <w:p w:rsidR="00F167A8" w:rsidRPr="00D33652" w:rsidRDefault="0078296B" w:rsidP="00F167A8">
      <w:pPr>
        <w:spacing w:before="240" w:after="120"/>
        <w:jc w:val="both"/>
        <w:rPr>
          <w:rFonts w:ascii="Arial" w:hAnsi="Arial" w:cs="Arial"/>
        </w:rPr>
      </w:pPr>
      <w:r w:rsidRPr="00D33652">
        <w:rPr>
          <w:rFonts w:ascii="Arial" w:hAnsi="Arial" w:cs="Arial"/>
        </w:rPr>
        <w:fldChar w:fldCharType="begin"/>
      </w:r>
      <w:r w:rsidRPr="00D33652">
        <w:rPr>
          <w:rFonts w:ascii="Arial" w:hAnsi="Arial" w:cs="Arial"/>
        </w:rPr>
        <w:instrText>AUTONUMLGL</w:instrText>
      </w:r>
      <w:r w:rsidRPr="00D33652">
        <w:rPr>
          <w:rFonts w:ascii="Arial" w:hAnsi="Arial" w:cs="Arial"/>
        </w:rPr>
        <w:fldChar w:fldCharType="end"/>
      </w:r>
      <w:r w:rsidRPr="00D33652">
        <w:rPr>
          <w:rFonts w:ascii="Arial" w:hAnsi="Arial" w:cs="Arial"/>
        </w:rPr>
        <w:tab/>
      </w:r>
      <w:r w:rsidR="00F167A8" w:rsidRPr="00D33652">
        <w:rPr>
          <w:rFonts w:ascii="Arial" w:hAnsi="Arial" w:cs="Arial"/>
        </w:rPr>
        <w:t xml:space="preserve">Under the guidance of the Vice Minister the AMS, with support from the project team, are undertaking a policy review to determine required amendments to the </w:t>
      </w:r>
      <w:r>
        <w:rPr>
          <w:rFonts w:ascii="Arial" w:hAnsi="Arial" w:cs="Arial"/>
        </w:rPr>
        <w:t>LET</w:t>
      </w:r>
      <w:r w:rsidR="00F167A8" w:rsidRPr="00D33652">
        <w:rPr>
          <w:rFonts w:ascii="Arial" w:hAnsi="Arial" w:cs="Arial"/>
        </w:rPr>
        <w:t xml:space="preserve"> and Decree 87</w:t>
      </w:r>
      <w:r w:rsidR="00F167A8" w:rsidRPr="00FD6EB5">
        <w:rPr>
          <w:rStyle w:val="FootnoteReference"/>
          <w:rFonts w:eastAsia="MS Mincho" w:cs="Arial"/>
          <w:sz w:val="20"/>
        </w:rPr>
        <w:footnoteReference w:id="30"/>
      </w:r>
      <w:r w:rsidR="00F167A8" w:rsidRPr="00D33652">
        <w:rPr>
          <w:rFonts w:ascii="Arial" w:hAnsi="Arial" w:cs="Arial"/>
        </w:rPr>
        <w:t xml:space="preserve"> and the development of a new circular superseding Circular 41. The review is being informed by lessons from </w:t>
      </w:r>
      <w:r>
        <w:rPr>
          <w:rFonts w:ascii="Arial" w:hAnsi="Arial" w:cs="Arial"/>
        </w:rPr>
        <w:t>the P</w:t>
      </w:r>
      <w:r w:rsidR="00F167A8" w:rsidRPr="00D33652">
        <w:rPr>
          <w:rFonts w:ascii="Arial" w:hAnsi="Arial" w:cs="Arial"/>
        </w:rPr>
        <w:t>rovinc</w:t>
      </w:r>
      <w:r>
        <w:rPr>
          <w:rFonts w:ascii="Arial" w:hAnsi="Arial" w:cs="Arial"/>
        </w:rPr>
        <w:t>ial DoHs</w:t>
      </w:r>
      <w:r w:rsidR="00F167A8" w:rsidRPr="00D33652">
        <w:rPr>
          <w:rFonts w:ascii="Arial" w:hAnsi="Arial" w:cs="Arial"/>
        </w:rPr>
        <w:t xml:space="preserve">, with </w:t>
      </w:r>
      <w:r>
        <w:rPr>
          <w:rFonts w:ascii="Arial" w:hAnsi="Arial" w:cs="Arial"/>
        </w:rPr>
        <w:t xml:space="preserve">a </w:t>
      </w:r>
      <w:r w:rsidR="00F167A8" w:rsidRPr="00D33652">
        <w:rPr>
          <w:rFonts w:ascii="Arial" w:hAnsi="Arial" w:cs="Arial"/>
        </w:rPr>
        <w:t xml:space="preserve">specific focus on identifying regulations under the various Decrees and Circulars that are unworkable and serving as blockages to effective system operation. A policy specialist from Australia is providing technical </w:t>
      </w:r>
      <w:r w:rsidR="005E1126">
        <w:rPr>
          <w:rFonts w:ascii="Arial" w:hAnsi="Arial" w:cs="Arial"/>
        </w:rPr>
        <w:t xml:space="preserve">inputs </w:t>
      </w:r>
      <w:r w:rsidR="00F167A8" w:rsidRPr="00D33652">
        <w:rPr>
          <w:rFonts w:ascii="Arial" w:hAnsi="Arial" w:cs="Arial"/>
        </w:rPr>
        <w:t xml:space="preserve">to the AMS and PMU </w:t>
      </w:r>
      <w:r w:rsidR="005E1126">
        <w:rPr>
          <w:rFonts w:ascii="Arial" w:hAnsi="Arial" w:cs="Arial"/>
        </w:rPr>
        <w:t xml:space="preserve">as part of </w:t>
      </w:r>
      <w:r w:rsidR="00F167A8" w:rsidRPr="00D33652">
        <w:rPr>
          <w:rFonts w:ascii="Arial" w:hAnsi="Arial" w:cs="Arial"/>
        </w:rPr>
        <w:t>the review.</w:t>
      </w:r>
      <w:r w:rsidR="00F167A8" w:rsidRPr="00FD6EB5">
        <w:rPr>
          <w:rStyle w:val="FootnoteReference"/>
          <w:rFonts w:eastAsia="MS Mincho"/>
        </w:rPr>
        <w:t xml:space="preserve"> </w:t>
      </w:r>
      <w:r w:rsidR="00F167A8" w:rsidRPr="00FD6EB5">
        <w:rPr>
          <w:rStyle w:val="FootnoteReference"/>
          <w:rFonts w:eastAsia="MS Mincho"/>
        </w:rPr>
        <w:footnoteReference w:id="31"/>
      </w:r>
      <w:r w:rsidR="00F167A8" w:rsidRPr="00D33652">
        <w:rPr>
          <w:rFonts w:cs="Arial"/>
        </w:rPr>
        <w:t xml:space="preserve"> </w:t>
      </w:r>
      <w:r w:rsidR="00F167A8" w:rsidRPr="00FD6EB5">
        <w:rPr>
          <w:rStyle w:val="FootnoteReference"/>
          <w:rFonts w:eastAsia="MS Mincho"/>
        </w:rPr>
        <w:footnoteReference w:id="32"/>
      </w:r>
    </w:p>
    <w:p w:rsidR="00F167A8" w:rsidRPr="00D33652" w:rsidRDefault="00F167A8" w:rsidP="00F167A8">
      <w:pPr>
        <w:widowControl w:val="0"/>
        <w:autoSpaceDE w:val="0"/>
        <w:autoSpaceDN w:val="0"/>
        <w:adjustRightInd w:val="0"/>
        <w:jc w:val="both"/>
        <w:rPr>
          <w:rFonts w:ascii="Arial" w:hAnsi="Arial" w:cs="Arial"/>
        </w:rPr>
      </w:pPr>
      <w:r w:rsidRPr="00D33652">
        <w:rPr>
          <w:rFonts w:ascii="Arial" w:hAnsi="Arial" w:cs="Arial"/>
        </w:rPr>
        <w:fldChar w:fldCharType="begin"/>
      </w:r>
      <w:r w:rsidRPr="00D33652">
        <w:rPr>
          <w:rFonts w:ascii="Arial" w:hAnsi="Arial" w:cs="Arial"/>
        </w:rPr>
        <w:instrText>AUTONUMLGL</w:instrText>
      </w:r>
      <w:r w:rsidRPr="00D33652">
        <w:rPr>
          <w:rFonts w:ascii="Arial" w:hAnsi="Arial" w:cs="Arial"/>
        </w:rPr>
        <w:fldChar w:fldCharType="end"/>
      </w:r>
      <w:r w:rsidRPr="00D33652">
        <w:rPr>
          <w:rFonts w:ascii="Arial" w:hAnsi="Arial" w:cs="Arial"/>
        </w:rPr>
        <w:tab/>
      </w:r>
      <w:r w:rsidR="005F2503">
        <w:rPr>
          <w:rFonts w:ascii="Arial" w:hAnsi="Arial" w:cs="Arial"/>
          <w:b/>
        </w:rPr>
        <w:t>Capacity d</w:t>
      </w:r>
      <w:r w:rsidRPr="00D33652">
        <w:rPr>
          <w:rFonts w:ascii="Arial" w:hAnsi="Arial" w:cs="Arial"/>
          <w:b/>
        </w:rPr>
        <w:t xml:space="preserve">evelopment. </w:t>
      </w:r>
      <w:r w:rsidRPr="00D33652">
        <w:rPr>
          <w:rFonts w:ascii="Arial" w:hAnsi="Arial" w:cs="Arial"/>
        </w:rPr>
        <w:t xml:space="preserve">A national training plan for provincial staff involved in health professional certification was developed as a policy action under the </w:t>
      </w:r>
      <w:r w:rsidR="00F454A9" w:rsidRPr="00D33652">
        <w:rPr>
          <w:rFonts w:ascii="Arial" w:hAnsi="Arial" w:cs="Arial"/>
        </w:rPr>
        <w:t>program loan</w:t>
      </w:r>
      <w:r w:rsidRPr="00D33652">
        <w:rPr>
          <w:rFonts w:ascii="Arial" w:hAnsi="Arial" w:cs="Arial"/>
        </w:rPr>
        <w:t>.</w:t>
      </w:r>
      <w:r w:rsidRPr="00FD6EB5">
        <w:rPr>
          <w:rStyle w:val="FootnoteReference"/>
          <w:rFonts w:eastAsia="MS Mincho" w:cs="Arial"/>
        </w:rPr>
        <w:footnoteReference w:id="33"/>
      </w:r>
      <w:r w:rsidRPr="00D33652">
        <w:rPr>
          <w:rFonts w:ascii="Arial" w:hAnsi="Arial" w:cs="Arial"/>
        </w:rPr>
        <w:t xml:space="preserve"> The Project supported the AMS to roll out the training plan with the following outputs: (i) 821 </w:t>
      </w:r>
      <w:r w:rsidRPr="00D33652">
        <w:rPr>
          <w:rFonts w:ascii="Arial" w:hAnsi="Arial" w:cs="Arial"/>
          <w:color w:val="000000"/>
        </w:rPr>
        <w:t>registration &amp; licensing staff trained in system processes (National Plan Target: 1050); (ii) 2446 key staff of hospitals in 63 provinces trained on registration (National Plan Target: Nationwide). Training outputs by gender and EM status are detailed in Appendix 4, Table 4.1.</w:t>
      </w:r>
    </w:p>
    <w:p w:rsidR="00F167A8" w:rsidRPr="00D33652" w:rsidRDefault="00F167A8" w:rsidP="00F167A8">
      <w:pPr>
        <w:widowControl w:val="0"/>
        <w:autoSpaceDE w:val="0"/>
        <w:autoSpaceDN w:val="0"/>
        <w:adjustRightInd w:val="0"/>
        <w:jc w:val="both"/>
        <w:rPr>
          <w:rFonts w:ascii="Arial" w:hAnsi="Arial" w:cs="Arial"/>
        </w:rPr>
      </w:pPr>
    </w:p>
    <w:p w:rsidR="00481F67" w:rsidRDefault="00F167A8" w:rsidP="00D33652">
      <w:pPr>
        <w:jc w:val="both"/>
        <w:rPr>
          <w:rFonts w:ascii="Arial" w:hAnsi="Arial" w:cs="Arial"/>
        </w:rPr>
      </w:pPr>
      <w:r w:rsidRPr="00D33652">
        <w:rPr>
          <w:rFonts w:ascii="Arial" w:hAnsi="Arial" w:cs="Arial"/>
        </w:rPr>
        <w:fldChar w:fldCharType="begin"/>
      </w:r>
      <w:r w:rsidRPr="00D33652">
        <w:rPr>
          <w:rFonts w:ascii="Arial" w:hAnsi="Arial" w:cs="Arial"/>
        </w:rPr>
        <w:instrText>AUTONUMLGL</w:instrText>
      </w:r>
      <w:r w:rsidRPr="00D33652">
        <w:rPr>
          <w:rFonts w:ascii="Arial" w:hAnsi="Arial" w:cs="Arial"/>
        </w:rPr>
        <w:fldChar w:fldCharType="end"/>
      </w:r>
      <w:r w:rsidRPr="00D33652">
        <w:rPr>
          <w:rFonts w:ascii="Arial" w:hAnsi="Arial" w:cs="Arial"/>
        </w:rPr>
        <w:tab/>
      </w:r>
      <w:r w:rsidR="005F2503">
        <w:rPr>
          <w:rFonts w:ascii="Arial" w:hAnsi="Arial" w:cs="Arial"/>
          <w:b/>
        </w:rPr>
        <w:t>Registration and licensing d</w:t>
      </w:r>
      <w:r w:rsidRPr="00D33652">
        <w:rPr>
          <w:rFonts w:ascii="Arial" w:hAnsi="Arial" w:cs="Arial"/>
          <w:b/>
        </w:rPr>
        <w:t>atabase</w:t>
      </w:r>
      <w:r w:rsidRPr="00D33652">
        <w:rPr>
          <w:rFonts w:ascii="Arial" w:hAnsi="Arial" w:cs="Arial"/>
        </w:rPr>
        <w:t>.  The Project is supporting the AMS to develop a registration and licensing database over two phases. Phase 1 involved the development of an interim system comprising one core module for licensing of individual practitioners. The Project provided software, equipment and training to support system operation to the central level and 63 provinces. Official operation of the interim system commenced in March 2013</w:t>
      </w:r>
      <w:r w:rsidRPr="00FD6EB5">
        <w:rPr>
          <w:rStyle w:val="FootnoteReference"/>
          <w:rFonts w:eastAsia="MS Mincho" w:cs="Arial"/>
        </w:rPr>
        <w:footnoteReference w:id="34"/>
      </w:r>
      <w:r w:rsidRPr="00D33652">
        <w:rPr>
          <w:rFonts w:ascii="Arial" w:hAnsi="Arial" w:cs="Arial"/>
        </w:rPr>
        <w:t xml:space="preserve"> and served as a piloting exercise to test the databases functionality and operational efficacy. Based on the success of the pilot it was decided to utilize the interim database as the core system with phase 2 focus</w:t>
      </w:r>
      <w:r w:rsidR="003E5318">
        <w:rPr>
          <w:rFonts w:ascii="Arial" w:hAnsi="Arial" w:cs="Arial"/>
        </w:rPr>
        <w:t>ed</w:t>
      </w:r>
      <w:r w:rsidRPr="00D33652">
        <w:rPr>
          <w:rFonts w:ascii="Arial" w:hAnsi="Arial" w:cs="Arial"/>
        </w:rPr>
        <w:t xml:space="preserve"> on enhancing the system’s functionality. A consulting firm</w:t>
      </w:r>
      <w:r w:rsidRPr="00FD6EB5">
        <w:rPr>
          <w:rStyle w:val="FootnoteReference"/>
          <w:rFonts w:eastAsia="MS Mincho" w:cs="Arial"/>
        </w:rPr>
        <w:footnoteReference w:id="35"/>
      </w:r>
      <w:r w:rsidRPr="00D33652">
        <w:rPr>
          <w:rFonts w:ascii="Arial" w:hAnsi="Arial" w:cs="Arial"/>
        </w:rPr>
        <w:t xml:space="preserve"> was engaged in April 2015 to build seven additional modules </w:t>
      </w:r>
      <w:r w:rsidR="002A1B1C">
        <w:rPr>
          <w:rFonts w:ascii="Arial" w:hAnsi="Arial" w:cs="Arial"/>
        </w:rPr>
        <w:t>for</w:t>
      </w:r>
      <w:r w:rsidR="002A1B1C" w:rsidRPr="00D33652">
        <w:rPr>
          <w:rFonts w:ascii="Arial" w:hAnsi="Arial" w:cs="Arial"/>
        </w:rPr>
        <w:t xml:space="preserve"> </w:t>
      </w:r>
      <w:r w:rsidRPr="00D33652">
        <w:rPr>
          <w:rFonts w:ascii="Arial" w:hAnsi="Arial" w:cs="Arial"/>
        </w:rPr>
        <w:t>the core system.</w:t>
      </w:r>
      <w:r w:rsidRPr="00FD6EB5">
        <w:rPr>
          <w:rStyle w:val="FootnoteReference"/>
          <w:rFonts w:eastAsia="MS Mincho" w:cs="Arial"/>
        </w:rPr>
        <w:footnoteReference w:id="36"/>
      </w:r>
      <w:r w:rsidRPr="00D33652">
        <w:rPr>
          <w:rFonts w:ascii="Arial" w:hAnsi="Arial" w:cs="Arial"/>
        </w:rPr>
        <w:t xml:space="preserve"> The </w:t>
      </w:r>
      <w:r w:rsidR="00583184">
        <w:rPr>
          <w:rFonts w:ascii="Arial" w:hAnsi="Arial" w:cs="Arial"/>
        </w:rPr>
        <w:t>enhancement</w:t>
      </w:r>
      <w:r w:rsidR="00583184" w:rsidRPr="00D33652">
        <w:rPr>
          <w:rFonts w:ascii="Arial" w:hAnsi="Arial" w:cs="Arial"/>
        </w:rPr>
        <w:t xml:space="preserve"> </w:t>
      </w:r>
      <w:r w:rsidRPr="00D33652">
        <w:rPr>
          <w:rFonts w:ascii="Arial" w:hAnsi="Arial" w:cs="Arial"/>
        </w:rPr>
        <w:t>will address operational limitations previously noted by ADB and DFAT, including the need for</w:t>
      </w:r>
      <w:r w:rsidRPr="00FB15A1">
        <w:rPr>
          <w:rFonts w:ascii="Arial" w:hAnsi="Arial" w:cs="Arial"/>
        </w:rPr>
        <w:t>: (i) A renewal requirement to replace the current one-time lifelong registration; (ii) An</w:t>
      </w:r>
      <w:r w:rsidRPr="000A28C4">
        <w:rPr>
          <w:rFonts w:ascii="Arial" w:hAnsi="Arial" w:cs="Arial"/>
        </w:rPr>
        <w:t xml:space="preserve"> automated mechanism for lodging of complaints. The enhanced system is scheduled for completion in December 2015.</w:t>
      </w:r>
      <w:r w:rsidRPr="00FB15A1">
        <w:rPr>
          <w:rFonts w:ascii="Arial" w:hAnsi="Arial" w:cs="Arial"/>
        </w:rPr>
        <w:t xml:space="preserve"> </w:t>
      </w:r>
    </w:p>
    <w:p w:rsidR="00D33652" w:rsidRPr="00D33652" w:rsidRDefault="00D33652" w:rsidP="00D33652">
      <w:pPr>
        <w:jc w:val="both"/>
        <w:rPr>
          <w:rFonts w:ascii="Arial" w:hAnsi="Arial" w:cs="Arial"/>
        </w:rPr>
      </w:pPr>
    </w:p>
    <w:p w:rsidR="00F167A8" w:rsidRPr="00D33652" w:rsidRDefault="00F167A8" w:rsidP="00F2325A">
      <w:pPr>
        <w:spacing w:before="240" w:after="120"/>
        <w:rPr>
          <w:rFonts w:ascii="Arial" w:hAnsi="Arial" w:cs="Arial"/>
          <w:b/>
          <w:bCs/>
          <w:color w:val="000000"/>
          <w:lang w:eastAsia="en-US"/>
        </w:rPr>
      </w:pPr>
      <w:r w:rsidRPr="00D33652">
        <w:rPr>
          <w:rFonts w:ascii="Arial" w:hAnsi="Arial" w:cs="Arial"/>
          <w:b/>
          <w:color w:val="000000"/>
          <w:lang w:eastAsia="en-US"/>
        </w:rPr>
        <w:t>Output 2: Higher Quality Human Resources Training</w:t>
      </w:r>
    </w:p>
    <w:p w:rsidR="00F167A8" w:rsidRPr="00D33652" w:rsidRDefault="00F167A8" w:rsidP="00F167A8">
      <w:pPr>
        <w:jc w:val="both"/>
        <w:rPr>
          <w:rFonts w:ascii="Arial" w:hAnsi="Arial" w:cs="Arial"/>
        </w:rPr>
      </w:pPr>
      <w:r w:rsidRPr="00D33652">
        <w:rPr>
          <w:rFonts w:ascii="Arial" w:hAnsi="Arial" w:cs="Arial"/>
        </w:rPr>
        <w:fldChar w:fldCharType="begin"/>
      </w:r>
      <w:r w:rsidRPr="00D33652">
        <w:rPr>
          <w:rFonts w:ascii="Arial" w:hAnsi="Arial" w:cs="Arial"/>
        </w:rPr>
        <w:instrText>AUTONUMLGL</w:instrText>
      </w:r>
      <w:r w:rsidRPr="00D33652">
        <w:rPr>
          <w:rFonts w:ascii="Arial" w:hAnsi="Arial" w:cs="Arial"/>
        </w:rPr>
        <w:fldChar w:fldCharType="end"/>
      </w:r>
      <w:r w:rsidRPr="00D33652">
        <w:rPr>
          <w:rFonts w:ascii="Arial" w:hAnsi="Arial" w:cs="Arial"/>
        </w:rPr>
        <w:tab/>
        <w:t xml:space="preserve">Component 2 comprises three sub-components: (i) </w:t>
      </w:r>
      <w:r w:rsidRPr="00D33652">
        <w:rPr>
          <w:rFonts w:ascii="Arial" w:hAnsi="Arial" w:cs="Arial"/>
          <w:i/>
        </w:rPr>
        <w:t>2A: Stronger capacity of teaching institutions</w:t>
      </w:r>
      <w:r w:rsidRPr="00D33652">
        <w:rPr>
          <w:rFonts w:ascii="Arial" w:hAnsi="Arial" w:cs="Arial"/>
        </w:rPr>
        <w:t xml:space="preserve">; (ii) </w:t>
      </w:r>
      <w:r w:rsidRPr="00D33652">
        <w:rPr>
          <w:rFonts w:ascii="Arial" w:hAnsi="Arial" w:cs="Arial"/>
          <w:i/>
        </w:rPr>
        <w:t>2B: Stronger mechanisms for quality improvement and assurance</w:t>
      </w:r>
      <w:r w:rsidRPr="00D33652">
        <w:rPr>
          <w:rFonts w:ascii="Arial" w:hAnsi="Arial" w:cs="Arial"/>
        </w:rPr>
        <w:t xml:space="preserve">; (iii) </w:t>
      </w:r>
      <w:r w:rsidRPr="00D33652">
        <w:rPr>
          <w:rFonts w:ascii="Arial" w:hAnsi="Arial" w:cs="Arial"/>
          <w:i/>
        </w:rPr>
        <w:t>2C: Stronger staff training and utilization in remote areas.</w:t>
      </w:r>
      <w:r w:rsidRPr="00D33652">
        <w:rPr>
          <w:rFonts w:ascii="Arial" w:hAnsi="Arial" w:cs="Arial"/>
        </w:rPr>
        <w:t xml:space="preserve"> During implementation PMU and </w:t>
      </w:r>
      <w:r w:rsidR="009C0004">
        <w:rPr>
          <w:rFonts w:ascii="Arial" w:hAnsi="Arial" w:cs="Arial"/>
        </w:rPr>
        <w:t xml:space="preserve">the </w:t>
      </w:r>
      <w:r w:rsidR="009C0004" w:rsidRPr="00D33652">
        <w:rPr>
          <w:rFonts w:ascii="Arial" w:hAnsi="Arial" w:cs="Arial"/>
        </w:rPr>
        <w:t>Administration of Science, Training and Technology (ASTT)</w:t>
      </w:r>
      <w:r w:rsidRPr="00D33652">
        <w:rPr>
          <w:rFonts w:ascii="Arial" w:hAnsi="Arial" w:cs="Arial"/>
        </w:rPr>
        <w:t xml:space="preserve"> found the scope of sub-component 2B to be </w:t>
      </w:r>
      <w:r w:rsidR="00AE79BF" w:rsidRPr="00D33652">
        <w:rPr>
          <w:rFonts w:ascii="Arial" w:hAnsi="Arial" w:cs="Arial"/>
        </w:rPr>
        <w:t>overly ambitious</w:t>
      </w:r>
      <w:r w:rsidR="00214E7F">
        <w:rPr>
          <w:rFonts w:ascii="Arial" w:hAnsi="Arial" w:cs="Arial"/>
        </w:rPr>
        <w:t xml:space="preserve"> and that r</w:t>
      </w:r>
      <w:r w:rsidRPr="00D33652">
        <w:rPr>
          <w:rFonts w:ascii="Arial" w:hAnsi="Arial" w:cs="Arial"/>
        </w:rPr>
        <w:t>evision of the output targets relating to accreditation of HPTF</w:t>
      </w:r>
      <w:r w:rsidR="00D6789F">
        <w:rPr>
          <w:rFonts w:ascii="Arial" w:hAnsi="Arial" w:cs="Arial"/>
        </w:rPr>
        <w:t xml:space="preserve"> was required</w:t>
      </w:r>
      <w:r w:rsidRPr="00D33652">
        <w:rPr>
          <w:rFonts w:ascii="Arial" w:hAnsi="Arial" w:cs="Arial"/>
        </w:rPr>
        <w:t>.</w:t>
      </w:r>
      <w:r w:rsidRPr="00FD6EB5">
        <w:rPr>
          <w:rStyle w:val="FootnoteReference"/>
          <w:rFonts w:eastAsia="MS Mincho" w:cs="Arial"/>
        </w:rPr>
        <w:footnoteReference w:id="37"/>
      </w:r>
      <w:r w:rsidRPr="00D33652">
        <w:rPr>
          <w:rFonts w:ascii="Arial" w:hAnsi="Arial" w:cs="Arial"/>
        </w:rPr>
        <w:t xml:space="preserve"> The ICE </w:t>
      </w:r>
      <w:r w:rsidR="00AE79BF" w:rsidRPr="00D33652">
        <w:rPr>
          <w:rFonts w:ascii="Arial" w:hAnsi="Arial" w:cs="Arial"/>
        </w:rPr>
        <w:t>team concurs</w:t>
      </w:r>
      <w:r w:rsidRPr="00D33652">
        <w:rPr>
          <w:rFonts w:ascii="Arial" w:hAnsi="Arial" w:cs="Arial"/>
        </w:rPr>
        <w:t xml:space="preserve"> with this view, noting accreditation of medical universities in Viet Nam is a medium term goal requiring a phased approach based on a clear road map and key milestones. The ASTT reported that outputs under sub-component 2B were revised during the MTR to: (i) Conducting a survey to assess the current conditions for accreditation in HPTF; (ii) Develop and pilot a set of Standards for Accreditation for Medical Facilities; (iii) Strengthen </w:t>
      </w:r>
      <w:r w:rsidRPr="00052969">
        <w:rPr>
          <w:rFonts w:ascii="Arial" w:hAnsi="Arial" w:cs="Arial"/>
        </w:rPr>
        <w:t>Systems for Internal Quality Assurance for HPTF. The ICE team found no documentation</w:t>
      </w:r>
      <w:r w:rsidR="00D6789F" w:rsidRPr="00052969">
        <w:rPr>
          <w:rFonts w:ascii="Arial" w:hAnsi="Arial" w:cs="Arial"/>
        </w:rPr>
        <w:t xml:space="preserve"> from ADB</w:t>
      </w:r>
      <w:r w:rsidRPr="00284EB8">
        <w:rPr>
          <w:rFonts w:ascii="Arial" w:hAnsi="Arial" w:cs="Arial"/>
        </w:rPr>
        <w:t xml:space="preserve"> approving th</w:t>
      </w:r>
      <w:r w:rsidR="00D6789F" w:rsidRPr="00284EB8">
        <w:rPr>
          <w:rFonts w:ascii="Arial" w:hAnsi="Arial" w:cs="Arial"/>
        </w:rPr>
        <w:t>is</w:t>
      </w:r>
      <w:r w:rsidRPr="00284EB8">
        <w:rPr>
          <w:rFonts w:ascii="Arial" w:hAnsi="Arial" w:cs="Arial"/>
        </w:rPr>
        <w:t xml:space="preserve"> change in scope</w:t>
      </w:r>
      <w:r w:rsidR="00D6789F" w:rsidRPr="00284EB8">
        <w:rPr>
          <w:rFonts w:ascii="Arial" w:hAnsi="Arial" w:cs="Arial"/>
        </w:rPr>
        <w:t>.</w:t>
      </w:r>
    </w:p>
    <w:p w:rsidR="00F167A8" w:rsidRPr="00D33652" w:rsidRDefault="00F167A8" w:rsidP="00F167A8">
      <w:pPr>
        <w:jc w:val="both"/>
        <w:rPr>
          <w:rFonts w:ascii="Arial" w:hAnsi="Arial" w:cs="Arial"/>
        </w:rPr>
      </w:pPr>
    </w:p>
    <w:p w:rsidR="00F167A8" w:rsidRPr="00D33652" w:rsidRDefault="00F167A8" w:rsidP="00F167A8">
      <w:pPr>
        <w:widowControl w:val="0"/>
        <w:autoSpaceDE w:val="0"/>
        <w:autoSpaceDN w:val="0"/>
        <w:adjustRightInd w:val="0"/>
        <w:spacing w:after="240"/>
        <w:jc w:val="both"/>
        <w:rPr>
          <w:rFonts w:ascii="Arial" w:eastAsia="MS Mincho" w:hAnsi="Arial" w:cs="Arial"/>
          <w:color w:val="000000"/>
        </w:rPr>
      </w:pPr>
      <w:r w:rsidRPr="00D33652">
        <w:rPr>
          <w:rFonts w:ascii="Arial" w:hAnsi="Arial" w:cs="Arial"/>
        </w:rPr>
        <w:fldChar w:fldCharType="begin"/>
      </w:r>
      <w:r w:rsidRPr="00D33652">
        <w:rPr>
          <w:rFonts w:ascii="Arial" w:hAnsi="Arial" w:cs="Arial"/>
        </w:rPr>
        <w:instrText>AUTONUMLGL</w:instrText>
      </w:r>
      <w:r w:rsidRPr="00D33652">
        <w:rPr>
          <w:rFonts w:ascii="Arial" w:hAnsi="Arial" w:cs="Arial"/>
        </w:rPr>
        <w:fldChar w:fldCharType="end"/>
      </w:r>
      <w:r w:rsidRPr="00D33652">
        <w:rPr>
          <w:rFonts w:ascii="Arial" w:hAnsi="Arial" w:cs="Arial"/>
        </w:rPr>
        <w:tab/>
        <w:t>At the time of the ICE, 95% of Component 2 activities were on target for completion by 31 December 2015.</w:t>
      </w:r>
      <w:r w:rsidRPr="00FD6EB5">
        <w:rPr>
          <w:rStyle w:val="FootnoteReference"/>
          <w:rFonts w:eastAsia="MS Mincho" w:cs="Arial"/>
        </w:rPr>
        <w:t xml:space="preserve"> </w:t>
      </w:r>
      <w:r w:rsidRPr="00FD6EB5">
        <w:rPr>
          <w:rStyle w:val="FootnoteReference"/>
          <w:rFonts w:eastAsia="MS Mincho" w:cs="Arial"/>
        </w:rPr>
        <w:footnoteReference w:id="38"/>
      </w:r>
      <w:r w:rsidRPr="00D33652">
        <w:rPr>
          <w:rFonts w:ascii="Arial" w:hAnsi="Arial" w:cs="Arial"/>
        </w:rPr>
        <w:t xml:space="preserve">  The ICE team assessed that, with an extension to the project completion date, most of the output targets specified in the DMF and Project Training Plan </w:t>
      </w:r>
      <w:r w:rsidRPr="00FD6EB5">
        <w:rPr>
          <w:rStyle w:val="FootnoteReference"/>
          <w:rFonts w:eastAsia="MS Mincho" w:cs="Arial"/>
        </w:rPr>
        <w:footnoteReference w:id="39"/>
      </w:r>
      <w:r w:rsidRPr="00D33652">
        <w:rPr>
          <w:rFonts w:ascii="Arial" w:hAnsi="Arial" w:cs="Arial"/>
        </w:rPr>
        <w:t xml:space="preserve"> are likely to be achieved with the exception of the e-learning activities. The ICE team assessed these as </w:t>
      </w:r>
      <w:r w:rsidR="00AE79BF" w:rsidRPr="00D33652">
        <w:rPr>
          <w:rFonts w:ascii="Arial" w:hAnsi="Arial" w:cs="Arial"/>
        </w:rPr>
        <w:t>less likely</w:t>
      </w:r>
      <w:r w:rsidRPr="00D33652">
        <w:rPr>
          <w:rFonts w:ascii="Arial" w:hAnsi="Arial" w:cs="Arial"/>
        </w:rPr>
        <w:t xml:space="preserve"> to be completed as intended based on current progress and the absence of institutional policy and frameworks within the </w:t>
      </w:r>
      <w:r w:rsidR="0084683F">
        <w:rPr>
          <w:rFonts w:ascii="Arial" w:hAnsi="Arial" w:cs="Arial"/>
        </w:rPr>
        <w:t>HPTF</w:t>
      </w:r>
      <w:r w:rsidRPr="00D33652">
        <w:rPr>
          <w:rFonts w:ascii="Arial" w:hAnsi="Arial" w:cs="Arial"/>
        </w:rPr>
        <w:t xml:space="preserve"> to </w:t>
      </w:r>
      <w:r w:rsidRPr="00D33652">
        <w:rPr>
          <w:rFonts w:ascii="Arial" w:eastAsia="MS Mincho" w:hAnsi="Arial" w:cs="Arial"/>
          <w:color w:val="000000"/>
        </w:rPr>
        <w:t>guide the development of e-learning courses.</w:t>
      </w:r>
      <w:r w:rsidR="008C5FC6">
        <w:rPr>
          <w:rFonts w:ascii="Arial" w:eastAsia="MS Mincho" w:hAnsi="Arial" w:cs="Arial"/>
          <w:color w:val="000000"/>
        </w:rPr>
        <w:t xml:space="preserve"> </w:t>
      </w:r>
    </w:p>
    <w:p w:rsidR="00F167A8" w:rsidRPr="00D33652" w:rsidRDefault="00F167A8" w:rsidP="00481F67">
      <w:pPr>
        <w:widowControl w:val="0"/>
        <w:autoSpaceDE w:val="0"/>
        <w:autoSpaceDN w:val="0"/>
        <w:adjustRightInd w:val="0"/>
        <w:spacing w:after="240"/>
        <w:jc w:val="both"/>
        <w:rPr>
          <w:rFonts w:ascii="Arial" w:hAnsi="Arial" w:cs="Arial"/>
          <w:b/>
        </w:rPr>
      </w:pPr>
      <w:r w:rsidRPr="00D33652">
        <w:rPr>
          <w:rFonts w:ascii="Arial" w:hAnsi="Arial" w:cs="Arial"/>
          <w:b/>
        </w:rPr>
        <w:t>2A</w:t>
      </w:r>
      <w:r w:rsidRPr="00D33652">
        <w:rPr>
          <w:rFonts w:ascii="Arial" w:hAnsi="Arial" w:cs="Arial"/>
          <w:b/>
        </w:rPr>
        <w:tab/>
        <w:t>Stronger capacity of teaching institutions</w:t>
      </w:r>
    </w:p>
    <w:p w:rsidR="00F167A8" w:rsidRPr="00D33652" w:rsidRDefault="00F167A8" w:rsidP="00F167A8">
      <w:pPr>
        <w:jc w:val="both"/>
        <w:rPr>
          <w:rFonts w:ascii="Arial" w:hAnsi="Arial" w:cs="Arial"/>
        </w:rPr>
      </w:pPr>
      <w:r w:rsidRPr="00D33652">
        <w:rPr>
          <w:rFonts w:ascii="Arial" w:hAnsi="Arial" w:cs="Arial"/>
        </w:rPr>
        <w:fldChar w:fldCharType="begin"/>
      </w:r>
      <w:r w:rsidRPr="00D33652">
        <w:rPr>
          <w:rFonts w:ascii="Arial" w:hAnsi="Arial" w:cs="Arial"/>
        </w:rPr>
        <w:instrText>AUTONUMLGL</w:instrText>
      </w:r>
      <w:r w:rsidRPr="00D33652">
        <w:rPr>
          <w:rFonts w:ascii="Arial" w:hAnsi="Arial" w:cs="Arial"/>
        </w:rPr>
        <w:fldChar w:fldCharType="end"/>
      </w:r>
      <w:r w:rsidRPr="00D33652">
        <w:rPr>
          <w:rFonts w:ascii="Arial" w:hAnsi="Arial" w:cs="Arial"/>
        </w:rPr>
        <w:tab/>
      </w:r>
      <w:r w:rsidRPr="002F2C3F">
        <w:rPr>
          <w:rFonts w:ascii="Arial" w:hAnsi="Arial" w:cs="Arial"/>
          <w:b/>
        </w:rPr>
        <w:t>Strengthened teacher and management capacity within HPTF.</w:t>
      </w:r>
      <w:r w:rsidRPr="00D33652">
        <w:rPr>
          <w:rFonts w:ascii="Arial" w:hAnsi="Arial" w:cs="Arial"/>
        </w:rPr>
        <w:t xml:space="preserve"> The Project has delivered a comprehensive program to strengthen capacity of teaching and management staff within the 17 HPTF, incorporating both long and short-term training programs. The DMF target of 600 university teachers (40% women) trained in modern teaching methods will be exceeded. The Project has supported: (i) 112 teaching staff (67% female) for postgraduate training in basic science, nursing and management (Masters and PhD);</w:t>
      </w:r>
      <w:r w:rsidRPr="00D33652">
        <w:rPr>
          <w:rFonts w:ascii="Arial" w:hAnsi="Arial" w:cs="Arial"/>
          <w:b/>
        </w:rPr>
        <w:t xml:space="preserve"> </w:t>
      </w:r>
      <w:r w:rsidRPr="00D33652">
        <w:rPr>
          <w:rFonts w:ascii="Arial" w:hAnsi="Arial" w:cs="Arial"/>
        </w:rPr>
        <w:t>(ii)</w:t>
      </w:r>
      <w:r w:rsidR="00736D6C">
        <w:rPr>
          <w:rFonts w:ascii="Arial" w:hAnsi="Arial" w:cs="Arial"/>
        </w:rPr>
        <w:t xml:space="preserve"> </w:t>
      </w:r>
      <w:r w:rsidRPr="00D33652">
        <w:rPr>
          <w:rFonts w:ascii="Arial" w:hAnsi="Arial" w:cs="Arial"/>
        </w:rPr>
        <w:t>1,191 teaching staff (61% female) for short term training on basic-science &amp; pre-clinical skills-lab teaching methods; (iii) 39 teaching staff (54% female) for short term training on competency-based learning methods; (iv) 1,264 teachers, managers and clinicians for short term training on techniques for practical clinical training of students (59% female; 15 EM). An additional 517 facility managers (50% female) participated in short-term training to improve management skills. Training participant numbers against the output targets in the Project Training Plan, disaggregated by gender and EM status, are detailed in Appendix 4, Table 4.1.</w:t>
      </w:r>
    </w:p>
    <w:p w:rsidR="00F167A8" w:rsidRPr="00D33652" w:rsidRDefault="00F167A8" w:rsidP="00F167A8">
      <w:pPr>
        <w:jc w:val="both"/>
        <w:rPr>
          <w:rFonts w:ascii="Arial" w:hAnsi="Arial" w:cs="Arial"/>
        </w:rPr>
      </w:pPr>
    </w:p>
    <w:p w:rsidR="00F167A8" w:rsidRPr="00D33652" w:rsidRDefault="00F167A8" w:rsidP="00F167A8">
      <w:pPr>
        <w:jc w:val="both"/>
        <w:rPr>
          <w:rFonts w:ascii="Arial" w:hAnsi="Arial" w:cs="Arial"/>
        </w:rPr>
      </w:pPr>
      <w:r w:rsidRPr="00D33652">
        <w:rPr>
          <w:rFonts w:ascii="Arial" w:hAnsi="Arial" w:cs="Arial"/>
        </w:rPr>
        <w:fldChar w:fldCharType="begin"/>
      </w:r>
      <w:r w:rsidRPr="00D33652">
        <w:rPr>
          <w:rFonts w:ascii="Arial" w:hAnsi="Arial" w:cs="Arial"/>
        </w:rPr>
        <w:instrText>AUTONUMLGL</w:instrText>
      </w:r>
      <w:r w:rsidRPr="00D33652">
        <w:rPr>
          <w:rFonts w:ascii="Arial" w:hAnsi="Arial" w:cs="Arial"/>
        </w:rPr>
        <w:fldChar w:fldCharType="end"/>
      </w:r>
      <w:r w:rsidRPr="00D33652">
        <w:rPr>
          <w:rFonts w:ascii="Arial" w:hAnsi="Arial" w:cs="Arial"/>
        </w:rPr>
        <w:tab/>
        <w:t>Teaching capacity was further developed though international study tours and in-country exchange programs between staff of HPTF. In total: (i) 135 teaching staff (53% female) participated in study tours to facilities within the ASEAN region on topics relating to teaching and practical learning for basic sciences, primary health care, e-learning and HPTF management; (ii) 253 teaching staff (52% female) participat</w:t>
      </w:r>
      <w:r w:rsidR="00736D6C">
        <w:rPr>
          <w:rFonts w:ascii="Arial" w:hAnsi="Arial" w:cs="Arial"/>
        </w:rPr>
        <w:t>ed</w:t>
      </w:r>
      <w:r w:rsidRPr="00D33652">
        <w:rPr>
          <w:rFonts w:ascii="Arial" w:hAnsi="Arial" w:cs="Arial"/>
        </w:rPr>
        <w:t xml:space="preserve"> in study tours and teacher exchanges</w:t>
      </w:r>
      <w:r w:rsidR="00736D6C">
        <w:rPr>
          <w:rFonts w:ascii="Arial" w:hAnsi="Arial" w:cs="Arial"/>
        </w:rPr>
        <w:t xml:space="preserve"> within </w:t>
      </w:r>
      <w:r w:rsidR="0028006A">
        <w:rPr>
          <w:rFonts w:ascii="Arial" w:hAnsi="Arial" w:cs="Arial"/>
        </w:rPr>
        <w:t>Viet Nam</w:t>
      </w:r>
      <w:r w:rsidRPr="00D33652">
        <w:rPr>
          <w:rFonts w:ascii="Arial" w:hAnsi="Arial" w:cs="Arial"/>
        </w:rPr>
        <w:t>. Study tour participant numbers by gender and EM status are detailed in Appendix 4, Table 4.1.</w:t>
      </w:r>
    </w:p>
    <w:p w:rsidR="00F167A8" w:rsidRPr="00D33652" w:rsidRDefault="00F167A8" w:rsidP="00F167A8">
      <w:pPr>
        <w:rPr>
          <w:b/>
          <w:color w:val="000000"/>
          <w:lang w:eastAsia="en-US"/>
        </w:rPr>
      </w:pPr>
    </w:p>
    <w:p w:rsidR="00F167A8" w:rsidRPr="00D33652" w:rsidRDefault="00F167A8" w:rsidP="00F167A8">
      <w:pPr>
        <w:jc w:val="both"/>
        <w:rPr>
          <w:rFonts w:ascii="Arial" w:hAnsi="Arial" w:cs="Arial"/>
        </w:rPr>
      </w:pPr>
      <w:r w:rsidRPr="00D33652">
        <w:rPr>
          <w:rFonts w:ascii="Arial" w:hAnsi="Arial" w:cs="Arial"/>
        </w:rPr>
        <w:fldChar w:fldCharType="begin"/>
      </w:r>
      <w:r w:rsidRPr="00D33652">
        <w:rPr>
          <w:rFonts w:ascii="Arial" w:hAnsi="Arial" w:cs="Arial"/>
        </w:rPr>
        <w:instrText>AUTONUMLGL</w:instrText>
      </w:r>
      <w:r w:rsidRPr="00D33652">
        <w:rPr>
          <w:rFonts w:ascii="Arial" w:hAnsi="Arial" w:cs="Arial"/>
        </w:rPr>
        <w:fldChar w:fldCharType="end"/>
      </w:r>
      <w:r w:rsidRPr="00D33652">
        <w:rPr>
          <w:rFonts w:ascii="Arial" w:hAnsi="Arial" w:cs="Arial"/>
        </w:rPr>
        <w:tab/>
      </w:r>
      <w:r w:rsidRPr="002F2C3F">
        <w:rPr>
          <w:rFonts w:ascii="Arial" w:hAnsi="Arial" w:cs="Arial"/>
          <w:b/>
        </w:rPr>
        <w:t>HPTF with upgraded teaching laboratories and equipment.</w:t>
      </w:r>
      <w:r w:rsidRPr="00D33652">
        <w:rPr>
          <w:rFonts w:ascii="Arial" w:hAnsi="Arial" w:cs="Arial"/>
          <w:b/>
          <w:bCs/>
          <w:iCs/>
          <w:lang w:val="en-AU"/>
        </w:rPr>
        <w:t xml:space="preserve"> </w:t>
      </w:r>
      <w:r w:rsidRPr="00D33652">
        <w:rPr>
          <w:rFonts w:ascii="Arial" w:hAnsi="Arial" w:cs="Arial"/>
          <w:bCs/>
          <w:iCs/>
          <w:lang w:val="en-AU"/>
        </w:rPr>
        <w:t xml:space="preserve">The Project supported the renovation of laboratories in 17 </w:t>
      </w:r>
      <w:r w:rsidRPr="00D33652">
        <w:rPr>
          <w:rFonts w:ascii="Arial" w:hAnsi="Arial" w:cs="Arial"/>
        </w:rPr>
        <w:t>HPTF, exceeding the DMF target of six facilities. The upgrades supported a functional space for locating new equipment procured under the HHRSDP and an enhanced working environment for students and teachers. A summary of works in each facility is provided in Appendix 6, Table 6.1.</w:t>
      </w:r>
    </w:p>
    <w:p w:rsidR="00F167A8" w:rsidRPr="00D33652" w:rsidRDefault="00F167A8" w:rsidP="00F167A8">
      <w:pPr>
        <w:jc w:val="both"/>
        <w:rPr>
          <w:rFonts w:ascii="Arial" w:hAnsi="Arial" w:cs="Arial"/>
        </w:rPr>
      </w:pPr>
    </w:p>
    <w:p w:rsidR="00F167A8" w:rsidRPr="00D33652" w:rsidRDefault="00F167A8" w:rsidP="00F167A8">
      <w:pPr>
        <w:jc w:val="both"/>
      </w:pPr>
      <w:r w:rsidRPr="00D33652">
        <w:rPr>
          <w:rFonts w:ascii="Arial" w:hAnsi="Arial" w:cs="Arial"/>
        </w:rPr>
        <w:fldChar w:fldCharType="begin"/>
      </w:r>
      <w:r w:rsidRPr="00D33652">
        <w:rPr>
          <w:rFonts w:ascii="Arial" w:hAnsi="Arial" w:cs="Arial"/>
        </w:rPr>
        <w:instrText>AUTONUMLGL</w:instrText>
      </w:r>
      <w:r w:rsidRPr="00D33652">
        <w:rPr>
          <w:rFonts w:ascii="Arial" w:hAnsi="Arial" w:cs="Arial"/>
        </w:rPr>
        <w:fldChar w:fldCharType="end"/>
      </w:r>
      <w:r w:rsidRPr="00D33652">
        <w:rPr>
          <w:rFonts w:ascii="Arial" w:hAnsi="Arial" w:cs="Arial"/>
        </w:rPr>
        <w:tab/>
      </w:r>
      <w:r w:rsidRPr="00D33652">
        <w:rPr>
          <w:rFonts w:ascii="Arial" w:hAnsi="Arial" w:cs="Arial"/>
          <w:color w:val="000000"/>
        </w:rPr>
        <w:t xml:space="preserve">Nine HPTF received equipment under the </w:t>
      </w:r>
      <w:r w:rsidR="00736D6C">
        <w:rPr>
          <w:rFonts w:ascii="Arial" w:hAnsi="Arial" w:cs="Arial"/>
          <w:color w:val="000000"/>
        </w:rPr>
        <w:t>p</w:t>
      </w:r>
      <w:r w:rsidRPr="00D33652">
        <w:rPr>
          <w:rFonts w:ascii="Arial" w:hAnsi="Arial" w:cs="Arial"/>
          <w:color w:val="000000"/>
        </w:rPr>
        <w:t xml:space="preserve">roject </w:t>
      </w:r>
      <w:r w:rsidR="00736D6C">
        <w:rPr>
          <w:rFonts w:ascii="Arial" w:hAnsi="Arial" w:cs="Arial"/>
          <w:color w:val="000000"/>
        </w:rPr>
        <w:t>l</w:t>
      </w:r>
      <w:r w:rsidRPr="00D33652">
        <w:rPr>
          <w:rFonts w:ascii="Arial" w:hAnsi="Arial" w:cs="Arial"/>
          <w:color w:val="000000"/>
        </w:rPr>
        <w:t>oan.</w:t>
      </w:r>
      <w:r w:rsidRPr="00FD6EB5">
        <w:rPr>
          <w:rStyle w:val="FootnoteReference"/>
          <w:rFonts w:eastAsia="MS Mincho" w:cs="Arial"/>
          <w:color w:val="000000"/>
        </w:rPr>
        <w:footnoteReference w:id="40"/>
      </w:r>
      <w:r w:rsidRPr="00D33652">
        <w:rPr>
          <w:rFonts w:ascii="Arial" w:hAnsi="Arial" w:cs="Arial"/>
          <w:color w:val="000000"/>
        </w:rPr>
        <w:t xml:space="preserve">  Equipment was procured in three phases with a total of 28 packages.</w:t>
      </w:r>
      <w:r w:rsidRPr="00FD6EB5">
        <w:rPr>
          <w:rStyle w:val="FootnoteReference"/>
          <w:rFonts w:eastAsia="MS Mincho" w:cs="Arial"/>
          <w:color w:val="000000"/>
        </w:rPr>
        <w:footnoteReference w:id="41"/>
      </w:r>
      <w:r w:rsidRPr="00D33652">
        <w:rPr>
          <w:rFonts w:ascii="Arial" w:hAnsi="Arial" w:cs="Arial"/>
          <w:color w:val="000000"/>
        </w:rPr>
        <w:t xml:space="preserve"> Building of equipment lists followed a consultative process with the HPTF. The timeframe from list building to equipment delivery averaged 15 months. Grant </w:t>
      </w:r>
      <w:r w:rsidRPr="00FD6EB5">
        <w:rPr>
          <w:rFonts w:ascii="Arial" w:eastAsia="MS Mincho" w:hAnsi="Arial" w:cs="Arial"/>
          <w:color w:val="000000"/>
        </w:rPr>
        <w:t>funding was used to f</w:t>
      </w:r>
      <w:r w:rsidR="00736D6C" w:rsidRPr="00FD6EB5">
        <w:rPr>
          <w:rFonts w:ascii="Arial" w:eastAsia="MS Mincho" w:hAnsi="Arial" w:cs="Arial"/>
          <w:color w:val="000000"/>
        </w:rPr>
        <w:t>inance</w:t>
      </w:r>
      <w:r w:rsidRPr="00FD6EB5">
        <w:rPr>
          <w:rFonts w:ascii="Arial" w:eastAsia="MS Mincho" w:hAnsi="Arial" w:cs="Arial"/>
          <w:color w:val="000000"/>
        </w:rPr>
        <w:t xml:space="preserve"> three packages under the Phase 2 of procurement - Pathology Practice Equipment (EQ13); Biochemistry, Immune Laboratory Equipment (EQ15); LCMSMS/ ESI/APCI System Equipment</w:t>
      </w:r>
      <w:r w:rsidRPr="00D33652">
        <w:rPr>
          <w:rFonts w:ascii="Arial" w:hAnsi="Arial" w:cs="Arial"/>
          <w:color w:val="000000"/>
        </w:rPr>
        <w:t xml:space="preserve"> (EQ18</w:t>
      </w:r>
      <w:r w:rsidRPr="00FD6EB5">
        <w:rPr>
          <w:rFonts w:ascii="Arial" w:eastAsia="MS Mincho" w:hAnsi="Arial" w:cs="Arial"/>
          <w:color w:val="000000"/>
        </w:rPr>
        <w:t>)</w:t>
      </w:r>
      <w:r w:rsidRPr="00D33652">
        <w:rPr>
          <w:rFonts w:ascii="Arial" w:hAnsi="Arial" w:cs="Arial"/>
          <w:color w:val="000000"/>
        </w:rPr>
        <w:t>. Equipment procured</w:t>
      </w:r>
      <w:r w:rsidR="00736D6C">
        <w:rPr>
          <w:rFonts w:ascii="Arial" w:hAnsi="Arial" w:cs="Arial"/>
          <w:color w:val="000000"/>
        </w:rPr>
        <w:t>,</w:t>
      </w:r>
      <w:r w:rsidRPr="00D33652">
        <w:rPr>
          <w:rFonts w:ascii="Arial" w:hAnsi="Arial" w:cs="Arial"/>
          <w:color w:val="000000"/>
        </w:rPr>
        <w:t xml:space="preserve"> by phase and beneficiary HPTF</w:t>
      </w:r>
      <w:r w:rsidR="00736D6C">
        <w:rPr>
          <w:rFonts w:ascii="Arial" w:hAnsi="Arial" w:cs="Arial"/>
          <w:color w:val="000000"/>
        </w:rPr>
        <w:t>,</w:t>
      </w:r>
      <w:r w:rsidRPr="00D33652">
        <w:rPr>
          <w:rFonts w:ascii="Arial" w:hAnsi="Arial" w:cs="Arial"/>
          <w:color w:val="000000"/>
        </w:rPr>
        <w:t xml:space="preserve"> is detailed in </w:t>
      </w:r>
      <w:r w:rsidR="005B235E" w:rsidRPr="00D33652">
        <w:rPr>
          <w:rFonts w:ascii="Arial" w:hAnsi="Arial" w:cs="Arial"/>
          <w:color w:val="000000"/>
        </w:rPr>
        <w:t>Appendix 8</w:t>
      </w:r>
      <w:r w:rsidRPr="00D33652">
        <w:rPr>
          <w:rFonts w:ascii="Arial" w:hAnsi="Arial" w:cs="Arial"/>
          <w:color w:val="000000"/>
        </w:rPr>
        <w:t>, Table</w:t>
      </w:r>
      <w:r w:rsidR="005B235E" w:rsidRPr="00D33652">
        <w:rPr>
          <w:rFonts w:ascii="Arial" w:hAnsi="Arial" w:cs="Arial"/>
          <w:color w:val="000000"/>
        </w:rPr>
        <w:t>s 8</w:t>
      </w:r>
      <w:r w:rsidRPr="00D33652">
        <w:rPr>
          <w:rFonts w:ascii="Arial" w:hAnsi="Arial" w:cs="Arial"/>
          <w:color w:val="000000"/>
        </w:rPr>
        <w:t>.1</w:t>
      </w:r>
      <w:r w:rsidR="005B235E" w:rsidRPr="00D33652">
        <w:rPr>
          <w:rFonts w:ascii="Arial" w:hAnsi="Arial" w:cs="Arial"/>
          <w:color w:val="000000"/>
        </w:rPr>
        <w:t>, 8.2 and 8.3.</w:t>
      </w:r>
    </w:p>
    <w:p w:rsidR="00F167A8" w:rsidRPr="00D33652" w:rsidRDefault="00F167A8" w:rsidP="00F167A8">
      <w:pPr>
        <w:rPr>
          <w:rFonts w:ascii="Arial" w:hAnsi="Arial" w:cs="Arial"/>
        </w:rPr>
      </w:pPr>
    </w:p>
    <w:p w:rsidR="00F167A8" w:rsidRPr="00D33652" w:rsidRDefault="00F167A8" w:rsidP="00F167A8">
      <w:pPr>
        <w:tabs>
          <w:tab w:val="left" w:pos="1134"/>
        </w:tabs>
        <w:jc w:val="both"/>
        <w:rPr>
          <w:rFonts w:ascii="Arial" w:hAnsi="Arial" w:cs="Arial"/>
        </w:rPr>
      </w:pPr>
      <w:r w:rsidRPr="00D33652">
        <w:rPr>
          <w:rFonts w:ascii="Arial" w:hAnsi="Arial" w:cs="Arial"/>
        </w:rPr>
        <w:fldChar w:fldCharType="begin"/>
      </w:r>
      <w:r w:rsidRPr="00D33652">
        <w:rPr>
          <w:rFonts w:ascii="Arial" w:hAnsi="Arial" w:cs="Arial"/>
        </w:rPr>
        <w:instrText>AUTONUMLGL</w:instrText>
      </w:r>
      <w:r w:rsidRPr="00D33652">
        <w:rPr>
          <w:rFonts w:ascii="Arial" w:hAnsi="Arial" w:cs="Arial"/>
        </w:rPr>
        <w:fldChar w:fldCharType="end"/>
      </w:r>
      <w:r w:rsidRPr="00D33652">
        <w:rPr>
          <w:rFonts w:ascii="Arial" w:hAnsi="Arial" w:cs="Arial"/>
        </w:rPr>
        <w:tab/>
      </w:r>
      <w:r w:rsidRPr="002F2C3F">
        <w:rPr>
          <w:rFonts w:ascii="Arial" w:hAnsi="Arial" w:cs="Arial"/>
          <w:b/>
        </w:rPr>
        <w:t>E-Learning.</w:t>
      </w:r>
      <w:r w:rsidRPr="00D33652">
        <w:rPr>
          <w:rFonts w:ascii="Arial" w:hAnsi="Arial" w:cs="Arial"/>
          <w:b/>
        </w:rPr>
        <w:t xml:space="preserve"> </w:t>
      </w:r>
      <w:r w:rsidRPr="00D33652">
        <w:rPr>
          <w:rFonts w:ascii="Arial" w:hAnsi="Arial" w:cs="Arial"/>
        </w:rPr>
        <w:t xml:space="preserve">The project sought to develop an </w:t>
      </w:r>
      <w:r w:rsidRPr="00FD6EB5">
        <w:rPr>
          <w:rFonts w:ascii="Arial" w:eastAsia="MS Mincho" w:hAnsi="Arial" w:cs="Arial"/>
          <w:color w:val="000000"/>
        </w:rPr>
        <w:t>e-learning network with a virtual medical training resources library</w:t>
      </w:r>
      <w:r w:rsidRPr="00D33652">
        <w:rPr>
          <w:rFonts w:ascii="Arial" w:hAnsi="Arial" w:cs="Arial"/>
        </w:rPr>
        <w:t xml:space="preserve"> as a mechanism for the modern delivery of curricula to students and as a modality for the delivery to CME to health professionals. At the time of </w:t>
      </w:r>
      <w:r w:rsidR="00752C85">
        <w:rPr>
          <w:rFonts w:ascii="Arial" w:hAnsi="Arial" w:cs="Arial"/>
        </w:rPr>
        <w:t xml:space="preserve">the </w:t>
      </w:r>
      <w:r w:rsidRPr="00D33652">
        <w:rPr>
          <w:rFonts w:ascii="Arial" w:hAnsi="Arial" w:cs="Arial"/>
        </w:rPr>
        <w:t xml:space="preserve">ICE output targets for e-learning had not been achieved. Specifically: (i) Only 25% of the target for training of trainers on e-learning had been reached, with 50% achievement expected by </w:t>
      </w:r>
      <w:r w:rsidR="00752C85">
        <w:rPr>
          <w:rFonts w:ascii="Arial" w:hAnsi="Arial" w:cs="Arial"/>
        </w:rPr>
        <w:t>31 December 2015</w:t>
      </w:r>
      <w:r w:rsidRPr="00D33652">
        <w:rPr>
          <w:rFonts w:ascii="Arial" w:hAnsi="Arial" w:cs="Arial"/>
        </w:rPr>
        <w:t>; (</w:t>
      </w:r>
      <w:r w:rsidR="00752C85">
        <w:rPr>
          <w:rFonts w:ascii="Arial" w:hAnsi="Arial" w:cs="Arial"/>
        </w:rPr>
        <w:t>i</w:t>
      </w:r>
      <w:r w:rsidRPr="00D33652">
        <w:rPr>
          <w:rFonts w:ascii="Arial" w:hAnsi="Arial" w:cs="Arial"/>
        </w:rPr>
        <w:t xml:space="preserve">i) Five e-learning courses had been developed and 30 were in development against a target of 150; (iii) The virtual </w:t>
      </w:r>
      <w:r w:rsidRPr="00FD6EB5">
        <w:rPr>
          <w:rFonts w:ascii="Arial" w:eastAsia="MS Mincho" w:hAnsi="Arial" w:cs="Arial"/>
        </w:rPr>
        <w:t>medical training resources library</w:t>
      </w:r>
      <w:r w:rsidRPr="00D33652">
        <w:rPr>
          <w:rFonts w:ascii="Arial" w:hAnsi="Arial" w:cs="Arial"/>
        </w:rPr>
        <w:t xml:space="preserve">, </w:t>
      </w:r>
      <w:r w:rsidRPr="00FD6EB5">
        <w:rPr>
          <w:rFonts w:ascii="Arial" w:eastAsia="MS Mincho" w:hAnsi="Arial" w:cs="Arial"/>
        </w:rPr>
        <w:t>which will consist of 5,000 e-books and 30</w:t>
      </w:r>
      <w:r w:rsidR="00E8768D" w:rsidRPr="00FD6EB5">
        <w:rPr>
          <w:rFonts w:ascii="Arial" w:eastAsia="MS Mincho" w:hAnsi="Arial" w:cs="Arial"/>
        </w:rPr>
        <w:t>,000</w:t>
      </w:r>
      <w:r w:rsidRPr="00FD6EB5">
        <w:rPr>
          <w:rFonts w:ascii="Arial" w:eastAsia="MS Mincho" w:hAnsi="Arial" w:cs="Arial"/>
        </w:rPr>
        <w:t xml:space="preserve"> magazines on medical sciences, was under construction with the opening date anticipated as June 2016. </w:t>
      </w:r>
    </w:p>
    <w:p w:rsidR="00F167A8" w:rsidRPr="00D33652" w:rsidRDefault="00F167A8" w:rsidP="00F167A8">
      <w:pPr>
        <w:rPr>
          <w:b/>
          <w:bCs/>
          <w:i/>
          <w:iCs/>
          <w:lang w:val="en-AU"/>
        </w:rPr>
      </w:pPr>
    </w:p>
    <w:p w:rsidR="00F167A8" w:rsidRPr="00D33652" w:rsidRDefault="00F167A8" w:rsidP="00481F67">
      <w:pPr>
        <w:widowControl w:val="0"/>
        <w:autoSpaceDE w:val="0"/>
        <w:autoSpaceDN w:val="0"/>
        <w:adjustRightInd w:val="0"/>
        <w:spacing w:after="240"/>
        <w:jc w:val="both"/>
        <w:rPr>
          <w:rFonts w:ascii="Arial" w:hAnsi="Arial" w:cs="Arial"/>
          <w:b/>
        </w:rPr>
      </w:pPr>
      <w:r w:rsidRPr="00D33652">
        <w:rPr>
          <w:rFonts w:ascii="Arial" w:hAnsi="Arial" w:cs="Arial"/>
          <w:b/>
        </w:rPr>
        <w:t>2B</w:t>
      </w:r>
      <w:r w:rsidRPr="00D33652">
        <w:rPr>
          <w:rFonts w:ascii="Arial" w:hAnsi="Arial" w:cs="Arial"/>
          <w:b/>
        </w:rPr>
        <w:tab/>
        <w:t xml:space="preserve"> Stronger mechanisms for continuous qu</w:t>
      </w:r>
      <w:r w:rsidR="001F3877">
        <w:rPr>
          <w:rFonts w:ascii="Arial" w:hAnsi="Arial" w:cs="Arial"/>
          <w:b/>
        </w:rPr>
        <w:t>ality improvement and assurance</w:t>
      </w:r>
    </w:p>
    <w:p w:rsidR="00F167A8" w:rsidRPr="00D33652" w:rsidRDefault="00F167A8" w:rsidP="00F167A8">
      <w:pPr>
        <w:jc w:val="both"/>
        <w:rPr>
          <w:rFonts w:ascii="Arial" w:hAnsi="Arial" w:cs="Arial"/>
        </w:rPr>
      </w:pPr>
      <w:r w:rsidRPr="00D33652">
        <w:rPr>
          <w:rFonts w:ascii="Arial" w:hAnsi="Arial" w:cs="Arial"/>
        </w:rPr>
        <w:fldChar w:fldCharType="begin"/>
      </w:r>
      <w:r w:rsidRPr="00D33652">
        <w:rPr>
          <w:rFonts w:ascii="Arial" w:hAnsi="Arial" w:cs="Arial"/>
        </w:rPr>
        <w:instrText>AUTONUMLGL</w:instrText>
      </w:r>
      <w:r w:rsidRPr="00D33652">
        <w:rPr>
          <w:rFonts w:ascii="Arial" w:hAnsi="Arial" w:cs="Arial"/>
        </w:rPr>
        <w:fldChar w:fldCharType="end"/>
      </w:r>
      <w:r w:rsidRPr="00D33652">
        <w:rPr>
          <w:rFonts w:ascii="Arial" w:hAnsi="Arial" w:cs="Arial"/>
        </w:rPr>
        <w:tab/>
      </w:r>
      <w:r w:rsidRPr="00D33652">
        <w:rPr>
          <w:rFonts w:ascii="Arial" w:hAnsi="Arial" w:cs="Arial"/>
          <w:b/>
        </w:rPr>
        <w:t>Revised scope.</w:t>
      </w:r>
      <w:r w:rsidRPr="00D33652">
        <w:rPr>
          <w:rFonts w:ascii="Arial" w:hAnsi="Arial" w:cs="Arial"/>
        </w:rPr>
        <w:t xml:space="preserve"> The intended outputs under sub-component 2B were: (i) Six prioritized universities met national teaching quality accreditation standards; (ii) Three courses in each prioritized training institutions accredited under continuing education system. These outputs will not be achieved. The project has delivered three key outputs that will support the MoH and MOET in moving forward on accreditation: (i) Conducting a survey to assess the current conditions for accreditation within HPTF; (ii) Develop and pilot a set of Standards for Accreditation for Medical Facilities; (iii) Strengthen Systems for Internal Quality Assurance for HPTF.</w:t>
      </w:r>
    </w:p>
    <w:p w:rsidR="00F167A8" w:rsidRPr="00D33652" w:rsidRDefault="00F167A8" w:rsidP="00F167A8">
      <w:pPr>
        <w:jc w:val="both"/>
        <w:rPr>
          <w:rFonts w:ascii="Arial" w:hAnsi="Arial" w:cs="Arial"/>
        </w:rPr>
      </w:pPr>
    </w:p>
    <w:p w:rsidR="00F167A8" w:rsidRPr="00D33652" w:rsidRDefault="00F167A8" w:rsidP="00F167A8">
      <w:pPr>
        <w:jc w:val="both"/>
        <w:rPr>
          <w:rFonts w:ascii="Arial" w:hAnsi="Arial" w:cs="Arial"/>
        </w:rPr>
      </w:pPr>
      <w:r w:rsidRPr="00D33652">
        <w:rPr>
          <w:rFonts w:ascii="Arial" w:hAnsi="Arial" w:cs="Arial"/>
        </w:rPr>
        <w:fldChar w:fldCharType="begin"/>
      </w:r>
      <w:r w:rsidRPr="00D33652">
        <w:rPr>
          <w:rFonts w:ascii="Arial" w:hAnsi="Arial" w:cs="Arial"/>
        </w:rPr>
        <w:instrText>AUTONUMLGL</w:instrText>
      </w:r>
      <w:r w:rsidRPr="00D33652">
        <w:rPr>
          <w:rFonts w:ascii="Arial" w:hAnsi="Arial" w:cs="Arial"/>
        </w:rPr>
        <w:fldChar w:fldCharType="end"/>
      </w:r>
      <w:r w:rsidRPr="00D33652">
        <w:rPr>
          <w:rFonts w:ascii="Arial" w:hAnsi="Arial" w:cs="Arial"/>
        </w:rPr>
        <w:tab/>
      </w:r>
      <w:r w:rsidRPr="00D33652">
        <w:rPr>
          <w:rFonts w:ascii="Arial" w:hAnsi="Arial" w:cs="Arial"/>
          <w:b/>
        </w:rPr>
        <w:t xml:space="preserve">Survey in HPTF. </w:t>
      </w:r>
      <w:r w:rsidRPr="00D33652">
        <w:rPr>
          <w:rFonts w:ascii="Arial" w:hAnsi="Arial" w:cs="Arial"/>
        </w:rPr>
        <w:t xml:space="preserve">MOET has issued a set of 10 standards and 61 criteria for use in University accreditation in Viet Nam. </w:t>
      </w:r>
      <w:r w:rsidRPr="00FD6EB5">
        <w:rPr>
          <w:rStyle w:val="FootnoteReference"/>
          <w:rFonts w:eastAsia="MS Mincho" w:cs="Arial"/>
          <w:sz w:val="20"/>
        </w:rPr>
        <w:footnoteReference w:id="42"/>
      </w:r>
      <w:r w:rsidRPr="00D33652">
        <w:rPr>
          <w:rFonts w:ascii="Arial" w:hAnsi="Arial" w:cs="Arial"/>
        </w:rPr>
        <w:t xml:space="preserve"> The standards contain no specific criteria relevant to medical training facilities. A survey was conducted in 9 HPTF</w:t>
      </w:r>
      <w:r w:rsidR="00B81303">
        <w:rPr>
          <w:rFonts w:ascii="Arial" w:hAnsi="Arial" w:cs="Arial"/>
        </w:rPr>
        <w:t xml:space="preserve"> </w:t>
      </w:r>
      <w:r w:rsidRPr="00FD6EB5">
        <w:rPr>
          <w:rStyle w:val="FootnoteReference"/>
          <w:rFonts w:eastAsia="MS Mincho" w:cs="Arial"/>
          <w:sz w:val="20"/>
        </w:rPr>
        <w:footnoteReference w:id="43"/>
      </w:r>
      <w:r w:rsidRPr="00D33652">
        <w:rPr>
          <w:rFonts w:ascii="Arial" w:hAnsi="Arial" w:cs="Arial"/>
        </w:rPr>
        <w:t xml:space="preserve"> with the objectives of: (i) Assessing each facility’s compliance to the MOET standards; (ii) Identifying additional criteria specific to the accreditation of medical schools, for inclusion in </w:t>
      </w:r>
      <w:r w:rsidR="00B81303">
        <w:rPr>
          <w:rFonts w:ascii="Arial" w:hAnsi="Arial" w:cs="Arial"/>
        </w:rPr>
        <w:t>a set of</w:t>
      </w:r>
      <w:r w:rsidRPr="00D33652">
        <w:rPr>
          <w:rFonts w:ascii="Arial" w:hAnsi="Arial" w:cs="Arial"/>
        </w:rPr>
        <w:t xml:space="preserve"> draft Standards for Accreditation for Medical Facilities. </w:t>
      </w:r>
    </w:p>
    <w:p w:rsidR="00F167A8" w:rsidRPr="00D33652" w:rsidRDefault="00F167A8" w:rsidP="00F167A8">
      <w:pPr>
        <w:jc w:val="both"/>
        <w:rPr>
          <w:rFonts w:ascii="Arial" w:hAnsi="Arial" w:cs="Arial"/>
        </w:rPr>
      </w:pPr>
    </w:p>
    <w:p w:rsidR="00F167A8" w:rsidRPr="00D33652" w:rsidRDefault="00F167A8" w:rsidP="00F167A8">
      <w:pPr>
        <w:jc w:val="both"/>
        <w:rPr>
          <w:rFonts w:ascii="Arial" w:hAnsi="Arial" w:cs="Arial"/>
        </w:rPr>
      </w:pPr>
      <w:r w:rsidRPr="00D33652">
        <w:rPr>
          <w:rFonts w:ascii="Arial" w:hAnsi="Arial" w:cs="Arial"/>
        </w:rPr>
        <w:fldChar w:fldCharType="begin"/>
      </w:r>
      <w:r w:rsidRPr="00D33652">
        <w:rPr>
          <w:rFonts w:ascii="Arial" w:hAnsi="Arial" w:cs="Arial"/>
        </w:rPr>
        <w:instrText>AUTONUMLGL</w:instrText>
      </w:r>
      <w:r w:rsidRPr="00D33652">
        <w:rPr>
          <w:rFonts w:ascii="Arial" w:hAnsi="Arial" w:cs="Arial"/>
        </w:rPr>
        <w:fldChar w:fldCharType="end"/>
      </w:r>
      <w:r w:rsidRPr="00D33652">
        <w:rPr>
          <w:rFonts w:ascii="Arial" w:hAnsi="Arial" w:cs="Arial"/>
        </w:rPr>
        <w:tab/>
      </w:r>
      <w:r w:rsidR="002F2C3F">
        <w:rPr>
          <w:rFonts w:ascii="Arial" w:hAnsi="Arial" w:cs="Arial"/>
          <w:b/>
        </w:rPr>
        <w:t>Develop and pilot standards for a</w:t>
      </w:r>
      <w:r w:rsidRPr="00D33652">
        <w:rPr>
          <w:rFonts w:ascii="Arial" w:hAnsi="Arial" w:cs="Arial"/>
          <w:b/>
        </w:rPr>
        <w:t>ccreditation of HPTF</w:t>
      </w:r>
      <w:r w:rsidRPr="00D33652">
        <w:rPr>
          <w:rFonts w:ascii="Arial" w:hAnsi="Arial" w:cs="Arial"/>
        </w:rPr>
        <w:t>. Draft Standards for Accreditation for Medical Facilities were developed based the 10 standards issued by MOET</w:t>
      </w:r>
      <w:r w:rsidR="00B81303">
        <w:rPr>
          <w:rFonts w:ascii="Arial" w:hAnsi="Arial" w:cs="Arial"/>
        </w:rPr>
        <w:t xml:space="preserve"> with the following modifications to the 61 MOET criteria</w:t>
      </w:r>
      <w:r w:rsidRPr="00D33652">
        <w:rPr>
          <w:rFonts w:ascii="Arial" w:hAnsi="Arial" w:cs="Arial"/>
        </w:rPr>
        <w:t>: (i) 35 of the 61 criteria were revised to be specific to medical education; (ii) 12 new criteria were established; (iii) 14 criteria remained unchanged.</w:t>
      </w:r>
      <w:r w:rsidRPr="00FD6EB5">
        <w:rPr>
          <w:rStyle w:val="FootnoteReference"/>
          <w:rFonts w:eastAsia="MS Mincho" w:cs="Arial"/>
          <w:sz w:val="20"/>
        </w:rPr>
        <w:t xml:space="preserve"> </w:t>
      </w:r>
      <w:r w:rsidRPr="00FD6EB5">
        <w:rPr>
          <w:rStyle w:val="FootnoteReference"/>
          <w:rFonts w:eastAsia="MS Mincho" w:cs="Arial"/>
          <w:sz w:val="20"/>
        </w:rPr>
        <w:footnoteReference w:id="44"/>
      </w:r>
      <w:r w:rsidRPr="00D33652">
        <w:rPr>
          <w:rFonts w:ascii="Arial" w:hAnsi="Arial" w:cs="Arial"/>
        </w:rPr>
        <w:t xml:space="preserve"> </w:t>
      </w:r>
      <w:r w:rsidRPr="00FD6EB5">
        <w:rPr>
          <w:rStyle w:val="FootnoteReference"/>
          <w:rFonts w:eastAsia="MS Mincho" w:cs="Arial"/>
          <w:sz w:val="20"/>
        </w:rPr>
        <w:footnoteReference w:id="45"/>
      </w:r>
      <w:r w:rsidRPr="00D33652">
        <w:rPr>
          <w:rFonts w:ascii="Arial" w:hAnsi="Arial" w:cs="Arial"/>
        </w:rPr>
        <w:t xml:space="preserve"> Following drafting the Standards for Accreditation for Medical Facilities were piloted in 4 universities.</w:t>
      </w:r>
      <w:r w:rsidRPr="00FD6EB5">
        <w:rPr>
          <w:rStyle w:val="FootnoteReference"/>
          <w:rFonts w:eastAsia="MS Mincho" w:cs="Arial"/>
          <w:sz w:val="20"/>
        </w:rPr>
        <w:footnoteReference w:id="46"/>
      </w:r>
      <w:r w:rsidRPr="00D33652">
        <w:rPr>
          <w:rFonts w:ascii="Arial" w:hAnsi="Arial" w:cs="Arial"/>
        </w:rPr>
        <w:t xml:space="preserve"> The pilot demonstrated that the draft Standards were more appropriate for </w:t>
      </w:r>
      <w:r w:rsidR="00B81303">
        <w:rPr>
          <w:rFonts w:ascii="Arial" w:hAnsi="Arial" w:cs="Arial"/>
        </w:rPr>
        <w:t>assessing</w:t>
      </w:r>
      <w:r w:rsidRPr="00D33652">
        <w:rPr>
          <w:rFonts w:ascii="Arial" w:hAnsi="Arial" w:cs="Arial"/>
        </w:rPr>
        <w:t xml:space="preserve"> HPTF than the current Standards issued by MOET. </w:t>
      </w:r>
    </w:p>
    <w:p w:rsidR="00F167A8" w:rsidRPr="00D33652" w:rsidRDefault="00F167A8" w:rsidP="00F167A8">
      <w:pPr>
        <w:jc w:val="both"/>
        <w:rPr>
          <w:rFonts w:ascii="Arial" w:hAnsi="Arial" w:cs="Arial"/>
        </w:rPr>
      </w:pPr>
    </w:p>
    <w:p w:rsidR="00F167A8" w:rsidRPr="00D33652" w:rsidRDefault="00F167A8" w:rsidP="00F167A8">
      <w:pPr>
        <w:widowControl w:val="0"/>
        <w:autoSpaceDE w:val="0"/>
        <w:autoSpaceDN w:val="0"/>
        <w:adjustRightInd w:val="0"/>
        <w:spacing w:after="240"/>
        <w:jc w:val="both"/>
        <w:rPr>
          <w:rFonts w:ascii="Arial" w:hAnsi="Arial" w:cs="Arial"/>
        </w:rPr>
      </w:pPr>
      <w:r w:rsidRPr="00D33652">
        <w:rPr>
          <w:rFonts w:ascii="Arial" w:hAnsi="Arial" w:cs="Arial"/>
        </w:rPr>
        <w:fldChar w:fldCharType="begin"/>
      </w:r>
      <w:r w:rsidRPr="00D33652">
        <w:rPr>
          <w:rFonts w:ascii="Arial" w:hAnsi="Arial" w:cs="Arial"/>
        </w:rPr>
        <w:instrText>AUTONUMLGL</w:instrText>
      </w:r>
      <w:r w:rsidRPr="00D33652">
        <w:rPr>
          <w:rFonts w:ascii="Arial" w:hAnsi="Arial" w:cs="Arial"/>
        </w:rPr>
        <w:fldChar w:fldCharType="end"/>
      </w:r>
      <w:r w:rsidRPr="00D33652">
        <w:rPr>
          <w:rFonts w:ascii="Arial" w:hAnsi="Arial" w:cs="Arial"/>
        </w:rPr>
        <w:tab/>
        <w:t>The draft Standards for Accreditation for Medical Facilities were subsequently reviewed by the International Accreditation Specialist to assess compliance with the ASEAN University Network (AUN) standards for higher education and World Federation for Medical Education (WFME) standards for medical programs. The review found the draft Standards aligned with almost 75% of the two international standards.</w:t>
      </w:r>
      <w:r w:rsidRPr="00FD6EB5">
        <w:rPr>
          <w:rStyle w:val="FootnoteReference"/>
          <w:rFonts w:eastAsia="MS Mincho" w:cs="Arial"/>
          <w:sz w:val="20"/>
        </w:rPr>
        <w:t xml:space="preserve"> </w:t>
      </w:r>
      <w:r w:rsidRPr="00FD6EB5">
        <w:rPr>
          <w:rStyle w:val="FootnoteReference"/>
          <w:rFonts w:eastAsia="MS Mincho" w:cs="Arial"/>
          <w:sz w:val="20"/>
        </w:rPr>
        <w:footnoteReference w:id="47"/>
      </w:r>
      <w:r w:rsidRPr="00D33652">
        <w:rPr>
          <w:rFonts w:ascii="Arial" w:hAnsi="Arial" w:cs="Arial"/>
        </w:rPr>
        <w:t xml:space="preserve"> </w:t>
      </w:r>
      <w:r w:rsidRPr="00FD6EB5">
        <w:rPr>
          <w:rStyle w:val="FootnoteReference"/>
          <w:rFonts w:eastAsia="MS Mincho" w:cs="Arial"/>
          <w:sz w:val="20"/>
        </w:rPr>
        <w:footnoteReference w:id="48"/>
      </w:r>
      <w:r w:rsidRPr="00D33652">
        <w:rPr>
          <w:rFonts w:ascii="Arial" w:hAnsi="Arial" w:cs="Arial"/>
        </w:rPr>
        <w:t xml:space="preserve"> The draft Standards were assessed as providing a firm foundation to build on. Gaps between the </w:t>
      </w:r>
      <w:r w:rsidR="007A5DDD" w:rsidRPr="00D33652">
        <w:rPr>
          <w:rFonts w:ascii="Arial" w:hAnsi="Arial" w:cs="Arial"/>
        </w:rPr>
        <w:t xml:space="preserve">draft Standards </w:t>
      </w:r>
      <w:r w:rsidRPr="00D33652">
        <w:rPr>
          <w:rFonts w:ascii="Arial" w:hAnsi="Arial" w:cs="Arial"/>
        </w:rPr>
        <w:t xml:space="preserve">and International standards were identified </w:t>
      </w:r>
      <w:r w:rsidR="007A5DDD">
        <w:rPr>
          <w:rFonts w:ascii="Arial" w:hAnsi="Arial" w:cs="Arial"/>
        </w:rPr>
        <w:t xml:space="preserve">as a focus </w:t>
      </w:r>
      <w:r w:rsidRPr="00D33652">
        <w:rPr>
          <w:rFonts w:ascii="Arial" w:hAnsi="Arial" w:cs="Arial"/>
        </w:rPr>
        <w:t xml:space="preserve">for future work. </w:t>
      </w:r>
    </w:p>
    <w:p w:rsidR="00F167A8" w:rsidRPr="00D33652" w:rsidRDefault="00F167A8" w:rsidP="00F167A8">
      <w:pPr>
        <w:widowControl w:val="0"/>
        <w:autoSpaceDE w:val="0"/>
        <w:autoSpaceDN w:val="0"/>
        <w:adjustRightInd w:val="0"/>
        <w:spacing w:after="240"/>
        <w:jc w:val="both"/>
        <w:rPr>
          <w:rFonts w:ascii="Arial" w:hAnsi="Arial" w:cs="Arial"/>
        </w:rPr>
      </w:pPr>
      <w:r w:rsidRPr="00D33652">
        <w:rPr>
          <w:rFonts w:ascii="Arial" w:hAnsi="Arial" w:cs="Arial"/>
        </w:rPr>
        <w:fldChar w:fldCharType="begin"/>
      </w:r>
      <w:r w:rsidRPr="00D33652">
        <w:rPr>
          <w:rFonts w:ascii="Arial" w:hAnsi="Arial" w:cs="Arial"/>
        </w:rPr>
        <w:instrText>AUTONUMLGL</w:instrText>
      </w:r>
      <w:r w:rsidRPr="00D33652">
        <w:rPr>
          <w:rFonts w:ascii="Arial" w:hAnsi="Arial" w:cs="Arial"/>
        </w:rPr>
        <w:fldChar w:fldCharType="end"/>
      </w:r>
      <w:r w:rsidRPr="00D33652">
        <w:rPr>
          <w:rFonts w:ascii="Arial" w:hAnsi="Arial" w:cs="Arial"/>
        </w:rPr>
        <w:tab/>
      </w:r>
      <w:r w:rsidR="002F2C3F">
        <w:rPr>
          <w:rFonts w:ascii="Arial" w:hAnsi="Arial" w:cs="Arial"/>
          <w:b/>
        </w:rPr>
        <w:t>S</w:t>
      </w:r>
      <w:r w:rsidR="002F2C3F" w:rsidRPr="00D33652">
        <w:rPr>
          <w:rFonts w:ascii="Arial" w:hAnsi="Arial" w:cs="Arial"/>
          <w:b/>
        </w:rPr>
        <w:t xml:space="preserve">trengthen systems for internal quality assurance for </w:t>
      </w:r>
      <w:r w:rsidRPr="00D33652">
        <w:rPr>
          <w:rFonts w:ascii="Arial" w:hAnsi="Arial" w:cs="Arial"/>
          <w:b/>
        </w:rPr>
        <w:t>HPTF</w:t>
      </w:r>
      <w:r w:rsidRPr="00D33652">
        <w:rPr>
          <w:rFonts w:ascii="Arial" w:hAnsi="Arial" w:cs="Arial"/>
        </w:rPr>
        <w:t xml:space="preserve">. Strengthening the internal </w:t>
      </w:r>
      <w:r w:rsidR="0021358E">
        <w:rPr>
          <w:rFonts w:ascii="Arial" w:hAnsi="Arial" w:cs="Arial"/>
        </w:rPr>
        <w:t>quality assurance</w:t>
      </w:r>
      <w:r w:rsidRPr="00D33652">
        <w:rPr>
          <w:rFonts w:ascii="Arial" w:hAnsi="Arial" w:cs="Arial"/>
        </w:rPr>
        <w:t xml:space="preserve"> systems of HPTF was </w:t>
      </w:r>
      <w:r w:rsidR="007A5DDD">
        <w:rPr>
          <w:rFonts w:ascii="Arial" w:hAnsi="Arial" w:cs="Arial"/>
        </w:rPr>
        <w:t>recommended following</w:t>
      </w:r>
      <w:r w:rsidRPr="00D33652">
        <w:rPr>
          <w:rFonts w:ascii="Arial" w:hAnsi="Arial" w:cs="Arial"/>
        </w:rPr>
        <w:t xml:space="preserve"> the survey and piloting exercise.  The HHRSDP has supported: (i) In-service training for 150 teaching staff on internal and external </w:t>
      </w:r>
      <w:r w:rsidR="0021358E">
        <w:rPr>
          <w:rFonts w:ascii="Arial" w:hAnsi="Arial" w:cs="Arial"/>
        </w:rPr>
        <w:t>quality assurance</w:t>
      </w:r>
      <w:r w:rsidR="0021358E" w:rsidRPr="00D33652">
        <w:rPr>
          <w:rFonts w:ascii="Arial" w:hAnsi="Arial" w:cs="Arial"/>
        </w:rPr>
        <w:t xml:space="preserve"> </w:t>
      </w:r>
      <w:r w:rsidRPr="00D33652">
        <w:rPr>
          <w:rFonts w:ascii="Arial" w:hAnsi="Arial" w:cs="Arial"/>
        </w:rPr>
        <w:t xml:space="preserve"> (42% female); (ii) In-service training for 7 training accreditors on skills for accrediting higher education (3 female). The International Accreditation Specialist supported</w:t>
      </w:r>
      <w:r w:rsidR="007A5DDD">
        <w:rPr>
          <w:rFonts w:ascii="Arial" w:hAnsi="Arial" w:cs="Arial"/>
        </w:rPr>
        <w:t xml:space="preserve"> the</w:t>
      </w:r>
      <w:r w:rsidRPr="00D33652">
        <w:rPr>
          <w:rFonts w:ascii="Arial" w:hAnsi="Arial" w:cs="Arial"/>
        </w:rPr>
        <w:t xml:space="preserve"> ASTT and target Universities to: (i) Prepare recommendations for implementing internal quality assessment activities; (ii) Develop a roadmap for implementation of quality assurance for all HPTF.</w:t>
      </w:r>
    </w:p>
    <w:p w:rsidR="00F167A8" w:rsidRPr="00D33652" w:rsidRDefault="00F167A8" w:rsidP="00481F67">
      <w:pPr>
        <w:widowControl w:val="0"/>
        <w:autoSpaceDE w:val="0"/>
        <w:autoSpaceDN w:val="0"/>
        <w:adjustRightInd w:val="0"/>
        <w:spacing w:after="240"/>
        <w:jc w:val="both"/>
        <w:rPr>
          <w:rFonts w:ascii="Arial" w:hAnsi="Arial" w:cs="Arial"/>
          <w:b/>
        </w:rPr>
      </w:pPr>
      <w:r w:rsidRPr="00D33652">
        <w:rPr>
          <w:rFonts w:ascii="Arial" w:hAnsi="Arial" w:cs="Arial"/>
          <w:b/>
        </w:rPr>
        <w:t>2C</w:t>
      </w:r>
      <w:r w:rsidR="00481F67" w:rsidRPr="00D33652">
        <w:rPr>
          <w:rFonts w:ascii="Arial" w:hAnsi="Arial" w:cs="Arial"/>
          <w:b/>
        </w:rPr>
        <w:tab/>
      </w:r>
      <w:r w:rsidR="00AC317C">
        <w:rPr>
          <w:rFonts w:ascii="Arial" w:hAnsi="Arial" w:cs="Arial"/>
          <w:b/>
        </w:rPr>
        <w:t>Stronger staff training and</w:t>
      </w:r>
      <w:r w:rsidR="001F3877">
        <w:rPr>
          <w:rFonts w:ascii="Arial" w:hAnsi="Arial" w:cs="Arial"/>
          <w:b/>
        </w:rPr>
        <w:t xml:space="preserve"> utilization in remote areas</w:t>
      </w:r>
    </w:p>
    <w:p w:rsidR="00F167A8" w:rsidRPr="00D33652" w:rsidRDefault="00F167A8" w:rsidP="00F167A8">
      <w:pPr>
        <w:jc w:val="both"/>
        <w:rPr>
          <w:rFonts w:ascii="Arial" w:hAnsi="Arial" w:cs="Arial"/>
          <w:color w:val="000000"/>
        </w:rPr>
      </w:pPr>
      <w:r w:rsidRPr="00D33652">
        <w:rPr>
          <w:rFonts w:ascii="Arial" w:hAnsi="Arial" w:cs="Arial"/>
        </w:rPr>
        <w:fldChar w:fldCharType="begin"/>
      </w:r>
      <w:r w:rsidRPr="00D33652">
        <w:rPr>
          <w:rFonts w:ascii="Arial" w:hAnsi="Arial" w:cs="Arial"/>
        </w:rPr>
        <w:instrText>AUTONUMLGL</w:instrText>
      </w:r>
      <w:r w:rsidRPr="00D33652">
        <w:rPr>
          <w:rFonts w:ascii="Arial" w:hAnsi="Arial" w:cs="Arial"/>
        </w:rPr>
        <w:fldChar w:fldCharType="end"/>
      </w:r>
      <w:r w:rsidRPr="00D33652">
        <w:rPr>
          <w:rFonts w:ascii="Arial" w:hAnsi="Arial" w:cs="Arial"/>
        </w:rPr>
        <w:tab/>
      </w:r>
      <w:r w:rsidRPr="00D33652">
        <w:rPr>
          <w:rFonts w:ascii="Arial" w:hAnsi="Arial" w:cs="Arial"/>
          <w:b/>
          <w:color w:val="000000"/>
        </w:rPr>
        <w:t>Special entry programs for EM students.</w:t>
      </w:r>
      <w:r w:rsidRPr="00D33652">
        <w:rPr>
          <w:rFonts w:ascii="Arial" w:hAnsi="Arial" w:cs="Arial"/>
          <w:color w:val="000000"/>
        </w:rPr>
        <w:t xml:space="preserve"> The Project supported programs through two mechanisms. The first was the provision of top-up payments to existing scholarship holders from remote and rural areas. The scholarship values varied between HPTF up to a maximum of 3,000,000VND per year.</w:t>
      </w:r>
      <w:r w:rsidRPr="00FD6EB5">
        <w:rPr>
          <w:rStyle w:val="FootnoteReference"/>
          <w:rFonts w:eastAsia="MS Mincho" w:cs="Arial"/>
          <w:color w:val="000000"/>
        </w:rPr>
        <w:footnoteReference w:id="49"/>
      </w:r>
      <w:r w:rsidRPr="00D33652">
        <w:rPr>
          <w:rFonts w:ascii="Arial" w:hAnsi="Arial" w:cs="Arial"/>
          <w:color w:val="000000"/>
        </w:rPr>
        <w:t xml:space="preserve"> A total of 3,000 </w:t>
      </w:r>
      <w:r w:rsidR="00AC317C">
        <w:rPr>
          <w:rFonts w:ascii="Arial" w:hAnsi="Arial" w:cs="Arial"/>
          <w:color w:val="000000"/>
        </w:rPr>
        <w:t>t</w:t>
      </w:r>
      <w:r w:rsidRPr="00D33652">
        <w:rPr>
          <w:rFonts w:ascii="Arial" w:hAnsi="Arial" w:cs="Arial"/>
          <w:color w:val="000000"/>
        </w:rPr>
        <w:t>op-up scholarships were provided. Amongst the beneficiaries 2,280 (76%) were students from an EM background and 1,020 (34%) were female. The second mechanism to support special entry for EM students was the prioritization of EM health workers from rural and remote areas for scholarships to study Medical Specialization Level 1.</w:t>
      </w:r>
      <w:r w:rsidRPr="00FD6EB5">
        <w:rPr>
          <w:rStyle w:val="FootnoteReference"/>
          <w:rFonts w:eastAsia="MS Mincho" w:cs="Arial"/>
          <w:color w:val="000000"/>
        </w:rPr>
        <w:footnoteReference w:id="50"/>
      </w:r>
      <w:r w:rsidRPr="00D33652">
        <w:rPr>
          <w:rFonts w:ascii="Arial" w:hAnsi="Arial" w:cs="Arial"/>
          <w:color w:val="000000"/>
        </w:rPr>
        <w:t xml:space="preserve"> Of the 242 scholarships, 51 (21%) were provided to EM health workers.</w:t>
      </w:r>
    </w:p>
    <w:p w:rsidR="00F167A8" w:rsidRPr="00D33652" w:rsidRDefault="00F167A8" w:rsidP="00F167A8">
      <w:pPr>
        <w:rPr>
          <w:b/>
          <w:bCs/>
          <w:iCs/>
          <w:lang w:val="en-AU"/>
        </w:rPr>
      </w:pPr>
    </w:p>
    <w:p w:rsidR="00F167A8" w:rsidRDefault="00F167A8" w:rsidP="00F167A8">
      <w:pPr>
        <w:jc w:val="both"/>
        <w:rPr>
          <w:rFonts w:ascii="Arial" w:hAnsi="Arial" w:cs="Arial"/>
          <w:color w:val="000000"/>
        </w:rPr>
      </w:pPr>
      <w:r w:rsidRPr="00D33652">
        <w:rPr>
          <w:rFonts w:ascii="Arial" w:hAnsi="Arial" w:cs="Arial"/>
        </w:rPr>
        <w:fldChar w:fldCharType="begin"/>
      </w:r>
      <w:r w:rsidRPr="00D33652">
        <w:rPr>
          <w:rFonts w:ascii="Arial" w:hAnsi="Arial" w:cs="Arial"/>
        </w:rPr>
        <w:instrText>AUTONUMLGL</w:instrText>
      </w:r>
      <w:r w:rsidRPr="00D33652">
        <w:rPr>
          <w:rFonts w:ascii="Arial" w:hAnsi="Arial" w:cs="Arial"/>
        </w:rPr>
        <w:fldChar w:fldCharType="end"/>
      </w:r>
      <w:r w:rsidRPr="00D33652">
        <w:rPr>
          <w:rFonts w:ascii="Arial" w:hAnsi="Arial" w:cs="Arial"/>
        </w:rPr>
        <w:tab/>
      </w:r>
      <w:r w:rsidRPr="00D33652">
        <w:rPr>
          <w:rFonts w:ascii="Arial" w:hAnsi="Arial" w:cs="Arial"/>
          <w:b/>
          <w:color w:val="000000"/>
        </w:rPr>
        <w:t xml:space="preserve">Support of rural health workforce. </w:t>
      </w:r>
      <w:r w:rsidRPr="00D33652">
        <w:rPr>
          <w:rFonts w:ascii="Arial" w:hAnsi="Arial" w:cs="Arial"/>
          <w:color w:val="000000"/>
        </w:rPr>
        <w:t xml:space="preserve">At design the project envisaged establishing a Professional Association of Rural </w:t>
      </w:r>
      <w:r w:rsidR="00DF4D62">
        <w:rPr>
          <w:rFonts w:ascii="Arial" w:hAnsi="Arial" w:cs="Arial"/>
          <w:color w:val="000000"/>
        </w:rPr>
        <w:t>H</w:t>
      </w:r>
      <w:r w:rsidRPr="00D33652">
        <w:rPr>
          <w:rFonts w:ascii="Arial" w:hAnsi="Arial" w:cs="Arial"/>
          <w:color w:val="000000"/>
        </w:rPr>
        <w:t>ealth Workers. As an Association was in place</w:t>
      </w:r>
      <w:r w:rsidR="00DF4D62">
        <w:rPr>
          <w:rFonts w:ascii="Arial" w:hAnsi="Arial" w:cs="Arial"/>
          <w:color w:val="000000"/>
        </w:rPr>
        <w:t xml:space="preserve"> prior to project inception,</w:t>
      </w:r>
      <w:r w:rsidRPr="00D33652">
        <w:rPr>
          <w:rFonts w:ascii="Arial" w:hAnsi="Arial" w:cs="Arial"/>
          <w:color w:val="000000"/>
        </w:rPr>
        <w:t xml:space="preserve"> activities focused on the training of rural health staff. The Project has: (i) Provided scholarships to 242 health staff from remote areas to study Medical Specialization Level 1 (30% female; 21% EM); (ii) Produced 6 sets of training curriculum on primary health care for rural and remote health staff;</w:t>
      </w:r>
      <w:r w:rsidRPr="00FD6EB5">
        <w:rPr>
          <w:rStyle w:val="FootnoteReference"/>
          <w:rFonts w:eastAsia="MS Mincho" w:cs="Arial"/>
          <w:color w:val="000000"/>
        </w:rPr>
        <w:footnoteReference w:id="51"/>
      </w:r>
      <w:r w:rsidRPr="00D33652">
        <w:rPr>
          <w:rFonts w:ascii="Arial" w:hAnsi="Arial" w:cs="Arial"/>
          <w:color w:val="000000"/>
        </w:rPr>
        <w:t xml:space="preserve"> (iii) Provided training to 948 rural health workers on the primary health care curriculum (56% female; 20% EM); (iv) Provided training to 2507 rural and remote commune health workers to improve their training and teaching skills (43% female; 26% EM).</w:t>
      </w:r>
      <w:r w:rsidRPr="00FD6EB5">
        <w:rPr>
          <w:rStyle w:val="FootnoteReference"/>
          <w:rFonts w:eastAsia="MS Mincho" w:cs="Arial"/>
          <w:color w:val="000000"/>
        </w:rPr>
        <w:footnoteReference w:id="52"/>
      </w:r>
    </w:p>
    <w:p w:rsidR="002F2C3F" w:rsidRPr="00D33652" w:rsidRDefault="002F2C3F" w:rsidP="00F167A8">
      <w:pPr>
        <w:jc w:val="both"/>
        <w:rPr>
          <w:rFonts w:cs="Arial"/>
          <w:sz w:val="18"/>
          <w:szCs w:val="18"/>
        </w:rPr>
      </w:pPr>
    </w:p>
    <w:p w:rsidR="00F167A8" w:rsidRPr="002F2C3F" w:rsidRDefault="00F167A8" w:rsidP="002F2C3F">
      <w:pPr>
        <w:widowControl w:val="0"/>
        <w:autoSpaceDE w:val="0"/>
        <w:autoSpaceDN w:val="0"/>
        <w:adjustRightInd w:val="0"/>
        <w:spacing w:after="240"/>
        <w:jc w:val="both"/>
        <w:rPr>
          <w:rFonts w:ascii="Arial" w:hAnsi="Arial" w:cs="Arial"/>
          <w:b/>
        </w:rPr>
      </w:pPr>
      <w:r w:rsidRPr="002F2C3F">
        <w:rPr>
          <w:rFonts w:ascii="Arial" w:hAnsi="Arial" w:cs="Arial"/>
          <w:b/>
        </w:rPr>
        <w:t>Output 3: Improved Management Systems in Health Service Delivery</w:t>
      </w:r>
    </w:p>
    <w:p w:rsidR="00F167A8" w:rsidRPr="00D33652" w:rsidRDefault="00F167A8" w:rsidP="00F167A8">
      <w:pPr>
        <w:widowControl w:val="0"/>
        <w:autoSpaceDE w:val="0"/>
        <w:autoSpaceDN w:val="0"/>
        <w:adjustRightInd w:val="0"/>
        <w:spacing w:after="240"/>
        <w:jc w:val="both"/>
        <w:rPr>
          <w:rFonts w:ascii="Arial" w:hAnsi="Arial" w:cs="Arial"/>
        </w:rPr>
      </w:pPr>
      <w:r w:rsidRPr="00D33652">
        <w:rPr>
          <w:rFonts w:ascii="Arial" w:hAnsi="Arial" w:cs="Arial"/>
        </w:rPr>
        <w:fldChar w:fldCharType="begin"/>
      </w:r>
      <w:r w:rsidRPr="00D33652">
        <w:rPr>
          <w:rFonts w:ascii="Arial" w:hAnsi="Arial" w:cs="Arial"/>
        </w:rPr>
        <w:instrText>AUTONUMLGL</w:instrText>
      </w:r>
      <w:r w:rsidRPr="00D33652">
        <w:rPr>
          <w:rFonts w:ascii="Arial" w:hAnsi="Arial" w:cs="Arial"/>
        </w:rPr>
        <w:fldChar w:fldCharType="end"/>
      </w:r>
      <w:r w:rsidRPr="00D33652">
        <w:rPr>
          <w:rFonts w:ascii="Arial" w:hAnsi="Arial" w:cs="Arial"/>
        </w:rPr>
        <w:tab/>
        <w:t xml:space="preserve">Component 3 comprises two sub-components: (i) </w:t>
      </w:r>
      <w:r w:rsidRPr="00D33652">
        <w:rPr>
          <w:rFonts w:ascii="Arial" w:hAnsi="Arial" w:cs="Arial"/>
          <w:i/>
        </w:rPr>
        <w:t>3A: Piloting care pathways to organize clinical work</w:t>
      </w:r>
      <w:r w:rsidRPr="00D33652">
        <w:rPr>
          <w:rFonts w:ascii="Arial" w:hAnsi="Arial" w:cs="Arial"/>
        </w:rPr>
        <w:t xml:space="preserve">; (ii) </w:t>
      </w:r>
      <w:r w:rsidRPr="00D33652">
        <w:rPr>
          <w:rFonts w:ascii="Arial" w:hAnsi="Arial" w:cs="Arial"/>
          <w:i/>
        </w:rPr>
        <w:t>3B Introducing and testing case-based funding mechanisms.</w:t>
      </w:r>
      <w:r w:rsidRPr="00D33652">
        <w:rPr>
          <w:rFonts w:ascii="Arial" w:hAnsi="Arial" w:cs="Arial"/>
        </w:rPr>
        <w:t xml:space="preserve"> Component 3 experienced delays in start-up, with activities commencing in earnest in 2013. An increase in implementation scope from 6 to 34 hospitals placed </w:t>
      </w:r>
      <w:r w:rsidR="00DA0042">
        <w:rPr>
          <w:rFonts w:ascii="Arial" w:hAnsi="Arial" w:cs="Arial"/>
        </w:rPr>
        <w:t>additional</w:t>
      </w:r>
      <w:r w:rsidRPr="00D33652">
        <w:rPr>
          <w:rFonts w:ascii="Arial" w:hAnsi="Arial" w:cs="Arial"/>
        </w:rPr>
        <w:t xml:space="preserve"> pressure on the component. While the broadening of scope was viewed as ambitious by ADB and DFAT the increase was justified by MoH and PMU as it: (i) Enabled multiple technical levels of hospitals</w:t>
      </w:r>
      <w:r w:rsidR="00DA0042">
        <w:rPr>
          <w:rFonts w:ascii="Arial" w:hAnsi="Arial" w:cs="Arial"/>
        </w:rPr>
        <w:t xml:space="preserve"> to have input to the CPs development</w:t>
      </w:r>
      <w:r w:rsidRPr="00D33652">
        <w:rPr>
          <w:rFonts w:ascii="Arial" w:hAnsi="Arial" w:cs="Arial"/>
        </w:rPr>
        <w:t>; (ii) Increased ‘ownership’ of the CPs amongst a greater number of facilities, supporting future implementation; (iii) Provide</w:t>
      </w:r>
      <w:r w:rsidR="00DA0042">
        <w:rPr>
          <w:rFonts w:ascii="Arial" w:hAnsi="Arial" w:cs="Arial"/>
        </w:rPr>
        <w:t>d</w:t>
      </w:r>
      <w:r w:rsidRPr="00D33652">
        <w:rPr>
          <w:rFonts w:ascii="Arial" w:hAnsi="Arial" w:cs="Arial"/>
        </w:rPr>
        <w:t xml:space="preserve"> a larger and more representative basis for the later stage costing exercise. </w:t>
      </w:r>
    </w:p>
    <w:p w:rsidR="00F167A8" w:rsidRPr="00D33652" w:rsidRDefault="00F167A8" w:rsidP="00F167A8">
      <w:pPr>
        <w:widowControl w:val="0"/>
        <w:autoSpaceDE w:val="0"/>
        <w:autoSpaceDN w:val="0"/>
        <w:adjustRightInd w:val="0"/>
        <w:spacing w:after="240"/>
        <w:jc w:val="both"/>
        <w:rPr>
          <w:rFonts w:ascii="Arial" w:hAnsi="Arial" w:cs="Arial"/>
        </w:rPr>
      </w:pPr>
      <w:r w:rsidRPr="00D33652">
        <w:rPr>
          <w:rFonts w:ascii="Arial" w:hAnsi="Arial" w:cs="Arial"/>
        </w:rPr>
        <w:fldChar w:fldCharType="begin"/>
      </w:r>
      <w:r w:rsidRPr="00D33652">
        <w:rPr>
          <w:rFonts w:ascii="Arial" w:hAnsi="Arial" w:cs="Arial"/>
        </w:rPr>
        <w:instrText>AUTONUMLGL</w:instrText>
      </w:r>
      <w:r w:rsidRPr="00D33652">
        <w:rPr>
          <w:rFonts w:ascii="Arial" w:hAnsi="Arial" w:cs="Arial"/>
        </w:rPr>
        <w:fldChar w:fldCharType="end"/>
      </w:r>
      <w:r w:rsidRPr="00D33652">
        <w:rPr>
          <w:rFonts w:ascii="Arial" w:hAnsi="Arial" w:cs="Arial"/>
        </w:rPr>
        <w:tab/>
        <w:t>At the time of the ICE, 95% of Component 3 activities were on target for completion by 31 December 2015.</w:t>
      </w:r>
      <w:r w:rsidRPr="00FD6EB5">
        <w:rPr>
          <w:rStyle w:val="FootnoteReference"/>
          <w:rFonts w:eastAsia="MS Mincho" w:cs="Arial"/>
        </w:rPr>
        <w:t xml:space="preserve"> </w:t>
      </w:r>
      <w:r w:rsidRPr="00FD6EB5">
        <w:rPr>
          <w:rStyle w:val="FootnoteReference"/>
          <w:rFonts w:eastAsia="MS Mincho" w:cs="Arial"/>
        </w:rPr>
        <w:footnoteReference w:id="53"/>
      </w:r>
      <w:r w:rsidRPr="00D33652">
        <w:rPr>
          <w:rFonts w:ascii="Arial" w:hAnsi="Arial" w:cs="Arial"/>
        </w:rPr>
        <w:t xml:space="preserve"> The ICE team assessed that the work completed to date has established the required foundation for reaching the intended outputs and that, with an extension to the project completion date, the output targets specified in the DMF are likely to be achieved. </w:t>
      </w:r>
    </w:p>
    <w:p w:rsidR="00F167A8" w:rsidRPr="00D33652" w:rsidRDefault="00F167A8" w:rsidP="00481F67">
      <w:pPr>
        <w:widowControl w:val="0"/>
        <w:autoSpaceDE w:val="0"/>
        <w:autoSpaceDN w:val="0"/>
        <w:adjustRightInd w:val="0"/>
        <w:spacing w:after="240"/>
        <w:jc w:val="both"/>
        <w:rPr>
          <w:rFonts w:ascii="Arial" w:hAnsi="Arial" w:cs="Arial"/>
          <w:b/>
        </w:rPr>
      </w:pPr>
      <w:r w:rsidRPr="00D33652">
        <w:rPr>
          <w:rFonts w:ascii="Arial" w:hAnsi="Arial" w:cs="Arial"/>
          <w:b/>
        </w:rPr>
        <w:t>3A</w:t>
      </w:r>
      <w:r w:rsidRPr="00D33652">
        <w:rPr>
          <w:rFonts w:ascii="Arial" w:hAnsi="Arial" w:cs="Arial"/>
          <w:b/>
        </w:rPr>
        <w:tab/>
        <w:t>Piloting care pathway to organize clinical work</w:t>
      </w:r>
    </w:p>
    <w:p w:rsidR="00F167A8" w:rsidRPr="00D33652" w:rsidRDefault="00F167A8" w:rsidP="00F167A8">
      <w:pPr>
        <w:jc w:val="both"/>
        <w:rPr>
          <w:rFonts w:ascii="Arial" w:hAnsi="Arial" w:cs="Arial"/>
        </w:rPr>
      </w:pPr>
      <w:r w:rsidRPr="00D33652">
        <w:rPr>
          <w:rFonts w:ascii="Arial" w:hAnsi="Arial" w:cs="Arial"/>
        </w:rPr>
        <w:fldChar w:fldCharType="begin"/>
      </w:r>
      <w:r w:rsidRPr="00D33652">
        <w:rPr>
          <w:rFonts w:ascii="Arial" w:hAnsi="Arial" w:cs="Arial"/>
        </w:rPr>
        <w:instrText>AUTONUMLGL</w:instrText>
      </w:r>
      <w:r w:rsidRPr="00D33652">
        <w:rPr>
          <w:rFonts w:ascii="Arial" w:hAnsi="Arial" w:cs="Arial"/>
        </w:rPr>
        <w:fldChar w:fldCharType="end"/>
      </w:r>
      <w:r w:rsidRPr="00D33652">
        <w:rPr>
          <w:rFonts w:ascii="Arial" w:hAnsi="Arial" w:cs="Arial"/>
        </w:rPr>
        <w:tab/>
      </w:r>
      <w:r w:rsidR="002F2C3F">
        <w:rPr>
          <w:rFonts w:ascii="Arial" w:hAnsi="Arial" w:cs="Arial"/>
          <w:b/>
        </w:rPr>
        <w:t>Care pathways d</w:t>
      </w:r>
      <w:r w:rsidRPr="00D33652">
        <w:rPr>
          <w:rFonts w:ascii="Arial" w:hAnsi="Arial" w:cs="Arial"/>
          <w:b/>
        </w:rPr>
        <w:t xml:space="preserve">evelopment. </w:t>
      </w:r>
      <w:r w:rsidRPr="00D33652">
        <w:rPr>
          <w:rFonts w:ascii="Arial" w:hAnsi="Arial" w:cs="Arial"/>
        </w:rPr>
        <w:t>The intended output</w:t>
      </w:r>
      <w:r w:rsidR="00B803F7">
        <w:rPr>
          <w:rFonts w:ascii="Arial" w:hAnsi="Arial" w:cs="Arial"/>
        </w:rPr>
        <w:t xml:space="preserve"> of component 3A</w:t>
      </w:r>
      <w:r w:rsidRPr="00D33652">
        <w:rPr>
          <w:rFonts w:ascii="Arial" w:hAnsi="Arial" w:cs="Arial"/>
        </w:rPr>
        <w:t xml:space="preserve"> </w:t>
      </w:r>
      <w:r w:rsidR="00B803F7">
        <w:rPr>
          <w:rFonts w:ascii="Arial" w:hAnsi="Arial" w:cs="Arial"/>
        </w:rPr>
        <w:t>is</w:t>
      </w:r>
      <w:r w:rsidRPr="00D33652">
        <w:rPr>
          <w:rFonts w:ascii="Arial" w:hAnsi="Arial" w:cs="Arial"/>
        </w:rPr>
        <w:t xml:space="preserve"> the development of 24 CPs in 6 pilot hospitals. The Project exceeded this, developing care 26 CPs for high-volume conditions including 5 CPs </w:t>
      </w:r>
      <w:r w:rsidR="0029752C">
        <w:rPr>
          <w:rFonts w:ascii="Arial" w:hAnsi="Arial" w:cs="Arial"/>
        </w:rPr>
        <w:t xml:space="preserve">for </w:t>
      </w:r>
      <w:r w:rsidRPr="00D33652">
        <w:rPr>
          <w:rFonts w:ascii="Arial" w:hAnsi="Arial" w:cs="Arial"/>
        </w:rPr>
        <w:t>medical conditions that primarily affect women. The CPs were developed with input from 34 hospitals across 3 technical levels.</w:t>
      </w:r>
      <w:r w:rsidRPr="00FD6EB5">
        <w:rPr>
          <w:rStyle w:val="FootnoteReference"/>
          <w:rFonts w:eastAsia="MS Mincho" w:cs="Arial"/>
        </w:rPr>
        <w:footnoteReference w:id="54"/>
      </w:r>
      <w:r w:rsidRPr="00D33652">
        <w:rPr>
          <w:rFonts w:ascii="Arial" w:hAnsi="Arial" w:cs="Arial"/>
        </w:rPr>
        <w:t xml:space="preserve"> Following drafting the CPs were piloted in the 34 hospitals to assess their efficacy for organizing clinical work. In total 6</w:t>
      </w:r>
      <w:r w:rsidR="0029752C">
        <w:rPr>
          <w:rFonts w:ascii="Arial" w:hAnsi="Arial" w:cs="Arial"/>
        </w:rPr>
        <w:t>,</w:t>
      </w:r>
      <w:r w:rsidRPr="00D33652">
        <w:rPr>
          <w:rFonts w:ascii="Arial" w:hAnsi="Arial" w:cs="Arial"/>
        </w:rPr>
        <w:t>956 patients were treated following CPs. Preliminary analysis o</w:t>
      </w:r>
      <w:r w:rsidR="00DA0042">
        <w:rPr>
          <w:rFonts w:ascii="Arial" w:hAnsi="Arial" w:cs="Arial"/>
        </w:rPr>
        <w:t>f</w:t>
      </w:r>
      <w:r w:rsidRPr="00D33652">
        <w:rPr>
          <w:rFonts w:ascii="Arial" w:hAnsi="Arial" w:cs="Arial"/>
        </w:rPr>
        <w:t xml:space="preserve"> data </w:t>
      </w:r>
      <w:r w:rsidR="0029752C">
        <w:rPr>
          <w:rFonts w:ascii="Arial" w:hAnsi="Arial" w:cs="Arial"/>
        </w:rPr>
        <w:t xml:space="preserve">for 24 case types for which CPs were developed </w:t>
      </w:r>
      <w:r w:rsidR="0029752C" w:rsidRPr="00FD6EB5">
        <w:rPr>
          <w:rStyle w:val="FootnoteReference"/>
          <w:rFonts w:eastAsia="MS Mincho" w:cs="Arial"/>
        </w:rPr>
        <w:footnoteReference w:id="55"/>
      </w:r>
      <w:r w:rsidR="0029752C">
        <w:rPr>
          <w:rFonts w:ascii="Arial" w:hAnsi="Arial" w:cs="Arial"/>
        </w:rPr>
        <w:t xml:space="preserve"> </w:t>
      </w:r>
      <w:r w:rsidR="0029752C" w:rsidRPr="00FD6EB5">
        <w:rPr>
          <w:rStyle w:val="FootnoteReference"/>
          <w:rFonts w:eastAsia="MS Mincho" w:cs="Arial"/>
        </w:rPr>
        <w:footnoteReference w:id="56"/>
      </w:r>
      <w:r w:rsidR="0029752C">
        <w:rPr>
          <w:rFonts w:ascii="Arial" w:hAnsi="Arial" w:cs="Arial"/>
        </w:rPr>
        <w:t xml:space="preserve"> </w:t>
      </w:r>
      <w:r w:rsidRPr="00D33652">
        <w:rPr>
          <w:rFonts w:ascii="Arial" w:hAnsi="Arial" w:cs="Arial"/>
        </w:rPr>
        <w:t>showed: (i) Reduced average length of stay (ALOS) for 16</w:t>
      </w:r>
      <w:r w:rsidR="0029752C">
        <w:rPr>
          <w:rFonts w:ascii="Arial" w:hAnsi="Arial" w:cs="Arial"/>
        </w:rPr>
        <w:t xml:space="preserve"> out of the </w:t>
      </w:r>
      <w:r w:rsidRPr="00D33652">
        <w:rPr>
          <w:rFonts w:ascii="Arial" w:hAnsi="Arial" w:cs="Arial"/>
        </w:rPr>
        <w:t>24; (ii) Reduced average treatment cost</w:t>
      </w:r>
      <w:r w:rsidR="00DA0042">
        <w:rPr>
          <w:rFonts w:ascii="Arial" w:hAnsi="Arial" w:cs="Arial"/>
        </w:rPr>
        <w:t>s for</w:t>
      </w:r>
      <w:r w:rsidRPr="00D33652">
        <w:rPr>
          <w:rFonts w:ascii="Arial" w:hAnsi="Arial" w:cs="Arial"/>
        </w:rPr>
        <w:t xml:space="preserve"> 20</w:t>
      </w:r>
      <w:r w:rsidR="0029752C">
        <w:rPr>
          <w:rFonts w:ascii="Arial" w:hAnsi="Arial" w:cs="Arial"/>
        </w:rPr>
        <w:t xml:space="preserve"> out of the </w:t>
      </w:r>
      <w:r w:rsidRPr="00D33652">
        <w:rPr>
          <w:rFonts w:ascii="Arial" w:hAnsi="Arial" w:cs="Arial"/>
        </w:rPr>
        <w:t>24.</w:t>
      </w:r>
      <w:r w:rsidR="0029752C" w:rsidRPr="00D33652">
        <w:rPr>
          <w:rFonts w:ascii="Arial" w:hAnsi="Arial" w:cs="Arial"/>
        </w:rPr>
        <w:t xml:space="preserve">  </w:t>
      </w:r>
      <w:r w:rsidRPr="00D33652">
        <w:rPr>
          <w:rFonts w:ascii="Arial" w:hAnsi="Arial" w:cs="Arial"/>
        </w:rPr>
        <w:t xml:space="preserve"> Data by case type is detailed in Appendix 7</w:t>
      </w:r>
      <w:r w:rsidR="0083264E">
        <w:rPr>
          <w:rFonts w:ascii="Arial" w:hAnsi="Arial" w:cs="Arial"/>
        </w:rPr>
        <w:t>,</w:t>
      </w:r>
      <w:r w:rsidRPr="00D33652">
        <w:rPr>
          <w:rFonts w:ascii="Arial" w:hAnsi="Arial" w:cs="Arial"/>
        </w:rPr>
        <w:t xml:space="preserve"> Tables 7.1 and 7.2.</w:t>
      </w:r>
    </w:p>
    <w:p w:rsidR="00F167A8" w:rsidRPr="00D33652" w:rsidRDefault="00F167A8" w:rsidP="00F167A8">
      <w:pPr>
        <w:jc w:val="both"/>
        <w:rPr>
          <w:rFonts w:ascii="Arial" w:hAnsi="Arial" w:cs="Arial"/>
        </w:rPr>
      </w:pPr>
    </w:p>
    <w:p w:rsidR="00F167A8" w:rsidRPr="00D33652" w:rsidRDefault="00F167A8" w:rsidP="00F167A8">
      <w:pPr>
        <w:jc w:val="both"/>
        <w:rPr>
          <w:rFonts w:ascii="Arial" w:hAnsi="Arial" w:cs="Arial"/>
        </w:rPr>
      </w:pPr>
      <w:r w:rsidRPr="00D33652">
        <w:rPr>
          <w:rFonts w:ascii="Arial" w:hAnsi="Arial" w:cs="Arial"/>
        </w:rPr>
        <w:fldChar w:fldCharType="begin"/>
      </w:r>
      <w:r w:rsidRPr="00D33652">
        <w:rPr>
          <w:rFonts w:ascii="Arial" w:hAnsi="Arial" w:cs="Arial"/>
        </w:rPr>
        <w:instrText>AUTONUMLGL</w:instrText>
      </w:r>
      <w:r w:rsidRPr="00D33652">
        <w:rPr>
          <w:rFonts w:ascii="Arial" w:hAnsi="Arial" w:cs="Arial"/>
        </w:rPr>
        <w:fldChar w:fldCharType="end"/>
      </w:r>
      <w:r w:rsidRPr="00D33652">
        <w:rPr>
          <w:rFonts w:ascii="Arial" w:hAnsi="Arial" w:cs="Arial"/>
        </w:rPr>
        <w:tab/>
      </w:r>
      <w:r w:rsidR="002F2C3F">
        <w:rPr>
          <w:rFonts w:ascii="Arial" w:hAnsi="Arial" w:cs="Arial"/>
          <w:b/>
        </w:rPr>
        <w:t>Peer review of care p</w:t>
      </w:r>
      <w:r w:rsidRPr="00D33652">
        <w:rPr>
          <w:rFonts w:ascii="Arial" w:hAnsi="Arial" w:cs="Arial"/>
          <w:b/>
        </w:rPr>
        <w:t>athways</w:t>
      </w:r>
      <w:r w:rsidRPr="00D33652">
        <w:rPr>
          <w:rFonts w:ascii="Arial" w:hAnsi="Arial" w:cs="Arial"/>
        </w:rPr>
        <w:t>. Prior to final approval the CP’s are subject to professional peer review. The MoH has established three Professional Committees</w:t>
      </w:r>
      <w:r w:rsidR="00B65AB7">
        <w:rPr>
          <w:rFonts w:ascii="Arial" w:hAnsi="Arial" w:cs="Arial"/>
        </w:rPr>
        <w:t xml:space="preserve"> under the AMS -</w:t>
      </w:r>
      <w:r w:rsidRPr="00D33652">
        <w:rPr>
          <w:rFonts w:ascii="Arial" w:hAnsi="Arial" w:cs="Arial"/>
        </w:rPr>
        <w:t xml:space="preserve"> Surgical, Gynaecological</w:t>
      </w:r>
      <w:r w:rsidR="00B65AB7">
        <w:rPr>
          <w:rFonts w:ascii="Arial" w:hAnsi="Arial" w:cs="Arial"/>
        </w:rPr>
        <w:t>,</w:t>
      </w:r>
      <w:r w:rsidRPr="00D33652">
        <w:rPr>
          <w:rFonts w:ascii="Arial" w:hAnsi="Arial" w:cs="Arial"/>
        </w:rPr>
        <w:t xml:space="preserve"> and Internal Medicine</w:t>
      </w:r>
      <w:r w:rsidR="00B65AB7">
        <w:rPr>
          <w:rFonts w:ascii="Arial" w:hAnsi="Arial" w:cs="Arial"/>
        </w:rPr>
        <w:t xml:space="preserve"> -</w:t>
      </w:r>
      <w:r w:rsidRPr="00D33652">
        <w:rPr>
          <w:rFonts w:ascii="Arial" w:hAnsi="Arial" w:cs="Arial"/>
        </w:rPr>
        <w:t xml:space="preserve"> which are assigned responsibility for providing final approval recommendations for the CPs. At the time of the ICE </w:t>
      </w:r>
      <w:r w:rsidR="00B65AB7">
        <w:rPr>
          <w:rFonts w:ascii="Arial" w:hAnsi="Arial" w:cs="Arial"/>
        </w:rPr>
        <w:t>all</w:t>
      </w:r>
      <w:r w:rsidRPr="00D33652">
        <w:rPr>
          <w:rFonts w:ascii="Arial" w:hAnsi="Arial" w:cs="Arial"/>
        </w:rPr>
        <w:t xml:space="preserve"> 26 CPs </w:t>
      </w:r>
      <w:r w:rsidR="00622A3F">
        <w:rPr>
          <w:rFonts w:ascii="Arial" w:hAnsi="Arial" w:cs="Arial"/>
        </w:rPr>
        <w:t>we</w:t>
      </w:r>
      <w:r w:rsidRPr="00D33652">
        <w:rPr>
          <w:rFonts w:ascii="Arial" w:hAnsi="Arial" w:cs="Arial"/>
        </w:rPr>
        <w:t xml:space="preserve">re still under review by the respective Committees. The project design included provision for international </w:t>
      </w:r>
      <w:r w:rsidR="00FA650A" w:rsidRPr="00D33652">
        <w:rPr>
          <w:rFonts w:ascii="Arial" w:hAnsi="Arial" w:cs="Arial"/>
        </w:rPr>
        <w:t>validation</w:t>
      </w:r>
      <w:r w:rsidRPr="00D33652">
        <w:rPr>
          <w:rFonts w:ascii="Arial" w:hAnsi="Arial" w:cs="Arial"/>
        </w:rPr>
        <w:t xml:space="preserve"> of the CPs. While</w:t>
      </w:r>
      <w:r w:rsidR="00E93E8D">
        <w:rPr>
          <w:rFonts w:ascii="Arial" w:hAnsi="Arial" w:cs="Arial"/>
        </w:rPr>
        <w:t xml:space="preserve"> </w:t>
      </w:r>
      <w:r w:rsidR="00E93E8D" w:rsidRPr="00D33652">
        <w:rPr>
          <w:rFonts w:ascii="Arial" w:hAnsi="Arial" w:cs="Arial"/>
        </w:rPr>
        <w:t>stakeholders</w:t>
      </w:r>
      <w:r w:rsidR="00E93E8D">
        <w:rPr>
          <w:rFonts w:ascii="Arial" w:hAnsi="Arial" w:cs="Arial"/>
        </w:rPr>
        <w:t xml:space="preserve"> recognize</w:t>
      </w:r>
      <w:r w:rsidRPr="00D33652">
        <w:rPr>
          <w:rFonts w:ascii="Arial" w:hAnsi="Arial" w:cs="Arial"/>
        </w:rPr>
        <w:t xml:space="preserve"> the value of international </w:t>
      </w:r>
      <w:r w:rsidR="00622A3F" w:rsidRPr="00D33652">
        <w:rPr>
          <w:rFonts w:ascii="Arial" w:hAnsi="Arial" w:cs="Arial"/>
        </w:rPr>
        <w:t>validation</w:t>
      </w:r>
      <w:r w:rsidRPr="00D33652">
        <w:rPr>
          <w:rFonts w:ascii="Arial" w:hAnsi="Arial" w:cs="Arial"/>
        </w:rPr>
        <w:t>,</w:t>
      </w:r>
      <w:r w:rsidRPr="00FD6EB5">
        <w:rPr>
          <w:rStyle w:val="FootnoteReference"/>
          <w:rFonts w:eastAsia="MS Mincho" w:cs="Arial"/>
        </w:rPr>
        <w:footnoteReference w:id="57"/>
      </w:r>
      <w:r w:rsidRPr="00D33652">
        <w:rPr>
          <w:rFonts w:ascii="Arial" w:hAnsi="Arial" w:cs="Arial"/>
        </w:rPr>
        <w:t xml:space="preserve"> international input into the 26 CPs has not proceeded.</w:t>
      </w:r>
    </w:p>
    <w:p w:rsidR="00F167A8" w:rsidRPr="00D33652" w:rsidRDefault="00F167A8" w:rsidP="00F167A8">
      <w:pPr>
        <w:jc w:val="both"/>
        <w:rPr>
          <w:rFonts w:ascii="Arial" w:hAnsi="Arial" w:cs="Arial"/>
        </w:rPr>
      </w:pPr>
    </w:p>
    <w:p w:rsidR="00F167A8" w:rsidRPr="00D33652" w:rsidRDefault="00F167A8" w:rsidP="00481F67">
      <w:pPr>
        <w:widowControl w:val="0"/>
        <w:autoSpaceDE w:val="0"/>
        <w:autoSpaceDN w:val="0"/>
        <w:adjustRightInd w:val="0"/>
        <w:spacing w:after="240"/>
        <w:jc w:val="both"/>
        <w:rPr>
          <w:rFonts w:ascii="Arial" w:hAnsi="Arial" w:cs="Arial"/>
          <w:b/>
        </w:rPr>
      </w:pPr>
      <w:r w:rsidRPr="00D33652">
        <w:rPr>
          <w:rFonts w:ascii="Arial" w:hAnsi="Arial" w:cs="Arial"/>
          <w:b/>
        </w:rPr>
        <w:t>3B</w:t>
      </w:r>
      <w:r w:rsidRPr="00D33652">
        <w:rPr>
          <w:rFonts w:ascii="Arial" w:hAnsi="Arial" w:cs="Arial"/>
          <w:b/>
        </w:rPr>
        <w:tab/>
        <w:t>Introducing and testing case-based funding mechanisms</w:t>
      </w:r>
    </w:p>
    <w:p w:rsidR="00F167A8" w:rsidRPr="00D33652" w:rsidRDefault="00F167A8" w:rsidP="00F167A8">
      <w:pPr>
        <w:jc w:val="both"/>
        <w:rPr>
          <w:rFonts w:ascii="Arial" w:hAnsi="Arial" w:cs="Arial"/>
        </w:rPr>
      </w:pPr>
      <w:r w:rsidRPr="00D33652">
        <w:rPr>
          <w:rFonts w:ascii="Arial" w:hAnsi="Arial" w:cs="Arial"/>
        </w:rPr>
        <w:fldChar w:fldCharType="begin"/>
      </w:r>
      <w:r w:rsidRPr="00D33652">
        <w:rPr>
          <w:rFonts w:ascii="Arial" w:hAnsi="Arial" w:cs="Arial"/>
        </w:rPr>
        <w:instrText>AUTONUMLGL</w:instrText>
      </w:r>
      <w:r w:rsidRPr="00D33652">
        <w:rPr>
          <w:rFonts w:ascii="Arial" w:hAnsi="Arial" w:cs="Arial"/>
        </w:rPr>
        <w:fldChar w:fldCharType="end"/>
      </w:r>
      <w:r w:rsidRPr="00D33652">
        <w:rPr>
          <w:rFonts w:ascii="Arial" w:hAnsi="Arial" w:cs="Arial"/>
        </w:rPr>
        <w:tab/>
      </w:r>
      <w:r w:rsidR="002F2C3F">
        <w:rPr>
          <w:rFonts w:ascii="Arial" w:hAnsi="Arial" w:cs="Arial"/>
          <w:b/>
        </w:rPr>
        <w:t>Casemix d</w:t>
      </w:r>
      <w:r w:rsidRPr="00D33652">
        <w:rPr>
          <w:rFonts w:ascii="Arial" w:hAnsi="Arial" w:cs="Arial"/>
          <w:b/>
        </w:rPr>
        <w:t xml:space="preserve">atabase. </w:t>
      </w:r>
      <w:r w:rsidRPr="00D33652">
        <w:rPr>
          <w:rFonts w:ascii="Arial" w:hAnsi="Arial" w:cs="Arial"/>
        </w:rPr>
        <w:t xml:space="preserve">The intended output of component 3B </w:t>
      </w:r>
      <w:r w:rsidR="00B803F7">
        <w:rPr>
          <w:rFonts w:ascii="Arial" w:hAnsi="Arial" w:cs="Arial"/>
        </w:rPr>
        <w:t>is</w:t>
      </w:r>
      <w:r w:rsidRPr="00D33652">
        <w:rPr>
          <w:rFonts w:ascii="Arial" w:hAnsi="Arial" w:cs="Arial"/>
        </w:rPr>
        <w:t xml:space="preserve"> the costing of 26 CPs and their pilot application as a case-based payment mechanism in a select number of hospitals.</w:t>
      </w:r>
      <w:r w:rsidR="00146A91" w:rsidRPr="00D33652">
        <w:rPr>
          <w:rFonts w:ascii="Arial" w:hAnsi="Arial" w:cs="Arial"/>
        </w:rPr>
        <w:t xml:space="preserve"> </w:t>
      </w:r>
      <w:r w:rsidRPr="00D33652">
        <w:rPr>
          <w:rFonts w:ascii="Arial" w:hAnsi="Arial" w:cs="Arial"/>
        </w:rPr>
        <w:t xml:space="preserve">The Project, through Consulting Firm 3 with inputs from </w:t>
      </w:r>
      <w:r w:rsidR="00B803F7">
        <w:rPr>
          <w:rFonts w:ascii="Arial" w:hAnsi="Arial" w:cs="Arial"/>
        </w:rPr>
        <w:t>an</w:t>
      </w:r>
      <w:r w:rsidRPr="00D33652">
        <w:rPr>
          <w:rFonts w:ascii="Arial" w:hAnsi="Arial" w:cs="Arial"/>
        </w:rPr>
        <w:t xml:space="preserve"> International Consultant,</w:t>
      </w:r>
      <w:r w:rsidRPr="00FD6EB5">
        <w:rPr>
          <w:rStyle w:val="FootnoteReference"/>
          <w:rFonts w:eastAsia="MS Mincho"/>
        </w:rPr>
        <w:footnoteReference w:id="58"/>
      </w:r>
      <w:r w:rsidRPr="00D33652">
        <w:rPr>
          <w:rFonts w:ascii="Arial" w:hAnsi="Arial" w:cs="Arial"/>
        </w:rPr>
        <w:t xml:space="preserve"> developed casemix software based on the DRG grouper logic utilized in Thailand. The software enables: (i) Standardized documentation and coding of patient diagnosis using ICD10 and procedures using ICD 9; (ii) Grouping of coded patients using the casemix grouping methodology; (iii) Costing and the development of tariffs for each casemix group. At the time of the ICE over 2.4 million patient discharge records from 34 participating hospitals had been captured under the system, of which 856,727 have been assessed as complete for inclusion in the clinical coding and hospital costing exercise. </w:t>
      </w:r>
    </w:p>
    <w:p w:rsidR="00F167A8" w:rsidRPr="00D33652" w:rsidRDefault="00F167A8" w:rsidP="00F167A8">
      <w:pPr>
        <w:jc w:val="both"/>
        <w:rPr>
          <w:rFonts w:ascii="Arial" w:hAnsi="Arial" w:cs="Arial"/>
        </w:rPr>
      </w:pPr>
    </w:p>
    <w:p w:rsidR="00F167A8" w:rsidRPr="00D33652" w:rsidRDefault="00F167A8" w:rsidP="00F167A8">
      <w:pPr>
        <w:jc w:val="both"/>
        <w:rPr>
          <w:rFonts w:ascii="Arial" w:hAnsi="Arial" w:cs="Arial"/>
        </w:rPr>
      </w:pPr>
      <w:r w:rsidRPr="00D33652">
        <w:rPr>
          <w:rFonts w:ascii="Arial" w:hAnsi="Arial" w:cs="Arial"/>
        </w:rPr>
        <w:fldChar w:fldCharType="begin"/>
      </w:r>
      <w:r w:rsidRPr="00D33652">
        <w:rPr>
          <w:rFonts w:ascii="Arial" w:hAnsi="Arial" w:cs="Arial"/>
        </w:rPr>
        <w:instrText>AUTONUMLGL</w:instrText>
      </w:r>
      <w:r w:rsidRPr="00D33652">
        <w:rPr>
          <w:rFonts w:ascii="Arial" w:hAnsi="Arial" w:cs="Arial"/>
        </w:rPr>
        <w:fldChar w:fldCharType="end"/>
      </w:r>
      <w:r w:rsidRPr="00D33652">
        <w:rPr>
          <w:rFonts w:ascii="Arial" w:hAnsi="Arial" w:cs="Arial"/>
        </w:rPr>
        <w:tab/>
      </w:r>
      <w:r w:rsidRPr="00D33652">
        <w:rPr>
          <w:rFonts w:ascii="Arial" w:hAnsi="Arial" w:cs="Arial"/>
          <w:b/>
        </w:rPr>
        <w:t>Costing CPs and testing cased-based funding</w:t>
      </w:r>
      <w:r w:rsidRPr="00D33652">
        <w:rPr>
          <w:rFonts w:ascii="Arial" w:hAnsi="Arial" w:cs="Arial"/>
        </w:rPr>
        <w:t xml:space="preserve">. The Project has produced preliminary cost outcomes and cost per case analysis for 30 case types. This comprises 26 case types corresponding to the CPs developed under </w:t>
      </w:r>
      <w:r w:rsidR="00A50C99">
        <w:rPr>
          <w:rFonts w:ascii="Arial" w:hAnsi="Arial" w:cs="Arial"/>
        </w:rPr>
        <w:t>the HHRSDP</w:t>
      </w:r>
      <w:r w:rsidRPr="00D33652">
        <w:rPr>
          <w:rFonts w:ascii="Arial" w:hAnsi="Arial" w:cs="Arial"/>
        </w:rPr>
        <w:t xml:space="preserve"> and 4 case types corresponding to the CPs developed under the preceding pilot initiative.</w:t>
      </w:r>
      <w:r w:rsidRPr="00FD6EB5">
        <w:rPr>
          <w:rStyle w:val="FootnoteReference"/>
          <w:rFonts w:eastAsia="MS Mincho"/>
        </w:rPr>
        <w:footnoteReference w:id="59"/>
      </w:r>
      <w:r w:rsidRPr="00D33652">
        <w:rPr>
          <w:rFonts w:ascii="Arial" w:hAnsi="Arial" w:cs="Arial"/>
        </w:rPr>
        <w:t xml:space="preserve"> The costing exercise was based on 210,074 discharge summaries, accounting for 25% of total number of cases captured under the database. The 30 case types were found to account for approximately 20% of revenue for the 34 hospitals. </w:t>
      </w:r>
    </w:p>
    <w:p w:rsidR="00F167A8" w:rsidRPr="00D33652" w:rsidRDefault="00F167A8" w:rsidP="00F167A8">
      <w:pPr>
        <w:jc w:val="both"/>
        <w:rPr>
          <w:rFonts w:ascii="Arial" w:hAnsi="Arial" w:cs="Arial"/>
        </w:rPr>
      </w:pPr>
    </w:p>
    <w:p w:rsidR="00F167A8" w:rsidRPr="00D33652" w:rsidRDefault="00F167A8" w:rsidP="00F167A8">
      <w:pPr>
        <w:jc w:val="both"/>
        <w:rPr>
          <w:rFonts w:ascii="Arial" w:hAnsi="Arial" w:cs="Arial"/>
        </w:rPr>
      </w:pPr>
      <w:r w:rsidRPr="00D33652">
        <w:rPr>
          <w:rFonts w:ascii="Arial" w:hAnsi="Arial" w:cs="Arial"/>
        </w:rPr>
        <w:fldChar w:fldCharType="begin"/>
      </w:r>
      <w:r w:rsidRPr="00D33652">
        <w:rPr>
          <w:rFonts w:ascii="Arial" w:hAnsi="Arial" w:cs="Arial"/>
        </w:rPr>
        <w:instrText>AUTONUMLGL</w:instrText>
      </w:r>
      <w:r w:rsidRPr="00D33652">
        <w:rPr>
          <w:rFonts w:ascii="Arial" w:hAnsi="Arial" w:cs="Arial"/>
        </w:rPr>
        <w:fldChar w:fldCharType="end"/>
      </w:r>
      <w:r w:rsidRPr="00D33652">
        <w:rPr>
          <w:rFonts w:ascii="Arial" w:hAnsi="Arial" w:cs="Arial"/>
        </w:rPr>
        <w:tab/>
        <w:t xml:space="preserve">From July 2015 the Project will: (i) Implement interactive modeling with 6 hospitals in Ha Noi to calibrate per-case payment levels for each of the 30 conditions of interest and to forecast financial impacts; (ii) </w:t>
      </w:r>
      <w:r w:rsidR="00C06966">
        <w:rPr>
          <w:rFonts w:ascii="Arial" w:hAnsi="Arial" w:cs="Arial"/>
        </w:rPr>
        <w:t>Utilize</w:t>
      </w:r>
      <w:r w:rsidR="00C06966" w:rsidRPr="00D33652">
        <w:rPr>
          <w:rFonts w:ascii="Arial" w:hAnsi="Arial" w:cs="Arial"/>
        </w:rPr>
        <w:t xml:space="preserve"> </w:t>
      </w:r>
      <w:r w:rsidRPr="00D33652">
        <w:rPr>
          <w:rFonts w:ascii="Arial" w:hAnsi="Arial" w:cs="Arial"/>
        </w:rPr>
        <w:t>findings from the simulation to draft guidelines for payment levels and delivery mechanisms for the per-case payment model; (iii) Provide technical support to MoH in consultations with the</w:t>
      </w:r>
      <w:r w:rsidR="00B8308A">
        <w:rPr>
          <w:rFonts w:ascii="Arial" w:hAnsi="Arial" w:cs="Arial"/>
        </w:rPr>
        <w:t xml:space="preserve"> Ministry of Finance</w:t>
      </w:r>
      <w:r w:rsidRPr="00D33652">
        <w:rPr>
          <w:rFonts w:ascii="Arial" w:hAnsi="Arial" w:cs="Arial"/>
        </w:rPr>
        <w:t xml:space="preserve">, VSS and hospitals to </w:t>
      </w:r>
      <w:r w:rsidR="00E93E8D" w:rsidRPr="00D33652">
        <w:rPr>
          <w:rFonts w:ascii="Arial" w:hAnsi="Arial" w:cs="Arial"/>
        </w:rPr>
        <w:t>finalize</w:t>
      </w:r>
      <w:r w:rsidRPr="00D33652">
        <w:rPr>
          <w:rFonts w:ascii="Arial" w:hAnsi="Arial" w:cs="Arial"/>
        </w:rPr>
        <w:t xml:space="preserve"> and ratify the guidelines; (iv) Commence piloting of case-based payment using costed CPs. The ICE team assess the above-mentioned steps will require will 9-12 months to complete. </w:t>
      </w:r>
    </w:p>
    <w:p w:rsidR="00F167A8" w:rsidRPr="00D33652" w:rsidRDefault="00F167A8" w:rsidP="00F167A8">
      <w:pPr>
        <w:jc w:val="both"/>
        <w:rPr>
          <w:rFonts w:ascii="Arial" w:hAnsi="Arial" w:cs="Arial"/>
        </w:rPr>
      </w:pPr>
    </w:p>
    <w:p w:rsidR="00F167A8" w:rsidRPr="00D33652" w:rsidRDefault="00F167A8" w:rsidP="00F167A8">
      <w:pPr>
        <w:jc w:val="both"/>
        <w:rPr>
          <w:rFonts w:ascii="Arial" w:hAnsi="Arial" w:cs="Arial"/>
        </w:rPr>
      </w:pPr>
      <w:r w:rsidRPr="00D33652">
        <w:rPr>
          <w:rFonts w:ascii="Arial" w:hAnsi="Arial" w:cs="Arial"/>
        </w:rPr>
        <w:fldChar w:fldCharType="begin"/>
      </w:r>
      <w:r w:rsidRPr="00D33652">
        <w:rPr>
          <w:rFonts w:ascii="Arial" w:hAnsi="Arial" w:cs="Arial"/>
        </w:rPr>
        <w:instrText>AUTONUMLGL</w:instrText>
      </w:r>
      <w:r w:rsidRPr="00D33652">
        <w:rPr>
          <w:rFonts w:ascii="Arial" w:hAnsi="Arial" w:cs="Arial"/>
        </w:rPr>
        <w:fldChar w:fldCharType="end"/>
      </w:r>
      <w:r w:rsidRPr="00D33652">
        <w:rPr>
          <w:rFonts w:ascii="Arial" w:hAnsi="Arial" w:cs="Arial"/>
        </w:rPr>
        <w:tab/>
      </w:r>
      <w:r w:rsidR="002F2C3F">
        <w:rPr>
          <w:rFonts w:ascii="Arial" w:hAnsi="Arial" w:cs="Arial"/>
          <w:b/>
        </w:rPr>
        <w:t>Provider payment r</w:t>
      </w:r>
      <w:r w:rsidRPr="00D33652">
        <w:rPr>
          <w:rFonts w:ascii="Arial" w:hAnsi="Arial" w:cs="Arial"/>
          <w:b/>
        </w:rPr>
        <w:t xml:space="preserve">eform. </w:t>
      </w:r>
      <w:r w:rsidRPr="00D33652">
        <w:rPr>
          <w:rFonts w:ascii="Arial" w:hAnsi="Arial" w:cs="Arial"/>
        </w:rPr>
        <w:t xml:space="preserve">It is the view of the ICE team that the Project will make important contributions to MoH’s wider work on provider payment reform. Study tours under the Project have provided exposure for key policy makers within MoH to casemix systems in Thailand and Malaysia, informing the Ministry’s approach to provider payment reform. The casemix software and database, developed to provide the methodological platform for costing of the CPs, links to and will support the wider work on DRG based payment reform being implemented by the Ministry’s Technical Taskforce on Provider Payment Reform. </w:t>
      </w:r>
    </w:p>
    <w:p w:rsidR="00F167A8" w:rsidRPr="00476ED5" w:rsidRDefault="00C539B5" w:rsidP="00EE4E98">
      <w:pPr>
        <w:pStyle w:val="Heading3"/>
        <w:numPr>
          <w:ilvl w:val="0"/>
          <w:numId w:val="56"/>
        </w:numPr>
        <w:spacing w:after="120"/>
        <w:ind w:hanging="436"/>
        <w:jc w:val="both"/>
        <w:rPr>
          <w:rFonts w:cs="Times New Roman"/>
          <w:bCs w:val="0"/>
          <w:color w:val="000000"/>
          <w:sz w:val="20"/>
          <w:szCs w:val="20"/>
          <w:lang w:eastAsia="en-US"/>
        </w:rPr>
      </w:pPr>
      <w:bookmarkStart w:id="43" w:name="_Toc423359324"/>
      <w:r>
        <w:rPr>
          <w:rFonts w:cs="Times New Roman"/>
          <w:bCs w:val="0"/>
          <w:color w:val="000000"/>
          <w:sz w:val="20"/>
          <w:szCs w:val="20"/>
          <w:lang w:eastAsia="en-US"/>
        </w:rPr>
        <w:t>Overall R</w:t>
      </w:r>
      <w:r w:rsidR="00F167A8" w:rsidRPr="00476ED5">
        <w:rPr>
          <w:rFonts w:cs="Times New Roman"/>
          <w:bCs w:val="0"/>
          <w:color w:val="000000"/>
          <w:sz w:val="20"/>
          <w:szCs w:val="20"/>
          <w:lang w:eastAsia="en-US"/>
        </w:rPr>
        <w:t>ating</w:t>
      </w:r>
      <w:bookmarkEnd w:id="43"/>
    </w:p>
    <w:p w:rsidR="000B1A4B" w:rsidRPr="00966673" w:rsidRDefault="00F167A8" w:rsidP="00B77948">
      <w:pPr>
        <w:jc w:val="both"/>
        <w:rPr>
          <w:rFonts w:ascii="Arial" w:hAnsi="Arial" w:cs="Arial"/>
        </w:rPr>
      </w:pPr>
      <w:r w:rsidRPr="00D33652">
        <w:rPr>
          <w:rFonts w:ascii="Arial" w:hAnsi="Arial" w:cs="Arial"/>
        </w:rPr>
        <w:fldChar w:fldCharType="begin"/>
      </w:r>
      <w:r w:rsidRPr="00D33652">
        <w:rPr>
          <w:rFonts w:ascii="Arial" w:hAnsi="Arial" w:cs="Arial"/>
        </w:rPr>
        <w:instrText xml:space="preserve"> AUTONUM </w:instrText>
      </w:r>
      <w:r w:rsidRPr="00D33652">
        <w:rPr>
          <w:rFonts w:ascii="Arial" w:hAnsi="Arial" w:cs="Arial"/>
        </w:rPr>
        <w:fldChar w:fldCharType="end"/>
      </w:r>
      <w:r w:rsidRPr="00D33652">
        <w:rPr>
          <w:rFonts w:ascii="Arial" w:hAnsi="Arial" w:cs="Arial"/>
        </w:rPr>
        <w:tab/>
        <w:t xml:space="preserve">The ICE team scored the HHRSDP’s overall rating for effectiveness as 4. Ratings for individual effectiveness sub-criteria are listed in Appendix 1, Table 1.1. </w:t>
      </w:r>
      <w:r w:rsidR="00BD556F">
        <w:rPr>
          <w:rFonts w:ascii="Arial" w:hAnsi="Arial" w:cs="Arial"/>
        </w:rPr>
        <w:t xml:space="preserve"> </w:t>
      </w:r>
    </w:p>
    <w:p w:rsidR="00486376" w:rsidRDefault="00486376">
      <w:pPr>
        <w:rPr>
          <w:rFonts w:ascii="Arial" w:hAnsi="Arial" w:cs="Arial"/>
          <w:b/>
          <w:color w:val="000000"/>
          <w:sz w:val="22"/>
          <w:lang w:eastAsia="en-US"/>
        </w:rPr>
      </w:pPr>
      <w:bookmarkStart w:id="44" w:name="_Toc422301207"/>
      <w:r>
        <w:rPr>
          <w:bCs/>
          <w:i/>
          <w:iCs/>
          <w:color w:val="000000"/>
          <w:sz w:val="22"/>
          <w:lang w:eastAsia="en-US"/>
        </w:rPr>
        <w:br w:type="page"/>
      </w:r>
    </w:p>
    <w:p w:rsidR="00151AC6" w:rsidRPr="00D33652" w:rsidRDefault="0028387D" w:rsidP="00EE4E98">
      <w:pPr>
        <w:pStyle w:val="Heading2"/>
        <w:spacing w:after="120"/>
        <w:rPr>
          <w:bCs w:val="0"/>
          <w:i w:val="0"/>
          <w:iCs w:val="0"/>
          <w:color w:val="000000"/>
          <w:sz w:val="22"/>
          <w:szCs w:val="20"/>
          <w:lang w:eastAsia="en-US"/>
        </w:rPr>
      </w:pPr>
      <w:bookmarkStart w:id="45" w:name="_Toc423359325"/>
      <w:r w:rsidRPr="00D33652">
        <w:rPr>
          <w:bCs w:val="0"/>
          <w:i w:val="0"/>
          <w:iCs w:val="0"/>
          <w:color w:val="000000"/>
          <w:sz w:val="22"/>
          <w:szCs w:val="20"/>
          <w:lang w:eastAsia="en-US"/>
        </w:rPr>
        <w:t>E</w:t>
      </w:r>
      <w:r w:rsidR="005B520D">
        <w:rPr>
          <w:bCs w:val="0"/>
          <w:i w:val="0"/>
          <w:iCs w:val="0"/>
          <w:color w:val="000000"/>
          <w:sz w:val="22"/>
          <w:szCs w:val="20"/>
          <w:lang w:eastAsia="en-US"/>
        </w:rPr>
        <w:t>fficiency</w:t>
      </w:r>
      <w:bookmarkEnd w:id="39"/>
      <w:bookmarkEnd w:id="44"/>
      <w:bookmarkEnd w:id="45"/>
    </w:p>
    <w:p w:rsidR="006A6E48" w:rsidRPr="00EE4E98" w:rsidRDefault="006A6E48" w:rsidP="00EE4E98">
      <w:pPr>
        <w:pStyle w:val="Heading3"/>
        <w:ind w:left="720" w:hanging="436"/>
        <w:rPr>
          <w:sz w:val="21"/>
          <w:szCs w:val="21"/>
        </w:rPr>
      </w:pPr>
      <w:bookmarkStart w:id="46" w:name="_Toc422301208"/>
      <w:bookmarkStart w:id="47" w:name="_Toc423359326"/>
      <w:r w:rsidRPr="00EE4E98">
        <w:rPr>
          <w:sz w:val="21"/>
          <w:szCs w:val="21"/>
        </w:rPr>
        <w:t>Costs and Disbursements</w:t>
      </w:r>
      <w:bookmarkEnd w:id="46"/>
      <w:bookmarkEnd w:id="47"/>
    </w:p>
    <w:p w:rsidR="000A56CA" w:rsidRPr="00040DEC" w:rsidRDefault="000A56CA" w:rsidP="000A56CA">
      <w:pPr>
        <w:pStyle w:val="Default"/>
        <w:jc w:val="both"/>
        <w:rPr>
          <w:color w:val="auto"/>
          <w:sz w:val="20"/>
          <w:szCs w:val="20"/>
        </w:rPr>
      </w:pPr>
      <w:r w:rsidRPr="00D33652">
        <w:rPr>
          <w:sz w:val="20"/>
          <w:szCs w:val="20"/>
        </w:rPr>
        <w:fldChar w:fldCharType="begin"/>
      </w:r>
      <w:r w:rsidRPr="00D33652">
        <w:rPr>
          <w:sz w:val="20"/>
          <w:szCs w:val="20"/>
        </w:rPr>
        <w:instrText xml:space="preserve"> AUTONUM </w:instrText>
      </w:r>
      <w:r w:rsidRPr="00D33652">
        <w:rPr>
          <w:sz w:val="20"/>
          <w:szCs w:val="20"/>
        </w:rPr>
        <w:fldChar w:fldCharType="end"/>
      </w:r>
      <w:r w:rsidRPr="00D33652">
        <w:rPr>
          <w:sz w:val="20"/>
          <w:szCs w:val="20"/>
        </w:rPr>
        <w:tab/>
      </w:r>
      <w:r w:rsidRPr="00D33652">
        <w:rPr>
          <w:color w:val="auto"/>
          <w:sz w:val="20"/>
          <w:szCs w:val="20"/>
        </w:rPr>
        <w:t>At appraisal the HHRSDP was estimated to cost $76.3 million. This comprised a $30 million program loan and $30 million project loan from the ADB, an $11.0 million grant</w:t>
      </w:r>
      <w:r w:rsidR="0089399B">
        <w:rPr>
          <w:rStyle w:val="FootnoteReference"/>
          <w:color w:val="auto"/>
          <w:szCs w:val="20"/>
        </w:rPr>
        <w:footnoteReference w:id="60"/>
      </w:r>
      <w:r w:rsidRPr="00D33652">
        <w:rPr>
          <w:color w:val="auto"/>
          <w:sz w:val="20"/>
          <w:szCs w:val="20"/>
        </w:rPr>
        <w:t xml:space="preserve"> from the </w:t>
      </w:r>
      <w:r w:rsidR="0089399B">
        <w:rPr>
          <w:color w:val="auto"/>
          <w:sz w:val="20"/>
          <w:szCs w:val="20"/>
        </w:rPr>
        <w:t>GoA</w:t>
      </w:r>
      <w:r w:rsidRPr="00D33652">
        <w:rPr>
          <w:color w:val="auto"/>
          <w:sz w:val="20"/>
          <w:szCs w:val="20"/>
        </w:rPr>
        <w:t xml:space="preserve"> and $5.3 million from the </w:t>
      </w:r>
      <w:r w:rsidR="0089399B">
        <w:rPr>
          <w:color w:val="auto"/>
          <w:sz w:val="20"/>
          <w:szCs w:val="20"/>
        </w:rPr>
        <w:t>GoV</w:t>
      </w:r>
      <w:r w:rsidRPr="00D33652">
        <w:rPr>
          <w:color w:val="auto"/>
          <w:sz w:val="20"/>
          <w:szCs w:val="20"/>
        </w:rPr>
        <w:t xml:space="preserve"> as counterpart funding. The Program Loan has 2 tranches of $15 million each</w:t>
      </w:r>
      <w:r w:rsidR="00F67F00">
        <w:rPr>
          <w:color w:val="auto"/>
          <w:sz w:val="20"/>
          <w:szCs w:val="20"/>
        </w:rPr>
        <w:t xml:space="preserve"> tied to</w:t>
      </w:r>
      <w:r w:rsidRPr="00D33652">
        <w:rPr>
          <w:color w:val="auto"/>
          <w:sz w:val="20"/>
          <w:szCs w:val="20"/>
        </w:rPr>
        <w:t xml:space="preserve"> specific policy actions</w:t>
      </w:r>
      <w:r w:rsidR="00F67F00">
        <w:rPr>
          <w:color w:val="auto"/>
          <w:sz w:val="20"/>
          <w:szCs w:val="20"/>
        </w:rPr>
        <w:t xml:space="preserve">. </w:t>
      </w:r>
      <w:r w:rsidRPr="00D33652">
        <w:rPr>
          <w:color w:val="auto"/>
          <w:sz w:val="20"/>
          <w:szCs w:val="20"/>
        </w:rPr>
        <w:t xml:space="preserve">The Loan and Grant Agreements between ADB and the GoV </w:t>
      </w:r>
      <w:r w:rsidRPr="00040DEC">
        <w:rPr>
          <w:color w:val="auto"/>
          <w:sz w:val="20"/>
          <w:szCs w:val="20"/>
        </w:rPr>
        <w:t xml:space="preserve">specify the dates of project effectiveness, physical completion and loan/grant closing as 6 January 2011, 31 December 2015, and 30 June 2016 respectively. </w:t>
      </w:r>
    </w:p>
    <w:p w:rsidR="000A56CA" w:rsidRPr="00040DEC" w:rsidRDefault="000A56CA" w:rsidP="000A56CA">
      <w:pPr>
        <w:pStyle w:val="Default"/>
        <w:jc w:val="both"/>
        <w:rPr>
          <w:color w:val="auto"/>
          <w:sz w:val="20"/>
          <w:szCs w:val="20"/>
        </w:rPr>
      </w:pPr>
    </w:p>
    <w:p w:rsidR="000A56CA" w:rsidRPr="00040DEC" w:rsidRDefault="000A56CA" w:rsidP="000A56CA">
      <w:pPr>
        <w:pStyle w:val="Default"/>
        <w:jc w:val="both"/>
        <w:rPr>
          <w:sz w:val="20"/>
          <w:szCs w:val="20"/>
        </w:rPr>
      </w:pPr>
      <w:r w:rsidRPr="00040DEC">
        <w:rPr>
          <w:sz w:val="20"/>
          <w:szCs w:val="20"/>
        </w:rPr>
        <w:fldChar w:fldCharType="begin"/>
      </w:r>
      <w:r w:rsidRPr="00040DEC">
        <w:rPr>
          <w:sz w:val="20"/>
          <w:szCs w:val="20"/>
        </w:rPr>
        <w:instrText xml:space="preserve"> AUTONUM </w:instrText>
      </w:r>
      <w:r w:rsidRPr="00040DEC">
        <w:rPr>
          <w:sz w:val="20"/>
          <w:szCs w:val="20"/>
        </w:rPr>
        <w:fldChar w:fldCharType="end"/>
      </w:r>
      <w:r w:rsidRPr="00040DEC">
        <w:rPr>
          <w:sz w:val="20"/>
          <w:szCs w:val="20"/>
        </w:rPr>
        <w:tab/>
        <w:t xml:space="preserve">The </w:t>
      </w:r>
      <w:r w:rsidR="00F67F00" w:rsidRPr="00040DEC">
        <w:rPr>
          <w:sz w:val="20"/>
          <w:szCs w:val="20"/>
        </w:rPr>
        <w:t xml:space="preserve">Project experienced significant implementation delays, specifically in project </w:t>
      </w:r>
      <w:r w:rsidR="00143C8E">
        <w:rPr>
          <w:sz w:val="20"/>
          <w:szCs w:val="20"/>
        </w:rPr>
        <w:t>years 1-</w:t>
      </w:r>
      <w:r w:rsidR="00F67F00" w:rsidRPr="00040DEC">
        <w:rPr>
          <w:sz w:val="20"/>
          <w:szCs w:val="20"/>
        </w:rPr>
        <w:t xml:space="preserve">4. </w:t>
      </w:r>
      <w:r w:rsidR="007D6A7E" w:rsidRPr="00040DEC">
        <w:rPr>
          <w:sz w:val="20"/>
          <w:szCs w:val="20"/>
        </w:rPr>
        <w:t>C</w:t>
      </w:r>
      <w:r w:rsidRPr="00040DEC">
        <w:rPr>
          <w:sz w:val="20"/>
          <w:szCs w:val="20"/>
        </w:rPr>
        <w:t>umulative project disbursements</w:t>
      </w:r>
      <w:r w:rsidR="00143C8E">
        <w:rPr>
          <w:sz w:val="20"/>
          <w:szCs w:val="20"/>
        </w:rPr>
        <w:t xml:space="preserve"> (loan and grant)</w:t>
      </w:r>
      <w:r w:rsidRPr="00040DEC">
        <w:rPr>
          <w:sz w:val="20"/>
          <w:szCs w:val="20"/>
        </w:rPr>
        <w:t xml:space="preserve"> at the end of project year 4</w:t>
      </w:r>
      <w:r w:rsidRPr="00040DEC">
        <w:rPr>
          <w:rStyle w:val="FootnoteReference"/>
          <w:sz w:val="20"/>
          <w:szCs w:val="20"/>
        </w:rPr>
        <w:footnoteReference w:id="61"/>
      </w:r>
      <w:r w:rsidRPr="00040DEC">
        <w:rPr>
          <w:sz w:val="20"/>
          <w:szCs w:val="20"/>
        </w:rPr>
        <w:t xml:space="preserve"> reached 26% compared to an elapsed loan period of 73%. Cumulative grant disbursements reached 12% against an elapsed grant period of 89%. </w:t>
      </w:r>
      <w:r w:rsidR="007D6A7E" w:rsidRPr="00040DEC">
        <w:rPr>
          <w:sz w:val="20"/>
          <w:szCs w:val="20"/>
        </w:rPr>
        <w:t>The schedule of cumulative disbursements against the elapsed loan period for total project funds and grant funds only</w:t>
      </w:r>
      <w:r w:rsidR="00143C8E">
        <w:rPr>
          <w:sz w:val="20"/>
          <w:szCs w:val="20"/>
        </w:rPr>
        <w:t xml:space="preserve"> is</w:t>
      </w:r>
      <w:r w:rsidR="007D6A7E" w:rsidRPr="00040DEC">
        <w:rPr>
          <w:sz w:val="20"/>
          <w:szCs w:val="20"/>
        </w:rPr>
        <w:t xml:space="preserve"> detailed in Appendix 9, Tables 9.4 and 9.5. </w:t>
      </w:r>
      <w:r w:rsidR="00AE79BF" w:rsidRPr="00040DEC">
        <w:rPr>
          <w:sz w:val="20"/>
          <w:szCs w:val="20"/>
        </w:rPr>
        <w:t>Successive ADB review missions highlighted the slow rate of disbursement</w:t>
      </w:r>
      <w:r w:rsidR="00105BCD" w:rsidRPr="00040DEC">
        <w:rPr>
          <w:sz w:val="20"/>
          <w:szCs w:val="20"/>
        </w:rPr>
        <w:t>. During the MTR m</w:t>
      </w:r>
      <w:r w:rsidRPr="00040DEC">
        <w:rPr>
          <w:sz w:val="20"/>
          <w:szCs w:val="20"/>
        </w:rPr>
        <w:t>ission the possibility of a partial cancellation of the loan and grant</w:t>
      </w:r>
      <w:r w:rsidR="00AE79BF" w:rsidRPr="00040DEC">
        <w:rPr>
          <w:sz w:val="20"/>
          <w:szCs w:val="20"/>
        </w:rPr>
        <w:t xml:space="preserve"> fund</w:t>
      </w:r>
      <w:r w:rsidRPr="00040DEC">
        <w:rPr>
          <w:sz w:val="20"/>
          <w:szCs w:val="20"/>
        </w:rPr>
        <w:t xml:space="preserve"> was highlighted.</w:t>
      </w:r>
      <w:r w:rsidRPr="00040DEC">
        <w:rPr>
          <w:rStyle w:val="FootnoteReference"/>
          <w:sz w:val="20"/>
          <w:szCs w:val="20"/>
        </w:rPr>
        <w:footnoteReference w:id="62"/>
      </w:r>
      <w:r w:rsidRPr="00040DEC">
        <w:rPr>
          <w:sz w:val="20"/>
          <w:szCs w:val="20"/>
        </w:rPr>
        <w:t xml:space="preserve"> </w:t>
      </w:r>
    </w:p>
    <w:p w:rsidR="000A56CA" w:rsidRPr="00040DEC" w:rsidRDefault="000A56CA" w:rsidP="000A56CA">
      <w:pPr>
        <w:pStyle w:val="Default"/>
        <w:jc w:val="both"/>
        <w:rPr>
          <w:sz w:val="20"/>
          <w:szCs w:val="20"/>
        </w:rPr>
      </w:pPr>
    </w:p>
    <w:p w:rsidR="000A56CA" w:rsidRPr="00D33652" w:rsidRDefault="000A56CA" w:rsidP="000A56CA">
      <w:pPr>
        <w:pStyle w:val="Default"/>
        <w:jc w:val="both"/>
        <w:rPr>
          <w:sz w:val="20"/>
          <w:szCs w:val="20"/>
        </w:rPr>
      </w:pPr>
      <w:r w:rsidRPr="00040DEC">
        <w:rPr>
          <w:sz w:val="20"/>
          <w:szCs w:val="20"/>
        </w:rPr>
        <w:fldChar w:fldCharType="begin"/>
      </w:r>
      <w:r w:rsidRPr="00040DEC">
        <w:rPr>
          <w:sz w:val="20"/>
          <w:szCs w:val="20"/>
        </w:rPr>
        <w:instrText xml:space="preserve"> AUTONUM </w:instrText>
      </w:r>
      <w:r w:rsidRPr="00040DEC">
        <w:rPr>
          <w:sz w:val="20"/>
          <w:szCs w:val="20"/>
        </w:rPr>
        <w:fldChar w:fldCharType="end"/>
      </w:r>
      <w:r w:rsidRPr="00040DEC">
        <w:rPr>
          <w:sz w:val="20"/>
          <w:szCs w:val="20"/>
        </w:rPr>
        <w:tab/>
        <w:t>To expedite disbursement of grant funds a reallocation</w:t>
      </w:r>
      <w:r w:rsidRPr="00D33652">
        <w:rPr>
          <w:sz w:val="20"/>
          <w:szCs w:val="20"/>
        </w:rPr>
        <w:t xml:space="preserve"> was approved in July 2014.</w:t>
      </w:r>
      <w:r w:rsidRPr="00D33652">
        <w:rPr>
          <w:rStyle w:val="FootnoteReference"/>
          <w:sz w:val="20"/>
          <w:szCs w:val="20"/>
        </w:rPr>
        <w:footnoteReference w:id="63"/>
      </w:r>
      <w:r w:rsidRPr="00D33652">
        <w:rPr>
          <w:sz w:val="20"/>
          <w:szCs w:val="20"/>
        </w:rPr>
        <w:t xml:space="preserve"> The primary reallocations were: (i) </w:t>
      </w:r>
      <w:r w:rsidR="00F67F00">
        <w:rPr>
          <w:sz w:val="20"/>
          <w:szCs w:val="20"/>
        </w:rPr>
        <w:t>A</w:t>
      </w:r>
      <w:r w:rsidRPr="00D33652">
        <w:rPr>
          <w:sz w:val="20"/>
          <w:szCs w:val="20"/>
        </w:rPr>
        <w:t xml:space="preserve">n increase in allocations to equipment (from </w:t>
      </w:r>
      <w:r w:rsidR="00F67F00">
        <w:rPr>
          <w:sz w:val="20"/>
          <w:szCs w:val="20"/>
        </w:rPr>
        <w:t>$</w:t>
      </w:r>
      <w:r w:rsidRPr="00D33652">
        <w:rPr>
          <w:sz w:val="20"/>
          <w:szCs w:val="20"/>
        </w:rPr>
        <w:t>0.05</w:t>
      </w:r>
      <w:r w:rsidR="00F67F00">
        <w:rPr>
          <w:sz w:val="20"/>
          <w:szCs w:val="20"/>
        </w:rPr>
        <w:t>m</w:t>
      </w:r>
      <w:r w:rsidRPr="00D33652">
        <w:rPr>
          <w:sz w:val="20"/>
          <w:szCs w:val="20"/>
        </w:rPr>
        <w:t xml:space="preserve"> to </w:t>
      </w:r>
      <w:r w:rsidR="00F67F00">
        <w:rPr>
          <w:sz w:val="20"/>
          <w:szCs w:val="20"/>
        </w:rPr>
        <w:t>$</w:t>
      </w:r>
      <w:r w:rsidRPr="00D33652">
        <w:rPr>
          <w:sz w:val="20"/>
          <w:szCs w:val="20"/>
        </w:rPr>
        <w:t>2.8</w:t>
      </w:r>
      <w:r w:rsidR="00F67F00">
        <w:rPr>
          <w:sz w:val="20"/>
          <w:szCs w:val="20"/>
        </w:rPr>
        <w:t xml:space="preserve">m </w:t>
      </w:r>
      <w:r w:rsidRPr="00D33652">
        <w:rPr>
          <w:sz w:val="20"/>
          <w:szCs w:val="20"/>
        </w:rPr>
        <w:t xml:space="preserve">and </w:t>
      </w:r>
      <w:r w:rsidR="00F67F00">
        <w:rPr>
          <w:sz w:val="20"/>
          <w:szCs w:val="20"/>
        </w:rPr>
        <w:t xml:space="preserve">the </w:t>
      </w:r>
      <w:r w:rsidRPr="00D33652">
        <w:rPr>
          <w:sz w:val="20"/>
          <w:szCs w:val="20"/>
        </w:rPr>
        <w:t xml:space="preserve">care pathways pilot (from </w:t>
      </w:r>
      <w:r w:rsidR="00F67F00">
        <w:rPr>
          <w:sz w:val="20"/>
          <w:szCs w:val="20"/>
        </w:rPr>
        <w:t>$</w:t>
      </w:r>
      <w:r w:rsidRPr="00D33652">
        <w:rPr>
          <w:sz w:val="20"/>
          <w:szCs w:val="20"/>
        </w:rPr>
        <w:t xml:space="preserve">0.34m to </w:t>
      </w:r>
      <w:r w:rsidR="00F67F00">
        <w:rPr>
          <w:sz w:val="20"/>
          <w:szCs w:val="20"/>
        </w:rPr>
        <w:t>$</w:t>
      </w:r>
      <w:r w:rsidRPr="00D33652">
        <w:rPr>
          <w:sz w:val="20"/>
          <w:szCs w:val="20"/>
        </w:rPr>
        <w:t xml:space="preserve">1.48m); (ii) </w:t>
      </w:r>
      <w:r w:rsidR="00F67F00">
        <w:rPr>
          <w:sz w:val="20"/>
          <w:szCs w:val="20"/>
        </w:rPr>
        <w:t>A</w:t>
      </w:r>
      <w:r w:rsidRPr="00D33652">
        <w:rPr>
          <w:sz w:val="20"/>
          <w:szCs w:val="20"/>
        </w:rPr>
        <w:t xml:space="preserve"> decrease in allocations to consulting services (from </w:t>
      </w:r>
      <w:r w:rsidR="00F67F00">
        <w:rPr>
          <w:sz w:val="20"/>
          <w:szCs w:val="20"/>
        </w:rPr>
        <w:t>$</w:t>
      </w:r>
      <w:r w:rsidRPr="00D33652">
        <w:rPr>
          <w:sz w:val="20"/>
          <w:szCs w:val="20"/>
        </w:rPr>
        <w:t xml:space="preserve">5.14m to </w:t>
      </w:r>
      <w:r w:rsidR="00F67F00">
        <w:rPr>
          <w:sz w:val="20"/>
          <w:szCs w:val="20"/>
        </w:rPr>
        <w:t>$</w:t>
      </w:r>
      <w:r w:rsidRPr="00D33652">
        <w:rPr>
          <w:sz w:val="20"/>
          <w:szCs w:val="20"/>
        </w:rPr>
        <w:t>3.5m). The original and revised allocations for grant, project loan and counterpart funds are detailed in Appendix 9, Table 9.1.</w:t>
      </w:r>
    </w:p>
    <w:p w:rsidR="000A56CA" w:rsidRPr="00D33652" w:rsidRDefault="000A56CA" w:rsidP="000A56CA">
      <w:pPr>
        <w:pStyle w:val="Default"/>
        <w:jc w:val="both"/>
        <w:rPr>
          <w:sz w:val="20"/>
          <w:szCs w:val="20"/>
        </w:rPr>
      </w:pPr>
    </w:p>
    <w:p w:rsidR="000A56CA" w:rsidRPr="00D33652" w:rsidRDefault="000A56CA" w:rsidP="000A56CA">
      <w:pPr>
        <w:pStyle w:val="Default"/>
        <w:jc w:val="both"/>
        <w:rPr>
          <w:sz w:val="20"/>
          <w:szCs w:val="20"/>
        </w:rPr>
      </w:pPr>
      <w:r w:rsidRPr="00D33652">
        <w:rPr>
          <w:sz w:val="20"/>
          <w:szCs w:val="20"/>
        </w:rPr>
        <w:fldChar w:fldCharType="begin"/>
      </w:r>
      <w:r w:rsidRPr="00D33652">
        <w:rPr>
          <w:sz w:val="20"/>
          <w:szCs w:val="20"/>
        </w:rPr>
        <w:instrText xml:space="preserve"> AUTONUM </w:instrText>
      </w:r>
      <w:r w:rsidRPr="00D33652">
        <w:rPr>
          <w:sz w:val="20"/>
          <w:szCs w:val="20"/>
        </w:rPr>
        <w:fldChar w:fldCharType="end"/>
      </w:r>
      <w:r w:rsidRPr="00D33652">
        <w:rPr>
          <w:sz w:val="20"/>
          <w:szCs w:val="20"/>
        </w:rPr>
        <w:tab/>
        <w:t>At the time of grant closing</w:t>
      </w:r>
      <w:r w:rsidRPr="00D33652">
        <w:rPr>
          <w:rStyle w:val="FootnoteReference"/>
          <w:sz w:val="20"/>
          <w:szCs w:val="20"/>
        </w:rPr>
        <w:footnoteReference w:id="64"/>
      </w:r>
      <w:r w:rsidR="009432A7">
        <w:rPr>
          <w:sz w:val="20"/>
          <w:szCs w:val="20"/>
        </w:rPr>
        <w:t xml:space="preserve"> 60% (6.45m</w:t>
      </w:r>
      <w:r w:rsidRPr="00D33652">
        <w:rPr>
          <w:sz w:val="20"/>
          <w:szCs w:val="20"/>
        </w:rPr>
        <w:t>) of gra</w:t>
      </w:r>
      <w:r w:rsidR="009432A7">
        <w:rPr>
          <w:sz w:val="20"/>
          <w:szCs w:val="20"/>
        </w:rPr>
        <w:t>nt funding and 56% (22.3m</w:t>
      </w:r>
      <w:r w:rsidRPr="00D33652">
        <w:rPr>
          <w:sz w:val="20"/>
          <w:szCs w:val="20"/>
        </w:rPr>
        <w:t>) of total project funding has been disbursed. Forward projections estimate disbursements at 31 December 2015 at 99% (10.65m) for grant funds and 89% (35.7m) for total project funds. DFAT will terminate the Co-financing agreement on 1 July 2015 and has issued a no objection letter for ADB to work with the GoV to reallocate the remaining grant contribution for disbursement by the project closing date. MoH have requested an extension to the project closing date to 30 June 2016. Data on loan and grant disbursements is detailed in Appendix 9</w:t>
      </w:r>
      <w:r w:rsidR="0083264E">
        <w:rPr>
          <w:sz w:val="20"/>
          <w:szCs w:val="20"/>
        </w:rPr>
        <w:t>,</w:t>
      </w:r>
      <w:r w:rsidRPr="00D33652">
        <w:rPr>
          <w:sz w:val="20"/>
          <w:szCs w:val="20"/>
        </w:rPr>
        <w:t xml:space="preserve"> Table 9.2 and 9.3.</w:t>
      </w:r>
    </w:p>
    <w:p w:rsidR="000A56CA" w:rsidRPr="00D33652" w:rsidRDefault="000A56CA" w:rsidP="000A56CA">
      <w:pPr>
        <w:pStyle w:val="Default"/>
        <w:jc w:val="both"/>
        <w:rPr>
          <w:sz w:val="20"/>
          <w:szCs w:val="20"/>
        </w:rPr>
      </w:pPr>
    </w:p>
    <w:p w:rsidR="000A56CA" w:rsidRPr="00D33652" w:rsidRDefault="000A56CA" w:rsidP="000A56CA">
      <w:pPr>
        <w:pStyle w:val="Default"/>
        <w:jc w:val="both"/>
        <w:rPr>
          <w:sz w:val="20"/>
          <w:szCs w:val="20"/>
        </w:rPr>
      </w:pPr>
      <w:r w:rsidRPr="00D33652">
        <w:rPr>
          <w:sz w:val="20"/>
          <w:szCs w:val="20"/>
        </w:rPr>
        <w:fldChar w:fldCharType="begin"/>
      </w:r>
      <w:r w:rsidRPr="00D33652">
        <w:rPr>
          <w:sz w:val="20"/>
          <w:szCs w:val="20"/>
        </w:rPr>
        <w:instrText xml:space="preserve"> AUTONUM </w:instrText>
      </w:r>
      <w:r w:rsidRPr="00D33652">
        <w:rPr>
          <w:sz w:val="20"/>
          <w:szCs w:val="20"/>
        </w:rPr>
        <w:fldChar w:fldCharType="end"/>
      </w:r>
      <w:r w:rsidRPr="00D33652">
        <w:rPr>
          <w:sz w:val="20"/>
          <w:szCs w:val="20"/>
        </w:rPr>
        <w:tab/>
        <w:t xml:space="preserve">The Project’s physical progress mirrors financial progress with activities only commencing in earnest in late 2012. The ADB review mission in April 2013 assessed physical progress to be at 30% against an elapsed loan period of 50% prompting ADB to flag </w:t>
      </w:r>
      <w:r w:rsidR="00A50C99">
        <w:rPr>
          <w:sz w:val="20"/>
          <w:szCs w:val="20"/>
        </w:rPr>
        <w:t>the HHRSDP</w:t>
      </w:r>
      <w:r w:rsidRPr="00D33652">
        <w:rPr>
          <w:sz w:val="20"/>
          <w:szCs w:val="20"/>
        </w:rPr>
        <w:t xml:space="preserve"> as a problem project.</w:t>
      </w:r>
      <w:r w:rsidRPr="00D33652">
        <w:rPr>
          <w:rStyle w:val="FootnoteReference"/>
          <w:sz w:val="20"/>
          <w:szCs w:val="20"/>
        </w:rPr>
        <w:footnoteReference w:id="65"/>
      </w:r>
      <w:r w:rsidRPr="00D33652">
        <w:rPr>
          <w:sz w:val="20"/>
          <w:szCs w:val="20"/>
        </w:rPr>
        <w:t xml:space="preserve"> At </w:t>
      </w:r>
      <w:r w:rsidR="00040DEC">
        <w:rPr>
          <w:sz w:val="20"/>
          <w:szCs w:val="20"/>
        </w:rPr>
        <w:t xml:space="preserve">the </w:t>
      </w:r>
      <w:r w:rsidRPr="00D33652">
        <w:rPr>
          <w:sz w:val="20"/>
          <w:szCs w:val="20"/>
        </w:rPr>
        <w:t>time of the ICE physical progress was estimated to be at 81%.</w:t>
      </w:r>
      <w:r w:rsidRPr="00D33652">
        <w:rPr>
          <w:rStyle w:val="FootnoteReference"/>
          <w:sz w:val="20"/>
          <w:szCs w:val="20"/>
        </w:rPr>
        <w:footnoteReference w:id="66"/>
      </w:r>
      <w:r w:rsidRPr="00D33652">
        <w:rPr>
          <w:sz w:val="20"/>
          <w:szCs w:val="20"/>
        </w:rPr>
        <w:t xml:space="preserve"> By 31 December 2015, 85% of activities will have been completed. The assessment of project implementation status by component is attached in Appendix 10</w:t>
      </w:r>
      <w:r w:rsidR="0083264E">
        <w:rPr>
          <w:sz w:val="20"/>
          <w:szCs w:val="20"/>
        </w:rPr>
        <w:t>,</w:t>
      </w:r>
      <w:r w:rsidRPr="00D33652">
        <w:rPr>
          <w:sz w:val="20"/>
          <w:szCs w:val="20"/>
        </w:rPr>
        <w:t xml:space="preserve"> Table 10.1.  </w:t>
      </w:r>
    </w:p>
    <w:p w:rsidR="000A56CA" w:rsidRPr="00D33652" w:rsidRDefault="000A56CA" w:rsidP="000A56CA">
      <w:pPr>
        <w:pStyle w:val="Default"/>
        <w:jc w:val="both"/>
        <w:rPr>
          <w:sz w:val="20"/>
          <w:szCs w:val="20"/>
        </w:rPr>
      </w:pPr>
    </w:p>
    <w:p w:rsidR="006A6E48" w:rsidRPr="00D33652" w:rsidRDefault="000A56CA" w:rsidP="006A6E48">
      <w:pPr>
        <w:pStyle w:val="Default"/>
        <w:jc w:val="both"/>
        <w:rPr>
          <w:sz w:val="20"/>
          <w:szCs w:val="20"/>
        </w:rPr>
      </w:pPr>
      <w:r w:rsidRPr="00D33652">
        <w:rPr>
          <w:sz w:val="20"/>
          <w:szCs w:val="20"/>
        </w:rPr>
        <w:fldChar w:fldCharType="begin"/>
      </w:r>
      <w:r w:rsidRPr="00D33652">
        <w:rPr>
          <w:sz w:val="20"/>
          <w:szCs w:val="20"/>
        </w:rPr>
        <w:instrText xml:space="preserve"> AUTONUM </w:instrText>
      </w:r>
      <w:r w:rsidRPr="00D33652">
        <w:rPr>
          <w:sz w:val="20"/>
          <w:szCs w:val="20"/>
        </w:rPr>
        <w:fldChar w:fldCharType="end"/>
      </w:r>
      <w:r w:rsidRPr="00D33652">
        <w:rPr>
          <w:sz w:val="20"/>
          <w:szCs w:val="20"/>
        </w:rPr>
        <w:tab/>
        <w:t>The ICE team assess</w:t>
      </w:r>
      <w:r w:rsidR="00F67F00">
        <w:rPr>
          <w:sz w:val="20"/>
          <w:szCs w:val="20"/>
        </w:rPr>
        <w:t>ed</w:t>
      </w:r>
      <w:r w:rsidRPr="00D33652">
        <w:rPr>
          <w:sz w:val="20"/>
          <w:szCs w:val="20"/>
        </w:rPr>
        <w:t xml:space="preserve"> the Project’s sub-optimal implementation progress </w:t>
      </w:r>
      <w:r w:rsidR="00F67F00">
        <w:rPr>
          <w:sz w:val="20"/>
          <w:szCs w:val="20"/>
        </w:rPr>
        <w:t xml:space="preserve">as </w:t>
      </w:r>
      <w:r w:rsidRPr="00D33652">
        <w:rPr>
          <w:sz w:val="20"/>
          <w:szCs w:val="20"/>
        </w:rPr>
        <w:t>result</w:t>
      </w:r>
      <w:r w:rsidR="00F67F00">
        <w:rPr>
          <w:sz w:val="20"/>
          <w:szCs w:val="20"/>
        </w:rPr>
        <w:t>ing</w:t>
      </w:r>
      <w:r w:rsidRPr="00D33652">
        <w:rPr>
          <w:sz w:val="20"/>
          <w:szCs w:val="20"/>
        </w:rPr>
        <w:t xml:space="preserve"> from a combination </w:t>
      </w:r>
      <w:r w:rsidR="007B5C7A">
        <w:rPr>
          <w:sz w:val="20"/>
          <w:szCs w:val="20"/>
        </w:rPr>
        <w:t xml:space="preserve">of </w:t>
      </w:r>
      <w:r w:rsidRPr="00D33652">
        <w:rPr>
          <w:sz w:val="20"/>
          <w:szCs w:val="20"/>
        </w:rPr>
        <w:t xml:space="preserve">project related and institutional factors. These factors are elaborated in the sections below. </w:t>
      </w:r>
    </w:p>
    <w:p w:rsidR="006A6E48" w:rsidRPr="00EE4E98" w:rsidRDefault="006A6E48" w:rsidP="00EE4E98">
      <w:pPr>
        <w:pStyle w:val="Heading3"/>
        <w:spacing w:after="120"/>
        <w:ind w:left="720" w:hanging="436"/>
        <w:rPr>
          <w:color w:val="000000"/>
          <w:sz w:val="21"/>
          <w:szCs w:val="21"/>
        </w:rPr>
      </w:pPr>
      <w:bookmarkStart w:id="48" w:name="_Toc422301209"/>
      <w:bookmarkStart w:id="49" w:name="_Toc423359327"/>
      <w:r w:rsidRPr="00EE4E98">
        <w:rPr>
          <w:color w:val="000000"/>
          <w:sz w:val="21"/>
          <w:szCs w:val="21"/>
        </w:rPr>
        <w:t>Implementation Arrangements</w:t>
      </w:r>
      <w:bookmarkEnd w:id="48"/>
      <w:bookmarkEnd w:id="49"/>
    </w:p>
    <w:bookmarkStart w:id="50" w:name="_Toc422301210"/>
    <w:p w:rsidR="000A56CA" w:rsidRDefault="000A56CA" w:rsidP="000A56CA">
      <w:pPr>
        <w:spacing w:after="120"/>
        <w:jc w:val="both"/>
        <w:rPr>
          <w:rFonts w:ascii="Arial" w:hAnsi="Arial" w:cs="Arial"/>
        </w:rPr>
      </w:pPr>
      <w:r w:rsidRPr="00D33652">
        <w:rPr>
          <w:rFonts w:ascii="Arial" w:hAnsi="Arial" w:cs="Arial"/>
        </w:rPr>
        <w:fldChar w:fldCharType="begin"/>
      </w:r>
      <w:r w:rsidRPr="00D33652">
        <w:rPr>
          <w:rFonts w:ascii="Arial" w:hAnsi="Arial" w:cs="Arial"/>
        </w:rPr>
        <w:instrText xml:space="preserve"> AUTONUM </w:instrText>
      </w:r>
      <w:r w:rsidRPr="00D33652">
        <w:rPr>
          <w:rFonts w:ascii="Arial" w:hAnsi="Arial" w:cs="Arial"/>
        </w:rPr>
        <w:fldChar w:fldCharType="end"/>
      </w:r>
      <w:r w:rsidRPr="00D33652">
        <w:rPr>
          <w:rFonts w:ascii="Arial" w:hAnsi="Arial" w:cs="Arial"/>
        </w:rPr>
        <w:tab/>
      </w:r>
      <w:r w:rsidR="002F2C3F">
        <w:rPr>
          <w:rFonts w:ascii="Arial" w:hAnsi="Arial" w:cs="Arial"/>
          <w:b/>
        </w:rPr>
        <w:t>P</w:t>
      </w:r>
      <w:r w:rsidR="002F2C3F" w:rsidRPr="00D33652">
        <w:rPr>
          <w:rFonts w:ascii="Arial" w:hAnsi="Arial" w:cs="Arial"/>
          <w:b/>
        </w:rPr>
        <w:t>roject structure and staffing</w:t>
      </w:r>
      <w:r w:rsidRPr="00D33652">
        <w:rPr>
          <w:rFonts w:ascii="Arial" w:hAnsi="Arial" w:cs="Arial"/>
          <w:b/>
        </w:rPr>
        <w:t>.</w:t>
      </w:r>
      <w:r w:rsidRPr="00D33652">
        <w:rPr>
          <w:rFonts w:ascii="Arial" w:hAnsi="Arial" w:cs="Arial"/>
        </w:rPr>
        <w:t xml:space="preserve"> Following loan approval the </w:t>
      </w:r>
      <w:r w:rsidR="00040DEC">
        <w:rPr>
          <w:rFonts w:ascii="Arial" w:hAnsi="Arial" w:cs="Arial"/>
        </w:rPr>
        <w:t>MoH</w:t>
      </w:r>
      <w:r w:rsidR="00AC3170">
        <w:rPr>
          <w:rFonts w:ascii="Arial" w:hAnsi="Arial" w:cs="Arial"/>
        </w:rPr>
        <w:t>, as the executing a</w:t>
      </w:r>
      <w:r w:rsidRPr="00D33652">
        <w:rPr>
          <w:rFonts w:ascii="Arial" w:hAnsi="Arial" w:cs="Arial"/>
        </w:rPr>
        <w:t>gency</w:t>
      </w:r>
      <w:r w:rsidR="004C045B">
        <w:rPr>
          <w:rFonts w:ascii="Arial" w:hAnsi="Arial" w:cs="Arial"/>
        </w:rPr>
        <w:t xml:space="preserve"> (EA)</w:t>
      </w:r>
      <w:r w:rsidRPr="00D33652">
        <w:rPr>
          <w:rFonts w:ascii="Arial" w:hAnsi="Arial" w:cs="Arial"/>
        </w:rPr>
        <w:t xml:space="preserve">, established an interdepartmental </w:t>
      </w:r>
      <w:r w:rsidR="00371FD2" w:rsidRPr="006F02FE">
        <w:rPr>
          <w:rFonts w:ascii="Arial" w:hAnsi="Arial" w:cs="Arial"/>
        </w:rPr>
        <w:t>PMU</w:t>
      </w:r>
      <w:r w:rsidRPr="006F02FE">
        <w:rPr>
          <w:rFonts w:ascii="Arial" w:hAnsi="Arial" w:cs="Arial"/>
        </w:rPr>
        <w:t xml:space="preserve"> with </w:t>
      </w:r>
      <w:r w:rsidR="0007717D" w:rsidRPr="006F02FE">
        <w:rPr>
          <w:rFonts w:ascii="Arial" w:hAnsi="Arial" w:cs="Arial"/>
        </w:rPr>
        <w:t>the</w:t>
      </w:r>
      <w:r w:rsidRPr="006F02FE">
        <w:rPr>
          <w:rFonts w:ascii="Arial" w:hAnsi="Arial" w:cs="Arial"/>
        </w:rPr>
        <w:t xml:space="preserve"> focal point in the ASTT.</w:t>
      </w:r>
      <w:r w:rsidRPr="006F02FE">
        <w:rPr>
          <w:rStyle w:val="FootnoteReference"/>
          <w:rFonts w:cs="Arial"/>
          <w:sz w:val="20"/>
        </w:rPr>
        <w:footnoteReference w:id="67"/>
      </w:r>
      <w:r w:rsidRPr="006F02FE">
        <w:rPr>
          <w:rFonts w:ascii="Arial" w:hAnsi="Arial" w:cs="Arial"/>
        </w:rPr>
        <w:t xml:space="preserve"> The PMU management comprise</w:t>
      </w:r>
      <w:r w:rsidR="004C045B">
        <w:rPr>
          <w:rFonts w:ascii="Arial" w:hAnsi="Arial" w:cs="Arial"/>
        </w:rPr>
        <w:t>s</w:t>
      </w:r>
      <w:r w:rsidRPr="006F02FE">
        <w:rPr>
          <w:rFonts w:ascii="Arial" w:hAnsi="Arial" w:cs="Arial"/>
        </w:rPr>
        <w:t xml:space="preserve"> four positions of Project Director, two Vice-Directors, and </w:t>
      </w:r>
      <w:r w:rsidR="004C045B">
        <w:rPr>
          <w:rFonts w:ascii="Arial" w:hAnsi="Arial" w:cs="Arial"/>
        </w:rPr>
        <w:t xml:space="preserve">a </w:t>
      </w:r>
      <w:r w:rsidRPr="006F02FE">
        <w:rPr>
          <w:rFonts w:ascii="Arial" w:hAnsi="Arial" w:cs="Arial"/>
        </w:rPr>
        <w:t>Chief</w:t>
      </w:r>
      <w:r w:rsidRPr="00D33652">
        <w:rPr>
          <w:rFonts w:ascii="Arial" w:hAnsi="Arial" w:cs="Arial"/>
        </w:rPr>
        <w:t xml:space="preserve"> Accountant</w:t>
      </w:r>
      <w:r w:rsidR="004C045B">
        <w:rPr>
          <w:rFonts w:ascii="Arial" w:hAnsi="Arial" w:cs="Arial"/>
        </w:rPr>
        <w:t xml:space="preserve">. </w:t>
      </w:r>
      <w:r w:rsidR="00E93E8D">
        <w:rPr>
          <w:rFonts w:ascii="Arial" w:hAnsi="Arial" w:cs="Arial"/>
        </w:rPr>
        <w:t>S</w:t>
      </w:r>
      <w:r w:rsidRPr="00D33652">
        <w:rPr>
          <w:rFonts w:ascii="Arial" w:hAnsi="Arial" w:cs="Arial"/>
        </w:rPr>
        <w:t xml:space="preserve">enior MoH </w:t>
      </w:r>
      <w:r w:rsidR="00666D61">
        <w:rPr>
          <w:rFonts w:ascii="Arial" w:hAnsi="Arial" w:cs="Arial"/>
        </w:rPr>
        <w:t>o</w:t>
      </w:r>
      <w:r w:rsidR="004C045B">
        <w:rPr>
          <w:rFonts w:ascii="Arial" w:hAnsi="Arial" w:cs="Arial"/>
        </w:rPr>
        <w:t>fficers</w:t>
      </w:r>
      <w:r w:rsidR="00E93E8D">
        <w:rPr>
          <w:rFonts w:ascii="Arial" w:hAnsi="Arial" w:cs="Arial"/>
        </w:rPr>
        <w:t>,</w:t>
      </w:r>
      <w:r w:rsidR="004C045B" w:rsidRPr="00D33652">
        <w:rPr>
          <w:rFonts w:ascii="Arial" w:hAnsi="Arial" w:cs="Arial"/>
        </w:rPr>
        <w:t xml:space="preserve"> </w:t>
      </w:r>
      <w:r w:rsidRPr="00D33652">
        <w:rPr>
          <w:rFonts w:ascii="Arial" w:hAnsi="Arial" w:cs="Arial"/>
        </w:rPr>
        <w:t xml:space="preserve">seconded on </w:t>
      </w:r>
      <w:r w:rsidR="003D2991">
        <w:rPr>
          <w:rFonts w:ascii="Arial" w:hAnsi="Arial" w:cs="Arial"/>
        </w:rPr>
        <w:t xml:space="preserve">a </w:t>
      </w:r>
      <w:r w:rsidRPr="00D33652">
        <w:rPr>
          <w:rFonts w:ascii="Arial" w:hAnsi="Arial" w:cs="Arial"/>
        </w:rPr>
        <w:t>part-time basis</w:t>
      </w:r>
      <w:r w:rsidR="00E93E8D">
        <w:rPr>
          <w:rFonts w:ascii="Arial" w:hAnsi="Arial" w:cs="Arial"/>
        </w:rPr>
        <w:t>, hold these positions</w:t>
      </w:r>
      <w:r w:rsidRPr="00D33652">
        <w:rPr>
          <w:rFonts w:ascii="Arial" w:hAnsi="Arial" w:cs="Arial"/>
        </w:rPr>
        <w:t xml:space="preserve">. A further six MoH </w:t>
      </w:r>
      <w:r w:rsidR="004C045B">
        <w:rPr>
          <w:rFonts w:ascii="Arial" w:hAnsi="Arial" w:cs="Arial"/>
        </w:rPr>
        <w:t xml:space="preserve">officers </w:t>
      </w:r>
      <w:r w:rsidRPr="00D33652">
        <w:rPr>
          <w:rFonts w:ascii="Arial" w:hAnsi="Arial" w:cs="Arial"/>
        </w:rPr>
        <w:t xml:space="preserve">from various </w:t>
      </w:r>
      <w:r w:rsidR="003D2991">
        <w:rPr>
          <w:rFonts w:ascii="Arial" w:hAnsi="Arial" w:cs="Arial"/>
        </w:rPr>
        <w:t>d</w:t>
      </w:r>
      <w:r w:rsidRPr="00D33652">
        <w:rPr>
          <w:rFonts w:ascii="Arial" w:hAnsi="Arial" w:cs="Arial"/>
        </w:rPr>
        <w:t xml:space="preserve">epartments </w:t>
      </w:r>
      <w:r w:rsidR="004C045B">
        <w:rPr>
          <w:rFonts w:ascii="Arial" w:hAnsi="Arial" w:cs="Arial"/>
        </w:rPr>
        <w:t>a</w:t>
      </w:r>
      <w:r w:rsidRPr="00D33652">
        <w:rPr>
          <w:rFonts w:ascii="Arial" w:hAnsi="Arial" w:cs="Arial"/>
        </w:rPr>
        <w:t xml:space="preserve">re assigned to </w:t>
      </w:r>
      <w:r w:rsidR="008F14D1">
        <w:rPr>
          <w:rFonts w:ascii="Arial" w:hAnsi="Arial" w:cs="Arial"/>
        </w:rPr>
        <w:t xml:space="preserve">project management and </w:t>
      </w:r>
      <w:r w:rsidRPr="00D33652">
        <w:rPr>
          <w:rFonts w:ascii="Arial" w:hAnsi="Arial" w:cs="Arial"/>
        </w:rPr>
        <w:t xml:space="preserve">technical roles on the </w:t>
      </w:r>
      <w:r w:rsidR="004C045B">
        <w:rPr>
          <w:rFonts w:ascii="Arial" w:hAnsi="Arial" w:cs="Arial"/>
        </w:rPr>
        <w:t>C</w:t>
      </w:r>
      <w:r w:rsidRPr="00D33652">
        <w:rPr>
          <w:rFonts w:ascii="Arial" w:hAnsi="Arial" w:cs="Arial"/>
        </w:rPr>
        <w:t>ommittee. The PMU is staffed by</w:t>
      </w:r>
      <w:r w:rsidR="003D2991">
        <w:rPr>
          <w:rFonts w:ascii="Arial" w:hAnsi="Arial" w:cs="Arial"/>
        </w:rPr>
        <w:t xml:space="preserve"> </w:t>
      </w:r>
      <w:r w:rsidRPr="00D33652">
        <w:rPr>
          <w:rFonts w:ascii="Arial" w:hAnsi="Arial" w:cs="Arial"/>
        </w:rPr>
        <w:t>14 full</w:t>
      </w:r>
      <w:r w:rsidR="004C045B">
        <w:rPr>
          <w:rFonts w:ascii="Arial" w:hAnsi="Arial" w:cs="Arial"/>
        </w:rPr>
        <w:t>-</w:t>
      </w:r>
      <w:r w:rsidRPr="00D33652">
        <w:rPr>
          <w:rFonts w:ascii="Arial" w:hAnsi="Arial" w:cs="Arial"/>
        </w:rPr>
        <w:t xml:space="preserve">time project staff in finance, procurement, planning and support roles. As one of MoH’s flagship programs </w:t>
      </w:r>
      <w:r w:rsidR="00A50C99">
        <w:rPr>
          <w:rFonts w:ascii="Arial" w:hAnsi="Arial" w:cs="Arial"/>
        </w:rPr>
        <w:t>the HHRSDP</w:t>
      </w:r>
      <w:r w:rsidRPr="00D33652">
        <w:rPr>
          <w:rFonts w:ascii="Arial" w:hAnsi="Arial" w:cs="Arial"/>
        </w:rPr>
        <w:t xml:space="preserve"> has benefited from close oversight </w:t>
      </w:r>
      <w:r w:rsidR="003D2991">
        <w:rPr>
          <w:rFonts w:ascii="Arial" w:hAnsi="Arial" w:cs="Arial"/>
        </w:rPr>
        <w:t>from</w:t>
      </w:r>
      <w:r w:rsidRPr="00D33652">
        <w:rPr>
          <w:rFonts w:ascii="Arial" w:hAnsi="Arial" w:cs="Arial"/>
        </w:rPr>
        <w:t xml:space="preserve"> the Minister for Health </w:t>
      </w:r>
      <w:r w:rsidR="004C045B">
        <w:rPr>
          <w:rFonts w:ascii="Arial" w:hAnsi="Arial" w:cs="Arial"/>
        </w:rPr>
        <w:t xml:space="preserve">and </w:t>
      </w:r>
      <w:r w:rsidRPr="00D33652">
        <w:rPr>
          <w:rFonts w:ascii="Arial" w:hAnsi="Arial" w:cs="Arial"/>
        </w:rPr>
        <w:t>the respective Vice</w:t>
      </w:r>
      <w:r w:rsidR="004C045B">
        <w:rPr>
          <w:rFonts w:ascii="Arial" w:hAnsi="Arial" w:cs="Arial"/>
        </w:rPr>
        <w:t>-</w:t>
      </w:r>
      <w:r w:rsidRPr="00D33652">
        <w:rPr>
          <w:rFonts w:ascii="Arial" w:hAnsi="Arial" w:cs="Arial"/>
        </w:rPr>
        <w:t xml:space="preserve">Ministers. The </w:t>
      </w:r>
      <w:r w:rsidR="003D2991">
        <w:rPr>
          <w:rFonts w:ascii="Arial" w:hAnsi="Arial" w:cs="Arial"/>
        </w:rPr>
        <w:t>P</w:t>
      </w:r>
      <w:r w:rsidRPr="00D33652">
        <w:rPr>
          <w:rFonts w:ascii="Arial" w:hAnsi="Arial" w:cs="Arial"/>
        </w:rPr>
        <w:t>roject has established 1</w:t>
      </w:r>
      <w:r w:rsidR="00371FD2" w:rsidRPr="00D33652">
        <w:rPr>
          <w:rFonts w:ascii="Arial" w:hAnsi="Arial" w:cs="Arial"/>
        </w:rPr>
        <w:t>7 PIUs</w:t>
      </w:r>
      <w:r w:rsidRPr="00D33652">
        <w:rPr>
          <w:rFonts w:ascii="Arial" w:hAnsi="Arial" w:cs="Arial"/>
        </w:rPr>
        <w:t xml:space="preserve"> within the beneficiary </w:t>
      </w:r>
      <w:r w:rsidR="003D2991">
        <w:rPr>
          <w:rFonts w:ascii="Arial" w:hAnsi="Arial" w:cs="Arial"/>
        </w:rPr>
        <w:t>u</w:t>
      </w:r>
      <w:r w:rsidRPr="00D33652">
        <w:rPr>
          <w:rFonts w:ascii="Arial" w:hAnsi="Arial" w:cs="Arial"/>
        </w:rPr>
        <w:t>niversities, a variation on the implementat</w:t>
      </w:r>
      <w:r w:rsidR="00AE79BF">
        <w:rPr>
          <w:rFonts w:ascii="Arial" w:hAnsi="Arial" w:cs="Arial"/>
        </w:rPr>
        <w:t>ion arrangements at design that</w:t>
      </w:r>
      <w:r w:rsidRPr="00D33652">
        <w:rPr>
          <w:rFonts w:ascii="Arial" w:hAnsi="Arial" w:cs="Arial"/>
        </w:rPr>
        <w:t xml:space="preserve"> proposed on</w:t>
      </w:r>
      <w:r w:rsidR="004C045B">
        <w:rPr>
          <w:rFonts w:ascii="Arial" w:hAnsi="Arial" w:cs="Arial"/>
        </w:rPr>
        <w:t>ly</w:t>
      </w:r>
      <w:r w:rsidRPr="00D33652">
        <w:rPr>
          <w:rFonts w:ascii="Arial" w:hAnsi="Arial" w:cs="Arial"/>
        </w:rPr>
        <w:t xml:space="preserve"> six PIUs at the hub </w:t>
      </w:r>
      <w:r w:rsidR="004C045B">
        <w:rPr>
          <w:rFonts w:ascii="Arial" w:hAnsi="Arial" w:cs="Arial"/>
        </w:rPr>
        <w:t>u</w:t>
      </w:r>
      <w:r w:rsidRPr="00D33652">
        <w:rPr>
          <w:rFonts w:ascii="Arial" w:hAnsi="Arial" w:cs="Arial"/>
        </w:rPr>
        <w:t>niversities.</w:t>
      </w:r>
    </w:p>
    <w:p w:rsidR="004261E6" w:rsidRDefault="00502045" w:rsidP="004261E6">
      <w:pPr>
        <w:jc w:val="both"/>
        <w:rPr>
          <w:rFonts w:ascii="Arial" w:hAnsi="Arial" w:cs="Arial"/>
          <w:lang w:val="en-AU"/>
        </w:rPr>
      </w:pPr>
      <w:r w:rsidRPr="00D33652">
        <w:rPr>
          <w:rFonts w:ascii="Arial" w:hAnsi="Arial" w:cs="Arial"/>
        </w:rPr>
        <w:fldChar w:fldCharType="begin"/>
      </w:r>
      <w:r w:rsidRPr="00D33652">
        <w:rPr>
          <w:rFonts w:ascii="Arial" w:hAnsi="Arial" w:cs="Arial"/>
        </w:rPr>
        <w:instrText xml:space="preserve"> AUTONUM </w:instrText>
      </w:r>
      <w:r w:rsidRPr="00D33652">
        <w:rPr>
          <w:rFonts w:ascii="Arial" w:hAnsi="Arial" w:cs="Arial"/>
        </w:rPr>
        <w:fldChar w:fldCharType="end"/>
      </w:r>
      <w:r w:rsidRPr="00D33652">
        <w:rPr>
          <w:rFonts w:ascii="Arial" w:hAnsi="Arial" w:cs="Arial"/>
        </w:rPr>
        <w:tab/>
      </w:r>
      <w:r w:rsidR="00A85814">
        <w:rPr>
          <w:rFonts w:ascii="Arial" w:hAnsi="Arial" w:cs="Arial"/>
        </w:rPr>
        <w:t>Dur</w:t>
      </w:r>
      <w:r w:rsidR="004C6223">
        <w:rPr>
          <w:rFonts w:ascii="Arial" w:hAnsi="Arial" w:cs="Arial"/>
        </w:rPr>
        <w:t xml:space="preserve">ing the MTR ADB identified </w:t>
      </w:r>
      <w:r>
        <w:rPr>
          <w:rFonts w:ascii="Arial" w:hAnsi="Arial" w:cs="Arial"/>
        </w:rPr>
        <w:t xml:space="preserve">gaps in </w:t>
      </w:r>
      <w:r w:rsidR="004C6223">
        <w:rPr>
          <w:rFonts w:ascii="Arial" w:hAnsi="Arial" w:cs="Arial"/>
          <w:lang w:val="en-AU"/>
        </w:rPr>
        <w:t>PMU</w:t>
      </w:r>
      <w:r>
        <w:rPr>
          <w:rFonts w:ascii="Arial" w:hAnsi="Arial" w:cs="Arial"/>
          <w:lang w:val="en-AU"/>
        </w:rPr>
        <w:t xml:space="preserve"> capacity</w:t>
      </w:r>
      <w:r w:rsidR="0089399B">
        <w:rPr>
          <w:rFonts w:ascii="Arial" w:hAnsi="Arial" w:cs="Arial"/>
          <w:lang w:val="en-AU"/>
        </w:rPr>
        <w:t xml:space="preserve"> including the key areas of </w:t>
      </w:r>
      <w:r w:rsidR="00A85814" w:rsidRPr="00701577">
        <w:rPr>
          <w:rFonts w:ascii="Arial" w:hAnsi="Arial" w:cs="Arial"/>
          <w:lang w:val="en-AU"/>
        </w:rPr>
        <w:t>coordination with stakeholders, project management, procu</w:t>
      </w:r>
      <w:r w:rsidR="00A85814">
        <w:rPr>
          <w:rFonts w:ascii="Arial" w:hAnsi="Arial" w:cs="Arial"/>
          <w:lang w:val="en-AU"/>
        </w:rPr>
        <w:t xml:space="preserve">rement, provincial supervision, </w:t>
      </w:r>
      <w:r w:rsidR="00A85814" w:rsidRPr="00701577">
        <w:rPr>
          <w:rFonts w:ascii="Arial" w:hAnsi="Arial" w:cs="Arial"/>
          <w:lang w:val="en-AU"/>
        </w:rPr>
        <w:t>monitoring, and financial management</w:t>
      </w:r>
      <w:r w:rsidR="0089399B">
        <w:rPr>
          <w:rFonts w:ascii="Arial" w:hAnsi="Arial" w:cs="Arial"/>
          <w:lang w:val="en-AU"/>
        </w:rPr>
        <w:t>. These gaps were viewed as contributing</w:t>
      </w:r>
      <w:r w:rsidR="004C6223">
        <w:rPr>
          <w:rFonts w:ascii="Arial" w:hAnsi="Arial" w:cs="Arial"/>
          <w:lang w:val="en-AU"/>
        </w:rPr>
        <w:t xml:space="preserve"> </w:t>
      </w:r>
      <w:r>
        <w:rPr>
          <w:rFonts w:ascii="Arial" w:hAnsi="Arial" w:cs="Arial"/>
          <w:lang w:val="en-AU"/>
        </w:rPr>
        <w:t>to</w:t>
      </w:r>
      <w:r w:rsidR="004C6223">
        <w:rPr>
          <w:rFonts w:ascii="Arial" w:hAnsi="Arial" w:cs="Arial"/>
          <w:lang w:val="en-AU"/>
        </w:rPr>
        <w:t xml:space="preserve"> the Project’s sub-optimal implementation performance.</w:t>
      </w:r>
      <w:r w:rsidR="004C6223">
        <w:rPr>
          <w:rStyle w:val="FootnoteReference"/>
          <w:rFonts w:cs="Arial"/>
          <w:lang w:val="en-AU"/>
        </w:rPr>
        <w:footnoteReference w:id="68"/>
      </w:r>
      <w:r w:rsidR="004C6223">
        <w:rPr>
          <w:rFonts w:ascii="Arial" w:hAnsi="Arial" w:cs="Arial"/>
          <w:lang w:val="en-AU"/>
        </w:rPr>
        <w:t xml:space="preserve"> The </w:t>
      </w:r>
      <w:r w:rsidR="004261E6" w:rsidRPr="00701577">
        <w:rPr>
          <w:rFonts w:ascii="Arial" w:hAnsi="Arial" w:cs="Arial"/>
          <w:lang w:val="en-AU"/>
        </w:rPr>
        <w:t>PMU</w:t>
      </w:r>
      <w:r w:rsidR="004C6223">
        <w:rPr>
          <w:rFonts w:ascii="Arial" w:hAnsi="Arial" w:cs="Arial"/>
          <w:lang w:val="en-AU"/>
        </w:rPr>
        <w:t>’s</w:t>
      </w:r>
      <w:r w:rsidR="004261E6" w:rsidRPr="00701577">
        <w:rPr>
          <w:rFonts w:ascii="Arial" w:hAnsi="Arial" w:cs="Arial"/>
          <w:lang w:val="en-AU"/>
        </w:rPr>
        <w:t xml:space="preserve"> government staff and the Mission</w:t>
      </w:r>
      <w:r w:rsidR="004C6223">
        <w:rPr>
          <w:rFonts w:ascii="Arial" w:hAnsi="Arial" w:cs="Arial"/>
          <w:lang w:val="en-AU"/>
        </w:rPr>
        <w:t xml:space="preserve"> conducted a review of </w:t>
      </w:r>
      <w:r w:rsidR="004C6223" w:rsidRPr="00701577">
        <w:rPr>
          <w:rFonts w:ascii="Arial" w:hAnsi="Arial" w:cs="Arial"/>
          <w:lang w:val="en-AU"/>
        </w:rPr>
        <w:t>PMU capacity</w:t>
      </w:r>
      <w:r w:rsidR="004C6223">
        <w:rPr>
          <w:rFonts w:ascii="Arial" w:hAnsi="Arial" w:cs="Arial"/>
          <w:lang w:val="en-AU"/>
        </w:rPr>
        <w:t xml:space="preserve"> and prepared </w:t>
      </w:r>
      <w:r w:rsidR="004261E6">
        <w:rPr>
          <w:rFonts w:ascii="Arial" w:hAnsi="Arial" w:cs="Arial"/>
          <w:lang w:val="en-AU"/>
        </w:rPr>
        <w:t xml:space="preserve">an </w:t>
      </w:r>
      <w:r w:rsidR="004C6223">
        <w:rPr>
          <w:rFonts w:ascii="Arial" w:hAnsi="Arial" w:cs="Arial"/>
          <w:lang w:val="en-AU"/>
        </w:rPr>
        <w:t xml:space="preserve">agreed </w:t>
      </w:r>
      <w:r>
        <w:rPr>
          <w:rFonts w:ascii="Arial" w:hAnsi="Arial" w:cs="Arial"/>
          <w:lang w:val="en-AU"/>
        </w:rPr>
        <w:t>list of actions</w:t>
      </w:r>
      <w:r w:rsidR="004261E6">
        <w:rPr>
          <w:rFonts w:ascii="Arial" w:hAnsi="Arial" w:cs="Arial"/>
          <w:lang w:val="en-AU"/>
        </w:rPr>
        <w:t xml:space="preserve"> to </w:t>
      </w:r>
      <w:r w:rsidR="004C6223">
        <w:rPr>
          <w:rFonts w:ascii="Arial" w:hAnsi="Arial" w:cs="Arial"/>
          <w:lang w:val="en-AU"/>
        </w:rPr>
        <w:t>address</w:t>
      </w:r>
      <w:r>
        <w:rPr>
          <w:rFonts w:ascii="Arial" w:hAnsi="Arial" w:cs="Arial"/>
          <w:lang w:val="en-AU"/>
        </w:rPr>
        <w:t xml:space="preserve"> the</w:t>
      </w:r>
      <w:r w:rsidR="004C6223">
        <w:rPr>
          <w:rFonts w:ascii="Arial" w:hAnsi="Arial" w:cs="Arial"/>
          <w:lang w:val="en-AU"/>
        </w:rPr>
        <w:t xml:space="preserve"> </w:t>
      </w:r>
      <w:r w:rsidR="004261E6">
        <w:rPr>
          <w:rFonts w:ascii="Arial" w:hAnsi="Arial" w:cs="Arial"/>
          <w:lang w:val="en-AU"/>
        </w:rPr>
        <w:t xml:space="preserve">gaps </w:t>
      </w:r>
      <w:r>
        <w:rPr>
          <w:rFonts w:ascii="Arial" w:hAnsi="Arial" w:cs="Arial"/>
          <w:lang w:val="en-AU"/>
        </w:rPr>
        <w:t>identified</w:t>
      </w:r>
      <w:r w:rsidR="004261E6">
        <w:rPr>
          <w:rFonts w:ascii="Arial" w:hAnsi="Arial" w:cs="Arial"/>
          <w:lang w:val="en-AU"/>
        </w:rPr>
        <w:t xml:space="preserve">. </w:t>
      </w:r>
      <w:r>
        <w:rPr>
          <w:rFonts w:ascii="Arial" w:hAnsi="Arial" w:cs="Arial"/>
          <w:lang w:val="en-AU"/>
        </w:rPr>
        <w:t>A review of</w:t>
      </w:r>
      <w:r w:rsidR="00705C26">
        <w:rPr>
          <w:rFonts w:ascii="Arial" w:hAnsi="Arial" w:cs="Arial"/>
          <w:lang w:val="en-AU"/>
        </w:rPr>
        <w:t xml:space="preserve"> Aide M</w:t>
      </w:r>
      <w:r w:rsidR="004C6223">
        <w:rPr>
          <w:rFonts w:ascii="Arial" w:hAnsi="Arial" w:cs="Arial"/>
          <w:lang w:val="en-AU"/>
        </w:rPr>
        <w:t>emoires from s</w:t>
      </w:r>
      <w:r w:rsidR="00705C26">
        <w:rPr>
          <w:rFonts w:ascii="Arial" w:hAnsi="Arial" w:cs="Arial"/>
          <w:lang w:val="en-AU"/>
        </w:rPr>
        <w:t xml:space="preserve">ubsequent ADB </w:t>
      </w:r>
      <w:r w:rsidR="0089399B">
        <w:rPr>
          <w:rFonts w:ascii="Arial" w:hAnsi="Arial" w:cs="Arial"/>
          <w:lang w:val="en-AU"/>
        </w:rPr>
        <w:t>m</w:t>
      </w:r>
      <w:r w:rsidR="00705C26">
        <w:rPr>
          <w:rFonts w:ascii="Arial" w:hAnsi="Arial" w:cs="Arial"/>
          <w:lang w:val="en-AU"/>
        </w:rPr>
        <w:t xml:space="preserve">issions indicates that not </w:t>
      </w:r>
      <w:r>
        <w:rPr>
          <w:rFonts w:ascii="Arial" w:hAnsi="Arial" w:cs="Arial"/>
          <w:lang w:val="en-AU"/>
        </w:rPr>
        <w:t xml:space="preserve">all </w:t>
      </w:r>
      <w:r w:rsidR="004C6223">
        <w:rPr>
          <w:rFonts w:ascii="Arial" w:hAnsi="Arial" w:cs="Arial"/>
          <w:lang w:val="en-AU"/>
        </w:rPr>
        <w:t>key actions were</w:t>
      </w:r>
      <w:r>
        <w:rPr>
          <w:rFonts w:ascii="Arial" w:hAnsi="Arial" w:cs="Arial"/>
          <w:lang w:val="en-AU"/>
        </w:rPr>
        <w:t xml:space="preserve"> </w:t>
      </w:r>
      <w:r w:rsidR="00705C26">
        <w:rPr>
          <w:rFonts w:ascii="Arial" w:hAnsi="Arial" w:cs="Arial"/>
          <w:lang w:val="en-AU"/>
        </w:rPr>
        <w:t>followed up on.</w:t>
      </w:r>
    </w:p>
    <w:p w:rsidR="00B60FE7" w:rsidRDefault="00B60FE7" w:rsidP="004261E6">
      <w:pPr>
        <w:jc w:val="both"/>
        <w:rPr>
          <w:rFonts w:ascii="Arial" w:hAnsi="Arial" w:cs="Arial"/>
          <w:lang w:val="en-AU"/>
        </w:rPr>
      </w:pPr>
    </w:p>
    <w:p w:rsidR="00215098" w:rsidRDefault="00215098" w:rsidP="00185E36">
      <w:pPr>
        <w:spacing w:after="160"/>
        <w:jc w:val="both"/>
        <w:rPr>
          <w:rFonts w:ascii="Arial" w:hAnsi="Arial" w:cs="Arial"/>
        </w:rPr>
      </w:pPr>
      <w:r w:rsidRPr="00D33652">
        <w:rPr>
          <w:rFonts w:ascii="Arial" w:hAnsi="Arial" w:cs="Arial"/>
        </w:rPr>
        <w:fldChar w:fldCharType="begin"/>
      </w:r>
      <w:r w:rsidRPr="00D33652">
        <w:rPr>
          <w:rFonts w:ascii="Arial" w:hAnsi="Arial" w:cs="Arial"/>
        </w:rPr>
        <w:instrText xml:space="preserve"> AUTONUM </w:instrText>
      </w:r>
      <w:r w:rsidRPr="00D33652">
        <w:rPr>
          <w:rFonts w:ascii="Arial" w:hAnsi="Arial" w:cs="Arial"/>
        </w:rPr>
        <w:fldChar w:fldCharType="end"/>
      </w:r>
      <w:r w:rsidRPr="00D33652">
        <w:rPr>
          <w:rFonts w:ascii="Arial" w:hAnsi="Arial" w:cs="Arial"/>
        </w:rPr>
        <w:tab/>
      </w:r>
      <w:r>
        <w:rPr>
          <w:rFonts w:ascii="Arial" w:hAnsi="Arial" w:cs="Arial"/>
        </w:rPr>
        <w:t>Assessment of PMU functioning by the I</w:t>
      </w:r>
      <w:r w:rsidR="002D4893">
        <w:rPr>
          <w:rFonts w:ascii="Arial" w:hAnsi="Arial" w:cs="Arial"/>
        </w:rPr>
        <w:t>CE team noted the following</w:t>
      </w:r>
      <w:r>
        <w:rPr>
          <w:rFonts w:ascii="Arial" w:hAnsi="Arial" w:cs="Arial"/>
        </w:rPr>
        <w:t xml:space="preserve"> issues</w:t>
      </w:r>
      <w:r w:rsidR="002D4893">
        <w:rPr>
          <w:rFonts w:ascii="Arial" w:hAnsi="Arial" w:cs="Arial"/>
        </w:rPr>
        <w:t xml:space="preserve"> </w:t>
      </w:r>
      <w:r w:rsidR="0089399B">
        <w:rPr>
          <w:rFonts w:ascii="Arial" w:hAnsi="Arial" w:cs="Arial"/>
        </w:rPr>
        <w:t xml:space="preserve">contributing </w:t>
      </w:r>
      <w:r w:rsidR="002D4893">
        <w:rPr>
          <w:rFonts w:ascii="Arial" w:hAnsi="Arial" w:cs="Arial"/>
        </w:rPr>
        <w:t>to the Project’s sub-optimal implementation progress</w:t>
      </w:r>
      <w:r>
        <w:rPr>
          <w:rFonts w:ascii="Arial" w:hAnsi="Arial" w:cs="Arial"/>
        </w:rPr>
        <w:t xml:space="preserve">: (i) </w:t>
      </w:r>
      <w:r w:rsidR="00887CB9">
        <w:rPr>
          <w:rFonts w:ascii="Arial" w:hAnsi="Arial" w:cs="Arial"/>
        </w:rPr>
        <w:t xml:space="preserve">The </w:t>
      </w:r>
      <w:r w:rsidR="00887CB9">
        <w:rPr>
          <w:rFonts w:ascii="Arial" w:hAnsi="Arial" w:cs="Arial"/>
          <w:color w:val="000000"/>
        </w:rPr>
        <w:t xml:space="preserve">part-time status of the Director, Vice-Director and </w:t>
      </w:r>
      <w:r w:rsidR="0000046F">
        <w:rPr>
          <w:rFonts w:ascii="Arial" w:hAnsi="Arial" w:cs="Arial"/>
          <w:color w:val="000000"/>
        </w:rPr>
        <w:t>Project Assistant</w:t>
      </w:r>
      <w:r w:rsidR="00887CB9">
        <w:rPr>
          <w:rFonts w:ascii="Arial" w:hAnsi="Arial" w:cs="Arial"/>
          <w:color w:val="000000"/>
        </w:rPr>
        <w:t xml:space="preserve"> roles is insufficient to ensure the required coordination and oversight, particularly as the Project comprises seven sub-components with inputs from a large number of actors; </w:t>
      </w:r>
      <w:r>
        <w:rPr>
          <w:rFonts w:ascii="Arial" w:hAnsi="Arial" w:cs="Arial"/>
          <w:color w:val="000000"/>
        </w:rPr>
        <w:t>(ii) The PMU operates in a silo structure, with project components housed in separate locations and key functions such as planning</w:t>
      </w:r>
      <w:r w:rsidRPr="00D33652">
        <w:rPr>
          <w:rFonts w:ascii="Arial" w:hAnsi="Arial" w:cs="Arial"/>
        </w:rPr>
        <w:t xml:space="preserve"> </w:t>
      </w:r>
      <w:r>
        <w:rPr>
          <w:rFonts w:ascii="Arial" w:hAnsi="Arial" w:cs="Arial"/>
        </w:rPr>
        <w:t>occurring</w:t>
      </w:r>
      <w:r w:rsidRPr="00D33652">
        <w:rPr>
          <w:rFonts w:ascii="Arial" w:hAnsi="Arial" w:cs="Arial"/>
        </w:rPr>
        <w:t xml:space="preserve"> primarily within compo</w:t>
      </w:r>
      <w:r>
        <w:rPr>
          <w:rFonts w:ascii="Arial" w:hAnsi="Arial" w:cs="Arial"/>
        </w:rPr>
        <w:t>nents with a lack of coordination across components; (iii) PMU utilizes a large number of consultants in management and technical support roles, with no</w:t>
      </w:r>
      <w:r w:rsidRPr="00D33652">
        <w:rPr>
          <w:rFonts w:ascii="Arial" w:hAnsi="Arial" w:cs="Arial"/>
        </w:rPr>
        <w:t xml:space="preserve"> </w:t>
      </w:r>
      <w:r>
        <w:rPr>
          <w:rFonts w:ascii="Arial" w:hAnsi="Arial" w:cs="Arial"/>
        </w:rPr>
        <w:t xml:space="preserve">formal </w:t>
      </w:r>
      <w:r w:rsidRPr="00D33652">
        <w:rPr>
          <w:rFonts w:ascii="Arial" w:hAnsi="Arial" w:cs="Arial"/>
        </w:rPr>
        <w:t>mechanisms for monitoring the</w:t>
      </w:r>
      <w:r>
        <w:rPr>
          <w:rFonts w:ascii="Arial" w:hAnsi="Arial" w:cs="Arial"/>
        </w:rPr>
        <w:t>ir</w:t>
      </w:r>
      <w:r w:rsidRPr="00D33652">
        <w:rPr>
          <w:rFonts w:ascii="Arial" w:hAnsi="Arial" w:cs="Arial"/>
        </w:rPr>
        <w:t xml:space="preserve"> inputs and outputs </w:t>
      </w:r>
      <w:r>
        <w:rPr>
          <w:rFonts w:ascii="Arial" w:hAnsi="Arial" w:cs="Arial"/>
        </w:rPr>
        <w:t>or</w:t>
      </w:r>
      <w:r w:rsidRPr="00D33652">
        <w:rPr>
          <w:rFonts w:ascii="Arial" w:hAnsi="Arial" w:cs="Arial"/>
        </w:rPr>
        <w:t xml:space="preserve"> for periodic performan</w:t>
      </w:r>
      <w:r>
        <w:rPr>
          <w:rFonts w:ascii="Arial" w:hAnsi="Arial" w:cs="Arial"/>
        </w:rPr>
        <w:t>ce review</w:t>
      </w:r>
      <w:r w:rsidRPr="00D33652">
        <w:rPr>
          <w:rFonts w:ascii="Arial" w:hAnsi="Arial" w:cs="Arial"/>
        </w:rPr>
        <w:t xml:space="preserve">. </w:t>
      </w:r>
      <w:r>
        <w:rPr>
          <w:rFonts w:ascii="Arial" w:hAnsi="Arial" w:cs="Arial"/>
        </w:rPr>
        <w:t>I</w:t>
      </w:r>
      <w:r w:rsidRPr="00D33652">
        <w:rPr>
          <w:rFonts w:ascii="Arial" w:hAnsi="Arial" w:cs="Arial"/>
        </w:rPr>
        <w:t>nadequate monitoring was likely to reduce the effic</w:t>
      </w:r>
      <w:r>
        <w:rPr>
          <w:rFonts w:ascii="Arial" w:hAnsi="Arial" w:cs="Arial"/>
        </w:rPr>
        <w:t xml:space="preserve">iency of consultant utilization. Other downsides of the project-based PMU model observed on </w:t>
      </w:r>
      <w:r w:rsidR="00A50C99">
        <w:rPr>
          <w:rFonts w:ascii="Arial" w:hAnsi="Arial" w:cs="Arial"/>
        </w:rPr>
        <w:t>the HHRSDP</w:t>
      </w:r>
      <w:r>
        <w:rPr>
          <w:rFonts w:ascii="Arial" w:hAnsi="Arial" w:cs="Arial"/>
        </w:rPr>
        <w:t>, but also found on other ADB financed projects</w:t>
      </w:r>
      <w:r w:rsidR="002B0B2F">
        <w:rPr>
          <w:rFonts w:ascii="Arial" w:hAnsi="Arial" w:cs="Arial"/>
        </w:rPr>
        <w:t xml:space="preserve"> within MoH</w:t>
      </w:r>
      <w:r>
        <w:rPr>
          <w:rFonts w:ascii="Arial" w:hAnsi="Arial" w:cs="Arial"/>
        </w:rPr>
        <w:t>, are discussed under lessons learnt in Section III.</w:t>
      </w:r>
      <w:r w:rsidR="002B0B2F">
        <w:rPr>
          <w:rFonts w:ascii="Arial" w:hAnsi="Arial" w:cs="Arial"/>
        </w:rPr>
        <w:t>B.</w:t>
      </w:r>
    </w:p>
    <w:p w:rsidR="000A56CA" w:rsidRPr="00D33652" w:rsidRDefault="000A56CA" w:rsidP="000A56CA">
      <w:pPr>
        <w:spacing w:after="120"/>
        <w:jc w:val="both"/>
        <w:rPr>
          <w:rFonts w:ascii="Arial" w:hAnsi="Arial" w:cs="Arial"/>
        </w:rPr>
      </w:pPr>
      <w:r w:rsidRPr="00D33652">
        <w:rPr>
          <w:rFonts w:ascii="Arial" w:hAnsi="Arial" w:cs="Arial"/>
        </w:rPr>
        <w:fldChar w:fldCharType="begin"/>
      </w:r>
      <w:r w:rsidRPr="00D33652">
        <w:rPr>
          <w:rFonts w:ascii="Arial" w:hAnsi="Arial" w:cs="Arial"/>
        </w:rPr>
        <w:instrText xml:space="preserve"> AUTONUM </w:instrText>
      </w:r>
      <w:r w:rsidRPr="00D33652">
        <w:rPr>
          <w:rFonts w:ascii="Arial" w:hAnsi="Arial" w:cs="Arial"/>
        </w:rPr>
        <w:fldChar w:fldCharType="end"/>
      </w:r>
      <w:r w:rsidRPr="00D33652">
        <w:rPr>
          <w:rFonts w:ascii="Arial" w:hAnsi="Arial" w:cs="Arial"/>
        </w:rPr>
        <w:tab/>
      </w:r>
      <w:r w:rsidR="002F2C3F">
        <w:rPr>
          <w:rFonts w:ascii="Arial" w:hAnsi="Arial" w:cs="Arial"/>
          <w:b/>
        </w:rPr>
        <w:t>Consultant u</w:t>
      </w:r>
      <w:r w:rsidRPr="00D33652">
        <w:rPr>
          <w:rFonts w:ascii="Arial" w:hAnsi="Arial" w:cs="Arial"/>
          <w:b/>
        </w:rPr>
        <w:t xml:space="preserve">tilization. </w:t>
      </w:r>
      <w:r w:rsidRPr="00D33652">
        <w:rPr>
          <w:rFonts w:ascii="Arial" w:hAnsi="Arial" w:cs="Arial"/>
        </w:rPr>
        <w:t>Both national and international consultants were engaged to support PMU in management and administration functions. Four national positions covering planning, procurement, finance, and coordination were engaged for a total of 182 input months at implementation,</w:t>
      </w:r>
      <w:r w:rsidRPr="00D33652">
        <w:rPr>
          <w:rStyle w:val="FootnoteReference"/>
          <w:rFonts w:cs="Arial"/>
          <w:sz w:val="20"/>
        </w:rPr>
        <w:footnoteReference w:id="69"/>
      </w:r>
      <w:r w:rsidRPr="00D33652">
        <w:rPr>
          <w:rFonts w:ascii="Arial" w:hAnsi="Arial" w:cs="Arial"/>
        </w:rPr>
        <w:t xml:space="preserve"> reduced from 216 input months allocated at inception.</w:t>
      </w:r>
      <w:r w:rsidRPr="00D33652">
        <w:rPr>
          <w:rStyle w:val="FootnoteReference"/>
          <w:rFonts w:cs="Arial"/>
          <w:sz w:val="20"/>
        </w:rPr>
        <w:footnoteReference w:id="70"/>
      </w:r>
      <w:r w:rsidRPr="00D33652">
        <w:rPr>
          <w:rFonts w:ascii="Arial" w:hAnsi="Arial" w:cs="Arial"/>
        </w:rPr>
        <w:t xml:space="preserve"> An International HRD and Coordination specialist was engaged for 21 input months at implementation, increased from 9 input months allocated at inception. The incumbent was also awarded contracts for three additional consultant positions under components 1A,</w:t>
      </w:r>
      <w:r w:rsidRPr="00D33652">
        <w:rPr>
          <w:rStyle w:val="FootnoteReference"/>
          <w:rFonts w:cs="Arial"/>
          <w:sz w:val="20"/>
        </w:rPr>
        <w:footnoteReference w:id="71"/>
      </w:r>
      <w:r w:rsidRPr="00D33652">
        <w:rPr>
          <w:rFonts w:ascii="Arial" w:hAnsi="Arial" w:cs="Arial"/>
        </w:rPr>
        <w:t xml:space="preserve"> 1B,</w:t>
      </w:r>
      <w:r w:rsidRPr="00D33652">
        <w:rPr>
          <w:rStyle w:val="FootnoteReference"/>
          <w:rFonts w:cs="Arial"/>
          <w:sz w:val="20"/>
        </w:rPr>
        <w:footnoteReference w:id="72"/>
      </w:r>
      <w:r w:rsidRPr="00D33652">
        <w:rPr>
          <w:rFonts w:ascii="Arial" w:hAnsi="Arial" w:cs="Arial"/>
        </w:rPr>
        <w:t xml:space="preserve"> and 2</w:t>
      </w:r>
      <w:r w:rsidR="0089399B">
        <w:rPr>
          <w:rFonts w:ascii="Arial" w:hAnsi="Arial" w:cs="Arial"/>
        </w:rPr>
        <w:t>.</w:t>
      </w:r>
      <w:r w:rsidRPr="00D33652">
        <w:rPr>
          <w:rStyle w:val="FootnoteReference"/>
          <w:rFonts w:cs="Arial"/>
          <w:sz w:val="20"/>
        </w:rPr>
        <w:footnoteReference w:id="73"/>
      </w:r>
      <w:r w:rsidRPr="00D33652">
        <w:rPr>
          <w:rFonts w:ascii="Arial" w:hAnsi="Arial" w:cs="Arial"/>
        </w:rPr>
        <w:t xml:space="preserve"> </w:t>
      </w:r>
      <w:r w:rsidR="0089399B">
        <w:rPr>
          <w:rFonts w:ascii="Arial" w:hAnsi="Arial" w:cs="Arial"/>
        </w:rPr>
        <w:t xml:space="preserve">The four positions were </w:t>
      </w:r>
      <w:r w:rsidRPr="00D33652">
        <w:rPr>
          <w:rFonts w:ascii="Arial" w:hAnsi="Arial" w:cs="Arial"/>
        </w:rPr>
        <w:t xml:space="preserve">subsequently bundled into a single contract of 47 months. </w:t>
      </w:r>
    </w:p>
    <w:p w:rsidR="000A56CA" w:rsidRPr="00D33652" w:rsidRDefault="000A56CA" w:rsidP="000A56CA">
      <w:pPr>
        <w:spacing w:after="120"/>
        <w:jc w:val="both"/>
        <w:rPr>
          <w:rFonts w:ascii="Arial" w:hAnsi="Arial" w:cs="Arial"/>
        </w:rPr>
      </w:pPr>
      <w:r w:rsidRPr="00D33652">
        <w:rPr>
          <w:rFonts w:ascii="Arial" w:hAnsi="Arial" w:cs="Arial"/>
        </w:rPr>
        <w:fldChar w:fldCharType="begin"/>
      </w:r>
      <w:r w:rsidRPr="00D33652">
        <w:rPr>
          <w:rFonts w:ascii="Arial" w:hAnsi="Arial" w:cs="Arial"/>
        </w:rPr>
        <w:instrText xml:space="preserve"> AUTONUM </w:instrText>
      </w:r>
      <w:r w:rsidRPr="00D33652">
        <w:rPr>
          <w:rFonts w:ascii="Arial" w:hAnsi="Arial" w:cs="Arial"/>
        </w:rPr>
        <w:fldChar w:fldCharType="end"/>
      </w:r>
      <w:r w:rsidRPr="00D33652">
        <w:rPr>
          <w:rFonts w:ascii="Arial" w:hAnsi="Arial" w:cs="Arial"/>
        </w:rPr>
        <w:tab/>
        <w:t>Technical support to project components was provided though individual consultants (international and national) and firms. A total of 178 months of individual international consultant inputs were anticipated at inception, revised to 84 input months at implementation.</w:t>
      </w:r>
      <w:r w:rsidRPr="00D33652">
        <w:rPr>
          <w:rStyle w:val="FootnoteReference"/>
          <w:rFonts w:cs="Arial"/>
          <w:sz w:val="20"/>
        </w:rPr>
        <w:footnoteReference w:id="74"/>
      </w:r>
      <w:r w:rsidRPr="00D33652">
        <w:rPr>
          <w:rFonts w:ascii="Arial" w:hAnsi="Arial" w:cs="Arial"/>
        </w:rPr>
        <w:t xml:space="preserve"> A total of 1,063 months of individual national consultant inputs were anticipated at inception, revised to 829 input months at implementation. </w:t>
      </w:r>
    </w:p>
    <w:p w:rsidR="000A56CA" w:rsidRPr="00D33652" w:rsidRDefault="000A56CA" w:rsidP="000A56CA">
      <w:pPr>
        <w:spacing w:after="120"/>
        <w:jc w:val="both"/>
        <w:rPr>
          <w:rFonts w:ascii="Arial" w:hAnsi="Arial" w:cs="Arial"/>
        </w:rPr>
      </w:pPr>
      <w:r w:rsidRPr="00D33652">
        <w:rPr>
          <w:rFonts w:ascii="Arial" w:hAnsi="Arial" w:cs="Arial"/>
        </w:rPr>
        <w:fldChar w:fldCharType="begin"/>
      </w:r>
      <w:r w:rsidRPr="00D33652">
        <w:rPr>
          <w:rFonts w:ascii="Arial" w:hAnsi="Arial" w:cs="Arial"/>
        </w:rPr>
        <w:instrText xml:space="preserve"> AUTONUM </w:instrText>
      </w:r>
      <w:r w:rsidRPr="00D33652">
        <w:rPr>
          <w:rFonts w:ascii="Arial" w:hAnsi="Arial" w:cs="Arial"/>
        </w:rPr>
        <w:fldChar w:fldCharType="end"/>
      </w:r>
      <w:r w:rsidRPr="00D33652">
        <w:rPr>
          <w:rFonts w:ascii="Arial" w:hAnsi="Arial" w:cs="Arial"/>
        </w:rPr>
        <w:tab/>
        <w:t xml:space="preserve">While </w:t>
      </w:r>
      <w:r w:rsidR="00E93E8D">
        <w:rPr>
          <w:rFonts w:ascii="Arial" w:hAnsi="Arial" w:cs="Arial"/>
        </w:rPr>
        <w:t xml:space="preserve">the ICE team did not assess </w:t>
      </w:r>
      <w:r w:rsidRPr="00D33652">
        <w:rPr>
          <w:rFonts w:ascii="Arial" w:hAnsi="Arial" w:cs="Arial"/>
        </w:rPr>
        <w:t>individual consultant</w:t>
      </w:r>
      <w:r w:rsidR="00E93E8D">
        <w:rPr>
          <w:rFonts w:ascii="Arial" w:hAnsi="Arial" w:cs="Arial"/>
        </w:rPr>
        <w:t>s’</w:t>
      </w:r>
      <w:r w:rsidRPr="00D33652">
        <w:rPr>
          <w:rFonts w:ascii="Arial" w:hAnsi="Arial" w:cs="Arial"/>
        </w:rPr>
        <w:t xml:space="preserve"> performance, several factors relating to consultant utilization that contributed to the Project’s sub-optimal implementation progress were identified. These are: (i) A number of key national consultants had none or limited prior experience on ADB projects and were therefore unfamiliar with ADB systems and procedures; (ii) The design did not include an International Procurement Consultant position. Viewed retrospectively this is seen as a critical gap given the proportion of the investment tied to procurement. (iii) The design included only one National Financial Management Consultant. At implementation this position was required to oversee both financial management and accounting functions as the PMU finance team lacked sufficient skilled personnel familiar with ADB procedures; (iv) No formal mechanisms for </w:t>
      </w:r>
      <w:r w:rsidR="00BC1823" w:rsidRPr="00D33652">
        <w:rPr>
          <w:rFonts w:ascii="Arial" w:hAnsi="Arial" w:cs="Arial"/>
        </w:rPr>
        <w:t xml:space="preserve">periodic performance review </w:t>
      </w:r>
      <w:r w:rsidRPr="00D33652">
        <w:rPr>
          <w:rFonts w:ascii="Arial" w:hAnsi="Arial" w:cs="Arial"/>
        </w:rPr>
        <w:t>of international and national consultants</w:t>
      </w:r>
      <w:r w:rsidR="006F5F2E">
        <w:rPr>
          <w:rFonts w:ascii="Arial" w:hAnsi="Arial" w:cs="Arial"/>
        </w:rPr>
        <w:t xml:space="preserve"> are </w:t>
      </w:r>
      <w:r w:rsidR="006F5F2E" w:rsidRPr="005F2503">
        <w:rPr>
          <w:rFonts w:ascii="Arial" w:hAnsi="Arial" w:cs="Arial"/>
        </w:rPr>
        <w:t>in place</w:t>
      </w:r>
      <w:r w:rsidRPr="00A50C99">
        <w:rPr>
          <w:rFonts w:ascii="Arial" w:hAnsi="Arial" w:cs="Arial"/>
        </w:rPr>
        <w:t>.</w:t>
      </w:r>
    </w:p>
    <w:p w:rsidR="006A6E48" w:rsidRPr="00EE4E98" w:rsidRDefault="006A6E48" w:rsidP="00EE4E98">
      <w:pPr>
        <w:pStyle w:val="Heading3"/>
        <w:spacing w:after="120"/>
        <w:ind w:left="720" w:hanging="436"/>
        <w:jc w:val="both"/>
        <w:rPr>
          <w:color w:val="000000"/>
          <w:sz w:val="21"/>
          <w:szCs w:val="21"/>
        </w:rPr>
      </w:pPr>
      <w:bookmarkStart w:id="51" w:name="_Toc423359328"/>
      <w:r w:rsidRPr="00EE4E98">
        <w:rPr>
          <w:color w:val="000000"/>
          <w:sz w:val="21"/>
          <w:szCs w:val="21"/>
        </w:rPr>
        <w:t>Planning</w:t>
      </w:r>
      <w:bookmarkEnd w:id="50"/>
      <w:bookmarkEnd w:id="51"/>
    </w:p>
    <w:p w:rsidR="000A56CA" w:rsidRPr="00D33652" w:rsidRDefault="000A56CA" w:rsidP="00BC1520">
      <w:pPr>
        <w:widowControl w:val="0"/>
        <w:autoSpaceDE w:val="0"/>
        <w:autoSpaceDN w:val="0"/>
        <w:adjustRightInd w:val="0"/>
        <w:jc w:val="both"/>
        <w:rPr>
          <w:rFonts w:ascii="Arial" w:hAnsi="Arial" w:cs="Arial"/>
        </w:rPr>
      </w:pPr>
      <w:r w:rsidRPr="00D33652">
        <w:rPr>
          <w:rFonts w:ascii="Arial" w:hAnsi="Arial" w:cs="Arial"/>
        </w:rPr>
        <w:fldChar w:fldCharType="begin"/>
      </w:r>
      <w:r w:rsidRPr="00D33652">
        <w:rPr>
          <w:rFonts w:ascii="Arial" w:hAnsi="Arial" w:cs="Arial"/>
        </w:rPr>
        <w:instrText xml:space="preserve"> AUTONUM </w:instrText>
      </w:r>
      <w:r w:rsidRPr="00D33652">
        <w:rPr>
          <w:rFonts w:ascii="Arial" w:hAnsi="Arial" w:cs="Arial"/>
        </w:rPr>
        <w:fldChar w:fldCharType="end"/>
      </w:r>
      <w:r w:rsidRPr="00D33652">
        <w:rPr>
          <w:rFonts w:ascii="Arial" w:hAnsi="Arial" w:cs="Arial"/>
        </w:rPr>
        <w:tab/>
        <w:t>The Project has a five-year plan</w:t>
      </w:r>
      <w:r w:rsidR="001F29FA">
        <w:rPr>
          <w:rFonts w:ascii="Arial" w:hAnsi="Arial" w:cs="Arial"/>
        </w:rPr>
        <w:t xml:space="preserve"> that</w:t>
      </w:r>
      <w:r w:rsidRPr="00D33652">
        <w:rPr>
          <w:rFonts w:ascii="Arial" w:hAnsi="Arial" w:cs="Arial"/>
        </w:rPr>
        <w:t xml:space="preserve"> sets out activity scheduling and budget allocation at component</w:t>
      </w:r>
      <w:r w:rsidR="0050553D">
        <w:rPr>
          <w:rFonts w:ascii="Arial" w:hAnsi="Arial" w:cs="Arial"/>
        </w:rPr>
        <w:t>,</w:t>
      </w:r>
      <w:r w:rsidRPr="00D33652">
        <w:rPr>
          <w:rFonts w:ascii="Arial" w:hAnsi="Arial" w:cs="Arial"/>
        </w:rPr>
        <w:t xml:space="preserve"> subcomponent</w:t>
      </w:r>
      <w:r w:rsidR="0050553D">
        <w:rPr>
          <w:rFonts w:ascii="Arial" w:hAnsi="Arial" w:cs="Arial"/>
        </w:rPr>
        <w:t>,</w:t>
      </w:r>
      <w:r w:rsidRPr="00D33652">
        <w:rPr>
          <w:rFonts w:ascii="Arial" w:hAnsi="Arial" w:cs="Arial"/>
        </w:rPr>
        <w:t xml:space="preserve"> activity and sub-activity level. The five-year plan was approved in April 2011 and adjusted in October 2014 following the MTR. </w:t>
      </w:r>
      <w:r w:rsidR="00A50C99">
        <w:rPr>
          <w:rFonts w:ascii="Arial" w:hAnsi="Arial" w:cs="Arial"/>
        </w:rPr>
        <w:t>The PMU</w:t>
      </w:r>
      <w:r w:rsidR="00A50C99" w:rsidRPr="00D33652">
        <w:rPr>
          <w:rFonts w:ascii="Arial" w:hAnsi="Arial" w:cs="Arial"/>
        </w:rPr>
        <w:t xml:space="preserve"> </w:t>
      </w:r>
      <w:r w:rsidRPr="00D33652">
        <w:rPr>
          <w:rFonts w:ascii="Arial" w:hAnsi="Arial" w:cs="Arial"/>
        </w:rPr>
        <w:t>prepares annual plans, based on the five-year plan. Annual planning commences mid</w:t>
      </w:r>
      <w:r w:rsidR="0050553D">
        <w:rPr>
          <w:rFonts w:ascii="Arial" w:hAnsi="Arial" w:cs="Arial"/>
        </w:rPr>
        <w:t>-</w:t>
      </w:r>
      <w:r w:rsidRPr="00D33652">
        <w:rPr>
          <w:rFonts w:ascii="Arial" w:hAnsi="Arial" w:cs="Arial"/>
        </w:rPr>
        <w:t>July in line with the planning timeline for state-budget programs. With the additional requirements for ODA projects</w:t>
      </w:r>
      <w:r w:rsidR="0050553D">
        <w:rPr>
          <w:rStyle w:val="FootnoteReference"/>
          <w:rFonts w:cs="Arial"/>
        </w:rPr>
        <w:footnoteReference w:id="75"/>
      </w:r>
      <w:r w:rsidR="0050553D">
        <w:rPr>
          <w:rFonts w:ascii="Arial" w:hAnsi="Arial" w:cs="Arial"/>
        </w:rPr>
        <w:t xml:space="preserve"> </w:t>
      </w:r>
      <w:r w:rsidR="00A50C99">
        <w:rPr>
          <w:rFonts w:ascii="Arial" w:hAnsi="Arial" w:cs="Arial"/>
        </w:rPr>
        <w:t xml:space="preserve">the </w:t>
      </w:r>
      <w:r w:rsidRPr="00D33652">
        <w:rPr>
          <w:rFonts w:ascii="Arial" w:hAnsi="Arial" w:cs="Arial"/>
        </w:rPr>
        <w:t xml:space="preserve">HHRSDP annual plans are usually approved in February or March. Exceptions have been the 2011 plan (approved in May) and the current 2015 plan that has not yet been approved. The significant delay in the approval of the 2015 plan is due, in part, to the requirement for consultation on fund reallocations and possible extension to the </w:t>
      </w:r>
      <w:r w:rsidR="0050553D">
        <w:rPr>
          <w:rFonts w:ascii="Arial" w:hAnsi="Arial" w:cs="Arial"/>
        </w:rPr>
        <w:t>p</w:t>
      </w:r>
      <w:r w:rsidR="00F454A9" w:rsidRPr="00D33652">
        <w:rPr>
          <w:rFonts w:ascii="Arial" w:hAnsi="Arial" w:cs="Arial"/>
        </w:rPr>
        <w:t>roject</w:t>
      </w:r>
      <w:r w:rsidRPr="00D33652">
        <w:rPr>
          <w:rFonts w:ascii="Arial" w:hAnsi="Arial" w:cs="Arial"/>
        </w:rPr>
        <w:t xml:space="preserve"> timeframe.</w:t>
      </w:r>
    </w:p>
    <w:p w:rsidR="000A56CA" w:rsidRPr="00D33652" w:rsidRDefault="000A56CA" w:rsidP="00BC1520">
      <w:pPr>
        <w:widowControl w:val="0"/>
        <w:autoSpaceDE w:val="0"/>
        <w:autoSpaceDN w:val="0"/>
        <w:adjustRightInd w:val="0"/>
        <w:jc w:val="both"/>
        <w:rPr>
          <w:rFonts w:ascii="Arial" w:hAnsi="Arial" w:cs="Arial"/>
        </w:rPr>
      </w:pPr>
    </w:p>
    <w:p w:rsidR="006A6E48" w:rsidRPr="00D33652" w:rsidRDefault="000A56CA" w:rsidP="00BC1520">
      <w:pPr>
        <w:widowControl w:val="0"/>
        <w:autoSpaceDE w:val="0"/>
        <w:autoSpaceDN w:val="0"/>
        <w:adjustRightInd w:val="0"/>
        <w:jc w:val="both"/>
        <w:rPr>
          <w:rFonts w:ascii="Arial" w:hAnsi="Arial" w:cs="Arial"/>
        </w:rPr>
      </w:pPr>
      <w:r w:rsidRPr="00D33652">
        <w:rPr>
          <w:rFonts w:ascii="Arial" w:hAnsi="Arial" w:cs="Arial"/>
        </w:rPr>
        <w:fldChar w:fldCharType="begin"/>
      </w:r>
      <w:r w:rsidRPr="00D33652">
        <w:rPr>
          <w:rFonts w:ascii="Arial" w:hAnsi="Arial" w:cs="Arial"/>
        </w:rPr>
        <w:instrText xml:space="preserve"> AUTONUM </w:instrText>
      </w:r>
      <w:r w:rsidRPr="00D33652">
        <w:rPr>
          <w:rFonts w:ascii="Arial" w:hAnsi="Arial" w:cs="Arial"/>
        </w:rPr>
        <w:fldChar w:fldCharType="end"/>
      </w:r>
      <w:r w:rsidRPr="00D33652">
        <w:rPr>
          <w:rFonts w:ascii="Arial" w:hAnsi="Arial" w:cs="Arial"/>
        </w:rPr>
        <w:tab/>
        <w:t xml:space="preserve">The ICE team observed several limitations to the planning process that have contributed to the projects sub-optimal implementation progress: (i) The five-year plan is an overly prescriptive template that limits the opportunity for flexibility in annual planning. The PPTA, in providing costing to the sub-activity level, have imposed a rigid format that provides little room for the flexibility required to effectively design and plan activities at implementation; (ii) </w:t>
      </w:r>
      <w:r w:rsidR="0050553D">
        <w:rPr>
          <w:rFonts w:ascii="Arial" w:hAnsi="Arial" w:cs="Arial"/>
        </w:rPr>
        <w:t>Limited</w:t>
      </w:r>
      <w:r w:rsidRPr="00D33652">
        <w:rPr>
          <w:rFonts w:ascii="Arial" w:hAnsi="Arial" w:cs="Arial"/>
        </w:rPr>
        <w:t xml:space="preserve"> systematic use of planning tools, at the project </w:t>
      </w:r>
      <w:r w:rsidR="003C260D">
        <w:rPr>
          <w:rFonts w:ascii="Arial" w:hAnsi="Arial" w:cs="Arial"/>
        </w:rPr>
        <w:t>and</w:t>
      </w:r>
      <w:r w:rsidRPr="00D33652">
        <w:rPr>
          <w:rFonts w:ascii="Arial" w:hAnsi="Arial" w:cs="Arial"/>
        </w:rPr>
        <w:t xml:space="preserve"> component level</w:t>
      </w:r>
      <w:r w:rsidR="003C260D">
        <w:rPr>
          <w:rFonts w:ascii="Arial" w:hAnsi="Arial" w:cs="Arial"/>
        </w:rPr>
        <w:t>s</w:t>
      </w:r>
      <w:r w:rsidRPr="00D33652">
        <w:rPr>
          <w:rFonts w:ascii="Arial" w:hAnsi="Arial" w:cs="Arial"/>
        </w:rPr>
        <w:t xml:space="preserve">, to track and manage physical and financial implementation progress. Successive ADB </w:t>
      </w:r>
      <w:r w:rsidR="00AE46F3">
        <w:rPr>
          <w:rFonts w:ascii="Arial" w:hAnsi="Arial" w:cs="Arial"/>
        </w:rPr>
        <w:t>r</w:t>
      </w:r>
      <w:r w:rsidRPr="00D33652">
        <w:rPr>
          <w:rFonts w:ascii="Arial" w:hAnsi="Arial" w:cs="Arial"/>
        </w:rPr>
        <w:t xml:space="preserve">eview </w:t>
      </w:r>
      <w:r w:rsidR="00AE46F3">
        <w:rPr>
          <w:rFonts w:ascii="Arial" w:hAnsi="Arial" w:cs="Arial"/>
        </w:rPr>
        <w:t>m</w:t>
      </w:r>
      <w:r w:rsidRPr="00D33652">
        <w:rPr>
          <w:rFonts w:ascii="Arial" w:hAnsi="Arial" w:cs="Arial"/>
        </w:rPr>
        <w:t xml:space="preserve">issions requested the development of cascade plans as an overall management and monitoring tool but this was not implemented; (iii) </w:t>
      </w:r>
      <w:r w:rsidR="0050553D">
        <w:rPr>
          <w:rFonts w:ascii="Arial" w:hAnsi="Arial" w:cs="Arial"/>
        </w:rPr>
        <w:t>Planning occurs</w:t>
      </w:r>
      <w:r w:rsidRPr="00D33652">
        <w:rPr>
          <w:rFonts w:ascii="Arial" w:hAnsi="Arial" w:cs="Arial"/>
        </w:rPr>
        <w:t xml:space="preserve"> primarily within components, with a lack of coordinated planning across components. This silo effect is counter to the intention of the design that envisaged a level of integration between project outputs; (iv) The International HRD Speci</w:t>
      </w:r>
      <w:r w:rsidR="008B447A" w:rsidRPr="00D33652">
        <w:rPr>
          <w:rFonts w:ascii="Arial" w:hAnsi="Arial" w:cs="Arial"/>
        </w:rPr>
        <w:t xml:space="preserve">alist role was observed to be ineffective at </w:t>
      </w:r>
      <w:r w:rsidRPr="00D33652">
        <w:rPr>
          <w:rFonts w:ascii="Arial" w:hAnsi="Arial" w:cs="Arial"/>
        </w:rPr>
        <w:t>coordinating planning inputs across th</w:t>
      </w:r>
      <w:r w:rsidR="00BC1520" w:rsidRPr="00D33652">
        <w:rPr>
          <w:rFonts w:ascii="Arial" w:hAnsi="Arial" w:cs="Arial"/>
        </w:rPr>
        <w:t>e different project components.</w:t>
      </w:r>
    </w:p>
    <w:p w:rsidR="006A6E48" w:rsidRPr="00EE4E98" w:rsidRDefault="006A6E48" w:rsidP="00EE4E98">
      <w:pPr>
        <w:pStyle w:val="Heading3"/>
        <w:spacing w:after="120"/>
        <w:ind w:left="720" w:hanging="436"/>
        <w:jc w:val="both"/>
        <w:rPr>
          <w:color w:val="000000"/>
          <w:sz w:val="21"/>
          <w:szCs w:val="21"/>
        </w:rPr>
      </w:pPr>
      <w:bookmarkStart w:id="52" w:name="_Toc422301211"/>
      <w:bookmarkStart w:id="53" w:name="_Toc423359329"/>
      <w:r w:rsidRPr="00EE4E98">
        <w:rPr>
          <w:color w:val="000000"/>
          <w:sz w:val="21"/>
          <w:szCs w:val="21"/>
        </w:rPr>
        <w:t>Procurement</w:t>
      </w:r>
      <w:bookmarkEnd w:id="52"/>
      <w:bookmarkEnd w:id="53"/>
    </w:p>
    <w:p w:rsidR="00BC1520" w:rsidRPr="00D33652" w:rsidRDefault="00BC1520" w:rsidP="00BC1520">
      <w:pPr>
        <w:spacing w:after="120"/>
        <w:jc w:val="both"/>
        <w:rPr>
          <w:rFonts w:ascii="Arial" w:hAnsi="Arial" w:cs="Arial"/>
        </w:rPr>
      </w:pPr>
      <w:r w:rsidRPr="00D33652">
        <w:rPr>
          <w:rFonts w:ascii="Arial" w:hAnsi="Arial" w:cs="Arial"/>
        </w:rPr>
        <w:fldChar w:fldCharType="begin"/>
      </w:r>
      <w:r w:rsidRPr="00D33652">
        <w:rPr>
          <w:rFonts w:ascii="Arial" w:hAnsi="Arial" w:cs="Arial"/>
        </w:rPr>
        <w:instrText xml:space="preserve"> AUTONUM </w:instrText>
      </w:r>
      <w:r w:rsidRPr="00D33652">
        <w:rPr>
          <w:rFonts w:ascii="Arial" w:hAnsi="Arial" w:cs="Arial"/>
        </w:rPr>
        <w:fldChar w:fldCharType="end"/>
      </w:r>
      <w:r w:rsidRPr="00D33652">
        <w:rPr>
          <w:rFonts w:ascii="Arial" w:hAnsi="Arial" w:cs="Arial"/>
        </w:rPr>
        <w:tab/>
        <w:t>The Project at design included procurement</w:t>
      </w:r>
      <w:r w:rsidRPr="00D33652">
        <w:rPr>
          <w:rStyle w:val="FootnoteReference"/>
          <w:rFonts w:cs="Arial"/>
          <w:sz w:val="20"/>
        </w:rPr>
        <w:footnoteReference w:id="76"/>
      </w:r>
      <w:r w:rsidRPr="00D33652">
        <w:rPr>
          <w:rFonts w:ascii="Arial" w:hAnsi="Arial" w:cs="Arial"/>
        </w:rPr>
        <w:t xml:space="preserve"> for: (i) Goods with an estimated</w:t>
      </w:r>
      <w:r w:rsidR="003C260D">
        <w:rPr>
          <w:rFonts w:ascii="Arial" w:hAnsi="Arial" w:cs="Arial"/>
        </w:rPr>
        <w:t xml:space="preserve"> value of </w:t>
      </w:r>
      <w:r w:rsidRPr="00D33652">
        <w:rPr>
          <w:rFonts w:ascii="Arial" w:hAnsi="Arial" w:cs="Arial"/>
        </w:rPr>
        <w:t xml:space="preserve"> $18.12</w:t>
      </w:r>
      <w:r w:rsidR="003C260D">
        <w:rPr>
          <w:rFonts w:ascii="Arial" w:hAnsi="Arial" w:cs="Arial"/>
        </w:rPr>
        <w:t>m</w:t>
      </w:r>
      <w:r w:rsidRPr="00D33652">
        <w:rPr>
          <w:rFonts w:ascii="Arial" w:hAnsi="Arial" w:cs="Arial"/>
        </w:rPr>
        <w:t xml:space="preserve"> to be procured through 21 contracts; (ii) Works with an estimated value of $1.2m to be procured through 6 contracts; (iii) Consulting services</w:t>
      </w:r>
      <w:r w:rsidR="003C260D">
        <w:rPr>
          <w:rFonts w:ascii="Arial" w:hAnsi="Arial" w:cs="Arial"/>
        </w:rPr>
        <w:t xml:space="preserve"> for</w:t>
      </w:r>
      <w:r w:rsidRPr="00D33652">
        <w:rPr>
          <w:rFonts w:ascii="Arial" w:hAnsi="Arial" w:cs="Arial"/>
        </w:rPr>
        <w:t xml:space="preserve"> both firms and individual</w:t>
      </w:r>
      <w:r w:rsidR="003C260D">
        <w:rPr>
          <w:rFonts w:ascii="Arial" w:hAnsi="Arial" w:cs="Arial"/>
        </w:rPr>
        <w:t>s</w:t>
      </w:r>
      <w:r w:rsidRPr="00D33652">
        <w:rPr>
          <w:rFonts w:ascii="Arial" w:hAnsi="Arial" w:cs="Arial"/>
        </w:rPr>
        <w:t xml:space="preserve"> </w:t>
      </w:r>
      <w:r w:rsidR="003C260D" w:rsidRPr="00D33652">
        <w:rPr>
          <w:rFonts w:ascii="Arial" w:hAnsi="Arial" w:cs="Arial"/>
        </w:rPr>
        <w:t xml:space="preserve">with an estimated value of 5.69m </w:t>
      </w:r>
      <w:r w:rsidRPr="00D33652">
        <w:rPr>
          <w:rFonts w:ascii="Arial" w:hAnsi="Arial" w:cs="Arial"/>
        </w:rPr>
        <w:t>to be procured through 53 contracts. At implementation</w:t>
      </w:r>
      <w:r w:rsidRPr="00D33652">
        <w:rPr>
          <w:rStyle w:val="FootnoteReference"/>
          <w:rFonts w:cs="Arial"/>
          <w:sz w:val="20"/>
        </w:rPr>
        <w:footnoteReference w:id="77"/>
      </w:r>
      <w:r w:rsidRPr="00D33652">
        <w:rPr>
          <w:rFonts w:ascii="Arial" w:hAnsi="Arial" w:cs="Arial"/>
        </w:rPr>
        <w:t xml:space="preserve"> the number of contracts under each category increased to: (i) 37 contracts for goods; (ii) 28 contracts for works; (iii) 56 contracts for consulting services. </w:t>
      </w:r>
    </w:p>
    <w:p w:rsidR="00BC1520" w:rsidRPr="00D33652" w:rsidRDefault="00BC1520" w:rsidP="00BC1520">
      <w:pPr>
        <w:spacing w:after="120"/>
        <w:jc w:val="both"/>
        <w:rPr>
          <w:rFonts w:ascii="Arial" w:hAnsi="Arial" w:cs="Arial"/>
        </w:rPr>
      </w:pPr>
      <w:r w:rsidRPr="00D33652">
        <w:rPr>
          <w:rFonts w:ascii="Arial" w:hAnsi="Arial" w:cs="Arial"/>
        </w:rPr>
        <w:fldChar w:fldCharType="begin"/>
      </w:r>
      <w:r w:rsidRPr="00D33652">
        <w:rPr>
          <w:rFonts w:ascii="Arial" w:hAnsi="Arial" w:cs="Arial"/>
        </w:rPr>
        <w:instrText xml:space="preserve"> AUTONUM </w:instrText>
      </w:r>
      <w:r w:rsidRPr="00D33652">
        <w:rPr>
          <w:rFonts w:ascii="Arial" w:hAnsi="Arial" w:cs="Arial"/>
        </w:rPr>
        <w:fldChar w:fldCharType="end"/>
      </w:r>
      <w:r w:rsidRPr="00D33652">
        <w:rPr>
          <w:rFonts w:ascii="Arial" w:hAnsi="Arial" w:cs="Arial"/>
        </w:rPr>
        <w:tab/>
        <w:t xml:space="preserve">The ICE team assessed procurement as a significant bottleneck contributing to the Project’s sub-optimal implementation progress. Procurement was initially delayed by the late recruitment of the National Procurement Consultant and International Equipment Specialist. Both were scheduled to be mobilized in project year 1. The National </w:t>
      </w:r>
      <w:r w:rsidR="00923852">
        <w:rPr>
          <w:rFonts w:ascii="Arial" w:hAnsi="Arial" w:cs="Arial"/>
        </w:rPr>
        <w:t>P</w:t>
      </w:r>
      <w:r w:rsidRPr="00D33652">
        <w:rPr>
          <w:rFonts w:ascii="Arial" w:hAnsi="Arial" w:cs="Arial"/>
        </w:rPr>
        <w:t xml:space="preserve">rocurement </w:t>
      </w:r>
      <w:r w:rsidR="00923852">
        <w:rPr>
          <w:rFonts w:ascii="Arial" w:hAnsi="Arial" w:cs="Arial"/>
        </w:rPr>
        <w:t>C</w:t>
      </w:r>
      <w:r w:rsidRPr="00D33652">
        <w:rPr>
          <w:rFonts w:ascii="Arial" w:hAnsi="Arial" w:cs="Arial"/>
        </w:rPr>
        <w:t>onsultant was recruited</w:t>
      </w:r>
      <w:r w:rsidR="003C260D">
        <w:rPr>
          <w:rFonts w:ascii="Arial" w:hAnsi="Arial" w:cs="Arial"/>
        </w:rPr>
        <w:t xml:space="preserve"> in</w:t>
      </w:r>
      <w:r w:rsidRPr="00D33652">
        <w:rPr>
          <w:rFonts w:ascii="Arial" w:hAnsi="Arial" w:cs="Arial"/>
        </w:rPr>
        <w:t xml:space="preserve"> April 2012, more than one year after project inception.</w:t>
      </w:r>
    </w:p>
    <w:p w:rsidR="00BC1520" w:rsidRPr="00D33652" w:rsidRDefault="00BC1520" w:rsidP="00BC1520">
      <w:pPr>
        <w:spacing w:after="120"/>
        <w:jc w:val="both"/>
        <w:rPr>
          <w:rFonts w:ascii="Arial" w:hAnsi="Arial" w:cs="Arial"/>
        </w:rPr>
      </w:pPr>
      <w:r w:rsidRPr="00D33652">
        <w:rPr>
          <w:rFonts w:ascii="Arial" w:hAnsi="Arial" w:cs="Arial"/>
        </w:rPr>
        <w:fldChar w:fldCharType="begin"/>
      </w:r>
      <w:r w:rsidRPr="00D33652">
        <w:rPr>
          <w:rFonts w:ascii="Arial" w:hAnsi="Arial" w:cs="Arial"/>
        </w:rPr>
        <w:instrText xml:space="preserve"> AUTONUM </w:instrText>
      </w:r>
      <w:r w:rsidRPr="00D33652">
        <w:rPr>
          <w:rFonts w:ascii="Arial" w:hAnsi="Arial" w:cs="Arial"/>
        </w:rPr>
        <w:fldChar w:fldCharType="end"/>
      </w:r>
      <w:r w:rsidRPr="00D33652">
        <w:rPr>
          <w:rFonts w:ascii="Arial" w:hAnsi="Arial" w:cs="Arial"/>
        </w:rPr>
        <w:tab/>
        <w:t>Capacity within the procurement unit, both in terms of staff number</w:t>
      </w:r>
      <w:r w:rsidR="00923852">
        <w:rPr>
          <w:rFonts w:ascii="Arial" w:hAnsi="Arial" w:cs="Arial"/>
        </w:rPr>
        <w:t>s</w:t>
      </w:r>
      <w:r w:rsidRPr="00D33652">
        <w:rPr>
          <w:rFonts w:ascii="Arial" w:hAnsi="Arial" w:cs="Arial"/>
        </w:rPr>
        <w:t xml:space="preserve"> and experience, was </w:t>
      </w:r>
      <w:r w:rsidR="00923852">
        <w:rPr>
          <w:rFonts w:ascii="Arial" w:hAnsi="Arial" w:cs="Arial"/>
        </w:rPr>
        <w:t xml:space="preserve">weak. </w:t>
      </w:r>
      <w:r w:rsidRPr="00D33652">
        <w:rPr>
          <w:rFonts w:ascii="Arial" w:hAnsi="Arial" w:cs="Arial"/>
        </w:rPr>
        <w:t>The National Procurement Consultant had no prior experience on procurement for ADB projects and faced a significant learning curve at a time when procurement was already behind schedule. The design did not include a position for an International Procurement Consultant. Viewed retrospectively this is seen as a critical gap given the proportion of the investment tied to procurement.</w:t>
      </w:r>
    </w:p>
    <w:p w:rsidR="00BC1520" w:rsidRPr="00D33652" w:rsidRDefault="00BC1520" w:rsidP="00BC1520">
      <w:pPr>
        <w:jc w:val="both"/>
        <w:rPr>
          <w:rFonts w:ascii="Arial" w:hAnsi="Arial" w:cs="Arial"/>
        </w:rPr>
      </w:pPr>
      <w:r w:rsidRPr="00D33652">
        <w:rPr>
          <w:rFonts w:ascii="Arial" w:hAnsi="Arial" w:cs="Arial"/>
        </w:rPr>
        <w:fldChar w:fldCharType="begin"/>
      </w:r>
      <w:r w:rsidRPr="00D33652">
        <w:rPr>
          <w:rFonts w:ascii="Arial" w:hAnsi="Arial" w:cs="Arial"/>
        </w:rPr>
        <w:instrText xml:space="preserve"> AUTONUM </w:instrText>
      </w:r>
      <w:r w:rsidRPr="00D33652">
        <w:rPr>
          <w:rFonts w:ascii="Arial" w:hAnsi="Arial" w:cs="Arial"/>
        </w:rPr>
        <w:fldChar w:fldCharType="end"/>
      </w:r>
      <w:r w:rsidRPr="00D33652">
        <w:rPr>
          <w:rFonts w:ascii="Arial" w:hAnsi="Arial" w:cs="Arial"/>
        </w:rPr>
        <w:tab/>
        <w:t xml:space="preserve">The increase in the number of contracts to be managed by the procurement team, compared to those envisaged at design, placed a larger than anticipated burden on the team. This, coupled with lengthy approval procedures within MoH and ADB, resulted in protracted procurement processes. The average time to complete packages varied between procurement methods as follows: (i) 11+ months for packages of </w:t>
      </w:r>
      <w:r w:rsidR="007C6FB4">
        <w:rPr>
          <w:rFonts w:ascii="Arial" w:hAnsi="Arial" w:cs="Arial"/>
        </w:rPr>
        <w:t>goods</w:t>
      </w:r>
      <w:r w:rsidR="00462929">
        <w:rPr>
          <w:rFonts w:ascii="Arial" w:hAnsi="Arial" w:cs="Arial"/>
        </w:rPr>
        <w:t xml:space="preserve"> using international competitive bidding</w:t>
      </w:r>
      <w:r w:rsidRPr="00D33652">
        <w:rPr>
          <w:rFonts w:ascii="Arial" w:hAnsi="Arial" w:cs="Arial"/>
        </w:rPr>
        <w:t>;</w:t>
      </w:r>
      <w:r w:rsidRPr="00D33652">
        <w:rPr>
          <w:rStyle w:val="FootnoteReference"/>
          <w:rFonts w:cs="Arial"/>
          <w:sz w:val="20"/>
        </w:rPr>
        <w:footnoteReference w:id="78"/>
      </w:r>
      <w:r w:rsidRPr="00D33652">
        <w:rPr>
          <w:rFonts w:ascii="Arial" w:hAnsi="Arial" w:cs="Arial"/>
        </w:rPr>
        <w:t xml:space="preserve">  (ii) 11-12 months </w:t>
      </w:r>
      <w:r w:rsidR="00BF3947">
        <w:rPr>
          <w:rFonts w:ascii="Arial" w:hAnsi="Arial" w:cs="Arial"/>
        </w:rPr>
        <w:t xml:space="preserve">for </w:t>
      </w:r>
      <w:r w:rsidRPr="00D33652">
        <w:rPr>
          <w:rFonts w:ascii="Arial" w:hAnsi="Arial" w:cs="Arial"/>
        </w:rPr>
        <w:t>packages of good</w:t>
      </w:r>
      <w:r w:rsidR="007C6FB4">
        <w:rPr>
          <w:rFonts w:ascii="Arial" w:hAnsi="Arial" w:cs="Arial"/>
        </w:rPr>
        <w:t>s using</w:t>
      </w:r>
      <w:r w:rsidR="007C6FB4" w:rsidRPr="00D33652">
        <w:rPr>
          <w:rFonts w:ascii="Arial" w:hAnsi="Arial" w:cs="Arial"/>
        </w:rPr>
        <w:t xml:space="preserve"> </w:t>
      </w:r>
      <w:r w:rsidR="007C6FB4">
        <w:rPr>
          <w:rFonts w:ascii="Arial" w:hAnsi="Arial" w:cs="Arial"/>
        </w:rPr>
        <w:t>national competitive bidding</w:t>
      </w:r>
      <w:r w:rsidRPr="00D33652">
        <w:rPr>
          <w:rFonts w:ascii="Arial" w:hAnsi="Arial" w:cs="Arial"/>
        </w:rPr>
        <w:t>;</w:t>
      </w:r>
      <w:r w:rsidRPr="00D33652">
        <w:rPr>
          <w:rStyle w:val="FootnoteReference"/>
          <w:rFonts w:cs="Arial"/>
          <w:sz w:val="20"/>
        </w:rPr>
        <w:footnoteReference w:id="79"/>
      </w:r>
      <w:r w:rsidRPr="00D33652">
        <w:rPr>
          <w:rFonts w:ascii="Arial" w:hAnsi="Arial" w:cs="Arial"/>
        </w:rPr>
        <w:t xml:space="preserve"> (iii) 9 month</w:t>
      </w:r>
      <w:r w:rsidR="00923852">
        <w:rPr>
          <w:rFonts w:ascii="Arial" w:hAnsi="Arial" w:cs="Arial"/>
        </w:rPr>
        <w:t>s</w:t>
      </w:r>
      <w:r w:rsidRPr="00D33652">
        <w:rPr>
          <w:rFonts w:ascii="Arial" w:hAnsi="Arial" w:cs="Arial"/>
        </w:rPr>
        <w:t xml:space="preserve"> for consultant</w:t>
      </w:r>
      <w:r w:rsidR="007C6FB4">
        <w:rPr>
          <w:rFonts w:ascii="Arial" w:hAnsi="Arial" w:cs="Arial"/>
        </w:rPr>
        <w:t xml:space="preserve"> </w:t>
      </w:r>
      <w:r w:rsidR="00594F33">
        <w:rPr>
          <w:rFonts w:ascii="Arial" w:hAnsi="Arial" w:cs="Arial"/>
        </w:rPr>
        <w:t xml:space="preserve">packages </w:t>
      </w:r>
      <w:r w:rsidR="007C6FB4">
        <w:rPr>
          <w:rFonts w:ascii="Arial" w:hAnsi="Arial" w:cs="Arial"/>
        </w:rPr>
        <w:t>using consultants’ qualification selection</w:t>
      </w:r>
      <w:r w:rsidRPr="00D33652">
        <w:rPr>
          <w:rFonts w:ascii="Arial" w:hAnsi="Arial" w:cs="Arial"/>
        </w:rPr>
        <w:t>; (iv) 3 months for civil works</w:t>
      </w:r>
      <w:r w:rsidR="007C6FB4">
        <w:rPr>
          <w:rFonts w:ascii="Arial" w:hAnsi="Arial" w:cs="Arial"/>
        </w:rPr>
        <w:t xml:space="preserve"> packages using shopping</w:t>
      </w:r>
      <w:r w:rsidRPr="00D33652">
        <w:rPr>
          <w:rFonts w:ascii="Arial" w:hAnsi="Arial" w:cs="Arial"/>
        </w:rPr>
        <w:t xml:space="preserve">. </w:t>
      </w:r>
    </w:p>
    <w:p w:rsidR="00BC1520" w:rsidRPr="00D33652" w:rsidRDefault="00BC1520" w:rsidP="00BC1520">
      <w:pPr>
        <w:jc w:val="both"/>
        <w:rPr>
          <w:rFonts w:ascii="Arial" w:hAnsi="Arial" w:cs="Arial"/>
        </w:rPr>
      </w:pPr>
    </w:p>
    <w:p w:rsidR="00BC1520" w:rsidRPr="00D33652" w:rsidRDefault="00BC1520" w:rsidP="00BC1520">
      <w:pPr>
        <w:jc w:val="both"/>
        <w:rPr>
          <w:rFonts w:ascii="Arial" w:hAnsi="Arial" w:cs="Arial"/>
          <w:color w:val="000000"/>
        </w:rPr>
      </w:pPr>
      <w:r w:rsidRPr="00D33652">
        <w:rPr>
          <w:rFonts w:ascii="Arial" w:hAnsi="Arial" w:cs="Arial"/>
        </w:rPr>
        <w:fldChar w:fldCharType="begin"/>
      </w:r>
      <w:r w:rsidRPr="00D33652">
        <w:rPr>
          <w:rFonts w:ascii="Arial" w:hAnsi="Arial" w:cs="Arial"/>
        </w:rPr>
        <w:instrText xml:space="preserve"> AUTONUM </w:instrText>
      </w:r>
      <w:r w:rsidRPr="00D33652">
        <w:rPr>
          <w:rFonts w:ascii="Arial" w:hAnsi="Arial" w:cs="Arial"/>
        </w:rPr>
        <w:fldChar w:fldCharType="end"/>
      </w:r>
      <w:r w:rsidRPr="00D33652">
        <w:rPr>
          <w:rFonts w:ascii="Arial" w:hAnsi="Arial" w:cs="Arial"/>
        </w:rPr>
        <w:tab/>
        <w:t>The ICE team noted a number of the packages for consulting firms were broken into smaller contracts and/or individual consultants</w:t>
      </w:r>
      <w:r w:rsidR="00112B07">
        <w:rPr>
          <w:rFonts w:ascii="Arial" w:hAnsi="Arial" w:cs="Arial"/>
        </w:rPr>
        <w:t xml:space="preserve"> by PMU</w:t>
      </w:r>
      <w:r w:rsidRPr="00D33652">
        <w:rPr>
          <w:rFonts w:ascii="Arial" w:hAnsi="Arial" w:cs="Arial"/>
        </w:rPr>
        <w:t xml:space="preserve">. The intention of the PPTA in grouping consultants into larger </w:t>
      </w:r>
      <w:r w:rsidR="00E82470">
        <w:rPr>
          <w:rFonts w:ascii="Arial" w:hAnsi="Arial" w:cs="Arial"/>
        </w:rPr>
        <w:t>f</w:t>
      </w:r>
      <w:r w:rsidRPr="00D33652">
        <w:rPr>
          <w:rFonts w:ascii="Arial" w:hAnsi="Arial" w:cs="Arial"/>
        </w:rPr>
        <w:t xml:space="preserve">irms was to reduce the burden on PMU in terms of both procurement and subsequent management of consulting inputs. </w:t>
      </w:r>
      <w:r w:rsidR="00E82470">
        <w:rPr>
          <w:rFonts w:ascii="Arial" w:hAnsi="Arial" w:cs="Arial"/>
        </w:rPr>
        <w:t>E</w:t>
      </w:r>
      <w:r w:rsidRPr="00D33652">
        <w:rPr>
          <w:rFonts w:ascii="Arial" w:hAnsi="Arial" w:cs="Arial"/>
        </w:rPr>
        <w:t xml:space="preserve">xperience </w:t>
      </w:r>
      <w:r w:rsidR="00513D0D">
        <w:rPr>
          <w:rFonts w:ascii="Arial" w:hAnsi="Arial" w:cs="Arial"/>
        </w:rPr>
        <w:t>from</w:t>
      </w:r>
      <w:r w:rsidRPr="00D33652">
        <w:rPr>
          <w:rFonts w:ascii="Arial" w:hAnsi="Arial" w:cs="Arial"/>
        </w:rPr>
        <w:t xml:space="preserve"> </w:t>
      </w:r>
      <w:r w:rsidR="00E81083">
        <w:rPr>
          <w:rFonts w:ascii="Arial" w:hAnsi="Arial" w:cs="Arial"/>
        </w:rPr>
        <w:t xml:space="preserve">the </w:t>
      </w:r>
      <w:r w:rsidRPr="00D33652">
        <w:rPr>
          <w:rFonts w:ascii="Arial" w:hAnsi="Arial" w:cs="Arial"/>
        </w:rPr>
        <w:t>HHRSDP and other ADB loan projects within MoH</w:t>
      </w:r>
      <w:r w:rsidR="000F54D0">
        <w:rPr>
          <w:rStyle w:val="FootnoteReference"/>
          <w:rFonts w:cs="Arial"/>
        </w:rPr>
        <w:footnoteReference w:id="80"/>
      </w:r>
      <w:r w:rsidRPr="00D33652">
        <w:rPr>
          <w:rFonts w:ascii="Arial" w:hAnsi="Arial" w:cs="Arial"/>
        </w:rPr>
        <w:t xml:space="preserve"> </w:t>
      </w:r>
      <w:r w:rsidR="00E82470">
        <w:rPr>
          <w:rFonts w:ascii="Arial" w:hAnsi="Arial" w:cs="Arial"/>
        </w:rPr>
        <w:t>has shown</w:t>
      </w:r>
      <w:r w:rsidRPr="00D33652">
        <w:rPr>
          <w:rFonts w:ascii="Arial" w:hAnsi="Arial" w:cs="Arial"/>
        </w:rPr>
        <w:t xml:space="preserve"> </w:t>
      </w:r>
      <w:r w:rsidR="00513D0D">
        <w:rPr>
          <w:rFonts w:ascii="Arial" w:hAnsi="Arial" w:cs="Arial"/>
        </w:rPr>
        <w:t xml:space="preserve">that </w:t>
      </w:r>
      <w:r w:rsidRPr="00D33652">
        <w:rPr>
          <w:rFonts w:ascii="Arial" w:hAnsi="Arial" w:cs="Arial"/>
          <w:color w:val="000000"/>
        </w:rPr>
        <w:t xml:space="preserve">consulting service packages with a large technical scope and value are likely to be subject to lengthy approval processes, with the </w:t>
      </w:r>
      <w:r w:rsidR="00722303">
        <w:rPr>
          <w:rFonts w:ascii="Arial" w:hAnsi="Arial" w:cs="Arial"/>
          <w:color w:val="000000"/>
        </w:rPr>
        <w:t>ToR</w:t>
      </w:r>
      <w:r w:rsidRPr="00D33652">
        <w:rPr>
          <w:rFonts w:ascii="Arial" w:hAnsi="Arial" w:cs="Arial"/>
          <w:color w:val="000000"/>
        </w:rPr>
        <w:t xml:space="preserve"> requiring simultaneous review by multiple departments within MOH. Consulting packages of this size present additional risk due to the limited pool of firms with the technical capacity to implement the </w:t>
      </w:r>
      <w:r w:rsidR="00722303">
        <w:rPr>
          <w:rFonts w:ascii="Arial" w:hAnsi="Arial" w:cs="Arial"/>
          <w:color w:val="000000"/>
        </w:rPr>
        <w:t>ToR</w:t>
      </w:r>
      <w:r w:rsidRPr="00D33652">
        <w:rPr>
          <w:rFonts w:ascii="Arial" w:hAnsi="Arial" w:cs="Arial"/>
          <w:color w:val="000000"/>
        </w:rPr>
        <w:t>. Several packages of smaller scope and value present less risk and are subject to less protracted approval processes.</w:t>
      </w:r>
    </w:p>
    <w:p w:rsidR="00BC1520" w:rsidRPr="00D33652" w:rsidRDefault="00BC1520" w:rsidP="00BC1520">
      <w:pPr>
        <w:jc w:val="both"/>
        <w:rPr>
          <w:rFonts w:ascii="Arial" w:hAnsi="Arial" w:cs="Arial"/>
          <w:color w:val="000000"/>
        </w:rPr>
      </w:pPr>
    </w:p>
    <w:p w:rsidR="00BC1520" w:rsidRPr="00D33652" w:rsidRDefault="00BC1520" w:rsidP="00BC1520">
      <w:pPr>
        <w:jc w:val="both"/>
        <w:rPr>
          <w:rFonts w:ascii="Arial" w:hAnsi="Arial" w:cs="Arial"/>
        </w:rPr>
      </w:pPr>
      <w:r w:rsidRPr="00D33652">
        <w:rPr>
          <w:rFonts w:ascii="Arial" w:hAnsi="Arial" w:cs="Arial"/>
        </w:rPr>
        <w:fldChar w:fldCharType="begin"/>
      </w:r>
      <w:r w:rsidRPr="00D33652">
        <w:rPr>
          <w:rFonts w:ascii="Arial" w:hAnsi="Arial" w:cs="Arial"/>
        </w:rPr>
        <w:instrText xml:space="preserve"> AUTONUM </w:instrText>
      </w:r>
      <w:r w:rsidRPr="00D33652">
        <w:rPr>
          <w:rFonts w:ascii="Arial" w:hAnsi="Arial" w:cs="Arial"/>
        </w:rPr>
        <w:fldChar w:fldCharType="end"/>
      </w:r>
      <w:r w:rsidRPr="00D33652">
        <w:rPr>
          <w:rFonts w:ascii="Arial" w:hAnsi="Arial" w:cs="Arial"/>
        </w:rPr>
        <w:tab/>
        <w:t xml:space="preserve">The ICE </w:t>
      </w:r>
      <w:r w:rsidR="00AE79BF" w:rsidRPr="00D33652">
        <w:rPr>
          <w:rFonts w:ascii="Arial" w:hAnsi="Arial" w:cs="Arial"/>
        </w:rPr>
        <w:t>team note</w:t>
      </w:r>
      <w:r w:rsidR="003777FC">
        <w:rPr>
          <w:rFonts w:ascii="Arial" w:hAnsi="Arial" w:cs="Arial"/>
        </w:rPr>
        <w:t>s</w:t>
      </w:r>
      <w:r w:rsidRPr="00D33652">
        <w:rPr>
          <w:rFonts w:ascii="Arial" w:hAnsi="Arial" w:cs="Arial"/>
        </w:rPr>
        <w:t xml:space="preserve"> that, at the time of the </w:t>
      </w:r>
      <w:r w:rsidR="00702C79">
        <w:rPr>
          <w:rFonts w:ascii="Arial" w:hAnsi="Arial" w:cs="Arial"/>
        </w:rPr>
        <w:t>evaluation</w:t>
      </w:r>
      <w:r w:rsidRPr="00D33652">
        <w:rPr>
          <w:rFonts w:ascii="Arial" w:hAnsi="Arial" w:cs="Arial"/>
        </w:rPr>
        <w:t xml:space="preserve">, significant progress has been made with an estimated 95% of procurement works complete. All 28 packages for </w:t>
      </w:r>
      <w:r w:rsidR="00923852">
        <w:rPr>
          <w:rFonts w:ascii="Arial" w:hAnsi="Arial" w:cs="Arial"/>
        </w:rPr>
        <w:t>HPTF</w:t>
      </w:r>
      <w:r w:rsidRPr="00D33652">
        <w:rPr>
          <w:rFonts w:ascii="Arial" w:hAnsi="Arial" w:cs="Arial"/>
        </w:rPr>
        <w:t xml:space="preserve"> have been contracted, with the final 8 contracts due for execution in September 2015. All consulting services identified under the PAM have been recruited with ongoing contracts currently being managed. In the context of the challenges to procurement outlined above, it is recognized that PMU have made considerable effort in moving procurement activities forward.</w:t>
      </w:r>
    </w:p>
    <w:p w:rsidR="006A6E48" w:rsidRPr="00D33652" w:rsidRDefault="006A6E48" w:rsidP="006A6E48">
      <w:pPr>
        <w:widowControl w:val="0"/>
        <w:autoSpaceDE w:val="0"/>
        <w:autoSpaceDN w:val="0"/>
        <w:adjustRightInd w:val="0"/>
        <w:rPr>
          <w:rFonts w:ascii="Arial" w:hAnsi="Arial" w:cs="Arial"/>
          <w:b/>
        </w:rPr>
      </w:pPr>
    </w:p>
    <w:p w:rsidR="006A6E48" w:rsidRPr="00EE4E98" w:rsidRDefault="006A6E48" w:rsidP="00EE4E98">
      <w:pPr>
        <w:pStyle w:val="Heading3"/>
        <w:spacing w:after="120"/>
        <w:ind w:left="720" w:hanging="436"/>
        <w:rPr>
          <w:color w:val="000000"/>
          <w:sz w:val="21"/>
          <w:szCs w:val="21"/>
        </w:rPr>
      </w:pPr>
      <w:bookmarkStart w:id="54" w:name="_Toc422301212"/>
      <w:bookmarkStart w:id="55" w:name="_Toc423359330"/>
      <w:r w:rsidRPr="00EE4E98">
        <w:rPr>
          <w:color w:val="000000"/>
          <w:sz w:val="21"/>
          <w:szCs w:val="21"/>
        </w:rPr>
        <w:t>Performance of ADB</w:t>
      </w:r>
      <w:bookmarkEnd w:id="54"/>
      <w:bookmarkEnd w:id="55"/>
    </w:p>
    <w:p w:rsidR="006A6E48" w:rsidRPr="00D33652" w:rsidRDefault="006A6E48" w:rsidP="002B7986">
      <w:pPr>
        <w:spacing w:line="240" w:lineRule="atLeast"/>
        <w:jc w:val="both"/>
        <w:rPr>
          <w:rFonts w:ascii="Arial" w:hAnsi="Arial" w:cs="Arial"/>
          <w:snapToGrid w:val="0"/>
        </w:rPr>
      </w:pPr>
      <w:r w:rsidRPr="00D33652">
        <w:rPr>
          <w:rFonts w:ascii="Arial" w:hAnsi="Arial" w:cs="Arial"/>
          <w:snapToGrid w:val="0"/>
        </w:rPr>
        <w:fldChar w:fldCharType="begin"/>
      </w:r>
      <w:r w:rsidRPr="00D33652">
        <w:rPr>
          <w:rFonts w:ascii="Arial" w:hAnsi="Arial" w:cs="Arial"/>
          <w:snapToGrid w:val="0"/>
        </w:rPr>
        <w:instrText xml:space="preserve"> AUTONUM </w:instrText>
      </w:r>
      <w:r w:rsidRPr="00D33652">
        <w:rPr>
          <w:rFonts w:ascii="Arial" w:hAnsi="Arial" w:cs="Arial"/>
          <w:snapToGrid w:val="0"/>
        </w:rPr>
        <w:fldChar w:fldCharType="end"/>
      </w:r>
      <w:r w:rsidRPr="00D33652">
        <w:rPr>
          <w:rFonts w:ascii="Arial" w:hAnsi="Arial" w:cs="Arial"/>
          <w:snapToGrid w:val="0"/>
        </w:rPr>
        <w:tab/>
        <w:t xml:space="preserve">ADB has fielded ten missions since inception, comprising </w:t>
      </w:r>
      <w:r w:rsidR="00923852">
        <w:rPr>
          <w:rFonts w:ascii="Arial" w:hAnsi="Arial" w:cs="Arial"/>
          <w:snapToGrid w:val="0"/>
        </w:rPr>
        <w:t>an</w:t>
      </w:r>
      <w:r w:rsidRPr="00D33652">
        <w:rPr>
          <w:rFonts w:ascii="Arial" w:hAnsi="Arial" w:cs="Arial"/>
          <w:snapToGrid w:val="0"/>
        </w:rPr>
        <w:t xml:space="preserve"> inception mission, six loan review missions, the MTR and two special administration missions. This input is on par with other Projects of similar investment size. </w:t>
      </w:r>
      <w:r w:rsidR="000E592E">
        <w:rPr>
          <w:rFonts w:ascii="Arial" w:hAnsi="Arial" w:cs="Arial"/>
          <w:snapToGrid w:val="0"/>
        </w:rPr>
        <w:t xml:space="preserve">The </w:t>
      </w:r>
      <w:r w:rsidRPr="00D33652">
        <w:rPr>
          <w:rFonts w:ascii="Arial" w:hAnsi="Arial" w:cs="Arial"/>
          <w:snapToGrid w:val="0"/>
        </w:rPr>
        <w:t xml:space="preserve">Project benefited from inputs </w:t>
      </w:r>
      <w:r w:rsidR="00BB670B">
        <w:rPr>
          <w:rFonts w:ascii="Arial" w:hAnsi="Arial" w:cs="Arial"/>
          <w:snapToGrid w:val="0"/>
        </w:rPr>
        <w:t>of</w:t>
      </w:r>
      <w:r w:rsidRPr="00D33652">
        <w:rPr>
          <w:rFonts w:ascii="Arial" w:hAnsi="Arial" w:cs="Arial"/>
          <w:snapToGrid w:val="0"/>
        </w:rPr>
        <w:t xml:space="preserve"> </w:t>
      </w:r>
      <w:r w:rsidR="00702C79">
        <w:rPr>
          <w:rFonts w:ascii="Arial" w:hAnsi="Arial" w:cs="Arial"/>
          <w:snapToGrid w:val="0"/>
        </w:rPr>
        <w:t>ADB’s Viet Nam Resident Mission (VRM)</w:t>
      </w:r>
      <w:r w:rsidR="000E592E">
        <w:rPr>
          <w:rFonts w:ascii="Arial" w:hAnsi="Arial" w:cs="Arial"/>
          <w:snapToGrid w:val="0"/>
        </w:rPr>
        <w:t xml:space="preserve"> over the implementation period</w:t>
      </w:r>
      <w:r w:rsidRPr="00D33652">
        <w:rPr>
          <w:rFonts w:ascii="Arial" w:hAnsi="Arial" w:cs="Arial"/>
          <w:snapToGrid w:val="0"/>
        </w:rPr>
        <w:t>, specifically: (i) The delivery of trainings for PMU and PIU staff on project administration, procurement and other topics specific to loan and grant administration; and (ii) Ad</w:t>
      </w:r>
      <w:r w:rsidR="00923852">
        <w:rPr>
          <w:rFonts w:ascii="Arial" w:hAnsi="Arial" w:cs="Arial"/>
          <w:snapToGrid w:val="0"/>
        </w:rPr>
        <w:t xml:space="preserve"> </w:t>
      </w:r>
      <w:r w:rsidRPr="00D33652">
        <w:rPr>
          <w:rFonts w:ascii="Arial" w:hAnsi="Arial" w:cs="Arial"/>
          <w:snapToGrid w:val="0"/>
        </w:rPr>
        <w:t xml:space="preserve">hoc inputs from in-country specialists. No management inputs were provided from the VRM, with the </w:t>
      </w:r>
      <w:r w:rsidR="000E592E">
        <w:rPr>
          <w:rFonts w:ascii="Arial" w:hAnsi="Arial" w:cs="Arial"/>
          <w:snapToGrid w:val="0"/>
        </w:rPr>
        <w:t>P</w:t>
      </w:r>
      <w:r w:rsidRPr="00D33652">
        <w:rPr>
          <w:rFonts w:ascii="Arial" w:hAnsi="Arial" w:cs="Arial"/>
          <w:snapToGrid w:val="0"/>
        </w:rPr>
        <w:t xml:space="preserve">roject being managed by ADB headquarters staff. </w:t>
      </w:r>
    </w:p>
    <w:p w:rsidR="006A6E48" w:rsidRPr="00D33652" w:rsidRDefault="006A6E48" w:rsidP="002B7986">
      <w:pPr>
        <w:spacing w:line="240" w:lineRule="atLeast"/>
        <w:jc w:val="both"/>
        <w:rPr>
          <w:rFonts w:ascii="Arial" w:hAnsi="Arial" w:cs="Arial"/>
          <w:snapToGrid w:val="0"/>
        </w:rPr>
      </w:pPr>
    </w:p>
    <w:p w:rsidR="006A6E48" w:rsidRPr="00D33652" w:rsidRDefault="006A6E48" w:rsidP="002B7986">
      <w:pPr>
        <w:spacing w:line="240" w:lineRule="atLeast"/>
        <w:jc w:val="both"/>
        <w:rPr>
          <w:rFonts w:ascii="Arial" w:hAnsi="Arial" w:cs="Arial"/>
          <w:color w:val="000000"/>
        </w:rPr>
      </w:pPr>
      <w:r w:rsidRPr="00D33652">
        <w:rPr>
          <w:rFonts w:ascii="Arial" w:hAnsi="Arial" w:cs="Arial"/>
          <w:snapToGrid w:val="0"/>
        </w:rPr>
        <w:fldChar w:fldCharType="begin"/>
      </w:r>
      <w:r w:rsidRPr="00D33652">
        <w:rPr>
          <w:rFonts w:ascii="Arial" w:hAnsi="Arial" w:cs="Arial"/>
          <w:snapToGrid w:val="0"/>
        </w:rPr>
        <w:instrText xml:space="preserve"> AUTONUM </w:instrText>
      </w:r>
      <w:r w:rsidRPr="00D33652">
        <w:rPr>
          <w:rFonts w:ascii="Arial" w:hAnsi="Arial" w:cs="Arial"/>
          <w:snapToGrid w:val="0"/>
        </w:rPr>
        <w:fldChar w:fldCharType="end"/>
      </w:r>
      <w:r w:rsidRPr="00D33652">
        <w:rPr>
          <w:rFonts w:ascii="Arial" w:hAnsi="Arial" w:cs="Arial"/>
          <w:snapToGrid w:val="0"/>
        </w:rPr>
        <w:tab/>
        <w:t xml:space="preserve">The ADB Officer responsible for the Project changed four times over the implementation period, primarily due to staff departures within ADB. </w:t>
      </w:r>
      <w:r w:rsidRPr="00D33652">
        <w:rPr>
          <w:rFonts w:ascii="Arial" w:hAnsi="Arial" w:cs="Arial"/>
          <w:color w:val="000000"/>
        </w:rPr>
        <w:t xml:space="preserve">Changes in ADB staff placed increased burden on the PMU through the need to ‘orient’ the new Officers to the </w:t>
      </w:r>
      <w:r w:rsidR="00DB6804">
        <w:rPr>
          <w:rFonts w:ascii="Arial" w:hAnsi="Arial" w:cs="Arial"/>
          <w:color w:val="000000"/>
        </w:rPr>
        <w:t>P</w:t>
      </w:r>
      <w:r w:rsidRPr="00D33652">
        <w:rPr>
          <w:rFonts w:ascii="Arial" w:hAnsi="Arial" w:cs="Arial"/>
          <w:color w:val="000000"/>
        </w:rPr>
        <w:t xml:space="preserve">roject. Transition of ADB staff appeared to result in a loss of continuity in managing key issues around the investment. A review </w:t>
      </w:r>
      <w:r w:rsidR="00105BCD">
        <w:rPr>
          <w:rFonts w:ascii="Arial" w:hAnsi="Arial" w:cs="Arial"/>
          <w:color w:val="000000"/>
        </w:rPr>
        <w:t>of Aide Memoires from each ADB m</w:t>
      </w:r>
      <w:r w:rsidRPr="00D33652">
        <w:rPr>
          <w:rFonts w:ascii="Arial" w:hAnsi="Arial" w:cs="Arial"/>
          <w:color w:val="000000"/>
        </w:rPr>
        <w:t xml:space="preserve">ission found common issues raised by successive missions with no clear management action taken on the part of ADB. Given the ‘at risk’ status assigned to the </w:t>
      </w:r>
      <w:r w:rsidR="00923852">
        <w:rPr>
          <w:rFonts w:ascii="Arial" w:hAnsi="Arial" w:cs="Arial"/>
          <w:color w:val="000000"/>
        </w:rPr>
        <w:t>P</w:t>
      </w:r>
      <w:r w:rsidRPr="00D33652">
        <w:rPr>
          <w:rFonts w:ascii="Arial" w:hAnsi="Arial" w:cs="Arial"/>
          <w:color w:val="000000"/>
        </w:rPr>
        <w:t>roject as early as April 2013</w:t>
      </w:r>
      <w:r w:rsidRPr="00D33652">
        <w:rPr>
          <w:rStyle w:val="FootnoteReference"/>
          <w:rFonts w:cs="Arial"/>
          <w:color w:val="000000"/>
          <w:sz w:val="20"/>
        </w:rPr>
        <w:footnoteReference w:id="81"/>
      </w:r>
      <w:r w:rsidRPr="00D33652">
        <w:rPr>
          <w:rFonts w:ascii="Arial" w:hAnsi="Arial" w:cs="Arial"/>
          <w:color w:val="000000"/>
        </w:rPr>
        <w:t xml:space="preserve"> more substantive action on the part of ADB was warranted to address the unsatisfactory physical and financial progress and</w:t>
      </w:r>
      <w:r w:rsidR="00923852">
        <w:rPr>
          <w:rFonts w:ascii="Arial" w:hAnsi="Arial" w:cs="Arial"/>
          <w:color w:val="000000"/>
        </w:rPr>
        <w:t>,</w:t>
      </w:r>
      <w:r w:rsidRPr="00D33652">
        <w:rPr>
          <w:rFonts w:ascii="Arial" w:hAnsi="Arial" w:cs="Arial"/>
          <w:color w:val="000000"/>
        </w:rPr>
        <w:t xml:space="preserve"> specifically</w:t>
      </w:r>
      <w:r w:rsidR="00923852">
        <w:rPr>
          <w:rFonts w:ascii="Arial" w:hAnsi="Arial" w:cs="Arial"/>
          <w:color w:val="000000"/>
        </w:rPr>
        <w:t>,</w:t>
      </w:r>
      <w:r w:rsidRPr="00D33652">
        <w:rPr>
          <w:rFonts w:ascii="Arial" w:hAnsi="Arial" w:cs="Arial"/>
          <w:color w:val="000000"/>
        </w:rPr>
        <w:t xml:space="preserve"> the high proportion of grant funds that will remain undisbursed at 30 June 2015.  The ICE </w:t>
      </w:r>
      <w:r w:rsidR="00AE79BF" w:rsidRPr="00D33652">
        <w:rPr>
          <w:rFonts w:ascii="Arial" w:hAnsi="Arial" w:cs="Arial"/>
          <w:color w:val="000000"/>
        </w:rPr>
        <w:t>team acknowledges</w:t>
      </w:r>
      <w:r w:rsidRPr="00D33652">
        <w:rPr>
          <w:rFonts w:ascii="Arial" w:hAnsi="Arial" w:cs="Arial"/>
          <w:color w:val="000000"/>
        </w:rPr>
        <w:t xml:space="preserve"> that, following typhoon Haiyan in November 2013, ADB</w:t>
      </w:r>
      <w:r w:rsidR="00DC7A71">
        <w:rPr>
          <w:rFonts w:ascii="Arial" w:hAnsi="Arial" w:cs="Arial"/>
          <w:color w:val="000000"/>
        </w:rPr>
        <w:t>’</w:t>
      </w:r>
      <w:r w:rsidRPr="00D33652">
        <w:rPr>
          <w:rFonts w:ascii="Arial" w:hAnsi="Arial" w:cs="Arial"/>
          <w:color w:val="000000"/>
        </w:rPr>
        <w:t xml:space="preserve">s human resources were necessarily redirected to recovery efforts, reducing the management inputs available to </w:t>
      </w:r>
      <w:r w:rsidR="00DC7A71">
        <w:rPr>
          <w:rFonts w:ascii="Arial" w:hAnsi="Arial" w:cs="Arial"/>
          <w:color w:val="000000"/>
        </w:rPr>
        <w:t xml:space="preserve">the </w:t>
      </w:r>
      <w:r w:rsidRPr="00D33652">
        <w:rPr>
          <w:rFonts w:ascii="Arial" w:hAnsi="Arial" w:cs="Arial"/>
          <w:color w:val="000000"/>
        </w:rPr>
        <w:t>HHRSDP.</w:t>
      </w:r>
    </w:p>
    <w:p w:rsidR="006A6E48" w:rsidRPr="00D33652" w:rsidRDefault="006A6E48" w:rsidP="002B7986">
      <w:pPr>
        <w:spacing w:line="240" w:lineRule="atLeast"/>
        <w:jc w:val="both"/>
        <w:rPr>
          <w:rFonts w:ascii="Arial" w:hAnsi="Arial" w:cs="Arial"/>
          <w:color w:val="000000"/>
        </w:rPr>
      </w:pPr>
    </w:p>
    <w:p w:rsidR="006A6E48" w:rsidRPr="00D33652" w:rsidRDefault="006A6E48" w:rsidP="002B7986">
      <w:pPr>
        <w:spacing w:line="240" w:lineRule="atLeast"/>
        <w:jc w:val="both"/>
        <w:rPr>
          <w:rFonts w:ascii="Arial" w:hAnsi="Arial" w:cs="Arial"/>
          <w:color w:val="000000"/>
        </w:rPr>
      </w:pPr>
      <w:r w:rsidRPr="00D33652">
        <w:rPr>
          <w:rFonts w:ascii="Arial" w:hAnsi="Arial" w:cs="Arial"/>
          <w:snapToGrid w:val="0"/>
        </w:rPr>
        <w:fldChar w:fldCharType="begin"/>
      </w:r>
      <w:r w:rsidRPr="00D33652">
        <w:rPr>
          <w:rFonts w:ascii="Arial" w:hAnsi="Arial" w:cs="Arial"/>
          <w:snapToGrid w:val="0"/>
        </w:rPr>
        <w:instrText xml:space="preserve"> AUTONUM </w:instrText>
      </w:r>
      <w:r w:rsidRPr="00D33652">
        <w:rPr>
          <w:rFonts w:ascii="Arial" w:hAnsi="Arial" w:cs="Arial"/>
          <w:snapToGrid w:val="0"/>
        </w:rPr>
        <w:fldChar w:fldCharType="end"/>
      </w:r>
      <w:r w:rsidRPr="00D33652">
        <w:rPr>
          <w:rFonts w:ascii="Arial" w:hAnsi="Arial" w:cs="Arial"/>
          <w:snapToGrid w:val="0"/>
        </w:rPr>
        <w:tab/>
      </w:r>
      <w:r w:rsidRPr="00D33652">
        <w:rPr>
          <w:rFonts w:ascii="Arial" w:hAnsi="Arial" w:cs="Arial"/>
          <w:color w:val="000000"/>
        </w:rPr>
        <w:t>The ICE team not</w:t>
      </w:r>
      <w:r w:rsidR="002B7986" w:rsidRPr="00D33652">
        <w:rPr>
          <w:rFonts w:ascii="Arial" w:hAnsi="Arial" w:cs="Arial"/>
          <w:color w:val="000000"/>
        </w:rPr>
        <w:t>e that the closing date of the Grant A</w:t>
      </w:r>
      <w:r w:rsidRPr="00D33652">
        <w:rPr>
          <w:rFonts w:ascii="Arial" w:hAnsi="Arial" w:cs="Arial"/>
          <w:color w:val="000000"/>
        </w:rPr>
        <w:t>greement signed between the GoV and ADB is 30 June 2016, 12 months beyond the agreed terminat</w:t>
      </w:r>
      <w:r w:rsidR="002B7986" w:rsidRPr="00D33652">
        <w:rPr>
          <w:rFonts w:ascii="Arial" w:hAnsi="Arial" w:cs="Arial"/>
          <w:color w:val="000000"/>
        </w:rPr>
        <w:t>ion date of DFAT’s Co-financing Agreement with ADB</w:t>
      </w:r>
      <w:r w:rsidRPr="00D33652">
        <w:rPr>
          <w:rFonts w:ascii="Arial" w:hAnsi="Arial" w:cs="Arial"/>
          <w:color w:val="000000"/>
        </w:rPr>
        <w:t xml:space="preserve"> (30 June 2015). The reason for the discre</w:t>
      </w:r>
      <w:r w:rsidR="002B7986" w:rsidRPr="00D33652">
        <w:rPr>
          <w:rFonts w:ascii="Arial" w:hAnsi="Arial" w:cs="Arial"/>
          <w:color w:val="000000"/>
        </w:rPr>
        <w:t>pancy in dates between the two A</w:t>
      </w:r>
      <w:r w:rsidRPr="00D33652">
        <w:rPr>
          <w:rFonts w:ascii="Arial" w:hAnsi="Arial" w:cs="Arial"/>
          <w:color w:val="000000"/>
        </w:rPr>
        <w:t>greements was not apparent to the ICE team.</w:t>
      </w:r>
    </w:p>
    <w:p w:rsidR="006A6E48" w:rsidRPr="00D33652" w:rsidRDefault="006A6E48" w:rsidP="006A6E48">
      <w:pPr>
        <w:spacing w:line="240" w:lineRule="atLeast"/>
        <w:rPr>
          <w:rFonts w:ascii="Arial" w:hAnsi="Arial" w:cs="Arial"/>
          <w:color w:val="000000"/>
        </w:rPr>
      </w:pPr>
    </w:p>
    <w:p w:rsidR="006A6E48" w:rsidRPr="00EE4E98" w:rsidRDefault="006A6E48" w:rsidP="00EE4E98">
      <w:pPr>
        <w:pStyle w:val="Heading3"/>
        <w:spacing w:after="120"/>
        <w:ind w:left="720" w:hanging="436"/>
        <w:rPr>
          <w:color w:val="000000"/>
          <w:sz w:val="21"/>
          <w:szCs w:val="21"/>
        </w:rPr>
      </w:pPr>
      <w:bookmarkStart w:id="56" w:name="_Toc422301213"/>
      <w:bookmarkStart w:id="57" w:name="_Toc423359331"/>
      <w:r w:rsidRPr="00EE4E98">
        <w:rPr>
          <w:color w:val="000000"/>
          <w:sz w:val="21"/>
          <w:szCs w:val="21"/>
        </w:rPr>
        <w:t>Overall Assessment</w:t>
      </w:r>
      <w:bookmarkEnd w:id="56"/>
      <w:bookmarkEnd w:id="57"/>
    </w:p>
    <w:p w:rsidR="006A6E48" w:rsidRPr="00D33652" w:rsidRDefault="006A6E48" w:rsidP="00185E36">
      <w:pPr>
        <w:jc w:val="both"/>
        <w:rPr>
          <w:rFonts w:ascii="Arial" w:hAnsi="Arial" w:cs="Arial"/>
          <w:snapToGrid w:val="0"/>
        </w:rPr>
      </w:pPr>
      <w:r w:rsidRPr="00D33652">
        <w:rPr>
          <w:rFonts w:ascii="Arial" w:hAnsi="Arial" w:cs="Arial"/>
          <w:snapToGrid w:val="0"/>
        </w:rPr>
        <w:fldChar w:fldCharType="begin"/>
      </w:r>
      <w:r w:rsidRPr="00D33652">
        <w:rPr>
          <w:rFonts w:ascii="Arial" w:hAnsi="Arial" w:cs="Arial"/>
          <w:snapToGrid w:val="0"/>
        </w:rPr>
        <w:instrText xml:space="preserve"> AUTONUM </w:instrText>
      </w:r>
      <w:r w:rsidRPr="00D33652">
        <w:rPr>
          <w:rFonts w:ascii="Arial" w:hAnsi="Arial" w:cs="Arial"/>
          <w:snapToGrid w:val="0"/>
        </w:rPr>
        <w:fldChar w:fldCharType="end"/>
      </w:r>
      <w:r w:rsidRPr="00D33652">
        <w:rPr>
          <w:rFonts w:ascii="Arial" w:hAnsi="Arial" w:cs="Arial"/>
          <w:snapToGrid w:val="0"/>
        </w:rPr>
        <w:tab/>
        <w:t xml:space="preserve">The ICE team scored the HHRSDP’s overall rating for efficiency as 4. Ratings for individual efficiency </w:t>
      </w:r>
      <w:r w:rsidR="000E592E">
        <w:rPr>
          <w:rFonts w:ascii="Arial" w:hAnsi="Arial" w:cs="Arial"/>
          <w:snapToGrid w:val="0"/>
        </w:rPr>
        <w:t xml:space="preserve">sub-criteria </w:t>
      </w:r>
      <w:r w:rsidRPr="00D33652">
        <w:rPr>
          <w:rFonts w:ascii="Arial" w:hAnsi="Arial" w:cs="Arial"/>
          <w:snapToGrid w:val="0"/>
        </w:rPr>
        <w:t xml:space="preserve">are listed in </w:t>
      </w:r>
      <w:r w:rsidR="002B7986" w:rsidRPr="00D33652">
        <w:rPr>
          <w:rFonts w:ascii="Arial" w:hAnsi="Arial" w:cs="Arial"/>
          <w:snapToGrid w:val="0"/>
        </w:rPr>
        <w:t>Appendix 1, Table 1.1</w:t>
      </w:r>
      <w:r w:rsidRPr="00D33652">
        <w:rPr>
          <w:rFonts w:ascii="Arial" w:hAnsi="Arial" w:cs="Arial"/>
          <w:snapToGrid w:val="0"/>
        </w:rPr>
        <w:t xml:space="preserve">. </w:t>
      </w:r>
    </w:p>
    <w:p w:rsidR="006A6E48" w:rsidRPr="00D33652" w:rsidRDefault="006A6E48" w:rsidP="006A6E48">
      <w:pPr>
        <w:rPr>
          <w:rFonts w:ascii="Arial" w:hAnsi="Arial" w:cs="Arial"/>
        </w:rPr>
      </w:pPr>
    </w:p>
    <w:p w:rsidR="008C3E23" w:rsidRDefault="006A6E48" w:rsidP="002B7986">
      <w:pPr>
        <w:jc w:val="both"/>
        <w:rPr>
          <w:rFonts w:ascii="Arial" w:hAnsi="Arial" w:cs="Arial"/>
          <w:snapToGrid w:val="0"/>
        </w:rPr>
      </w:pPr>
      <w:r w:rsidRPr="00D33652">
        <w:rPr>
          <w:rFonts w:ascii="Arial" w:hAnsi="Arial" w:cs="Arial"/>
          <w:snapToGrid w:val="0"/>
        </w:rPr>
        <w:fldChar w:fldCharType="begin"/>
      </w:r>
      <w:r w:rsidRPr="00D33652">
        <w:rPr>
          <w:rFonts w:ascii="Arial" w:hAnsi="Arial" w:cs="Arial"/>
          <w:snapToGrid w:val="0"/>
        </w:rPr>
        <w:instrText xml:space="preserve"> AUTONUM </w:instrText>
      </w:r>
      <w:r w:rsidRPr="00D33652">
        <w:rPr>
          <w:rFonts w:ascii="Arial" w:hAnsi="Arial" w:cs="Arial"/>
          <w:snapToGrid w:val="0"/>
        </w:rPr>
        <w:fldChar w:fldCharType="end"/>
      </w:r>
      <w:r w:rsidRPr="00D33652">
        <w:rPr>
          <w:rFonts w:ascii="Arial" w:hAnsi="Arial" w:cs="Arial"/>
          <w:snapToGrid w:val="0"/>
        </w:rPr>
        <w:tab/>
      </w:r>
      <w:r w:rsidR="00BC1520" w:rsidRPr="00D33652">
        <w:rPr>
          <w:rFonts w:ascii="Arial" w:hAnsi="Arial" w:cs="Arial"/>
          <w:snapToGrid w:val="0"/>
        </w:rPr>
        <w:t xml:space="preserve">In determining the rating the ICE team gave consideration to systemic factors, beyond the immediate influence of the Project, that impact on project efficiency. </w:t>
      </w:r>
      <w:r w:rsidR="00BC1520" w:rsidRPr="00D33652">
        <w:rPr>
          <w:rFonts w:ascii="Arial" w:hAnsi="Arial" w:cs="Arial"/>
        </w:rPr>
        <w:t xml:space="preserve">The implementation issues experienced on </w:t>
      </w:r>
      <w:r w:rsidR="00187285">
        <w:rPr>
          <w:rFonts w:ascii="Arial" w:hAnsi="Arial" w:cs="Arial"/>
        </w:rPr>
        <w:t>the HHRSDP</w:t>
      </w:r>
      <w:r w:rsidR="00BC1520" w:rsidRPr="00D33652">
        <w:rPr>
          <w:rFonts w:ascii="Arial" w:hAnsi="Arial" w:cs="Arial"/>
        </w:rPr>
        <w:t xml:space="preserve"> are not unique to this project. Other ADB investments within MoH have experienced similar issues with slow physical progress, low disbursement rates through to project year 4 and the need for </w:t>
      </w:r>
      <w:r w:rsidR="00DB6804">
        <w:rPr>
          <w:rFonts w:ascii="Arial" w:hAnsi="Arial" w:cs="Arial"/>
        </w:rPr>
        <w:t xml:space="preserve">a </w:t>
      </w:r>
      <w:r w:rsidR="00BC1520" w:rsidRPr="00D33652">
        <w:rPr>
          <w:rFonts w:ascii="Arial" w:hAnsi="Arial" w:cs="Arial"/>
        </w:rPr>
        <w:t>12-month extension to the project implementation period.</w:t>
      </w:r>
      <w:r w:rsidR="00BC1520" w:rsidRPr="00D33652">
        <w:rPr>
          <w:rStyle w:val="FootnoteReference"/>
          <w:rFonts w:cs="Arial"/>
          <w:sz w:val="20"/>
        </w:rPr>
        <w:footnoteReference w:id="82"/>
      </w:r>
      <w:r w:rsidR="00BC1520" w:rsidRPr="00D33652">
        <w:rPr>
          <w:rFonts w:ascii="Arial" w:hAnsi="Arial" w:cs="Arial"/>
        </w:rPr>
        <w:t xml:space="preserve"> This consistent pattern may be indicative of </w:t>
      </w:r>
      <w:r w:rsidR="005956C8">
        <w:rPr>
          <w:rFonts w:ascii="Arial" w:hAnsi="Arial" w:cs="Arial"/>
        </w:rPr>
        <w:t>institutional</w:t>
      </w:r>
      <w:r w:rsidR="005956C8" w:rsidRPr="00D33652">
        <w:rPr>
          <w:rFonts w:ascii="Arial" w:hAnsi="Arial" w:cs="Arial"/>
        </w:rPr>
        <w:t xml:space="preserve"> </w:t>
      </w:r>
      <w:r w:rsidR="00BC1520" w:rsidRPr="00D33652">
        <w:rPr>
          <w:rFonts w:ascii="Arial" w:hAnsi="Arial" w:cs="Arial"/>
        </w:rPr>
        <w:t>barriers to efficiency</w:t>
      </w:r>
      <w:r w:rsidR="00DB6804">
        <w:rPr>
          <w:rFonts w:ascii="Arial" w:hAnsi="Arial" w:cs="Arial"/>
        </w:rPr>
        <w:t xml:space="preserve"> relating</w:t>
      </w:r>
      <w:r w:rsidR="005956C8">
        <w:rPr>
          <w:rFonts w:ascii="Arial" w:hAnsi="Arial" w:cs="Arial"/>
        </w:rPr>
        <w:t xml:space="preserve"> to how Government and ADB procedures are managed within the Ministry. </w:t>
      </w:r>
      <w:r w:rsidR="00BC1520" w:rsidRPr="00D33652">
        <w:rPr>
          <w:rFonts w:ascii="Arial" w:hAnsi="Arial" w:cs="Arial"/>
          <w:snapToGrid w:val="0"/>
        </w:rPr>
        <w:t xml:space="preserve">While it is beyond the scope of the ICE team to make an assessment of </w:t>
      </w:r>
      <w:r w:rsidR="00DB6804">
        <w:rPr>
          <w:rFonts w:ascii="Arial" w:hAnsi="Arial" w:cs="Arial"/>
          <w:snapToGrid w:val="0"/>
        </w:rPr>
        <w:t xml:space="preserve">the </w:t>
      </w:r>
      <w:r w:rsidR="00BC1520" w:rsidRPr="00D33652">
        <w:rPr>
          <w:rFonts w:ascii="Arial" w:hAnsi="Arial" w:cs="Arial"/>
          <w:snapToGrid w:val="0"/>
        </w:rPr>
        <w:t xml:space="preserve">systems within the Ministry, the team views the implementation experience of MoH’s other ADB investment projects as a useful context against which to assess the efficiency of </w:t>
      </w:r>
      <w:r w:rsidR="00187285">
        <w:rPr>
          <w:rFonts w:ascii="Arial" w:hAnsi="Arial" w:cs="Arial"/>
          <w:snapToGrid w:val="0"/>
        </w:rPr>
        <w:t>the HHRSDP</w:t>
      </w:r>
      <w:r w:rsidR="00BC1520" w:rsidRPr="00D33652">
        <w:rPr>
          <w:rFonts w:ascii="Arial" w:hAnsi="Arial" w:cs="Arial"/>
          <w:snapToGrid w:val="0"/>
        </w:rPr>
        <w:t>.</w:t>
      </w:r>
    </w:p>
    <w:p w:rsidR="008C3E23" w:rsidRDefault="008C3E23">
      <w:pPr>
        <w:rPr>
          <w:rFonts w:ascii="Arial" w:hAnsi="Arial" w:cs="Arial"/>
          <w:snapToGrid w:val="0"/>
        </w:rPr>
      </w:pPr>
      <w:r>
        <w:rPr>
          <w:rFonts w:ascii="Arial" w:hAnsi="Arial" w:cs="Arial"/>
          <w:snapToGrid w:val="0"/>
        </w:rPr>
        <w:br w:type="page"/>
      </w:r>
    </w:p>
    <w:p w:rsidR="0028387D" w:rsidRPr="00D33652" w:rsidRDefault="0028387D" w:rsidP="00CA718F">
      <w:pPr>
        <w:pStyle w:val="Heading2"/>
        <w:numPr>
          <w:ilvl w:val="1"/>
          <w:numId w:val="7"/>
        </w:numPr>
        <w:rPr>
          <w:bCs w:val="0"/>
          <w:i w:val="0"/>
          <w:iCs w:val="0"/>
          <w:color w:val="000000"/>
          <w:sz w:val="22"/>
          <w:szCs w:val="20"/>
          <w:lang w:eastAsia="en-US"/>
        </w:rPr>
      </w:pPr>
      <w:bookmarkStart w:id="58" w:name="_Toc422301214"/>
      <w:bookmarkStart w:id="59" w:name="_Toc423359332"/>
      <w:r w:rsidRPr="00D33652">
        <w:rPr>
          <w:bCs w:val="0"/>
          <w:i w:val="0"/>
          <w:iCs w:val="0"/>
          <w:color w:val="000000"/>
          <w:sz w:val="22"/>
          <w:szCs w:val="20"/>
          <w:lang w:eastAsia="en-US"/>
        </w:rPr>
        <w:t>I</w:t>
      </w:r>
      <w:r w:rsidR="005B520D">
        <w:rPr>
          <w:bCs w:val="0"/>
          <w:i w:val="0"/>
          <w:iCs w:val="0"/>
          <w:color w:val="000000"/>
          <w:sz w:val="22"/>
          <w:szCs w:val="20"/>
          <w:lang w:eastAsia="en-US"/>
        </w:rPr>
        <w:t>mpact</w:t>
      </w:r>
      <w:bookmarkEnd w:id="58"/>
      <w:bookmarkEnd w:id="59"/>
    </w:p>
    <w:p w:rsidR="0060587F" w:rsidRDefault="0060587F">
      <w:pPr>
        <w:rPr>
          <w:rFonts w:ascii="Arial" w:hAnsi="Arial" w:cs="Arial"/>
          <w:color w:val="FF0000"/>
        </w:rPr>
      </w:pPr>
    </w:p>
    <w:p w:rsidR="00387208" w:rsidRPr="006A03A7" w:rsidRDefault="00387208" w:rsidP="00387208">
      <w:pPr>
        <w:jc w:val="both"/>
        <w:rPr>
          <w:rFonts w:ascii="Arial" w:hAnsi="Arial" w:cs="Arial"/>
        </w:rPr>
      </w:pPr>
      <w:r w:rsidRPr="00777CBC">
        <w:rPr>
          <w:rFonts w:ascii="Arial" w:hAnsi="Arial" w:cs="Arial"/>
          <w:snapToGrid w:val="0"/>
        </w:rPr>
        <w:fldChar w:fldCharType="begin"/>
      </w:r>
      <w:r w:rsidRPr="00387208">
        <w:rPr>
          <w:rFonts w:ascii="Arial" w:hAnsi="Arial" w:cs="Arial"/>
          <w:snapToGrid w:val="0"/>
        </w:rPr>
        <w:instrText xml:space="preserve"> AUTONUM </w:instrText>
      </w:r>
      <w:r w:rsidRPr="00777CBC">
        <w:rPr>
          <w:rFonts w:ascii="Arial" w:hAnsi="Arial" w:cs="Arial"/>
          <w:snapToGrid w:val="0"/>
        </w:rPr>
        <w:fldChar w:fldCharType="end"/>
      </w:r>
      <w:r w:rsidRPr="00387208">
        <w:rPr>
          <w:rFonts w:ascii="Arial" w:hAnsi="Arial" w:cs="Arial"/>
          <w:snapToGrid w:val="0"/>
        </w:rPr>
        <w:tab/>
      </w:r>
      <w:r w:rsidRPr="00387208">
        <w:rPr>
          <w:rFonts w:ascii="Arial" w:hAnsi="Arial" w:cs="Arial"/>
        </w:rPr>
        <w:t>The in</w:t>
      </w:r>
      <w:r w:rsidRPr="00A742BD">
        <w:rPr>
          <w:rFonts w:ascii="Arial" w:hAnsi="Arial" w:cs="Arial"/>
        </w:rPr>
        <w:t xml:space="preserve">tended impact of the HHRSDP is: ‘Improved health status and progress towards the health Millennium Development Goals (MDG)/Viet Nam Development Goals (VDG) in </w:t>
      </w:r>
      <w:r w:rsidR="0028006A">
        <w:rPr>
          <w:rFonts w:ascii="Arial" w:hAnsi="Arial" w:cs="Arial"/>
        </w:rPr>
        <w:t>Viet Nam</w:t>
      </w:r>
      <w:r w:rsidRPr="006A03A7">
        <w:rPr>
          <w:rFonts w:ascii="Arial" w:hAnsi="Arial" w:cs="Arial"/>
        </w:rPr>
        <w:t>”. The Program has three performance targets:</w:t>
      </w:r>
    </w:p>
    <w:p w:rsidR="00387208" w:rsidRPr="00777CBC" w:rsidRDefault="00387208" w:rsidP="00387208">
      <w:pPr>
        <w:pStyle w:val="ColorfulList-Accent11"/>
        <w:numPr>
          <w:ilvl w:val="0"/>
          <w:numId w:val="29"/>
        </w:numPr>
        <w:autoSpaceDE w:val="0"/>
        <w:autoSpaceDN w:val="0"/>
        <w:adjustRightInd w:val="0"/>
        <w:jc w:val="both"/>
        <w:rPr>
          <w:rFonts w:ascii="Arial" w:hAnsi="Arial" w:cs="Arial"/>
          <w:sz w:val="20"/>
          <w:szCs w:val="20"/>
        </w:rPr>
      </w:pPr>
      <w:r w:rsidRPr="00777CBC">
        <w:rPr>
          <w:rFonts w:ascii="Arial" w:hAnsi="Arial" w:cs="Arial"/>
          <w:sz w:val="20"/>
          <w:szCs w:val="20"/>
          <w:u w:val="single"/>
        </w:rPr>
        <w:t>Indicator 1</w:t>
      </w:r>
      <w:r w:rsidRPr="00777CBC">
        <w:rPr>
          <w:rFonts w:ascii="Arial" w:hAnsi="Arial" w:cs="Arial"/>
          <w:sz w:val="20"/>
          <w:szCs w:val="20"/>
        </w:rPr>
        <w:t xml:space="preserve">: The 20 poorest provinces have achieved the </w:t>
      </w:r>
      <w:r w:rsidR="00664F19">
        <w:rPr>
          <w:rFonts w:ascii="Arial" w:hAnsi="Arial" w:cs="Arial"/>
          <w:sz w:val="20"/>
          <w:szCs w:val="20"/>
        </w:rPr>
        <w:t>VDG</w:t>
      </w:r>
      <w:r w:rsidRPr="00777CBC">
        <w:rPr>
          <w:rFonts w:ascii="Arial" w:hAnsi="Arial" w:cs="Arial"/>
          <w:sz w:val="20"/>
          <w:szCs w:val="20"/>
        </w:rPr>
        <w:t xml:space="preserve"> for reducing infant mortality by 2020.</w:t>
      </w:r>
    </w:p>
    <w:p w:rsidR="00387208" w:rsidRPr="00777CBC" w:rsidRDefault="00387208" w:rsidP="00387208">
      <w:pPr>
        <w:pStyle w:val="ColorfulList-Accent11"/>
        <w:numPr>
          <w:ilvl w:val="0"/>
          <w:numId w:val="29"/>
        </w:numPr>
        <w:autoSpaceDE w:val="0"/>
        <w:autoSpaceDN w:val="0"/>
        <w:adjustRightInd w:val="0"/>
        <w:jc w:val="both"/>
        <w:rPr>
          <w:rFonts w:ascii="Arial" w:hAnsi="Arial" w:cs="Arial"/>
          <w:sz w:val="20"/>
          <w:szCs w:val="20"/>
        </w:rPr>
      </w:pPr>
      <w:r w:rsidRPr="00777CBC">
        <w:rPr>
          <w:rFonts w:ascii="Arial" w:hAnsi="Arial" w:cs="Arial"/>
          <w:sz w:val="20"/>
          <w:szCs w:val="20"/>
          <w:u w:val="single"/>
        </w:rPr>
        <w:t>Indicator 2</w:t>
      </w:r>
      <w:r w:rsidRPr="00777CBC">
        <w:rPr>
          <w:rFonts w:ascii="Arial" w:hAnsi="Arial" w:cs="Arial"/>
          <w:sz w:val="20"/>
          <w:szCs w:val="20"/>
        </w:rPr>
        <w:t xml:space="preserve">: The 20 poorest provinces have achieved the </w:t>
      </w:r>
      <w:r w:rsidR="00664F19">
        <w:rPr>
          <w:rFonts w:ascii="Arial" w:hAnsi="Arial" w:cs="Arial"/>
          <w:sz w:val="20"/>
          <w:szCs w:val="20"/>
        </w:rPr>
        <w:t>VDG</w:t>
      </w:r>
      <w:r w:rsidRPr="00777CBC">
        <w:rPr>
          <w:rFonts w:ascii="Arial" w:hAnsi="Arial" w:cs="Arial"/>
          <w:sz w:val="20"/>
          <w:szCs w:val="20"/>
        </w:rPr>
        <w:t xml:space="preserve"> for reducing maternal mortality by 2020.</w:t>
      </w:r>
    </w:p>
    <w:p w:rsidR="00387208" w:rsidRPr="00777CBC" w:rsidRDefault="00387208" w:rsidP="00387208">
      <w:pPr>
        <w:pStyle w:val="ColorfulList-Accent11"/>
        <w:numPr>
          <w:ilvl w:val="0"/>
          <w:numId w:val="29"/>
        </w:numPr>
        <w:autoSpaceDE w:val="0"/>
        <w:autoSpaceDN w:val="0"/>
        <w:adjustRightInd w:val="0"/>
        <w:jc w:val="both"/>
        <w:rPr>
          <w:rFonts w:ascii="Arial" w:hAnsi="Arial" w:cs="Arial"/>
          <w:sz w:val="20"/>
          <w:szCs w:val="20"/>
        </w:rPr>
      </w:pPr>
      <w:r w:rsidRPr="00777CBC">
        <w:rPr>
          <w:rFonts w:ascii="Arial" w:hAnsi="Arial" w:cs="Arial"/>
          <w:sz w:val="20"/>
          <w:szCs w:val="20"/>
          <w:u w:val="single"/>
        </w:rPr>
        <w:t>Indicator 3</w:t>
      </w:r>
      <w:r w:rsidRPr="00777CBC">
        <w:rPr>
          <w:rFonts w:ascii="Arial" w:hAnsi="Arial" w:cs="Arial"/>
          <w:sz w:val="20"/>
          <w:szCs w:val="20"/>
        </w:rPr>
        <w:t xml:space="preserve">: Life expectancy figures for the poor and ethnic minorities in 20 poorest provinces have increased by at least 1 year by 2020. </w:t>
      </w:r>
    </w:p>
    <w:p w:rsidR="00387208" w:rsidRPr="00387208" w:rsidRDefault="00387208" w:rsidP="00387208">
      <w:pPr>
        <w:autoSpaceDE w:val="0"/>
        <w:autoSpaceDN w:val="0"/>
        <w:adjustRightInd w:val="0"/>
        <w:jc w:val="both"/>
        <w:rPr>
          <w:rFonts w:ascii="Arial" w:hAnsi="Arial" w:cs="Arial"/>
        </w:rPr>
      </w:pPr>
    </w:p>
    <w:p w:rsidR="00387208" w:rsidRPr="00387208" w:rsidRDefault="00387208" w:rsidP="00387208">
      <w:pPr>
        <w:autoSpaceDE w:val="0"/>
        <w:autoSpaceDN w:val="0"/>
        <w:adjustRightInd w:val="0"/>
        <w:jc w:val="both"/>
        <w:rPr>
          <w:rFonts w:ascii="Arial" w:hAnsi="Arial" w:cs="Arial"/>
        </w:rPr>
      </w:pPr>
      <w:r w:rsidRPr="00777CBC">
        <w:rPr>
          <w:rFonts w:ascii="Arial" w:hAnsi="Arial" w:cs="Arial"/>
          <w:snapToGrid w:val="0"/>
        </w:rPr>
        <w:fldChar w:fldCharType="begin"/>
      </w:r>
      <w:r w:rsidRPr="00387208">
        <w:rPr>
          <w:rFonts w:ascii="Arial" w:hAnsi="Arial" w:cs="Arial"/>
          <w:snapToGrid w:val="0"/>
        </w:rPr>
        <w:instrText xml:space="preserve"> AUTONUM </w:instrText>
      </w:r>
      <w:r w:rsidRPr="00777CBC">
        <w:rPr>
          <w:rFonts w:ascii="Arial" w:hAnsi="Arial" w:cs="Arial"/>
          <w:snapToGrid w:val="0"/>
        </w:rPr>
        <w:fldChar w:fldCharType="end"/>
      </w:r>
      <w:r w:rsidRPr="00387208">
        <w:rPr>
          <w:rFonts w:ascii="Arial" w:hAnsi="Arial" w:cs="Arial"/>
          <w:snapToGrid w:val="0"/>
        </w:rPr>
        <w:tab/>
      </w:r>
      <w:r w:rsidRPr="00387208">
        <w:rPr>
          <w:rFonts w:ascii="Arial" w:hAnsi="Arial" w:cs="Arial"/>
        </w:rPr>
        <w:t>Assessment of impact</w:t>
      </w:r>
      <w:r w:rsidRPr="00A742BD">
        <w:rPr>
          <w:rFonts w:ascii="Arial" w:hAnsi="Arial" w:cs="Arial"/>
        </w:rPr>
        <w:t xml:space="preserve"> at the time of the ICE is premature. The Program has a minimum </w:t>
      </w:r>
      <w:r w:rsidR="008F3E12">
        <w:rPr>
          <w:rFonts w:ascii="Arial" w:hAnsi="Arial" w:cs="Arial"/>
        </w:rPr>
        <w:t>six</w:t>
      </w:r>
      <w:r w:rsidRPr="00A742BD">
        <w:rPr>
          <w:rFonts w:ascii="Arial" w:hAnsi="Arial" w:cs="Arial"/>
        </w:rPr>
        <w:t xml:space="preserve"> months of activity implementation remaining, with the</w:t>
      </w:r>
      <w:r w:rsidRPr="006A03A7">
        <w:rPr>
          <w:rFonts w:ascii="Arial" w:hAnsi="Arial" w:cs="Arial"/>
        </w:rPr>
        <w:t xml:space="preserve"> possibility of an additional </w:t>
      </w:r>
      <w:r w:rsidR="008F3E12">
        <w:rPr>
          <w:rFonts w:ascii="Arial" w:hAnsi="Arial" w:cs="Arial"/>
        </w:rPr>
        <w:t>twelve</w:t>
      </w:r>
      <w:r w:rsidRPr="006A03A7">
        <w:rPr>
          <w:rFonts w:ascii="Arial" w:hAnsi="Arial" w:cs="Arial"/>
        </w:rPr>
        <w:t xml:space="preserve"> months if the proposed extension is approved. Performance indicators for Program impact are based on 2020 targets.  The ICE team did seek provide an assessment of progress towards each indicator. This was possible for indicator 1 concerning </w:t>
      </w:r>
      <w:r w:rsidR="00A742BD">
        <w:rPr>
          <w:rFonts w:ascii="Arial" w:hAnsi="Arial" w:cs="Arial"/>
        </w:rPr>
        <w:t>infant mortality</w:t>
      </w:r>
      <w:r w:rsidRPr="00387208">
        <w:rPr>
          <w:rFonts w:ascii="Arial" w:hAnsi="Arial" w:cs="Arial"/>
        </w:rPr>
        <w:t>. A</w:t>
      </w:r>
      <w:r w:rsidR="00664F19">
        <w:rPr>
          <w:rFonts w:ascii="Arial" w:hAnsi="Arial" w:cs="Arial"/>
        </w:rPr>
        <w:t>n a</w:t>
      </w:r>
      <w:r w:rsidRPr="00387208">
        <w:rPr>
          <w:rFonts w:ascii="Arial" w:hAnsi="Arial" w:cs="Arial"/>
        </w:rPr>
        <w:t>ssessment of progress toward indicator 2 was not possible due to a lack of updated and reliable data</w:t>
      </w:r>
      <w:r w:rsidR="00A742BD">
        <w:rPr>
          <w:rFonts w:ascii="Arial" w:hAnsi="Arial" w:cs="Arial"/>
        </w:rPr>
        <w:t xml:space="preserve"> on maternal mortality</w:t>
      </w:r>
      <w:r w:rsidRPr="006A03A7">
        <w:rPr>
          <w:rFonts w:ascii="Arial" w:hAnsi="Arial" w:cs="Arial"/>
        </w:rPr>
        <w:t>.</w:t>
      </w:r>
      <w:r w:rsidRPr="006A03A7">
        <w:rPr>
          <w:rStyle w:val="FootnoteReference"/>
          <w:sz w:val="20"/>
        </w:rPr>
        <w:footnoteReference w:id="83"/>
      </w:r>
      <w:r w:rsidRPr="00387208">
        <w:rPr>
          <w:rFonts w:ascii="Arial" w:hAnsi="Arial" w:cs="Arial"/>
        </w:rPr>
        <w:t xml:space="preserve"> A</w:t>
      </w:r>
      <w:r w:rsidR="00664F19">
        <w:rPr>
          <w:rFonts w:ascii="Arial" w:hAnsi="Arial" w:cs="Arial"/>
        </w:rPr>
        <w:t>n a</w:t>
      </w:r>
      <w:r w:rsidRPr="00387208">
        <w:rPr>
          <w:rFonts w:ascii="Arial" w:hAnsi="Arial" w:cs="Arial"/>
        </w:rPr>
        <w:t xml:space="preserve">ssessment of indicator 3 was also hindered by </w:t>
      </w:r>
      <w:r w:rsidRPr="00A742BD">
        <w:rPr>
          <w:rFonts w:ascii="Arial" w:hAnsi="Arial" w:cs="Arial"/>
        </w:rPr>
        <w:t xml:space="preserve">the </w:t>
      </w:r>
      <w:r w:rsidRPr="006A03A7">
        <w:rPr>
          <w:rFonts w:ascii="Arial" w:hAnsi="Arial" w:cs="Arial"/>
        </w:rPr>
        <w:t>lack of available data.</w:t>
      </w:r>
      <w:r w:rsidR="006A03A7">
        <w:rPr>
          <w:rStyle w:val="FootnoteReference"/>
          <w:rFonts w:cs="Arial"/>
        </w:rPr>
        <w:footnoteReference w:id="84"/>
      </w:r>
    </w:p>
    <w:p w:rsidR="00387208" w:rsidRPr="00387208" w:rsidRDefault="00387208" w:rsidP="00387208">
      <w:pPr>
        <w:autoSpaceDE w:val="0"/>
        <w:autoSpaceDN w:val="0"/>
        <w:adjustRightInd w:val="0"/>
        <w:jc w:val="both"/>
        <w:rPr>
          <w:rFonts w:ascii="Arial" w:hAnsi="Arial" w:cs="Arial"/>
        </w:rPr>
      </w:pPr>
    </w:p>
    <w:p w:rsidR="00387208" w:rsidRPr="00387208" w:rsidRDefault="00387208" w:rsidP="00387208">
      <w:pPr>
        <w:autoSpaceDE w:val="0"/>
        <w:autoSpaceDN w:val="0"/>
        <w:adjustRightInd w:val="0"/>
        <w:jc w:val="both"/>
        <w:rPr>
          <w:rFonts w:ascii="Arial" w:hAnsi="Arial" w:cs="Arial"/>
        </w:rPr>
      </w:pPr>
      <w:r w:rsidRPr="00777CBC">
        <w:rPr>
          <w:rFonts w:ascii="Arial" w:hAnsi="Arial" w:cs="Arial"/>
          <w:snapToGrid w:val="0"/>
        </w:rPr>
        <w:fldChar w:fldCharType="begin"/>
      </w:r>
      <w:r w:rsidRPr="00387208">
        <w:rPr>
          <w:rFonts w:ascii="Arial" w:hAnsi="Arial" w:cs="Arial"/>
          <w:snapToGrid w:val="0"/>
        </w:rPr>
        <w:instrText xml:space="preserve"> AUTONUM </w:instrText>
      </w:r>
      <w:r w:rsidRPr="00777CBC">
        <w:rPr>
          <w:rFonts w:ascii="Arial" w:hAnsi="Arial" w:cs="Arial"/>
          <w:snapToGrid w:val="0"/>
        </w:rPr>
        <w:fldChar w:fldCharType="end"/>
      </w:r>
      <w:r w:rsidRPr="00387208">
        <w:rPr>
          <w:rFonts w:ascii="Arial" w:hAnsi="Arial" w:cs="Arial"/>
          <w:snapToGrid w:val="0"/>
        </w:rPr>
        <w:tab/>
        <w:t xml:space="preserve">To assess progress toward indicator 1, </w:t>
      </w:r>
      <w:r w:rsidR="00A742BD">
        <w:rPr>
          <w:rFonts w:ascii="Arial" w:hAnsi="Arial" w:cs="Arial"/>
          <w:snapToGrid w:val="0"/>
        </w:rPr>
        <w:t>the infant mortality rate (IMR)</w:t>
      </w:r>
      <w:r w:rsidR="00A742BD">
        <w:rPr>
          <w:rFonts w:ascii="Arial" w:hAnsi="Arial" w:cs="Arial"/>
        </w:rPr>
        <w:t xml:space="preserve"> in</w:t>
      </w:r>
      <w:r w:rsidRPr="00A742BD">
        <w:rPr>
          <w:rFonts w:ascii="Arial" w:hAnsi="Arial" w:cs="Arial"/>
        </w:rPr>
        <w:t xml:space="preserve"> 2010, 2012 and 2013 (preliminary) </w:t>
      </w:r>
      <w:r w:rsidR="00A742BD">
        <w:rPr>
          <w:rFonts w:ascii="Arial" w:hAnsi="Arial" w:cs="Arial"/>
        </w:rPr>
        <w:t xml:space="preserve">for </w:t>
      </w:r>
      <w:r w:rsidRPr="006A03A7">
        <w:rPr>
          <w:rFonts w:ascii="Arial" w:hAnsi="Arial" w:cs="Arial"/>
        </w:rPr>
        <w:t>the 20 poorest provinces</w:t>
      </w:r>
      <w:r w:rsidR="00A742BD">
        <w:rPr>
          <w:rFonts w:ascii="Arial" w:hAnsi="Arial" w:cs="Arial"/>
        </w:rPr>
        <w:t xml:space="preserve"> was collated</w:t>
      </w:r>
      <w:r w:rsidRPr="006A03A7">
        <w:rPr>
          <w:rFonts w:ascii="Arial" w:hAnsi="Arial" w:cs="Arial"/>
        </w:rPr>
        <w:t xml:space="preserve">. Between 2010 and 2013, 13 of the 20 provinces (65%) recorded reductions in IMR. The 2012 </w:t>
      </w:r>
      <w:r w:rsidR="00664F19">
        <w:rPr>
          <w:rFonts w:ascii="Arial" w:hAnsi="Arial" w:cs="Arial"/>
        </w:rPr>
        <w:t xml:space="preserve">national </w:t>
      </w:r>
      <w:r w:rsidRPr="006A03A7">
        <w:rPr>
          <w:rFonts w:ascii="Arial" w:hAnsi="Arial" w:cs="Arial"/>
        </w:rPr>
        <w:t>target for IMR (15.4/1,000) was achieved, however none of the 20 poorest provinces reached the target individually. Data for 2013 shows progress towards the 2015 target (14.8/1,000)</w:t>
      </w:r>
      <w:r w:rsidRPr="00387208">
        <w:rPr>
          <w:rFonts w:ascii="Arial" w:hAnsi="Arial" w:cs="Arial"/>
        </w:rPr>
        <w:t xml:space="preserve"> is being made on the national level, but again looks unlikely to be reached by </w:t>
      </w:r>
      <w:r w:rsidR="00E4620A">
        <w:rPr>
          <w:rFonts w:ascii="Arial" w:hAnsi="Arial" w:cs="Arial"/>
        </w:rPr>
        <w:t>the majority</w:t>
      </w:r>
      <w:r w:rsidRPr="00387208">
        <w:rPr>
          <w:rFonts w:ascii="Arial" w:hAnsi="Arial" w:cs="Arial"/>
        </w:rPr>
        <w:t xml:space="preserve"> of the 20 poorest provinces. IMR data against the national targets for 2012 and 2015 is detailed in Appendix 11, Table 11.1.</w:t>
      </w:r>
    </w:p>
    <w:p w:rsidR="00035E1C" w:rsidRPr="00D50DA0" w:rsidRDefault="0083545E" w:rsidP="00D50DA0">
      <w:pPr>
        <w:pStyle w:val="Heading2"/>
        <w:spacing w:after="120"/>
        <w:rPr>
          <w:bCs w:val="0"/>
          <w:i w:val="0"/>
          <w:iCs w:val="0"/>
          <w:color w:val="000000"/>
          <w:sz w:val="22"/>
          <w:szCs w:val="20"/>
          <w:lang w:eastAsia="en-US"/>
        </w:rPr>
      </w:pPr>
      <w:r w:rsidRPr="00D33652">
        <w:br w:type="page"/>
      </w:r>
      <w:bookmarkStart w:id="60" w:name="_Toc422301215"/>
      <w:bookmarkStart w:id="61" w:name="_Toc423359333"/>
      <w:r w:rsidR="00035E1C" w:rsidRPr="00D50DA0">
        <w:rPr>
          <w:bCs w:val="0"/>
          <w:i w:val="0"/>
          <w:iCs w:val="0"/>
          <w:color w:val="000000"/>
          <w:sz w:val="22"/>
          <w:szCs w:val="20"/>
          <w:lang w:eastAsia="en-US"/>
        </w:rPr>
        <w:t>S</w:t>
      </w:r>
      <w:r w:rsidR="00E14483" w:rsidRPr="00D50DA0">
        <w:rPr>
          <w:bCs w:val="0"/>
          <w:i w:val="0"/>
          <w:iCs w:val="0"/>
          <w:color w:val="000000"/>
          <w:sz w:val="22"/>
          <w:szCs w:val="20"/>
          <w:lang w:eastAsia="en-US"/>
        </w:rPr>
        <w:t>ustainability</w:t>
      </w:r>
      <w:bookmarkEnd w:id="60"/>
      <w:bookmarkEnd w:id="61"/>
    </w:p>
    <w:p w:rsidR="0029582D" w:rsidRPr="00D33652" w:rsidRDefault="0029582D" w:rsidP="0029582D">
      <w:pPr>
        <w:rPr>
          <w:rFonts w:ascii="Arial" w:hAnsi="Arial" w:cs="Arial"/>
        </w:rPr>
      </w:pPr>
      <w:r w:rsidRPr="00D33652">
        <w:rPr>
          <w:rFonts w:ascii="Arial" w:hAnsi="Arial" w:cs="Arial"/>
        </w:rPr>
        <w:fldChar w:fldCharType="begin"/>
      </w:r>
      <w:r w:rsidRPr="00D33652">
        <w:rPr>
          <w:rFonts w:ascii="Arial" w:hAnsi="Arial" w:cs="Arial"/>
        </w:rPr>
        <w:instrText xml:space="preserve"> AUTONUM </w:instrText>
      </w:r>
      <w:r w:rsidRPr="00D33652">
        <w:rPr>
          <w:rFonts w:ascii="Arial" w:hAnsi="Arial" w:cs="Arial"/>
        </w:rPr>
        <w:fldChar w:fldCharType="end"/>
      </w:r>
      <w:r w:rsidRPr="00D33652">
        <w:rPr>
          <w:rFonts w:ascii="Arial" w:hAnsi="Arial" w:cs="Arial"/>
        </w:rPr>
        <w:tab/>
        <w:t xml:space="preserve">Assessment of </w:t>
      </w:r>
      <w:r w:rsidR="00187285">
        <w:rPr>
          <w:rFonts w:ascii="Arial" w:hAnsi="Arial" w:cs="Arial"/>
        </w:rPr>
        <w:t xml:space="preserve">the </w:t>
      </w:r>
      <w:r w:rsidRPr="00D33652">
        <w:rPr>
          <w:rFonts w:ascii="Arial" w:hAnsi="Arial" w:cs="Arial"/>
        </w:rPr>
        <w:t xml:space="preserve">sustainability of investments under </w:t>
      </w:r>
      <w:r w:rsidR="00187285">
        <w:rPr>
          <w:rFonts w:ascii="Arial" w:hAnsi="Arial" w:cs="Arial"/>
        </w:rPr>
        <w:t xml:space="preserve">the </w:t>
      </w:r>
      <w:r w:rsidRPr="00D33652">
        <w:rPr>
          <w:rFonts w:ascii="Arial" w:hAnsi="Arial" w:cs="Arial"/>
        </w:rPr>
        <w:t xml:space="preserve">HHRSDP has been made </w:t>
      </w:r>
      <w:r w:rsidR="00ED323C">
        <w:rPr>
          <w:rFonts w:ascii="Arial" w:hAnsi="Arial" w:cs="Arial"/>
        </w:rPr>
        <w:t xml:space="preserve">with reference to </w:t>
      </w:r>
      <w:r w:rsidRPr="00D33652">
        <w:rPr>
          <w:rFonts w:ascii="Arial" w:hAnsi="Arial" w:cs="Arial"/>
        </w:rPr>
        <w:t>the main outputs under each component of the Project.</w:t>
      </w:r>
    </w:p>
    <w:p w:rsidR="0029582D" w:rsidRPr="00EE4E98" w:rsidRDefault="0029582D" w:rsidP="00EE4E98">
      <w:pPr>
        <w:pStyle w:val="Heading3"/>
        <w:spacing w:after="120"/>
        <w:ind w:left="720" w:hanging="436"/>
        <w:rPr>
          <w:color w:val="000000"/>
          <w:sz w:val="21"/>
          <w:szCs w:val="21"/>
        </w:rPr>
      </w:pPr>
      <w:bookmarkStart w:id="62" w:name="_Toc422301216"/>
      <w:bookmarkStart w:id="63" w:name="_Toc423359334"/>
      <w:r w:rsidRPr="00EE4E98">
        <w:rPr>
          <w:color w:val="000000"/>
          <w:sz w:val="21"/>
          <w:szCs w:val="21"/>
        </w:rPr>
        <w:t>Component 1. Better Planning and Management of Human Resources</w:t>
      </w:r>
      <w:bookmarkEnd w:id="62"/>
      <w:bookmarkEnd w:id="63"/>
    </w:p>
    <w:p w:rsidR="0029582D" w:rsidRPr="00D33652" w:rsidRDefault="0029582D" w:rsidP="0029582D">
      <w:pPr>
        <w:jc w:val="both"/>
        <w:rPr>
          <w:rFonts w:ascii="Arial" w:hAnsi="Arial" w:cs="Arial"/>
        </w:rPr>
      </w:pPr>
      <w:r w:rsidRPr="00D33652">
        <w:rPr>
          <w:rFonts w:ascii="Arial" w:hAnsi="Arial" w:cs="Arial"/>
        </w:rPr>
        <w:fldChar w:fldCharType="begin"/>
      </w:r>
      <w:r w:rsidRPr="00D33652">
        <w:rPr>
          <w:rFonts w:ascii="Arial" w:hAnsi="Arial" w:cs="Arial"/>
        </w:rPr>
        <w:instrText xml:space="preserve"> AUTONUM </w:instrText>
      </w:r>
      <w:r w:rsidRPr="00D33652">
        <w:rPr>
          <w:rFonts w:ascii="Arial" w:hAnsi="Arial" w:cs="Arial"/>
        </w:rPr>
        <w:fldChar w:fldCharType="end"/>
      </w:r>
      <w:r w:rsidRPr="00D33652">
        <w:rPr>
          <w:rFonts w:ascii="Arial" w:hAnsi="Arial" w:cs="Arial"/>
        </w:rPr>
        <w:tab/>
      </w:r>
      <w:r w:rsidRPr="002F2C3F">
        <w:rPr>
          <w:rFonts w:ascii="Arial" w:hAnsi="Arial" w:cs="Arial"/>
          <w:b/>
        </w:rPr>
        <w:t>Joint Committee on Human Resource Planning and Management.</w:t>
      </w:r>
      <w:r w:rsidRPr="00D33652">
        <w:rPr>
          <w:rFonts w:ascii="Arial" w:hAnsi="Arial" w:cs="Arial"/>
        </w:rPr>
        <w:t xml:space="preserve"> The JC-HRPM, established as a policy commitment under the </w:t>
      </w:r>
      <w:r w:rsidR="00F454A9" w:rsidRPr="00D33652">
        <w:rPr>
          <w:rFonts w:ascii="Arial" w:hAnsi="Arial" w:cs="Arial"/>
        </w:rPr>
        <w:t>program loan</w:t>
      </w:r>
      <w:r w:rsidRPr="00D33652">
        <w:rPr>
          <w:rFonts w:ascii="Arial" w:hAnsi="Arial" w:cs="Arial"/>
        </w:rPr>
        <w:t xml:space="preserve">, has served as a focal point for human resource management within the Ministry. The JC-HRPM is supported by a Secretariat, funded through project investments, which has been a key factor behind the Committees functionality. Post-project support for the Secretariat’s operation is required to sustain this. At the time of the ICE the Secretariat had not been established as a formal unit of MoH and is assessed as </w:t>
      </w:r>
      <w:r w:rsidR="00E93E8D" w:rsidRPr="00D33652">
        <w:rPr>
          <w:rFonts w:ascii="Arial" w:hAnsi="Arial" w:cs="Arial"/>
        </w:rPr>
        <w:t>less likely</w:t>
      </w:r>
      <w:r w:rsidRPr="00D33652">
        <w:rPr>
          <w:rFonts w:ascii="Arial" w:hAnsi="Arial" w:cs="Arial"/>
        </w:rPr>
        <w:t xml:space="preserve"> to be resourced post-project through GoV resources. An option of resourc</w:t>
      </w:r>
      <w:r w:rsidR="00F454A9" w:rsidRPr="00D33652">
        <w:rPr>
          <w:rFonts w:ascii="Arial" w:hAnsi="Arial" w:cs="Arial"/>
        </w:rPr>
        <w:t>ing the JC-HRPM and Secretariat</w:t>
      </w:r>
      <w:r w:rsidRPr="00D33652">
        <w:rPr>
          <w:rFonts w:ascii="Arial" w:hAnsi="Arial" w:cs="Arial"/>
        </w:rPr>
        <w:t xml:space="preserve"> from alternate ODA sources following Program completion has been flagged.</w:t>
      </w:r>
      <w:r w:rsidRPr="00D33652">
        <w:rPr>
          <w:rStyle w:val="FootnoteReference"/>
          <w:rFonts w:cs="Arial"/>
        </w:rPr>
        <w:footnoteReference w:id="85"/>
      </w:r>
      <w:r w:rsidRPr="00D33652">
        <w:rPr>
          <w:rFonts w:ascii="Arial" w:hAnsi="Arial" w:cs="Arial"/>
        </w:rPr>
        <w:t xml:space="preserve"> If pursued, this will enable several years of continued operation of the JC-HRPM, </w:t>
      </w:r>
      <w:r w:rsidR="008C4374">
        <w:rPr>
          <w:rFonts w:ascii="Arial" w:hAnsi="Arial" w:cs="Arial"/>
        </w:rPr>
        <w:t xml:space="preserve">building on and </w:t>
      </w:r>
      <w:r w:rsidRPr="00D33652">
        <w:rPr>
          <w:rFonts w:ascii="Arial" w:hAnsi="Arial" w:cs="Arial"/>
        </w:rPr>
        <w:t xml:space="preserve">sustaining the foundation established through investments under </w:t>
      </w:r>
      <w:r w:rsidR="009C1CD7">
        <w:rPr>
          <w:rFonts w:ascii="Arial" w:hAnsi="Arial" w:cs="Arial"/>
        </w:rPr>
        <w:t>the HHRSDP</w:t>
      </w:r>
      <w:r w:rsidRPr="00D33652">
        <w:rPr>
          <w:rFonts w:ascii="Arial" w:hAnsi="Arial" w:cs="Arial"/>
        </w:rPr>
        <w:t>.</w:t>
      </w:r>
    </w:p>
    <w:p w:rsidR="0029582D" w:rsidRPr="00D33652" w:rsidRDefault="0029582D" w:rsidP="0029582D">
      <w:pPr>
        <w:jc w:val="both"/>
        <w:rPr>
          <w:rFonts w:ascii="Arial" w:hAnsi="Arial" w:cs="Arial"/>
        </w:rPr>
      </w:pPr>
    </w:p>
    <w:p w:rsidR="0029582D" w:rsidRPr="00D33652" w:rsidRDefault="0029582D" w:rsidP="0029582D">
      <w:pPr>
        <w:jc w:val="both"/>
        <w:rPr>
          <w:rFonts w:ascii="Arial" w:hAnsi="Arial" w:cs="Arial"/>
        </w:rPr>
      </w:pPr>
      <w:r w:rsidRPr="00D33652">
        <w:rPr>
          <w:rFonts w:ascii="Arial" w:hAnsi="Arial" w:cs="Arial"/>
        </w:rPr>
        <w:fldChar w:fldCharType="begin"/>
      </w:r>
      <w:r w:rsidRPr="00D33652">
        <w:rPr>
          <w:rFonts w:ascii="Arial" w:hAnsi="Arial" w:cs="Arial"/>
        </w:rPr>
        <w:instrText xml:space="preserve"> AUTONUM </w:instrText>
      </w:r>
      <w:r w:rsidRPr="00D33652">
        <w:rPr>
          <w:rFonts w:ascii="Arial" w:hAnsi="Arial" w:cs="Arial"/>
        </w:rPr>
        <w:fldChar w:fldCharType="end"/>
      </w:r>
      <w:r w:rsidRPr="00D33652">
        <w:rPr>
          <w:rFonts w:ascii="Arial" w:hAnsi="Arial" w:cs="Arial"/>
        </w:rPr>
        <w:tab/>
      </w:r>
      <w:r w:rsidR="008F3E12" w:rsidRPr="00185E36">
        <w:rPr>
          <w:rFonts w:ascii="Arial" w:hAnsi="Arial" w:cs="Arial"/>
          <w:b/>
        </w:rPr>
        <w:t xml:space="preserve">Registration and </w:t>
      </w:r>
      <w:r w:rsidR="008F3E12" w:rsidRPr="007C6FB4">
        <w:rPr>
          <w:rFonts w:ascii="Arial" w:hAnsi="Arial" w:cs="Arial"/>
          <w:b/>
        </w:rPr>
        <w:t>l</w:t>
      </w:r>
      <w:r w:rsidR="002F2C3F" w:rsidRPr="00E40E9E">
        <w:rPr>
          <w:rFonts w:ascii="Arial" w:hAnsi="Arial" w:cs="Arial"/>
          <w:b/>
        </w:rPr>
        <w:t>icensing</w:t>
      </w:r>
      <w:r w:rsidR="008F3E12">
        <w:rPr>
          <w:rFonts w:ascii="Arial" w:hAnsi="Arial" w:cs="Arial"/>
          <w:b/>
        </w:rPr>
        <w:t xml:space="preserve">. </w:t>
      </w:r>
      <w:r w:rsidRPr="00D33652">
        <w:rPr>
          <w:rFonts w:ascii="Arial" w:hAnsi="Arial" w:cs="Arial"/>
        </w:rPr>
        <w:t>The ICE team assess</w:t>
      </w:r>
      <w:r w:rsidR="00133B7A">
        <w:rPr>
          <w:rFonts w:ascii="Arial" w:hAnsi="Arial" w:cs="Arial"/>
        </w:rPr>
        <w:t>ed</w:t>
      </w:r>
      <w:r w:rsidRPr="00D33652">
        <w:rPr>
          <w:rFonts w:ascii="Arial" w:hAnsi="Arial" w:cs="Arial"/>
        </w:rPr>
        <w:t xml:space="preserve"> the system for </w:t>
      </w:r>
      <w:r w:rsidR="008F3E12">
        <w:rPr>
          <w:rFonts w:ascii="Arial" w:hAnsi="Arial" w:cs="Arial"/>
        </w:rPr>
        <w:t xml:space="preserve">registration and </w:t>
      </w:r>
      <w:r w:rsidRPr="00D33652">
        <w:rPr>
          <w:rFonts w:ascii="Arial" w:hAnsi="Arial" w:cs="Arial"/>
        </w:rPr>
        <w:t>licensing as highly</w:t>
      </w:r>
      <w:r w:rsidR="00133B7A">
        <w:rPr>
          <w:rFonts w:ascii="Arial" w:hAnsi="Arial" w:cs="Arial"/>
        </w:rPr>
        <w:t>-</w:t>
      </w:r>
      <w:r w:rsidRPr="00D33652">
        <w:rPr>
          <w:rFonts w:ascii="Arial" w:hAnsi="Arial" w:cs="Arial"/>
        </w:rPr>
        <w:t xml:space="preserve">likely to be sustained. Central to this is the regulatory framework of Decree 87 and Circular 41, which mandates provinces to implement a system for </w:t>
      </w:r>
      <w:r w:rsidR="00133B7A">
        <w:rPr>
          <w:rFonts w:ascii="Arial" w:hAnsi="Arial" w:cs="Arial"/>
        </w:rPr>
        <w:t>registration and licensing</w:t>
      </w:r>
      <w:r w:rsidRPr="00D33652">
        <w:rPr>
          <w:rFonts w:ascii="Arial" w:hAnsi="Arial" w:cs="Arial"/>
        </w:rPr>
        <w:t>. Within this framework the Project has supported the Provinces to develop uniform implementation mechanisms, including a single national registration database, ensuring a consistent platform for the future operation and development of the system. A revision of Circular 41, currently underway by the AMS, will establish a legal basis for nationwide use of the</w:t>
      </w:r>
      <w:r w:rsidR="00133B7A">
        <w:rPr>
          <w:rFonts w:ascii="Arial" w:hAnsi="Arial" w:cs="Arial"/>
        </w:rPr>
        <w:t xml:space="preserve"> registration and</w:t>
      </w:r>
      <w:r w:rsidRPr="00D33652">
        <w:rPr>
          <w:rFonts w:ascii="Arial" w:hAnsi="Arial" w:cs="Arial"/>
        </w:rPr>
        <w:t xml:space="preserve"> licensing database.</w:t>
      </w:r>
    </w:p>
    <w:p w:rsidR="0029582D" w:rsidRPr="00D33652" w:rsidRDefault="0029582D" w:rsidP="0029582D">
      <w:pPr>
        <w:jc w:val="both"/>
        <w:rPr>
          <w:rFonts w:ascii="Arial" w:hAnsi="Arial" w:cs="Arial"/>
        </w:rPr>
      </w:pPr>
    </w:p>
    <w:p w:rsidR="0029582D" w:rsidRPr="00D33652" w:rsidRDefault="0029582D" w:rsidP="0029582D">
      <w:pPr>
        <w:jc w:val="both"/>
        <w:rPr>
          <w:rFonts w:ascii="Arial" w:hAnsi="Arial" w:cs="Arial"/>
        </w:rPr>
      </w:pPr>
      <w:r w:rsidRPr="00D33652">
        <w:rPr>
          <w:rFonts w:ascii="Arial" w:hAnsi="Arial" w:cs="Arial"/>
        </w:rPr>
        <w:fldChar w:fldCharType="begin"/>
      </w:r>
      <w:r w:rsidRPr="00D33652">
        <w:rPr>
          <w:rFonts w:ascii="Arial" w:hAnsi="Arial" w:cs="Arial"/>
        </w:rPr>
        <w:instrText xml:space="preserve"> AUTONUM </w:instrText>
      </w:r>
      <w:r w:rsidRPr="00D33652">
        <w:rPr>
          <w:rFonts w:ascii="Arial" w:hAnsi="Arial" w:cs="Arial"/>
        </w:rPr>
        <w:fldChar w:fldCharType="end"/>
      </w:r>
      <w:r w:rsidRPr="00D33652">
        <w:rPr>
          <w:rFonts w:ascii="Arial" w:hAnsi="Arial" w:cs="Arial"/>
        </w:rPr>
        <w:tab/>
        <w:t>At the provincial level</w:t>
      </w:r>
      <w:r w:rsidR="00F35C31">
        <w:rPr>
          <w:rFonts w:ascii="Arial" w:hAnsi="Arial" w:cs="Arial"/>
        </w:rPr>
        <w:t>,</w:t>
      </w:r>
      <w:r w:rsidRPr="00D33652">
        <w:rPr>
          <w:rFonts w:ascii="Arial" w:hAnsi="Arial" w:cs="Arial"/>
        </w:rPr>
        <w:t xml:space="preserve"> Peoples Committees and the DoHs have allocated resources for operation of the </w:t>
      </w:r>
      <w:r w:rsidR="00133B7A">
        <w:rPr>
          <w:rFonts w:ascii="Arial" w:hAnsi="Arial" w:cs="Arial"/>
        </w:rPr>
        <w:t xml:space="preserve">registration and </w:t>
      </w:r>
      <w:r w:rsidRPr="00D33652">
        <w:rPr>
          <w:rFonts w:ascii="Arial" w:hAnsi="Arial" w:cs="Arial"/>
        </w:rPr>
        <w:t>licensing system. Fees for registration and licensing provide a revenue steam to supplement DoHs’ resources for system operation, however the current one-time lifelong registration limits the potential of fee collection as a long-term revenue source. A proposed amendment to Circular 41 requiring periodic re-registration by health care professionals, if enacted, will have a flow on benefit of ensuring a sustained revenue stream for the DoHs.</w:t>
      </w:r>
    </w:p>
    <w:p w:rsidR="0029582D" w:rsidRPr="00D33652" w:rsidRDefault="0029582D" w:rsidP="0029582D">
      <w:pPr>
        <w:jc w:val="both"/>
        <w:rPr>
          <w:rFonts w:ascii="Arial" w:hAnsi="Arial" w:cs="Arial"/>
        </w:rPr>
      </w:pPr>
    </w:p>
    <w:p w:rsidR="0029582D" w:rsidRPr="00EE4E98" w:rsidRDefault="0029582D" w:rsidP="00EE4E98">
      <w:pPr>
        <w:pStyle w:val="Heading3"/>
        <w:spacing w:after="120"/>
        <w:ind w:left="720" w:hanging="436"/>
        <w:rPr>
          <w:color w:val="000000"/>
          <w:sz w:val="21"/>
          <w:szCs w:val="21"/>
        </w:rPr>
      </w:pPr>
      <w:bookmarkStart w:id="64" w:name="_Toc422301217"/>
      <w:bookmarkStart w:id="65" w:name="_Toc423359335"/>
      <w:r w:rsidRPr="00EE4E98">
        <w:rPr>
          <w:color w:val="000000"/>
          <w:sz w:val="21"/>
          <w:szCs w:val="21"/>
        </w:rPr>
        <w:t>Component 2. Higher Quality Human Resources Training</w:t>
      </w:r>
      <w:bookmarkEnd w:id="64"/>
      <w:bookmarkEnd w:id="65"/>
    </w:p>
    <w:p w:rsidR="0029582D" w:rsidRPr="00D33652" w:rsidRDefault="0029582D" w:rsidP="0029582D">
      <w:pPr>
        <w:jc w:val="both"/>
        <w:rPr>
          <w:rFonts w:ascii="Arial" w:hAnsi="Arial" w:cs="Arial"/>
        </w:rPr>
      </w:pPr>
      <w:r w:rsidRPr="00D33652">
        <w:rPr>
          <w:rFonts w:ascii="Arial" w:hAnsi="Arial" w:cs="Arial"/>
        </w:rPr>
        <w:fldChar w:fldCharType="begin"/>
      </w:r>
      <w:r w:rsidRPr="00D33652">
        <w:rPr>
          <w:rFonts w:ascii="Arial" w:hAnsi="Arial" w:cs="Arial"/>
        </w:rPr>
        <w:instrText xml:space="preserve"> AUTONUM </w:instrText>
      </w:r>
      <w:r w:rsidRPr="00D33652">
        <w:rPr>
          <w:rFonts w:ascii="Arial" w:hAnsi="Arial" w:cs="Arial"/>
        </w:rPr>
        <w:fldChar w:fldCharType="end"/>
      </w:r>
      <w:r w:rsidRPr="00D33652">
        <w:rPr>
          <w:rFonts w:ascii="Arial" w:hAnsi="Arial" w:cs="Arial"/>
        </w:rPr>
        <w:tab/>
      </w:r>
      <w:r w:rsidRPr="002F2C3F">
        <w:rPr>
          <w:rFonts w:ascii="Arial" w:hAnsi="Arial" w:cs="Arial"/>
          <w:b/>
        </w:rPr>
        <w:t>Strengthened teacher and management capacity within HPTF</w:t>
      </w:r>
      <w:r w:rsidRPr="00D33652">
        <w:rPr>
          <w:rFonts w:ascii="Arial" w:hAnsi="Arial" w:cs="Arial"/>
          <w:b/>
          <w:i/>
        </w:rPr>
        <w:t>.</w:t>
      </w:r>
      <w:r w:rsidRPr="00D33652">
        <w:rPr>
          <w:rFonts w:ascii="Arial" w:hAnsi="Arial" w:cs="Arial"/>
        </w:rPr>
        <w:t xml:space="preserve"> The Project has delivered a comprehensive program to strengthen capacity of teaching and management staff within the 17 HPTF, incorporating both long and short-term training programs. A key to sustained benefit from the investment in capacity building is the turnover of trained staff. The ICE was advised that staff retention is relatively high. Thai Binh University of Medicine and Pharmacy identified annual staff turnover at approximately 5%, but noted the majority of staff leave for other teaching institutions. Stakeholders also highlighted that staff undertaking postgraduate studies funded through the Project were required to commit to remain on staff for 5 years following completion of studies. The ICE team assess staff turnover as </w:t>
      </w:r>
      <w:r w:rsidR="00E93E8D" w:rsidRPr="00D33652">
        <w:rPr>
          <w:rFonts w:ascii="Arial" w:hAnsi="Arial" w:cs="Arial"/>
        </w:rPr>
        <w:t>less likely</w:t>
      </w:r>
      <w:r w:rsidRPr="00D33652">
        <w:rPr>
          <w:rFonts w:ascii="Arial" w:hAnsi="Arial" w:cs="Arial"/>
        </w:rPr>
        <w:t xml:space="preserve"> to impact on the sustainability of the Project investments. </w:t>
      </w:r>
    </w:p>
    <w:p w:rsidR="0029582D" w:rsidRPr="00D33652" w:rsidRDefault="0029582D" w:rsidP="0029582D">
      <w:pPr>
        <w:jc w:val="both"/>
        <w:rPr>
          <w:rFonts w:ascii="Arial" w:hAnsi="Arial" w:cs="Arial"/>
        </w:rPr>
      </w:pPr>
    </w:p>
    <w:p w:rsidR="0029582D" w:rsidRPr="00D33652" w:rsidRDefault="0029582D" w:rsidP="0029582D">
      <w:pPr>
        <w:jc w:val="both"/>
        <w:rPr>
          <w:rFonts w:ascii="Arial" w:hAnsi="Arial" w:cs="Arial"/>
        </w:rPr>
      </w:pPr>
      <w:r w:rsidRPr="00D33652">
        <w:rPr>
          <w:rFonts w:ascii="Arial" w:hAnsi="Arial" w:cs="Arial"/>
        </w:rPr>
        <w:fldChar w:fldCharType="begin"/>
      </w:r>
      <w:r w:rsidRPr="00D33652">
        <w:rPr>
          <w:rFonts w:ascii="Arial" w:hAnsi="Arial" w:cs="Arial"/>
        </w:rPr>
        <w:instrText xml:space="preserve"> AUTONUM </w:instrText>
      </w:r>
      <w:r w:rsidRPr="00D33652">
        <w:rPr>
          <w:rFonts w:ascii="Arial" w:hAnsi="Arial" w:cs="Arial"/>
        </w:rPr>
        <w:fldChar w:fldCharType="end"/>
      </w:r>
      <w:r w:rsidRPr="00D33652">
        <w:rPr>
          <w:rFonts w:ascii="Arial" w:hAnsi="Arial" w:cs="Arial"/>
        </w:rPr>
        <w:tab/>
        <w:t xml:space="preserve">A second factor relevant to sustainability is the extent to which modern teaching methods imparted through the trainings are implemented. As noted by the Project’s </w:t>
      </w:r>
      <w:r w:rsidR="006669BE">
        <w:rPr>
          <w:rFonts w:ascii="Arial" w:hAnsi="Arial" w:cs="Arial"/>
        </w:rPr>
        <w:t>M&amp;E Consultants</w:t>
      </w:r>
      <w:r w:rsidRPr="00D33652">
        <w:rPr>
          <w:rFonts w:ascii="Arial" w:hAnsi="Arial" w:cs="Arial"/>
        </w:rPr>
        <w:t>, exposure to modern teaching methods alone may be insufficient to affect change in teaching practices,</w:t>
      </w:r>
      <w:r w:rsidRPr="00D33652">
        <w:rPr>
          <w:rStyle w:val="FootnoteReference"/>
          <w:rFonts w:cs="Arial"/>
        </w:rPr>
        <w:footnoteReference w:id="86"/>
      </w:r>
      <w:r w:rsidRPr="00D33652">
        <w:rPr>
          <w:rFonts w:ascii="Arial" w:hAnsi="Arial" w:cs="Arial"/>
        </w:rPr>
        <w:t xml:space="preserve"> and follow-up interventions in the workplace may be required to create an enabling environment for consolidating new learning into practice. No post training monitoring data was available to the ICE team. The final project evaluation should incorporate an assessment of post training outcomes, with specific assessment of the application of new teaching methods by HPFT staff.</w:t>
      </w:r>
    </w:p>
    <w:p w:rsidR="0029582D" w:rsidRPr="00D33652" w:rsidRDefault="0029582D" w:rsidP="0029582D">
      <w:pPr>
        <w:jc w:val="both"/>
        <w:rPr>
          <w:rFonts w:ascii="Arial" w:hAnsi="Arial" w:cs="Arial"/>
        </w:rPr>
      </w:pPr>
    </w:p>
    <w:p w:rsidR="0029582D" w:rsidRPr="00D33652" w:rsidRDefault="0029582D" w:rsidP="0029582D">
      <w:pPr>
        <w:jc w:val="both"/>
        <w:rPr>
          <w:rFonts w:ascii="Arial" w:hAnsi="Arial" w:cs="Arial"/>
        </w:rPr>
      </w:pPr>
      <w:r w:rsidRPr="00D33652">
        <w:rPr>
          <w:rFonts w:ascii="Arial" w:hAnsi="Arial" w:cs="Arial"/>
        </w:rPr>
        <w:fldChar w:fldCharType="begin"/>
      </w:r>
      <w:r w:rsidRPr="00D33652">
        <w:rPr>
          <w:rFonts w:ascii="Arial" w:hAnsi="Arial" w:cs="Arial"/>
        </w:rPr>
        <w:instrText xml:space="preserve"> AUTONUM </w:instrText>
      </w:r>
      <w:r w:rsidRPr="00D33652">
        <w:rPr>
          <w:rFonts w:ascii="Arial" w:hAnsi="Arial" w:cs="Arial"/>
        </w:rPr>
        <w:fldChar w:fldCharType="end"/>
      </w:r>
      <w:r w:rsidRPr="00D33652">
        <w:rPr>
          <w:rFonts w:ascii="Arial" w:hAnsi="Arial" w:cs="Arial"/>
        </w:rPr>
        <w:tab/>
      </w:r>
      <w:r w:rsidR="002F2C3F">
        <w:rPr>
          <w:rFonts w:ascii="Arial" w:hAnsi="Arial" w:cs="Arial"/>
          <w:b/>
        </w:rPr>
        <w:t>L</w:t>
      </w:r>
      <w:r w:rsidR="002F2C3F" w:rsidRPr="002F2C3F">
        <w:rPr>
          <w:rFonts w:ascii="Arial" w:hAnsi="Arial" w:cs="Arial"/>
          <w:b/>
        </w:rPr>
        <w:t>aboratory renovations and</w:t>
      </w:r>
      <w:r w:rsidR="002F2C3F" w:rsidRPr="002F2C3F">
        <w:rPr>
          <w:rFonts w:ascii="Arial" w:hAnsi="Arial" w:cs="Arial"/>
        </w:rPr>
        <w:t xml:space="preserve"> </w:t>
      </w:r>
      <w:r w:rsidR="002F2C3F" w:rsidRPr="002F2C3F">
        <w:rPr>
          <w:rFonts w:ascii="Arial" w:hAnsi="Arial" w:cs="Arial"/>
          <w:b/>
        </w:rPr>
        <w:t>equipment.</w:t>
      </w:r>
      <w:r w:rsidR="002F2C3F" w:rsidRPr="00D33652">
        <w:rPr>
          <w:rFonts w:ascii="Arial" w:hAnsi="Arial" w:cs="Arial"/>
          <w:b/>
        </w:rPr>
        <w:t xml:space="preserve"> </w:t>
      </w:r>
      <w:r w:rsidR="002F2C3F" w:rsidRPr="00D33652">
        <w:rPr>
          <w:rFonts w:ascii="Arial" w:hAnsi="Arial" w:cs="Arial"/>
        </w:rPr>
        <w:t xml:space="preserve"> </w:t>
      </w:r>
      <w:r w:rsidRPr="00D33652">
        <w:rPr>
          <w:rFonts w:ascii="Arial" w:hAnsi="Arial" w:cs="Arial"/>
        </w:rPr>
        <w:t xml:space="preserve">The Projects investment in laboratory renovations and equipment is the largest activity by value funded under the </w:t>
      </w:r>
      <w:r w:rsidR="00F454A9" w:rsidRPr="00D33652">
        <w:rPr>
          <w:rFonts w:ascii="Arial" w:hAnsi="Arial" w:cs="Arial"/>
        </w:rPr>
        <w:t>project loan</w:t>
      </w:r>
      <w:r w:rsidRPr="00D33652">
        <w:rPr>
          <w:rFonts w:ascii="Arial" w:hAnsi="Arial" w:cs="Arial"/>
        </w:rPr>
        <w:t xml:space="preserve">. Sustaining the Project’s investment in facilities and equipment requires recurrent budget support for maintenance and additional budget allocation for consumables related to equipment use. The annual operating budgets of 8 HPTF receiving equipment under the </w:t>
      </w:r>
      <w:r w:rsidR="00F454A9" w:rsidRPr="00D33652">
        <w:rPr>
          <w:rFonts w:ascii="Arial" w:hAnsi="Arial" w:cs="Arial"/>
        </w:rPr>
        <w:t>project loan</w:t>
      </w:r>
      <w:r w:rsidRPr="00D33652">
        <w:rPr>
          <w:rFonts w:ascii="Arial" w:hAnsi="Arial" w:cs="Arial"/>
        </w:rPr>
        <w:t xml:space="preserve"> were reviewed by the ICE team.</w:t>
      </w:r>
      <w:r w:rsidRPr="00D33652">
        <w:rPr>
          <w:rStyle w:val="FootnoteReference"/>
          <w:rFonts w:cs="Arial"/>
        </w:rPr>
        <w:footnoteReference w:id="87"/>
      </w:r>
      <w:r w:rsidRPr="00D33652">
        <w:rPr>
          <w:rFonts w:ascii="Arial" w:hAnsi="Arial" w:cs="Arial"/>
        </w:rPr>
        <w:t xml:space="preserve"> Budget data is detailed in Appendix 12</w:t>
      </w:r>
      <w:r w:rsidR="0083264E">
        <w:rPr>
          <w:rFonts w:ascii="Arial" w:hAnsi="Arial" w:cs="Arial"/>
        </w:rPr>
        <w:t>,</w:t>
      </w:r>
      <w:r w:rsidRPr="00D33652">
        <w:rPr>
          <w:rFonts w:ascii="Arial" w:hAnsi="Arial" w:cs="Arial"/>
        </w:rPr>
        <w:t xml:space="preserve"> Table 12.1.</w:t>
      </w:r>
      <w:r w:rsidRPr="00D33652">
        <w:rPr>
          <w:rFonts w:ascii="Arial" w:hAnsi="Arial" w:cs="Arial"/>
          <w:color w:val="FF0000"/>
        </w:rPr>
        <w:t xml:space="preserve"> </w:t>
      </w:r>
      <w:r w:rsidRPr="00D33652">
        <w:rPr>
          <w:rFonts w:ascii="Arial" w:hAnsi="Arial" w:cs="Arial"/>
        </w:rPr>
        <w:t xml:space="preserve">The budget for each facility included allocations for maintenance and consumables. Allocations </w:t>
      </w:r>
      <w:r w:rsidR="00486376">
        <w:rPr>
          <w:rFonts w:ascii="Arial" w:hAnsi="Arial" w:cs="Arial"/>
        </w:rPr>
        <w:t>for</w:t>
      </w:r>
      <w:r w:rsidRPr="00D33652">
        <w:rPr>
          <w:rFonts w:ascii="Arial" w:hAnsi="Arial" w:cs="Arial"/>
        </w:rPr>
        <w:t xml:space="preserve"> maintenance represented from 0.2% to 1.7% of annual operating budgets. HPTF stakeholders noted the allocation of maintenance budget was based on need. Currently the majority of equipment provided under the Project remains within the supplier warranty period. Allocations </w:t>
      </w:r>
      <w:r w:rsidR="00486376">
        <w:rPr>
          <w:rFonts w:ascii="Arial" w:hAnsi="Arial" w:cs="Arial"/>
        </w:rPr>
        <w:t>for</w:t>
      </w:r>
      <w:r w:rsidRPr="00D33652">
        <w:rPr>
          <w:rFonts w:ascii="Arial" w:hAnsi="Arial" w:cs="Arial"/>
        </w:rPr>
        <w:t xml:space="preserve"> consumables represented from 0.8% - 6.7% of annual operating budgets. Stakeholders noted the opportunity for some </w:t>
      </w:r>
      <w:r w:rsidR="0084683F">
        <w:rPr>
          <w:rFonts w:ascii="Arial" w:hAnsi="Arial" w:cs="Arial"/>
        </w:rPr>
        <w:t>HPTF</w:t>
      </w:r>
      <w:r w:rsidRPr="00D33652">
        <w:rPr>
          <w:rFonts w:ascii="Arial" w:hAnsi="Arial" w:cs="Arial"/>
        </w:rPr>
        <w:t xml:space="preserve"> to generate income from Project equipment through the provision of services to hospitals. An example, cited at Hue University of Medicine and Pharmacy, was the capacity of their pathology department to provide services in immunohistochemistry to the University Hospital.</w:t>
      </w:r>
      <w:r w:rsidRPr="00D33652">
        <w:rPr>
          <w:rStyle w:val="FootnoteReference"/>
          <w:rFonts w:cs="Arial"/>
        </w:rPr>
        <w:footnoteReference w:id="88"/>
      </w:r>
      <w:r w:rsidRPr="00D33652">
        <w:rPr>
          <w:rFonts w:ascii="Arial" w:hAnsi="Arial" w:cs="Arial"/>
        </w:rPr>
        <w:t xml:space="preserve"> The ICE team assessed the investments in laboratory renovations and equipment as likely sustainable. The final project evaluation may consider undertaking an equipment audit to assess: (i) the proportion of equipment that is installed; (ii) the proportion of equipment that is functioning; (iii) the frequency of use. </w:t>
      </w:r>
    </w:p>
    <w:p w:rsidR="0029582D" w:rsidRPr="00D33652" w:rsidRDefault="0029582D" w:rsidP="0029582D">
      <w:pPr>
        <w:jc w:val="both"/>
        <w:rPr>
          <w:rFonts w:ascii="Arial" w:hAnsi="Arial" w:cs="Arial"/>
        </w:rPr>
      </w:pPr>
    </w:p>
    <w:p w:rsidR="0029582D" w:rsidRPr="00D33652" w:rsidRDefault="0029582D" w:rsidP="0029582D">
      <w:pPr>
        <w:jc w:val="both"/>
        <w:rPr>
          <w:rFonts w:ascii="Arial" w:hAnsi="Arial" w:cs="Arial"/>
        </w:rPr>
      </w:pPr>
      <w:r w:rsidRPr="00D33652">
        <w:rPr>
          <w:rFonts w:ascii="Arial" w:hAnsi="Arial" w:cs="Arial"/>
        </w:rPr>
        <w:fldChar w:fldCharType="begin"/>
      </w:r>
      <w:r w:rsidRPr="00D33652">
        <w:rPr>
          <w:rFonts w:ascii="Arial" w:hAnsi="Arial" w:cs="Arial"/>
        </w:rPr>
        <w:instrText xml:space="preserve"> AUTONUM </w:instrText>
      </w:r>
      <w:r w:rsidRPr="00D33652">
        <w:rPr>
          <w:rFonts w:ascii="Arial" w:hAnsi="Arial" w:cs="Arial"/>
        </w:rPr>
        <w:fldChar w:fldCharType="end"/>
      </w:r>
      <w:r w:rsidRPr="00D33652">
        <w:rPr>
          <w:rFonts w:ascii="Arial" w:hAnsi="Arial" w:cs="Arial"/>
        </w:rPr>
        <w:tab/>
      </w:r>
      <w:r w:rsidRPr="002F2C3F">
        <w:rPr>
          <w:rFonts w:ascii="Arial" w:hAnsi="Arial" w:cs="Arial"/>
          <w:b/>
        </w:rPr>
        <w:t>Accreditation of HPTF.</w:t>
      </w:r>
      <w:r w:rsidRPr="00D33652">
        <w:rPr>
          <w:rFonts w:ascii="Arial" w:hAnsi="Arial" w:cs="Arial"/>
          <w:b/>
        </w:rPr>
        <w:t xml:space="preserve"> </w:t>
      </w:r>
      <w:r w:rsidRPr="00D33652">
        <w:rPr>
          <w:rFonts w:ascii="Arial" w:hAnsi="Arial" w:cs="Arial"/>
        </w:rPr>
        <w:t xml:space="preserve">The initial scope of this activity, in intending to achieve accreditation of six medical universities, was ambitious. Accreditation of medical universities in Viet Nam is a medium term goal requiring a phased approach based on a clear road map and key milestones. The Project has contributed to the initial stages of this through the development and piloting of draft Standards for Accreditation for Medical Facilities, providing review of these Standards against international benchmarks, and facilitating improved internal </w:t>
      </w:r>
      <w:r w:rsidR="00486376">
        <w:rPr>
          <w:rFonts w:ascii="Arial" w:hAnsi="Arial" w:cs="Arial"/>
        </w:rPr>
        <w:t>quality assurance</w:t>
      </w:r>
      <w:r w:rsidRPr="00D33652">
        <w:rPr>
          <w:rFonts w:ascii="Arial" w:hAnsi="Arial" w:cs="Arial"/>
        </w:rPr>
        <w:t xml:space="preserve"> processes within several HPTP. The outputs represent initial actions toward the medium term goal. MoH have demonstrated their commitment to progressing work on accreditation of HPTF and medical programs through the: (i) </w:t>
      </w:r>
      <w:r w:rsidR="00486376">
        <w:rPr>
          <w:rFonts w:ascii="Arial" w:hAnsi="Arial" w:cs="Arial"/>
        </w:rPr>
        <w:t xml:space="preserve">the </w:t>
      </w:r>
      <w:r w:rsidRPr="00D33652">
        <w:rPr>
          <w:rFonts w:ascii="Arial" w:hAnsi="Arial" w:cs="Arial"/>
        </w:rPr>
        <w:t xml:space="preserve">World Bank funded Health Professional Education and Training for Health System Reforms Project; (ii) Phase II of HHSRDP. In the context of these future investments, the outputs achieved and benefits gained under </w:t>
      </w:r>
      <w:r w:rsidR="009C1CD7">
        <w:rPr>
          <w:rFonts w:ascii="Arial" w:hAnsi="Arial" w:cs="Arial"/>
        </w:rPr>
        <w:t>the HHRSDP</w:t>
      </w:r>
      <w:r w:rsidRPr="00D33652">
        <w:rPr>
          <w:rFonts w:ascii="Arial" w:hAnsi="Arial" w:cs="Arial"/>
        </w:rPr>
        <w:t xml:space="preserve"> are assessed as likely sustainable. </w:t>
      </w:r>
    </w:p>
    <w:p w:rsidR="0029582D" w:rsidRPr="00D33652" w:rsidRDefault="0029582D" w:rsidP="0029582D">
      <w:pPr>
        <w:jc w:val="both"/>
        <w:rPr>
          <w:rFonts w:ascii="Arial" w:hAnsi="Arial" w:cs="Arial"/>
        </w:rPr>
      </w:pPr>
    </w:p>
    <w:p w:rsidR="0029582D" w:rsidRPr="00D33652" w:rsidRDefault="0029582D" w:rsidP="0029582D">
      <w:pPr>
        <w:jc w:val="both"/>
        <w:rPr>
          <w:rFonts w:ascii="Arial" w:hAnsi="Arial" w:cs="Arial"/>
        </w:rPr>
      </w:pPr>
      <w:r w:rsidRPr="00D33652">
        <w:rPr>
          <w:rFonts w:ascii="Arial" w:hAnsi="Arial" w:cs="Arial"/>
        </w:rPr>
        <w:fldChar w:fldCharType="begin"/>
      </w:r>
      <w:r w:rsidRPr="00D33652">
        <w:rPr>
          <w:rFonts w:ascii="Arial" w:hAnsi="Arial" w:cs="Arial"/>
        </w:rPr>
        <w:instrText xml:space="preserve"> AUTONUM </w:instrText>
      </w:r>
      <w:r w:rsidRPr="00D33652">
        <w:rPr>
          <w:rFonts w:ascii="Arial" w:hAnsi="Arial" w:cs="Arial"/>
        </w:rPr>
        <w:fldChar w:fldCharType="end"/>
      </w:r>
      <w:r w:rsidRPr="00D33652">
        <w:rPr>
          <w:rFonts w:ascii="Arial" w:hAnsi="Arial" w:cs="Arial"/>
        </w:rPr>
        <w:tab/>
      </w:r>
      <w:r w:rsidR="002F2C3F">
        <w:rPr>
          <w:rFonts w:ascii="Arial" w:hAnsi="Arial" w:cs="Arial"/>
          <w:b/>
        </w:rPr>
        <w:t>Su</w:t>
      </w:r>
      <w:r w:rsidR="002F2C3F" w:rsidRPr="002F2C3F">
        <w:rPr>
          <w:rFonts w:ascii="Arial" w:hAnsi="Arial" w:cs="Arial"/>
          <w:b/>
        </w:rPr>
        <w:t xml:space="preserve">pport for health workers in remote and </w:t>
      </w:r>
      <w:r w:rsidR="002F2C3F">
        <w:rPr>
          <w:rFonts w:ascii="Arial" w:hAnsi="Arial" w:cs="Arial"/>
          <w:b/>
        </w:rPr>
        <w:t>EM</w:t>
      </w:r>
      <w:r w:rsidR="002F2C3F" w:rsidRPr="002F2C3F">
        <w:rPr>
          <w:rFonts w:ascii="Arial" w:hAnsi="Arial" w:cs="Arial"/>
          <w:b/>
        </w:rPr>
        <w:t xml:space="preserve"> areas</w:t>
      </w:r>
      <w:r w:rsidRPr="00D33652">
        <w:rPr>
          <w:rFonts w:ascii="Arial" w:hAnsi="Arial" w:cs="Arial"/>
          <w:b/>
          <w:i/>
        </w:rPr>
        <w:t>.</w:t>
      </w:r>
      <w:r w:rsidRPr="00D33652">
        <w:rPr>
          <w:rFonts w:ascii="Arial" w:hAnsi="Arial" w:cs="Arial"/>
        </w:rPr>
        <w:t xml:space="preserve"> The Project has supported capacity strengthening for health workers in rural and remote areas, including health workers from EM backgrounds. There will be 242 health workers with Specialized Medicine Level I qualifications, 948 rural health workers with increased knowledge on primary health care and 2507 health commune level health staff with improved training skills. No evaluation data on the outcomes of this capacity building was available to the ICE team. However the team has assessed that, given the pressing need for skill development amongst health staff from rural and remote areas, capacity building delivered under </w:t>
      </w:r>
      <w:r w:rsidR="009C1CD7">
        <w:rPr>
          <w:rFonts w:ascii="Arial" w:hAnsi="Arial" w:cs="Arial"/>
        </w:rPr>
        <w:t>the HHRSDP</w:t>
      </w:r>
      <w:r w:rsidRPr="00D33652">
        <w:rPr>
          <w:rFonts w:ascii="Arial" w:hAnsi="Arial" w:cs="Arial"/>
        </w:rPr>
        <w:t xml:space="preserve"> is likely to bring ongoing benefits to the quality of service delivery in these areas. </w:t>
      </w:r>
    </w:p>
    <w:p w:rsidR="0029582D" w:rsidRPr="00D33652" w:rsidRDefault="0029582D" w:rsidP="0029582D">
      <w:pPr>
        <w:jc w:val="both"/>
        <w:rPr>
          <w:rFonts w:ascii="Arial" w:hAnsi="Arial" w:cs="Arial"/>
        </w:rPr>
      </w:pPr>
    </w:p>
    <w:p w:rsidR="0029582D" w:rsidRPr="00D33652" w:rsidRDefault="0029582D" w:rsidP="0029582D">
      <w:pPr>
        <w:jc w:val="both"/>
        <w:rPr>
          <w:rFonts w:ascii="Arial" w:hAnsi="Arial" w:cs="Arial"/>
        </w:rPr>
      </w:pPr>
      <w:r w:rsidRPr="00D33652">
        <w:rPr>
          <w:rFonts w:ascii="Arial" w:hAnsi="Arial" w:cs="Arial"/>
        </w:rPr>
        <w:fldChar w:fldCharType="begin"/>
      </w:r>
      <w:r w:rsidRPr="00D33652">
        <w:rPr>
          <w:rFonts w:ascii="Arial" w:hAnsi="Arial" w:cs="Arial"/>
        </w:rPr>
        <w:instrText xml:space="preserve"> AUTONUM </w:instrText>
      </w:r>
      <w:r w:rsidRPr="00D33652">
        <w:rPr>
          <w:rFonts w:ascii="Arial" w:hAnsi="Arial" w:cs="Arial"/>
        </w:rPr>
        <w:fldChar w:fldCharType="end"/>
      </w:r>
      <w:r w:rsidRPr="00D33652">
        <w:rPr>
          <w:rFonts w:ascii="Arial" w:hAnsi="Arial" w:cs="Arial"/>
        </w:rPr>
        <w:tab/>
        <w:t xml:space="preserve">The ICE </w:t>
      </w:r>
      <w:r w:rsidR="00AE79BF" w:rsidRPr="00D33652">
        <w:rPr>
          <w:rFonts w:ascii="Arial" w:hAnsi="Arial" w:cs="Arial"/>
        </w:rPr>
        <w:t>team notes</w:t>
      </w:r>
      <w:r w:rsidRPr="00D33652">
        <w:rPr>
          <w:rFonts w:ascii="Arial" w:hAnsi="Arial" w:cs="Arial"/>
        </w:rPr>
        <w:t xml:space="preserve"> that ongoing benefits for health workers in rural and remote areas will be enhanced should the Project effectively develop e-learning as a modality for delivering CME to health staff. The e-learning packages developed by Hue University of Medicine and Pharmacy </w:t>
      </w:r>
      <w:r w:rsidR="00AE79BF" w:rsidRPr="00D33652">
        <w:rPr>
          <w:rFonts w:ascii="Arial" w:hAnsi="Arial" w:cs="Arial"/>
        </w:rPr>
        <w:t>demonstrate</w:t>
      </w:r>
      <w:r w:rsidR="00486376">
        <w:rPr>
          <w:rFonts w:ascii="Arial" w:hAnsi="Arial" w:cs="Arial"/>
        </w:rPr>
        <w:t>s</w:t>
      </w:r>
      <w:r w:rsidRPr="00D33652">
        <w:rPr>
          <w:rFonts w:ascii="Arial" w:hAnsi="Arial" w:cs="Arial"/>
        </w:rPr>
        <w:t xml:space="preserve"> the potential application of </w:t>
      </w:r>
      <w:r w:rsidR="00486376">
        <w:rPr>
          <w:rFonts w:ascii="Arial" w:hAnsi="Arial" w:cs="Arial"/>
        </w:rPr>
        <w:t>this</w:t>
      </w:r>
      <w:r w:rsidRPr="00D33652">
        <w:rPr>
          <w:rFonts w:ascii="Arial" w:hAnsi="Arial" w:cs="Arial"/>
        </w:rPr>
        <w:t xml:space="preserve"> modality for the delivery of CME. However, as discussed in Section </w:t>
      </w:r>
      <w:r w:rsidRPr="00777CBC">
        <w:rPr>
          <w:rFonts w:ascii="Arial" w:hAnsi="Arial" w:cs="Arial"/>
        </w:rPr>
        <w:t></w:t>
      </w:r>
      <w:r w:rsidRPr="00777CBC">
        <w:rPr>
          <w:rFonts w:ascii="Arial" w:hAnsi="Arial" w:cs="Arial"/>
        </w:rPr>
        <w:t></w:t>
      </w:r>
      <w:r w:rsidRPr="00D33652">
        <w:rPr>
          <w:rFonts w:ascii="Arial" w:hAnsi="Arial" w:cs="Arial"/>
        </w:rPr>
        <w:t xml:space="preserve">.B the ICE team have assessed that the Project’s e-learning activities are less-likely to be completed as planned based on current progress and the absence of institutional policy and frameworks within </w:t>
      </w:r>
      <w:r w:rsidR="00C41114">
        <w:rPr>
          <w:rFonts w:ascii="Arial" w:hAnsi="Arial" w:cs="Arial"/>
        </w:rPr>
        <w:t>HPTF</w:t>
      </w:r>
      <w:r w:rsidRPr="00D33652">
        <w:rPr>
          <w:rFonts w:ascii="Arial" w:hAnsi="Arial" w:cs="Arial"/>
        </w:rPr>
        <w:t xml:space="preserve"> to </w:t>
      </w:r>
      <w:r w:rsidRPr="00D33652">
        <w:rPr>
          <w:rFonts w:ascii="Arial" w:eastAsia="MS Mincho" w:hAnsi="Arial" w:cs="Arial"/>
          <w:color w:val="000000"/>
        </w:rPr>
        <w:t xml:space="preserve">guide the development of e-learning courses. </w:t>
      </w:r>
    </w:p>
    <w:p w:rsidR="0029582D" w:rsidRPr="00D33652" w:rsidRDefault="0029582D" w:rsidP="0029582D">
      <w:pPr>
        <w:jc w:val="both"/>
        <w:rPr>
          <w:rFonts w:ascii="Arial" w:hAnsi="Arial" w:cs="Arial"/>
        </w:rPr>
      </w:pPr>
    </w:p>
    <w:p w:rsidR="0029582D" w:rsidRPr="00EE4E98" w:rsidRDefault="0029582D" w:rsidP="00EE4E98">
      <w:pPr>
        <w:pStyle w:val="Heading3"/>
        <w:spacing w:after="120"/>
        <w:ind w:left="720" w:hanging="436"/>
        <w:rPr>
          <w:color w:val="000000"/>
          <w:sz w:val="21"/>
          <w:szCs w:val="21"/>
        </w:rPr>
      </w:pPr>
      <w:bookmarkStart w:id="66" w:name="_Toc422301218"/>
      <w:bookmarkStart w:id="67" w:name="_Toc423359336"/>
      <w:r w:rsidRPr="00EE4E98">
        <w:rPr>
          <w:color w:val="000000"/>
          <w:sz w:val="21"/>
          <w:szCs w:val="21"/>
        </w:rPr>
        <w:t>Component 3. Improved Management Systems in Health Service Delivery</w:t>
      </w:r>
      <w:bookmarkEnd w:id="66"/>
      <w:bookmarkEnd w:id="67"/>
    </w:p>
    <w:p w:rsidR="0029582D" w:rsidRPr="00D33652" w:rsidRDefault="0029582D" w:rsidP="0029582D">
      <w:pPr>
        <w:jc w:val="both"/>
        <w:rPr>
          <w:rFonts w:ascii="Arial" w:hAnsi="Arial" w:cs="Arial"/>
        </w:rPr>
      </w:pPr>
      <w:r w:rsidRPr="00D33652">
        <w:rPr>
          <w:rFonts w:ascii="Arial" w:hAnsi="Arial" w:cs="Arial"/>
        </w:rPr>
        <w:fldChar w:fldCharType="begin"/>
      </w:r>
      <w:r w:rsidRPr="00D33652">
        <w:rPr>
          <w:rFonts w:ascii="Arial" w:hAnsi="Arial" w:cs="Arial"/>
        </w:rPr>
        <w:instrText xml:space="preserve"> AUTONUM </w:instrText>
      </w:r>
      <w:r w:rsidRPr="00D33652">
        <w:rPr>
          <w:rFonts w:ascii="Arial" w:hAnsi="Arial" w:cs="Arial"/>
        </w:rPr>
        <w:fldChar w:fldCharType="end"/>
      </w:r>
      <w:r w:rsidRPr="00D33652">
        <w:rPr>
          <w:rFonts w:ascii="Arial" w:hAnsi="Arial" w:cs="Arial"/>
        </w:rPr>
        <w:tab/>
      </w:r>
      <w:r w:rsidRPr="002F2C3F">
        <w:rPr>
          <w:rFonts w:ascii="Arial" w:hAnsi="Arial" w:cs="Arial"/>
          <w:b/>
        </w:rPr>
        <w:t>Testing case-based funding mechanisms based on costed CPs</w:t>
      </w:r>
      <w:r w:rsidRPr="002F2C3F">
        <w:rPr>
          <w:rFonts w:ascii="Arial" w:hAnsi="Arial" w:cs="Arial"/>
        </w:rPr>
        <w:t>.</w:t>
      </w:r>
      <w:r w:rsidRPr="00D33652">
        <w:rPr>
          <w:rFonts w:ascii="Arial" w:hAnsi="Arial" w:cs="Arial"/>
        </w:rPr>
        <w:t xml:space="preserve"> This component of the project is a piloting initiative.</w:t>
      </w:r>
      <w:r w:rsidRPr="00D33652">
        <w:rPr>
          <w:rFonts w:ascii="Arial" w:hAnsi="Arial" w:cs="Arial"/>
          <w:b/>
        </w:rPr>
        <w:t xml:space="preserve"> </w:t>
      </w:r>
      <w:r w:rsidRPr="00D33652">
        <w:rPr>
          <w:rFonts w:ascii="Arial" w:hAnsi="Arial" w:cs="Arial"/>
        </w:rPr>
        <w:t xml:space="preserve"> As such assessment of sustainability has focused on the extent to which lessons from the pilot will be captured and utilized to inform the MoH’s wider work on provider payment reform. On </w:t>
      </w:r>
      <w:r w:rsidR="00AE79BF" w:rsidRPr="00D33652">
        <w:rPr>
          <w:rFonts w:ascii="Arial" w:hAnsi="Arial" w:cs="Arial"/>
        </w:rPr>
        <w:t>these criteria</w:t>
      </w:r>
      <w:r w:rsidRPr="00D33652">
        <w:rPr>
          <w:rFonts w:ascii="Arial" w:hAnsi="Arial" w:cs="Arial"/>
        </w:rPr>
        <w:t xml:space="preserve"> the ICE team assess the component as likely sustainable, on the </w:t>
      </w:r>
      <w:r w:rsidR="00AE79BF" w:rsidRPr="00D33652">
        <w:rPr>
          <w:rFonts w:ascii="Arial" w:hAnsi="Arial" w:cs="Arial"/>
        </w:rPr>
        <w:t>proviso</w:t>
      </w:r>
      <w:r w:rsidRPr="00D33652">
        <w:rPr>
          <w:rFonts w:ascii="Arial" w:hAnsi="Arial" w:cs="Arial"/>
        </w:rPr>
        <w:t xml:space="preserve"> that the project extension is granted to enable the completion of the piloting of case-based payments as planned. The Project has demonstrated strong links between this component and the </w:t>
      </w:r>
      <w:r w:rsidR="00AE79BF" w:rsidRPr="00D33652">
        <w:rPr>
          <w:rFonts w:ascii="Arial" w:hAnsi="Arial" w:cs="Arial"/>
        </w:rPr>
        <w:t>MoH’s</w:t>
      </w:r>
      <w:r w:rsidRPr="00D33652">
        <w:rPr>
          <w:rFonts w:ascii="Arial" w:hAnsi="Arial" w:cs="Arial"/>
        </w:rPr>
        <w:t xml:space="preserve"> Technical Taskforce on Provider Payment Reform, providing the mechanism for lessons from the pilot to be disseminated amongst key decision makers. </w:t>
      </w:r>
    </w:p>
    <w:p w:rsidR="00146A91" w:rsidRPr="00D33652" w:rsidRDefault="00146A91" w:rsidP="0029582D">
      <w:pPr>
        <w:jc w:val="both"/>
        <w:rPr>
          <w:rFonts w:ascii="Arial" w:hAnsi="Arial" w:cs="Arial"/>
        </w:rPr>
      </w:pPr>
    </w:p>
    <w:p w:rsidR="0029582D" w:rsidRPr="00D33652" w:rsidRDefault="0029582D" w:rsidP="0029582D">
      <w:pPr>
        <w:jc w:val="both"/>
        <w:rPr>
          <w:rFonts w:ascii="Arial" w:hAnsi="Arial" w:cs="Arial"/>
        </w:rPr>
      </w:pPr>
      <w:r w:rsidRPr="00D33652">
        <w:rPr>
          <w:rFonts w:ascii="Arial" w:hAnsi="Arial" w:cs="Arial"/>
        </w:rPr>
        <w:fldChar w:fldCharType="begin"/>
      </w:r>
      <w:r w:rsidRPr="00D33652">
        <w:rPr>
          <w:rFonts w:ascii="Arial" w:hAnsi="Arial" w:cs="Arial"/>
        </w:rPr>
        <w:instrText xml:space="preserve"> AUTONUM </w:instrText>
      </w:r>
      <w:r w:rsidRPr="00D33652">
        <w:rPr>
          <w:rFonts w:ascii="Arial" w:hAnsi="Arial" w:cs="Arial"/>
        </w:rPr>
        <w:fldChar w:fldCharType="end"/>
      </w:r>
      <w:r w:rsidRPr="00D33652">
        <w:rPr>
          <w:rFonts w:ascii="Arial" w:hAnsi="Arial" w:cs="Arial"/>
        </w:rPr>
        <w:tab/>
        <w:t>An important output of the Project has been the development of the casemix software and database</w:t>
      </w:r>
      <w:r w:rsidR="00E93E8D">
        <w:rPr>
          <w:rFonts w:ascii="Arial" w:hAnsi="Arial" w:cs="Arial"/>
        </w:rPr>
        <w:t xml:space="preserve">, </w:t>
      </w:r>
      <w:r w:rsidR="00146A91" w:rsidRPr="00D33652">
        <w:rPr>
          <w:rFonts w:ascii="Arial" w:hAnsi="Arial" w:cs="Arial"/>
        </w:rPr>
        <w:t>which has</w:t>
      </w:r>
      <w:r w:rsidRPr="00D33652">
        <w:rPr>
          <w:rFonts w:ascii="Arial" w:hAnsi="Arial" w:cs="Arial"/>
        </w:rPr>
        <w:t xml:space="preserve"> provided a platform for drawing together the Technical Taskforce’s work on other DRG related initiatives. An example is the MoH’s project on Basic Health Service Packages, the records from which are being uploaded to the database to </w:t>
      </w:r>
      <w:r w:rsidR="00486376">
        <w:rPr>
          <w:rFonts w:ascii="Arial" w:hAnsi="Arial" w:cs="Arial"/>
        </w:rPr>
        <w:t>create</w:t>
      </w:r>
      <w:r w:rsidRPr="00D33652">
        <w:rPr>
          <w:rFonts w:ascii="Arial" w:hAnsi="Arial" w:cs="Arial"/>
        </w:rPr>
        <w:t xml:space="preserve"> a more comprehensive data set for informing </w:t>
      </w:r>
      <w:r w:rsidR="00AE79BF" w:rsidRPr="00D33652">
        <w:rPr>
          <w:rFonts w:ascii="Arial" w:hAnsi="Arial" w:cs="Arial"/>
        </w:rPr>
        <w:t>MoH’s</w:t>
      </w:r>
      <w:r w:rsidRPr="00D33652">
        <w:rPr>
          <w:rFonts w:ascii="Arial" w:hAnsi="Arial" w:cs="Arial"/>
        </w:rPr>
        <w:t xml:space="preserve"> work on D</w:t>
      </w:r>
      <w:r w:rsidR="00486376">
        <w:rPr>
          <w:rFonts w:ascii="Arial" w:hAnsi="Arial" w:cs="Arial"/>
        </w:rPr>
        <w:t>RG</w:t>
      </w:r>
      <w:r w:rsidRPr="00D33652">
        <w:rPr>
          <w:rFonts w:ascii="Arial" w:hAnsi="Arial" w:cs="Arial"/>
        </w:rPr>
        <w:t>s. This demonstrated linking of project products to other initiatives of MoH is further evidence that benefits from investment</w:t>
      </w:r>
      <w:r w:rsidR="00486376">
        <w:rPr>
          <w:rFonts w:ascii="Arial" w:hAnsi="Arial" w:cs="Arial"/>
        </w:rPr>
        <w:t>s</w:t>
      </w:r>
      <w:r w:rsidRPr="00D33652">
        <w:rPr>
          <w:rFonts w:ascii="Arial" w:hAnsi="Arial" w:cs="Arial"/>
        </w:rPr>
        <w:t xml:space="preserve"> under component 3 are likely sustainable. </w:t>
      </w:r>
    </w:p>
    <w:p w:rsidR="0029582D" w:rsidRPr="00D33652" w:rsidRDefault="0029582D" w:rsidP="0029582D">
      <w:pPr>
        <w:rPr>
          <w:rFonts w:ascii="Arial" w:hAnsi="Arial" w:cs="Arial"/>
        </w:rPr>
      </w:pPr>
    </w:p>
    <w:p w:rsidR="0029582D" w:rsidRPr="00EE4E98" w:rsidRDefault="0029582D" w:rsidP="00EE4E98">
      <w:pPr>
        <w:pStyle w:val="Heading3"/>
        <w:spacing w:after="120"/>
        <w:ind w:left="720" w:hanging="436"/>
        <w:rPr>
          <w:color w:val="000000"/>
          <w:sz w:val="21"/>
          <w:szCs w:val="21"/>
        </w:rPr>
      </w:pPr>
      <w:bookmarkStart w:id="68" w:name="_Toc422301219"/>
      <w:bookmarkStart w:id="69" w:name="_Toc423359337"/>
      <w:r w:rsidRPr="00EE4E98">
        <w:rPr>
          <w:color w:val="000000"/>
          <w:sz w:val="21"/>
          <w:szCs w:val="21"/>
        </w:rPr>
        <w:t>Overall Assessment</w:t>
      </w:r>
      <w:bookmarkEnd w:id="68"/>
      <w:bookmarkEnd w:id="69"/>
    </w:p>
    <w:p w:rsidR="007B2A54" w:rsidRPr="00D33652" w:rsidRDefault="0029582D" w:rsidP="0029582D">
      <w:pPr>
        <w:jc w:val="both"/>
        <w:rPr>
          <w:rFonts w:ascii="Arial" w:hAnsi="Arial" w:cs="Arial"/>
        </w:rPr>
      </w:pPr>
      <w:r w:rsidRPr="00D33652">
        <w:rPr>
          <w:rFonts w:ascii="Arial" w:hAnsi="Arial" w:cs="Arial"/>
        </w:rPr>
        <w:fldChar w:fldCharType="begin"/>
      </w:r>
      <w:r w:rsidRPr="00D33652">
        <w:rPr>
          <w:rFonts w:ascii="Arial" w:hAnsi="Arial" w:cs="Arial"/>
        </w:rPr>
        <w:instrText xml:space="preserve"> AUTONUM </w:instrText>
      </w:r>
      <w:r w:rsidRPr="00D33652">
        <w:rPr>
          <w:rFonts w:ascii="Arial" w:hAnsi="Arial" w:cs="Arial"/>
        </w:rPr>
        <w:fldChar w:fldCharType="end"/>
      </w:r>
      <w:r w:rsidRPr="00D33652">
        <w:rPr>
          <w:rFonts w:ascii="Arial" w:hAnsi="Arial" w:cs="Arial"/>
        </w:rPr>
        <w:tab/>
        <w:t>The ICE team scored the HHRSDP’s overall rating for sustainability as 5. Ratings for individual sustainability sub-criteria are listed in Appendix 1</w:t>
      </w:r>
      <w:r w:rsidR="0083264E">
        <w:rPr>
          <w:rFonts w:ascii="Arial" w:hAnsi="Arial" w:cs="Arial"/>
        </w:rPr>
        <w:t>,</w:t>
      </w:r>
      <w:r w:rsidRPr="00D33652">
        <w:rPr>
          <w:rFonts w:ascii="Arial" w:hAnsi="Arial" w:cs="Arial"/>
        </w:rPr>
        <w:t xml:space="preserve"> Table 1,1. </w:t>
      </w:r>
    </w:p>
    <w:p w:rsidR="007B2A54" w:rsidRPr="00D33652" w:rsidRDefault="007B2A54" w:rsidP="0029582D">
      <w:pPr>
        <w:jc w:val="both"/>
        <w:rPr>
          <w:rFonts w:ascii="Arial" w:hAnsi="Arial" w:cs="Arial"/>
        </w:rPr>
      </w:pPr>
    </w:p>
    <w:p w:rsidR="0029582D" w:rsidRPr="00D33652" w:rsidRDefault="007B2A54" w:rsidP="0029582D">
      <w:pPr>
        <w:jc w:val="both"/>
        <w:rPr>
          <w:rFonts w:ascii="Arial" w:hAnsi="Arial" w:cs="Arial"/>
        </w:rPr>
      </w:pPr>
      <w:r w:rsidRPr="00D33652">
        <w:rPr>
          <w:rFonts w:ascii="Arial" w:hAnsi="Arial" w:cs="Arial"/>
        </w:rPr>
        <w:fldChar w:fldCharType="begin"/>
      </w:r>
      <w:r w:rsidRPr="00D33652">
        <w:rPr>
          <w:rFonts w:ascii="Arial" w:hAnsi="Arial" w:cs="Arial"/>
        </w:rPr>
        <w:instrText xml:space="preserve"> AUTONUM </w:instrText>
      </w:r>
      <w:r w:rsidRPr="00D33652">
        <w:rPr>
          <w:rFonts w:ascii="Arial" w:hAnsi="Arial" w:cs="Arial"/>
        </w:rPr>
        <w:fldChar w:fldCharType="end"/>
      </w:r>
      <w:r w:rsidRPr="00D33652">
        <w:rPr>
          <w:rFonts w:ascii="Arial" w:hAnsi="Arial" w:cs="Arial"/>
        </w:rPr>
        <w:tab/>
      </w:r>
      <w:r w:rsidR="00C110D7" w:rsidRPr="00D33652">
        <w:rPr>
          <w:rFonts w:ascii="Arial" w:hAnsi="Arial" w:cs="Arial"/>
        </w:rPr>
        <w:t xml:space="preserve">The team noted one key weakness, relating to the exit strategy for the grant component of the </w:t>
      </w:r>
      <w:r w:rsidR="0029582D" w:rsidRPr="00D33652">
        <w:rPr>
          <w:rFonts w:ascii="Arial" w:hAnsi="Arial" w:cs="Arial"/>
        </w:rPr>
        <w:t>investment. As previously outlined, the closing dates for the grant and loan were not aligned. The Project has a further 12 months of implementation after the grant closing date,</w:t>
      </w:r>
      <w:r w:rsidR="0029582D" w:rsidRPr="00D33652">
        <w:rPr>
          <w:rStyle w:val="FootnoteReference"/>
          <w:rFonts w:cs="Arial"/>
        </w:rPr>
        <w:footnoteReference w:id="89"/>
      </w:r>
      <w:r w:rsidR="0029582D" w:rsidRPr="00D33652">
        <w:rPr>
          <w:rFonts w:ascii="Arial" w:hAnsi="Arial" w:cs="Arial"/>
        </w:rPr>
        <w:t xml:space="preserve"> which may now be extended to 24 months should the proposed project extension be approved. While the GoA’s intention to exit the investment at 30 June 2015 had been clearly articulated from investment outset, there appeared no clear strategy for managing the potential risks to sustainability created through the exit from an ‘ongoing’ project in the event, now realized, that activities funded under the grant were only partially completed.</w:t>
      </w:r>
      <w:r w:rsidR="00A560E4">
        <w:rPr>
          <w:rStyle w:val="FootnoteReference"/>
          <w:rFonts w:cs="Arial"/>
        </w:rPr>
        <w:footnoteReference w:id="90"/>
      </w:r>
    </w:p>
    <w:p w:rsidR="0029582D" w:rsidRPr="00D33652" w:rsidRDefault="0029582D" w:rsidP="0029582D">
      <w:pPr>
        <w:jc w:val="both"/>
        <w:rPr>
          <w:rFonts w:ascii="Arial" w:hAnsi="Arial" w:cs="Arial"/>
        </w:rPr>
      </w:pPr>
    </w:p>
    <w:p w:rsidR="0029582D" w:rsidRPr="00D33652" w:rsidRDefault="0029582D" w:rsidP="0029582D">
      <w:pPr>
        <w:rPr>
          <w:rFonts w:ascii="Arial" w:hAnsi="Arial" w:cs="Arial"/>
          <w:lang w:eastAsia="en-US"/>
        </w:rPr>
      </w:pPr>
    </w:p>
    <w:p w:rsidR="00C100C8" w:rsidRPr="00D50DA0" w:rsidRDefault="0029582D" w:rsidP="00D50DA0">
      <w:pPr>
        <w:pStyle w:val="Heading2"/>
        <w:spacing w:after="120"/>
        <w:rPr>
          <w:bCs w:val="0"/>
          <w:i w:val="0"/>
          <w:iCs w:val="0"/>
          <w:color w:val="000000"/>
          <w:sz w:val="22"/>
          <w:szCs w:val="20"/>
          <w:lang w:eastAsia="en-US"/>
        </w:rPr>
      </w:pPr>
      <w:r w:rsidRPr="00D33652">
        <w:rPr>
          <w:lang w:eastAsia="en-US"/>
        </w:rPr>
        <w:br w:type="page"/>
      </w:r>
      <w:bookmarkStart w:id="70" w:name="_Toc207171376"/>
      <w:bookmarkStart w:id="71" w:name="_Toc422301220"/>
      <w:bookmarkStart w:id="72" w:name="_Toc423359338"/>
      <w:r w:rsidR="00E90F04" w:rsidRPr="00D50DA0">
        <w:rPr>
          <w:bCs w:val="0"/>
          <w:i w:val="0"/>
          <w:iCs w:val="0"/>
          <w:color w:val="000000"/>
          <w:sz w:val="22"/>
          <w:szCs w:val="20"/>
          <w:lang w:eastAsia="en-US"/>
        </w:rPr>
        <w:t>G</w:t>
      </w:r>
      <w:r w:rsidR="006225AC">
        <w:rPr>
          <w:bCs w:val="0"/>
          <w:i w:val="0"/>
          <w:iCs w:val="0"/>
          <w:color w:val="000000"/>
          <w:sz w:val="22"/>
          <w:szCs w:val="20"/>
          <w:lang w:eastAsia="en-US"/>
        </w:rPr>
        <w:t>ender E</w:t>
      </w:r>
      <w:r w:rsidR="00E14483" w:rsidRPr="00D50DA0">
        <w:rPr>
          <w:bCs w:val="0"/>
          <w:i w:val="0"/>
          <w:iCs w:val="0"/>
          <w:color w:val="000000"/>
          <w:sz w:val="22"/>
          <w:szCs w:val="20"/>
          <w:lang w:eastAsia="en-US"/>
        </w:rPr>
        <w:t>quality</w:t>
      </w:r>
      <w:bookmarkEnd w:id="70"/>
      <w:bookmarkEnd w:id="71"/>
      <w:bookmarkEnd w:id="72"/>
    </w:p>
    <w:p w:rsidR="00103A07" w:rsidRPr="00EE4E98" w:rsidRDefault="00103A07" w:rsidP="00EE4E98">
      <w:pPr>
        <w:pStyle w:val="Heading3"/>
        <w:spacing w:after="120"/>
        <w:ind w:left="720" w:hanging="436"/>
        <w:rPr>
          <w:bCs w:val="0"/>
          <w:color w:val="000000"/>
          <w:sz w:val="21"/>
          <w:szCs w:val="21"/>
          <w:lang w:eastAsia="en-US"/>
        </w:rPr>
      </w:pPr>
      <w:bookmarkStart w:id="73" w:name="_Toc422301221"/>
      <w:bookmarkStart w:id="74" w:name="_Toc423359339"/>
      <w:r w:rsidRPr="00EE4E98">
        <w:rPr>
          <w:bCs w:val="0"/>
          <w:color w:val="000000"/>
          <w:sz w:val="21"/>
          <w:szCs w:val="21"/>
          <w:lang w:eastAsia="en-US"/>
        </w:rPr>
        <w:t>Gender Consideration</w:t>
      </w:r>
      <w:r w:rsidR="00754F23" w:rsidRPr="00EE4E98">
        <w:rPr>
          <w:bCs w:val="0"/>
          <w:color w:val="000000"/>
          <w:sz w:val="21"/>
          <w:szCs w:val="21"/>
          <w:lang w:eastAsia="en-US"/>
        </w:rPr>
        <w:t>s</w:t>
      </w:r>
      <w:r w:rsidRPr="00EE4E98">
        <w:rPr>
          <w:bCs w:val="0"/>
          <w:color w:val="000000"/>
          <w:sz w:val="21"/>
          <w:szCs w:val="21"/>
          <w:lang w:eastAsia="en-US"/>
        </w:rPr>
        <w:t xml:space="preserve"> Integrated at Design</w:t>
      </w:r>
      <w:bookmarkEnd w:id="73"/>
      <w:bookmarkEnd w:id="74"/>
    </w:p>
    <w:p w:rsidR="00103A07" w:rsidRPr="00D33652" w:rsidRDefault="00103A07" w:rsidP="00103A07">
      <w:pPr>
        <w:jc w:val="both"/>
        <w:rPr>
          <w:rFonts w:ascii="Arial" w:hAnsi="Arial" w:cs="Arial"/>
          <w:szCs w:val="16"/>
        </w:rPr>
      </w:pPr>
      <w:r w:rsidRPr="00D33652">
        <w:rPr>
          <w:rFonts w:ascii="Arial" w:hAnsi="Arial" w:cs="Arial"/>
        </w:rPr>
        <w:fldChar w:fldCharType="begin"/>
      </w:r>
      <w:r w:rsidRPr="00D33652">
        <w:rPr>
          <w:rFonts w:ascii="Arial" w:hAnsi="Arial" w:cs="Arial"/>
        </w:rPr>
        <w:instrText>AUTONUMLGL</w:instrText>
      </w:r>
      <w:r w:rsidRPr="00D33652">
        <w:rPr>
          <w:rFonts w:ascii="Arial" w:hAnsi="Arial" w:cs="Arial"/>
        </w:rPr>
        <w:fldChar w:fldCharType="end"/>
      </w:r>
      <w:r w:rsidRPr="00D33652">
        <w:rPr>
          <w:rFonts w:ascii="Arial" w:hAnsi="Arial" w:cs="Arial"/>
        </w:rPr>
        <w:tab/>
        <w:t>The Project Preparatory Technical Assistance</w:t>
      </w:r>
      <w:r w:rsidRPr="00D33652">
        <w:rPr>
          <w:rStyle w:val="FootnoteReference"/>
          <w:rFonts w:cs="Arial"/>
        </w:rPr>
        <w:footnoteReference w:id="91"/>
      </w:r>
      <w:r w:rsidRPr="00D33652">
        <w:rPr>
          <w:rFonts w:ascii="Arial" w:hAnsi="Arial" w:cs="Arial"/>
        </w:rPr>
        <w:t xml:space="preserve"> included appropriate analysis of gender </w:t>
      </w:r>
      <w:r w:rsidRPr="00D33652">
        <w:rPr>
          <w:rFonts w:ascii="Arial" w:hAnsi="Arial" w:cs="Arial"/>
          <w:szCs w:val="16"/>
        </w:rPr>
        <w:t xml:space="preserve">equality gaps and opportunities. Under the PPTA a </w:t>
      </w:r>
      <w:r w:rsidR="00402AB7" w:rsidRPr="00D33652">
        <w:rPr>
          <w:rFonts w:ascii="Arial" w:hAnsi="Arial" w:cs="Arial"/>
          <w:szCs w:val="16"/>
        </w:rPr>
        <w:t>Social Analysis and Strategy</w:t>
      </w:r>
      <w:r w:rsidR="00402AB7" w:rsidRPr="00D33652" w:rsidDel="00402AB7">
        <w:rPr>
          <w:rFonts w:ascii="Arial" w:hAnsi="Arial" w:cs="Arial"/>
          <w:szCs w:val="16"/>
        </w:rPr>
        <w:t xml:space="preserve"> </w:t>
      </w:r>
      <w:r w:rsidR="00402AB7">
        <w:rPr>
          <w:rFonts w:ascii="Arial" w:hAnsi="Arial" w:cs="Arial"/>
          <w:szCs w:val="16"/>
        </w:rPr>
        <w:t>was prepared</w:t>
      </w:r>
      <w:r w:rsidRPr="00D33652">
        <w:rPr>
          <w:rFonts w:ascii="Arial" w:hAnsi="Arial" w:cs="Arial"/>
          <w:szCs w:val="16"/>
        </w:rPr>
        <w:t xml:space="preserve"> that included </w:t>
      </w:r>
      <w:r w:rsidR="00402AB7">
        <w:rPr>
          <w:rFonts w:ascii="Arial" w:hAnsi="Arial" w:cs="Arial"/>
          <w:szCs w:val="16"/>
        </w:rPr>
        <w:t>a review of</w:t>
      </w:r>
      <w:r w:rsidRPr="00D33652">
        <w:rPr>
          <w:rFonts w:ascii="Arial" w:hAnsi="Arial" w:cs="Arial"/>
          <w:szCs w:val="16"/>
        </w:rPr>
        <w:t xml:space="preserve">: (i) </w:t>
      </w:r>
      <w:r w:rsidR="00402AB7">
        <w:rPr>
          <w:rFonts w:ascii="Arial" w:hAnsi="Arial" w:cs="Arial"/>
          <w:szCs w:val="16"/>
        </w:rPr>
        <w:t>D</w:t>
      </w:r>
      <w:r w:rsidRPr="00D33652">
        <w:rPr>
          <w:rFonts w:ascii="Arial" w:hAnsi="Arial" w:cs="Arial"/>
          <w:szCs w:val="16"/>
        </w:rPr>
        <w:t xml:space="preserve">isease patterns and disease burden by location (urban/rural), ethnicity and gender; (ii) </w:t>
      </w:r>
      <w:r w:rsidR="00402AB7">
        <w:rPr>
          <w:rFonts w:ascii="Arial" w:hAnsi="Arial" w:cs="Arial"/>
          <w:szCs w:val="16"/>
        </w:rPr>
        <w:t>H</w:t>
      </w:r>
      <w:r w:rsidRPr="00D33652">
        <w:rPr>
          <w:rFonts w:ascii="Arial" w:hAnsi="Arial" w:cs="Arial"/>
          <w:szCs w:val="16"/>
        </w:rPr>
        <w:t xml:space="preserve">ealth human resource distribution by gender; </w:t>
      </w:r>
      <w:r w:rsidRPr="00D33652">
        <w:rPr>
          <w:rStyle w:val="FootnoteReference"/>
          <w:rFonts w:cs="Arial"/>
          <w:szCs w:val="16"/>
        </w:rPr>
        <w:footnoteReference w:id="92"/>
      </w:r>
      <w:r w:rsidRPr="00D33652">
        <w:rPr>
          <w:rFonts w:ascii="Arial" w:hAnsi="Arial" w:cs="Arial"/>
          <w:szCs w:val="16"/>
        </w:rPr>
        <w:t xml:space="preserve"> (iii) </w:t>
      </w:r>
      <w:r w:rsidR="00402AB7">
        <w:rPr>
          <w:rFonts w:ascii="Arial" w:hAnsi="Arial" w:cs="Arial"/>
          <w:szCs w:val="16"/>
        </w:rPr>
        <w:t>The</w:t>
      </w:r>
      <w:r w:rsidRPr="00D33652">
        <w:rPr>
          <w:rFonts w:ascii="Arial" w:hAnsi="Arial" w:cs="Arial"/>
          <w:szCs w:val="16"/>
        </w:rPr>
        <w:t xml:space="preserve"> MoH’s Policy for the </w:t>
      </w:r>
      <w:r w:rsidR="00133C32">
        <w:rPr>
          <w:rFonts w:ascii="Arial" w:hAnsi="Arial" w:cs="Arial"/>
          <w:szCs w:val="16"/>
        </w:rPr>
        <w:t>A</w:t>
      </w:r>
      <w:r w:rsidRPr="00D33652">
        <w:rPr>
          <w:rFonts w:ascii="Arial" w:hAnsi="Arial" w:cs="Arial"/>
          <w:szCs w:val="16"/>
        </w:rPr>
        <w:t xml:space="preserve">dvancement of </w:t>
      </w:r>
      <w:r w:rsidR="00133C32">
        <w:rPr>
          <w:rFonts w:ascii="Arial" w:hAnsi="Arial" w:cs="Arial"/>
          <w:szCs w:val="16"/>
        </w:rPr>
        <w:t>W</w:t>
      </w:r>
      <w:r w:rsidRPr="00D33652">
        <w:rPr>
          <w:rFonts w:ascii="Arial" w:hAnsi="Arial" w:cs="Arial"/>
          <w:szCs w:val="16"/>
        </w:rPr>
        <w:t>om</w:t>
      </w:r>
      <w:r w:rsidR="00133C32">
        <w:rPr>
          <w:rFonts w:ascii="Arial" w:hAnsi="Arial" w:cs="Arial"/>
          <w:szCs w:val="16"/>
        </w:rPr>
        <w:t>e</w:t>
      </w:r>
      <w:r w:rsidRPr="00D33652">
        <w:rPr>
          <w:rFonts w:ascii="Arial" w:hAnsi="Arial" w:cs="Arial"/>
          <w:szCs w:val="16"/>
        </w:rPr>
        <w:t>n and barriers to achieving this.</w:t>
      </w:r>
      <w:r w:rsidRPr="00D33652">
        <w:rPr>
          <w:rStyle w:val="FootnoteReference"/>
          <w:rFonts w:cs="Arial"/>
          <w:szCs w:val="16"/>
        </w:rPr>
        <w:footnoteReference w:id="93"/>
      </w:r>
      <w:r w:rsidRPr="00D33652">
        <w:rPr>
          <w:rFonts w:ascii="Arial" w:hAnsi="Arial" w:cs="Arial"/>
          <w:szCs w:val="16"/>
        </w:rPr>
        <w:t xml:space="preserve"> The Social Analysis and Strategy informed the development of the Program’s Gender and Ethnic Minority Strategy (GEMS). The GEM</w:t>
      </w:r>
      <w:r w:rsidR="00402AB7">
        <w:rPr>
          <w:rFonts w:ascii="Arial" w:hAnsi="Arial" w:cs="Arial"/>
          <w:szCs w:val="16"/>
        </w:rPr>
        <w:t>S</w:t>
      </w:r>
      <w:r w:rsidRPr="00D33652">
        <w:rPr>
          <w:rFonts w:ascii="Arial" w:hAnsi="Arial" w:cs="Arial"/>
          <w:szCs w:val="16"/>
        </w:rPr>
        <w:t xml:space="preserve"> is included in the Report and Recommendations of the President (RRP) and in the PAM. Full implementation of the GEMS is required under the covenants</w:t>
      </w:r>
      <w:r w:rsidR="00402AB7">
        <w:rPr>
          <w:rFonts w:ascii="Arial" w:hAnsi="Arial" w:cs="Arial"/>
          <w:szCs w:val="16"/>
        </w:rPr>
        <w:t xml:space="preserve"> of </w:t>
      </w:r>
      <w:r w:rsidRPr="00D33652">
        <w:rPr>
          <w:rFonts w:ascii="Arial" w:hAnsi="Arial" w:cs="Arial"/>
          <w:szCs w:val="16"/>
        </w:rPr>
        <w:t>the project loan</w:t>
      </w:r>
      <w:r w:rsidR="00402AB7">
        <w:rPr>
          <w:rFonts w:ascii="Arial" w:hAnsi="Arial" w:cs="Arial"/>
          <w:szCs w:val="16"/>
        </w:rPr>
        <w:t xml:space="preserve"> and </w:t>
      </w:r>
      <w:r w:rsidRPr="00D33652">
        <w:rPr>
          <w:rFonts w:ascii="Arial" w:hAnsi="Arial" w:cs="Arial"/>
          <w:szCs w:val="16"/>
        </w:rPr>
        <w:t xml:space="preserve">grant. The Program’s DMF includes agreed gender targets and output indicators for the overall program/project. </w:t>
      </w:r>
    </w:p>
    <w:p w:rsidR="00103A07" w:rsidRPr="00D33652" w:rsidRDefault="00103A07" w:rsidP="00103A07">
      <w:pPr>
        <w:jc w:val="both"/>
        <w:rPr>
          <w:rFonts w:ascii="Arial" w:hAnsi="Arial" w:cs="Arial"/>
          <w:szCs w:val="16"/>
        </w:rPr>
      </w:pPr>
    </w:p>
    <w:p w:rsidR="00103A07" w:rsidRPr="00EE4E98" w:rsidRDefault="00103A07" w:rsidP="00EE4E98">
      <w:pPr>
        <w:pStyle w:val="Heading3"/>
        <w:spacing w:after="120"/>
        <w:ind w:left="720" w:hanging="436"/>
        <w:rPr>
          <w:bCs w:val="0"/>
          <w:color w:val="000000"/>
          <w:sz w:val="21"/>
          <w:szCs w:val="21"/>
          <w:lang w:eastAsia="en-US"/>
        </w:rPr>
      </w:pPr>
      <w:bookmarkStart w:id="75" w:name="_Toc422301222"/>
      <w:bookmarkStart w:id="76" w:name="_Toc423359340"/>
      <w:r w:rsidRPr="00EE4E98">
        <w:rPr>
          <w:bCs w:val="0"/>
          <w:color w:val="000000"/>
          <w:sz w:val="21"/>
          <w:szCs w:val="21"/>
          <w:lang w:eastAsia="en-US"/>
        </w:rPr>
        <w:t>Gender Consideration</w:t>
      </w:r>
      <w:r w:rsidR="00754F23" w:rsidRPr="00EE4E98">
        <w:rPr>
          <w:bCs w:val="0"/>
          <w:color w:val="000000"/>
          <w:sz w:val="21"/>
          <w:szCs w:val="21"/>
          <w:lang w:eastAsia="en-US"/>
        </w:rPr>
        <w:t>s</w:t>
      </w:r>
      <w:r w:rsidRPr="00EE4E98">
        <w:rPr>
          <w:bCs w:val="0"/>
          <w:color w:val="000000"/>
          <w:sz w:val="21"/>
          <w:szCs w:val="21"/>
          <w:lang w:eastAsia="en-US"/>
        </w:rPr>
        <w:t xml:space="preserve"> at Implementation</w:t>
      </w:r>
      <w:bookmarkEnd w:id="75"/>
      <w:bookmarkEnd w:id="76"/>
    </w:p>
    <w:p w:rsidR="00103A07" w:rsidRPr="00D33652" w:rsidRDefault="00103A07" w:rsidP="00103A07">
      <w:pPr>
        <w:jc w:val="both"/>
        <w:rPr>
          <w:rFonts w:ascii="Arial" w:hAnsi="Arial" w:cs="Arial"/>
        </w:rPr>
      </w:pPr>
      <w:r w:rsidRPr="00D33652">
        <w:rPr>
          <w:rFonts w:ascii="Arial" w:hAnsi="Arial" w:cs="Arial"/>
        </w:rPr>
        <w:fldChar w:fldCharType="begin"/>
      </w:r>
      <w:r w:rsidRPr="00D33652">
        <w:rPr>
          <w:rFonts w:ascii="Arial" w:hAnsi="Arial" w:cs="Arial"/>
        </w:rPr>
        <w:instrText>AUTONUMLGL</w:instrText>
      </w:r>
      <w:r w:rsidRPr="00D33652">
        <w:rPr>
          <w:rFonts w:ascii="Arial" w:hAnsi="Arial" w:cs="Arial"/>
        </w:rPr>
        <w:fldChar w:fldCharType="end"/>
      </w:r>
      <w:r w:rsidRPr="00D33652">
        <w:rPr>
          <w:rFonts w:ascii="Arial" w:hAnsi="Arial" w:cs="Arial"/>
        </w:rPr>
        <w:tab/>
      </w:r>
      <w:r w:rsidR="002F2C3F">
        <w:rPr>
          <w:rFonts w:ascii="Arial" w:hAnsi="Arial" w:cs="Arial"/>
          <w:b/>
          <w:szCs w:val="16"/>
        </w:rPr>
        <w:t>Technical support to GEMS i</w:t>
      </w:r>
      <w:r w:rsidRPr="00D33652">
        <w:rPr>
          <w:rFonts w:ascii="Arial" w:hAnsi="Arial" w:cs="Arial"/>
          <w:b/>
          <w:szCs w:val="16"/>
        </w:rPr>
        <w:t>mplementation</w:t>
      </w:r>
      <w:r w:rsidRPr="00D33652">
        <w:rPr>
          <w:rFonts w:ascii="Arial" w:hAnsi="Arial" w:cs="Arial"/>
          <w:szCs w:val="16"/>
        </w:rPr>
        <w:t xml:space="preserve">. An International and National Gender and Ethnic Minority Specialist were engaged for 4 and 12 months respectively to support PMU to operationalize the GEMS during project implementation. The Specialists developed a Gender and Ethnic Minority Action Pan (GEMAP) which was intended to serve as a road map for PMU in implementing the GEMS and ensuring the gender targets contained in the DMF were met. </w:t>
      </w:r>
      <w:r w:rsidRPr="00D33652">
        <w:rPr>
          <w:rFonts w:ascii="Arial" w:hAnsi="Arial" w:cs="Arial"/>
        </w:rPr>
        <w:t>During a follow-up mission in 2014 t</w:t>
      </w:r>
      <w:r w:rsidRPr="00D33652">
        <w:rPr>
          <w:rFonts w:ascii="Arial" w:hAnsi="Arial" w:cs="Arial"/>
          <w:szCs w:val="16"/>
        </w:rPr>
        <w:t xml:space="preserve">he International Gender and Ethnic Minority Specialist </w:t>
      </w:r>
      <w:r w:rsidRPr="00D33652">
        <w:rPr>
          <w:rStyle w:val="FootnoteReference"/>
          <w:rFonts w:cs="Arial"/>
          <w:szCs w:val="16"/>
        </w:rPr>
        <w:footnoteReference w:id="94"/>
      </w:r>
      <w:r w:rsidRPr="00D33652">
        <w:rPr>
          <w:rFonts w:ascii="Arial" w:hAnsi="Arial" w:cs="Arial"/>
          <w:szCs w:val="16"/>
        </w:rPr>
        <w:t xml:space="preserve"> worked together with the Program’s M&amp;E team to incorporate tools for the capture and reporting of gender and ethnicity disaggregated data, with specific focus on data required for reporting against the DMF and GEMS. The International Specialist also conducted a review of the implementation status of the GEMS to May 2014.</w:t>
      </w:r>
      <w:r w:rsidRPr="00D33652">
        <w:rPr>
          <w:rStyle w:val="FootnoteReference"/>
          <w:rFonts w:cs="Arial"/>
          <w:szCs w:val="16"/>
        </w:rPr>
        <w:footnoteReference w:id="95"/>
      </w:r>
    </w:p>
    <w:p w:rsidR="00103A07" w:rsidRPr="00D33652" w:rsidRDefault="00103A07" w:rsidP="00103A07">
      <w:pPr>
        <w:jc w:val="both"/>
        <w:rPr>
          <w:rFonts w:ascii="Arial" w:hAnsi="Arial" w:cs="Arial"/>
          <w:szCs w:val="16"/>
        </w:rPr>
      </w:pPr>
    </w:p>
    <w:p w:rsidR="00103A07" w:rsidRPr="00D33652" w:rsidRDefault="00103A07" w:rsidP="00103A07">
      <w:pPr>
        <w:jc w:val="both"/>
        <w:rPr>
          <w:rFonts w:ascii="Arial" w:hAnsi="Arial" w:cs="Arial"/>
          <w:szCs w:val="16"/>
        </w:rPr>
      </w:pPr>
      <w:r w:rsidRPr="00D33652">
        <w:rPr>
          <w:rFonts w:ascii="Arial" w:hAnsi="Arial" w:cs="Arial"/>
        </w:rPr>
        <w:fldChar w:fldCharType="begin"/>
      </w:r>
      <w:r w:rsidRPr="00D33652">
        <w:rPr>
          <w:rFonts w:ascii="Arial" w:hAnsi="Arial" w:cs="Arial"/>
        </w:rPr>
        <w:instrText>AUTONUMLGL</w:instrText>
      </w:r>
      <w:r w:rsidRPr="00D33652">
        <w:rPr>
          <w:rFonts w:ascii="Arial" w:hAnsi="Arial" w:cs="Arial"/>
        </w:rPr>
        <w:fldChar w:fldCharType="end"/>
      </w:r>
      <w:r w:rsidRPr="00D33652">
        <w:rPr>
          <w:rFonts w:ascii="Arial" w:hAnsi="Arial" w:cs="Arial"/>
        </w:rPr>
        <w:tab/>
        <w:t xml:space="preserve">The ICE team reviewed the </w:t>
      </w:r>
      <w:r w:rsidRPr="00D33652">
        <w:rPr>
          <w:rFonts w:ascii="Arial" w:hAnsi="Arial" w:cs="Arial"/>
          <w:szCs w:val="16"/>
        </w:rPr>
        <w:t xml:space="preserve">GEMAP </w:t>
      </w:r>
      <w:r w:rsidR="00606220">
        <w:rPr>
          <w:rFonts w:ascii="Arial" w:hAnsi="Arial" w:cs="Arial"/>
          <w:szCs w:val="16"/>
        </w:rPr>
        <w:t>and</w:t>
      </w:r>
      <w:r w:rsidRPr="00D33652">
        <w:rPr>
          <w:rFonts w:ascii="Arial" w:hAnsi="Arial" w:cs="Arial"/>
          <w:szCs w:val="16"/>
        </w:rPr>
        <w:t xml:space="preserve"> found the action plan was presented as a report rather than an operational tool. The document’s structure was not aligned with the sequencing and structure of the measures contained in the GEMS and was unclear in the presentation of the proposed actions, persons responsible, and implementation steps. It was noted that the 2014 review of the GEMS implementation status by the International Consultant was structured more clearly around the measures specified in the GEMS.</w:t>
      </w:r>
      <w:r w:rsidRPr="00D33652">
        <w:rPr>
          <w:rStyle w:val="FootnoteReference"/>
          <w:rFonts w:cs="Arial"/>
          <w:szCs w:val="16"/>
        </w:rPr>
        <w:footnoteReference w:id="96"/>
      </w:r>
    </w:p>
    <w:p w:rsidR="00103A07" w:rsidRPr="00D33652" w:rsidRDefault="00103A07" w:rsidP="00103A07">
      <w:pPr>
        <w:jc w:val="both"/>
        <w:rPr>
          <w:rFonts w:ascii="Arial" w:hAnsi="Arial" w:cs="Arial"/>
          <w:szCs w:val="16"/>
        </w:rPr>
      </w:pPr>
    </w:p>
    <w:p w:rsidR="00103A07" w:rsidRPr="00EE4E98" w:rsidRDefault="00103A07" w:rsidP="00EE4E98">
      <w:pPr>
        <w:pStyle w:val="Heading3"/>
        <w:spacing w:after="120"/>
        <w:ind w:left="720" w:hanging="436"/>
        <w:rPr>
          <w:bCs w:val="0"/>
          <w:color w:val="000000"/>
          <w:sz w:val="21"/>
          <w:szCs w:val="21"/>
          <w:lang w:eastAsia="en-US"/>
        </w:rPr>
      </w:pPr>
      <w:bookmarkStart w:id="77" w:name="_Toc422301223"/>
      <w:bookmarkStart w:id="78" w:name="_Toc423359341"/>
      <w:r w:rsidRPr="00EE4E98">
        <w:rPr>
          <w:bCs w:val="0"/>
          <w:color w:val="000000"/>
          <w:sz w:val="21"/>
          <w:szCs w:val="21"/>
          <w:lang w:eastAsia="en-US"/>
        </w:rPr>
        <w:t>Progress Against the Gender Indicators</w:t>
      </w:r>
      <w:bookmarkEnd w:id="77"/>
      <w:bookmarkEnd w:id="78"/>
    </w:p>
    <w:p w:rsidR="00103A07" w:rsidRPr="00D33652" w:rsidRDefault="00103A07" w:rsidP="00103A07">
      <w:pPr>
        <w:jc w:val="both"/>
        <w:rPr>
          <w:rFonts w:ascii="Arial" w:hAnsi="Arial" w:cs="Arial"/>
        </w:rPr>
      </w:pPr>
      <w:r w:rsidRPr="00D33652">
        <w:rPr>
          <w:rFonts w:ascii="Arial" w:hAnsi="Arial" w:cs="Arial"/>
        </w:rPr>
        <w:fldChar w:fldCharType="begin"/>
      </w:r>
      <w:r w:rsidRPr="00D33652">
        <w:rPr>
          <w:rFonts w:ascii="Arial" w:hAnsi="Arial" w:cs="Arial"/>
        </w:rPr>
        <w:instrText>AUTONUMLGL</w:instrText>
      </w:r>
      <w:r w:rsidRPr="00D33652">
        <w:rPr>
          <w:rFonts w:ascii="Arial" w:hAnsi="Arial" w:cs="Arial"/>
        </w:rPr>
        <w:fldChar w:fldCharType="end"/>
      </w:r>
      <w:r w:rsidRPr="00D33652">
        <w:rPr>
          <w:rFonts w:ascii="Arial" w:hAnsi="Arial" w:cs="Arial"/>
        </w:rPr>
        <w:tab/>
        <w:t>As noted in previous sections of the ICE report, the collection of endline evaluation data has not yet been scheduled</w:t>
      </w:r>
      <w:r w:rsidR="007E3E90">
        <w:rPr>
          <w:rFonts w:ascii="Arial" w:hAnsi="Arial" w:cs="Arial"/>
        </w:rPr>
        <w:t>,</w:t>
      </w:r>
      <w:r w:rsidRPr="00D33652">
        <w:rPr>
          <w:rFonts w:ascii="Arial" w:hAnsi="Arial" w:cs="Arial"/>
        </w:rPr>
        <w:t xml:space="preserve"> limiting data available to the ICE team. To assess progress against gender indicators the ICE </w:t>
      </w:r>
      <w:r w:rsidR="00AE79BF" w:rsidRPr="00D33652">
        <w:rPr>
          <w:rFonts w:ascii="Arial" w:hAnsi="Arial" w:cs="Arial"/>
        </w:rPr>
        <w:t xml:space="preserve">team </w:t>
      </w:r>
      <w:r w:rsidRPr="00D33652">
        <w:rPr>
          <w:rFonts w:ascii="Arial" w:hAnsi="Arial" w:cs="Arial"/>
        </w:rPr>
        <w:t>dr</w:t>
      </w:r>
      <w:r w:rsidR="00133C32">
        <w:rPr>
          <w:rFonts w:ascii="Arial" w:hAnsi="Arial" w:cs="Arial"/>
        </w:rPr>
        <w:t>ew</w:t>
      </w:r>
      <w:r w:rsidRPr="00D33652">
        <w:rPr>
          <w:rFonts w:ascii="Arial" w:hAnsi="Arial" w:cs="Arial"/>
        </w:rPr>
        <w:t xml:space="preserve"> on the GEMAP Progress Review (May 2014),</w:t>
      </w:r>
      <w:r w:rsidRPr="00D33652">
        <w:rPr>
          <w:rFonts w:ascii="Arial" w:hAnsi="Arial" w:cs="Arial"/>
          <w:b/>
        </w:rPr>
        <w:t xml:space="preserve"> </w:t>
      </w:r>
      <w:r w:rsidRPr="00D33652">
        <w:rPr>
          <w:rFonts w:ascii="Arial" w:hAnsi="Arial" w:cs="Arial"/>
        </w:rPr>
        <w:t xml:space="preserve">which incorporates data from ADB’s </w:t>
      </w:r>
      <w:r w:rsidR="00105BCD">
        <w:rPr>
          <w:rFonts w:ascii="Arial" w:hAnsi="Arial" w:cs="Arial"/>
        </w:rPr>
        <w:t>MTR m</w:t>
      </w:r>
      <w:r w:rsidRPr="00D33652">
        <w:rPr>
          <w:rFonts w:ascii="Arial" w:hAnsi="Arial" w:cs="Arial"/>
        </w:rPr>
        <w:t xml:space="preserve">ission. Additional updates at June 2015 were provided by the National Gender and Social Development Consultant. The implementation status of the GEMS is detailed in Appendix 13, Table 13.1. </w:t>
      </w:r>
    </w:p>
    <w:p w:rsidR="00103A07" w:rsidRPr="00D33652" w:rsidRDefault="00103A07" w:rsidP="00103A07">
      <w:pPr>
        <w:jc w:val="both"/>
        <w:rPr>
          <w:rFonts w:ascii="Arial" w:hAnsi="Arial" w:cs="Arial"/>
        </w:rPr>
      </w:pPr>
    </w:p>
    <w:p w:rsidR="00103A07" w:rsidRPr="00D33652" w:rsidRDefault="00103A07" w:rsidP="00103A07">
      <w:pPr>
        <w:jc w:val="both"/>
        <w:rPr>
          <w:rFonts w:ascii="Arial" w:hAnsi="Arial" w:cs="Arial"/>
        </w:rPr>
      </w:pPr>
      <w:r w:rsidRPr="00D33652">
        <w:rPr>
          <w:rFonts w:ascii="Arial" w:hAnsi="Arial" w:cs="Arial"/>
        </w:rPr>
        <w:fldChar w:fldCharType="begin"/>
      </w:r>
      <w:r w:rsidRPr="00D33652">
        <w:rPr>
          <w:rFonts w:ascii="Arial" w:hAnsi="Arial" w:cs="Arial"/>
        </w:rPr>
        <w:instrText>AUTONUMLGL</w:instrText>
      </w:r>
      <w:r w:rsidRPr="00D33652">
        <w:rPr>
          <w:rFonts w:ascii="Arial" w:hAnsi="Arial" w:cs="Arial"/>
        </w:rPr>
        <w:fldChar w:fldCharType="end"/>
      </w:r>
      <w:r w:rsidRPr="00D33652">
        <w:rPr>
          <w:rFonts w:ascii="Arial" w:hAnsi="Arial" w:cs="Arial"/>
        </w:rPr>
        <w:tab/>
        <w:t xml:space="preserve">The 2014 review found overall progress </w:t>
      </w:r>
      <w:r w:rsidR="00F51D64">
        <w:rPr>
          <w:rFonts w:ascii="Arial" w:hAnsi="Arial" w:cs="Arial"/>
        </w:rPr>
        <w:t xml:space="preserve">on GEMAP implementation </w:t>
      </w:r>
      <w:r w:rsidRPr="00D33652">
        <w:rPr>
          <w:rFonts w:ascii="Arial" w:hAnsi="Arial" w:cs="Arial"/>
        </w:rPr>
        <w:t>had been slow, with a number of key measures under preparation or not yet commenced. Slow progress was attributable to: (i) Overall delays in project activity implementation; (ii) Low awareness of the required action</w:t>
      </w:r>
      <w:r w:rsidR="00F454A9" w:rsidRPr="00D33652">
        <w:rPr>
          <w:rFonts w:ascii="Arial" w:hAnsi="Arial" w:cs="Arial"/>
        </w:rPr>
        <w:t>s</w:t>
      </w:r>
      <w:r w:rsidRPr="00D33652">
        <w:rPr>
          <w:rFonts w:ascii="Arial" w:hAnsi="Arial" w:cs="Arial"/>
        </w:rPr>
        <w:t xml:space="preserve"> under the GEMAP </w:t>
      </w:r>
      <w:r w:rsidR="00F454A9" w:rsidRPr="00D33652">
        <w:rPr>
          <w:rFonts w:ascii="Arial" w:hAnsi="Arial" w:cs="Arial"/>
        </w:rPr>
        <w:t xml:space="preserve">amongst </w:t>
      </w:r>
      <w:r w:rsidRPr="00D33652">
        <w:rPr>
          <w:rFonts w:ascii="Arial" w:hAnsi="Arial" w:cs="Arial"/>
        </w:rPr>
        <w:t>staff and consultants; (iii) Limited inputs from the National Gender and Social Development Consultant to guide GEMAP implementation; (iv) The format of the GEMAP as a report rather than an operational tool.</w:t>
      </w:r>
    </w:p>
    <w:p w:rsidR="00103A07" w:rsidRPr="00D33652" w:rsidRDefault="00103A07" w:rsidP="00103A07">
      <w:pPr>
        <w:jc w:val="both"/>
        <w:rPr>
          <w:rFonts w:ascii="Arial" w:hAnsi="Arial" w:cs="Arial"/>
        </w:rPr>
      </w:pPr>
    </w:p>
    <w:p w:rsidR="00103A07" w:rsidRPr="00D33652" w:rsidRDefault="00103A07" w:rsidP="00103A07">
      <w:pPr>
        <w:jc w:val="both"/>
        <w:rPr>
          <w:rFonts w:ascii="Arial" w:hAnsi="Arial" w:cs="Arial"/>
        </w:rPr>
      </w:pPr>
      <w:r w:rsidRPr="00D33652">
        <w:rPr>
          <w:rFonts w:ascii="Arial" w:hAnsi="Arial" w:cs="Arial"/>
        </w:rPr>
        <w:fldChar w:fldCharType="begin"/>
      </w:r>
      <w:r w:rsidRPr="00D33652">
        <w:rPr>
          <w:rFonts w:ascii="Arial" w:hAnsi="Arial" w:cs="Arial"/>
        </w:rPr>
        <w:instrText>AUTONUMLGL</w:instrText>
      </w:r>
      <w:r w:rsidRPr="00D33652">
        <w:rPr>
          <w:rFonts w:ascii="Arial" w:hAnsi="Arial" w:cs="Arial"/>
        </w:rPr>
        <w:fldChar w:fldCharType="end"/>
      </w:r>
      <w:r w:rsidRPr="00D33652">
        <w:rPr>
          <w:rFonts w:ascii="Arial" w:hAnsi="Arial" w:cs="Arial"/>
        </w:rPr>
        <w:tab/>
        <w:t xml:space="preserve">The review at the time of the ICE found implementation progress against the GEMAP had improved with the Program achieving </w:t>
      </w:r>
      <w:r w:rsidR="00133C32">
        <w:rPr>
          <w:rFonts w:ascii="Arial" w:hAnsi="Arial" w:cs="Arial"/>
        </w:rPr>
        <w:t>several</w:t>
      </w:r>
      <w:r w:rsidRPr="00D33652">
        <w:rPr>
          <w:rFonts w:ascii="Arial" w:hAnsi="Arial" w:cs="Arial"/>
        </w:rPr>
        <w:t xml:space="preserve"> of the gender targets in the DMF. All targets for participation of women in the </w:t>
      </w:r>
      <w:r w:rsidR="00F51D64">
        <w:rPr>
          <w:rFonts w:ascii="Arial" w:hAnsi="Arial" w:cs="Arial"/>
        </w:rPr>
        <w:t>P</w:t>
      </w:r>
      <w:r w:rsidRPr="00D33652">
        <w:rPr>
          <w:rFonts w:ascii="Arial" w:hAnsi="Arial" w:cs="Arial"/>
        </w:rPr>
        <w:t>roject</w:t>
      </w:r>
      <w:r w:rsidR="00F51D64">
        <w:rPr>
          <w:rFonts w:ascii="Arial" w:hAnsi="Arial" w:cs="Arial"/>
        </w:rPr>
        <w:t>’</w:t>
      </w:r>
      <w:r w:rsidRPr="00D33652">
        <w:rPr>
          <w:rFonts w:ascii="Arial" w:hAnsi="Arial" w:cs="Arial"/>
        </w:rPr>
        <w:t>s training activities were achieved</w:t>
      </w:r>
      <w:r w:rsidR="00133C32">
        <w:rPr>
          <w:rFonts w:ascii="Arial" w:hAnsi="Arial" w:cs="Arial"/>
        </w:rPr>
        <w:t xml:space="preserve">. </w:t>
      </w:r>
      <w:r w:rsidRPr="00D33652">
        <w:rPr>
          <w:rFonts w:ascii="Arial" w:hAnsi="Arial" w:cs="Arial"/>
        </w:rPr>
        <w:t>Five of the 26 CPs developed were for medical conditions that primarily affect women. Targets for scholarships in pre-service and in-service training were not achieved, with females representing 30-34% of the recipients across the different scholarship categories against a target of 50%. Data to assess progress against the percentage increase of women at senior levels in MOH was not yet available.</w:t>
      </w:r>
    </w:p>
    <w:p w:rsidR="00103A07" w:rsidRPr="00D33652" w:rsidRDefault="00103A07" w:rsidP="00103A07">
      <w:pPr>
        <w:jc w:val="both"/>
        <w:rPr>
          <w:rFonts w:ascii="Arial" w:hAnsi="Arial" w:cs="Arial"/>
        </w:rPr>
      </w:pPr>
    </w:p>
    <w:p w:rsidR="00103A07" w:rsidRPr="00EE4E98" w:rsidRDefault="00103A07" w:rsidP="00EE4E98">
      <w:pPr>
        <w:pStyle w:val="Heading3"/>
        <w:spacing w:after="120"/>
        <w:ind w:left="720" w:hanging="436"/>
        <w:rPr>
          <w:bCs w:val="0"/>
          <w:color w:val="000000"/>
          <w:sz w:val="21"/>
          <w:szCs w:val="21"/>
          <w:lang w:eastAsia="en-US"/>
        </w:rPr>
      </w:pPr>
      <w:bookmarkStart w:id="79" w:name="_Toc422301224"/>
      <w:bookmarkStart w:id="80" w:name="_Toc423359342"/>
      <w:r w:rsidRPr="00EE4E98">
        <w:rPr>
          <w:bCs w:val="0"/>
          <w:color w:val="000000"/>
          <w:sz w:val="21"/>
          <w:szCs w:val="21"/>
          <w:lang w:eastAsia="en-US"/>
        </w:rPr>
        <w:t>Overall Assessment</w:t>
      </w:r>
      <w:bookmarkEnd w:id="79"/>
      <w:bookmarkEnd w:id="80"/>
    </w:p>
    <w:p w:rsidR="007D76C4" w:rsidRPr="00D33652" w:rsidRDefault="00103A07" w:rsidP="00103A07">
      <w:pPr>
        <w:keepLines/>
        <w:jc w:val="both"/>
        <w:rPr>
          <w:rFonts w:ascii="Arial" w:hAnsi="Arial" w:cs="Arial"/>
          <w:sz w:val="18"/>
          <w:szCs w:val="18"/>
        </w:rPr>
      </w:pPr>
      <w:r w:rsidRPr="00D33652">
        <w:rPr>
          <w:rFonts w:ascii="Arial" w:hAnsi="Arial" w:cs="Arial"/>
        </w:rPr>
        <w:t>The ICE team scored the HHRSDP’s overall rating for gender equality as 4. Ratings for individual gender equality sub-criteria are listed in Appendix 1, Table 1.1.</w:t>
      </w:r>
    </w:p>
    <w:p w:rsidR="0083545E" w:rsidRPr="00D33652" w:rsidRDefault="0083545E">
      <w:pPr>
        <w:rPr>
          <w:rFonts w:ascii="Arial" w:hAnsi="Arial" w:cs="Arial"/>
          <w:b/>
          <w:color w:val="000000"/>
          <w:sz w:val="22"/>
          <w:lang w:eastAsia="en-US"/>
        </w:rPr>
      </w:pPr>
      <w:bookmarkStart w:id="81" w:name="_Toc207171374"/>
      <w:bookmarkStart w:id="82" w:name="_Toc207171377"/>
      <w:r w:rsidRPr="00D33652">
        <w:rPr>
          <w:rFonts w:ascii="Arial" w:hAnsi="Arial" w:cs="Arial"/>
          <w:bCs/>
          <w:i/>
          <w:iCs/>
          <w:color w:val="000000"/>
          <w:sz w:val="22"/>
          <w:lang w:eastAsia="en-US"/>
        </w:rPr>
        <w:br w:type="page"/>
      </w:r>
    </w:p>
    <w:p w:rsidR="00275B1C" w:rsidRPr="00D33652" w:rsidRDefault="00E90F04" w:rsidP="00DC752C">
      <w:pPr>
        <w:pStyle w:val="Heading2"/>
        <w:spacing w:after="120"/>
        <w:rPr>
          <w:bCs w:val="0"/>
          <w:i w:val="0"/>
          <w:iCs w:val="0"/>
          <w:color w:val="000000"/>
          <w:sz w:val="22"/>
          <w:szCs w:val="20"/>
          <w:lang w:eastAsia="en-US"/>
        </w:rPr>
      </w:pPr>
      <w:bookmarkStart w:id="83" w:name="_Toc422301225"/>
      <w:bookmarkStart w:id="84" w:name="_Toc423359343"/>
      <w:r w:rsidRPr="00D33652">
        <w:rPr>
          <w:bCs w:val="0"/>
          <w:i w:val="0"/>
          <w:iCs w:val="0"/>
          <w:color w:val="000000"/>
          <w:sz w:val="22"/>
          <w:szCs w:val="20"/>
          <w:lang w:eastAsia="en-US"/>
        </w:rPr>
        <w:t>M</w:t>
      </w:r>
      <w:r w:rsidR="006225AC">
        <w:rPr>
          <w:bCs w:val="0"/>
          <w:i w:val="0"/>
          <w:iCs w:val="0"/>
          <w:color w:val="000000"/>
          <w:sz w:val="22"/>
          <w:szCs w:val="20"/>
          <w:lang w:eastAsia="en-US"/>
        </w:rPr>
        <w:t>onitoring and E</w:t>
      </w:r>
      <w:r w:rsidR="00E14483">
        <w:rPr>
          <w:bCs w:val="0"/>
          <w:i w:val="0"/>
          <w:iCs w:val="0"/>
          <w:color w:val="000000"/>
          <w:sz w:val="22"/>
          <w:szCs w:val="20"/>
          <w:lang w:eastAsia="en-US"/>
        </w:rPr>
        <w:t>valuation</w:t>
      </w:r>
      <w:bookmarkEnd w:id="83"/>
      <w:bookmarkEnd w:id="84"/>
    </w:p>
    <w:p w:rsidR="00831399" w:rsidRPr="00EE4E98" w:rsidRDefault="00831399" w:rsidP="00EE4E98">
      <w:pPr>
        <w:pStyle w:val="Heading3"/>
        <w:spacing w:after="120"/>
        <w:ind w:left="720" w:hanging="436"/>
        <w:rPr>
          <w:b w:val="0"/>
          <w:sz w:val="21"/>
          <w:szCs w:val="21"/>
        </w:rPr>
      </w:pPr>
      <w:bookmarkStart w:id="85" w:name="_Toc423359344"/>
      <w:r w:rsidRPr="00EE4E98">
        <w:rPr>
          <w:sz w:val="21"/>
          <w:szCs w:val="21"/>
        </w:rPr>
        <w:t>M&amp;E Considerations at Design</w:t>
      </w:r>
      <w:bookmarkEnd w:id="85"/>
    </w:p>
    <w:p w:rsidR="00831399" w:rsidRPr="00D33652" w:rsidRDefault="00831399" w:rsidP="00831399">
      <w:pPr>
        <w:rPr>
          <w:rFonts w:ascii="Arial" w:hAnsi="Arial" w:cs="Arial"/>
        </w:rPr>
      </w:pPr>
    </w:p>
    <w:p w:rsidR="00831399" w:rsidRPr="00D33652" w:rsidRDefault="00831399" w:rsidP="00831399">
      <w:pPr>
        <w:jc w:val="both"/>
        <w:rPr>
          <w:rFonts w:ascii="Arial" w:hAnsi="Arial" w:cs="Arial"/>
          <w:b/>
        </w:rPr>
      </w:pPr>
      <w:r w:rsidRPr="00D33652">
        <w:rPr>
          <w:rFonts w:ascii="Arial" w:hAnsi="Arial" w:cs="Arial"/>
        </w:rPr>
        <w:fldChar w:fldCharType="begin"/>
      </w:r>
      <w:r w:rsidRPr="00D33652">
        <w:rPr>
          <w:rFonts w:ascii="Arial" w:hAnsi="Arial" w:cs="Arial"/>
        </w:rPr>
        <w:instrText xml:space="preserve"> AUTONUM </w:instrText>
      </w:r>
      <w:r w:rsidRPr="00D33652">
        <w:rPr>
          <w:rFonts w:ascii="Arial" w:hAnsi="Arial" w:cs="Arial"/>
        </w:rPr>
        <w:fldChar w:fldCharType="end"/>
      </w:r>
      <w:r w:rsidRPr="00D33652">
        <w:rPr>
          <w:rFonts w:ascii="Arial" w:hAnsi="Arial" w:cs="Arial"/>
        </w:rPr>
        <w:tab/>
        <w:t xml:space="preserve"> A draft </w:t>
      </w:r>
      <w:r w:rsidR="00444B2B">
        <w:rPr>
          <w:rFonts w:ascii="Arial" w:hAnsi="Arial" w:cs="Arial"/>
        </w:rPr>
        <w:t>DMF</w:t>
      </w:r>
      <w:r w:rsidRPr="00D33652">
        <w:rPr>
          <w:rFonts w:ascii="Arial" w:hAnsi="Arial" w:cs="Arial"/>
        </w:rPr>
        <w:t xml:space="preserve"> was prepared during the PPTA</w:t>
      </w:r>
      <w:r w:rsidR="00444B2B">
        <w:rPr>
          <w:rFonts w:ascii="Arial" w:hAnsi="Arial" w:cs="Arial"/>
        </w:rPr>
        <w:t xml:space="preserve"> with a final</w:t>
      </w:r>
      <w:r w:rsidR="006669BE">
        <w:rPr>
          <w:rFonts w:ascii="Arial" w:hAnsi="Arial" w:cs="Arial"/>
        </w:rPr>
        <w:t xml:space="preserve"> revis</w:t>
      </w:r>
      <w:r w:rsidR="00444B2B">
        <w:rPr>
          <w:rFonts w:ascii="Arial" w:hAnsi="Arial" w:cs="Arial"/>
        </w:rPr>
        <w:t>ed</w:t>
      </w:r>
      <w:r w:rsidR="006669BE">
        <w:rPr>
          <w:rFonts w:ascii="Arial" w:hAnsi="Arial" w:cs="Arial"/>
        </w:rPr>
        <w:t xml:space="preserve"> version</w:t>
      </w:r>
      <w:r w:rsidRPr="00D33652">
        <w:rPr>
          <w:rFonts w:ascii="Arial" w:hAnsi="Arial" w:cs="Arial"/>
        </w:rPr>
        <w:t xml:space="preserve"> contained in the RRP. The DMF followed the format prescribed by ADB, including performance targets/indicators for both program and project level outputs. A number of indicators at outcome and output level incorporated gender targets.  </w:t>
      </w:r>
    </w:p>
    <w:p w:rsidR="00831399" w:rsidRPr="00D33652" w:rsidRDefault="00831399" w:rsidP="00831399">
      <w:pPr>
        <w:jc w:val="both"/>
        <w:rPr>
          <w:rFonts w:ascii="Arial" w:hAnsi="Arial" w:cs="Arial"/>
        </w:rPr>
      </w:pPr>
    </w:p>
    <w:p w:rsidR="00831399" w:rsidRPr="00D33652" w:rsidRDefault="00831399" w:rsidP="00831399">
      <w:pPr>
        <w:jc w:val="both"/>
        <w:rPr>
          <w:rFonts w:ascii="Arial" w:hAnsi="Arial" w:cs="Arial"/>
        </w:rPr>
      </w:pPr>
      <w:r w:rsidRPr="00D33652">
        <w:rPr>
          <w:rFonts w:ascii="Arial" w:hAnsi="Arial" w:cs="Arial"/>
        </w:rPr>
        <w:fldChar w:fldCharType="begin"/>
      </w:r>
      <w:r w:rsidRPr="00D33652">
        <w:rPr>
          <w:rFonts w:ascii="Arial" w:hAnsi="Arial" w:cs="Arial"/>
        </w:rPr>
        <w:instrText xml:space="preserve"> AUTONUM </w:instrText>
      </w:r>
      <w:r w:rsidRPr="00D33652">
        <w:rPr>
          <w:rFonts w:ascii="Arial" w:hAnsi="Arial" w:cs="Arial"/>
        </w:rPr>
        <w:fldChar w:fldCharType="end"/>
      </w:r>
      <w:r w:rsidRPr="00D33652">
        <w:rPr>
          <w:rFonts w:ascii="Arial" w:hAnsi="Arial" w:cs="Arial"/>
        </w:rPr>
        <w:tab/>
        <w:t xml:space="preserve"> The</w:t>
      </w:r>
      <w:r w:rsidR="00155859" w:rsidRPr="00D33652">
        <w:rPr>
          <w:rFonts w:ascii="Arial" w:hAnsi="Arial" w:cs="Arial"/>
        </w:rPr>
        <w:t xml:space="preserve"> PAM</w:t>
      </w:r>
      <w:r w:rsidRPr="00D33652">
        <w:rPr>
          <w:rFonts w:ascii="Arial" w:hAnsi="Arial" w:cs="Arial"/>
        </w:rPr>
        <w:t xml:space="preserve"> specified the </w:t>
      </w:r>
      <w:r w:rsidR="006669BE">
        <w:rPr>
          <w:rFonts w:ascii="Arial" w:hAnsi="Arial" w:cs="Arial"/>
        </w:rPr>
        <w:t xml:space="preserve">following </w:t>
      </w:r>
      <w:r w:rsidRPr="00D33652">
        <w:rPr>
          <w:rFonts w:ascii="Arial" w:hAnsi="Arial" w:cs="Arial"/>
        </w:rPr>
        <w:t>requirements for</w:t>
      </w:r>
      <w:r w:rsidR="006669BE">
        <w:rPr>
          <w:rFonts w:ascii="Arial" w:hAnsi="Arial" w:cs="Arial"/>
        </w:rPr>
        <w:t xml:space="preserve"> M&amp;E</w:t>
      </w:r>
      <w:r w:rsidRPr="00D33652">
        <w:rPr>
          <w:rFonts w:ascii="Arial" w:hAnsi="Arial" w:cs="Arial"/>
        </w:rPr>
        <w:t xml:space="preserve">: (i) A program and project performance monitoring and evaluation system </w:t>
      </w:r>
      <w:r w:rsidR="006669BE">
        <w:rPr>
          <w:rFonts w:ascii="Arial" w:hAnsi="Arial" w:cs="Arial"/>
        </w:rPr>
        <w:t xml:space="preserve">(PPMES) </w:t>
      </w:r>
      <w:r w:rsidRPr="00D33652">
        <w:rPr>
          <w:rFonts w:ascii="Arial" w:hAnsi="Arial" w:cs="Arial"/>
        </w:rPr>
        <w:t>be established within 12 months of loan effectiveness; (ii) A baseline indicator study be conducted within the first six months of implementation; (iii)</w:t>
      </w:r>
      <w:r w:rsidRPr="00D33652">
        <w:rPr>
          <w:rFonts w:ascii="Arial" w:hAnsi="Arial" w:cs="Arial"/>
          <w:szCs w:val="22"/>
          <w:shd w:val="clear" w:color="auto" w:fill="FFFFFF"/>
        </w:rPr>
        <w:t xml:space="preserve"> Quarterly progress reports in a format</w:t>
      </w:r>
      <w:r w:rsidRPr="00D33652">
        <w:rPr>
          <w:rFonts w:ascii="Arial" w:hAnsi="Arial" w:cs="Arial"/>
          <w:b/>
          <w:szCs w:val="22"/>
          <w:shd w:val="clear" w:color="auto" w:fill="FFFFFF"/>
        </w:rPr>
        <w:t xml:space="preserve"> </w:t>
      </w:r>
      <w:r w:rsidRPr="00D33652">
        <w:rPr>
          <w:rFonts w:ascii="Arial" w:hAnsi="Arial" w:cs="Arial"/>
          <w:szCs w:val="22"/>
          <w:shd w:val="clear" w:color="auto" w:fill="FFFFFF"/>
        </w:rPr>
        <w:t xml:space="preserve">consistent with ADB's project performance reporting system; (iv) Consolidated annual reports. </w:t>
      </w:r>
      <w:r w:rsidRPr="00D33652">
        <w:rPr>
          <w:rFonts w:ascii="Arial" w:hAnsi="Arial" w:cs="Arial"/>
        </w:rPr>
        <w:t>Resources for M&amp;E allocated at design were limited to a lump sum allocation for national evaluation specialists to conduct mid and end-term reviews.</w:t>
      </w:r>
    </w:p>
    <w:p w:rsidR="00831399" w:rsidRPr="00D33652" w:rsidRDefault="00831399" w:rsidP="00831399">
      <w:pPr>
        <w:jc w:val="both"/>
        <w:rPr>
          <w:rFonts w:ascii="Arial" w:hAnsi="Arial" w:cs="Arial"/>
        </w:rPr>
      </w:pPr>
    </w:p>
    <w:p w:rsidR="00831399" w:rsidRPr="00EE4E98" w:rsidRDefault="00831399" w:rsidP="00EE4E98">
      <w:pPr>
        <w:pStyle w:val="Heading3"/>
        <w:spacing w:after="120"/>
        <w:ind w:left="720" w:hanging="436"/>
        <w:rPr>
          <w:b w:val="0"/>
          <w:sz w:val="21"/>
          <w:szCs w:val="21"/>
        </w:rPr>
      </w:pPr>
      <w:bookmarkStart w:id="86" w:name="_Toc423359345"/>
      <w:r w:rsidRPr="00EE4E98">
        <w:rPr>
          <w:sz w:val="21"/>
          <w:szCs w:val="21"/>
        </w:rPr>
        <w:t>M&amp;E at Implementation</w:t>
      </w:r>
      <w:bookmarkEnd w:id="86"/>
    </w:p>
    <w:p w:rsidR="00831399" w:rsidRPr="00D33652" w:rsidRDefault="00831399" w:rsidP="00831399">
      <w:pPr>
        <w:jc w:val="both"/>
        <w:rPr>
          <w:rFonts w:ascii="Arial" w:hAnsi="Arial" w:cs="Arial"/>
        </w:rPr>
      </w:pPr>
    </w:p>
    <w:p w:rsidR="00831399" w:rsidRPr="00D33652" w:rsidRDefault="00831399" w:rsidP="00831399">
      <w:pPr>
        <w:widowControl w:val="0"/>
        <w:jc w:val="both"/>
        <w:rPr>
          <w:rFonts w:ascii="Arial" w:hAnsi="Arial" w:cs="Arial"/>
          <w:szCs w:val="22"/>
        </w:rPr>
      </w:pPr>
      <w:r w:rsidRPr="00D33652">
        <w:rPr>
          <w:rFonts w:ascii="Arial" w:hAnsi="Arial" w:cs="Arial"/>
        </w:rPr>
        <w:fldChar w:fldCharType="begin"/>
      </w:r>
      <w:r w:rsidRPr="00D33652">
        <w:rPr>
          <w:rFonts w:ascii="Arial" w:hAnsi="Arial" w:cs="Arial"/>
        </w:rPr>
        <w:instrText xml:space="preserve"> AUTONUM </w:instrText>
      </w:r>
      <w:r w:rsidRPr="00D33652">
        <w:rPr>
          <w:rFonts w:ascii="Arial" w:hAnsi="Arial" w:cs="Arial"/>
        </w:rPr>
        <w:fldChar w:fldCharType="end"/>
      </w:r>
      <w:r w:rsidRPr="00D33652">
        <w:rPr>
          <w:rFonts w:ascii="Arial" w:hAnsi="Arial" w:cs="Arial"/>
        </w:rPr>
        <w:tab/>
        <w:t xml:space="preserve"> </w:t>
      </w:r>
      <w:r w:rsidRPr="00D33652">
        <w:rPr>
          <w:rFonts w:ascii="Arial" w:hAnsi="Arial" w:cs="Arial"/>
          <w:b/>
        </w:rPr>
        <w:t xml:space="preserve">Revisions to the DMF. </w:t>
      </w:r>
      <w:r w:rsidRPr="00D33652">
        <w:rPr>
          <w:rFonts w:ascii="Arial" w:hAnsi="Arial" w:cs="Arial"/>
          <w:szCs w:val="22"/>
        </w:rPr>
        <w:t>The DMF was revised during implementation.</w:t>
      </w:r>
      <w:r w:rsidRPr="00FD6EB5">
        <w:rPr>
          <w:rStyle w:val="FootnoteReference"/>
          <w:rFonts w:eastAsia="MS Mincho" w:cs="Arial"/>
          <w:szCs w:val="22"/>
        </w:rPr>
        <w:footnoteReference w:id="97"/>
      </w:r>
      <w:r w:rsidRPr="00D33652">
        <w:rPr>
          <w:rFonts w:ascii="Arial" w:hAnsi="Arial" w:cs="Arial"/>
          <w:szCs w:val="22"/>
        </w:rPr>
        <w:t xml:space="preserve"> Revisions comprised: (i) Modification of the impact indicators to limit the measurement of IMR and maternal mortality rate (MMR) to the 20 poorest provinces (previously the 35 poorest provinces); (ii) Modification of the outcome indicator relating to the number of health professionals from central and provincial level institutions undertaking placements in rural and underserved areas (reduced from 500 per year to 240); (iii) Revision of dates for the delivery of key policy actions in line with the revised schedule for Tranche 2 deliverables agreed with ADB; (iv) Modification of the output indicator concerning the number of scholarships for pre-service and in-service for EM students (reduced from 80 to 50); (v) Revision of output indicators for component 3 to reflect an increased scope from 6 pilot hospitals to 20; (vi) A shift in focus of the output indicators </w:t>
      </w:r>
      <w:r w:rsidR="006669BE">
        <w:rPr>
          <w:rFonts w:ascii="Arial" w:hAnsi="Arial" w:cs="Arial"/>
          <w:szCs w:val="22"/>
        </w:rPr>
        <w:t xml:space="preserve">for component 3 </w:t>
      </w:r>
      <w:r w:rsidRPr="00D33652">
        <w:rPr>
          <w:rFonts w:ascii="Arial" w:hAnsi="Arial" w:cs="Arial"/>
          <w:szCs w:val="22"/>
        </w:rPr>
        <w:t>from a piloting and learning exercise to achieving actual reform of payment mechanisms in the 20 target hospitals</w:t>
      </w:r>
      <w:r w:rsidR="006669BE">
        <w:rPr>
          <w:rFonts w:ascii="Arial" w:hAnsi="Arial" w:cs="Arial"/>
          <w:szCs w:val="22"/>
        </w:rPr>
        <w:t>.</w:t>
      </w:r>
    </w:p>
    <w:p w:rsidR="00831399" w:rsidRPr="00D33652" w:rsidRDefault="00831399" w:rsidP="00831399">
      <w:pPr>
        <w:widowControl w:val="0"/>
        <w:jc w:val="both"/>
        <w:rPr>
          <w:rFonts w:ascii="Arial" w:hAnsi="Arial" w:cs="Arial"/>
          <w:b/>
        </w:rPr>
      </w:pPr>
    </w:p>
    <w:p w:rsidR="00831399" w:rsidRPr="00D33652" w:rsidRDefault="00831399" w:rsidP="00831399">
      <w:pPr>
        <w:jc w:val="both"/>
        <w:rPr>
          <w:rFonts w:ascii="Arial" w:hAnsi="Arial" w:cs="Arial"/>
        </w:rPr>
      </w:pPr>
      <w:r w:rsidRPr="00D33652">
        <w:rPr>
          <w:rFonts w:ascii="Arial" w:hAnsi="Arial" w:cs="Arial"/>
        </w:rPr>
        <w:fldChar w:fldCharType="begin"/>
      </w:r>
      <w:r w:rsidRPr="00D33652">
        <w:rPr>
          <w:rFonts w:ascii="Arial" w:hAnsi="Arial" w:cs="Arial"/>
        </w:rPr>
        <w:instrText xml:space="preserve"> AUTONUM </w:instrText>
      </w:r>
      <w:r w:rsidRPr="00D33652">
        <w:rPr>
          <w:rFonts w:ascii="Arial" w:hAnsi="Arial" w:cs="Arial"/>
        </w:rPr>
        <w:fldChar w:fldCharType="end"/>
      </w:r>
      <w:r w:rsidRPr="00D33652">
        <w:rPr>
          <w:rFonts w:ascii="Arial" w:hAnsi="Arial" w:cs="Arial"/>
        </w:rPr>
        <w:tab/>
        <w:t xml:space="preserve"> </w:t>
      </w:r>
      <w:r w:rsidR="002F2C3F">
        <w:rPr>
          <w:rFonts w:ascii="Arial" w:hAnsi="Arial" w:cs="Arial"/>
          <w:b/>
        </w:rPr>
        <w:t>Program/project monitoring and evaluation s</w:t>
      </w:r>
      <w:r w:rsidRPr="00D33652">
        <w:rPr>
          <w:rFonts w:ascii="Arial" w:hAnsi="Arial" w:cs="Arial"/>
          <w:b/>
        </w:rPr>
        <w:t xml:space="preserve">ystem. </w:t>
      </w:r>
      <w:r w:rsidRPr="00D33652">
        <w:rPr>
          <w:rFonts w:ascii="Arial" w:hAnsi="Arial" w:cs="Arial"/>
        </w:rPr>
        <w:t xml:space="preserve">The PPMES was established in 2014 following </w:t>
      </w:r>
      <w:r w:rsidR="006669BE">
        <w:rPr>
          <w:rFonts w:ascii="Arial" w:hAnsi="Arial" w:cs="Arial"/>
        </w:rPr>
        <w:t>commencement</w:t>
      </w:r>
      <w:r w:rsidR="006669BE" w:rsidRPr="00D33652">
        <w:rPr>
          <w:rFonts w:ascii="Arial" w:hAnsi="Arial" w:cs="Arial"/>
        </w:rPr>
        <w:t xml:space="preserve"> </w:t>
      </w:r>
      <w:r w:rsidRPr="00D33652">
        <w:rPr>
          <w:rFonts w:ascii="Arial" w:hAnsi="Arial" w:cs="Arial"/>
        </w:rPr>
        <w:t xml:space="preserve">of the International and National M&amp;E </w:t>
      </w:r>
      <w:r w:rsidR="006669BE">
        <w:rPr>
          <w:rFonts w:ascii="Arial" w:hAnsi="Arial" w:cs="Arial"/>
        </w:rPr>
        <w:t>C</w:t>
      </w:r>
      <w:r w:rsidRPr="00D33652">
        <w:rPr>
          <w:rFonts w:ascii="Arial" w:hAnsi="Arial" w:cs="Arial"/>
        </w:rPr>
        <w:t>onsultants. Prior to this collation of monitoring data had occurred on an ad-hoc basis.</w:t>
      </w:r>
      <w:r w:rsidRPr="00FD6EB5">
        <w:rPr>
          <w:rStyle w:val="FootnoteReference"/>
          <w:rFonts w:eastAsia="MS Mincho" w:cs="Arial"/>
        </w:rPr>
        <w:footnoteReference w:id="98"/>
      </w:r>
      <w:r w:rsidRPr="00D33652">
        <w:rPr>
          <w:rFonts w:ascii="Arial" w:hAnsi="Arial" w:cs="Arial"/>
        </w:rPr>
        <w:t xml:space="preserve"> Baseline data was not collected during the first six months of implementation but compiled retrospectively by the M&amp;E </w:t>
      </w:r>
      <w:r w:rsidR="006669BE">
        <w:rPr>
          <w:rFonts w:ascii="Arial" w:hAnsi="Arial" w:cs="Arial"/>
        </w:rPr>
        <w:t>C</w:t>
      </w:r>
      <w:r w:rsidRPr="00D33652">
        <w:rPr>
          <w:rFonts w:ascii="Arial" w:hAnsi="Arial" w:cs="Arial"/>
        </w:rPr>
        <w:t>onsultants. Baseline measures for several key indicators had not been established at the time of the ICE.</w:t>
      </w:r>
      <w:r w:rsidRPr="00FD6EB5">
        <w:rPr>
          <w:rStyle w:val="FootnoteReference"/>
          <w:rFonts w:eastAsia="MS Mincho" w:cs="Arial"/>
        </w:rPr>
        <w:footnoteReference w:id="99"/>
      </w:r>
      <w:r w:rsidRPr="00D33652">
        <w:rPr>
          <w:rFonts w:ascii="Arial" w:hAnsi="Arial" w:cs="Arial"/>
        </w:rPr>
        <w:t xml:space="preserve"> The MTR Mission noted that project monitoring and reporting had not been satisfactory in the first half of the project. Regular monitoring and reporting only commenced immediately prior to the MTR with the submission by PMU of the first quarterly report and </w:t>
      </w:r>
      <w:r w:rsidR="006669BE">
        <w:rPr>
          <w:rFonts w:ascii="Arial" w:hAnsi="Arial" w:cs="Arial"/>
        </w:rPr>
        <w:t xml:space="preserve">the </w:t>
      </w:r>
      <w:r w:rsidRPr="00D33652">
        <w:rPr>
          <w:rFonts w:ascii="Arial" w:hAnsi="Arial" w:cs="Arial"/>
        </w:rPr>
        <w:t>MTR report. Both reports were assessed by ADB as incomplete.</w:t>
      </w:r>
      <w:r w:rsidRPr="00FD6EB5">
        <w:rPr>
          <w:rStyle w:val="FootnoteReference"/>
          <w:rFonts w:eastAsia="MS Mincho" w:cs="Arial"/>
        </w:rPr>
        <w:footnoteReference w:id="100"/>
      </w:r>
      <w:r w:rsidRPr="00D33652">
        <w:rPr>
          <w:rFonts w:ascii="Arial" w:hAnsi="Arial" w:cs="Arial"/>
        </w:rPr>
        <w:t xml:space="preserve"> </w:t>
      </w:r>
    </w:p>
    <w:p w:rsidR="00831399" w:rsidRPr="00D33652" w:rsidRDefault="00831399" w:rsidP="00831399">
      <w:pPr>
        <w:jc w:val="both"/>
        <w:rPr>
          <w:rFonts w:ascii="Arial" w:hAnsi="Arial" w:cs="Arial"/>
        </w:rPr>
      </w:pPr>
    </w:p>
    <w:p w:rsidR="00831399" w:rsidRPr="00D33652" w:rsidRDefault="00831399" w:rsidP="00831399">
      <w:pPr>
        <w:jc w:val="both"/>
        <w:rPr>
          <w:rFonts w:ascii="Arial" w:hAnsi="Arial" w:cs="Arial"/>
        </w:rPr>
      </w:pPr>
      <w:r w:rsidRPr="00D33652">
        <w:rPr>
          <w:rFonts w:ascii="Arial" w:hAnsi="Arial" w:cs="Arial"/>
        </w:rPr>
        <w:fldChar w:fldCharType="begin"/>
      </w:r>
      <w:r w:rsidRPr="00D33652">
        <w:rPr>
          <w:rFonts w:ascii="Arial" w:hAnsi="Arial" w:cs="Arial"/>
        </w:rPr>
        <w:instrText xml:space="preserve"> AUTONUM </w:instrText>
      </w:r>
      <w:r w:rsidRPr="00D33652">
        <w:rPr>
          <w:rFonts w:ascii="Arial" w:hAnsi="Arial" w:cs="Arial"/>
        </w:rPr>
        <w:fldChar w:fldCharType="end"/>
      </w:r>
      <w:r w:rsidRPr="00D33652">
        <w:rPr>
          <w:rFonts w:ascii="Arial" w:hAnsi="Arial" w:cs="Arial"/>
        </w:rPr>
        <w:tab/>
        <w:t xml:space="preserve"> </w:t>
      </w:r>
      <w:r w:rsidR="006669BE">
        <w:rPr>
          <w:rFonts w:ascii="Arial" w:hAnsi="Arial" w:cs="Arial"/>
        </w:rPr>
        <w:t>T</w:t>
      </w:r>
      <w:r w:rsidRPr="00D33652">
        <w:rPr>
          <w:rFonts w:ascii="Arial" w:hAnsi="Arial" w:cs="Arial"/>
        </w:rPr>
        <w:t xml:space="preserve">he M&amp;E </w:t>
      </w:r>
      <w:r w:rsidR="006669BE">
        <w:rPr>
          <w:rFonts w:ascii="Arial" w:hAnsi="Arial" w:cs="Arial"/>
        </w:rPr>
        <w:t>C</w:t>
      </w:r>
      <w:r w:rsidRPr="00D33652">
        <w:rPr>
          <w:rFonts w:ascii="Arial" w:hAnsi="Arial" w:cs="Arial"/>
        </w:rPr>
        <w:t>onsultants developed monitoring tools for each component of the project. The tools were aligned with the DMF to capture data from impact to activity level. Additional data relevant to project evaluation was also captured</w:t>
      </w:r>
      <w:r w:rsidR="007F2632">
        <w:rPr>
          <w:rFonts w:ascii="Arial" w:hAnsi="Arial" w:cs="Arial"/>
        </w:rPr>
        <w:t>.</w:t>
      </w:r>
      <w:r w:rsidR="009E76B6">
        <w:rPr>
          <w:rFonts w:ascii="Arial" w:hAnsi="Arial" w:cs="Arial"/>
        </w:rPr>
        <w:t xml:space="preserve"> Examples include e</w:t>
      </w:r>
      <w:r w:rsidRPr="00D33652">
        <w:rPr>
          <w:rFonts w:ascii="Arial" w:hAnsi="Arial" w:cs="Arial"/>
        </w:rPr>
        <w:t xml:space="preserve">fficiency data relating to the utilization of </w:t>
      </w:r>
      <w:r w:rsidR="007F2632">
        <w:rPr>
          <w:rFonts w:ascii="Arial" w:hAnsi="Arial" w:cs="Arial"/>
        </w:rPr>
        <w:t>renovated facilities</w:t>
      </w:r>
      <w:r w:rsidR="007F2632" w:rsidRPr="00D33652">
        <w:rPr>
          <w:rFonts w:ascii="Arial" w:hAnsi="Arial" w:cs="Arial"/>
        </w:rPr>
        <w:t xml:space="preserve"> </w:t>
      </w:r>
      <w:r w:rsidRPr="00D33652">
        <w:rPr>
          <w:rFonts w:ascii="Arial" w:hAnsi="Arial" w:cs="Arial"/>
        </w:rPr>
        <w:t xml:space="preserve">and sustainability data relating to HPTF budget allocations for equipment maintenance. The format of the PPMES tools were consistent with the GoV’s Aligned Monitoring Tool (AMT) enabling collation of data for quarterly reporting to </w:t>
      </w:r>
      <w:r w:rsidR="007F2632">
        <w:rPr>
          <w:rFonts w:ascii="Arial" w:hAnsi="Arial" w:cs="Arial"/>
        </w:rPr>
        <w:t>the Ministry of Planning and Investment (</w:t>
      </w:r>
      <w:r w:rsidRPr="00D33652">
        <w:rPr>
          <w:rFonts w:ascii="Arial" w:hAnsi="Arial" w:cs="Arial"/>
        </w:rPr>
        <w:t>MPI</w:t>
      </w:r>
      <w:r w:rsidR="007F2632">
        <w:rPr>
          <w:rFonts w:ascii="Arial" w:hAnsi="Arial" w:cs="Arial"/>
        </w:rPr>
        <w:t>)</w:t>
      </w:r>
      <w:r w:rsidRPr="00D33652">
        <w:rPr>
          <w:rFonts w:ascii="Arial" w:hAnsi="Arial" w:cs="Arial"/>
        </w:rPr>
        <w:t>.</w:t>
      </w:r>
    </w:p>
    <w:p w:rsidR="00831399" w:rsidRPr="00D33652" w:rsidRDefault="00831399" w:rsidP="00831399">
      <w:pPr>
        <w:jc w:val="both"/>
        <w:rPr>
          <w:rFonts w:ascii="Arial" w:hAnsi="Arial" w:cs="Arial"/>
        </w:rPr>
      </w:pPr>
    </w:p>
    <w:p w:rsidR="00831399" w:rsidRPr="00D33652" w:rsidRDefault="00831399" w:rsidP="00831399">
      <w:pPr>
        <w:jc w:val="both"/>
        <w:rPr>
          <w:rFonts w:ascii="Arial" w:hAnsi="Arial" w:cs="Arial"/>
        </w:rPr>
      </w:pPr>
      <w:r w:rsidRPr="00D33652">
        <w:rPr>
          <w:rFonts w:ascii="Arial" w:hAnsi="Arial" w:cs="Arial"/>
        </w:rPr>
        <w:fldChar w:fldCharType="begin"/>
      </w:r>
      <w:r w:rsidRPr="00D33652">
        <w:rPr>
          <w:rFonts w:ascii="Arial" w:hAnsi="Arial" w:cs="Arial"/>
        </w:rPr>
        <w:instrText xml:space="preserve"> AUTONUM </w:instrText>
      </w:r>
      <w:r w:rsidRPr="00D33652">
        <w:rPr>
          <w:rFonts w:ascii="Arial" w:hAnsi="Arial" w:cs="Arial"/>
        </w:rPr>
        <w:fldChar w:fldCharType="end"/>
      </w:r>
      <w:r w:rsidRPr="00D33652">
        <w:rPr>
          <w:rFonts w:ascii="Arial" w:hAnsi="Arial" w:cs="Arial"/>
        </w:rPr>
        <w:tab/>
        <w:t xml:space="preserve">The PPMES tools were piloted at Thai Nguyen University and Hai Duong Province and introduced during a workshop in Da Nang. Feedback was used to revise the monitoring tools, which were subsequently disseminated to all project provinces, 34 Hospitals and 17 HPTF. The </w:t>
      </w:r>
      <w:r w:rsidR="006669BE">
        <w:rPr>
          <w:rFonts w:ascii="Arial" w:hAnsi="Arial" w:cs="Arial"/>
        </w:rPr>
        <w:t>M&amp;E Consultants</w:t>
      </w:r>
      <w:r w:rsidRPr="00D33652">
        <w:rPr>
          <w:rFonts w:ascii="Arial" w:hAnsi="Arial" w:cs="Arial"/>
        </w:rPr>
        <w:t xml:space="preserve"> collate data on a quarterly basis. The first </w:t>
      </w:r>
      <w:r w:rsidR="00C05821">
        <w:rPr>
          <w:rFonts w:ascii="Arial" w:hAnsi="Arial" w:cs="Arial"/>
        </w:rPr>
        <w:t>M&amp;E</w:t>
      </w:r>
      <w:r w:rsidRPr="00D33652">
        <w:rPr>
          <w:rFonts w:ascii="Arial" w:hAnsi="Arial" w:cs="Arial"/>
        </w:rPr>
        <w:t xml:space="preserve"> Report was produced in January 2015 based on data for quarter 3 2014. </w:t>
      </w:r>
    </w:p>
    <w:p w:rsidR="00831399" w:rsidRPr="00D33652" w:rsidRDefault="00831399" w:rsidP="00831399">
      <w:pPr>
        <w:jc w:val="both"/>
        <w:rPr>
          <w:rFonts w:ascii="Arial" w:hAnsi="Arial" w:cs="Arial"/>
        </w:rPr>
      </w:pPr>
    </w:p>
    <w:p w:rsidR="00831399" w:rsidRPr="00D33652" w:rsidRDefault="00831399" w:rsidP="00EE4E98">
      <w:pPr>
        <w:pStyle w:val="Heading3"/>
        <w:spacing w:after="120"/>
        <w:ind w:left="720" w:hanging="436"/>
        <w:rPr>
          <w:b w:val="0"/>
          <w:sz w:val="20"/>
        </w:rPr>
      </w:pPr>
      <w:bookmarkStart w:id="87" w:name="_Toc423359346"/>
      <w:r w:rsidRPr="00EE4E98">
        <w:rPr>
          <w:sz w:val="21"/>
          <w:szCs w:val="21"/>
        </w:rPr>
        <w:t>Assessment of the M&amp;E System</w:t>
      </w:r>
      <w:bookmarkEnd w:id="87"/>
      <w:r w:rsidRPr="00D33652">
        <w:rPr>
          <w:sz w:val="20"/>
        </w:rPr>
        <w:t xml:space="preserve"> </w:t>
      </w:r>
    </w:p>
    <w:p w:rsidR="00831399" w:rsidRPr="00D33652" w:rsidRDefault="00831399" w:rsidP="00831399">
      <w:pPr>
        <w:jc w:val="both"/>
        <w:rPr>
          <w:rFonts w:ascii="Arial" w:hAnsi="Arial" w:cs="Arial"/>
        </w:rPr>
      </w:pPr>
    </w:p>
    <w:p w:rsidR="003D0890" w:rsidRDefault="00831399" w:rsidP="00831399">
      <w:pPr>
        <w:jc w:val="both"/>
        <w:rPr>
          <w:rFonts w:ascii="Arial" w:hAnsi="Arial" w:cs="Arial"/>
          <w:color w:val="000000"/>
        </w:rPr>
      </w:pPr>
      <w:r w:rsidRPr="00777CBC">
        <w:rPr>
          <w:rFonts w:ascii="Arial" w:hAnsi="Arial" w:cs="Arial"/>
        </w:rPr>
        <w:fldChar w:fldCharType="begin"/>
      </w:r>
      <w:r w:rsidRPr="00284EB8">
        <w:rPr>
          <w:rFonts w:ascii="Arial" w:hAnsi="Arial" w:cs="Arial"/>
        </w:rPr>
        <w:instrText xml:space="preserve"> AUTONUM </w:instrText>
      </w:r>
      <w:r w:rsidRPr="00777CBC">
        <w:rPr>
          <w:rFonts w:ascii="Arial" w:hAnsi="Arial" w:cs="Arial"/>
        </w:rPr>
        <w:fldChar w:fldCharType="end"/>
      </w:r>
      <w:r w:rsidRPr="00284EB8">
        <w:rPr>
          <w:rFonts w:ascii="Arial" w:hAnsi="Arial" w:cs="Arial"/>
        </w:rPr>
        <w:tab/>
      </w:r>
      <w:r w:rsidRPr="00284EB8">
        <w:rPr>
          <w:rFonts w:ascii="Arial" w:hAnsi="Arial" w:cs="Arial"/>
          <w:b/>
        </w:rPr>
        <w:t>Scope of data collected</w:t>
      </w:r>
      <w:r w:rsidRPr="00284EB8">
        <w:rPr>
          <w:rFonts w:ascii="Arial" w:hAnsi="Arial" w:cs="Arial"/>
        </w:rPr>
        <w:t>. Review of the PPMES found limitations in the scope of data collected. An objective in establishing the PPMES was to refine and expand verifiable indicators of project inputs, outputs and impact beyond those contained in the DMF.</w:t>
      </w:r>
      <w:r w:rsidRPr="00FD6EB5">
        <w:rPr>
          <w:rStyle w:val="FootnoteReference"/>
          <w:rFonts w:eastAsia="MS Mincho" w:cs="Arial"/>
        </w:rPr>
        <w:footnoteReference w:id="101"/>
      </w:r>
      <w:r w:rsidRPr="00284EB8">
        <w:rPr>
          <w:rFonts w:ascii="Arial" w:hAnsi="Arial" w:cs="Arial"/>
        </w:rPr>
        <w:t xml:space="preserve"> As described, the </w:t>
      </w:r>
      <w:r w:rsidR="002E46AF">
        <w:rPr>
          <w:rFonts w:ascii="Arial" w:hAnsi="Arial" w:cs="Arial"/>
        </w:rPr>
        <w:t>PPMES</w:t>
      </w:r>
      <w:r w:rsidRPr="00284EB8">
        <w:rPr>
          <w:rFonts w:ascii="Arial" w:hAnsi="Arial" w:cs="Arial"/>
        </w:rPr>
        <w:t xml:space="preserve"> focuses primarily on the collection of data required to report against the DMF and AMT. </w:t>
      </w:r>
      <w:r w:rsidR="00ED17DE" w:rsidRPr="00284EB8">
        <w:rPr>
          <w:rFonts w:ascii="Arial" w:hAnsi="Arial" w:cs="Arial"/>
        </w:rPr>
        <w:t>Outc</w:t>
      </w:r>
      <w:r w:rsidR="00CD3436">
        <w:rPr>
          <w:rFonts w:ascii="Arial" w:hAnsi="Arial" w:cs="Arial"/>
        </w:rPr>
        <w:t>ome measures</w:t>
      </w:r>
      <w:r w:rsidR="00ED17DE" w:rsidRPr="00284EB8">
        <w:rPr>
          <w:rFonts w:ascii="Arial" w:hAnsi="Arial" w:cs="Arial"/>
        </w:rPr>
        <w:t xml:space="preserve"> </w:t>
      </w:r>
      <w:r w:rsidR="003D0890" w:rsidRPr="00284EB8">
        <w:rPr>
          <w:rFonts w:ascii="Arial" w:hAnsi="Arial" w:cs="Arial"/>
        </w:rPr>
        <w:t xml:space="preserve">not defined in the DMF, but nonetheless important for </w:t>
      </w:r>
      <w:r w:rsidR="00ED17DE" w:rsidRPr="00284EB8">
        <w:rPr>
          <w:rFonts w:ascii="Arial" w:hAnsi="Arial" w:cs="Arial"/>
        </w:rPr>
        <w:t xml:space="preserve">capturing the </w:t>
      </w:r>
      <w:r w:rsidR="00CD3436">
        <w:rPr>
          <w:rFonts w:ascii="Arial" w:hAnsi="Arial" w:cs="Arial"/>
        </w:rPr>
        <w:t>benefits of the investment, were</w:t>
      </w:r>
      <w:r w:rsidR="00ED17DE" w:rsidRPr="00284EB8">
        <w:rPr>
          <w:rFonts w:ascii="Arial" w:hAnsi="Arial" w:cs="Arial"/>
        </w:rPr>
        <w:t xml:space="preserve"> not systematically assessed. Examples include: (i) </w:t>
      </w:r>
      <w:r w:rsidR="003D0890" w:rsidRPr="00284EB8">
        <w:rPr>
          <w:rFonts w:ascii="Arial" w:hAnsi="Arial" w:cs="Arial"/>
        </w:rPr>
        <w:t>Improved learning experiences of students following equipment provision, facility upgrades and teacher trainin</w:t>
      </w:r>
      <w:r w:rsidR="003D0890">
        <w:rPr>
          <w:rFonts w:ascii="Arial" w:hAnsi="Arial" w:cs="Arial"/>
        </w:rPr>
        <w:t>g</w:t>
      </w:r>
      <w:r w:rsidR="003D0890">
        <w:rPr>
          <w:rFonts w:ascii="Arial" w:hAnsi="Arial" w:cs="Arial"/>
          <w:color w:val="000000"/>
        </w:rPr>
        <w:t xml:space="preserve">; (ii) </w:t>
      </w:r>
      <w:r w:rsidR="00ED17DE" w:rsidRPr="00284EB8">
        <w:rPr>
          <w:rFonts w:ascii="Arial" w:hAnsi="Arial" w:cs="Arial"/>
        </w:rPr>
        <w:t>Training outcomes and, specifically, the extent to which new teaching methods are applied by teaching staff</w:t>
      </w:r>
      <w:r w:rsidR="003D0890">
        <w:rPr>
          <w:rFonts w:ascii="Arial" w:hAnsi="Arial" w:cs="Arial"/>
        </w:rPr>
        <w:t>.</w:t>
      </w:r>
      <w:r w:rsidR="003D0890">
        <w:rPr>
          <w:rStyle w:val="FootnoteReference"/>
          <w:rFonts w:cs="Arial"/>
        </w:rPr>
        <w:footnoteReference w:id="102"/>
      </w:r>
      <w:r w:rsidR="003D0890">
        <w:rPr>
          <w:rFonts w:ascii="Arial" w:hAnsi="Arial" w:cs="Arial"/>
        </w:rPr>
        <w:t xml:space="preserve"> </w:t>
      </w:r>
      <w:r w:rsidR="003D0890" w:rsidRPr="00284EB8">
        <w:rPr>
          <w:rFonts w:ascii="Arial" w:hAnsi="Arial" w:cs="Arial"/>
          <w:color w:val="000000"/>
        </w:rPr>
        <w:t>The ICE team recommends</w:t>
      </w:r>
      <w:r w:rsidR="003D0890" w:rsidRPr="0070784F">
        <w:rPr>
          <w:rFonts w:ascii="Arial" w:hAnsi="Arial" w:cs="Arial"/>
          <w:color w:val="000000"/>
        </w:rPr>
        <w:t xml:space="preserve"> that the Project’s final evaluation incorporate systematic assessment of these two key outcome areas.</w:t>
      </w:r>
    </w:p>
    <w:p w:rsidR="003D0890" w:rsidRDefault="003D0890" w:rsidP="00831399">
      <w:pPr>
        <w:jc w:val="both"/>
        <w:rPr>
          <w:rFonts w:ascii="Arial" w:hAnsi="Arial" w:cs="Arial"/>
          <w:color w:val="000000"/>
        </w:rPr>
      </w:pPr>
    </w:p>
    <w:p w:rsidR="00831399" w:rsidRPr="00284EB8" w:rsidRDefault="008E430D" w:rsidP="00831399">
      <w:pPr>
        <w:jc w:val="both"/>
        <w:rPr>
          <w:rFonts w:ascii="Arial" w:hAnsi="Arial" w:cs="Arial"/>
        </w:rPr>
      </w:pPr>
      <w:r w:rsidRPr="0070784F">
        <w:rPr>
          <w:rFonts w:ascii="Arial" w:hAnsi="Arial" w:cs="Arial"/>
        </w:rPr>
        <w:fldChar w:fldCharType="begin"/>
      </w:r>
      <w:r w:rsidRPr="0070784F">
        <w:rPr>
          <w:rFonts w:ascii="Arial" w:hAnsi="Arial" w:cs="Arial"/>
        </w:rPr>
        <w:instrText xml:space="preserve"> AUTONUM </w:instrText>
      </w:r>
      <w:r w:rsidRPr="0070784F">
        <w:rPr>
          <w:rFonts w:ascii="Arial" w:hAnsi="Arial" w:cs="Arial"/>
        </w:rPr>
        <w:fldChar w:fldCharType="end"/>
      </w:r>
      <w:r w:rsidRPr="00284EB8">
        <w:rPr>
          <w:rFonts w:ascii="Arial" w:hAnsi="Arial" w:cs="Arial"/>
        </w:rPr>
        <w:tab/>
      </w:r>
      <w:r w:rsidR="0097559C">
        <w:rPr>
          <w:rFonts w:ascii="Arial" w:hAnsi="Arial" w:cs="Arial"/>
        </w:rPr>
        <w:t>The</w:t>
      </w:r>
      <w:r>
        <w:rPr>
          <w:rFonts w:ascii="Arial" w:hAnsi="Arial" w:cs="Arial"/>
        </w:rPr>
        <w:t xml:space="preserve"> ICE team </w:t>
      </w:r>
      <w:r w:rsidR="0097559C">
        <w:rPr>
          <w:rFonts w:ascii="Arial" w:hAnsi="Arial" w:cs="Arial"/>
        </w:rPr>
        <w:t xml:space="preserve">also noted </w:t>
      </w:r>
      <w:r w:rsidR="002E46AF">
        <w:rPr>
          <w:rFonts w:ascii="Arial" w:hAnsi="Arial" w:cs="Arial"/>
        </w:rPr>
        <w:t>that key</w:t>
      </w:r>
      <w:r>
        <w:rPr>
          <w:rFonts w:ascii="Arial" w:hAnsi="Arial" w:cs="Arial"/>
        </w:rPr>
        <w:t xml:space="preserve"> o</w:t>
      </w:r>
      <w:r w:rsidR="00831399" w:rsidRPr="00284EB8">
        <w:rPr>
          <w:rFonts w:ascii="Arial" w:hAnsi="Arial" w:cs="Arial"/>
        </w:rPr>
        <w:t>utput data</w:t>
      </w:r>
      <w:r>
        <w:rPr>
          <w:rFonts w:ascii="Arial" w:hAnsi="Arial" w:cs="Arial"/>
        </w:rPr>
        <w:t>,</w:t>
      </w:r>
      <w:r w:rsidR="00831399" w:rsidRPr="00284EB8">
        <w:rPr>
          <w:rFonts w:ascii="Arial" w:hAnsi="Arial" w:cs="Arial"/>
        </w:rPr>
        <w:t xml:space="preserve"> important for progress monitoring, was not systematically captured by the PPMES. </w:t>
      </w:r>
      <w:r w:rsidR="002E46AF">
        <w:rPr>
          <w:rFonts w:ascii="Arial" w:hAnsi="Arial" w:cs="Arial"/>
        </w:rPr>
        <w:t>An</w:t>
      </w:r>
      <w:r w:rsidR="00831399" w:rsidRPr="00284EB8">
        <w:rPr>
          <w:rFonts w:ascii="Arial" w:hAnsi="Arial" w:cs="Arial"/>
        </w:rPr>
        <w:t xml:space="preserve"> example is output data against the targets in the Project’s training plan.</w:t>
      </w:r>
      <w:r w:rsidR="00C05821" w:rsidRPr="00284EB8">
        <w:rPr>
          <w:rStyle w:val="FootnoteReference"/>
          <w:rFonts w:cs="Arial"/>
        </w:rPr>
        <w:footnoteReference w:id="103"/>
      </w:r>
      <w:r w:rsidR="00831399" w:rsidRPr="00284EB8">
        <w:rPr>
          <w:rFonts w:ascii="Arial" w:hAnsi="Arial" w:cs="Arial"/>
        </w:rPr>
        <w:t xml:space="preserve"> While </w:t>
      </w:r>
      <w:r>
        <w:rPr>
          <w:rFonts w:ascii="Arial" w:hAnsi="Arial" w:cs="Arial"/>
        </w:rPr>
        <w:t>the PPMES report</w:t>
      </w:r>
      <w:r w:rsidR="0097559C">
        <w:rPr>
          <w:rFonts w:ascii="Arial" w:hAnsi="Arial" w:cs="Arial"/>
        </w:rPr>
        <w:t xml:space="preserve"> captures </w:t>
      </w:r>
      <w:r>
        <w:rPr>
          <w:rFonts w:ascii="Arial" w:hAnsi="Arial" w:cs="Arial"/>
        </w:rPr>
        <w:t>data for</w:t>
      </w:r>
      <w:r w:rsidR="00831399" w:rsidRPr="00284EB8">
        <w:rPr>
          <w:rFonts w:ascii="Arial" w:hAnsi="Arial" w:cs="Arial"/>
        </w:rPr>
        <w:t xml:space="preserve"> component 2</w:t>
      </w:r>
      <w:r>
        <w:rPr>
          <w:rFonts w:ascii="Arial" w:hAnsi="Arial" w:cs="Arial"/>
        </w:rPr>
        <w:t xml:space="preserve"> trainings,</w:t>
      </w:r>
      <w:r w:rsidR="00831399" w:rsidRPr="00284EB8">
        <w:rPr>
          <w:rFonts w:ascii="Arial" w:hAnsi="Arial" w:cs="Arial"/>
        </w:rPr>
        <w:t xml:space="preserve"> data for components 1 and 3 </w:t>
      </w:r>
      <w:r w:rsidR="003D42EC">
        <w:rPr>
          <w:rFonts w:ascii="Arial" w:hAnsi="Arial" w:cs="Arial"/>
        </w:rPr>
        <w:t>i</w:t>
      </w:r>
      <w:r w:rsidR="00831399" w:rsidRPr="00284EB8">
        <w:rPr>
          <w:rFonts w:ascii="Arial" w:hAnsi="Arial" w:cs="Arial"/>
        </w:rPr>
        <w:t>s not</w:t>
      </w:r>
      <w:r>
        <w:rPr>
          <w:rFonts w:ascii="Arial" w:hAnsi="Arial" w:cs="Arial"/>
        </w:rPr>
        <w:t xml:space="preserve"> reported</w:t>
      </w:r>
      <w:r w:rsidR="00831399" w:rsidRPr="00284EB8">
        <w:rPr>
          <w:rFonts w:ascii="Arial" w:hAnsi="Arial" w:cs="Arial"/>
        </w:rPr>
        <w:t>. Collating this require</w:t>
      </w:r>
      <w:r w:rsidR="002E46AF">
        <w:rPr>
          <w:rFonts w:ascii="Arial" w:hAnsi="Arial" w:cs="Arial"/>
        </w:rPr>
        <w:t>s</w:t>
      </w:r>
      <w:r w:rsidR="00831399" w:rsidRPr="00284EB8">
        <w:rPr>
          <w:rFonts w:ascii="Arial" w:hAnsi="Arial" w:cs="Arial"/>
        </w:rPr>
        <w:t xml:space="preserve"> sourcing </w:t>
      </w:r>
      <w:r w:rsidR="0097559C">
        <w:rPr>
          <w:rFonts w:ascii="Arial" w:hAnsi="Arial" w:cs="Arial"/>
        </w:rPr>
        <w:t xml:space="preserve">the </w:t>
      </w:r>
      <w:r w:rsidR="00831399" w:rsidRPr="00284EB8">
        <w:rPr>
          <w:rFonts w:ascii="Arial" w:hAnsi="Arial" w:cs="Arial"/>
        </w:rPr>
        <w:t>data from individual component coordinators.</w:t>
      </w:r>
    </w:p>
    <w:p w:rsidR="00831399" w:rsidRPr="00284EB8" w:rsidRDefault="00831399" w:rsidP="00831399">
      <w:pPr>
        <w:jc w:val="both"/>
        <w:rPr>
          <w:rFonts w:ascii="Arial" w:hAnsi="Arial" w:cs="Arial"/>
        </w:rPr>
      </w:pPr>
    </w:p>
    <w:p w:rsidR="00831399" w:rsidRPr="00D33652" w:rsidRDefault="00831399" w:rsidP="00831399">
      <w:pPr>
        <w:jc w:val="both"/>
        <w:rPr>
          <w:rFonts w:ascii="Arial" w:hAnsi="Arial" w:cs="Arial"/>
          <w:color w:val="000000"/>
        </w:rPr>
      </w:pPr>
      <w:r w:rsidRPr="00777CBC">
        <w:rPr>
          <w:rFonts w:ascii="Arial" w:hAnsi="Arial" w:cs="Arial"/>
        </w:rPr>
        <w:fldChar w:fldCharType="begin"/>
      </w:r>
      <w:r w:rsidRPr="00284EB8">
        <w:rPr>
          <w:rFonts w:ascii="Arial" w:hAnsi="Arial" w:cs="Arial"/>
        </w:rPr>
        <w:instrText xml:space="preserve"> AUTONUM </w:instrText>
      </w:r>
      <w:r w:rsidRPr="00777CBC">
        <w:rPr>
          <w:rFonts w:ascii="Arial" w:hAnsi="Arial" w:cs="Arial"/>
        </w:rPr>
        <w:fldChar w:fldCharType="end"/>
      </w:r>
      <w:r w:rsidRPr="00284EB8">
        <w:rPr>
          <w:rFonts w:ascii="Arial" w:hAnsi="Arial" w:cs="Arial"/>
        </w:rPr>
        <w:tab/>
        <w:t xml:space="preserve">Outcome data collected under the PPMES was also found to be limited in scope, focusing only on the outcomes specified in the DMF. Other outcome measures, central to capturing the benefits of the investment, were not systematically assessed. Examples include: (i) Training outcomes and, specifically, the extent to which new teaching methods are applied by teaching staff; (ii) Improved learning experiences of students following equipment provision, facility upgrades and teacher training. </w:t>
      </w:r>
      <w:r w:rsidRPr="00284EB8">
        <w:rPr>
          <w:rFonts w:ascii="Arial" w:hAnsi="Arial" w:cs="Arial"/>
          <w:color w:val="000000"/>
        </w:rPr>
        <w:t xml:space="preserve">The ICE </w:t>
      </w:r>
      <w:r w:rsidR="00AE79BF" w:rsidRPr="00284EB8">
        <w:rPr>
          <w:rFonts w:ascii="Arial" w:hAnsi="Arial" w:cs="Arial"/>
          <w:color w:val="000000"/>
        </w:rPr>
        <w:t>team recommends</w:t>
      </w:r>
      <w:r w:rsidRPr="00FB15A1">
        <w:rPr>
          <w:rFonts w:ascii="Arial" w:hAnsi="Arial" w:cs="Arial"/>
          <w:color w:val="000000"/>
        </w:rPr>
        <w:t xml:space="preserve"> that the Project’s final evaluation incorporate systematic assessment of these two key outcome areas.</w:t>
      </w:r>
    </w:p>
    <w:p w:rsidR="00831399" w:rsidRPr="00D33652" w:rsidRDefault="00831399" w:rsidP="00831399">
      <w:pPr>
        <w:jc w:val="both"/>
        <w:rPr>
          <w:rFonts w:ascii="Arial" w:hAnsi="Arial" w:cs="Arial"/>
        </w:rPr>
      </w:pPr>
    </w:p>
    <w:p w:rsidR="00831399" w:rsidRPr="00D33652" w:rsidRDefault="00831399" w:rsidP="00831399">
      <w:pPr>
        <w:jc w:val="both"/>
        <w:rPr>
          <w:rFonts w:ascii="Arial" w:hAnsi="Arial" w:cs="Arial"/>
        </w:rPr>
      </w:pPr>
      <w:r w:rsidRPr="00D33652">
        <w:rPr>
          <w:rFonts w:ascii="Arial" w:hAnsi="Arial" w:cs="Arial"/>
        </w:rPr>
        <w:fldChar w:fldCharType="begin"/>
      </w:r>
      <w:r w:rsidRPr="00D33652">
        <w:rPr>
          <w:rFonts w:ascii="Arial" w:hAnsi="Arial" w:cs="Arial"/>
        </w:rPr>
        <w:instrText xml:space="preserve"> AUTONUM </w:instrText>
      </w:r>
      <w:r w:rsidRPr="00D33652">
        <w:rPr>
          <w:rFonts w:ascii="Arial" w:hAnsi="Arial" w:cs="Arial"/>
        </w:rPr>
        <w:fldChar w:fldCharType="end"/>
      </w:r>
      <w:r w:rsidRPr="00D33652">
        <w:rPr>
          <w:rFonts w:ascii="Arial" w:hAnsi="Arial" w:cs="Arial"/>
        </w:rPr>
        <w:tab/>
      </w:r>
      <w:r w:rsidR="002F2C3F">
        <w:rPr>
          <w:rFonts w:ascii="Arial" w:hAnsi="Arial" w:cs="Arial"/>
          <w:b/>
        </w:rPr>
        <w:t>Completeness and quality of M&amp;E d</w:t>
      </w:r>
      <w:r w:rsidRPr="00D33652">
        <w:rPr>
          <w:rFonts w:ascii="Arial" w:hAnsi="Arial" w:cs="Arial"/>
          <w:b/>
        </w:rPr>
        <w:t xml:space="preserve">ata. </w:t>
      </w:r>
      <w:r w:rsidRPr="00D33652">
        <w:rPr>
          <w:rFonts w:ascii="Arial" w:hAnsi="Arial" w:cs="Arial"/>
        </w:rPr>
        <w:t>The ICE team reviewed the routine DMF report produced from the PPMES</w:t>
      </w:r>
      <w:r w:rsidR="007D2C60">
        <w:rPr>
          <w:rFonts w:ascii="Arial" w:hAnsi="Arial" w:cs="Arial"/>
        </w:rPr>
        <w:t xml:space="preserve">. </w:t>
      </w:r>
      <w:r w:rsidRPr="00D33652">
        <w:rPr>
          <w:rFonts w:ascii="Arial" w:hAnsi="Arial" w:cs="Arial"/>
        </w:rPr>
        <w:t>The following limitations in the report w</w:t>
      </w:r>
      <w:r w:rsidR="007D2C60">
        <w:rPr>
          <w:rFonts w:ascii="Arial" w:hAnsi="Arial" w:cs="Arial"/>
        </w:rPr>
        <w:t>ere</w:t>
      </w:r>
      <w:r w:rsidRPr="00D33652">
        <w:rPr>
          <w:rFonts w:ascii="Arial" w:hAnsi="Arial" w:cs="Arial"/>
        </w:rPr>
        <w:t xml:space="preserve"> observed: (i) The report contained no progressive (annual) tracking of progress towards impact level indicators</w:t>
      </w:r>
      <w:r w:rsidRPr="00FD6EB5">
        <w:rPr>
          <w:rStyle w:val="FootnoteReference"/>
          <w:rFonts w:eastAsia="MS Mincho" w:cs="Arial"/>
        </w:rPr>
        <w:footnoteReference w:id="104"/>
      </w:r>
      <w:r w:rsidRPr="00D33652">
        <w:rPr>
          <w:rFonts w:ascii="Arial" w:hAnsi="Arial" w:cs="Arial"/>
        </w:rPr>
        <w:t xml:space="preserve"> or several of the outcome level indicators;</w:t>
      </w:r>
      <w:r w:rsidRPr="00FD6EB5">
        <w:rPr>
          <w:rStyle w:val="FootnoteReference"/>
          <w:rFonts w:eastAsia="MS Mincho" w:cs="Arial"/>
        </w:rPr>
        <w:footnoteReference w:id="105"/>
      </w:r>
      <w:r w:rsidRPr="00D33652">
        <w:rPr>
          <w:rFonts w:ascii="Arial" w:hAnsi="Arial" w:cs="Arial"/>
        </w:rPr>
        <w:t xml:space="preserve"> (ii) Data for several indicators was incomplete;</w:t>
      </w:r>
      <w:r w:rsidRPr="00FD6EB5">
        <w:rPr>
          <w:rStyle w:val="FootnoteReference"/>
          <w:rFonts w:eastAsia="MS Mincho" w:cs="Arial"/>
        </w:rPr>
        <w:footnoteReference w:id="106"/>
      </w:r>
      <w:r w:rsidRPr="00D33652">
        <w:rPr>
          <w:rFonts w:ascii="Arial" w:hAnsi="Arial" w:cs="Arial"/>
        </w:rPr>
        <w:t xml:space="preserve"> (iii) Data for several indicators was not aligned with the indicator measure;</w:t>
      </w:r>
      <w:r w:rsidRPr="00FD6EB5">
        <w:rPr>
          <w:rStyle w:val="FootnoteReference"/>
          <w:rFonts w:eastAsia="MS Mincho" w:cs="Arial"/>
        </w:rPr>
        <w:footnoteReference w:id="107"/>
      </w:r>
      <w:r w:rsidRPr="00D33652">
        <w:rPr>
          <w:rFonts w:ascii="Arial" w:hAnsi="Arial" w:cs="Arial"/>
        </w:rPr>
        <w:t xml:space="preserve"> (iv) Reporting against activities was structured around the activity headings in the DMF rather than those in the Five-Year Plan, which would have served as a more relevant basis for activity monitoring.</w:t>
      </w:r>
    </w:p>
    <w:p w:rsidR="00831399" w:rsidRPr="00D33652" w:rsidRDefault="00831399" w:rsidP="00831399">
      <w:pPr>
        <w:jc w:val="both"/>
        <w:rPr>
          <w:rFonts w:ascii="Arial" w:hAnsi="Arial" w:cs="Arial"/>
        </w:rPr>
      </w:pPr>
    </w:p>
    <w:p w:rsidR="00831399" w:rsidRPr="00D33652" w:rsidRDefault="00831399" w:rsidP="00831399">
      <w:pPr>
        <w:jc w:val="both"/>
        <w:rPr>
          <w:rFonts w:ascii="Arial" w:hAnsi="Arial" w:cs="Arial"/>
        </w:rPr>
      </w:pPr>
      <w:r w:rsidRPr="00D33652">
        <w:rPr>
          <w:rFonts w:ascii="Arial" w:hAnsi="Arial" w:cs="Arial"/>
        </w:rPr>
        <w:fldChar w:fldCharType="begin"/>
      </w:r>
      <w:r w:rsidRPr="00D33652">
        <w:rPr>
          <w:rFonts w:ascii="Arial" w:hAnsi="Arial" w:cs="Arial"/>
        </w:rPr>
        <w:instrText xml:space="preserve"> AUTONUM </w:instrText>
      </w:r>
      <w:r w:rsidRPr="00D33652">
        <w:rPr>
          <w:rFonts w:ascii="Arial" w:hAnsi="Arial" w:cs="Arial"/>
        </w:rPr>
        <w:fldChar w:fldCharType="end"/>
      </w:r>
      <w:r w:rsidRPr="00D33652">
        <w:rPr>
          <w:rFonts w:ascii="Arial" w:hAnsi="Arial" w:cs="Arial"/>
        </w:rPr>
        <w:tab/>
      </w:r>
      <w:r w:rsidR="002F2C3F">
        <w:rPr>
          <w:rFonts w:ascii="Arial" w:hAnsi="Arial" w:cs="Arial"/>
          <w:b/>
        </w:rPr>
        <w:t>Utilization of M&amp;E d</w:t>
      </w:r>
      <w:r w:rsidRPr="00D33652">
        <w:rPr>
          <w:rFonts w:ascii="Arial" w:hAnsi="Arial" w:cs="Arial"/>
          <w:b/>
        </w:rPr>
        <w:t>ata.</w:t>
      </w:r>
      <w:r w:rsidRPr="00D33652">
        <w:rPr>
          <w:rFonts w:ascii="Arial" w:hAnsi="Arial" w:cs="Arial"/>
        </w:rPr>
        <w:t xml:space="preserve"> As highlighted by the MTR Mission</w:t>
      </w:r>
      <w:r w:rsidR="009D7B91">
        <w:rPr>
          <w:rFonts w:ascii="Arial" w:hAnsi="Arial" w:cs="Arial"/>
        </w:rPr>
        <w:t>,</w:t>
      </w:r>
      <w:r w:rsidRPr="00D33652">
        <w:rPr>
          <w:rFonts w:ascii="Arial" w:hAnsi="Arial" w:cs="Arial"/>
        </w:rPr>
        <w:t xml:space="preserve"> systematic use of </w:t>
      </w:r>
      <w:r w:rsidR="009D7B91">
        <w:rPr>
          <w:rFonts w:ascii="Arial" w:hAnsi="Arial" w:cs="Arial"/>
        </w:rPr>
        <w:t>M&amp;E</w:t>
      </w:r>
      <w:r w:rsidRPr="00D33652">
        <w:rPr>
          <w:rFonts w:ascii="Arial" w:hAnsi="Arial" w:cs="Arial"/>
        </w:rPr>
        <w:t xml:space="preserve"> data did not occur in the first half of the project. The ICE team assessed the failure to establish a PPMES and collect baseline data in Project Year 1 as being attributable, in part, to inadequate resourcing of M&amp;E activities. The budget at design made no provision for baseline data collection or for the engagement of </w:t>
      </w:r>
      <w:r w:rsidR="006669BE">
        <w:rPr>
          <w:rFonts w:ascii="Arial" w:hAnsi="Arial" w:cs="Arial"/>
        </w:rPr>
        <w:t>M&amp;E Consultants</w:t>
      </w:r>
      <w:r w:rsidRPr="00D33652">
        <w:rPr>
          <w:rFonts w:ascii="Arial" w:hAnsi="Arial" w:cs="Arial"/>
        </w:rPr>
        <w:t xml:space="preserve"> to support the PMU in establishing a PPMES. Resources were allocated for mid-term and endline inputs only. </w:t>
      </w:r>
    </w:p>
    <w:p w:rsidR="00831399" w:rsidRPr="00D33652" w:rsidRDefault="00831399" w:rsidP="00831399">
      <w:pPr>
        <w:jc w:val="both"/>
        <w:rPr>
          <w:rFonts w:ascii="Arial" w:hAnsi="Arial" w:cs="Arial"/>
        </w:rPr>
      </w:pPr>
    </w:p>
    <w:p w:rsidR="00831399" w:rsidRPr="00D33652" w:rsidRDefault="00831399" w:rsidP="00831399">
      <w:pPr>
        <w:jc w:val="both"/>
        <w:rPr>
          <w:rFonts w:ascii="Arial" w:hAnsi="Arial" w:cs="Arial"/>
        </w:rPr>
      </w:pPr>
      <w:r w:rsidRPr="00D33652">
        <w:rPr>
          <w:rFonts w:ascii="Arial" w:hAnsi="Arial" w:cs="Arial"/>
        </w:rPr>
        <w:fldChar w:fldCharType="begin"/>
      </w:r>
      <w:r w:rsidRPr="00D33652">
        <w:rPr>
          <w:rFonts w:ascii="Arial" w:hAnsi="Arial" w:cs="Arial"/>
        </w:rPr>
        <w:instrText xml:space="preserve"> AUTONUM </w:instrText>
      </w:r>
      <w:r w:rsidRPr="00D33652">
        <w:rPr>
          <w:rFonts w:ascii="Arial" w:hAnsi="Arial" w:cs="Arial"/>
        </w:rPr>
        <w:fldChar w:fldCharType="end"/>
      </w:r>
      <w:r w:rsidRPr="00D33652">
        <w:rPr>
          <w:rFonts w:ascii="Arial" w:hAnsi="Arial" w:cs="Arial"/>
        </w:rPr>
        <w:tab/>
        <w:t xml:space="preserve">The ICE team </w:t>
      </w:r>
      <w:r w:rsidR="009D7B91">
        <w:rPr>
          <w:rFonts w:ascii="Arial" w:hAnsi="Arial" w:cs="Arial"/>
        </w:rPr>
        <w:t>did find</w:t>
      </w:r>
      <w:r w:rsidR="009D7B91" w:rsidRPr="00D33652">
        <w:rPr>
          <w:rFonts w:ascii="Arial" w:hAnsi="Arial" w:cs="Arial"/>
        </w:rPr>
        <w:t xml:space="preserve"> </w:t>
      </w:r>
      <w:r w:rsidRPr="00D33652">
        <w:rPr>
          <w:rFonts w:ascii="Arial" w:hAnsi="Arial" w:cs="Arial"/>
        </w:rPr>
        <w:t xml:space="preserve">several examples of the data generated being used to inform activity review and learning following the establishment of the PPMES in 2014. Data from the first monitoring and evaluation report was presented at the Project Review Conference in January 2015. The </w:t>
      </w:r>
      <w:r w:rsidR="006669BE">
        <w:rPr>
          <w:rFonts w:ascii="Arial" w:hAnsi="Arial" w:cs="Arial"/>
        </w:rPr>
        <w:t>M&amp;E Consultants</w:t>
      </w:r>
      <w:r w:rsidRPr="00D33652">
        <w:rPr>
          <w:rFonts w:ascii="Arial" w:hAnsi="Arial" w:cs="Arial"/>
        </w:rPr>
        <w:t xml:space="preserve"> summarized the status of achievements in relation to the DMF, highlighted essential observations and provided recommendations for the next steps in activity implementation. </w:t>
      </w:r>
      <w:r w:rsidR="004A6B9D">
        <w:rPr>
          <w:rFonts w:ascii="Arial" w:hAnsi="Arial" w:cs="Arial"/>
        </w:rPr>
        <w:t>The</w:t>
      </w:r>
      <w:r w:rsidRPr="00D33652">
        <w:rPr>
          <w:rFonts w:ascii="Arial" w:hAnsi="Arial" w:cs="Arial"/>
        </w:rPr>
        <w:t xml:space="preserve"> National </w:t>
      </w:r>
      <w:r w:rsidR="006669BE">
        <w:rPr>
          <w:rFonts w:ascii="Arial" w:hAnsi="Arial" w:cs="Arial"/>
        </w:rPr>
        <w:t>M&amp;E Consultants</w:t>
      </w:r>
      <w:r w:rsidRPr="00D33652">
        <w:rPr>
          <w:rFonts w:ascii="Arial" w:hAnsi="Arial" w:cs="Arial"/>
        </w:rPr>
        <w:t xml:space="preserve"> participate in the </w:t>
      </w:r>
      <w:r w:rsidR="009D7B91">
        <w:rPr>
          <w:rFonts w:ascii="Arial" w:hAnsi="Arial" w:cs="Arial"/>
        </w:rPr>
        <w:t xml:space="preserve">Project’s </w:t>
      </w:r>
      <w:r w:rsidRPr="00D33652">
        <w:rPr>
          <w:rFonts w:ascii="Arial" w:hAnsi="Arial" w:cs="Arial"/>
        </w:rPr>
        <w:t>weekly management meetings and provide data on a quarterly basis for reporting to MPI. The ICE found no evidence of the PPMES being used to monitor risks to the project.</w:t>
      </w:r>
    </w:p>
    <w:p w:rsidR="00831399" w:rsidRPr="00D33652" w:rsidRDefault="00831399" w:rsidP="00831399">
      <w:pPr>
        <w:rPr>
          <w:rFonts w:ascii="Arial" w:hAnsi="Arial" w:cs="Arial"/>
        </w:rPr>
      </w:pPr>
    </w:p>
    <w:p w:rsidR="00831399" w:rsidRPr="00D33652" w:rsidRDefault="00831399" w:rsidP="00831399">
      <w:pPr>
        <w:jc w:val="both"/>
        <w:rPr>
          <w:rFonts w:ascii="Arial" w:hAnsi="Arial" w:cs="Arial"/>
        </w:rPr>
      </w:pPr>
    </w:p>
    <w:p w:rsidR="00831399" w:rsidRPr="00EE4E98" w:rsidRDefault="00831399" w:rsidP="00EE4E98">
      <w:pPr>
        <w:pStyle w:val="Heading3"/>
        <w:spacing w:after="120"/>
        <w:ind w:left="720" w:hanging="436"/>
        <w:rPr>
          <w:b w:val="0"/>
          <w:sz w:val="21"/>
          <w:szCs w:val="21"/>
        </w:rPr>
      </w:pPr>
      <w:bookmarkStart w:id="88" w:name="_Toc423359347"/>
      <w:r w:rsidRPr="00EE4E98">
        <w:rPr>
          <w:sz w:val="21"/>
          <w:szCs w:val="21"/>
        </w:rPr>
        <w:t>Overall Assessment</w:t>
      </w:r>
      <w:bookmarkEnd w:id="88"/>
    </w:p>
    <w:p w:rsidR="00831399" w:rsidRPr="00D33652" w:rsidRDefault="00831399" w:rsidP="00831399">
      <w:pPr>
        <w:ind w:left="720"/>
        <w:jc w:val="both"/>
        <w:rPr>
          <w:rFonts w:ascii="Arial" w:hAnsi="Arial" w:cs="Arial"/>
          <w:b/>
        </w:rPr>
      </w:pPr>
    </w:p>
    <w:p w:rsidR="00831399" w:rsidRPr="00D33652" w:rsidRDefault="00831399" w:rsidP="00831399">
      <w:pPr>
        <w:jc w:val="both"/>
        <w:rPr>
          <w:rFonts w:ascii="Arial" w:hAnsi="Arial" w:cs="Arial"/>
        </w:rPr>
      </w:pPr>
      <w:r w:rsidRPr="00D33652">
        <w:rPr>
          <w:rFonts w:ascii="Arial" w:hAnsi="Arial" w:cs="Arial"/>
        </w:rPr>
        <w:fldChar w:fldCharType="begin"/>
      </w:r>
      <w:r w:rsidRPr="00D33652">
        <w:rPr>
          <w:rFonts w:ascii="Arial" w:hAnsi="Arial" w:cs="Arial"/>
        </w:rPr>
        <w:instrText xml:space="preserve"> AUTONUM </w:instrText>
      </w:r>
      <w:r w:rsidRPr="00D33652">
        <w:rPr>
          <w:rFonts w:ascii="Arial" w:hAnsi="Arial" w:cs="Arial"/>
        </w:rPr>
        <w:fldChar w:fldCharType="end"/>
      </w:r>
      <w:r w:rsidRPr="00D33652">
        <w:rPr>
          <w:rFonts w:ascii="Arial" w:hAnsi="Arial" w:cs="Arial"/>
        </w:rPr>
        <w:tab/>
        <w:t xml:space="preserve">The ICE team scored the HHRSDP’s overall rating for monitoring and evaluation as 3. Ratings for individual monitoring and evaluation sub-criteria are listed in Appendix 1, Table 1.1. </w:t>
      </w:r>
    </w:p>
    <w:p w:rsidR="00831399" w:rsidRPr="00D33652" w:rsidRDefault="00831399" w:rsidP="00831399">
      <w:pPr>
        <w:jc w:val="both"/>
        <w:rPr>
          <w:rFonts w:ascii="Arial" w:hAnsi="Arial" w:cs="Arial"/>
        </w:rPr>
      </w:pPr>
    </w:p>
    <w:p w:rsidR="00831399" w:rsidRPr="00D33652" w:rsidRDefault="00831399" w:rsidP="006F02FE">
      <w:pPr>
        <w:jc w:val="both"/>
        <w:rPr>
          <w:rFonts w:ascii="Arial" w:hAnsi="Arial" w:cs="Arial"/>
          <w:sz w:val="24"/>
          <w:szCs w:val="24"/>
        </w:rPr>
      </w:pPr>
      <w:r w:rsidRPr="00D33652">
        <w:rPr>
          <w:rFonts w:ascii="Arial" w:hAnsi="Arial" w:cs="Arial"/>
        </w:rPr>
        <w:fldChar w:fldCharType="begin"/>
      </w:r>
      <w:r w:rsidRPr="00D33652">
        <w:rPr>
          <w:rFonts w:ascii="Arial" w:hAnsi="Arial" w:cs="Arial"/>
        </w:rPr>
        <w:instrText xml:space="preserve"> AUTONUM </w:instrText>
      </w:r>
      <w:r w:rsidRPr="00D33652">
        <w:rPr>
          <w:rFonts w:ascii="Arial" w:hAnsi="Arial" w:cs="Arial"/>
        </w:rPr>
        <w:fldChar w:fldCharType="end"/>
      </w:r>
      <w:r w:rsidRPr="00D33652">
        <w:rPr>
          <w:rFonts w:ascii="Arial" w:hAnsi="Arial" w:cs="Arial"/>
        </w:rPr>
        <w:tab/>
        <w:t xml:space="preserve">The ICE team’s overall assessment is that the </w:t>
      </w:r>
      <w:r w:rsidR="00F454A9" w:rsidRPr="00D33652">
        <w:rPr>
          <w:rFonts w:ascii="Arial" w:hAnsi="Arial" w:cs="Arial"/>
        </w:rPr>
        <w:t>Project</w:t>
      </w:r>
      <w:r w:rsidRPr="00D33652">
        <w:rPr>
          <w:rFonts w:ascii="Arial" w:hAnsi="Arial" w:cs="Arial"/>
        </w:rPr>
        <w:t xml:space="preserve">’s monitoring and evaluation systems were less than adequate. M&amp;E systems were established at a late stage of </w:t>
      </w:r>
      <w:r w:rsidR="00F454A9" w:rsidRPr="00D33652">
        <w:rPr>
          <w:rFonts w:ascii="Arial" w:hAnsi="Arial" w:cs="Arial"/>
        </w:rPr>
        <w:t>Project</w:t>
      </w:r>
      <w:r w:rsidRPr="00D33652">
        <w:rPr>
          <w:rFonts w:ascii="Arial" w:hAnsi="Arial" w:cs="Arial"/>
        </w:rPr>
        <w:t xml:space="preserve"> implementation, with reliable baseline data not yet established for a number of indicators.  Data for progress monitoring and management decision-making was not systematically captured and utilized. Resources allocated to M&amp;E in the budget were insufficient to ensure the timely establishment and operation of the PPMES.</w:t>
      </w:r>
      <w:r w:rsidR="006F02FE" w:rsidRPr="00D33652">
        <w:rPr>
          <w:rFonts w:ascii="Arial" w:hAnsi="Arial" w:cs="Arial"/>
          <w:sz w:val="24"/>
          <w:szCs w:val="24"/>
        </w:rPr>
        <w:t xml:space="preserve"> </w:t>
      </w:r>
    </w:p>
    <w:p w:rsidR="00875403" w:rsidRPr="00D33652" w:rsidRDefault="0083545E" w:rsidP="002E73CE">
      <w:pPr>
        <w:rPr>
          <w:rFonts w:ascii="Arial" w:hAnsi="Arial" w:cs="Arial"/>
          <w:sz w:val="24"/>
          <w:szCs w:val="24"/>
        </w:rPr>
      </w:pPr>
      <w:r w:rsidRPr="00D33652">
        <w:rPr>
          <w:rFonts w:ascii="Arial" w:hAnsi="Arial" w:cs="Arial"/>
          <w:sz w:val="24"/>
          <w:szCs w:val="24"/>
        </w:rPr>
        <w:br w:type="page"/>
      </w:r>
      <w:bookmarkEnd w:id="81"/>
      <w:bookmarkEnd w:id="82"/>
    </w:p>
    <w:p w:rsidR="002E73CE" w:rsidRPr="00D33652" w:rsidRDefault="002E73CE" w:rsidP="00185E36">
      <w:pPr>
        <w:pStyle w:val="Heading1"/>
        <w:numPr>
          <w:ilvl w:val="0"/>
          <w:numId w:val="5"/>
        </w:numPr>
        <w:spacing w:after="120"/>
        <w:ind w:left="734" w:hanging="547"/>
      </w:pPr>
      <w:bookmarkStart w:id="89" w:name="_Toc422301231"/>
      <w:bookmarkStart w:id="90" w:name="_Toc423359348"/>
      <w:r w:rsidRPr="00EE4E98">
        <w:rPr>
          <w:bCs w:val="0"/>
          <w:caps/>
          <w:color w:val="000000"/>
          <w:kern w:val="28"/>
          <w:sz w:val="22"/>
          <w:szCs w:val="24"/>
          <w:lang w:eastAsia="en-US"/>
        </w:rPr>
        <w:t xml:space="preserve">LEARNING, </w:t>
      </w:r>
      <w:r w:rsidR="00E90F04" w:rsidRPr="00EE4E98">
        <w:rPr>
          <w:bCs w:val="0"/>
          <w:caps/>
          <w:color w:val="000000"/>
          <w:kern w:val="28"/>
          <w:sz w:val="22"/>
          <w:szCs w:val="24"/>
          <w:lang w:eastAsia="en-US"/>
        </w:rPr>
        <w:t>CONCLUSIONS AND RECOMMENDATIONS</w:t>
      </w:r>
      <w:bookmarkEnd w:id="89"/>
      <w:bookmarkEnd w:id="90"/>
    </w:p>
    <w:p w:rsidR="004B0B88" w:rsidRPr="00185E36" w:rsidRDefault="006225AC" w:rsidP="00185E36">
      <w:pPr>
        <w:pStyle w:val="Heading2"/>
        <w:numPr>
          <w:ilvl w:val="1"/>
          <w:numId w:val="37"/>
        </w:numPr>
        <w:spacing w:after="120"/>
        <w:rPr>
          <w:bCs w:val="0"/>
          <w:i w:val="0"/>
          <w:iCs w:val="0"/>
          <w:color w:val="000000"/>
          <w:sz w:val="22"/>
          <w:szCs w:val="20"/>
          <w:lang w:eastAsia="en-US"/>
        </w:rPr>
      </w:pPr>
      <w:bookmarkStart w:id="91" w:name="_Toc423359349"/>
      <w:r>
        <w:rPr>
          <w:bCs w:val="0"/>
          <w:i w:val="0"/>
          <w:iCs w:val="0"/>
          <w:color w:val="000000"/>
          <w:sz w:val="22"/>
          <w:szCs w:val="20"/>
          <w:lang w:eastAsia="en-US"/>
        </w:rPr>
        <w:t>Analysis and L</w:t>
      </w:r>
      <w:r w:rsidR="00E14483">
        <w:rPr>
          <w:bCs w:val="0"/>
          <w:i w:val="0"/>
          <w:iCs w:val="0"/>
          <w:color w:val="000000"/>
          <w:sz w:val="22"/>
          <w:szCs w:val="20"/>
          <w:lang w:eastAsia="en-US"/>
        </w:rPr>
        <w:t>e</w:t>
      </w:r>
      <w:r>
        <w:rPr>
          <w:bCs w:val="0"/>
          <w:i w:val="0"/>
          <w:iCs w:val="0"/>
          <w:color w:val="000000"/>
          <w:sz w:val="22"/>
          <w:szCs w:val="20"/>
          <w:lang w:eastAsia="en-US"/>
        </w:rPr>
        <w:t>arning at Implementation</w:t>
      </w:r>
      <w:bookmarkEnd w:id="91"/>
    </w:p>
    <w:p w:rsidR="004B0B88" w:rsidRPr="00305303" w:rsidRDefault="004B0B88" w:rsidP="004B0B88">
      <w:pPr>
        <w:jc w:val="both"/>
        <w:rPr>
          <w:rFonts w:ascii="Arial" w:hAnsi="Arial" w:cs="Arial"/>
          <w:lang w:eastAsia="en-US"/>
        </w:rPr>
      </w:pPr>
    </w:p>
    <w:p w:rsidR="004B0B88" w:rsidRPr="00305303" w:rsidRDefault="004B0B88" w:rsidP="004B0B88">
      <w:pPr>
        <w:widowControl w:val="0"/>
        <w:autoSpaceDE w:val="0"/>
        <w:autoSpaceDN w:val="0"/>
        <w:adjustRightInd w:val="0"/>
        <w:jc w:val="both"/>
        <w:rPr>
          <w:rFonts w:ascii="Arial" w:hAnsi="Arial" w:cs="Arial"/>
        </w:rPr>
      </w:pPr>
      <w:r w:rsidRPr="00305303">
        <w:rPr>
          <w:rFonts w:ascii="Arial" w:hAnsi="Arial" w:cs="Arial"/>
        </w:rPr>
        <w:fldChar w:fldCharType="begin"/>
      </w:r>
      <w:r w:rsidRPr="00305303">
        <w:rPr>
          <w:rFonts w:ascii="Arial" w:hAnsi="Arial" w:cs="Arial"/>
        </w:rPr>
        <w:instrText xml:space="preserve"> AUTONUM </w:instrText>
      </w:r>
      <w:r w:rsidRPr="00305303">
        <w:rPr>
          <w:rFonts w:ascii="Arial" w:hAnsi="Arial" w:cs="Arial"/>
        </w:rPr>
        <w:fldChar w:fldCharType="end"/>
      </w:r>
      <w:r w:rsidRPr="00305303">
        <w:rPr>
          <w:rFonts w:ascii="Arial" w:hAnsi="Arial" w:cs="Arial"/>
        </w:rPr>
        <w:tab/>
        <w:t xml:space="preserve"> As discussed in Section </w:t>
      </w:r>
      <w:r w:rsidRPr="00305303">
        <w:rPr>
          <w:rFonts w:ascii="Arial" w:hAnsi="Arial" w:cs="Arial"/>
        </w:rPr>
        <w:t></w:t>
      </w:r>
      <w:r w:rsidRPr="00305303">
        <w:rPr>
          <w:rFonts w:ascii="Arial" w:hAnsi="Arial" w:cs="Arial"/>
        </w:rPr>
        <w:t>.G, the ICE team</w:t>
      </w:r>
      <w:r w:rsidR="00EF4FBB">
        <w:rPr>
          <w:rFonts w:ascii="Arial" w:hAnsi="Arial" w:cs="Arial"/>
        </w:rPr>
        <w:t xml:space="preserve"> found limited evidence at the project-</w:t>
      </w:r>
      <w:r w:rsidR="00FB1E18">
        <w:rPr>
          <w:rFonts w:ascii="Arial" w:hAnsi="Arial" w:cs="Arial"/>
        </w:rPr>
        <w:t>level of regular analysis and</w:t>
      </w:r>
      <w:r w:rsidRPr="00305303">
        <w:rPr>
          <w:rFonts w:ascii="Arial" w:hAnsi="Arial" w:cs="Arial"/>
        </w:rPr>
        <w:t xml:space="preserve"> learning to inform management decision-making. However several examples of good practice in the application of analysis and learning were identified within individual components as outlined below.</w:t>
      </w:r>
    </w:p>
    <w:p w:rsidR="004B0B88" w:rsidRPr="00305303" w:rsidRDefault="004B0B88" w:rsidP="004B0B88">
      <w:pPr>
        <w:widowControl w:val="0"/>
        <w:autoSpaceDE w:val="0"/>
        <w:autoSpaceDN w:val="0"/>
        <w:adjustRightInd w:val="0"/>
        <w:jc w:val="both"/>
        <w:rPr>
          <w:rFonts w:ascii="Arial" w:hAnsi="Arial" w:cs="Arial"/>
          <w:color w:val="FF0000"/>
        </w:rPr>
      </w:pPr>
    </w:p>
    <w:p w:rsidR="004B0B88" w:rsidRPr="00305303" w:rsidRDefault="004B0B88" w:rsidP="004B0B88">
      <w:pPr>
        <w:widowControl w:val="0"/>
        <w:autoSpaceDE w:val="0"/>
        <w:autoSpaceDN w:val="0"/>
        <w:adjustRightInd w:val="0"/>
        <w:jc w:val="both"/>
        <w:rPr>
          <w:rFonts w:ascii="Arial" w:hAnsi="Arial" w:cs="Arial"/>
          <w:shd w:val="clear" w:color="auto" w:fill="FFFFFF"/>
          <w:lang w:val="en-AU" w:eastAsia="en-US"/>
        </w:rPr>
      </w:pPr>
      <w:r w:rsidRPr="00305303">
        <w:rPr>
          <w:rFonts w:ascii="Arial" w:hAnsi="Arial" w:cs="Arial"/>
        </w:rPr>
        <w:fldChar w:fldCharType="begin"/>
      </w:r>
      <w:r w:rsidRPr="00305303">
        <w:rPr>
          <w:rFonts w:ascii="Arial" w:hAnsi="Arial" w:cs="Arial"/>
        </w:rPr>
        <w:instrText xml:space="preserve"> AUTONUM </w:instrText>
      </w:r>
      <w:r w:rsidRPr="00305303">
        <w:rPr>
          <w:rFonts w:ascii="Arial" w:hAnsi="Arial" w:cs="Arial"/>
        </w:rPr>
        <w:fldChar w:fldCharType="end"/>
      </w:r>
      <w:r w:rsidRPr="00305303">
        <w:rPr>
          <w:rFonts w:ascii="Arial" w:hAnsi="Arial" w:cs="Arial"/>
        </w:rPr>
        <w:tab/>
        <w:t xml:space="preserve"> </w:t>
      </w:r>
      <w:r w:rsidR="002F2C3F">
        <w:rPr>
          <w:rFonts w:ascii="Arial" w:hAnsi="Arial" w:cs="Arial"/>
          <w:b/>
        </w:rPr>
        <w:t>Registration and licensing</w:t>
      </w:r>
      <w:r w:rsidRPr="00305303">
        <w:rPr>
          <w:rFonts w:ascii="Arial" w:hAnsi="Arial" w:cs="Arial"/>
          <w:b/>
        </w:rPr>
        <w:t xml:space="preserve"> </w:t>
      </w:r>
      <w:r w:rsidR="002F2C3F">
        <w:rPr>
          <w:rFonts w:ascii="Arial" w:hAnsi="Arial" w:cs="Arial"/>
          <w:b/>
        </w:rPr>
        <w:t>s</w:t>
      </w:r>
      <w:r w:rsidRPr="00305303">
        <w:rPr>
          <w:rFonts w:ascii="Arial" w:hAnsi="Arial" w:cs="Arial"/>
          <w:b/>
        </w:rPr>
        <w:t xml:space="preserve">ystem - </w:t>
      </w:r>
      <w:r w:rsidR="00D844D4">
        <w:rPr>
          <w:rFonts w:ascii="Arial" w:hAnsi="Arial" w:cs="Arial"/>
          <w:b/>
        </w:rPr>
        <w:t>E</w:t>
      </w:r>
      <w:r w:rsidRPr="00305303">
        <w:rPr>
          <w:rFonts w:ascii="Arial" w:hAnsi="Arial" w:cs="Arial"/>
          <w:b/>
        </w:rPr>
        <w:t>vidence-</w:t>
      </w:r>
      <w:r w:rsidR="002F2C3F">
        <w:rPr>
          <w:rFonts w:ascii="Arial" w:hAnsi="Arial" w:cs="Arial"/>
          <w:b/>
        </w:rPr>
        <w:t>i</w:t>
      </w:r>
      <w:r w:rsidRPr="00305303">
        <w:rPr>
          <w:rFonts w:ascii="Arial" w:hAnsi="Arial" w:cs="Arial"/>
          <w:b/>
        </w:rPr>
        <w:t xml:space="preserve">nformed </w:t>
      </w:r>
      <w:r w:rsidR="002F2C3F">
        <w:rPr>
          <w:rFonts w:ascii="Arial" w:hAnsi="Arial" w:cs="Arial"/>
          <w:b/>
        </w:rPr>
        <w:t>p</w:t>
      </w:r>
      <w:r w:rsidRPr="00305303">
        <w:rPr>
          <w:rFonts w:ascii="Arial" w:hAnsi="Arial" w:cs="Arial"/>
          <w:b/>
        </w:rPr>
        <w:t xml:space="preserve">olicy </w:t>
      </w:r>
      <w:r w:rsidR="002F2C3F">
        <w:rPr>
          <w:rFonts w:ascii="Arial" w:hAnsi="Arial" w:cs="Arial"/>
          <w:b/>
        </w:rPr>
        <w:t>r</w:t>
      </w:r>
      <w:r w:rsidRPr="00305303">
        <w:rPr>
          <w:rFonts w:ascii="Arial" w:hAnsi="Arial" w:cs="Arial"/>
          <w:b/>
        </w:rPr>
        <w:t xml:space="preserve">eview. </w:t>
      </w:r>
      <w:r w:rsidRPr="00305303">
        <w:rPr>
          <w:rFonts w:ascii="Arial" w:hAnsi="Arial" w:cs="Arial"/>
        </w:rPr>
        <w:t>The AMS, under the guidance of the Vice-Minister, is undertaking a policy review to identify required amendments to the LET, Decree 87 and Circular 41. The process draws heavily on the experiences of Provinces in implementing the</w:t>
      </w:r>
      <w:r w:rsidR="00FB1E18">
        <w:rPr>
          <w:rFonts w:ascii="Arial" w:hAnsi="Arial" w:cs="Arial"/>
        </w:rPr>
        <w:t xml:space="preserve"> registration and</w:t>
      </w:r>
      <w:r w:rsidRPr="00305303">
        <w:rPr>
          <w:rFonts w:ascii="Arial" w:hAnsi="Arial" w:cs="Arial"/>
        </w:rPr>
        <w:t xml:space="preserve"> licensing system. A series of consultation workshops have been conducted with DoHs that focus on identifying regulations under the various Decrees and Circulars that are unworkable and serve as blockages to effective system operation. In parallel with this process, a Policy Specialist from Australia is providing technical review of the Decrees and Circulars to identify inconsistencies and areas for strengthening. The ICE team has assessed this process as a good example of the application of </w:t>
      </w:r>
      <w:r w:rsidRPr="00305303">
        <w:rPr>
          <w:rFonts w:ascii="Arial" w:hAnsi="Arial" w:cs="Arial"/>
          <w:shd w:val="clear" w:color="auto" w:fill="FFFFFF"/>
          <w:lang w:val="en-AU" w:eastAsia="en-US"/>
        </w:rPr>
        <w:t>evidence-informed health policy-making by MoH</w:t>
      </w:r>
      <w:r w:rsidRPr="00305303">
        <w:rPr>
          <w:rStyle w:val="FootnoteReference"/>
          <w:shd w:val="clear" w:color="auto" w:fill="FFFFFF"/>
          <w:lang w:val="en-AU" w:eastAsia="en-US"/>
        </w:rPr>
        <w:footnoteReference w:id="108"/>
      </w:r>
      <w:r w:rsidRPr="00305303">
        <w:rPr>
          <w:rFonts w:ascii="Arial" w:hAnsi="Arial" w:cs="Arial"/>
        </w:rPr>
        <w:t xml:space="preserve"> and</w:t>
      </w:r>
      <w:r w:rsidRPr="00305303">
        <w:rPr>
          <w:rFonts w:ascii="Arial" w:hAnsi="Arial" w:cs="Arial"/>
          <w:shd w:val="clear" w:color="auto" w:fill="FFFFFF"/>
          <w:lang w:val="en-AU" w:eastAsia="en-US"/>
        </w:rPr>
        <w:t xml:space="preserve"> an important output supported through the HHRSDP.</w:t>
      </w:r>
    </w:p>
    <w:p w:rsidR="004B0B88" w:rsidRPr="00305303" w:rsidRDefault="004B0B88" w:rsidP="004B0B88">
      <w:pPr>
        <w:widowControl w:val="0"/>
        <w:autoSpaceDE w:val="0"/>
        <w:autoSpaceDN w:val="0"/>
        <w:adjustRightInd w:val="0"/>
        <w:jc w:val="both"/>
        <w:rPr>
          <w:rFonts w:ascii="Arial" w:hAnsi="Arial" w:cs="Arial"/>
          <w:shd w:val="clear" w:color="auto" w:fill="FFFFFF"/>
          <w:lang w:val="en-AU" w:eastAsia="en-US"/>
        </w:rPr>
      </w:pPr>
    </w:p>
    <w:p w:rsidR="004B0B88" w:rsidRPr="00305303" w:rsidRDefault="004B0B88" w:rsidP="004B0B88">
      <w:pPr>
        <w:jc w:val="both"/>
        <w:rPr>
          <w:rFonts w:ascii="Arial" w:hAnsi="Arial" w:cs="Arial"/>
        </w:rPr>
      </w:pPr>
      <w:r w:rsidRPr="00305303">
        <w:rPr>
          <w:rFonts w:ascii="Arial" w:hAnsi="Arial" w:cs="Arial"/>
        </w:rPr>
        <w:fldChar w:fldCharType="begin"/>
      </w:r>
      <w:r w:rsidRPr="00305303">
        <w:rPr>
          <w:rFonts w:ascii="Arial" w:hAnsi="Arial" w:cs="Arial"/>
        </w:rPr>
        <w:instrText xml:space="preserve"> AUTONUM </w:instrText>
      </w:r>
      <w:r w:rsidRPr="00305303">
        <w:rPr>
          <w:rFonts w:ascii="Arial" w:hAnsi="Arial" w:cs="Arial"/>
        </w:rPr>
        <w:fldChar w:fldCharType="end"/>
      </w:r>
      <w:r w:rsidRPr="00305303">
        <w:rPr>
          <w:rFonts w:ascii="Arial" w:hAnsi="Arial" w:cs="Arial"/>
        </w:rPr>
        <w:tab/>
      </w:r>
      <w:r w:rsidRPr="00305303">
        <w:rPr>
          <w:rFonts w:ascii="Arial" w:hAnsi="Arial" w:cs="Arial"/>
          <w:b/>
        </w:rPr>
        <w:t xml:space="preserve">Accreditation of </w:t>
      </w:r>
      <w:r w:rsidR="002F2C3F">
        <w:rPr>
          <w:rFonts w:ascii="Arial" w:hAnsi="Arial" w:cs="Arial"/>
          <w:b/>
        </w:rPr>
        <w:t>m</w:t>
      </w:r>
      <w:r w:rsidRPr="00305303">
        <w:rPr>
          <w:rFonts w:ascii="Arial" w:hAnsi="Arial" w:cs="Arial"/>
          <w:b/>
        </w:rPr>
        <w:t xml:space="preserve">edical </w:t>
      </w:r>
      <w:r w:rsidR="002F2C3F">
        <w:rPr>
          <w:rFonts w:ascii="Arial" w:hAnsi="Arial" w:cs="Arial"/>
          <w:b/>
        </w:rPr>
        <w:t>u</w:t>
      </w:r>
      <w:r w:rsidRPr="00305303">
        <w:rPr>
          <w:rFonts w:ascii="Arial" w:hAnsi="Arial" w:cs="Arial"/>
          <w:b/>
        </w:rPr>
        <w:t xml:space="preserve">niversities and </w:t>
      </w:r>
      <w:r w:rsidR="002F2C3F">
        <w:rPr>
          <w:rFonts w:ascii="Arial" w:hAnsi="Arial" w:cs="Arial"/>
          <w:b/>
        </w:rPr>
        <w:t>m</w:t>
      </w:r>
      <w:r w:rsidRPr="00305303">
        <w:rPr>
          <w:rFonts w:ascii="Arial" w:hAnsi="Arial" w:cs="Arial"/>
          <w:b/>
        </w:rPr>
        <w:t xml:space="preserve">edical </w:t>
      </w:r>
      <w:r w:rsidR="002F2C3F">
        <w:rPr>
          <w:rFonts w:ascii="Arial" w:hAnsi="Arial" w:cs="Arial"/>
          <w:b/>
        </w:rPr>
        <w:t>p</w:t>
      </w:r>
      <w:r w:rsidRPr="00305303">
        <w:rPr>
          <w:rFonts w:ascii="Arial" w:hAnsi="Arial" w:cs="Arial"/>
          <w:b/>
        </w:rPr>
        <w:t>rograms</w:t>
      </w:r>
      <w:r w:rsidRPr="00305303">
        <w:rPr>
          <w:rFonts w:ascii="Arial" w:hAnsi="Arial" w:cs="Arial"/>
        </w:rPr>
        <w:t xml:space="preserve">.  Achieving accreditation of medical universities and medical programs was assessed during implementation as being overly ambitious for a five-year program. Accreditation is considered a medium-term goal requiring a phased approach based on a clear road map and key milestones. </w:t>
      </w:r>
      <w:r w:rsidR="00EF4FBB">
        <w:rPr>
          <w:rFonts w:ascii="Arial" w:hAnsi="Arial" w:cs="Arial"/>
        </w:rPr>
        <w:t>Following an</w:t>
      </w:r>
      <w:r w:rsidRPr="00305303">
        <w:rPr>
          <w:rFonts w:ascii="Arial" w:hAnsi="Arial" w:cs="Arial"/>
        </w:rPr>
        <w:t xml:space="preserve"> analysis undertaken by the ASTT, sub-component 2B, which focused on the accreditation of HPTF, was revised. A series of achievable outputs that represent preliminary steps towards the medium-term goal were defined and subsequently delivered under the sub-component.</w:t>
      </w:r>
    </w:p>
    <w:p w:rsidR="004B0B88" w:rsidRPr="00305303" w:rsidRDefault="004B0B88" w:rsidP="004B0B88">
      <w:pPr>
        <w:widowControl w:val="0"/>
        <w:autoSpaceDE w:val="0"/>
        <w:autoSpaceDN w:val="0"/>
        <w:adjustRightInd w:val="0"/>
        <w:jc w:val="both"/>
        <w:rPr>
          <w:rFonts w:ascii="Arial" w:hAnsi="Arial" w:cs="Arial"/>
        </w:rPr>
      </w:pPr>
    </w:p>
    <w:p w:rsidR="004B0B88" w:rsidRPr="00305303" w:rsidRDefault="004B0B88" w:rsidP="004B0B88">
      <w:pPr>
        <w:jc w:val="both"/>
        <w:rPr>
          <w:rFonts w:ascii="Arial" w:hAnsi="Arial" w:cs="Arial"/>
        </w:rPr>
      </w:pPr>
      <w:r w:rsidRPr="00305303">
        <w:rPr>
          <w:rFonts w:ascii="Arial" w:hAnsi="Arial" w:cs="Arial"/>
        </w:rPr>
        <w:fldChar w:fldCharType="begin"/>
      </w:r>
      <w:r w:rsidRPr="00305303">
        <w:rPr>
          <w:rFonts w:ascii="Arial" w:hAnsi="Arial" w:cs="Arial"/>
        </w:rPr>
        <w:instrText xml:space="preserve"> AUTONUM </w:instrText>
      </w:r>
      <w:r w:rsidRPr="00305303">
        <w:rPr>
          <w:rFonts w:ascii="Arial" w:hAnsi="Arial" w:cs="Arial"/>
        </w:rPr>
        <w:fldChar w:fldCharType="end"/>
      </w:r>
      <w:r w:rsidRPr="00305303">
        <w:rPr>
          <w:rFonts w:ascii="Arial" w:hAnsi="Arial" w:cs="Arial"/>
        </w:rPr>
        <w:tab/>
      </w:r>
      <w:r w:rsidRPr="00305303">
        <w:rPr>
          <w:rFonts w:ascii="Arial" w:hAnsi="Arial" w:cs="Arial"/>
          <w:b/>
        </w:rPr>
        <w:t xml:space="preserve">Care </w:t>
      </w:r>
      <w:r w:rsidR="002F2C3F">
        <w:rPr>
          <w:rFonts w:ascii="Arial" w:hAnsi="Arial" w:cs="Arial"/>
          <w:b/>
        </w:rPr>
        <w:t>p</w:t>
      </w:r>
      <w:r w:rsidRPr="00305303">
        <w:rPr>
          <w:rFonts w:ascii="Arial" w:hAnsi="Arial" w:cs="Arial"/>
          <w:b/>
        </w:rPr>
        <w:t xml:space="preserve">athways </w:t>
      </w:r>
      <w:r w:rsidR="002F2C3F">
        <w:rPr>
          <w:rFonts w:ascii="Arial" w:hAnsi="Arial" w:cs="Arial"/>
          <w:b/>
        </w:rPr>
        <w:t>p</w:t>
      </w:r>
      <w:r w:rsidRPr="00305303">
        <w:rPr>
          <w:rFonts w:ascii="Arial" w:hAnsi="Arial" w:cs="Arial"/>
          <w:b/>
        </w:rPr>
        <w:t xml:space="preserve">ilot. </w:t>
      </w:r>
      <w:r w:rsidRPr="00305303">
        <w:rPr>
          <w:rFonts w:ascii="Arial" w:hAnsi="Arial" w:cs="Arial"/>
        </w:rPr>
        <w:t>As a piloting initiative, the activity to cost CPs and test cased-based funding is</w:t>
      </w:r>
      <w:r w:rsidR="00EF4FBB">
        <w:rPr>
          <w:rFonts w:ascii="Arial" w:hAnsi="Arial" w:cs="Arial"/>
        </w:rPr>
        <w:t>,</w:t>
      </w:r>
      <w:r w:rsidRPr="00305303">
        <w:rPr>
          <w:rFonts w:ascii="Arial" w:hAnsi="Arial" w:cs="Arial"/>
        </w:rPr>
        <w:t xml:space="preserve"> by default</w:t>
      </w:r>
      <w:r w:rsidR="00EF4FBB">
        <w:rPr>
          <w:rFonts w:ascii="Arial" w:hAnsi="Arial" w:cs="Arial"/>
        </w:rPr>
        <w:t>,</w:t>
      </w:r>
      <w:r w:rsidRPr="00305303">
        <w:rPr>
          <w:rFonts w:ascii="Arial" w:hAnsi="Arial" w:cs="Arial"/>
        </w:rPr>
        <w:t xml:space="preserve"> a learning and </w:t>
      </w:r>
      <w:r w:rsidR="004D0585">
        <w:rPr>
          <w:rFonts w:ascii="Arial" w:hAnsi="Arial" w:cs="Arial"/>
        </w:rPr>
        <w:t>analysis exercise. The ICE note</w:t>
      </w:r>
      <w:r w:rsidRPr="00305303">
        <w:rPr>
          <w:rFonts w:ascii="Arial" w:hAnsi="Arial" w:cs="Arial"/>
        </w:rPr>
        <w:t xml:space="preserve"> the team has demonstrated flexibility during implementation in an effort to improve the rigor of the pilot and the utility of the findings. The increase in hospitals from 6 to 34 for the initial costing exercise followed recommendations from academics of Harvard University to ensure a statistically significant sample size. The decision t</w:t>
      </w:r>
      <w:r w:rsidR="004D0585">
        <w:rPr>
          <w:rFonts w:ascii="Arial" w:hAnsi="Arial" w:cs="Arial"/>
        </w:rPr>
        <w:t>o link the casemix database to</w:t>
      </w:r>
      <w:r w:rsidRPr="00305303">
        <w:rPr>
          <w:rFonts w:ascii="Arial" w:hAnsi="Arial" w:cs="Arial"/>
        </w:rPr>
        <w:t xml:space="preserve"> the broader DRG related work of the Technical Taskforce on Provider Payment Reform serves to maximize the benefits from the pilot. Other recommendations made during implementation, such as the need for modeling and simulation of per-case payment prior to actual implementation of the payment model, demonstrate the ongoing application of analysis and learning during the pilot activity. </w:t>
      </w:r>
    </w:p>
    <w:p w:rsidR="004B0B88" w:rsidRPr="00305303" w:rsidRDefault="004B0B88" w:rsidP="004B0B88">
      <w:pPr>
        <w:rPr>
          <w:rFonts w:ascii="Arial" w:hAnsi="Arial" w:cs="Arial"/>
          <w:sz w:val="18"/>
          <w:szCs w:val="22"/>
          <w:lang w:eastAsia="en-US"/>
        </w:rPr>
      </w:pPr>
    </w:p>
    <w:p w:rsidR="004B0B88" w:rsidRPr="00185E36" w:rsidRDefault="004B0B88" w:rsidP="00185E36">
      <w:pPr>
        <w:pStyle w:val="Heading2"/>
        <w:spacing w:after="120"/>
        <w:rPr>
          <w:bCs w:val="0"/>
          <w:i w:val="0"/>
          <w:iCs w:val="0"/>
          <w:color w:val="000000"/>
          <w:sz w:val="22"/>
          <w:szCs w:val="20"/>
          <w:lang w:eastAsia="en-US"/>
        </w:rPr>
      </w:pPr>
      <w:bookmarkStart w:id="92" w:name="_Toc423359350"/>
      <w:r w:rsidRPr="00185E36">
        <w:rPr>
          <w:bCs w:val="0"/>
          <w:i w:val="0"/>
          <w:iCs w:val="0"/>
          <w:color w:val="000000"/>
          <w:sz w:val="22"/>
          <w:szCs w:val="20"/>
          <w:lang w:eastAsia="en-US"/>
        </w:rPr>
        <w:t>L</w:t>
      </w:r>
      <w:r w:rsidR="006225AC">
        <w:rPr>
          <w:bCs w:val="0"/>
          <w:i w:val="0"/>
          <w:iCs w:val="0"/>
          <w:color w:val="000000"/>
          <w:sz w:val="22"/>
          <w:szCs w:val="20"/>
          <w:lang w:eastAsia="en-US"/>
        </w:rPr>
        <w:t>essons L</w:t>
      </w:r>
      <w:r w:rsidR="00E14483">
        <w:rPr>
          <w:bCs w:val="0"/>
          <w:i w:val="0"/>
          <w:iCs w:val="0"/>
          <w:color w:val="000000"/>
          <w:sz w:val="22"/>
          <w:szCs w:val="20"/>
          <w:lang w:eastAsia="en-US"/>
        </w:rPr>
        <w:t>earnt</w:t>
      </w:r>
      <w:bookmarkEnd w:id="92"/>
    </w:p>
    <w:p w:rsidR="004B0B88" w:rsidRPr="00305303" w:rsidRDefault="004B0B88" w:rsidP="004B0B88">
      <w:pPr>
        <w:rPr>
          <w:rFonts w:ascii="Arial" w:hAnsi="Arial" w:cs="Arial"/>
          <w:color w:val="000000"/>
        </w:rPr>
      </w:pPr>
    </w:p>
    <w:p w:rsidR="004B0B88" w:rsidRPr="00305303" w:rsidRDefault="004B0B88" w:rsidP="004B0B88">
      <w:pPr>
        <w:jc w:val="both"/>
        <w:rPr>
          <w:rFonts w:ascii="Arial" w:hAnsi="Arial" w:cs="Arial"/>
        </w:rPr>
      </w:pPr>
      <w:r w:rsidRPr="00305303">
        <w:rPr>
          <w:rFonts w:ascii="Arial" w:hAnsi="Arial" w:cs="Arial"/>
        </w:rPr>
        <w:fldChar w:fldCharType="begin"/>
      </w:r>
      <w:r w:rsidRPr="00305303">
        <w:rPr>
          <w:rFonts w:ascii="Arial" w:hAnsi="Arial" w:cs="Arial"/>
        </w:rPr>
        <w:instrText>AUTONUMLGL</w:instrText>
      </w:r>
      <w:r w:rsidRPr="00305303">
        <w:rPr>
          <w:rFonts w:ascii="Arial" w:hAnsi="Arial" w:cs="Arial"/>
        </w:rPr>
        <w:fldChar w:fldCharType="end"/>
      </w:r>
      <w:r w:rsidRPr="00305303">
        <w:rPr>
          <w:rFonts w:ascii="Arial" w:hAnsi="Arial" w:cs="Arial"/>
        </w:rPr>
        <w:tab/>
      </w:r>
      <w:r w:rsidRPr="00305303">
        <w:rPr>
          <w:rFonts w:ascii="Arial" w:hAnsi="Arial" w:cs="Arial"/>
          <w:b/>
        </w:rPr>
        <w:t xml:space="preserve">Project-based PMU </w:t>
      </w:r>
      <w:r w:rsidR="002F2C3F">
        <w:rPr>
          <w:rFonts w:ascii="Arial" w:hAnsi="Arial" w:cs="Arial"/>
          <w:b/>
        </w:rPr>
        <w:t>m</w:t>
      </w:r>
      <w:r w:rsidRPr="00305303">
        <w:rPr>
          <w:rFonts w:ascii="Arial" w:hAnsi="Arial" w:cs="Arial"/>
          <w:b/>
        </w:rPr>
        <w:t>odel.</w:t>
      </w:r>
      <w:r w:rsidRPr="00305303">
        <w:rPr>
          <w:rFonts w:ascii="Arial" w:hAnsi="Arial" w:cs="Arial"/>
        </w:rPr>
        <w:t xml:space="preserve"> The model of delivering discrete project-based investments through individual PMUs has been shown through </w:t>
      </w:r>
      <w:r w:rsidR="009C1CD7">
        <w:rPr>
          <w:rFonts w:ascii="Arial" w:hAnsi="Arial" w:cs="Arial"/>
        </w:rPr>
        <w:t>the HHRSDP</w:t>
      </w:r>
      <w:r w:rsidRPr="00305303">
        <w:rPr>
          <w:rFonts w:ascii="Arial" w:hAnsi="Arial" w:cs="Arial"/>
        </w:rPr>
        <w:t xml:space="preserve"> to be a less-efficient mechanism for investment management. The </w:t>
      </w:r>
      <w:r w:rsidRPr="00305303">
        <w:rPr>
          <w:rFonts w:ascii="Arial" w:hAnsi="Arial" w:cs="Arial"/>
          <w:color w:val="000000"/>
        </w:rPr>
        <w:t>HHRSDP design included seven sub-components with a number of interlinked outputs</w:t>
      </w:r>
      <w:r w:rsidR="004D0585">
        <w:rPr>
          <w:rFonts w:ascii="Arial" w:hAnsi="Arial" w:cs="Arial"/>
          <w:color w:val="000000"/>
        </w:rPr>
        <w:t>,</w:t>
      </w:r>
      <w:r w:rsidRPr="00305303">
        <w:rPr>
          <w:rFonts w:ascii="Arial" w:hAnsi="Arial" w:cs="Arial"/>
          <w:color w:val="000000"/>
        </w:rPr>
        <w:t xml:space="preserve"> requiring strong coordination and oversight to maximize synergies between each and, in turn, the cumulative benefits of</w:t>
      </w:r>
      <w:r w:rsidR="00EF4FBB">
        <w:rPr>
          <w:rFonts w:ascii="Arial" w:hAnsi="Arial" w:cs="Arial"/>
          <w:color w:val="000000"/>
        </w:rPr>
        <w:t xml:space="preserve"> the investment. Delivery of each sub-component</w:t>
      </w:r>
      <w:r w:rsidRPr="00305303">
        <w:rPr>
          <w:rFonts w:ascii="Arial" w:hAnsi="Arial" w:cs="Arial"/>
          <w:color w:val="000000"/>
        </w:rPr>
        <w:t xml:space="preserve"> required inputs from a large number of actors including multiple departments within MoH, 17 HPFT, the DoHs in 64 provinces, and inter-agency inputs from MOET and Viet Nam Social Security (VSS). The structure of the project-based PMU model, and specifically the part-time </w:t>
      </w:r>
      <w:r w:rsidR="00EF4FBB">
        <w:rPr>
          <w:rFonts w:ascii="Arial" w:hAnsi="Arial" w:cs="Arial"/>
          <w:color w:val="000000"/>
        </w:rPr>
        <w:t xml:space="preserve">status of the </w:t>
      </w:r>
      <w:r w:rsidR="00DF1354">
        <w:rPr>
          <w:rFonts w:ascii="Arial" w:hAnsi="Arial" w:cs="Arial"/>
          <w:color w:val="000000"/>
        </w:rPr>
        <w:t>Director</w:t>
      </w:r>
      <w:r w:rsidR="006D25B0">
        <w:rPr>
          <w:rFonts w:ascii="Arial" w:hAnsi="Arial" w:cs="Arial"/>
          <w:color w:val="000000"/>
        </w:rPr>
        <w:t>,</w:t>
      </w:r>
      <w:r w:rsidRPr="00305303">
        <w:rPr>
          <w:rFonts w:ascii="Arial" w:hAnsi="Arial" w:cs="Arial"/>
          <w:color w:val="000000"/>
        </w:rPr>
        <w:t xml:space="preserve"> Vice-Director </w:t>
      </w:r>
      <w:r w:rsidR="006D25B0">
        <w:rPr>
          <w:rFonts w:ascii="Arial" w:hAnsi="Arial" w:cs="Arial"/>
          <w:color w:val="000000"/>
        </w:rPr>
        <w:t xml:space="preserve">and Project Assistant </w:t>
      </w:r>
      <w:r w:rsidRPr="00305303">
        <w:rPr>
          <w:rFonts w:ascii="Arial" w:hAnsi="Arial" w:cs="Arial"/>
          <w:color w:val="000000"/>
        </w:rPr>
        <w:t xml:space="preserve">roles, was insufficient to ensure the oversight required. This, combined with other capacity weaknesses within PMU, contributed to the Project’s sub-optimal implementation performance. Other </w:t>
      </w:r>
      <w:r w:rsidRPr="00305303">
        <w:rPr>
          <w:rFonts w:ascii="Arial" w:hAnsi="Arial" w:cs="Arial"/>
        </w:rPr>
        <w:t xml:space="preserve">downsides of the project-based PMU model include the: (i) High transaction costs involved in establishing individual PMUs for each project; (ii) Lack of continuity between </w:t>
      </w:r>
      <w:r w:rsidR="00AF6463">
        <w:rPr>
          <w:rFonts w:ascii="Arial" w:hAnsi="Arial" w:cs="Arial"/>
        </w:rPr>
        <w:t xml:space="preserve">the </w:t>
      </w:r>
      <w:r w:rsidRPr="00305303">
        <w:rPr>
          <w:rFonts w:ascii="Arial" w:hAnsi="Arial" w:cs="Arial"/>
        </w:rPr>
        <w:t xml:space="preserve">PPTA and implementation teams;  (iii) Time lag from project inception to full implementation while staff of a new PMU familiarize themselves with procedures (both ADB and GoV) and establish systems; (iv) Loss of institutional knowledge when an individual project closes. </w:t>
      </w:r>
    </w:p>
    <w:p w:rsidR="004B0B88" w:rsidRPr="00305303" w:rsidRDefault="004B0B88" w:rsidP="004B0B88">
      <w:pPr>
        <w:jc w:val="both"/>
        <w:rPr>
          <w:rFonts w:ascii="Arial" w:hAnsi="Arial" w:cs="Arial"/>
        </w:rPr>
      </w:pPr>
    </w:p>
    <w:p w:rsidR="004B0B88" w:rsidRPr="00305303" w:rsidRDefault="004B0B88" w:rsidP="004B0B88">
      <w:pPr>
        <w:jc w:val="both"/>
        <w:rPr>
          <w:rFonts w:ascii="Arial" w:hAnsi="Arial" w:cs="Arial"/>
        </w:rPr>
      </w:pPr>
      <w:r w:rsidRPr="00305303">
        <w:rPr>
          <w:rFonts w:ascii="Arial" w:hAnsi="Arial" w:cs="Arial"/>
        </w:rPr>
        <w:fldChar w:fldCharType="begin"/>
      </w:r>
      <w:r w:rsidRPr="00305303">
        <w:rPr>
          <w:rFonts w:ascii="Arial" w:hAnsi="Arial" w:cs="Arial"/>
        </w:rPr>
        <w:instrText>AUTONUMLGL</w:instrText>
      </w:r>
      <w:r w:rsidRPr="00305303">
        <w:rPr>
          <w:rFonts w:ascii="Arial" w:hAnsi="Arial" w:cs="Arial"/>
        </w:rPr>
        <w:fldChar w:fldCharType="end"/>
      </w:r>
      <w:r w:rsidRPr="00305303">
        <w:rPr>
          <w:rFonts w:ascii="Arial" w:hAnsi="Arial" w:cs="Arial"/>
        </w:rPr>
        <w:tab/>
      </w:r>
      <w:r w:rsidR="002F2C3F">
        <w:rPr>
          <w:rFonts w:ascii="Arial" w:hAnsi="Arial" w:cs="Arial"/>
          <w:b/>
        </w:rPr>
        <w:t>P</w:t>
      </w:r>
      <w:r w:rsidR="002F2C3F" w:rsidRPr="00305303">
        <w:rPr>
          <w:rFonts w:ascii="Arial" w:hAnsi="Arial" w:cs="Arial"/>
          <w:b/>
        </w:rPr>
        <w:t>roject financing modalities</w:t>
      </w:r>
      <w:r w:rsidRPr="00305303">
        <w:rPr>
          <w:rFonts w:ascii="Arial" w:hAnsi="Arial" w:cs="Arial"/>
          <w:b/>
        </w:rPr>
        <w:t>.</w:t>
      </w:r>
      <w:r w:rsidRPr="00305303">
        <w:rPr>
          <w:rFonts w:ascii="Arial" w:hAnsi="Arial" w:cs="Arial"/>
        </w:rPr>
        <w:t xml:space="preserve"> Experience from the HHRSDP demonstrates a key limitation of input-based financing for project investments. The PPTA, in providing detailed costings, imposed a rigid framework on the PMU. Once costings in the Feasibility Study are approved the PMU has limited ability to respond flexibly to changing needs during implementation due to the complex administrative procedures for revising funding allocations. The successful delivery of the program loan under </w:t>
      </w:r>
      <w:r w:rsidR="009C1CD7">
        <w:rPr>
          <w:rFonts w:ascii="Arial" w:hAnsi="Arial" w:cs="Arial"/>
        </w:rPr>
        <w:t>the HHRSDP</w:t>
      </w:r>
      <w:r w:rsidRPr="00305303">
        <w:rPr>
          <w:rFonts w:ascii="Arial" w:hAnsi="Arial" w:cs="Arial"/>
        </w:rPr>
        <w:t xml:space="preserve"> highlights the potential gains to efficiency and effectiveness that can flow from a shift to more responsive modalities for investment financing and delivery.</w:t>
      </w:r>
    </w:p>
    <w:p w:rsidR="004B0B88" w:rsidRPr="00305303" w:rsidRDefault="004B0B88" w:rsidP="004B0B88">
      <w:pPr>
        <w:jc w:val="both"/>
        <w:rPr>
          <w:rFonts w:ascii="Arial" w:hAnsi="Arial" w:cs="Arial"/>
        </w:rPr>
      </w:pPr>
    </w:p>
    <w:p w:rsidR="004B0B88" w:rsidRPr="00305303" w:rsidRDefault="004B0B88" w:rsidP="004B0B88">
      <w:pPr>
        <w:jc w:val="both"/>
        <w:rPr>
          <w:rFonts w:ascii="Arial" w:hAnsi="Arial" w:cs="Arial"/>
          <w:b/>
          <w:color w:val="000000"/>
        </w:rPr>
      </w:pPr>
      <w:r w:rsidRPr="00305303">
        <w:rPr>
          <w:rFonts w:ascii="Arial" w:hAnsi="Arial" w:cs="Arial"/>
        </w:rPr>
        <w:fldChar w:fldCharType="begin"/>
      </w:r>
      <w:r w:rsidRPr="00305303">
        <w:rPr>
          <w:rFonts w:ascii="Arial" w:hAnsi="Arial" w:cs="Arial"/>
        </w:rPr>
        <w:instrText>AUTONUMLGL</w:instrText>
      </w:r>
      <w:r w:rsidRPr="00305303">
        <w:rPr>
          <w:rFonts w:ascii="Arial" w:hAnsi="Arial" w:cs="Arial"/>
        </w:rPr>
        <w:fldChar w:fldCharType="end"/>
      </w:r>
      <w:r w:rsidRPr="00305303">
        <w:rPr>
          <w:rFonts w:ascii="Arial" w:hAnsi="Arial" w:cs="Arial"/>
        </w:rPr>
        <w:tab/>
      </w:r>
      <w:r w:rsidR="002F2C3F">
        <w:rPr>
          <w:rFonts w:ascii="Arial" w:hAnsi="Arial" w:cs="Arial"/>
          <w:b/>
          <w:color w:val="000000"/>
        </w:rPr>
        <w:t>M</w:t>
      </w:r>
      <w:r w:rsidR="002F2C3F" w:rsidRPr="00305303">
        <w:rPr>
          <w:rFonts w:ascii="Arial" w:hAnsi="Arial" w:cs="Arial"/>
          <w:b/>
          <w:color w:val="000000"/>
        </w:rPr>
        <w:t>onitoring and evaluation</w:t>
      </w:r>
      <w:r w:rsidRPr="00305303">
        <w:rPr>
          <w:rFonts w:ascii="Arial" w:hAnsi="Arial" w:cs="Arial"/>
          <w:b/>
          <w:color w:val="000000"/>
        </w:rPr>
        <w:t xml:space="preserve">. </w:t>
      </w:r>
      <w:r w:rsidRPr="00305303">
        <w:rPr>
          <w:rFonts w:ascii="Arial" w:hAnsi="Arial" w:cs="Arial"/>
          <w:color w:val="000000"/>
        </w:rPr>
        <w:t xml:space="preserve">Monitoring and evaluation is a critical component of investment cycle management, requiring sufficient resource allocation at design to support the timely development of a comprehensive performance monitoring and evaluation system. Lessons from </w:t>
      </w:r>
      <w:r w:rsidR="009C1CD7">
        <w:rPr>
          <w:rFonts w:ascii="Arial" w:hAnsi="Arial" w:cs="Arial"/>
          <w:color w:val="000000"/>
        </w:rPr>
        <w:t>the HHRSDP</w:t>
      </w:r>
      <w:r w:rsidRPr="00305303">
        <w:rPr>
          <w:rFonts w:ascii="Arial" w:hAnsi="Arial" w:cs="Arial"/>
          <w:color w:val="000000"/>
        </w:rPr>
        <w:t xml:space="preserve"> show that inadequate resourcing of M&amp;E at the inception stage impacts on both the quality of inputs to support </w:t>
      </w:r>
      <w:r w:rsidRPr="00305303">
        <w:rPr>
          <w:rFonts w:ascii="Arial" w:hAnsi="Arial" w:cs="Arial"/>
        </w:rPr>
        <w:t>management decision-making</w:t>
      </w:r>
      <w:r w:rsidRPr="00305303">
        <w:rPr>
          <w:rFonts w:ascii="Arial" w:hAnsi="Arial" w:cs="Arial"/>
          <w:color w:val="000000"/>
        </w:rPr>
        <w:t xml:space="preserve"> during implementation</w:t>
      </w:r>
      <w:r w:rsidRPr="00305303">
        <w:rPr>
          <w:rFonts w:ascii="Arial" w:hAnsi="Arial" w:cs="Arial"/>
        </w:rPr>
        <w:t xml:space="preserve"> and the assessment of benefits of the investment at completion. </w:t>
      </w:r>
      <w:r w:rsidRPr="00305303">
        <w:rPr>
          <w:rFonts w:ascii="Arial" w:hAnsi="Arial" w:cs="Arial"/>
          <w:color w:val="000000"/>
        </w:rPr>
        <w:t>Adequate resourcing of M&amp;E will become increasingly critical as financing modalities shift towards results focused investments.</w:t>
      </w:r>
    </w:p>
    <w:p w:rsidR="004B0B88" w:rsidRPr="00305303" w:rsidRDefault="004B0B88" w:rsidP="004B0B88">
      <w:pPr>
        <w:jc w:val="both"/>
        <w:rPr>
          <w:rFonts w:ascii="Arial" w:hAnsi="Arial" w:cs="Arial"/>
          <w:color w:val="000000"/>
        </w:rPr>
      </w:pPr>
    </w:p>
    <w:p w:rsidR="004B0B88" w:rsidRPr="00305303" w:rsidRDefault="004B0B88" w:rsidP="004B0B88">
      <w:pPr>
        <w:jc w:val="both"/>
        <w:rPr>
          <w:rFonts w:ascii="Arial" w:hAnsi="Arial" w:cs="Arial"/>
          <w:color w:val="000000"/>
        </w:rPr>
      </w:pPr>
      <w:r w:rsidRPr="00305303">
        <w:rPr>
          <w:rFonts w:ascii="Arial" w:hAnsi="Arial" w:cs="Arial"/>
        </w:rPr>
        <w:fldChar w:fldCharType="begin"/>
      </w:r>
      <w:r w:rsidRPr="00305303">
        <w:rPr>
          <w:rFonts w:ascii="Arial" w:hAnsi="Arial" w:cs="Arial"/>
        </w:rPr>
        <w:instrText>AUTONUMLGL</w:instrText>
      </w:r>
      <w:r w:rsidRPr="00305303">
        <w:rPr>
          <w:rFonts w:ascii="Arial" w:hAnsi="Arial" w:cs="Arial"/>
        </w:rPr>
        <w:fldChar w:fldCharType="end"/>
      </w:r>
      <w:r w:rsidRPr="00305303">
        <w:rPr>
          <w:rFonts w:ascii="Arial" w:hAnsi="Arial" w:cs="Arial"/>
        </w:rPr>
        <w:tab/>
      </w:r>
      <w:r w:rsidRPr="00305303">
        <w:rPr>
          <w:rFonts w:ascii="Arial" w:hAnsi="Arial" w:cs="Arial"/>
          <w:b/>
          <w:color w:val="000000"/>
        </w:rPr>
        <w:t xml:space="preserve">Procurement. </w:t>
      </w:r>
      <w:r w:rsidRPr="00305303">
        <w:rPr>
          <w:rFonts w:ascii="Arial" w:hAnsi="Arial" w:cs="Arial"/>
          <w:color w:val="000000"/>
        </w:rPr>
        <w:t xml:space="preserve">The procurement plan at design included several consulting service packages of large technical scope and value. Consulting </w:t>
      </w:r>
      <w:r w:rsidR="00637960">
        <w:rPr>
          <w:rFonts w:ascii="Arial" w:hAnsi="Arial" w:cs="Arial"/>
          <w:color w:val="000000"/>
        </w:rPr>
        <w:t>packages</w:t>
      </w:r>
      <w:r w:rsidRPr="00305303">
        <w:rPr>
          <w:rFonts w:ascii="Arial" w:hAnsi="Arial" w:cs="Arial"/>
          <w:color w:val="000000"/>
        </w:rPr>
        <w:t xml:space="preserve"> containing multiple technical functions are subject to lengthy approval processes, requiring simultaneous review by multiple departments within MOH. Consulting packages of this size present additional risk due to the limited pool of firms with the technical capacity to implement the ToR. Several packages of smaller scope and value present less risk. Similar lessons were noted with respect to equipment procurement, with several large packages included at design being broken into smaller contracts to allow greater competition in bidding and to enable progressive processing of packages.</w:t>
      </w:r>
    </w:p>
    <w:p w:rsidR="004B0B88" w:rsidRPr="00305303" w:rsidRDefault="004B0B88" w:rsidP="004B0B88">
      <w:pPr>
        <w:jc w:val="both"/>
        <w:rPr>
          <w:rFonts w:ascii="Arial" w:hAnsi="Arial" w:cs="Arial"/>
        </w:rPr>
      </w:pPr>
    </w:p>
    <w:p w:rsidR="004B0B88" w:rsidRPr="00305303" w:rsidRDefault="004B0B88" w:rsidP="004B0B88">
      <w:pPr>
        <w:jc w:val="both"/>
        <w:rPr>
          <w:rFonts w:ascii="Arial" w:hAnsi="Arial" w:cs="Arial"/>
        </w:rPr>
      </w:pPr>
      <w:r w:rsidRPr="00305303">
        <w:rPr>
          <w:rFonts w:ascii="Arial" w:hAnsi="Arial" w:cs="Arial"/>
        </w:rPr>
        <w:fldChar w:fldCharType="begin"/>
      </w:r>
      <w:r w:rsidRPr="00305303">
        <w:rPr>
          <w:rFonts w:ascii="Arial" w:hAnsi="Arial" w:cs="Arial"/>
        </w:rPr>
        <w:instrText>AUTONUMLGL</w:instrText>
      </w:r>
      <w:r w:rsidRPr="00305303">
        <w:rPr>
          <w:rFonts w:ascii="Arial" w:hAnsi="Arial" w:cs="Arial"/>
        </w:rPr>
        <w:fldChar w:fldCharType="end"/>
      </w:r>
      <w:r w:rsidRPr="00305303">
        <w:rPr>
          <w:rFonts w:ascii="Arial" w:hAnsi="Arial" w:cs="Arial"/>
        </w:rPr>
        <w:tab/>
      </w:r>
      <w:r w:rsidRPr="00305303">
        <w:rPr>
          <w:rFonts w:ascii="Arial" w:hAnsi="Arial" w:cs="Arial"/>
          <w:b/>
          <w:color w:val="000000"/>
        </w:rPr>
        <w:t xml:space="preserve">Risk </w:t>
      </w:r>
      <w:r w:rsidR="002F2C3F">
        <w:rPr>
          <w:rFonts w:ascii="Arial" w:hAnsi="Arial" w:cs="Arial"/>
          <w:b/>
          <w:color w:val="000000"/>
        </w:rPr>
        <w:t>m</w:t>
      </w:r>
      <w:r w:rsidRPr="00305303">
        <w:rPr>
          <w:rFonts w:ascii="Arial" w:hAnsi="Arial" w:cs="Arial"/>
          <w:b/>
          <w:color w:val="000000"/>
        </w:rPr>
        <w:t xml:space="preserve">anagement. </w:t>
      </w:r>
      <w:r w:rsidRPr="00305303">
        <w:rPr>
          <w:rFonts w:ascii="Arial" w:hAnsi="Arial" w:cs="Arial"/>
          <w:color w:val="000000"/>
        </w:rPr>
        <w:t>The termination date of DFAT</w:t>
      </w:r>
      <w:r w:rsidR="00637960">
        <w:rPr>
          <w:rFonts w:ascii="Arial" w:hAnsi="Arial" w:cs="Arial"/>
          <w:color w:val="000000"/>
        </w:rPr>
        <w:t>’</w:t>
      </w:r>
      <w:r w:rsidRPr="00305303">
        <w:rPr>
          <w:rFonts w:ascii="Arial" w:hAnsi="Arial" w:cs="Arial"/>
          <w:color w:val="000000"/>
        </w:rPr>
        <w:t xml:space="preserve">s Co-financing Agreement with ADB was 01 </w:t>
      </w:r>
      <w:r w:rsidRPr="00305303">
        <w:rPr>
          <w:rFonts w:ascii="Arial" w:hAnsi="Arial" w:cs="Arial"/>
        </w:rPr>
        <w:t xml:space="preserve">July 2015 whereas the closing date </w:t>
      </w:r>
      <w:r w:rsidR="004140FD">
        <w:rPr>
          <w:rFonts w:ascii="Arial" w:hAnsi="Arial" w:cs="Arial"/>
        </w:rPr>
        <w:t xml:space="preserve">for the project loan </w:t>
      </w:r>
      <w:r w:rsidRPr="00305303">
        <w:rPr>
          <w:rFonts w:ascii="Arial" w:hAnsi="Arial" w:cs="Arial"/>
        </w:rPr>
        <w:t>was 30 June 2016. In a situation where DFAT will knowingly exit an ongoing project, a risk management strategy that identifies the potential impact of this exit on the investment’s effectiveness, efficiency and sustainability should be prepared at outset and appropriate risk mitigation strategies identified.</w:t>
      </w:r>
    </w:p>
    <w:p w:rsidR="004B0B88" w:rsidRPr="00305303" w:rsidRDefault="004B0B88" w:rsidP="004B0B88">
      <w:pPr>
        <w:jc w:val="both"/>
        <w:rPr>
          <w:rFonts w:ascii="Arial" w:hAnsi="Arial" w:cs="Arial"/>
        </w:rPr>
      </w:pPr>
    </w:p>
    <w:p w:rsidR="004B0B88" w:rsidRPr="00185E36" w:rsidRDefault="004B0B88" w:rsidP="00185E36">
      <w:pPr>
        <w:pStyle w:val="Heading2"/>
        <w:spacing w:after="120"/>
        <w:rPr>
          <w:bCs w:val="0"/>
          <w:i w:val="0"/>
          <w:iCs w:val="0"/>
          <w:color w:val="000000"/>
          <w:sz w:val="22"/>
          <w:szCs w:val="20"/>
          <w:lang w:eastAsia="en-US"/>
        </w:rPr>
      </w:pPr>
      <w:bookmarkStart w:id="93" w:name="_Toc423359351"/>
      <w:r w:rsidRPr="00185E36">
        <w:rPr>
          <w:bCs w:val="0"/>
          <w:i w:val="0"/>
          <w:iCs w:val="0"/>
          <w:color w:val="000000"/>
          <w:sz w:val="22"/>
          <w:szCs w:val="20"/>
          <w:lang w:eastAsia="en-US"/>
        </w:rPr>
        <w:t>R</w:t>
      </w:r>
      <w:r w:rsidR="00E14483">
        <w:rPr>
          <w:bCs w:val="0"/>
          <w:i w:val="0"/>
          <w:iCs w:val="0"/>
          <w:color w:val="000000"/>
          <w:sz w:val="22"/>
          <w:szCs w:val="20"/>
          <w:lang w:eastAsia="en-US"/>
        </w:rPr>
        <w:t>ecommendations</w:t>
      </w:r>
      <w:bookmarkEnd w:id="93"/>
    </w:p>
    <w:p w:rsidR="004B0B88" w:rsidRPr="00EE4E98" w:rsidRDefault="004B0B88" w:rsidP="004B0B88">
      <w:pPr>
        <w:pStyle w:val="Heading3"/>
        <w:numPr>
          <w:ilvl w:val="2"/>
          <w:numId w:val="31"/>
        </w:numPr>
        <w:spacing w:after="120"/>
        <w:ind w:left="720" w:hanging="578"/>
        <w:rPr>
          <w:bCs w:val="0"/>
          <w:sz w:val="21"/>
          <w:szCs w:val="21"/>
        </w:rPr>
      </w:pPr>
      <w:bookmarkStart w:id="94" w:name="_Toc423359352"/>
      <w:r w:rsidRPr="00EE4E98">
        <w:rPr>
          <w:bCs w:val="0"/>
          <w:sz w:val="21"/>
          <w:szCs w:val="21"/>
        </w:rPr>
        <w:t>Recommendations for</w:t>
      </w:r>
      <w:r w:rsidR="00FE14A1">
        <w:rPr>
          <w:bCs w:val="0"/>
          <w:sz w:val="21"/>
          <w:szCs w:val="21"/>
        </w:rPr>
        <w:t xml:space="preserve"> </w:t>
      </w:r>
      <w:r w:rsidR="00FE14A1" w:rsidRPr="00EE4E98">
        <w:rPr>
          <w:bCs w:val="0"/>
          <w:sz w:val="21"/>
          <w:szCs w:val="21"/>
        </w:rPr>
        <w:t>Implementation</w:t>
      </w:r>
      <w:r w:rsidR="00FE14A1">
        <w:rPr>
          <w:bCs w:val="0"/>
          <w:sz w:val="21"/>
          <w:szCs w:val="21"/>
        </w:rPr>
        <w:t xml:space="preserve"> of the </w:t>
      </w:r>
      <w:r w:rsidRPr="00EE4E98">
        <w:rPr>
          <w:bCs w:val="0"/>
          <w:sz w:val="21"/>
          <w:szCs w:val="21"/>
        </w:rPr>
        <w:t>HHRSDP</w:t>
      </w:r>
      <w:bookmarkEnd w:id="94"/>
    </w:p>
    <w:p w:rsidR="004B0B88" w:rsidRPr="00305303" w:rsidRDefault="004B0B88" w:rsidP="004B0B88">
      <w:pPr>
        <w:jc w:val="both"/>
        <w:rPr>
          <w:rFonts w:ascii="Arial" w:hAnsi="Arial" w:cs="Arial"/>
        </w:rPr>
      </w:pPr>
      <w:r w:rsidRPr="00305303">
        <w:rPr>
          <w:rFonts w:ascii="Arial" w:hAnsi="Arial" w:cs="Arial"/>
        </w:rPr>
        <w:fldChar w:fldCharType="begin"/>
      </w:r>
      <w:r w:rsidRPr="00305303">
        <w:rPr>
          <w:rFonts w:ascii="Arial" w:hAnsi="Arial" w:cs="Arial"/>
        </w:rPr>
        <w:instrText>AUTONUMLGL</w:instrText>
      </w:r>
      <w:r w:rsidRPr="00305303">
        <w:rPr>
          <w:rFonts w:ascii="Arial" w:hAnsi="Arial" w:cs="Arial"/>
        </w:rPr>
        <w:fldChar w:fldCharType="end"/>
      </w:r>
      <w:r w:rsidRPr="00305303">
        <w:rPr>
          <w:rFonts w:ascii="Arial" w:hAnsi="Arial" w:cs="Arial"/>
        </w:rPr>
        <w:tab/>
      </w:r>
      <w:r w:rsidRPr="00305303">
        <w:rPr>
          <w:rFonts w:ascii="Arial" w:hAnsi="Arial" w:cs="Arial"/>
          <w:b/>
        </w:rPr>
        <w:t xml:space="preserve">Extension to </w:t>
      </w:r>
      <w:r w:rsidR="00480E5D">
        <w:rPr>
          <w:rFonts w:ascii="Arial" w:hAnsi="Arial" w:cs="Arial"/>
          <w:b/>
        </w:rPr>
        <w:t>p</w:t>
      </w:r>
      <w:r w:rsidRPr="00305303">
        <w:rPr>
          <w:rFonts w:ascii="Arial" w:hAnsi="Arial" w:cs="Arial"/>
          <w:b/>
        </w:rPr>
        <w:t xml:space="preserve">roject </w:t>
      </w:r>
      <w:r w:rsidR="00480E5D">
        <w:rPr>
          <w:rFonts w:ascii="Arial" w:hAnsi="Arial" w:cs="Arial"/>
          <w:b/>
        </w:rPr>
        <w:t>i</w:t>
      </w:r>
      <w:r w:rsidRPr="00305303">
        <w:rPr>
          <w:rFonts w:ascii="Arial" w:hAnsi="Arial" w:cs="Arial"/>
          <w:b/>
        </w:rPr>
        <w:t>mplementation.</w:t>
      </w:r>
      <w:r w:rsidRPr="00305303">
        <w:rPr>
          <w:rFonts w:ascii="Arial" w:hAnsi="Arial" w:cs="Arial"/>
        </w:rPr>
        <w:t xml:space="preserve"> The PMU has proposed a 12-month extension to project implementation, which is currently under review by ADB and MoH. The ICE team assess the extension as warranted to capitalize on progress that has now been made in delivering key outputs, including those funded under the grant. An extension will allow the remaining outputs to be delivered in full, thereby maximizing </w:t>
      </w:r>
      <w:r w:rsidRPr="00305303">
        <w:rPr>
          <w:rFonts w:ascii="Arial" w:hAnsi="Arial" w:cs="Arial"/>
          <w:color w:val="000000"/>
        </w:rPr>
        <w:t>the benefits of the program loan, project loan and grant investments.</w:t>
      </w:r>
    </w:p>
    <w:p w:rsidR="004B0B88" w:rsidRPr="00305303" w:rsidRDefault="004B0B88" w:rsidP="004B0B88">
      <w:pPr>
        <w:rPr>
          <w:rFonts w:ascii="Arial" w:hAnsi="Arial" w:cs="Arial"/>
        </w:rPr>
      </w:pPr>
    </w:p>
    <w:p w:rsidR="004B0B88" w:rsidRPr="00305303" w:rsidRDefault="004B0B88" w:rsidP="004B0B88">
      <w:pPr>
        <w:jc w:val="both"/>
        <w:rPr>
          <w:rFonts w:ascii="Arial" w:hAnsi="Arial" w:cs="Arial"/>
        </w:rPr>
      </w:pPr>
      <w:r w:rsidRPr="00185E36">
        <w:rPr>
          <w:rFonts w:ascii="Arial" w:hAnsi="Arial" w:cs="Arial"/>
        </w:rPr>
        <w:fldChar w:fldCharType="begin"/>
      </w:r>
      <w:r w:rsidRPr="00185E36">
        <w:rPr>
          <w:rFonts w:ascii="Arial" w:hAnsi="Arial" w:cs="Arial"/>
        </w:rPr>
        <w:instrText>AUTONUMLGL</w:instrText>
      </w:r>
      <w:r w:rsidRPr="00185E36">
        <w:rPr>
          <w:rFonts w:ascii="Arial" w:hAnsi="Arial" w:cs="Arial"/>
        </w:rPr>
        <w:fldChar w:fldCharType="end"/>
      </w:r>
      <w:r w:rsidRPr="00185E36">
        <w:rPr>
          <w:rFonts w:ascii="Arial" w:hAnsi="Arial" w:cs="Arial"/>
        </w:rPr>
        <w:tab/>
      </w:r>
      <w:r w:rsidRPr="00185E36">
        <w:rPr>
          <w:rFonts w:ascii="Arial" w:hAnsi="Arial" w:cs="Arial"/>
          <w:b/>
        </w:rPr>
        <w:t xml:space="preserve">Review of </w:t>
      </w:r>
      <w:r w:rsidR="00480E5D" w:rsidRPr="00185E36">
        <w:rPr>
          <w:rFonts w:ascii="Arial" w:hAnsi="Arial" w:cs="Arial"/>
          <w:b/>
        </w:rPr>
        <w:t>p</w:t>
      </w:r>
      <w:r w:rsidRPr="00185E36">
        <w:rPr>
          <w:rFonts w:ascii="Arial" w:hAnsi="Arial" w:cs="Arial"/>
          <w:b/>
        </w:rPr>
        <w:t xml:space="preserve">lanning </w:t>
      </w:r>
      <w:r w:rsidR="00480E5D" w:rsidRPr="00185E36">
        <w:rPr>
          <w:rFonts w:ascii="Arial" w:hAnsi="Arial" w:cs="Arial"/>
          <w:b/>
        </w:rPr>
        <w:t>c</w:t>
      </w:r>
      <w:r w:rsidRPr="00185E36">
        <w:rPr>
          <w:rFonts w:ascii="Arial" w:hAnsi="Arial" w:cs="Arial"/>
          <w:b/>
        </w:rPr>
        <w:t xml:space="preserve">apacity. </w:t>
      </w:r>
      <w:r w:rsidRPr="00185E36">
        <w:rPr>
          <w:rFonts w:ascii="Arial" w:hAnsi="Arial" w:cs="Arial"/>
        </w:rPr>
        <w:t xml:space="preserve">Efficient planning will be critical to the effective delivery of outputs during the proposed extension period. </w:t>
      </w:r>
      <w:r w:rsidR="00E6627E" w:rsidRPr="00185E36">
        <w:rPr>
          <w:rFonts w:ascii="Arial" w:hAnsi="Arial" w:cs="Arial"/>
        </w:rPr>
        <w:t>With a potential eighteen</w:t>
      </w:r>
      <w:r w:rsidRPr="00185E36">
        <w:rPr>
          <w:rFonts w:ascii="Arial" w:hAnsi="Arial" w:cs="Arial"/>
        </w:rPr>
        <w:t xml:space="preserve"> months of implementation remaining an objective review of the planning capacity within the Project and the systems to support this is warranted. The review should determine key barriers to systematic planning and provide specific recommendations for changes to systems, tools or personnel to ensure efficient project delivery </w:t>
      </w:r>
      <w:r w:rsidR="00E6627E" w:rsidRPr="00185E36">
        <w:rPr>
          <w:rFonts w:ascii="Arial" w:hAnsi="Arial" w:cs="Arial"/>
        </w:rPr>
        <w:t>through to completion.</w:t>
      </w:r>
      <w:r w:rsidRPr="00305303">
        <w:rPr>
          <w:rFonts w:ascii="Arial" w:hAnsi="Arial" w:cs="Arial"/>
        </w:rPr>
        <w:t xml:space="preserve"> </w:t>
      </w:r>
    </w:p>
    <w:p w:rsidR="004B0B88" w:rsidRPr="00305303" w:rsidRDefault="004B0B88" w:rsidP="004B0B88">
      <w:pPr>
        <w:rPr>
          <w:rFonts w:ascii="Arial" w:hAnsi="Arial" w:cs="Arial"/>
        </w:rPr>
      </w:pPr>
    </w:p>
    <w:p w:rsidR="004B0B88" w:rsidRPr="00305303" w:rsidRDefault="004B0B88" w:rsidP="004B0B88">
      <w:pPr>
        <w:jc w:val="both"/>
        <w:rPr>
          <w:rFonts w:ascii="Arial" w:hAnsi="Arial" w:cs="Arial"/>
          <w:color w:val="000000"/>
        </w:rPr>
      </w:pPr>
      <w:r w:rsidRPr="00305303">
        <w:rPr>
          <w:rFonts w:ascii="Arial" w:hAnsi="Arial" w:cs="Arial"/>
        </w:rPr>
        <w:fldChar w:fldCharType="begin"/>
      </w:r>
      <w:r w:rsidRPr="00305303">
        <w:rPr>
          <w:rFonts w:ascii="Arial" w:hAnsi="Arial" w:cs="Arial"/>
        </w:rPr>
        <w:instrText>AUTONUMLGL</w:instrText>
      </w:r>
      <w:r w:rsidRPr="00305303">
        <w:rPr>
          <w:rFonts w:ascii="Arial" w:hAnsi="Arial" w:cs="Arial"/>
        </w:rPr>
        <w:fldChar w:fldCharType="end"/>
      </w:r>
      <w:r w:rsidRPr="00305303">
        <w:rPr>
          <w:rFonts w:ascii="Arial" w:hAnsi="Arial" w:cs="Arial"/>
        </w:rPr>
        <w:tab/>
      </w:r>
      <w:r w:rsidRPr="00305303">
        <w:rPr>
          <w:rFonts w:ascii="Arial" w:hAnsi="Arial" w:cs="Arial"/>
          <w:b/>
          <w:color w:val="000000"/>
        </w:rPr>
        <w:t xml:space="preserve">Monitoring and </w:t>
      </w:r>
      <w:r w:rsidR="00480E5D">
        <w:rPr>
          <w:rFonts w:ascii="Arial" w:hAnsi="Arial" w:cs="Arial"/>
          <w:b/>
          <w:color w:val="000000"/>
        </w:rPr>
        <w:t>e</w:t>
      </w:r>
      <w:r w:rsidRPr="00305303">
        <w:rPr>
          <w:rFonts w:ascii="Arial" w:hAnsi="Arial" w:cs="Arial"/>
          <w:b/>
          <w:color w:val="000000"/>
        </w:rPr>
        <w:t xml:space="preserve">valuation. </w:t>
      </w:r>
      <w:r w:rsidRPr="00305303">
        <w:rPr>
          <w:rFonts w:ascii="Arial" w:hAnsi="Arial" w:cs="Arial"/>
          <w:color w:val="000000"/>
        </w:rPr>
        <w:t xml:space="preserve">The Project’s final evaluation provides an important opportunity to assess the combined </w:t>
      </w:r>
      <w:r w:rsidRPr="00305303">
        <w:rPr>
          <w:rFonts w:ascii="Arial" w:hAnsi="Arial" w:cs="Arial"/>
        </w:rPr>
        <w:t xml:space="preserve">benefits of the program loan, project loan and grant investments. </w:t>
      </w:r>
      <w:r w:rsidRPr="00305303">
        <w:rPr>
          <w:rFonts w:ascii="Arial" w:hAnsi="Arial" w:cs="Arial"/>
          <w:color w:val="000000"/>
        </w:rPr>
        <w:t>The ICE team recommend the final evaluation incorporate systematic assessment of the following outcome areas:</w:t>
      </w:r>
      <w:r w:rsidRPr="00305303">
        <w:rPr>
          <w:rFonts w:ascii="Arial" w:hAnsi="Arial" w:cs="Arial"/>
        </w:rPr>
        <w:t xml:space="preserve"> (i) Improved learning experiences of students following equipment provision, facility upgrades and teacher training</w:t>
      </w:r>
      <w:r w:rsidRPr="00305303">
        <w:rPr>
          <w:rFonts w:ascii="Arial" w:hAnsi="Arial" w:cs="Arial"/>
          <w:color w:val="000000"/>
        </w:rPr>
        <w:t xml:space="preserve">; (ii) </w:t>
      </w:r>
      <w:r w:rsidRPr="00305303">
        <w:rPr>
          <w:rFonts w:ascii="Arial" w:hAnsi="Arial" w:cs="Arial"/>
        </w:rPr>
        <w:t xml:space="preserve">Training outcomes and, specifically, the extent to which new teaching methods are applied by teaching staff; (iii) </w:t>
      </w:r>
      <w:r w:rsidRPr="00305303">
        <w:rPr>
          <w:rFonts w:ascii="Arial" w:hAnsi="Arial" w:cs="Arial"/>
          <w:color w:val="000000"/>
        </w:rPr>
        <w:t xml:space="preserve">The Project’s direct and indirect contributions to increasing the number of EM students graduating from HPTF and the proportion that return to work in rural and remote areas; (iv) </w:t>
      </w:r>
      <w:r w:rsidRPr="00305303">
        <w:rPr>
          <w:rFonts w:ascii="Arial" w:hAnsi="Arial" w:cs="Arial"/>
        </w:rPr>
        <w:t xml:space="preserve">The contributions, both intended and unintended, of the CPs pilot to MoH’s wider work on provider payment reform. </w:t>
      </w:r>
      <w:r w:rsidRPr="00305303">
        <w:rPr>
          <w:rFonts w:ascii="Arial" w:hAnsi="Arial" w:cs="Arial"/>
          <w:color w:val="000000"/>
        </w:rPr>
        <w:t>In addition</w:t>
      </w:r>
      <w:r w:rsidR="008E66ED">
        <w:rPr>
          <w:rFonts w:ascii="Arial" w:hAnsi="Arial" w:cs="Arial"/>
          <w:color w:val="000000"/>
        </w:rPr>
        <w:t>,</w:t>
      </w:r>
      <w:r w:rsidRPr="00305303">
        <w:rPr>
          <w:rFonts w:ascii="Arial" w:hAnsi="Arial" w:cs="Arial"/>
          <w:color w:val="000000"/>
        </w:rPr>
        <w:t xml:space="preserve"> the </w:t>
      </w:r>
      <w:r w:rsidRPr="00305303">
        <w:rPr>
          <w:rFonts w:ascii="Arial" w:hAnsi="Arial" w:cs="Arial"/>
        </w:rPr>
        <w:t xml:space="preserve">final evaluation should include an audit of equipment supplied to </w:t>
      </w:r>
      <w:r w:rsidR="008E66ED">
        <w:rPr>
          <w:rFonts w:ascii="Arial" w:hAnsi="Arial" w:cs="Arial"/>
        </w:rPr>
        <w:t xml:space="preserve">the </w:t>
      </w:r>
      <w:r w:rsidRPr="00305303">
        <w:rPr>
          <w:rFonts w:ascii="Arial" w:hAnsi="Arial" w:cs="Arial"/>
        </w:rPr>
        <w:t>HPTF to assess: (i) The proportion of equipment that is installed; (ii) The proportion of equipment that is functioning; (iii) The frequency of use. The</w:t>
      </w:r>
      <w:r w:rsidRPr="00305303">
        <w:rPr>
          <w:rFonts w:ascii="Arial" w:hAnsi="Arial" w:cs="Arial"/>
          <w:color w:val="000000"/>
        </w:rPr>
        <w:t xml:space="preserve"> extension to the project implementation period, if approved, provides the opportunity to establish mechanis</w:t>
      </w:r>
      <w:r w:rsidR="008E66ED">
        <w:rPr>
          <w:rFonts w:ascii="Arial" w:hAnsi="Arial" w:cs="Arial"/>
          <w:color w:val="000000"/>
        </w:rPr>
        <w:t>ms for capturing data for the above-</w:t>
      </w:r>
      <w:r w:rsidRPr="00305303">
        <w:rPr>
          <w:rFonts w:ascii="Arial" w:hAnsi="Arial" w:cs="Arial"/>
          <w:color w:val="000000"/>
        </w:rPr>
        <w:t xml:space="preserve">mentioned assessments. </w:t>
      </w:r>
    </w:p>
    <w:p w:rsidR="004B0B88" w:rsidRPr="00305303" w:rsidRDefault="004B0B88" w:rsidP="004B0B88">
      <w:pPr>
        <w:jc w:val="both"/>
        <w:rPr>
          <w:rFonts w:ascii="Arial" w:hAnsi="Arial" w:cs="Arial"/>
          <w:color w:val="000000"/>
        </w:rPr>
      </w:pPr>
    </w:p>
    <w:p w:rsidR="004B0B88" w:rsidRPr="00305303" w:rsidRDefault="004B0B88" w:rsidP="004B0B88">
      <w:pPr>
        <w:jc w:val="both"/>
        <w:rPr>
          <w:rFonts w:ascii="Arial" w:hAnsi="Arial" w:cs="Arial"/>
          <w:color w:val="000000"/>
        </w:rPr>
      </w:pPr>
      <w:r w:rsidRPr="00305303">
        <w:rPr>
          <w:rFonts w:ascii="Arial" w:hAnsi="Arial" w:cs="Arial"/>
        </w:rPr>
        <w:fldChar w:fldCharType="begin"/>
      </w:r>
      <w:r w:rsidRPr="00305303">
        <w:rPr>
          <w:rFonts w:ascii="Arial" w:hAnsi="Arial" w:cs="Arial"/>
        </w:rPr>
        <w:instrText>AUTONUMLGL</w:instrText>
      </w:r>
      <w:r w:rsidRPr="00305303">
        <w:rPr>
          <w:rFonts w:ascii="Arial" w:hAnsi="Arial" w:cs="Arial"/>
        </w:rPr>
        <w:fldChar w:fldCharType="end"/>
      </w:r>
      <w:r w:rsidRPr="00305303">
        <w:rPr>
          <w:rFonts w:ascii="Arial" w:hAnsi="Arial" w:cs="Arial"/>
        </w:rPr>
        <w:tab/>
      </w:r>
      <w:r w:rsidRPr="00305303">
        <w:rPr>
          <w:rFonts w:ascii="Arial" w:hAnsi="Arial" w:cs="Arial"/>
          <w:b/>
          <w:color w:val="000000"/>
        </w:rPr>
        <w:t xml:space="preserve">Knowledge </w:t>
      </w:r>
      <w:r w:rsidR="00480E5D">
        <w:rPr>
          <w:rFonts w:ascii="Arial" w:hAnsi="Arial" w:cs="Arial"/>
          <w:b/>
          <w:color w:val="000000"/>
        </w:rPr>
        <w:t>m</w:t>
      </w:r>
      <w:r w:rsidRPr="00305303">
        <w:rPr>
          <w:rFonts w:ascii="Arial" w:hAnsi="Arial" w:cs="Arial"/>
          <w:b/>
          <w:color w:val="000000"/>
        </w:rPr>
        <w:t xml:space="preserve">anagement. </w:t>
      </w:r>
      <w:r w:rsidRPr="00305303">
        <w:rPr>
          <w:rFonts w:ascii="Arial" w:hAnsi="Arial" w:cs="Arial"/>
          <w:color w:val="000000"/>
        </w:rPr>
        <w:t xml:space="preserve">The current decentralized nature of the Project, with components located in different </w:t>
      </w:r>
      <w:r w:rsidR="00BF087C">
        <w:rPr>
          <w:rFonts w:ascii="Arial" w:hAnsi="Arial" w:cs="Arial"/>
          <w:color w:val="000000"/>
        </w:rPr>
        <w:t xml:space="preserve">offices, presents the risk </w:t>
      </w:r>
      <w:r w:rsidRPr="00305303">
        <w:rPr>
          <w:rFonts w:ascii="Arial" w:hAnsi="Arial" w:cs="Arial"/>
          <w:color w:val="000000"/>
        </w:rPr>
        <w:t xml:space="preserve">at completion </w:t>
      </w:r>
      <w:r w:rsidR="00BF087C">
        <w:rPr>
          <w:rFonts w:ascii="Arial" w:hAnsi="Arial" w:cs="Arial"/>
          <w:color w:val="000000"/>
        </w:rPr>
        <w:t xml:space="preserve">that </w:t>
      </w:r>
      <w:r w:rsidRPr="00305303">
        <w:rPr>
          <w:rFonts w:ascii="Arial" w:hAnsi="Arial" w:cs="Arial"/>
          <w:color w:val="000000"/>
        </w:rPr>
        <w:t xml:space="preserve">the outputs, products and learning of the Project will be lost. The extension period provides an opportunity to ensure systems for effective knowledge management </w:t>
      </w:r>
      <w:r w:rsidR="005A323C">
        <w:rPr>
          <w:rFonts w:ascii="Arial" w:hAnsi="Arial" w:cs="Arial"/>
          <w:color w:val="000000"/>
        </w:rPr>
        <w:t>and the transfer</w:t>
      </w:r>
      <w:r w:rsidRPr="00305303">
        <w:rPr>
          <w:rFonts w:ascii="Arial" w:hAnsi="Arial" w:cs="Arial"/>
          <w:color w:val="000000"/>
        </w:rPr>
        <w:t xml:space="preserve"> of outputs, products and learning to the MoH are in place.</w:t>
      </w:r>
    </w:p>
    <w:p w:rsidR="004B0B88" w:rsidRPr="00305303" w:rsidRDefault="004B0B88" w:rsidP="004B0B88">
      <w:pPr>
        <w:jc w:val="both"/>
        <w:rPr>
          <w:rFonts w:ascii="Arial" w:hAnsi="Arial" w:cs="Arial"/>
          <w:color w:val="000000"/>
        </w:rPr>
      </w:pPr>
    </w:p>
    <w:p w:rsidR="004B0B88" w:rsidRPr="00305303" w:rsidRDefault="004B0B88" w:rsidP="004B0B88">
      <w:pPr>
        <w:pStyle w:val="Heading3"/>
        <w:numPr>
          <w:ilvl w:val="2"/>
          <w:numId w:val="31"/>
        </w:numPr>
        <w:spacing w:after="120"/>
        <w:ind w:left="720" w:hanging="578"/>
        <w:rPr>
          <w:bCs w:val="0"/>
          <w:sz w:val="20"/>
        </w:rPr>
      </w:pPr>
      <w:bookmarkStart w:id="95" w:name="_Toc423359353"/>
      <w:r w:rsidRPr="00305303">
        <w:rPr>
          <w:bCs w:val="0"/>
          <w:sz w:val="20"/>
        </w:rPr>
        <w:t>Recommendations for Future Programming</w:t>
      </w:r>
      <w:bookmarkEnd w:id="95"/>
    </w:p>
    <w:p w:rsidR="004B0B88" w:rsidRPr="00305303" w:rsidRDefault="004B0B88" w:rsidP="004B0B88">
      <w:pPr>
        <w:jc w:val="both"/>
        <w:rPr>
          <w:rFonts w:ascii="Arial" w:hAnsi="Arial" w:cs="Arial"/>
        </w:rPr>
      </w:pPr>
      <w:r w:rsidRPr="00305303">
        <w:rPr>
          <w:rFonts w:ascii="Arial" w:hAnsi="Arial" w:cs="Arial"/>
        </w:rPr>
        <w:fldChar w:fldCharType="begin"/>
      </w:r>
      <w:r w:rsidRPr="00305303">
        <w:rPr>
          <w:rFonts w:ascii="Arial" w:hAnsi="Arial" w:cs="Arial"/>
        </w:rPr>
        <w:instrText>AUTONUMLGL</w:instrText>
      </w:r>
      <w:r w:rsidRPr="00305303">
        <w:rPr>
          <w:rFonts w:ascii="Arial" w:hAnsi="Arial" w:cs="Arial"/>
        </w:rPr>
        <w:fldChar w:fldCharType="end"/>
      </w:r>
      <w:r w:rsidRPr="00305303">
        <w:rPr>
          <w:rFonts w:ascii="Arial" w:hAnsi="Arial" w:cs="Arial"/>
        </w:rPr>
        <w:tab/>
      </w:r>
      <w:r w:rsidRPr="00305303">
        <w:rPr>
          <w:rFonts w:ascii="Arial" w:hAnsi="Arial" w:cs="Arial"/>
          <w:b/>
        </w:rPr>
        <w:t xml:space="preserve">Sector-wide </w:t>
      </w:r>
      <w:r w:rsidR="00480E5D">
        <w:rPr>
          <w:rFonts w:ascii="Arial" w:hAnsi="Arial" w:cs="Arial"/>
          <w:b/>
        </w:rPr>
        <w:t>p</w:t>
      </w:r>
      <w:r w:rsidRPr="00305303">
        <w:rPr>
          <w:rFonts w:ascii="Arial" w:hAnsi="Arial" w:cs="Arial"/>
          <w:b/>
        </w:rPr>
        <w:t>rogram.</w:t>
      </w:r>
      <w:r w:rsidRPr="00305303">
        <w:rPr>
          <w:rFonts w:ascii="Arial" w:hAnsi="Arial" w:cs="Arial"/>
        </w:rPr>
        <w:t xml:space="preserve"> Health HRD is complex, with many separate but integrated parts contributing to the overall picture. Lessons from the HHRSDP demonstrate that health HRD will be best achieved through a comprehensive program of integrated investment implemented progressively through successive phases over a 10-15 year period. In this context it is recommended that future investments in health HRD move away from discrete project investments and be delivered under the umbrella of a sector-wide program, </w:t>
      </w:r>
      <w:r w:rsidR="00BF087C">
        <w:rPr>
          <w:rFonts w:ascii="Arial" w:hAnsi="Arial" w:cs="Arial"/>
        </w:rPr>
        <w:t>with health HRD a</w:t>
      </w:r>
      <w:r w:rsidRPr="00305303">
        <w:rPr>
          <w:rFonts w:ascii="Arial" w:hAnsi="Arial" w:cs="Arial"/>
        </w:rPr>
        <w:t>s a core programming pillar.</w:t>
      </w:r>
    </w:p>
    <w:p w:rsidR="004B0B88" w:rsidRPr="00305303" w:rsidRDefault="004B0B88" w:rsidP="004B0B88">
      <w:pPr>
        <w:jc w:val="both"/>
        <w:rPr>
          <w:rFonts w:ascii="Arial" w:hAnsi="Arial" w:cs="Arial"/>
        </w:rPr>
      </w:pPr>
    </w:p>
    <w:p w:rsidR="004B0B88" w:rsidRPr="00305303" w:rsidRDefault="004B0B88" w:rsidP="004B0B88">
      <w:pPr>
        <w:jc w:val="both"/>
        <w:rPr>
          <w:rFonts w:ascii="Arial" w:hAnsi="Arial" w:cs="Arial"/>
        </w:rPr>
      </w:pPr>
      <w:r w:rsidRPr="00305303">
        <w:rPr>
          <w:rFonts w:ascii="Arial" w:hAnsi="Arial" w:cs="Arial"/>
        </w:rPr>
        <w:fldChar w:fldCharType="begin"/>
      </w:r>
      <w:r w:rsidRPr="00305303">
        <w:rPr>
          <w:rFonts w:ascii="Arial" w:hAnsi="Arial" w:cs="Arial"/>
        </w:rPr>
        <w:instrText>AUTONUMLGL</w:instrText>
      </w:r>
      <w:r w:rsidRPr="00305303">
        <w:rPr>
          <w:rFonts w:ascii="Arial" w:hAnsi="Arial" w:cs="Arial"/>
        </w:rPr>
        <w:fldChar w:fldCharType="end"/>
      </w:r>
      <w:r w:rsidRPr="00305303">
        <w:rPr>
          <w:rFonts w:ascii="Arial" w:hAnsi="Arial" w:cs="Arial"/>
        </w:rPr>
        <w:tab/>
      </w:r>
      <w:r w:rsidRPr="00305303">
        <w:rPr>
          <w:rFonts w:ascii="Arial" w:hAnsi="Arial" w:cs="Arial"/>
          <w:b/>
        </w:rPr>
        <w:t xml:space="preserve">Mechanisms for </w:t>
      </w:r>
      <w:r w:rsidR="00480E5D">
        <w:rPr>
          <w:rFonts w:ascii="Arial" w:hAnsi="Arial" w:cs="Arial"/>
          <w:b/>
        </w:rPr>
        <w:t>i</w:t>
      </w:r>
      <w:r w:rsidRPr="00305303">
        <w:rPr>
          <w:rFonts w:ascii="Arial" w:hAnsi="Arial" w:cs="Arial"/>
          <w:b/>
        </w:rPr>
        <w:t xml:space="preserve">nvestment </w:t>
      </w:r>
      <w:r w:rsidR="00480E5D">
        <w:rPr>
          <w:rFonts w:ascii="Arial" w:hAnsi="Arial" w:cs="Arial"/>
          <w:b/>
        </w:rPr>
        <w:t>m</w:t>
      </w:r>
      <w:r w:rsidRPr="00305303">
        <w:rPr>
          <w:rFonts w:ascii="Arial" w:hAnsi="Arial" w:cs="Arial"/>
          <w:b/>
        </w:rPr>
        <w:t xml:space="preserve">anagement. </w:t>
      </w:r>
      <w:r w:rsidRPr="00305303">
        <w:rPr>
          <w:rFonts w:ascii="Arial" w:hAnsi="Arial" w:cs="Arial"/>
        </w:rPr>
        <w:t>A shift to sector-wide programming creates the opportunity for innovation in the mechanisms</w:t>
      </w:r>
      <w:r w:rsidR="004F385B">
        <w:rPr>
          <w:rFonts w:ascii="Arial" w:hAnsi="Arial" w:cs="Arial"/>
        </w:rPr>
        <w:t xml:space="preserve"> used</w:t>
      </w:r>
      <w:r w:rsidRPr="00305303">
        <w:rPr>
          <w:rFonts w:ascii="Arial" w:hAnsi="Arial" w:cs="Arial"/>
        </w:rPr>
        <w:t xml:space="preserve"> for investment management. Lessons from </w:t>
      </w:r>
      <w:r w:rsidR="009C1CD7">
        <w:rPr>
          <w:rFonts w:ascii="Arial" w:hAnsi="Arial" w:cs="Arial"/>
        </w:rPr>
        <w:t xml:space="preserve">the </w:t>
      </w:r>
      <w:r w:rsidR="009C1CD7" w:rsidRPr="007C6FB4">
        <w:rPr>
          <w:rFonts w:ascii="Arial" w:hAnsi="Arial" w:cs="Arial"/>
        </w:rPr>
        <w:t>HHRSDP</w:t>
      </w:r>
      <w:r w:rsidRPr="007C6FB4">
        <w:rPr>
          <w:rFonts w:ascii="Arial" w:hAnsi="Arial" w:cs="Arial"/>
        </w:rPr>
        <w:t xml:space="preserve"> and other ADB financed projects within MoH have shown that the model of individual project-based PMUs is fraught with inefficiencies. Drawing on these lessons</w:t>
      </w:r>
      <w:r w:rsidRPr="00E40E9E">
        <w:rPr>
          <w:rFonts w:ascii="Arial" w:hAnsi="Arial" w:cs="Arial"/>
        </w:rPr>
        <w:t xml:space="preserve"> it is recommended that MoH establish a single </w:t>
      </w:r>
      <w:r w:rsidR="004F385B" w:rsidRPr="00185E36">
        <w:rPr>
          <w:rFonts w:ascii="Arial" w:hAnsi="Arial" w:cs="Arial"/>
        </w:rPr>
        <w:t>sector-wide</w:t>
      </w:r>
      <w:r w:rsidRPr="00185E36">
        <w:rPr>
          <w:rFonts w:ascii="Arial" w:hAnsi="Arial" w:cs="Arial"/>
        </w:rPr>
        <w:t xml:space="preserve"> PMU responsible for overseeing the portfolio of ADB investments in the health sector. Full-time leadership will ensure the level of governance and oversight required for a sector-wide program. A </w:t>
      </w:r>
      <w:r w:rsidR="004F385B" w:rsidRPr="00185E36">
        <w:rPr>
          <w:rFonts w:ascii="Arial" w:hAnsi="Arial" w:cs="Arial"/>
        </w:rPr>
        <w:t>sector-wide</w:t>
      </w:r>
      <w:r w:rsidRPr="00185E36">
        <w:rPr>
          <w:rFonts w:ascii="Arial" w:hAnsi="Arial" w:cs="Arial"/>
        </w:rPr>
        <w:t xml:space="preserve"> PMU will improve efficiency through the retention of experienced staff, the building of accumulated knowledge over progressive </w:t>
      </w:r>
      <w:r w:rsidR="00BF087C" w:rsidRPr="00185E36">
        <w:rPr>
          <w:rFonts w:ascii="Arial" w:hAnsi="Arial" w:cs="Arial"/>
        </w:rPr>
        <w:t>investments</w:t>
      </w:r>
      <w:r w:rsidRPr="00185E36">
        <w:rPr>
          <w:rFonts w:ascii="Arial" w:hAnsi="Arial" w:cs="Arial"/>
        </w:rPr>
        <w:t xml:space="preserve"> and the utilization of pre-established procedures and systems. The ICE team acknowledge</w:t>
      </w:r>
      <w:r w:rsidR="00BF087C" w:rsidRPr="00185E36">
        <w:rPr>
          <w:rFonts w:ascii="Arial" w:hAnsi="Arial" w:cs="Arial"/>
        </w:rPr>
        <w:t>s</w:t>
      </w:r>
      <w:r w:rsidRPr="00185E36">
        <w:rPr>
          <w:rFonts w:ascii="Arial" w:hAnsi="Arial" w:cs="Arial"/>
        </w:rPr>
        <w:t xml:space="preserve"> that a </w:t>
      </w:r>
      <w:r w:rsidR="004F385B" w:rsidRPr="00185E36">
        <w:rPr>
          <w:rFonts w:ascii="Arial" w:hAnsi="Arial" w:cs="Arial"/>
        </w:rPr>
        <w:t>single sector-wide</w:t>
      </w:r>
      <w:r w:rsidRPr="00185E36">
        <w:rPr>
          <w:rFonts w:ascii="Arial" w:hAnsi="Arial" w:cs="Arial"/>
        </w:rPr>
        <w:t xml:space="preserve"> PMU represents a significant shift in MoH’s establishe</w:t>
      </w:r>
      <w:r w:rsidR="00BF087C" w:rsidRPr="00185E36">
        <w:rPr>
          <w:rFonts w:ascii="Arial" w:hAnsi="Arial" w:cs="Arial"/>
        </w:rPr>
        <w:t>d mechanisms for ODA management</w:t>
      </w:r>
      <w:r w:rsidRPr="00185E36">
        <w:rPr>
          <w:rFonts w:ascii="Arial" w:hAnsi="Arial" w:cs="Arial"/>
        </w:rPr>
        <w:t xml:space="preserve"> and view the reform as an important step toward improving both the efficiency and the effectiveness of investments in the health sector.</w:t>
      </w:r>
    </w:p>
    <w:p w:rsidR="004B0B88" w:rsidRPr="00305303" w:rsidRDefault="004B0B88" w:rsidP="004B0B88">
      <w:pPr>
        <w:jc w:val="both"/>
        <w:rPr>
          <w:rFonts w:ascii="Arial" w:hAnsi="Arial" w:cs="Arial"/>
          <w:b/>
        </w:rPr>
      </w:pPr>
    </w:p>
    <w:p w:rsidR="004B0B88" w:rsidRPr="00305303" w:rsidRDefault="004B0B88" w:rsidP="004B0B88">
      <w:pPr>
        <w:jc w:val="both"/>
        <w:rPr>
          <w:rFonts w:ascii="Arial" w:hAnsi="Arial" w:cs="Arial"/>
        </w:rPr>
      </w:pPr>
      <w:r w:rsidRPr="00305303">
        <w:rPr>
          <w:rFonts w:ascii="Arial" w:hAnsi="Arial" w:cs="Arial"/>
        </w:rPr>
        <w:fldChar w:fldCharType="begin"/>
      </w:r>
      <w:r w:rsidRPr="00305303">
        <w:rPr>
          <w:rFonts w:ascii="Arial" w:hAnsi="Arial" w:cs="Arial"/>
        </w:rPr>
        <w:instrText>AUTONUMLGL</w:instrText>
      </w:r>
      <w:r w:rsidRPr="00305303">
        <w:rPr>
          <w:rFonts w:ascii="Arial" w:hAnsi="Arial" w:cs="Arial"/>
        </w:rPr>
        <w:fldChar w:fldCharType="end"/>
      </w:r>
      <w:r w:rsidRPr="00305303">
        <w:rPr>
          <w:rFonts w:ascii="Arial" w:hAnsi="Arial" w:cs="Arial"/>
        </w:rPr>
        <w:tab/>
      </w:r>
      <w:r w:rsidRPr="00305303">
        <w:rPr>
          <w:rFonts w:ascii="Arial" w:hAnsi="Arial" w:cs="Arial"/>
          <w:b/>
        </w:rPr>
        <w:t xml:space="preserve">Building on the </w:t>
      </w:r>
      <w:r w:rsidR="00D844D4">
        <w:rPr>
          <w:rFonts w:ascii="Arial" w:hAnsi="Arial" w:cs="Arial"/>
          <w:b/>
        </w:rPr>
        <w:t xml:space="preserve">investments under the </w:t>
      </w:r>
      <w:r w:rsidRPr="00305303">
        <w:rPr>
          <w:rFonts w:ascii="Arial" w:hAnsi="Arial" w:cs="Arial"/>
          <w:b/>
        </w:rPr>
        <w:t>HHRSDP</w:t>
      </w:r>
      <w:r w:rsidR="00D844D4">
        <w:rPr>
          <w:rFonts w:ascii="Arial" w:hAnsi="Arial" w:cs="Arial"/>
          <w:b/>
        </w:rPr>
        <w:t xml:space="preserve"> </w:t>
      </w:r>
      <w:r w:rsidRPr="00305303">
        <w:rPr>
          <w:rFonts w:ascii="Arial" w:hAnsi="Arial" w:cs="Arial"/>
          <w:b/>
        </w:rPr>
        <w:t xml:space="preserve">– </w:t>
      </w:r>
      <w:r w:rsidR="00D844D4">
        <w:rPr>
          <w:rFonts w:ascii="Arial" w:hAnsi="Arial" w:cs="Arial"/>
          <w:b/>
        </w:rPr>
        <w:t>R</w:t>
      </w:r>
      <w:r w:rsidRPr="00305303">
        <w:rPr>
          <w:rFonts w:ascii="Arial" w:hAnsi="Arial" w:cs="Arial"/>
          <w:b/>
        </w:rPr>
        <w:t xml:space="preserve">egistration and </w:t>
      </w:r>
      <w:r w:rsidR="00480E5D">
        <w:rPr>
          <w:rFonts w:ascii="Arial" w:hAnsi="Arial" w:cs="Arial"/>
          <w:b/>
        </w:rPr>
        <w:t>l</w:t>
      </w:r>
      <w:r w:rsidRPr="00305303">
        <w:rPr>
          <w:rFonts w:ascii="Arial" w:hAnsi="Arial" w:cs="Arial"/>
          <w:b/>
        </w:rPr>
        <w:t>icensing</w:t>
      </w:r>
      <w:r w:rsidRPr="00305303">
        <w:rPr>
          <w:rFonts w:ascii="Arial" w:hAnsi="Arial" w:cs="Arial"/>
        </w:rPr>
        <w:t>. The Project has supported the AMS</w:t>
      </w:r>
      <w:r w:rsidR="00BF087C">
        <w:rPr>
          <w:rFonts w:ascii="Arial" w:hAnsi="Arial" w:cs="Arial"/>
        </w:rPr>
        <w:t xml:space="preserve"> </w:t>
      </w:r>
      <w:r w:rsidRPr="00305303">
        <w:rPr>
          <w:rFonts w:ascii="Arial" w:hAnsi="Arial" w:cs="Arial"/>
        </w:rPr>
        <w:t xml:space="preserve">to develop both the regulatory </w:t>
      </w:r>
      <w:r w:rsidR="00BF087C">
        <w:rPr>
          <w:rFonts w:ascii="Arial" w:hAnsi="Arial" w:cs="Arial"/>
        </w:rPr>
        <w:t>framework</w:t>
      </w:r>
      <w:r w:rsidRPr="00305303">
        <w:rPr>
          <w:rFonts w:ascii="Arial" w:hAnsi="Arial" w:cs="Arial"/>
        </w:rPr>
        <w:t xml:space="preserve"> and systems for operationalizing key Articles under the LET concerning the registration and licensing of health professionals and health facilities. This is recognized as a significant output of the HHRSDP. Future investment in the registration and licensing system is warranted </w:t>
      </w:r>
      <w:r w:rsidR="00BF087C">
        <w:rPr>
          <w:rFonts w:ascii="Arial" w:hAnsi="Arial" w:cs="Arial"/>
        </w:rPr>
        <w:t xml:space="preserve">to </w:t>
      </w:r>
      <w:r w:rsidRPr="00305303">
        <w:rPr>
          <w:rFonts w:ascii="Arial" w:hAnsi="Arial" w:cs="Arial"/>
        </w:rPr>
        <w:t xml:space="preserve">consolidate the achievements. The AMS’s current review of the Decrees and Circulars guiding the registration and licensing system will provide important insight to the obstacles for effective system operation and should be drawn on in defining </w:t>
      </w:r>
      <w:r w:rsidR="00D844D4">
        <w:rPr>
          <w:rFonts w:ascii="Arial" w:hAnsi="Arial" w:cs="Arial"/>
        </w:rPr>
        <w:t>the focus of future investments.</w:t>
      </w:r>
    </w:p>
    <w:p w:rsidR="004B0B88" w:rsidRPr="00305303" w:rsidRDefault="004B0B88" w:rsidP="004B0B88">
      <w:pPr>
        <w:jc w:val="both"/>
        <w:rPr>
          <w:rFonts w:ascii="Arial" w:hAnsi="Arial" w:cs="Arial"/>
        </w:rPr>
      </w:pPr>
    </w:p>
    <w:p w:rsidR="004B0B88" w:rsidRPr="00305303" w:rsidRDefault="004B0B88" w:rsidP="004B0B88">
      <w:pPr>
        <w:jc w:val="both"/>
        <w:rPr>
          <w:rFonts w:ascii="Arial" w:hAnsi="Arial" w:cs="Arial"/>
        </w:rPr>
      </w:pPr>
      <w:r w:rsidRPr="00305303">
        <w:rPr>
          <w:rFonts w:ascii="Arial" w:hAnsi="Arial" w:cs="Arial"/>
        </w:rPr>
        <w:fldChar w:fldCharType="begin"/>
      </w:r>
      <w:r w:rsidRPr="00305303">
        <w:rPr>
          <w:rFonts w:ascii="Arial" w:hAnsi="Arial" w:cs="Arial"/>
        </w:rPr>
        <w:instrText>AUTONUMLGL</w:instrText>
      </w:r>
      <w:r w:rsidRPr="00305303">
        <w:rPr>
          <w:rFonts w:ascii="Arial" w:hAnsi="Arial" w:cs="Arial"/>
        </w:rPr>
        <w:fldChar w:fldCharType="end"/>
      </w:r>
      <w:r w:rsidRPr="00305303">
        <w:rPr>
          <w:rFonts w:ascii="Arial" w:hAnsi="Arial" w:cs="Arial"/>
        </w:rPr>
        <w:tab/>
      </w:r>
      <w:r w:rsidR="00D844D4" w:rsidRPr="00305303">
        <w:rPr>
          <w:rFonts w:ascii="Arial" w:hAnsi="Arial" w:cs="Arial"/>
          <w:b/>
        </w:rPr>
        <w:t xml:space="preserve">Building on the </w:t>
      </w:r>
      <w:r w:rsidR="00D844D4">
        <w:rPr>
          <w:rFonts w:ascii="Arial" w:hAnsi="Arial" w:cs="Arial"/>
          <w:b/>
        </w:rPr>
        <w:t xml:space="preserve">investments under the </w:t>
      </w:r>
      <w:r w:rsidR="00D844D4" w:rsidRPr="00305303">
        <w:rPr>
          <w:rFonts w:ascii="Arial" w:hAnsi="Arial" w:cs="Arial"/>
          <w:b/>
        </w:rPr>
        <w:t>HHRSDP</w:t>
      </w:r>
      <w:r w:rsidR="00D844D4">
        <w:rPr>
          <w:rFonts w:ascii="Arial" w:hAnsi="Arial" w:cs="Arial"/>
          <w:b/>
        </w:rPr>
        <w:t xml:space="preserve"> </w:t>
      </w:r>
      <w:r w:rsidRPr="00305303">
        <w:rPr>
          <w:rFonts w:ascii="Arial" w:hAnsi="Arial" w:cs="Arial"/>
          <w:b/>
        </w:rPr>
        <w:t>– CME</w:t>
      </w:r>
      <w:r w:rsidRPr="00305303">
        <w:rPr>
          <w:rFonts w:ascii="Arial" w:hAnsi="Arial" w:cs="Arial"/>
        </w:rPr>
        <w:t>. Ongoing investment in CME, for both the accreditation of CME programs and the development of modalities for CME delivery, should form a core component of future investments in health HRD. Health practitioners’ access to CME is fundamental to enable them to meet the requirements for registration and licensing and, in turn, to improve the quality of the health workforce and health service delivery. Accreditation of CME programs is a component</w:t>
      </w:r>
      <w:r w:rsidR="00D844D4">
        <w:rPr>
          <w:rFonts w:ascii="Arial" w:hAnsi="Arial" w:cs="Arial"/>
        </w:rPr>
        <w:t xml:space="preserve"> of</w:t>
      </w:r>
      <w:r w:rsidRPr="00305303">
        <w:rPr>
          <w:rFonts w:ascii="Arial" w:hAnsi="Arial" w:cs="Arial"/>
        </w:rPr>
        <w:t xml:space="preserve"> the World Bank financed Health HRD Project. Future investments of ADB should compliment this work.</w:t>
      </w:r>
    </w:p>
    <w:p w:rsidR="004B0B88" w:rsidRPr="00305303" w:rsidRDefault="004B0B88" w:rsidP="004B0B88">
      <w:pPr>
        <w:jc w:val="both"/>
        <w:rPr>
          <w:rFonts w:ascii="Arial" w:hAnsi="Arial" w:cs="Arial"/>
        </w:rPr>
      </w:pPr>
    </w:p>
    <w:p w:rsidR="004B0B88" w:rsidRDefault="004B0B88" w:rsidP="004B0B88">
      <w:pPr>
        <w:jc w:val="both"/>
        <w:rPr>
          <w:rFonts w:ascii="Arial" w:hAnsi="Arial" w:cs="Arial"/>
        </w:rPr>
      </w:pPr>
      <w:r w:rsidRPr="00305303">
        <w:rPr>
          <w:rFonts w:ascii="Arial" w:hAnsi="Arial" w:cs="Arial"/>
        </w:rPr>
        <w:fldChar w:fldCharType="begin"/>
      </w:r>
      <w:r w:rsidRPr="00305303">
        <w:rPr>
          <w:rFonts w:ascii="Arial" w:hAnsi="Arial" w:cs="Arial"/>
        </w:rPr>
        <w:instrText>AUTONUMLGL</w:instrText>
      </w:r>
      <w:r w:rsidRPr="00305303">
        <w:rPr>
          <w:rFonts w:ascii="Arial" w:hAnsi="Arial" w:cs="Arial"/>
        </w:rPr>
        <w:fldChar w:fldCharType="end"/>
      </w:r>
      <w:r w:rsidRPr="00305303">
        <w:rPr>
          <w:rFonts w:ascii="Arial" w:hAnsi="Arial" w:cs="Arial"/>
        </w:rPr>
        <w:tab/>
      </w:r>
      <w:r w:rsidR="00D844D4" w:rsidRPr="00305303">
        <w:rPr>
          <w:rFonts w:ascii="Arial" w:hAnsi="Arial" w:cs="Arial"/>
          <w:b/>
        </w:rPr>
        <w:t xml:space="preserve">Building on the </w:t>
      </w:r>
      <w:r w:rsidR="00D844D4">
        <w:rPr>
          <w:rFonts w:ascii="Arial" w:hAnsi="Arial" w:cs="Arial"/>
          <w:b/>
        </w:rPr>
        <w:t xml:space="preserve">investments under the </w:t>
      </w:r>
      <w:r w:rsidR="00D844D4" w:rsidRPr="00305303">
        <w:rPr>
          <w:rFonts w:ascii="Arial" w:hAnsi="Arial" w:cs="Arial"/>
          <w:b/>
        </w:rPr>
        <w:t>HHRSDP</w:t>
      </w:r>
      <w:r w:rsidR="00D844D4">
        <w:rPr>
          <w:rFonts w:ascii="Arial" w:hAnsi="Arial" w:cs="Arial"/>
          <w:b/>
        </w:rPr>
        <w:t xml:space="preserve"> </w:t>
      </w:r>
      <w:r w:rsidRPr="00305303">
        <w:rPr>
          <w:rFonts w:ascii="Arial" w:hAnsi="Arial" w:cs="Arial"/>
          <w:b/>
        </w:rPr>
        <w:t xml:space="preserve">– </w:t>
      </w:r>
      <w:r w:rsidR="00D844D4">
        <w:rPr>
          <w:rFonts w:ascii="Arial" w:hAnsi="Arial" w:cs="Arial"/>
          <w:b/>
        </w:rPr>
        <w:t>P</w:t>
      </w:r>
      <w:r w:rsidRPr="00305303">
        <w:rPr>
          <w:rFonts w:ascii="Arial" w:hAnsi="Arial" w:cs="Arial"/>
          <w:b/>
        </w:rPr>
        <w:t xml:space="preserve">rovider </w:t>
      </w:r>
      <w:r w:rsidR="00480E5D">
        <w:rPr>
          <w:rFonts w:ascii="Arial" w:hAnsi="Arial" w:cs="Arial"/>
          <w:b/>
        </w:rPr>
        <w:t>p</w:t>
      </w:r>
      <w:r w:rsidRPr="00305303">
        <w:rPr>
          <w:rFonts w:ascii="Arial" w:hAnsi="Arial" w:cs="Arial"/>
          <w:b/>
        </w:rPr>
        <w:t xml:space="preserve">ayment </w:t>
      </w:r>
      <w:r w:rsidR="00480E5D">
        <w:rPr>
          <w:rFonts w:ascii="Arial" w:hAnsi="Arial" w:cs="Arial"/>
          <w:b/>
        </w:rPr>
        <w:t>r</w:t>
      </w:r>
      <w:r w:rsidRPr="00305303">
        <w:rPr>
          <w:rFonts w:ascii="Arial" w:hAnsi="Arial" w:cs="Arial"/>
          <w:b/>
        </w:rPr>
        <w:t>eform</w:t>
      </w:r>
      <w:r w:rsidRPr="00305303">
        <w:rPr>
          <w:rFonts w:ascii="Arial" w:hAnsi="Arial" w:cs="Arial"/>
        </w:rPr>
        <w:t xml:space="preserve">. An important lesson during implementation of the CPs pilot was the need to link work under the HHRSDP to the broader DRG related work of the Technical Taskforce on Provider Payment Reform. The Project achieved this, serving to maximize the benefits from the pilot. While the ICE team recognize ongoing investment in provider payment reform is warranted, it is recommended that future investments be developed under </w:t>
      </w:r>
      <w:r w:rsidR="00BF087C">
        <w:rPr>
          <w:rFonts w:ascii="Arial" w:hAnsi="Arial" w:cs="Arial"/>
        </w:rPr>
        <w:t>the umbrella of a</w:t>
      </w:r>
      <w:r w:rsidRPr="00305303">
        <w:rPr>
          <w:rFonts w:ascii="Arial" w:hAnsi="Arial" w:cs="Arial"/>
        </w:rPr>
        <w:t xml:space="preserve"> health financing</w:t>
      </w:r>
      <w:r w:rsidR="00BF087C">
        <w:rPr>
          <w:rFonts w:ascii="Arial" w:hAnsi="Arial" w:cs="Arial"/>
        </w:rPr>
        <w:t xml:space="preserve"> program</w:t>
      </w:r>
      <w:r w:rsidRPr="00305303">
        <w:rPr>
          <w:rFonts w:ascii="Arial" w:hAnsi="Arial" w:cs="Arial"/>
        </w:rPr>
        <w:t xml:space="preserve"> rather than health HRD. The sector-wide approach to programming outlined </w:t>
      </w:r>
      <w:r w:rsidR="00BF087C">
        <w:rPr>
          <w:rFonts w:ascii="Arial" w:hAnsi="Arial" w:cs="Arial"/>
        </w:rPr>
        <w:t>in an earlier recommendation</w:t>
      </w:r>
      <w:r w:rsidRPr="00305303">
        <w:rPr>
          <w:rFonts w:ascii="Arial" w:hAnsi="Arial" w:cs="Arial"/>
        </w:rPr>
        <w:t xml:space="preserve"> would allow this delineation of demand side (health financing) and supply side (health service workforce and health service delivery) investments.</w:t>
      </w:r>
    </w:p>
    <w:p w:rsidR="004B0B88" w:rsidRDefault="004B0B88" w:rsidP="004B0B88">
      <w:pPr>
        <w:jc w:val="both"/>
        <w:rPr>
          <w:rFonts w:ascii="Arial" w:hAnsi="Arial" w:cs="Arial"/>
        </w:rPr>
      </w:pPr>
    </w:p>
    <w:p w:rsidR="00B4562D" w:rsidRPr="00E65146" w:rsidRDefault="00D85FBF" w:rsidP="00CA718F">
      <w:pPr>
        <w:pStyle w:val="Heading1"/>
        <w:numPr>
          <w:ilvl w:val="0"/>
          <w:numId w:val="8"/>
        </w:numPr>
        <w:pBdr>
          <w:bottom w:val="single" w:sz="6" w:space="1" w:color="auto"/>
        </w:pBdr>
        <w:tabs>
          <w:tab w:val="left" w:pos="1530"/>
          <w:tab w:val="left" w:pos="1620"/>
        </w:tabs>
        <w:rPr>
          <w:bCs w:val="0"/>
          <w:iCs/>
          <w:color w:val="000000"/>
          <w:sz w:val="22"/>
          <w:szCs w:val="20"/>
          <w:lang w:eastAsia="en-US"/>
        </w:rPr>
      </w:pPr>
      <w:bookmarkStart w:id="96" w:name="_Toc423359354"/>
      <w:r>
        <w:rPr>
          <w:bCs w:val="0"/>
          <w:iCs/>
          <w:color w:val="000000"/>
          <w:sz w:val="22"/>
          <w:szCs w:val="20"/>
          <w:lang w:eastAsia="en-US"/>
        </w:rPr>
        <w:t>ICE EVALUATION CRITERIA</w:t>
      </w:r>
      <w:bookmarkEnd w:id="96"/>
    </w:p>
    <w:p w:rsidR="00F120CC" w:rsidRPr="00E65146" w:rsidRDefault="00F120CC" w:rsidP="00B4562D">
      <w:pPr>
        <w:spacing w:before="240" w:after="120"/>
        <w:jc w:val="center"/>
        <w:rPr>
          <w:rFonts w:ascii="Arial" w:hAnsi="Arial" w:cs="Arial"/>
          <w:b/>
        </w:rPr>
      </w:pPr>
      <w:r w:rsidRPr="00E65146">
        <w:rPr>
          <w:rFonts w:ascii="Arial" w:hAnsi="Arial" w:cs="Arial"/>
          <w:b/>
        </w:rPr>
        <w:t>Table 1.1: Ratings against evaluation criteria and sub-criteria</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5"/>
        <w:gridCol w:w="1070"/>
      </w:tblGrid>
      <w:tr w:rsidR="00F120CC" w:rsidRPr="00E65146" w:rsidTr="00B4562D">
        <w:trPr>
          <w:trHeight w:val="335"/>
          <w:jc w:val="center"/>
        </w:trPr>
        <w:tc>
          <w:tcPr>
            <w:tcW w:w="9255" w:type="dxa"/>
            <w:gridSpan w:val="2"/>
            <w:tcBorders>
              <w:top w:val="single" w:sz="4" w:space="0" w:color="auto"/>
              <w:left w:val="single" w:sz="4" w:space="0" w:color="auto"/>
              <w:bottom w:val="single" w:sz="4" w:space="0" w:color="auto"/>
              <w:right w:val="single" w:sz="4" w:space="0" w:color="auto"/>
            </w:tcBorders>
            <w:hideMark/>
          </w:tcPr>
          <w:p w:rsidR="00F120CC" w:rsidRPr="00533D0F" w:rsidRDefault="00F120CC">
            <w:pPr>
              <w:spacing w:before="60" w:after="60"/>
              <w:jc w:val="center"/>
              <w:rPr>
                <w:rStyle w:val="Style7"/>
                <w:rFonts w:ascii="Arial" w:hAnsi="Arial" w:cs="Arial"/>
                <w:b/>
                <w:sz w:val="19"/>
                <w:szCs w:val="19"/>
                <w:shd w:val="clear" w:color="auto" w:fill="FFFFFF"/>
                <w:lang w:eastAsia="en-US"/>
              </w:rPr>
            </w:pPr>
            <w:r w:rsidRPr="00533D0F">
              <w:rPr>
                <w:rStyle w:val="Style7"/>
                <w:rFonts w:ascii="Arial" w:hAnsi="Arial" w:cs="Arial"/>
                <w:b/>
                <w:sz w:val="19"/>
                <w:szCs w:val="19"/>
                <w:shd w:val="clear" w:color="auto" w:fill="FFFFFF"/>
              </w:rPr>
              <w:t>RELEVANCE</w:t>
            </w:r>
          </w:p>
        </w:tc>
      </w:tr>
      <w:tr w:rsidR="00F120CC" w:rsidRPr="00E65146" w:rsidTr="00B4562D">
        <w:trPr>
          <w:trHeight w:val="615"/>
          <w:jc w:val="center"/>
        </w:trPr>
        <w:tc>
          <w:tcPr>
            <w:tcW w:w="8185" w:type="dxa"/>
            <w:tcBorders>
              <w:top w:val="single" w:sz="4" w:space="0" w:color="auto"/>
              <w:left w:val="single" w:sz="4" w:space="0" w:color="auto"/>
              <w:bottom w:val="single" w:sz="4" w:space="0" w:color="auto"/>
              <w:right w:val="single" w:sz="4" w:space="0" w:color="auto"/>
            </w:tcBorders>
            <w:hideMark/>
          </w:tcPr>
          <w:p w:rsidR="00F120CC" w:rsidRPr="00533D0F" w:rsidRDefault="00F120CC">
            <w:pPr>
              <w:jc w:val="both"/>
              <w:rPr>
                <w:rFonts w:ascii="Arial" w:hAnsi="Arial" w:cs="Arial"/>
                <w:sz w:val="19"/>
                <w:szCs w:val="19"/>
                <w:lang w:eastAsia="en-US"/>
              </w:rPr>
            </w:pPr>
            <w:r w:rsidRPr="00533D0F">
              <w:rPr>
                <w:rFonts w:ascii="Arial" w:hAnsi="Arial" w:cs="Arial"/>
                <w:sz w:val="19"/>
                <w:szCs w:val="19"/>
              </w:rPr>
              <w:t>The investment was important for the partner government/s and aligned with their development priorities.</w:t>
            </w:r>
          </w:p>
        </w:tc>
        <w:tc>
          <w:tcPr>
            <w:tcW w:w="1070" w:type="dxa"/>
            <w:tcBorders>
              <w:top w:val="single" w:sz="4" w:space="0" w:color="auto"/>
              <w:left w:val="single" w:sz="4" w:space="0" w:color="auto"/>
              <w:bottom w:val="single" w:sz="4" w:space="0" w:color="auto"/>
              <w:right w:val="single" w:sz="4" w:space="0" w:color="auto"/>
            </w:tcBorders>
          </w:tcPr>
          <w:p w:rsidR="00F120CC" w:rsidRPr="00533D0F" w:rsidRDefault="00481565">
            <w:pPr>
              <w:jc w:val="center"/>
              <w:rPr>
                <w:rFonts w:ascii="Arial" w:hAnsi="Arial" w:cs="Arial"/>
                <w:sz w:val="19"/>
                <w:szCs w:val="19"/>
                <w:lang w:eastAsia="en-US"/>
              </w:rPr>
            </w:pPr>
            <w:r w:rsidRPr="00533D0F">
              <w:rPr>
                <w:rFonts w:ascii="Arial" w:hAnsi="Arial" w:cs="Arial"/>
                <w:sz w:val="19"/>
                <w:szCs w:val="19"/>
                <w:lang w:eastAsia="en-US"/>
              </w:rPr>
              <w:t>6</w:t>
            </w:r>
          </w:p>
        </w:tc>
      </w:tr>
      <w:tr w:rsidR="00F120CC" w:rsidRPr="00E65146" w:rsidTr="00B4562D">
        <w:trPr>
          <w:jc w:val="center"/>
        </w:trPr>
        <w:tc>
          <w:tcPr>
            <w:tcW w:w="8185" w:type="dxa"/>
            <w:tcBorders>
              <w:top w:val="single" w:sz="4" w:space="0" w:color="auto"/>
              <w:left w:val="single" w:sz="4" w:space="0" w:color="auto"/>
              <w:bottom w:val="single" w:sz="4" w:space="0" w:color="auto"/>
              <w:right w:val="single" w:sz="4" w:space="0" w:color="auto"/>
            </w:tcBorders>
            <w:hideMark/>
          </w:tcPr>
          <w:p w:rsidR="00F120CC" w:rsidRPr="00533D0F" w:rsidRDefault="00F120CC">
            <w:pPr>
              <w:jc w:val="both"/>
              <w:rPr>
                <w:rFonts w:ascii="Arial" w:hAnsi="Arial" w:cs="Arial"/>
                <w:sz w:val="19"/>
                <w:szCs w:val="19"/>
                <w:lang w:eastAsia="en-US"/>
              </w:rPr>
            </w:pPr>
            <w:r w:rsidRPr="00533D0F">
              <w:rPr>
                <w:rFonts w:ascii="Arial" w:hAnsi="Arial" w:cs="Arial"/>
                <w:sz w:val="19"/>
                <w:szCs w:val="19"/>
              </w:rPr>
              <w:t>There is a clear link between what the investment delivered and objectives outlined in an Aid Investment Plan or similar document.</w:t>
            </w:r>
          </w:p>
        </w:tc>
        <w:tc>
          <w:tcPr>
            <w:tcW w:w="1070" w:type="dxa"/>
            <w:tcBorders>
              <w:top w:val="single" w:sz="4" w:space="0" w:color="auto"/>
              <w:left w:val="single" w:sz="4" w:space="0" w:color="auto"/>
              <w:bottom w:val="single" w:sz="4" w:space="0" w:color="auto"/>
              <w:right w:val="single" w:sz="4" w:space="0" w:color="auto"/>
            </w:tcBorders>
          </w:tcPr>
          <w:p w:rsidR="00F120CC" w:rsidRPr="00533D0F" w:rsidRDefault="00481565">
            <w:pPr>
              <w:jc w:val="center"/>
              <w:rPr>
                <w:rFonts w:ascii="Arial" w:hAnsi="Arial" w:cs="Arial"/>
                <w:sz w:val="19"/>
                <w:szCs w:val="19"/>
                <w:lang w:eastAsia="en-US"/>
              </w:rPr>
            </w:pPr>
            <w:r w:rsidRPr="00533D0F">
              <w:rPr>
                <w:rFonts w:ascii="Arial" w:hAnsi="Arial" w:cs="Arial"/>
                <w:sz w:val="19"/>
                <w:szCs w:val="19"/>
                <w:lang w:eastAsia="en-US"/>
              </w:rPr>
              <w:t>3</w:t>
            </w:r>
          </w:p>
        </w:tc>
      </w:tr>
      <w:tr w:rsidR="00F120CC" w:rsidRPr="00E65146" w:rsidTr="00B4562D">
        <w:trPr>
          <w:jc w:val="center"/>
        </w:trPr>
        <w:tc>
          <w:tcPr>
            <w:tcW w:w="8185" w:type="dxa"/>
            <w:tcBorders>
              <w:top w:val="single" w:sz="4" w:space="0" w:color="auto"/>
              <w:left w:val="single" w:sz="4" w:space="0" w:color="auto"/>
              <w:bottom w:val="single" w:sz="4" w:space="0" w:color="auto"/>
              <w:right w:val="single" w:sz="4" w:space="0" w:color="auto"/>
            </w:tcBorders>
            <w:hideMark/>
          </w:tcPr>
          <w:p w:rsidR="00F120CC" w:rsidRPr="00533D0F" w:rsidRDefault="00F120CC">
            <w:pPr>
              <w:jc w:val="both"/>
              <w:rPr>
                <w:rFonts w:ascii="Arial" w:hAnsi="Arial" w:cs="Arial"/>
                <w:sz w:val="19"/>
                <w:szCs w:val="19"/>
                <w:lang w:eastAsia="en-US"/>
              </w:rPr>
            </w:pPr>
            <w:r w:rsidRPr="00533D0F">
              <w:rPr>
                <w:rFonts w:ascii="Arial" w:hAnsi="Arial" w:cs="Arial"/>
                <w:sz w:val="19"/>
                <w:szCs w:val="19"/>
              </w:rPr>
              <w:t>The investment was in an area of Australia’s comparative advantage. Australia’s value-add was clear.</w:t>
            </w:r>
          </w:p>
        </w:tc>
        <w:tc>
          <w:tcPr>
            <w:tcW w:w="1070" w:type="dxa"/>
            <w:tcBorders>
              <w:top w:val="single" w:sz="4" w:space="0" w:color="auto"/>
              <w:left w:val="single" w:sz="4" w:space="0" w:color="auto"/>
              <w:bottom w:val="single" w:sz="4" w:space="0" w:color="auto"/>
              <w:right w:val="single" w:sz="4" w:space="0" w:color="auto"/>
            </w:tcBorders>
          </w:tcPr>
          <w:p w:rsidR="00F120CC" w:rsidRPr="00533D0F" w:rsidRDefault="00481565">
            <w:pPr>
              <w:jc w:val="center"/>
              <w:rPr>
                <w:rFonts w:ascii="Arial" w:hAnsi="Arial" w:cs="Arial"/>
                <w:sz w:val="19"/>
                <w:szCs w:val="19"/>
                <w:lang w:eastAsia="en-US"/>
              </w:rPr>
            </w:pPr>
            <w:r w:rsidRPr="00533D0F">
              <w:rPr>
                <w:rFonts w:ascii="Arial" w:hAnsi="Arial" w:cs="Arial"/>
                <w:sz w:val="19"/>
                <w:szCs w:val="19"/>
                <w:lang w:eastAsia="en-US"/>
              </w:rPr>
              <w:t>4</w:t>
            </w:r>
          </w:p>
        </w:tc>
      </w:tr>
      <w:tr w:rsidR="00F120CC" w:rsidRPr="00E65146" w:rsidTr="00B4562D">
        <w:trPr>
          <w:jc w:val="center"/>
        </w:trPr>
        <w:tc>
          <w:tcPr>
            <w:tcW w:w="8185" w:type="dxa"/>
            <w:tcBorders>
              <w:top w:val="single" w:sz="4" w:space="0" w:color="auto"/>
              <w:left w:val="single" w:sz="4" w:space="0" w:color="auto"/>
              <w:bottom w:val="single" w:sz="4" w:space="0" w:color="auto"/>
              <w:right w:val="single" w:sz="4" w:space="0" w:color="auto"/>
            </w:tcBorders>
            <w:hideMark/>
          </w:tcPr>
          <w:p w:rsidR="00F120CC" w:rsidRPr="00533D0F" w:rsidRDefault="00F120CC">
            <w:pPr>
              <w:jc w:val="both"/>
              <w:rPr>
                <w:rFonts w:ascii="Arial" w:hAnsi="Arial" w:cs="Arial"/>
                <w:sz w:val="19"/>
                <w:szCs w:val="19"/>
                <w:lang w:eastAsia="en-US"/>
              </w:rPr>
            </w:pPr>
            <w:r w:rsidRPr="00533D0F">
              <w:rPr>
                <w:rFonts w:ascii="Arial" w:hAnsi="Arial" w:cs="Arial"/>
                <w:sz w:val="19"/>
                <w:szCs w:val="19"/>
              </w:rPr>
              <w:t>The investment adapted to changes to the economic, social or political context during its lifetime.</w:t>
            </w:r>
          </w:p>
        </w:tc>
        <w:tc>
          <w:tcPr>
            <w:tcW w:w="1070" w:type="dxa"/>
            <w:tcBorders>
              <w:top w:val="single" w:sz="4" w:space="0" w:color="auto"/>
              <w:left w:val="single" w:sz="4" w:space="0" w:color="auto"/>
              <w:bottom w:val="single" w:sz="4" w:space="0" w:color="auto"/>
              <w:right w:val="single" w:sz="4" w:space="0" w:color="auto"/>
            </w:tcBorders>
          </w:tcPr>
          <w:p w:rsidR="00F120CC" w:rsidRPr="00533D0F" w:rsidRDefault="00481565">
            <w:pPr>
              <w:jc w:val="center"/>
              <w:rPr>
                <w:rStyle w:val="Style7"/>
                <w:rFonts w:ascii="Arial" w:hAnsi="Arial" w:cs="Arial"/>
                <w:sz w:val="19"/>
                <w:szCs w:val="19"/>
                <w:shd w:val="clear" w:color="auto" w:fill="FFFFFF"/>
                <w:lang w:eastAsia="en-US"/>
              </w:rPr>
            </w:pPr>
            <w:r w:rsidRPr="00533D0F">
              <w:rPr>
                <w:rStyle w:val="Style7"/>
                <w:rFonts w:ascii="Arial" w:hAnsi="Arial" w:cs="Arial"/>
                <w:sz w:val="19"/>
                <w:szCs w:val="19"/>
                <w:shd w:val="clear" w:color="auto" w:fill="FFFFFF"/>
                <w:lang w:eastAsia="en-US"/>
              </w:rPr>
              <w:t>4</w:t>
            </w:r>
          </w:p>
        </w:tc>
      </w:tr>
      <w:tr w:rsidR="00F120CC" w:rsidRPr="00E65146" w:rsidTr="00B4562D">
        <w:trPr>
          <w:jc w:val="center"/>
        </w:trPr>
        <w:tc>
          <w:tcPr>
            <w:tcW w:w="8185" w:type="dxa"/>
            <w:tcBorders>
              <w:top w:val="single" w:sz="4" w:space="0" w:color="auto"/>
              <w:left w:val="single" w:sz="4" w:space="0" w:color="auto"/>
              <w:bottom w:val="single" w:sz="4" w:space="0" w:color="auto"/>
              <w:right w:val="single" w:sz="4" w:space="0" w:color="auto"/>
            </w:tcBorders>
            <w:hideMark/>
          </w:tcPr>
          <w:p w:rsidR="00F120CC" w:rsidRPr="00533D0F" w:rsidRDefault="00F120CC">
            <w:pPr>
              <w:jc w:val="right"/>
              <w:rPr>
                <w:rFonts w:ascii="Arial" w:hAnsi="Arial" w:cs="Arial"/>
                <w:b/>
                <w:sz w:val="19"/>
                <w:szCs w:val="19"/>
                <w:lang w:eastAsia="en-US"/>
              </w:rPr>
            </w:pPr>
            <w:r w:rsidRPr="00533D0F">
              <w:rPr>
                <w:rStyle w:val="Style7"/>
                <w:rFonts w:ascii="Arial" w:hAnsi="Arial" w:cs="Arial"/>
                <w:b/>
                <w:i/>
                <w:sz w:val="19"/>
                <w:szCs w:val="19"/>
                <w:shd w:val="clear" w:color="auto" w:fill="FFFFFF"/>
              </w:rPr>
              <w:t>Overall rating</w:t>
            </w:r>
          </w:p>
        </w:tc>
        <w:tc>
          <w:tcPr>
            <w:tcW w:w="1070" w:type="dxa"/>
            <w:tcBorders>
              <w:top w:val="single" w:sz="4" w:space="0" w:color="auto"/>
              <w:left w:val="single" w:sz="4" w:space="0" w:color="auto"/>
              <w:bottom w:val="single" w:sz="4" w:space="0" w:color="auto"/>
              <w:right w:val="single" w:sz="4" w:space="0" w:color="auto"/>
            </w:tcBorders>
          </w:tcPr>
          <w:p w:rsidR="00F120CC" w:rsidRPr="00533D0F" w:rsidRDefault="00481565">
            <w:pPr>
              <w:jc w:val="center"/>
              <w:rPr>
                <w:rStyle w:val="Style7"/>
                <w:rFonts w:ascii="Arial" w:hAnsi="Arial" w:cs="Arial"/>
                <w:b/>
                <w:sz w:val="19"/>
                <w:szCs w:val="19"/>
                <w:shd w:val="clear" w:color="auto" w:fill="FFFFFF"/>
                <w:lang w:eastAsia="en-US"/>
              </w:rPr>
            </w:pPr>
            <w:r w:rsidRPr="00533D0F">
              <w:rPr>
                <w:rStyle w:val="Style7"/>
                <w:rFonts w:ascii="Arial" w:hAnsi="Arial" w:cs="Arial"/>
                <w:b/>
                <w:sz w:val="19"/>
                <w:szCs w:val="19"/>
                <w:shd w:val="clear" w:color="auto" w:fill="FFFFFF"/>
                <w:lang w:eastAsia="en-US"/>
              </w:rPr>
              <w:t>5</w:t>
            </w:r>
          </w:p>
        </w:tc>
      </w:tr>
      <w:tr w:rsidR="00F120CC" w:rsidRPr="00E65146" w:rsidTr="00B4562D">
        <w:trPr>
          <w:jc w:val="center"/>
        </w:trPr>
        <w:tc>
          <w:tcPr>
            <w:tcW w:w="9255" w:type="dxa"/>
            <w:gridSpan w:val="2"/>
            <w:tcBorders>
              <w:top w:val="single" w:sz="4" w:space="0" w:color="auto"/>
              <w:left w:val="single" w:sz="4" w:space="0" w:color="auto"/>
              <w:bottom w:val="single" w:sz="4" w:space="0" w:color="auto"/>
              <w:right w:val="single" w:sz="4" w:space="0" w:color="auto"/>
            </w:tcBorders>
            <w:hideMark/>
          </w:tcPr>
          <w:p w:rsidR="00F120CC" w:rsidRPr="00533D0F" w:rsidRDefault="00F120CC">
            <w:pPr>
              <w:spacing w:before="60" w:after="60"/>
              <w:jc w:val="center"/>
              <w:rPr>
                <w:rStyle w:val="Style7"/>
                <w:rFonts w:ascii="Arial" w:hAnsi="Arial" w:cs="Arial"/>
                <w:b/>
                <w:sz w:val="19"/>
                <w:szCs w:val="19"/>
                <w:shd w:val="clear" w:color="auto" w:fill="FFFFFF"/>
                <w:lang w:eastAsia="en-US"/>
              </w:rPr>
            </w:pPr>
            <w:r w:rsidRPr="00533D0F">
              <w:rPr>
                <w:rStyle w:val="Style7"/>
                <w:rFonts w:ascii="Arial" w:hAnsi="Arial" w:cs="Arial"/>
                <w:b/>
                <w:sz w:val="19"/>
                <w:szCs w:val="19"/>
                <w:shd w:val="clear" w:color="auto" w:fill="FFFFFF"/>
              </w:rPr>
              <w:t>EFFECTIVENESS</w:t>
            </w:r>
          </w:p>
        </w:tc>
      </w:tr>
      <w:tr w:rsidR="00F120CC" w:rsidRPr="00E65146" w:rsidTr="00B4562D">
        <w:trPr>
          <w:jc w:val="center"/>
        </w:trPr>
        <w:tc>
          <w:tcPr>
            <w:tcW w:w="8185" w:type="dxa"/>
            <w:tcBorders>
              <w:top w:val="single" w:sz="4" w:space="0" w:color="auto"/>
              <w:left w:val="single" w:sz="4" w:space="0" w:color="auto"/>
              <w:bottom w:val="single" w:sz="4" w:space="0" w:color="auto"/>
              <w:right w:val="single" w:sz="4" w:space="0" w:color="auto"/>
            </w:tcBorders>
            <w:hideMark/>
          </w:tcPr>
          <w:p w:rsidR="00F120CC" w:rsidRPr="00533D0F" w:rsidRDefault="00F120CC">
            <w:pPr>
              <w:jc w:val="both"/>
              <w:rPr>
                <w:rFonts w:ascii="Arial" w:hAnsi="Arial" w:cs="Arial"/>
                <w:sz w:val="19"/>
                <w:szCs w:val="19"/>
                <w:lang w:eastAsia="en-US"/>
              </w:rPr>
            </w:pPr>
            <w:r w:rsidRPr="00533D0F">
              <w:rPr>
                <w:rFonts w:ascii="Arial" w:hAnsi="Arial" w:cs="Arial"/>
                <w:sz w:val="19"/>
                <w:szCs w:val="19"/>
              </w:rPr>
              <w:t>The investment had realistic and measurable outcomes, supported by a robust logic and theory of change.</w:t>
            </w:r>
          </w:p>
        </w:tc>
        <w:tc>
          <w:tcPr>
            <w:tcW w:w="1070" w:type="dxa"/>
            <w:tcBorders>
              <w:top w:val="single" w:sz="4" w:space="0" w:color="auto"/>
              <w:left w:val="single" w:sz="4" w:space="0" w:color="auto"/>
              <w:bottom w:val="single" w:sz="4" w:space="0" w:color="auto"/>
              <w:right w:val="single" w:sz="4" w:space="0" w:color="auto"/>
            </w:tcBorders>
          </w:tcPr>
          <w:p w:rsidR="00F120CC" w:rsidRPr="00533D0F" w:rsidRDefault="00C8132F">
            <w:pPr>
              <w:jc w:val="center"/>
              <w:rPr>
                <w:rStyle w:val="Style7"/>
                <w:rFonts w:ascii="Arial" w:hAnsi="Arial" w:cs="Arial"/>
                <w:sz w:val="19"/>
                <w:szCs w:val="19"/>
                <w:shd w:val="clear" w:color="auto" w:fill="FFFFFF"/>
                <w:lang w:eastAsia="en-US"/>
              </w:rPr>
            </w:pPr>
            <w:r w:rsidRPr="00533D0F">
              <w:rPr>
                <w:rStyle w:val="Style7"/>
                <w:rFonts w:ascii="Arial" w:hAnsi="Arial" w:cs="Arial"/>
                <w:sz w:val="19"/>
                <w:szCs w:val="19"/>
                <w:shd w:val="clear" w:color="auto" w:fill="FFFFFF"/>
                <w:lang w:eastAsia="en-US"/>
              </w:rPr>
              <w:t>4</w:t>
            </w:r>
          </w:p>
        </w:tc>
      </w:tr>
      <w:tr w:rsidR="00F120CC" w:rsidRPr="00E65146" w:rsidTr="00B4562D">
        <w:trPr>
          <w:jc w:val="center"/>
        </w:trPr>
        <w:tc>
          <w:tcPr>
            <w:tcW w:w="8185" w:type="dxa"/>
            <w:tcBorders>
              <w:top w:val="single" w:sz="4" w:space="0" w:color="auto"/>
              <w:left w:val="single" w:sz="4" w:space="0" w:color="auto"/>
              <w:bottom w:val="single" w:sz="4" w:space="0" w:color="auto"/>
              <w:right w:val="single" w:sz="4" w:space="0" w:color="auto"/>
            </w:tcBorders>
            <w:hideMark/>
          </w:tcPr>
          <w:p w:rsidR="00F120CC" w:rsidRPr="00533D0F" w:rsidRDefault="00F120CC">
            <w:pPr>
              <w:jc w:val="both"/>
              <w:rPr>
                <w:rFonts w:ascii="Arial" w:hAnsi="Arial" w:cs="Arial"/>
                <w:sz w:val="19"/>
                <w:szCs w:val="19"/>
                <w:lang w:eastAsia="en-US"/>
              </w:rPr>
            </w:pPr>
            <w:r w:rsidRPr="00533D0F">
              <w:rPr>
                <w:rFonts w:ascii="Arial" w:hAnsi="Arial" w:cs="Arial"/>
                <w:sz w:val="19"/>
                <w:szCs w:val="19"/>
              </w:rPr>
              <w:t>The investment achieved its outcomes.</w:t>
            </w:r>
          </w:p>
        </w:tc>
        <w:tc>
          <w:tcPr>
            <w:tcW w:w="1070" w:type="dxa"/>
            <w:tcBorders>
              <w:top w:val="single" w:sz="4" w:space="0" w:color="auto"/>
              <w:left w:val="single" w:sz="4" w:space="0" w:color="auto"/>
              <w:bottom w:val="single" w:sz="4" w:space="0" w:color="auto"/>
              <w:right w:val="single" w:sz="4" w:space="0" w:color="auto"/>
            </w:tcBorders>
          </w:tcPr>
          <w:p w:rsidR="00F120CC" w:rsidRPr="00533D0F" w:rsidRDefault="00C8132F">
            <w:pPr>
              <w:jc w:val="center"/>
              <w:rPr>
                <w:rStyle w:val="Style7"/>
                <w:rFonts w:ascii="Arial" w:hAnsi="Arial" w:cs="Arial"/>
                <w:sz w:val="19"/>
                <w:szCs w:val="19"/>
                <w:shd w:val="clear" w:color="auto" w:fill="FFFFFF"/>
                <w:lang w:eastAsia="en-US"/>
              </w:rPr>
            </w:pPr>
            <w:r w:rsidRPr="00533D0F">
              <w:rPr>
                <w:rStyle w:val="Style7"/>
                <w:rFonts w:ascii="Arial" w:hAnsi="Arial" w:cs="Arial"/>
                <w:sz w:val="19"/>
                <w:szCs w:val="19"/>
                <w:shd w:val="clear" w:color="auto" w:fill="FFFFFF"/>
                <w:lang w:eastAsia="en-US"/>
              </w:rPr>
              <w:t>4</w:t>
            </w:r>
          </w:p>
        </w:tc>
      </w:tr>
      <w:tr w:rsidR="00F120CC" w:rsidRPr="00E65146" w:rsidTr="00B4562D">
        <w:trPr>
          <w:jc w:val="center"/>
        </w:trPr>
        <w:tc>
          <w:tcPr>
            <w:tcW w:w="8185" w:type="dxa"/>
            <w:tcBorders>
              <w:top w:val="single" w:sz="4" w:space="0" w:color="auto"/>
              <w:left w:val="single" w:sz="4" w:space="0" w:color="auto"/>
              <w:bottom w:val="single" w:sz="4" w:space="0" w:color="auto"/>
              <w:right w:val="single" w:sz="4" w:space="0" w:color="auto"/>
            </w:tcBorders>
            <w:hideMark/>
          </w:tcPr>
          <w:p w:rsidR="00F120CC" w:rsidRPr="00533D0F" w:rsidRDefault="00F120CC">
            <w:pPr>
              <w:jc w:val="both"/>
              <w:rPr>
                <w:rFonts w:ascii="Arial" w:hAnsi="Arial" w:cs="Arial"/>
                <w:sz w:val="19"/>
                <w:szCs w:val="19"/>
                <w:lang w:eastAsia="en-US"/>
              </w:rPr>
            </w:pPr>
            <w:r w:rsidRPr="00533D0F">
              <w:rPr>
                <w:rFonts w:ascii="Arial" w:hAnsi="Arial" w:cs="Arial"/>
                <w:sz w:val="19"/>
                <w:szCs w:val="19"/>
              </w:rPr>
              <w:t>The investment delivered key outputs and activities as expected.</w:t>
            </w:r>
          </w:p>
        </w:tc>
        <w:tc>
          <w:tcPr>
            <w:tcW w:w="1070" w:type="dxa"/>
            <w:tcBorders>
              <w:top w:val="single" w:sz="4" w:space="0" w:color="auto"/>
              <w:left w:val="single" w:sz="4" w:space="0" w:color="auto"/>
              <w:bottom w:val="single" w:sz="4" w:space="0" w:color="auto"/>
              <w:right w:val="single" w:sz="4" w:space="0" w:color="auto"/>
            </w:tcBorders>
          </w:tcPr>
          <w:p w:rsidR="00F120CC" w:rsidRPr="00533D0F" w:rsidRDefault="00C8132F">
            <w:pPr>
              <w:jc w:val="center"/>
              <w:rPr>
                <w:rFonts w:ascii="Arial" w:hAnsi="Arial" w:cs="Arial"/>
                <w:sz w:val="19"/>
                <w:szCs w:val="19"/>
                <w:lang w:eastAsia="en-US"/>
              </w:rPr>
            </w:pPr>
            <w:r w:rsidRPr="00533D0F">
              <w:rPr>
                <w:rFonts w:ascii="Arial" w:hAnsi="Arial" w:cs="Arial"/>
                <w:sz w:val="19"/>
                <w:szCs w:val="19"/>
                <w:lang w:eastAsia="en-US"/>
              </w:rPr>
              <w:t>4</w:t>
            </w:r>
          </w:p>
        </w:tc>
      </w:tr>
      <w:tr w:rsidR="00F120CC" w:rsidRPr="00E65146" w:rsidTr="00B4562D">
        <w:trPr>
          <w:jc w:val="center"/>
        </w:trPr>
        <w:tc>
          <w:tcPr>
            <w:tcW w:w="8185" w:type="dxa"/>
            <w:tcBorders>
              <w:top w:val="single" w:sz="4" w:space="0" w:color="auto"/>
              <w:left w:val="single" w:sz="4" w:space="0" w:color="auto"/>
              <w:bottom w:val="single" w:sz="4" w:space="0" w:color="auto"/>
              <w:right w:val="single" w:sz="4" w:space="0" w:color="auto"/>
            </w:tcBorders>
            <w:hideMark/>
          </w:tcPr>
          <w:p w:rsidR="00F120CC" w:rsidRPr="00533D0F" w:rsidRDefault="00F120CC">
            <w:pPr>
              <w:jc w:val="both"/>
              <w:rPr>
                <w:rFonts w:ascii="Arial" w:hAnsi="Arial" w:cs="Arial"/>
                <w:sz w:val="19"/>
                <w:szCs w:val="19"/>
                <w:lang w:eastAsia="en-US"/>
              </w:rPr>
            </w:pPr>
            <w:r w:rsidRPr="00533D0F">
              <w:rPr>
                <w:rFonts w:ascii="Arial" w:hAnsi="Arial" w:cs="Arial"/>
                <w:sz w:val="19"/>
                <w:szCs w:val="19"/>
              </w:rPr>
              <w:t>Policy dialogue was used effectively to influence partners and support the investment’s outcomes.</w:t>
            </w:r>
          </w:p>
        </w:tc>
        <w:tc>
          <w:tcPr>
            <w:tcW w:w="1070" w:type="dxa"/>
            <w:tcBorders>
              <w:top w:val="single" w:sz="4" w:space="0" w:color="auto"/>
              <w:left w:val="single" w:sz="4" w:space="0" w:color="auto"/>
              <w:bottom w:val="single" w:sz="4" w:space="0" w:color="auto"/>
              <w:right w:val="single" w:sz="4" w:space="0" w:color="auto"/>
            </w:tcBorders>
          </w:tcPr>
          <w:p w:rsidR="00F120CC" w:rsidRPr="00533D0F" w:rsidRDefault="00C8132F">
            <w:pPr>
              <w:jc w:val="center"/>
              <w:rPr>
                <w:rFonts w:ascii="Arial" w:hAnsi="Arial" w:cs="Arial"/>
                <w:sz w:val="19"/>
                <w:szCs w:val="19"/>
                <w:lang w:eastAsia="en-US"/>
              </w:rPr>
            </w:pPr>
            <w:r w:rsidRPr="00533D0F">
              <w:rPr>
                <w:rFonts w:ascii="Arial" w:hAnsi="Arial" w:cs="Arial"/>
                <w:sz w:val="19"/>
                <w:szCs w:val="19"/>
                <w:lang w:eastAsia="en-US"/>
              </w:rPr>
              <w:t>5</w:t>
            </w:r>
          </w:p>
        </w:tc>
      </w:tr>
      <w:tr w:rsidR="00F120CC" w:rsidRPr="00E65146" w:rsidTr="00B4562D">
        <w:trPr>
          <w:jc w:val="center"/>
        </w:trPr>
        <w:tc>
          <w:tcPr>
            <w:tcW w:w="8185" w:type="dxa"/>
            <w:tcBorders>
              <w:top w:val="single" w:sz="4" w:space="0" w:color="auto"/>
              <w:left w:val="single" w:sz="4" w:space="0" w:color="auto"/>
              <w:bottom w:val="single" w:sz="4" w:space="0" w:color="auto"/>
              <w:right w:val="single" w:sz="4" w:space="0" w:color="auto"/>
            </w:tcBorders>
            <w:hideMark/>
          </w:tcPr>
          <w:p w:rsidR="00F120CC" w:rsidRPr="00533D0F" w:rsidRDefault="00F120CC">
            <w:pPr>
              <w:jc w:val="both"/>
              <w:rPr>
                <w:rFonts w:ascii="Arial" w:hAnsi="Arial" w:cs="Arial"/>
                <w:sz w:val="19"/>
                <w:szCs w:val="19"/>
                <w:lang w:eastAsia="en-US"/>
              </w:rPr>
            </w:pPr>
            <w:r w:rsidRPr="00533D0F">
              <w:rPr>
                <w:rFonts w:ascii="Arial" w:hAnsi="Arial" w:cs="Arial"/>
                <w:sz w:val="19"/>
                <w:szCs w:val="19"/>
              </w:rPr>
              <w:t>Intended beneficiaries are satisfied with the investment’s results.</w:t>
            </w:r>
          </w:p>
        </w:tc>
        <w:tc>
          <w:tcPr>
            <w:tcW w:w="1070" w:type="dxa"/>
            <w:tcBorders>
              <w:top w:val="single" w:sz="4" w:space="0" w:color="auto"/>
              <w:left w:val="single" w:sz="4" w:space="0" w:color="auto"/>
              <w:bottom w:val="single" w:sz="4" w:space="0" w:color="auto"/>
              <w:right w:val="single" w:sz="4" w:space="0" w:color="auto"/>
            </w:tcBorders>
          </w:tcPr>
          <w:p w:rsidR="00F120CC" w:rsidRPr="00533D0F" w:rsidRDefault="00C8132F">
            <w:pPr>
              <w:jc w:val="center"/>
              <w:rPr>
                <w:rStyle w:val="Style7"/>
                <w:rFonts w:ascii="Arial" w:hAnsi="Arial" w:cs="Arial"/>
                <w:sz w:val="19"/>
                <w:szCs w:val="19"/>
                <w:shd w:val="clear" w:color="auto" w:fill="FFFFFF"/>
                <w:lang w:eastAsia="en-US"/>
              </w:rPr>
            </w:pPr>
            <w:r w:rsidRPr="00533D0F">
              <w:rPr>
                <w:rStyle w:val="Style7"/>
                <w:rFonts w:ascii="Arial" w:hAnsi="Arial" w:cs="Arial"/>
                <w:sz w:val="19"/>
                <w:szCs w:val="19"/>
                <w:shd w:val="clear" w:color="auto" w:fill="FFFFFF"/>
                <w:lang w:eastAsia="en-US"/>
              </w:rPr>
              <w:t>5</w:t>
            </w:r>
          </w:p>
        </w:tc>
      </w:tr>
      <w:tr w:rsidR="00F120CC" w:rsidRPr="00E65146" w:rsidTr="00B4562D">
        <w:trPr>
          <w:jc w:val="center"/>
        </w:trPr>
        <w:tc>
          <w:tcPr>
            <w:tcW w:w="8185" w:type="dxa"/>
            <w:tcBorders>
              <w:top w:val="single" w:sz="4" w:space="0" w:color="auto"/>
              <w:left w:val="single" w:sz="4" w:space="0" w:color="auto"/>
              <w:bottom w:val="single" w:sz="4" w:space="0" w:color="auto"/>
              <w:right w:val="single" w:sz="4" w:space="0" w:color="auto"/>
            </w:tcBorders>
            <w:hideMark/>
          </w:tcPr>
          <w:p w:rsidR="00F120CC" w:rsidRPr="00533D0F" w:rsidRDefault="00F120CC">
            <w:pPr>
              <w:jc w:val="both"/>
              <w:rPr>
                <w:rFonts w:ascii="Arial" w:hAnsi="Arial" w:cs="Arial"/>
                <w:sz w:val="19"/>
                <w:szCs w:val="19"/>
                <w:lang w:eastAsia="en-US"/>
              </w:rPr>
            </w:pPr>
            <w:r w:rsidRPr="00533D0F">
              <w:rPr>
                <w:rFonts w:ascii="Arial" w:hAnsi="Arial" w:cs="Arial"/>
                <w:sz w:val="19"/>
                <w:szCs w:val="19"/>
              </w:rPr>
              <w:t>The investment actively involved disabled peoples’ organisations in planning, implementation and monitoring and evaluation</w:t>
            </w:r>
          </w:p>
        </w:tc>
        <w:tc>
          <w:tcPr>
            <w:tcW w:w="1070" w:type="dxa"/>
            <w:tcBorders>
              <w:top w:val="single" w:sz="4" w:space="0" w:color="auto"/>
              <w:left w:val="single" w:sz="4" w:space="0" w:color="auto"/>
              <w:bottom w:val="single" w:sz="4" w:space="0" w:color="auto"/>
              <w:right w:val="single" w:sz="4" w:space="0" w:color="auto"/>
            </w:tcBorders>
          </w:tcPr>
          <w:p w:rsidR="00F120CC" w:rsidRPr="00533D0F" w:rsidRDefault="00C8132F">
            <w:pPr>
              <w:jc w:val="center"/>
              <w:rPr>
                <w:rStyle w:val="Style7"/>
                <w:rFonts w:ascii="Arial" w:hAnsi="Arial" w:cs="Arial"/>
                <w:sz w:val="19"/>
                <w:szCs w:val="19"/>
                <w:shd w:val="clear" w:color="auto" w:fill="FFFFFF"/>
                <w:lang w:eastAsia="en-US"/>
              </w:rPr>
            </w:pPr>
            <w:r w:rsidRPr="00533D0F">
              <w:rPr>
                <w:rStyle w:val="Style7"/>
                <w:rFonts w:ascii="Arial" w:hAnsi="Arial" w:cs="Arial"/>
                <w:sz w:val="19"/>
                <w:szCs w:val="19"/>
                <w:shd w:val="clear" w:color="auto" w:fill="FFFFFF"/>
                <w:lang w:eastAsia="en-US"/>
              </w:rPr>
              <w:t>2</w:t>
            </w:r>
          </w:p>
        </w:tc>
      </w:tr>
      <w:tr w:rsidR="00F120CC" w:rsidRPr="00E65146" w:rsidTr="00B4562D">
        <w:trPr>
          <w:jc w:val="center"/>
        </w:trPr>
        <w:tc>
          <w:tcPr>
            <w:tcW w:w="8185" w:type="dxa"/>
            <w:tcBorders>
              <w:top w:val="single" w:sz="4" w:space="0" w:color="auto"/>
              <w:left w:val="single" w:sz="4" w:space="0" w:color="auto"/>
              <w:bottom w:val="single" w:sz="4" w:space="0" w:color="auto"/>
              <w:right w:val="single" w:sz="4" w:space="0" w:color="auto"/>
            </w:tcBorders>
            <w:hideMark/>
          </w:tcPr>
          <w:p w:rsidR="00F120CC" w:rsidRPr="00533D0F" w:rsidRDefault="00F120CC">
            <w:pPr>
              <w:jc w:val="both"/>
              <w:rPr>
                <w:rFonts w:ascii="Arial" w:hAnsi="Arial" w:cs="Arial"/>
                <w:sz w:val="19"/>
                <w:szCs w:val="19"/>
                <w:lang w:eastAsia="en-US"/>
              </w:rPr>
            </w:pPr>
            <w:r w:rsidRPr="00533D0F">
              <w:rPr>
                <w:rFonts w:ascii="Arial" w:hAnsi="Arial" w:cs="Arial"/>
                <w:sz w:val="19"/>
                <w:szCs w:val="19"/>
              </w:rPr>
              <w:t>The investment identified and addressed barriers to inclusion and opportunities for participation for people with disability.</w:t>
            </w:r>
          </w:p>
        </w:tc>
        <w:tc>
          <w:tcPr>
            <w:tcW w:w="1070" w:type="dxa"/>
            <w:tcBorders>
              <w:top w:val="single" w:sz="4" w:space="0" w:color="auto"/>
              <w:left w:val="single" w:sz="4" w:space="0" w:color="auto"/>
              <w:bottom w:val="single" w:sz="4" w:space="0" w:color="auto"/>
              <w:right w:val="single" w:sz="4" w:space="0" w:color="auto"/>
            </w:tcBorders>
          </w:tcPr>
          <w:p w:rsidR="00F120CC" w:rsidRPr="00533D0F" w:rsidRDefault="00C8132F">
            <w:pPr>
              <w:jc w:val="center"/>
              <w:rPr>
                <w:rStyle w:val="Style7"/>
                <w:rFonts w:ascii="Arial" w:hAnsi="Arial" w:cs="Arial"/>
                <w:sz w:val="19"/>
                <w:szCs w:val="19"/>
                <w:shd w:val="clear" w:color="auto" w:fill="FFFFFF"/>
                <w:lang w:eastAsia="en-US"/>
              </w:rPr>
            </w:pPr>
            <w:r w:rsidRPr="00533D0F">
              <w:rPr>
                <w:rStyle w:val="Style7"/>
                <w:rFonts w:ascii="Arial" w:hAnsi="Arial" w:cs="Arial"/>
                <w:sz w:val="19"/>
                <w:szCs w:val="19"/>
                <w:shd w:val="clear" w:color="auto" w:fill="FFFFFF"/>
                <w:lang w:eastAsia="en-US"/>
              </w:rPr>
              <w:t>2</w:t>
            </w:r>
          </w:p>
        </w:tc>
      </w:tr>
      <w:tr w:rsidR="00F120CC" w:rsidRPr="00E65146" w:rsidTr="00B4562D">
        <w:trPr>
          <w:jc w:val="center"/>
        </w:trPr>
        <w:tc>
          <w:tcPr>
            <w:tcW w:w="8185" w:type="dxa"/>
            <w:tcBorders>
              <w:top w:val="single" w:sz="4" w:space="0" w:color="auto"/>
              <w:left w:val="single" w:sz="4" w:space="0" w:color="auto"/>
              <w:bottom w:val="single" w:sz="4" w:space="0" w:color="auto"/>
              <w:right w:val="single" w:sz="4" w:space="0" w:color="auto"/>
            </w:tcBorders>
            <w:hideMark/>
          </w:tcPr>
          <w:p w:rsidR="00F120CC" w:rsidRPr="00533D0F" w:rsidRDefault="00F120CC">
            <w:pPr>
              <w:jc w:val="both"/>
              <w:rPr>
                <w:rFonts w:ascii="Arial" w:hAnsi="Arial" w:cs="Arial"/>
                <w:sz w:val="19"/>
                <w:szCs w:val="19"/>
                <w:lang w:eastAsia="en-US"/>
              </w:rPr>
            </w:pPr>
            <w:r w:rsidRPr="00533D0F">
              <w:rPr>
                <w:rFonts w:ascii="Arial" w:hAnsi="Arial" w:cs="Arial"/>
                <w:sz w:val="19"/>
                <w:szCs w:val="19"/>
              </w:rPr>
              <w:t>The investment identified and addressed barriers to inclusion and opportunities for participation by indigenous peoples and/or ethnic minorities.</w:t>
            </w:r>
          </w:p>
        </w:tc>
        <w:tc>
          <w:tcPr>
            <w:tcW w:w="1070" w:type="dxa"/>
            <w:tcBorders>
              <w:top w:val="single" w:sz="4" w:space="0" w:color="auto"/>
              <w:left w:val="single" w:sz="4" w:space="0" w:color="auto"/>
              <w:bottom w:val="single" w:sz="4" w:space="0" w:color="auto"/>
              <w:right w:val="single" w:sz="4" w:space="0" w:color="auto"/>
            </w:tcBorders>
          </w:tcPr>
          <w:p w:rsidR="00F120CC" w:rsidRPr="00533D0F" w:rsidRDefault="00C8132F">
            <w:pPr>
              <w:jc w:val="center"/>
              <w:rPr>
                <w:rStyle w:val="Style7"/>
                <w:rFonts w:ascii="Arial" w:hAnsi="Arial" w:cs="Arial"/>
                <w:sz w:val="19"/>
                <w:szCs w:val="19"/>
                <w:shd w:val="clear" w:color="auto" w:fill="FFFFFF"/>
                <w:lang w:eastAsia="en-US"/>
              </w:rPr>
            </w:pPr>
            <w:r w:rsidRPr="00533D0F">
              <w:rPr>
                <w:rStyle w:val="Style7"/>
                <w:rFonts w:ascii="Arial" w:hAnsi="Arial" w:cs="Arial"/>
                <w:sz w:val="19"/>
                <w:szCs w:val="19"/>
                <w:shd w:val="clear" w:color="auto" w:fill="FFFFFF"/>
                <w:lang w:eastAsia="en-US"/>
              </w:rPr>
              <w:t>4</w:t>
            </w:r>
          </w:p>
        </w:tc>
      </w:tr>
      <w:tr w:rsidR="00F120CC" w:rsidRPr="00E65146" w:rsidTr="00B4562D">
        <w:trPr>
          <w:jc w:val="center"/>
        </w:trPr>
        <w:tc>
          <w:tcPr>
            <w:tcW w:w="8185" w:type="dxa"/>
            <w:tcBorders>
              <w:top w:val="single" w:sz="4" w:space="0" w:color="auto"/>
              <w:left w:val="single" w:sz="4" w:space="0" w:color="auto"/>
              <w:bottom w:val="single" w:sz="4" w:space="0" w:color="auto"/>
              <w:right w:val="single" w:sz="4" w:space="0" w:color="auto"/>
            </w:tcBorders>
          </w:tcPr>
          <w:p w:rsidR="00F120CC" w:rsidRPr="00533D0F" w:rsidRDefault="00481565" w:rsidP="00481565">
            <w:pPr>
              <w:jc w:val="right"/>
              <w:rPr>
                <w:rFonts w:ascii="Arial" w:hAnsi="Arial" w:cs="Arial"/>
                <w:sz w:val="19"/>
                <w:szCs w:val="19"/>
                <w:lang w:eastAsia="en-US"/>
              </w:rPr>
            </w:pPr>
            <w:r w:rsidRPr="00533D0F">
              <w:rPr>
                <w:rStyle w:val="Style7"/>
                <w:rFonts w:ascii="Arial" w:hAnsi="Arial" w:cs="Arial"/>
                <w:b/>
                <w:i/>
                <w:sz w:val="19"/>
                <w:szCs w:val="19"/>
                <w:shd w:val="clear" w:color="auto" w:fill="FFFFFF"/>
              </w:rPr>
              <w:t>Overall rating</w:t>
            </w:r>
          </w:p>
        </w:tc>
        <w:tc>
          <w:tcPr>
            <w:tcW w:w="1070" w:type="dxa"/>
            <w:tcBorders>
              <w:top w:val="single" w:sz="4" w:space="0" w:color="auto"/>
              <w:left w:val="single" w:sz="4" w:space="0" w:color="auto"/>
              <w:bottom w:val="single" w:sz="4" w:space="0" w:color="auto"/>
              <w:right w:val="single" w:sz="4" w:space="0" w:color="auto"/>
            </w:tcBorders>
          </w:tcPr>
          <w:p w:rsidR="00F120CC" w:rsidRPr="00533D0F" w:rsidRDefault="00481565">
            <w:pPr>
              <w:jc w:val="center"/>
              <w:rPr>
                <w:rFonts w:ascii="Arial" w:hAnsi="Arial" w:cs="Arial"/>
                <w:b/>
                <w:sz w:val="19"/>
                <w:szCs w:val="19"/>
                <w:lang w:eastAsia="en-US"/>
              </w:rPr>
            </w:pPr>
            <w:r w:rsidRPr="00533D0F">
              <w:rPr>
                <w:rFonts w:ascii="Arial" w:hAnsi="Arial" w:cs="Arial"/>
                <w:b/>
                <w:sz w:val="19"/>
                <w:szCs w:val="19"/>
                <w:lang w:eastAsia="en-US"/>
              </w:rPr>
              <w:t>4</w:t>
            </w:r>
          </w:p>
        </w:tc>
      </w:tr>
      <w:tr w:rsidR="00F120CC" w:rsidRPr="00E65146" w:rsidTr="00B4562D">
        <w:trPr>
          <w:jc w:val="center"/>
        </w:trPr>
        <w:tc>
          <w:tcPr>
            <w:tcW w:w="9255" w:type="dxa"/>
            <w:gridSpan w:val="2"/>
            <w:tcBorders>
              <w:top w:val="single" w:sz="4" w:space="0" w:color="auto"/>
              <w:left w:val="single" w:sz="4" w:space="0" w:color="auto"/>
              <w:bottom w:val="single" w:sz="4" w:space="0" w:color="auto"/>
              <w:right w:val="single" w:sz="4" w:space="0" w:color="auto"/>
            </w:tcBorders>
            <w:hideMark/>
          </w:tcPr>
          <w:p w:rsidR="00F120CC" w:rsidRPr="00533D0F" w:rsidRDefault="00F120CC">
            <w:pPr>
              <w:spacing w:before="60" w:after="60"/>
              <w:jc w:val="center"/>
              <w:rPr>
                <w:rStyle w:val="Style7"/>
                <w:rFonts w:ascii="Arial" w:hAnsi="Arial" w:cs="Arial"/>
                <w:b/>
                <w:sz w:val="19"/>
                <w:szCs w:val="19"/>
                <w:shd w:val="clear" w:color="auto" w:fill="FFFFFF"/>
                <w:lang w:eastAsia="en-US"/>
              </w:rPr>
            </w:pPr>
            <w:r w:rsidRPr="00533D0F">
              <w:rPr>
                <w:rStyle w:val="Style7"/>
                <w:rFonts w:ascii="Arial" w:hAnsi="Arial" w:cs="Arial"/>
                <w:b/>
                <w:sz w:val="19"/>
                <w:szCs w:val="19"/>
                <w:shd w:val="clear" w:color="auto" w:fill="FFFFFF"/>
              </w:rPr>
              <w:t>EFFICIENCY</w:t>
            </w:r>
          </w:p>
        </w:tc>
      </w:tr>
      <w:tr w:rsidR="00F120CC" w:rsidRPr="00E65146" w:rsidTr="00B4562D">
        <w:trPr>
          <w:jc w:val="center"/>
        </w:trPr>
        <w:tc>
          <w:tcPr>
            <w:tcW w:w="8185" w:type="dxa"/>
            <w:tcBorders>
              <w:top w:val="single" w:sz="4" w:space="0" w:color="auto"/>
              <w:left w:val="single" w:sz="4" w:space="0" w:color="auto"/>
              <w:bottom w:val="single" w:sz="4" w:space="0" w:color="auto"/>
              <w:right w:val="single" w:sz="4" w:space="0" w:color="auto"/>
            </w:tcBorders>
            <w:hideMark/>
          </w:tcPr>
          <w:p w:rsidR="00F120CC" w:rsidRPr="00533D0F" w:rsidRDefault="00F120CC">
            <w:pPr>
              <w:jc w:val="both"/>
              <w:rPr>
                <w:rFonts w:ascii="Arial" w:hAnsi="Arial" w:cs="Arial"/>
                <w:sz w:val="19"/>
                <w:szCs w:val="19"/>
                <w:lang w:eastAsia="en-US"/>
              </w:rPr>
            </w:pPr>
            <w:r w:rsidRPr="00533D0F">
              <w:rPr>
                <w:rFonts w:ascii="Arial" w:hAnsi="Arial" w:cs="Arial"/>
                <w:sz w:val="19"/>
                <w:szCs w:val="19"/>
              </w:rPr>
              <w:t>Activities and outputs were delivered on time and in a cost-effective manner.</w:t>
            </w:r>
          </w:p>
        </w:tc>
        <w:tc>
          <w:tcPr>
            <w:tcW w:w="1070" w:type="dxa"/>
            <w:tcBorders>
              <w:top w:val="single" w:sz="4" w:space="0" w:color="auto"/>
              <w:left w:val="single" w:sz="4" w:space="0" w:color="auto"/>
              <w:bottom w:val="single" w:sz="4" w:space="0" w:color="auto"/>
              <w:right w:val="single" w:sz="4" w:space="0" w:color="auto"/>
            </w:tcBorders>
          </w:tcPr>
          <w:p w:rsidR="00F120CC" w:rsidRPr="00533D0F" w:rsidRDefault="00C8132F">
            <w:pPr>
              <w:jc w:val="center"/>
              <w:rPr>
                <w:rStyle w:val="Style7"/>
                <w:rFonts w:ascii="Arial" w:hAnsi="Arial" w:cs="Arial"/>
                <w:sz w:val="19"/>
                <w:szCs w:val="19"/>
                <w:shd w:val="clear" w:color="auto" w:fill="FFFFFF"/>
                <w:lang w:eastAsia="en-US"/>
              </w:rPr>
            </w:pPr>
            <w:r w:rsidRPr="00533D0F">
              <w:rPr>
                <w:rStyle w:val="Style7"/>
                <w:rFonts w:ascii="Arial" w:hAnsi="Arial" w:cs="Arial"/>
                <w:sz w:val="19"/>
                <w:szCs w:val="19"/>
                <w:shd w:val="clear" w:color="auto" w:fill="FFFFFF"/>
                <w:lang w:eastAsia="en-US"/>
              </w:rPr>
              <w:t>3</w:t>
            </w:r>
          </w:p>
        </w:tc>
      </w:tr>
      <w:tr w:rsidR="00F120CC" w:rsidRPr="00E65146" w:rsidTr="00B4562D">
        <w:trPr>
          <w:jc w:val="center"/>
        </w:trPr>
        <w:tc>
          <w:tcPr>
            <w:tcW w:w="8185" w:type="dxa"/>
            <w:tcBorders>
              <w:top w:val="single" w:sz="4" w:space="0" w:color="auto"/>
              <w:left w:val="single" w:sz="4" w:space="0" w:color="auto"/>
              <w:bottom w:val="single" w:sz="4" w:space="0" w:color="auto"/>
              <w:right w:val="single" w:sz="4" w:space="0" w:color="auto"/>
            </w:tcBorders>
            <w:hideMark/>
          </w:tcPr>
          <w:p w:rsidR="00F120CC" w:rsidRPr="00533D0F" w:rsidRDefault="00F120CC">
            <w:pPr>
              <w:jc w:val="both"/>
              <w:rPr>
                <w:rFonts w:ascii="Arial" w:hAnsi="Arial" w:cs="Arial"/>
                <w:sz w:val="19"/>
                <w:szCs w:val="19"/>
                <w:lang w:eastAsia="en-US"/>
              </w:rPr>
            </w:pPr>
            <w:r w:rsidRPr="00533D0F">
              <w:rPr>
                <w:rFonts w:ascii="Arial" w:hAnsi="Arial" w:cs="Arial"/>
                <w:sz w:val="19"/>
                <w:szCs w:val="19"/>
              </w:rPr>
              <w:t>Predicted budgets compared well to actual expenditure.</w:t>
            </w:r>
          </w:p>
        </w:tc>
        <w:tc>
          <w:tcPr>
            <w:tcW w:w="1070" w:type="dxa"/>
            <w:tcBorders>
              <w:top w:val="single" w:sz="4" w:space="0" w:color="auto"/>
              <w:left w:val="single" w:sz="4" w:space="0" w:color="auto"/>
              <w:bottom w:val="single" w:sz="4" w:space="0" w:color="auto"/>
              <w:right w:val="single" w:sz="4" w:space="0" w:color="auto"/>
            </w:tcBorders>
          </w:tcPr>
          <w:p w:rsidR="00F120CC" w:rsidRPr="00533D0F" w:rsidRDefault="0004532B">
            <w:pPr>
              <w:jc w:val="center"/>
              <w:rPr>
                <w:rFonts w:ascii="Arial" w:hAnsi="Arial" w:cs="Arial"/>
                <w:sz w:val="19"/>
                <w:szCs w:val="19"/>
                <w:lang w:eastAsia="en-US"/>
              </w:rPr>
            </w:pPr>
            <w:r w:rsidRPr="00533D0F">
              <w:rPr>
                <w:rFonts w:ascii="Arial" w:hAnsi="Arial" w:cs="Arial"/>
                <w:sz w:val="19"/>
                <w:szCs w:val="19"/>
                <w:lang w:eastAsia="en-US"/>
              </w:rPr>
              <w:t>4</w:t>
            </w:r>
          </w:p>
        </w:tc>
      </w:tr>
      <w:tr w:rsidR="00F120CC" w:rsidRPr="00E65146" w:rsidTr="00B4562D">
        <w:trPr>
          <w:jc w:val="center"/>
        </w:trPr>
        <w:tc>
          <w:tcPr>
            <w:tcW w:w="8185" w:type="dxa"/>
            <w:tcBorders>
              <w:top w:val="single" w:sz="4" w:space="0" w:color="auto"/>
              <w:left w:val="single" w:sz="4" w:space="0" w:color="auto"/>
              <w:bottom w:val="single" w:sz="4" w:space="0" w:color="auto"/>
              <w:right w:val="single" w:sz="4" w:space="0" w:color="auto"/>
            </w:tcBorders>
            <w:hideMark/>
          </w:tcPr>
          <w:p w:rsidR="00F120CC" w:rsidRPr="00533D0F" w:rsidRDefault="00F120CC">
            <w:pPr>
              <w:jc w:val="both"/>
              <w:rPr>
                <w:rFonts w:ascii="Arial" w:hAnsi="Arial" w:cs="Arial"/>
                <w:sz w:val="19"/>
                <w:szCs w:val="19"/>
                <w:lang w:eastAsia="en-US"/>
              </w:rPr>
            </w:pPr>
            <w:r w:rsidRPr="00533D0F">
              <w:rPr>
                <w:rFonts w:ascii="Arial" w:hAnsi="Arial" w:cs="Arial"/>
                <w:sz w:val="19"/>
                <w:szCs w:val="19"/>
              </w:rPr>
              <w:t>The investment’s planned funding and timeframe were sufficient to achieve the intended outcomes.</w:t>
            </w:r>
          </w:p>
        </w:tc>
        <w:tc>
          <w:tcPr>
            <w:tcW w:w="1070" w:type="dxa"/>
            <w:tcBorders>
              <w:top w:val="single" w:sz="4" w:space="0" w:color="auto"/>
              <w:left w:val="single" w:sz="4" w:space="0" w:color="auto"/>
              <w:bottom w:val="single" w:sz="4" w:space="0" w:color="auto"/>
              <w:right w:val="single" w:sz="4" w:space="0" w:color="auto"/>
            </w:tcBorders>
          </w:tcPr>
          <w:p w:rsidR="00F120CC" w:rsidRPr="00533D0F" w:rsidRDefault="00C8132F">
            <w:pPr>
              <w:jc w:val="center"/>
              <w:rPr>
                <w:rStyle w:val="Style7"/>
                <w:rFonts w:ascii="Arial" w:hAnsi="Arial" w:cs="Arial"/>
                <w:sz w:val="19"/>
                <w:szCs w:val="19"/>
                <w:shd w:val="clear" w:color="auto" w:fill="FFFFFF"/>
                <w:lang w:eastAsia="en-US"/>
              </w:rPr>
            </w:pPr>
            <w:r w:rsidRPr="00533D0F">
              <w:rPr>
                <w:rStyle w:val="Style7"/>
                <w:rFonts w:ascii="Arial" w:hAnsi="Arial" w:cs="Arial"/>
                <w:sz w:val="19"/>
                <w:szCs w:val="19"/>
                <w:shd w:val="clear" w:color="auto" w:fill="FFFFFF"/>
                <w:lang w:eastAsia="en-US"/>
              </w:rPr>
              <w:t>4</w:t>
            </w:r>
          </w:p>
        </w:tc>
      </w:tr>
      <w:tr w:rsidR="00F120CC" w:rsidRPr="00E65146" w:rsidTr="00B4562D">
        <w:trPr>
          <w:jc w:val="center"/>
        </w:trPr>
        <w:tc>
          <w:tcPr>
            <w:tcW w:w="8185" w:type="dxa"/>
            <w:tcBorders>
              <w:top w:val="single" w:sz="4" w:space="0" w:color="auto"/>
              <w:left w:val="single" w:sz="4" w:space="0" w:color="auto"/>
              <w:bottom w:val="single" w:sz="4" w:space="0" w:color="auto"/>
              <w:right w:val="single" w:sz="4" w:space="0" w:color="auto"/>
            </w:tcBorders>
            <w:hideMark/>
          </w:tcPr>
          <w:p w:rsidR="00F120CC" w:rsidRPr="00533D0F" w:rsidRDefault="00F120CC">
            <w:pPr>
              <w:jc w:val="both"/>
              <w:rPr>
                <w:rFonts w:ascii="Arial" w:hAnsi="Arial" w:cs="Arial"/>
                <w:sz w:val="19"/>
                <w:szCs w:val="19"/>
                <w:lang w:eastAsia="en-US"/>
              </w:rPr>
            </w:pPr>
            <w:r w:rsidRPr="00533D0F">
              <w:rPr>
                <w:rFonts w:ascii="Arial" w:hAnsi="Arial" w:cs="Arial"/>
                <w:sz w:val="19"/>
                <w:szCs w:val="19"/>
              </w:rPr>
              <w:t>There was sufficient staff (both ADB, DFAT and partners) with the necessary skills to manage the investment.</w:t>
            </w:r>
          </w:p>
        </w:tc>
        <w:tc>
          <w:tcPr>
            <w:tcW w:w="1070" w:type="dxa"/>
            <w:tcBorders>
              <w:top w:val="single" w:sz="4" w:space="0" w:color="auto"/>
              <w:left w:val="single" w:sz="4" w:space="0" w:color="auto"/>
              <w:bottom w:val="single" w:sz="4" w:space="0" w:color="auto"/>
              <w:right w:val="single" w:sz="4" w:space="0" w:color="auto"/>
            </w:tcBorders>
          </w:tcPr>
          <w:p w:rsidR="00F120CC" w:rsidRPr="00533D0F" w:rsidRDefault="0004532B">
            <w:pPr>
              <w:jc w:val="center"/>
              <w:rPr>
                <w:rFonts w:ascii="Arial" w:hAnsi="Arial" w:cs="Arial"/>
                <w:sz w:val="19"/>
                <w:szCs w:val="19"/>
                <w:lang w:eastAsia="en-US"/>
              </w:rPr>
            </w:pPr>
            <w:r w:rsidRPr="00533D0F">
              <w:rPr>
                <w:rFonts w:ascii="Arial" w:hAnsi="Arial" w:cs="Arial"/>
                <w:sz w:val="19"/>
                <w:szCs w:val="19"/>
                <w:lang w:eastAsia="en-US"/>
              </w:rPr>
              <w:t>3</w:t>
            </w:r>
          </w:p>
        </w:tc>
      </w:tr>
      <w:tr w:rsidR="00F120CC" w:rsidRPr="00E65146" w:rsidTr="00B4562D">
        <w:trPr>
          <w:jc w:val="center"/>
        </w:trPr>
        <w:tc>
          <w:tcPr>
            <w:tcW w:w="8185" w:type="dxa"/>
            <w:tcBorders>
              <w:top w:val="single" w:sz="4" w:space="0" w:color="auto"/>
              <w:left w:val="single" w:sz="4" w:space="0" w:color="auto"/>
              <w:bottom w:val="single" w:sz="4" w:space="0" w:color="auto"/>
              <w:right w:val="single" w:sz="4" w:space="0" w:color="auto"/>
            </w:tcBorders>
            <w:hideMark/>
          </w:tcPr>
          <w:p w:rsidR="00F120CC" w:rsidRPr="00533D0F" w:rsidRDefault="00F120CC">
            <w:pPr>
              <w:jc w:val="both"/>
              <w:rPr>
                <w:rFonts w:ascii="Arial" w:hAnsi="Arial" w:cs="Arial"/>
                <w:sz w:val="19"/>
                <w:szCs w:val="19"/>
                <w:lang w:eastAsia="en-US"/>
              </w:rPr>
            </w:pPr>
            <w:r w:rsidRPr="00533D0F">
              <w:rPr>
                <w:rFonts w:ascii="Arial" w:hAnsi="Arial" w:cs="Arial"/>
                <w:sz w:val="19"/>
                <w:szCs w:val="19"/>
              </w:rPr>
              <w:t>The investment modality and implementation arrangements were appropriate and proportional to the outcomes sought.</w:t>
            </w:r>
          </w:p>
        </w:tc>
        <w:tc>
          <w:tcPr>
            <w:tcW w:w="1070" w:type="dxa"/>
            <w:tcBorders>
              <w:top w:val="single" w:sz="4" w:space="0" w:color="auto"/>
              <w:left w:val="single" w:sz="4" w:space="0" w:color="auto"/>
              <w:bottom w:val="single" w:sz="4" w:space="0" w:color="auto"/>
              <w:right w:val="single" w:sz="4" w:space="0" w:color="auto"/>
            </w:tcBorders>
          </w:tcPr>
          <w:p w:rsidR="00F120CC" w:rsidRPr="00533D0F" w:rsidRDefault="0004532B">
            <w:pPr>
              <w:jc w:val="center"/>
              <w:rPr>
                <w:rStyle w:val="Style7"/>
                <w:rFonts w:ascii="Arial" w:hAnsi="Arial" w:cs="Arial"/>
                <w:sz w:val="19"/>
                <w:szCs w:val="19"/>
                <w:shd w:val="clear" w:color="auto" w:fill="FFFFFF"/>
                <w:lang w:eastAsia="en-US"/>
              </w:rPr>
            </w:pPr>
            <w:r w:rsidRPr="00533D0F">
              <w:rPr>
                <w:rStyle w:val="Style7"/>
                <w:rFonts w:ascii="Arial" w:hAnsi="Arial" w:cs="Arial"/>
                <w:sz w:val="19"/>
                <w:szCs w:val="19"/>
                <w:shd w:val="clear" w:color="auto" w:fill="FFFFFF"/>
                <w:lang w:eastAsia="en-US"/>
              </w:rPr>
              <w:t>4</w:t>
            </w:r>
          </w:p>
        </w:tc>
      </w:tr>
      <w:tr w:rsidR="00F120CC" w:rsidRPr="00E65146" w:rsidTr="00B4562D">
        <w:trPr>
          <w:jc w:val="center"/>
        </w:trPr>
        <w:tc>
          <w:tcPr>
            <w:tcW w:w="8185" w:type="dxa"/>
            <w:tcBorders>
              <w:top w:val="single" w:sz="4" w:space="0" w:color="auto"/>
              <w:left w:val="single" w:sz="4" w:space="0" w:color="auto"/>
              <w:bottom w:val="single" w:sz="4" w:space="0" w:color="auto"/>
              <w:right w:val="single" w:sz="4" w:space="0" w:color="auto"/>
            </w:tcBorders>
            <w:hideMark/>
          </w:tcPr>
          <w:p w:rsidR="00F120CC" w:rsidRPr="00533D0F" w:rsidRDefault="00F120CC">
            <w:pPr>
              <w:jc w:val="both"/>
              <w:rPr>
                <w:rFonts w:ascii="Arial" w:hAnsi="Arial" w:cs="Arial"/>
                <w:sz w:val="19"/>
                <w:szCs w:val="19"/>
                <w:lang w:eastAsia="en-US"/>
              </w:rPr>
            </w:pPr>
            <w:r w:rsidRPr="00533D0F">
              <w:rPr>
                <w:rFonts w:ascii="Arial" w:hAnsi="Arial" w:cs="Arial"/>
                <w:sz w:val="19"/>
                <w:szCs w:val="19"/>
              </w:rPr>
              <w:t>Implementation arrangements were well harmonised with other donors.</w:t>
            </w:r>
          </w:p>
        </w:tc>
        <w:tc>
          <w:tcPr>
            <w:tcW w:w="1070" w:type="dxa"/>
            <w:tcBorders>
              <w:top w:val="single" w:sz="4" w:space="0" w:color="auto"/>
              <w:left w:val="single" w:sz="4" w:space="0" w:color="auto"/>
              <w:bottom w:val="single" w:sz="4" w:space="0" w:color="auto"/>
              <w:right w:val="single" w:sz="4" w:space="0" w:color="auto"/>
            </w:tcBorders>
          </w:tcPr>
          <w:p w:rsidR="00F120CC" w:rsidRPr="00533D0F" w:rsidRDefault="00C8132F">
            <w:pPr>
              <w:jc w:val="center"/>
              <w:rPr>
                <w:rFonts w:ascii="Arial" w:hAnsi="Arial" w:cs="Arial"/>
                <w:sz w:val="19"/>
                <w:szCs w:val="19"/>
                <w:lang w:eastAsia="en-US"/>
              </w:rPr>
            </w:pPr>
            <w:r w:rsidRPr="00533D0F">
              <w:rPr>
                <w:rFonts w:ascii="Arial" w:hAnsi="Arial" w:cs="Arial"/>
                <w:sz w:val="19"/>
                <w:szCs w:val="19"/>
                <w:lang w:eastAsia="en-US"/>
              </w:rPr>
              <w:t>5</w:t>
            </w:r>
          </w:p>
        </w:tc>
      </w:tr>
      <w:tr w:rsidR="00F120CC" w:rsidRPr="00E65146" w:rsidTr="00B4562D">
        <w:trPr>
          <w:jc w:val="center"/>
        </w:trPr>
        <w:tc>
          <w:tcPr>
            <w:tcW w:w="8185" w:type="dxa"/>
            <w:tcBorders>
              <w:top w:val="single" w:sz="4" w:space="0" w:color="auto"/>
              <w:left w:val="single" w:sz="4" w:space="0" w:color="auto"/>
              <w:bottom w:val="single" w:sz="4" w:space="0" w:color="auto"/>
              <w:right w:val="single" w:sz="4" w:space="0" w:color="auto"/>
            </w:tcBorders>
            <w:hideMark/>
          </w:tcPr>
          <w:p w:rsidR="00F120CC" w:rsidRPr="00533D0F" w:rsidRDefault="00F120CC">
            <w:pPr>
              <w:jc w:val="both"/>
              <w:rPr>
                <w:rFonts w:ascii="Arial" w:hAnsi="Arial" w:cs="Arial"/>
                <w:sz w:val="19"/>
                <w:szCs w:val="19"/>
                <w:lang w:eastAsia="en-US"/>
              </w:rPr>
            </w:pPr>
            <w:r w:rsidRPr="00533D0F">
              <w:rPr>
                <w:rFonts w:ascii="Arial" w:hAnsi="Arial" w:cs="Arial"/>
                <w:sz w:val="19"/>
                <w:szCs w:val="19"/>
              </w:rPr>
              <w:t>Implementation arrangements were aligned with partner government systems.</w:t>
            </w:r>
          </w:p>
        </w:tc>
        <w:tc>
          <w:tcPr>
            <w:tcW w:w="1070" w:type="dxa"/>
            <w:tcBorders>
              <w:top w:val="single" w:sz="4" w:space="0" w:color="auto"/>
              <w:left w:val="single" w:sz="4" w:space="0" w:color="auto"/>
              <w:bottom w:val="single" w:sz="4" w:space="0" w:color="auto"/>
              <w:right w:val="single" w:sz="4" w:space="0" w:color="auto"/>
            </w:tcBorders>
          </w:tcPr>
          <w:p w:rsidR="00F120CC" w:rsidRPr="00533D0F" w:rsidRDefault="00C8132F">
            <w:pPr>
              <w:jc w:val="center"/>
              <w:rPr>
                <w:rFonts w:ascii="Arial" w:hAnsi="Arial" w:cs="Arial"/>
                <w:sz w:val="19"/>
                <w:szCs w:val="19"/>
                <w:lang w:eastAsia="en-US"/>
              </w:rPr>
            </w:pPr>
            <w:r w:rsidRPr="00533D0F">
              <w:rPr>
                <w:rFonts w:ascii="Arial" w:hAnsi="Arial" w:cs="Arial"/>
                <w:sz w:val="19"/>
                <w:szCs w:val="19"/>
                <w:lang w:eastAsia="en-US"/>
              </w:rPr>
              <w:t>5</w:t>
            </w:r>
          </w:p>
        </w:tc>
      </w:tr>
      <w:tr w:rsidR="00F120CC" w:rsidRPr="00E65146" w:rsidTr="00B4562D">
        <w:trPr>
          <w:jc w:val="center"/>
        </w:trPr>
        <w:tc>
          <w:tcPr>
            <w:tcW w:w="8185" w:type="dxa"/>
            <w:tcBorders>
              <w:top w:val="single" w:sz="4" w:space="0" w:color="auto"/>
              <w:left w:val="single" w:sz="4" w:space="0" w:color="auto"/>
              <w:bottom w:val="single" w:sz="4" w:space="0" w:color="auto"/>
              <w:right w:val="single" w:sz="4" w:space="0" w:color="auto"/>
            </w:tcBorders>
            <w:hideMark/>
          </w:tcPr>
          <w:p w:rsidR="00F120CC" w:rsidRPr="00533D0F" w:rsidRDefault="00F120CC">
            <w:pPr>
              <w:jc w:val="right"/>
              <w:rPr>
                <w:rFonts w:ascii="Arial" w:hAnsi="Arial" w:cs="Arial"/>
                <w:b/>
                <w:sz w:val="19"/>
                <w:szCs w:val="19"/>
                <w:lang w:eastAsia="en-US"/>
              </w:rPr>
            </w:pPr>
            <w:r w:rsidRPr="00533D0F">
              <w:rPr>
                <w:rStyle w:val="Style7"/>
                <w:rFonts w:ascii="Arial" w:hAnsi="Arial" w:cs="Arial"/>
                <w:b/>
                <w:i/>
                <w:sz w:val="19"/>
                <w:szCs w:val="19"/>
                <w:shd w:val="clear" w:color="auto" w:fill="FFFFFF"/>
              </w:rPr>
              <w:t>Overall rating</w:t>
            </w:r>
          </w:p>
        </w:tc>
        <w:tc>
          <w:tcPr>
            <w:tcW w:w="1070" w:type="dxa"/>
            <w:tcBorders>
              <w:top w:val="single" w:sz="4" w:space="0" w:color="auto"/>
              <w:left w:val="single" w:sz="4" w:space="0" w:color="auto"/>
              <w:bottom w:val="single" w:sz="4" w:space="0" w:color="auto"/>
              <w:right w:val="single" w:sz="4" w:space="0" w:color="auto"/>
            </w:tcBorders>
          </w:tcPr>
          <w:p w:rsidR="00F120CC" w:rsidRPr="00533D0F" w:rsidRDefault="00481565" w:rsidP="00481565">
            <w:pPr>
              <w:jc w:val="center"/>
              <w:rPr>
                <w:rFonts w:ascii="Arial" w:hAnsi="Arial" w:cs="Arial"/>
                <w:b/>
                <w:sz w:val="19"/>
                <w:szCs w:val="19"/>
                <w:lang w:eastAsia="en-US"/>
              </w:rPr>
            </w:pPr>
            <w:r w:rsidRPr="00533D0F">
              <w:rPr>
                <w:rFonts w:ascii="Arial" w:hAnsi="Arial" w:cs="Arial"/>
                <w:b/>
                <w:sz w:val="19"/>
                <w:szCs w:val="19"/>
                <w:lang w:eastAsia="en-US"/>
              </w:rPr>
              <w:t>4</w:t>
            </w:r>
          </w:p>
        </w:tc>
      </w:tr>
      <w:tr w:rsidR="00F120CC" w:rsidRPr="00E65146" w:rsidTr="00B4562D">
        <w:trPr>
          <w:jc w:val="center"/>
        </w:trPr>
        <w:tc>
          <w:tcPr>
            <w:tcW w:w="9255" w:type="dxa"/>
            <w:gridSpan w:val="2"/>
            <w:tcBorders>
              <w:top w:val="single" w:sz="4" w:space="0" w:color="auto"/>
              <w:left w:val="single" w:sz="4" w:space="0" w:color="auto"/>
              <w:bottom w:val="single" w:sz="4" w:space="0" w:color="auto"/>
              <w:right w:val="single" w:sz="4" w:space="0" w:color="auto"/>
            </w:tcBorders>
            <w:hideMark/>
          </w:tcPr>
          <w:p w:rsidR="00F120CC" w:rsidRPr="00533D0F" w:rsidRDefault="00F120CC">
            <w:pPr>
              <w:spacing w:before="60" w:after="60"/>
              <w:jc w:val="center"/>
              <w:rPr>
                <w:rStyle w:val="Style7"/>
                <w:rFonts w:ascii="Arial" w:hAnsi="Arial" w:cs="Arial"/>
                <w:b/>
                <w:sz w:val="19"/>
                <w:szCs w:val="19"/>
                <w:shd w:val="clear" w:color="auto" w:fill="FFFFFF"/>
                <w:lang w:eastAsia="en-US"/>
              </w:rPr>
            </w:pPr>
            <w:r w:rsidRPr="00533D0F">
              <w:rPr>
                <w:rStyle w:val="Style7"/>
                <w:rFonts w:ascii="Arial" w:hAnsi="Arial" w:cs="Arial"/>
                <w:b/>
                <w:sz w:val="19"/>
                <w:szCs w:val="19"/>
                <w:shd w:val="clear" w:color="auto" w:fill="FFFFFF"/>
              </w:rPr>
              <w:t>SUSTAINABILITY</w:t>
            </w:r>
          </w:p>
        </w:tc>
      </w:tr>
      <w:tr w:rsidR="00F120CC" w:rsidRPr="00E65146" w:rsidTr="00B4562D">
        <w:trPr>
          <w:jc w:val="center"/>
        </w:trPr>
        <w:tc>
          <w:tcPr>
            <w:tcW w:w="8185" w:type="dxa"/>
            <w:tcBorders>
              <w:top w:val="single" w:sz="4" w:space="0" w:color="auto"/>
              <w:left w:val="single" w:sz="4" w:space="0" w:color="auto"/>
              <w:bottom w:val="single" w:sz="4" w:space="0" w:color="auto"/>
              <w:right w:val="single" w:sz="4" w:space="0" w:color="auto"/>
            </w:tcBorders>
            <w:hideMark/>
          </w:tcPr>
          <w:p w:rsidR="00F120CC" w:rsidRPr="00533D0F" w:rsidRDefault="00F120CC">
            <w:pPr>
              <w:jc w:val="both"/>
              <w:rPr>
                <w:rFonts w:ascii="Arial" w:hAnsi="Arial" w:cs="Arial"/>
                <w:sz w:val="19"/>
                <w:szCs w:val="19"/>
                <w:lang w:eastAsia="en-US"/>
              </w:rPr>
            </w:pPr>
            <w:r w:rsidRPr="00533D0F">
              <w:rPr>
                <w:rFonts w:ascii="Arial" w:hAnsi="Arial" w:cs="Arial"/>
                <w:sz w:val="19"/>
                <w:szCs w:val="19"/>
              </w:rPr>
              <w:t>There is evidence that benefits of the investment will continue after Australia’s funding completes.</w:t>
            </w:r>
          </w:p>
        </w:tc>
        <w:tc>
          <w:tcPr>
            <w:tcW w:w="1070" w:type="dxa"/>
            <w:tcBorders>
              <w:top w:val="single" w:sz="4" w:space="0" w:color="auto"/>
              <w:left w:val="single" w:sz="4" w:space="0" w:color="auto"/>
              <w:bottom w:val="single" w:sz="4" w:space="0" w:color="auto"/>
              <w:right w:val="single" w:sz="4" w:space="0" w:color="auto"/>
            </w:tcBorders>
          </w:tcPr>
          <w:p w:rsidR="00F120CC" w:rsidRPr="00533D0F" w:rsidRDefault="00DA61D5" w:rsidP="00DA61D5">
            <w:pPr>
              <w:jc w:val="center"/>
              <w:rPr>
                <w:rStyle w:val="Style7"/>
                <w:rFonts w:ascii="Arial" w:hAnsi="Arial" w:cs="Arial"/>
                <w:sz w:val="19"/>
                <w:szCs w:val="19"/>
                <w:shd w:val="clear" w:color="auto" w:fill="FFFFFF"/>
                <w:lang w:eastAsia="en-US"/>
              </w:rPr>
            </w:pPr>
            <w:r w:rsidRPr="00533D0F">
              <w:rPr>
                <w:rStyle w:val="Style7"/>
                <w:rFonts w:ascii="Arial" w:hAnsi="Arial" w:cs="Arial"/>
                <w:sz w:val="19"/>
                <w:szCs w:val="19"/>
                <w:shd w:val="clear" w:color="auto" w:fill="FFFFFF"/>
                <w:lang w:eastAsia="en-US"/>
              </w:rPr>
              <w:t>5</w:t>
            </w:r>
          </w:p>
        </w:tc>
      </w:tr>
      <w:tr w:rsidR="00F120CC" w:rsidRPr="00E65146" w:rsidTr="00B4562D">
        <w:trPr>
          <w:jc w:val="center"/>
        </w:trPr>
        <w:tc>
          <w:tcPr>
            <w:tcW w:w="8185" w:type="dxa"/>
            <w:tcBorders>
              <w:top w:val="single" w:sz="4" w:space="0" w:color="auto"/>
              <w:left w:val="single" w:sz="4" w:space="0" w:color="auto"/>
              <w:bottom w:val="single" w:sz="4" w:space="0" w:color="auto"/>
              <w:right w:val="single" w:sz="4" w:space="0" w:color="auto"/>
            </w:tcBorders>
            <w:hideMark/>
          </w:tcPr>
          <w:p w:rsidR="00F120CC" w:rsidRPr="00533D0F" w:rsidRDefault="00F120CC">
            <w:pPr>
              <w:jc w:val="both"/>
              <w:rPr>
                <w:rFonts w:ascii="Arial" w:hAnsi="Arial" w:cs="Arial"/>
                <w:sz w:val="19"/>
                <w:szCs w:val="19"/>
                <w:lang w:eastAsia="en-US"/>
              </w:rPr>
            </w:pPr>
            <w:r w:rsidRPr="00533D0F">
              <w:rPr>
                <w:rFonts w:ascii="Arial" w:hAnsi="Arial" w:cs="Arial"/>
                <w:sz w:val="19"/>
                <w:szCs w:val="19"/>
              </w:rPr>
              <w:t>The investment used local systems and processes and strengthened the capacity of local institutions.</w:t>
            </w:r>
          </w:p>
        </w:tc>
        <w:tc>
          <w:tcPr>
            <w:tcW w:w="1070" w:type="dxa"/>
            <w:tcBorders>
              <w:top w:val="single" w:sz="4" w:space="0" w:color="auto"/>
              <w:left w:val="single" w:sz="4" w:space="0" w:color="auto"/>
              <w:bottom w:val="single" w:sz="4" w:space="0" w:color="auto"/>
              <w:right w:val="single" w:sz="4" w:space="0" w:color="auto"/>
            </w:tcBorders>
          </w:tcPr>
          <w:p w:rsidR="00F120CC" w:rsidRPr="00533D0F" w:rsidRDefault="00DA61D5" w:rsidP="00DA61D5">
            <w:pPr>
              <w:jc w:val="center"/>
              <w:rPr>
                <w:rStyle w:val="Style7"/>
                <w:rFonts w:ascii="Arial" w:hAnsi="Arial" w:cs="Arial"/>
                <w:sz w:val="19"/>
                <w:szCs w:val="19"/>
                <w:shd w:val="clear" w:color="auto" w:fill="FFFFFF"/>
                <w:lang w:eastAsia="en-US"/>
              </w:rPr>
            </w:pPr>
            <w:r w:rsidRPr="00533D0F">
              <w:rPr>
                <w:rStyle w:val="Style7"/>
                <w:rFonts w:ascii="Arial" w:hAnsi="Arial" w:cs="Arial"/>
                <w:sz w:val="19"/>
                <w:szCs w:val="19"/>
                <w:shd w:val="clear" w:color="auto" w:fill="FFFFFF"/>
                <w:lang w:eastAsia="en-US"/>
              </w:rPr>
              <w:t>5</w:t>
            </w:r>
          </w:p>
        </w:tc>
      </w:tr>
      <w:tr w:rsidR="00F120CC" w:rsidRPr="00E65146" w:rsidTr="00B4562D">
        <w:trPr>
          <w:jc w:val="center"/>
        </w:trPr>
        <w:tc>
          <w:tcPr>
            <w:tcW w:w="8185" w:type="dxa"/>
            <w:tcBorders>
              <w:top w:val="single" w:sz="4" w:space="0" w:color="auto"/>
              <w:left w:val="single" w:sz="4" w:space="0" w:color="auto"/>
              <w:bottom w:val="single" w:sz="4" w:space="0" w:color="auto"/>
              <w:right w:val="single" w:sz="4" w:space="0" w:color="auto"/>
            </w:tcBorders>
            <w:hideMark/>
          </w:tcPr>
          <w:p w:rsidR="00F120CC" w:rsidRPr="00533D0F" w:rsidRDefault="00F120CC">
            <w:pPr>
              <w:jc w:val="both"/>
              <w:rPr>
                <w:rFonts w:ascii="Arial" w:hAnsi="Arial" w:cs="Arial"/>
                <w:sz w:val="19"/>
                <w:szCs w:val="19"/>
                <w:lang w:eastAsia="en-US"/>
              </w:rPr>
            </w:pPr>
            <w:r w:rsidRPr="00533D0F">
              <w:rPr>
                <w:rFonts w:ascii="Arial" w:hAnsi="Arial" w:cs="Arial"/>
                <w:sz w:val="19"/>
                <w:szCs w:val="19"/>
              </w:rPr>
              <w:t>The investment has a high level of ownership amongst developing country partners and beneficiaries.</w:t>
            </w:r>
          </w:p>
        </w:tc>
        <w:tc>
          <w:tcPr>
            <w:tcW w:w="1070" w:type="dxa"/>
            <w:tcBorders>
              <w:top w:val="single" w:sz="4" w:space="0" w:color="auto"/>
              <w:left w:val="single" w:sz="4" w:space="0" w:color="auto"/>
              <w:bottom w:val="single" w:sz="4" w:space="0" w:color="auto"/>
              <w:right w:val="single" w:sz="4" w:space="0" w:color="auto"/>
            </w:tcBorders>
          </w:tcPr>
          <w:p w:rsidR="00F120CC" w:rsidRPr="00533D0F" w:rsidRDefault="00DA61D5" w:rsidP="00DA61D5">
            <w:pPr>
              <w:jc w:val="center"/>
              <w:rPr>
                <w:rStyle w:val="Style7"/>
                <w:rFonts w:ascii="Arial" w:hAnsi="Arial" w:cs="Arial"/>
                <w:sz w:val="19"/>
                <w:szCs w:val="19"/>
                <w:shd w:val="clear" w:color="auto" w:fill="FFFFFF"/>
                <w:lang w:eastAsia="en-US"/>
              </w:rPr>
            </w:pPr>
            <w:r w:rsidRPr="00533D0F">
              <w:rPr>
                <w:rStyle w:val="Style7"/>
                <w:rFonts w:ascii="Arial" w:hAnsi="Arial" w:cs="Arial"/>
                <w:sz w:val="19"/>
                <w:szCs w:val="19"/>
                <w:shd w:val="clear" w:color="auto" w:fill="FFFFFF"/>
                <w:lang w:eastAsia="en-US"/>
              </w:rPr>
              <w:t>5</w:t>
            </w:r>
          </w:p>
        </w:tc>
      </w:tr>
      <w:tr w:rsidR="00F120CC" w:rsidRPr="00E65146" w:rsidTr="00B4562D">
        <w:trPr>
          <w:jc w:val="center"/>
        </w:trPr>
        <w:tc>
          <w:tcPr>
            <w:tcW w:w="8185" w:type="dxa"/>
            <w:tcBorders>
              <w:top w:val="single" w:sz="4" w:space="0" w:color="auto"/>
              <w:left w:val="single" w:sz="4" w:space="0" w:color="auto"/>
              <w:bottom w:val="single" w:sz="4" w:space="0" w:color="auto"/>
              <w:right w:val="single" w:sz="4" w:space="0" w:color="auto"/>
            </w:tcBorders>
            <w:hideMark/>
          </w:tcPr>
          <w:p w:rsidR="00F120CC" w:rsidRPr="00533D0F" w:rsidRDefault="00F120CC">
            <w:pPr>
              <w:jc w:val="both"/>
              <w:rPr>
                <w:rFonts w:ascii="Arial" w:hAnsi="Arial" w:cs="Arial"/>
                <w:sz w:val="19"/>
                <w:szCs w:val="19"/>
                <w:lang w:eastAsia="en-US"/>
              </w:rPr>
            </w:pPr>
            <w:r w:rsidRPr="00533D0F">
              <w:rPr>
                <w:rFonts w:ascii="Arial" w:hAnsi="Arial" w:cs="Arial"/>
                <w:sz w:val="19"/>
                <w:szCs w:val="19"/>
              </w:rPr>
              <w:t>Local, private sector or other non-ODA sources of funding are used to support the investment’s outcomes.</w:t>
            </w:r>
          </w:p>
        </w:tc>
        <w:tc>
          <w:tcPr>
            <w:tcW w:w="1070" w:type="dxa"/>
            <w:tcBorders>
              <w:top w:val="single" w:sz="4" w:space="0" w:color="auto"/>
              <w:left w:val="single" w:sz="4" w:space="0" w:color="auto"/>
              <w:bottom w:val="single" w:sz="4" w:space="0" w:color="auto"/>
              <w:right w:val="single" w:sz="4" w:space="0" w:color="auto"/>
            </w:tcBorders>
          </w:tcPr>
          <w:p w:rsidR="00F120CC" w:rsidRPr="00533D0F" w:rsidRDefault="00DA61D5" w:rsidP="00DA61D5">
            <w:pPr>
              <w:jc w:val="center"/>
              <w:rPr>
                <w:rStyle w:val="Style7"/>
                <w:rFonts w:ascii="Arial" w:hAnsi="Arial" w:cs="Arial"/>
                <w:sz w:val="19"/>
                <w:szCs w:val="19"/>
                <w:shd w:val="clear" w:color="auto" w:fill="FFFFFF"/>
                <w:lang w:eastAsia="en-US"/>
              </w:rPr>
            </w:pPr>
            <w:r w:rsidRPr="00533D0F">
              <w:rPr>
                <w:rStyle w:val="Style7"/>
                <w:rFonts w:ascii="Arial" w:hAnsi="Arial" w:cs="Arial"/>
                <w:sz w:val="19"/>
                <w:szCs w:val="19"/>
                <w:shd w:val="clear" w:color="auto" w:fill="FFFFFF"/>
                <w:lang w:eastAsia="en-US"/>
              </w:rPr>
              <w:t>4</w:t>
            </w:r>
          </w:p>
        </w:tc>
      </w:tr>
      <w:tr w:rsidR="00F120CC" w:rsidRPr="00E65146" w:rsidTr="00B4562D">
        <w:trPr>
          <w:jc w:val="center"/>
        </w:trPr>
        <w:tc>
          <w:tcPr>
            <w:tcW w:w="8185" w:type="dxa"/>
            <w:tcBorders>
              <w:top w:val="single" w:sz="4" w:space="0" w:color="auto"/>
              <w:left w:val="single" w:sz="4" w:space="0" w:color="auto"/>
              <w:bottom w:val="single" w:sz="4" w:space="0" w:color="auto"/>
              <w:right w:val="single" w:sz="4" w:space="0" w:color="auto"/>
            </w:tcBorders>
            <w:hideMark/>
          </w:tcPr>
          <w:p w:rsidR="00F120CC" w:rsidRPr="00533D0F" w:rsidRDefault="00F120CC">
            <w:pPr>
              <w:jc w:val="both"/>
              <w:rPr>
                <w:rFonts w:ascii="Arial" w:hAnsi="Arial" w:cs="Arial"/>
                <w:sz w:val="19"/>
                <w:szCs w:val="19"/>
                <w:lang w:eastAsia="en-US"/>
              </w:rPr>
            </w:pPr>
            <w:r w:rsidRPr="00533D0F">
              <w:rPr>
                <w:rFonts w:ascii="Arial" w:hAnsi="Arial" w:cs="Arial"/>
                <w:sz w:val="19"/>
                <w:szCs w:val="19"/>
              </w:rPr>
              <w:t>The investment is resilient to the impacts of natural disasters and changing climatic conditions.</w:t>
            </w:r>
          </w:p>
        </w:tc>
        <w:tc>
          <w:tcPr>
            <w:tcW w:w="1070" w:type="dxa"/>
            <w:tcBorders>
              <w:top w:val="single" w:sz="4" w:space="0" w:color="auto"/>
              <w:left w:val="single" w:sz="4" w:space="0" w:color="auto"/>
              <w:bottom w:val="single" w:sz="4" w:space="0" w:color="auto"/>
              <w:right w:val="single" w:sz="4" w:space="0" w:color="auto"/>
            </w:tcBorders>
          </w:tcPr>
          <w:p w:rsidR="00F120CC" w:rsidRPr="00533D0F" w:rsidRDefault="00DA61D5" w:rsidP="00DA61D5">
            <w:pPr>
              <w:jc w:val="center"/>
              <w:rPr>
                <w:rStyle w:val="Style7"/>
                <w:rFonts w:ascii="Arial" w:hAnsi="Arial" w:cs="Arial"/>
                <w:sz w:val="19"/>
                <w:szCs w:val="19"/>
                <w:shd w:val="clear" w:color="auto" w:fill="FFFFFF"/>
                <w:lang w:eastAsia="en-US"/>
              </w:rPr>
            </w:pPr>
            <w:r w:rsidRPr="00533D0F">
              <w:rPr>
                <w:rStyle w:val="Style7"/>
                <w:rFonts w:ascii="Arial" w:hAnsi="Arial" w:cs="Arial"/>
                <w:sz w:val="19"/>
                <w:szCs w:val="19"/>
                <w:shd w:val="clear" w:color="auto" w:fill="FFFFFF"/>
                <w:lang w:eastAsia="en-US"/>
              </w:rPr>
              <w:t>5</w:t>
            </w:r>
          </w:p>
        </w:tc>
      </w:tr>
      <w:tr w:rsidR="00F120CC" w:rsidRPr="00E65146" w:rsidTr="00B4562D">
        <w:trPr>
          <w:jc w:val="center"/>
        </w:trPr>
        <w:tc>
          <w:tcPr>
            <w:tcW w:w="8185" w:type="dxa"/>
            <w:tcBorders>
              <w:top w:val="single" w:sz="4" w:space="0" w:color="auto"/>
              <w:left w:val="single" w:sz="4" w:space="0" w:color="auto"/>
              <w:bottom w:val="single" w:sz="4" w:space="0" w:color="auto"/>
              <w:right w:val="single" w:sz="4" w:space="0" w:color="auto"/>
            </w:tcBorders>
            <w:hideMark/>
          </w:tcPr>
          <w:p w:rsidR="00F120CC" w:rsidRPr="00533D0F" w:rsidRDefault="00F120CC">
            <w:pPr>
              <w:jc w:val="both"/>
              <w:rPr>
                <w:rFonts w:ascii="Arial" w:hAnsi="Arial" w:cs="Arial"/>
                <w:sz w:val="19"/>
                <w:szCs w:val="19"/>
                <w:lang w:eastAsia="en-US"/>
              </w:rPr>
            </w:pPr>
            <w:r w:rsidRPr="00533D0F">
              <w:rPr>
                <w:rFonts w:ascii="Arial" w:hAnsi="Arial" w:cs="Arial"/>
                <w:sz w:val="19"/>
                <w:szCs w:val="19"/>
              </w:rPr>
              <w:t>There was a clear exit strategy, and risks to sustainability have been appropriately managed.</w:t>
            </w:r>
          </w:p>
        </w:tc>
        <w:tc>
          <w:tcPr>
            <w:tcW w:w="1070" w:type="dxa"/>
            <w:tcBorders>
              <w:top w:val="single" w:sz="4" w:space="0" w:color="auto"/>
              <w:left w:val="single" w:sz="4" w:space="0" w:color="auto"/>
              <w:bottom w:val="single" w:sz="4" w:space="0" w:color="auto"/>
              <w:right w:val="single" w:sz="4" w:space="0" w:color="auto"/>
            </w:tcBorders>
          </w:tcPr>
          <w:p w:rsidR="00F120CC" w:rsidRPr="00533D0F" w:rsidRDefault="00DA61D5" w:rsidP="00DA61D5">
            <w:pPr>
              <w:jc w:val="center"/>
              <w:rPr>
                <w:rStyle w:val="Style7"/>
                <w:rFonts w:ascii="Arial" w:hAnsi="Arial" w:cs="Arial"/>
                <w:sz w:val="19"/>
                <w:szCs w:val="19"/>
                <w:shd w:val="clear" w:color="auto" w:fill="FFFFFF"/>
                <w:lang w:eastAsia="en-US"/>
              </w:rPr>
            </w:pPr>
            <w:r w:rsidRPr="00533D0F">
              <w:rPr>
                <w:rStyle w:val="Style7"/>
                <w:rFonts w:ascii="Arial" w:hAnsi="Arial" w:cs="Arial"/>
                <w:sz w:val="19"/>
                <w:szCs w:val="19"/>
                <w:shd w:val="clear" w:color="auto" w:fill="FFFFFF"/>
                <w:lang w:eastAsia="en-US"/>
              </w:rPr>
              <w:t>3</w:t>
            </w:r>
          </w:p>
        </w:tc>
      </w:tr>
      <w:tr w:rsidR="00F120CC" w:rsidRPr="00E65146" w:rsidTr="00B4562D">
        <w:trPr>
          <w:jc w:val="center"/>
        </w:trPr>
        <w:tc>
          <w:tcPr>
            <w:tcW w:w="8185" w:type="dxa"/>
            <w:tcBorders>
              <w:top w:val="single" w:sz="4" w:space="0" w:color="auto"/>
              <w:left w:val="single" w:sz="4" w:space="0" w:color="auto"/>
              <w:bottom w:val="single" w:sz="4" w:space="0" w:color="auto"/>
              <w:right w:val="single" w:sz="4" w:space="0" w:color="auto"/>
            </w:tcBorders>
            <w:hideMark/>
          </w:tcPr>
          <w:p w:rsidR="00F120CC" w:rsidRPr="00533D0F" w:rsidRDefault="00F120CC">
            <w:pPr>
              <w:jc w:val="right"/>
              <w:rPr>
                <w:rFonts w:ascii="Arial" w:hAnsi="Arial" w:cs="Arial"/>
                <w:sz w:val="19"/>
                <w:szCs w:val="19"/>
                <w:lang w:eastAsia="en-US"/>
              </w:rPr>
            </w:pPr>
            <w:r w:rsidRPr="00533D0F">
              <w:rPr>
                <w:rStyle w:val="Style7"/>
                <w:rFonts w:ascii="Arial" w:hAnsi="Arial" w:cs="Arial"/>
                <w:b/>
                <w:i/>
                <w:sz w:val="19"/>
                <w:szCs w:val="19"/>
                <w:shd w:val="clear" w:color="auto" w:fill="FFFFFF"/>
              </w:rPr>
              <w:t>Overall rating</w:t>
            </w:r>
          </w:p>
        </w:tc>
        <w:tc>
          <w:tcPr>
            <w:tcW w:w="1070" w:type="dxa"/>
            <w:tcBorders>
              <w:top w:val="single" w:sz="4" w:space="0" w:color="auto"/>
              <w:left w:val="single" w:sz="4" w:space="0" w:color="auto"/>
              <w:bottom w:val="single" w:sz="4" w:space="0" w:color="auto"/>
              <w:right w:val="single" w:sz="4" w:space="0" w:color="auto"/>
            </w:tcBorders>
          </w:tcPr>
          <w:p w:rsidR="00F120CC" w:rsidRPr="00533D0F" w:rsidRDefault="00DA61D5" w:rsidP="00DA61D5">
            <w:pPr>
              <w:jc w:val="center"/>
              <w:rPr>
                <w:rStyle w:val="Style7"/>
                <w:rFonts w:ascii="Arial" w:hAnsi="Arial" w:cs="Arial"/>
                <w:b/>
                <w:sz w:val="19"/>
                <w:szCs w:val="19"/>
                <w:shd w:val="clear" w:color="auto" w:fill="FFFFFF"/>
                <w:lang w:eastAsia="en-US"/>
              </w:rPr>
            </w:pPr>
            <w:r w:rsidRPr="00533D0F">
              <w:rPr>
                <w:rStyle w:val="Style7"/>
                <w:rFonts w:ascii="Arial" w:hAnsi="Arial" w:cs="Arial"/>
                <w:b/>
                <w:sz w:val="19"/>
                <w:szCs w:val="19"/>
                <w:shd w:val="clear" w:color="auto" w:fill="FFFFFF"/>
                <w:lang w:eastAsia="en-US"/>
              </w:rPr>
              <w:t>5</w:t>
            </w:r>
          </w:p>
        </w:tc>
      </w:tr>
    </w:tbl>
    <w:p w:rsidR="00533D0F" w:rsidRDefault="00533D0F">
      <w:pPr>
        <w:jc w:val="center"/>
      </w:pPr>
    </w:p>
    <w:p w:rsidR="00533D0F" w:rsidRDefault="00533D0F">
      <w:r>
        <w:br w:type="page"/>
      </w:r>
    </w:p>
    <w:p w:rsidR="005E106F" w:rsidRPr="00CA464A" w:rsidRDefault="005E106F">
      <w:pPr>
        <w:jc w:val="center"/>
        <w:rPr>
          <w:rFonts w:ascii="Arial" w:hAnsi="Arial"/>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3"/>
        <w:gridCol w:w="3484"/>
        <w:gridCol w:w="1218"/>
        <w:gridCol w:w="1070"/>
      </w:tblGrid>
      <w:tr w:rsidR="00F120CC" w:rsidRPr="00E65146" w:rsidTr="00B4562D">
        <w:trPr>
          <w:jc w:val="center"/>
        </w:trPr>
        <w:tc>
          <w:tcPr>
            <w:tcW w:w="9255" w:type="dxa"/>
            <w:gridSpan w:val="4"/>
            <w:tcBorders>
              <w:top w:val="single" w:sz="4" w:space="0" w:color="auto"/>
              <w:left w:val="single" w:sz="4" w:space="0" w:color="auto"/>
              <w:bottom w:val="single" w:sz="4" w:space="0" w:color="auto"/>
              <w:right w:val="single" w:sz="4" w:space="0" w:color="auto"/>
            </w:tcBorders>
            <w:hideMark/>
          </w:tcPr>
          <w:p w:rsidR="00F120CC" w:rsidRPr="00533D0F" w:rsidRDefault="00F120CC">
            <w:pPr>
              <w:spacing w:before="60" w:after="60"/>
              <w:jc w:val="center"/>
              <w:rPr>
                <w:rStyle w:val="Style7"/>
                <w:rFonts w:ascii="Arial" w:hAnsi="Arial" w:cs="Arial"/>
                <w:b/>
                <w:sz w:val="19"/>
                <w:szCs w:val="19"/>
                <w:shd w:val="clear" w:color="auto" w:fill="FFFFFF"/>
                <w:lang w:eastAsia="en-US"/>
              </w:rPr>
            </w:pPr>
            <w:r w:rsidRPr="00533D0F">
              <w:rPr>
                <w:rStyle w:val="Style7"/>
                <w:rFonts w:ascii="Arial" w:hAnsi="Arial" w:cs="Arial"/>
                <w:b/>
                <w:sz w:val="19"/>
                <w:szCs w:val="19"/>
                <w:shd w:val="clear" w:color="auto" w:fill="FFFFFF"/>
              </w:rPr>
              <w:t>GENDER EQUALITY</w:t>
            </w:r>
          </w:p>
        </w:tc>
      </w:tr>
      <w:tr w:rsidR="00F120CC" w:rsidRPr="00E65146" w:rsidTr="00B4562D">
        <w:trPr>
          <w:trHeight w:val="129"/>
          <w:jc w:val="center"/>
        </w:trPr>
        <w:tc>
          <w:tcPr>
            <w:tcW w:w="9255" w:type="dxa"/>
            <w:gridSpan w:val="4"/>
            <w:tcBorders>
              <w:top w:val="single" w:sz="4" w:space="0" w:color="auto"/>
              <w:left w:val="single" w:sz="4" w:space="0" w:color="auto"/>
              <w:bottom w:val="single" w:sz="4" w:space="0" w:color="auto"/>
              <w:right w:val="single" w:sz="4" w:space="0" w:color="auto"/>
            </w:tcBorders>
            <w:hideMark/>
          </w:tcPr>
          <w:p w:rsidR="00F120CC" w:rsidRPr="00533D0F" w:rsidRDefault="00F120CC" w:rsidP="00CA464A">
            <w:pPr>
              <w:jc w:val="both"/>
              <w:rPr>
                <w:rStyle w:val="Style7"/>
                <w:rFonts w:ascii="Arial" w:hAnsi="Arial" w:cs="Arial"/>
                <w:sz w:val="19"/>
                <w:szCs w:val="19"/>
                <w:lang w:eastAsia="en-US"/>
              </w:rPr>
            </w:pPr>
            <w:r w:rsidRPr="00533D0F">
              <w:rPr>
                <w:rFonts w:ascii="Arial" w:hAnsi="Arial" w:cs="Arial"/>
                <w:sz w:val="19"/>
                <w:szCs w:val="19"/>
              </w:rPr>
              <w:t xml:space="preserve">Promoting equality between men and women was </w:t>
            </w:r>
          </w:p>
        </w:tc>
      </w:tr>
      <w:tr w:rsidR="00F120CC" w:rsidRPr="00E65146" w:rsidTr="00B4562D">
        <w:trPr>
          <w:trHeight w:val="129"/>
          <w:jc w:val="center"/>
        </w:trPr>
        <w:tc>
          <w:tcPr>
            <w:tcW w:w="3483" w:type="dxa"/>
            <w:tcBorders>
              <w:top w:val="single" w:sz="4" w:space="0" w:color="auto"/>
              <w:left w:val="single" w:sz="4" w:space="0" w:color="auto"/>
              <w:bottom w:val="single" w:sz="4" w:space="0" w:color="auto"/>
              <w:right w:val="single" w:sz="4" w:space="0" w:color="auto"/>
            </w:tcBorders>
            <w:hideMark/>
          </w:tcPr>
          <w:p w:rsidR="00F120CC" w:rsidRPr="00533D0F" w:rsidRDefault="00DA61D5">
            <w:pPr>
              <w:jc w:val="center"/>
              <w:rPr>
                <w:rStyle w:val="Style7"/>
                <w:rFonts w:ascii="Arial" w:hAnsi="Arial" w:cs="Arial"/>
                <w:sz w:val="19"/>
                <w:szCs w:val="19"/>
                <w:shd w:val="clear" w:color="auto" w:fill="FFFFFF"/>
                <w:lang w:eastAsia="en-US"/>
              </w:rPr>
            </w:pPr>
            <w:r w:rsidRPr="00533D0F">
              <w:rPr>
                <w:rFonts w:ascii="Arial" w:hAnsi="Arial" w:cs="Arial"/>
                <w:sz w:val="19"/>
                <w:szCs w:val="19"/>
              </w:rPr>
              <w:t>x</w:t>
            </w:r>
            <w:r w:rsidR="00F120CC" w:rsidRPr="00533D0F">
              <w:rPr>
                <w:rFonts w:ascii="Arial" w:hAnsi="Arial" w:cs="Arial"/>
                <w:sz w:val="19"/>
                <w:szCs w:val="19"/>
              </w:rPr>
              <w:t xml:space="preserve"> a principal objective of this investment</w:t>
            </w:r>
          </w:p>
        </w:tc>
        <w:tc>
          <w:tcPr>
            <w:tcW w:w="3484" w:type="dxa"/>
            <w:tcBorders>
              <w:top w:val="single" w:sz="4" w:space="0" w:color="auto"/>
              <w:left w:val="single" w:sz="4" w:space="0" w:color="auto"/>
              <w:bottom w:val="single" w:sz="4" w:space="0" w:color="auto"/>
              <w:right w:val="single" w:sz="4" w:space="0" w:color="auto"/>
            </w:tcBorders>
            <w:hideMark/>
          </w:tcPr>
          <w:p w:rsidR="00F120CC" w:rsidRPr="00533D0F" w:rsidRDefault="00F120CC">
            <w:pPr>
              <w:jc w:val="center"/>
              <w:rPr>
                <w:rStyle w:val="Style7"/>
                <w:rFonts w:ascii="Arial" w:hAnsi="Arial" w:cs="Arial"/>
                <w:sz w:val="19"/>
                <w:szCs w:val="19"/>
                <w:shd w:val="clear" w:color="auto" w:fill="FFFFFF"/>
                <w:lang w:eastAsia="en-US"/>
              </w:rPr>
            </w:pPr>
            <w:r w:rsidRPr="00533D0F">
              <w:rPr>
                <w:rFonts w:ascii="Arial" w:hAnsi="Arial" w:cs="Arial"/>
                <w:sz w:val="19"/>
                <w:szCs w:val="19"/>
              </w:rPr>
              <w:t>○ a significant objective of this investment</w:t>
            </w:r>
          </w:p>
        </w:tc>
        <w:tc>
          <w:tcPr>
            <w:tcW w:w="2288" w:type="dxa"/>
            <w:gridSpan w:val="2"/>
            <w:tcBorders>
              <w:top w:val="single" w:sz="4" w:space="0" w:color="auto"/>
              <w:left w:val="single" w:sz="4" w:space="0" w:color="auto"/>
              <w:bottom w:val="single" w:sz="4" w:space="0" w:color="auto"/>
              <w:right w:val="single" w:sz="4" w:space="0" w:color="auto"/>
            </w:tcBorders>
            <w:hideMark/>
          </w:tcPr>
          <w:p w:rsidR="00F120CC" w:rsidRPr="00533D0F" w:rsidRDefault="00F120CC">
            <w:pPr>
              <w:jc w:val="center"/>
              <w:rPr>
                <w:rStyle w:val="Style7"/>
                <w:rFonts w:ascii="Arial" w:hAnsi="Arial" w:cs="Arial"/>
                <w:sz w:val="19"/>
                <w:szCs w:val="19"/>
                <w:shd w:val="clear" w:color="auto" w:fill="FFFFFF"/>
                <w:lang w:eastAsia="en-US"/>
              </w:rPr>
            </w:pPr>
            <w:r w:rsidRPr="00533D0F">
              <w:rPr>
                <w:rFonts w:ascii="Arial" w:hAnsi="Arial" w:cs="Arial"/>
                <w:sz w:val="19"/>
                <w:szCs w:val="19"/>
              </w:rPr>
              <w:t>○ not an objective of this investment</w:t>
            </w:r>
          </w:p>
        </w:tc>
      </w:tr>
      <w:tr w:rsidR="00F120CC" w:rsidRPr="00E65146" w:rsidTr="00B4562D">
        <w:trPr>
          <w:jc w:val="center"/>
        </w:trPr>
        <w:tc>
          <w:tcPr>
            <w:tcW w:w="8185" w:type="dxa"/>
            <w:gridSpan w:val="3"/>
            <w:tcBorders>
              <w:top w:val="single" w:sz="4" w:space="0" w:color="auto"/>
              <w:left w:val="single" w:sz="4" w:space="0" w:color="auto"/>
              <w:bottom w:val="single" w:sz="4" w:space="0" w:color="auto"/>
              <w:right w:val="single" w:sz="4" w:space="0" w:color="auto"/>
            </w:tcBorders>
            <w:hideMark/>
          </w:tcPr>
          <w:p w:rsidR="00F120CC" w:rsidRPr="00533D0F" w:rsidRDefault="00F120CC">
            <w:pPr>
              <w:jc w:val="both"/>
              <w:rPr>
                <w:rFonts w:ascii="Arial" w:hAnsi="Arial" w:cs="Arial"/>
                <w:sz w:val="19"/>
                <w:szCs w:val="19"/>
                <w:lang w:eastAsia="en-US"/>
              </w:rPr>
            </w:pPr>
            <w:r w:rsidRPr="00533D0F">
              <w:rPr>
                <w:rFonts w:ascii="Arial" w:hAnsi="Arial" w:cs="Arial"/>
                <w:sz w:val="19"/>
                <w:szCs w:val="19"/>
              </w:rPr>
              <w:t>Analysis of gender equality gaps and opportunities substantially informed the investment.</w:t>
            </w:r>
          </w:p>
        </w:tc>
        <w:tc>
          <w:tcPr>
            <w:tcW w:w="1070" w:type="dxa"/>
            <w:tcBorders>
              <w:top w:val="single" w:sz="4" w:space="0" w:color="auto"/>
              <w:left w:val="single" w:sz="4" w:space="0" w:color="auto"/>
              <w:bottom w:val="single" w:sz="4" w:space="0" w:color="auto"/>
              <w:right w:val="single" w:sz="4" w:space="0" w:color="auto"/>
            </w:tcBorders>
          </w:tcPr>
          <w:p w:rsidR="00F120CC" w:rsidRPr="00533D0F" w:rsidRDefault="00DA61D5">
            <w:pPr>
              <w:jc w:val="center"/>
              <w:rPr>
                <w:rStyle w:val="Style7"/>
                <w:rFonts w:ascii="Arial" w:hAnsi="Arial" w:cs="Arial"/>
                <w:sz w:val="19"/>
                <w:szCs w:val="19"/>
                <w:shd w:val="clear" w:color="auto" w:fill="FFFFFF"/>
                <w:lang w:eastAsia="en-US"/>
              </w:rPr>
            </w:pPr>
            <w:r w:rsidRPr="00533D0F">
              <w:rPr>
                <w:rStyle w:val="Style7"/>
                <w:rFonts w:ascii="Arial" w:hAnsi="Arial" w:cs="Arial"/>
                <w:sz w:val="19"/>
                <w:szCs w:val="19"/>
                <w:shd w:val="clear" w:color="auto" w:fill="FFFFFF"/>
                <w:lang w:eastAsia="en-US"/>
              </w:rPr>
              <w:t>4</w:t>
            </w:r>
          </w:p>
        </w:tc>
      </w:tr>
      <w:tr w:rsidR="00F120CC" w:rsidRPr="00E65146" w:rsidTr="00B4562D">
        <w:trPr>
          <w:jc w:val="center"/>
        </w:trPr>
        <w:tc>
          <w:tcPr>
            <w:tcW w:w="8185" w:type="dxa"/>
            <w:gridSpan w:val="3"/>
            <w:tcBorders>
              <w:top w:val="single" w:sz="4" w:space="0" w:color="auto"/>
              <w:left w:val="single" w:sz="4" w:space="0" w:color="auto"/>
              <w:bottom w:val="single" w:sz="4" w:space="0" w:color="auto"/>
              <w:right w:val="single" w:sz="4" w:space="0" w:color="auto"/>
            </w:tcBorders>
            <w:hideMark/>
          </w:tcPr>
          <w:p w:rsidR="00F120CC" w:rsidRPr="00533D0F" w:rsidRDefault="00F120CC">
            <w:pPr>
              <w:jc w:val="both"/>
              <w:rPr>
                <w:rFonts w:ascii="Arial" w:hAnsi="Arial" w:cs="Arial"/>
                <w:sz w:val="19"/>
                <w:szCs w:val="19"/>
                <w:lang w:eastAsia="en-US"/>
              </w:rPr>
            </w:pPr>
            <w:r w:rsidRPr="00533D0F">
              <w:rPr>
                <w:rFonts w:ascii="Arial" w:hAnsi="Arial" w:cs="Arial"/>
                <w:sz w:val="19"/>
                <w:szCs w:val="19"/>
              </w:rPr>
              <w:t>Risks to gender equality were identified and appropriately managed.</w:t>
            </w:r>
          </w:p>
        </w:tc>
        <w:tc>
          <w:tcPr>
            <w:tcW w:w="1070" w:type="dxa"/>
            <w:tcBorders>
              <w:top w:val="single" w:sz="4" w:space="0" w:color="auto"/>
              <w:left w:val="single" w:sz="4" w:space="0" w:color="auto"/>
              <w:bottom w:val="single" w:sz="4" w:space="0" w:color="auto"/>
              <w:right w:val="single" w:sz="4" w:space="0" w:color="auto"/>
            </w:tcBorders>
          </w:tcPr>
          <w:p w:rsidR="00F120CC" w:rsidRPr="00533D0F" w:rsidRDefault="00DA61D5">
            <w:pPr>
              <w:jc w:val="center"/>
              <w:rPr>
                <w:rStyle w:val="Style7"/>
                <w:rFonts w:ascii="Arial" w:hAnsi="Arial" w:cs="Arial"/>
                <w:sz w:val="19"/>
                <w:szCs w:val="19"/>
                <w:shd w:val="clear" w:color="auto" w:fill="FFFFFF"/>
                <w:lang w:eastAsia="en-US"/>
              </w:rPr>
            </w:pPr>
            <w:r w:rsidRPr="00533D0F">
              <w:rPr>
                <w:rStyle w:val="Style7"/>
                <w:rFonts w:ascii="Arial" w:hAnsi="Arial" w:cs="Arial"/>
                <w:sz w:val="19"/>
                <w:szCs w:val="19"/>
                <w:shd w:val="clear" w:color="auto" w:fill="FFFFFF"/>
                <w:lang w:eastAsia="en-US"/>
              </w:rPr>
              <w:t>4</w:t>
            </w:r>
          </w:p>
        </w:tc>
      </w:tr>
      <w:tr w:rsidR="00F120CC" w:rsidRPr="00E65146" w:rsidTr="00B4562D">
        <w:trPr>
          <w:jc w:val="center"/>
        </w:trPr>
        <w:tc>
          <w:tcPr>
            <w:tcW w:w="8185" w:type="dxa"/>
            <w:gridSpan w:val="3"/>
            <w:tcBorders>
              <w:top w:val="single" w:sz="4" w:space="0" w:color="auto"/>
              <w:left w:val="single" w:sz="4" w:space="0" w:color="auto"/>
              <w:bottom w:val="single" w:sz="4" w:space="0" w:color="auto"/>
              <w:right w:val="single" w:sz="4" w:space="0" w:color="auto"/>
            </w:tcBorders>
            <w:hideMark/>
          </w:tcPr>
          <w:p w:rsidR="00F120CC" w:rsidRPr="00533D0F" w:rsidRDefault="00F120CC">
            <w:pPr>
              <w:jc w:val="both"/>
              <w:rPr>
                <w:rFonts w:ascii="Arial" w:hAnsi="Arial" w:cs="Arial"/>
                <w:sz w:val="19"/>
                <w:szCs w:val="19"/>
                <w:lang w:eastAsia="en-US"/>
              </w:rPr>
            </w:pPr>
            <w:r w:rsidRPr="00533D0F">
              <w:rPr>
                <w:rFonts w:ascii="Arial" w:hAnsi="Arial" w:cs="Arial"/>
                <w:sz w:val="19"/>
                <w:szCs w:val="19"/>
              </w:rPr>
              <w:t>The investment effectively implemented strategies to promote gender equality and women’s empowerment.</w:t>
            </w:r>
          </w:p>
        </w:tc>
        <w:tc>
          <w:tcPr>
            <w:tcW w:w="1070" w:type="dxa"/>
            <w:tcBorders>
              <w:top w:val="single" w:sz="4" w:space="0" w:color="auto"/>
              <w:left w:val="single" w:sz="4" w:space="0" w:color="auto"/>
              <w:bottom w:val="single" w:sz="4" w:space="0" w:color="auto"/>
              <w:right w:val="single" w:sz="4" w:space="0" w:color="auto"/>
            </w:tcBorders>
          </w:tcPr>
          <w:p w:rsidR="00F120CC" w:rsidRPr="00533D0F" w:rsidRDefault="00DA61D5">
            <w:pPr>
              <w:jc w:val="center"/>
              <w:rPr>
                <w:rStyle w:val="Style7"/>
                <w:rFonts w:ascii="Arial" w:hAnsi="Arial" w:cs="Arial"/>
                <w:sz w:val="19"/>
                <w:szCs w:val="19"/>
                <w:shd w:val="clear" w:color="auto" w:fill="FFFFFF"/>
                <w:lang w:eastAsia="en-US"/>
              </w:rPr>
            </w:pPr>
            <w:r w:rsidRPr="00533D0F">
              <w:rPr>
                <w:rStyle w:val="Style7"/>
                <w:rFonts w:ascii="Arial" w:hAnsi="Arial" w:cs="Arial"/>
                <w:sz w:val="19"/>
                <w:szCs w:val="19"/>
                <w:shd w:val="clear" w:color="auto" w:fill="FFFFFF"/>
                <w:lang w:eastAsia="en-US"/>
              </w:rPr>
              <w:t>4</w:t>
            </w:r>
          </w:p>
        </w:tc>
      </w:tr>
      <w:tr w:rsidR="00F120CC" w:rsidRPr="00E65146" w:rsidTr="00B4562D">
        <w:trPr>
          <w:jc w:val="center"/>
        </w:trPr>
        <w:tc>
          <w:tcPr>
            <w:tcW w:w="8185" w:type="dxa"/>
            <w:gridSpan w:val="3"/>
            <w:tcBorders>
              <w:top w:val="single" w:sz="4" w:space="0" w:color="auto"/>
              <w:left w:val="single" w:sz="4" w:space="0" w:color="auto"/>
              <w:bottom w:val="single" w:sz="4" w:space="0" w:color="auto"/>
              <w:right w:val="single" w:sz="4" w:space="0" w:color="auto"/>
            </w:tcBorders>
            <w:hideMark/>
          </w:tcPr>
          <w:p w:rsidR="00F120CC" w:rsidRPr="00533D0F" w:rsidRDefault="00F120CC">
            <w:pPr>
              <w:jc w:val="both"/>
              <w:rPr>
                <w:rFonts w:ascii="Arial" w:hAnsi="Arial" w:cs="Arial"/>
                <w:sz w:val="19"/>
                <w:szCs w:val="19"/>
                <w:lang w:eastAsia="en-US"/>
              </w:rPr>
            </w:pPr>
            <w:r w:rsidRPr="00533D0F">
              <w:rPr>
                <w:rFonts w:ascii="Arial" w:hAnsi="Arial" w:cs="Arial"/>
                <w:sz w:val="19"/>
                <w:szCs w:val="19"/>
              </w:rPr>
              <w:t>The M&amp;E system collected sex-disaggregated data and included indicators to measure gender equality outcomes.</w:t>
            </w:r>
          </w:p>
        </w:tc>
        <w:tc>
          <w:tcPr>
            <w:tcW w:w="1070" w:type="dxa"/>
            <w:tcBorders>
              <w:top w:val="single" w:sz="4" w:space="0" w:color="auto"/>
              <w:left w:val="single" w:sz="4" w:space="0" w:color="auto"/>
              <w:bottom w:val="single" w:sz="4" w:space="0" w:color="auto"/>
              <w:right w:val="single" w:sz="4" w:space="0" w:color="auto"/>
            </w:tcBorders>
          </w:tcPr>
          <w:p w:rsidR="00F120CC" w:rsidRPr="00533D0F" w:rsidRDefault="00DA61D5">
            <w:pPr>
              <w:jc w:val="center"/>
              <w:rPr>
                <w:rStyle w:val="Style7"/>
                <w:rFonts w:ascii="Arial" w:hAnsi="Arial" w:cs="Arial"/>
                <w:sz w:val="19"/>
                <w:szCs w:val="19"/>
                <w:shd w:val="clear" w:color="auto" w:fill="FFFFFF"/>
                <w:lang w:eastAsia="en-US"/>
              </w:rPr>
            </w:pPr>
            <w:r w:rsidRPr="00533D0F">
              <w:rPr>
                <w:rStyle w:val="Style7"/>
                <w:rFonts w:ascii="Arial" w:hAnsi="Arial" w:cs="Arial"/>
                <w:sz w:val="19"/>
                <w:szCs w:val="19"/>
                <w:shd w:val="clear" w:color="auto" w:fill="FFFFFF"/>
                <w:lang w:eastAsia="en-US"/>
              </w:rPr>
              <w:t>4</w:t>
            </w:r>
          </w:p>
        </w:tc>
      </w:tr>
      <w:tr w:rsidR="00F120CC" w:rsidRPr="00E65146" w:rsidTr="00B4562D">
        <w:trPr>
          <w:jc w:val="center"/>
        </w:trPr>
        <w:tc>
          <w:tcPr>
            <w:tcW w:w="8185" w:type="dxa"/>
            <w:gridSpan w:val="3"/>
            <w:tcBorders>
              <w:top w:val="single" w:sz="4" w:space="0" w:color="auto"/>
              <w:left w:val="single" w:sz="4" w:space="0" w:color="auto"/>
              <w:bottom w:val="single" w:sz="4" w:space="0" w:color="auto"/>
              <w:right w:val="single" w:sz="4" w:space="0" w:color="auto"/>
            </w:tcBorders>
            <w:hideMark/>
          </w:tcPr>
          <w:p w:rsidR="00F120CC" w:rsidRPr="00533D0F" w:rsidRDefault="00F120CC">
            <w:pPr>
              <w:tabs>
                <w:tab w:val="left" w:pos="226"/>
              </w:tabs>
              <w:jc w:val="both"/>
              <w:rPr>
                <w:rFonts w:ascii="Arial" w:hAnsi="Arial" w:cs="Arial"/>
                <w:sz w:val="19"/>
                <w:szCs w:val="19"/>
                <w:lang w:eastAsia="en-US"/>
              </w:rPr>
            </w:pPr>
            <w:r w:rsidRPr="00533D0F">
              <w:rPr>
                <w:rFonts w:ascii="Arial" w:hAnsi="Arial" w:cs="Arial"/>
                <w:sz w:val="19"/>
                <w:szCs w:val="19"/>
              </w:rPr>
              <w:t>There was sufficient expertise and budget allocation to achieve positive gender equality outputs and outcomes</w:t>
            </w:r>
          </w:p>
        </w:tc>
        <w:tc>
          <w:tcPr>
            <w:tcW w:w="1070" w:type="dxa"/>
            <w:tcBorders>
              <w:top w:val="single" w:sz="4" w:space="0" w:color="auto"/>
              <w:left w:val="single" w:sz="4" w:space="0" w:color="auto"/>
              <w:bottom w:val="single" w:sz="4" w:space="0" w:color="auto"/>
              <w:right w:val="single" w:sz="4" w:space="0" w:color="auto"/>
            </w:tcBorders>
          </w:tcPr>
          <w:p w:rsidR="00F120CC" w:rsidRPr="00533D0F" w:rsidRDefault="00DA61D5">
            <w:pPr>
              <w:tabs>
                <w:tab w:val="left" w:pos="226"/>
              </w:tabs>
              <w:jc w:val="center"/>
              <w:rPr>
                <w:rStyle w:val="Style7"/>
                <w:rFonts w:ascii="Arial" w:hAnsi="Arial" w:cs="Arial"/>
                <w:sz w:val="19"/>
                <w:szCs w:val="19"/>
                <w:shd w:val="clear" w:color="auto" w:fill="FFFFFF"/>
                <w:lang w:eastAsia="en-US"/>
              </w:rPr>
            </w:pPr>
            <w:r w:rsidRPr="00533D0F">
              <w:rPr>
                <w:rStyle w:val="Style7"/>
                <w:rFonts w:ascii="Arial" w:hAnsi="Arial" w:cs="Arial"/>
                <w:sz w:val="19"/>
                <w:szCs w:val="19"/>
                <w:shd w:val="clear" w:color="auto" w:fill="FFFFFF"/>
                <w:lang w:eastAsia="en-US"/>
              </w:rPr>
              <w:t>3</w:t>
            </w:r>
          </w:p>
        </w:tc>
      </w:tr>
      <w:tr w:rsidR="00F120CC" w:rsidRPr="00E65146" w:rsidTr="00B4562D">
        <w:trPr>
          <w:jc w:val="center"/>
        </w:trPr>
        <w:tc>
          <w:tcPr>
            <w:tcW w:w="8185" w:type="dxa"/>
            <w:gridSpan w:val="3"/>
            <w:tcBorders>
              <w:top w:val="single" w:sz="4" w:space="0" w:color="auto"/>
              <w:left w:val="single" w:sz="4" w:space="0" w:color="auto"/>
              <w:bottom w:val="single" w:sz="4" w:space="0" w:color="auto"/>
              <w:right w:val="single" w:sz="4" w:space="0" w:color="auto"/>
            </w:tcBorders>
            <w:hideMark/>
          </w:tcPr>
          <w:p w:rsidR="00F120CC" w:rsidRPr="00533D0F" w:rsidRDefault="00F120CC">
            <w:pPr>
              <w:tabs>
                <w:tab w:val="left" w:pos="226"/>
              </w:tabs>
              <w:jc w:val="both"/>
              <w:rPr>
                <w:rFonts w:ascii="Arial" w:hAnsi="Arial" w:cs="Arial"/>
                <w:sz w:val="19"/>
                <w:szCs w:val="19"/>
                <w:lang w:eastAsia="en-US"/>
              </w:rPr>
            </w:pPr>
            <w:r w:rsidRPr="00533D0F">
              <w:rPr>
                <w:rFonts w:ascii="Arial" w:hAnsi="Arial" w:cs="Arial"/>
                <w:sz w:val="19"/>
                <w:szCs w:val="19"/>
              </w:rPr>
              <w:t>As a result of the investment, partners increasingly treat gender equality as a priority through their own policies and processes.</w:t>
            </w:r>
          </w:p>
        </w:tc>
        <w:tc>
          <w:tcPr>
            <w:tcW w:w="1070" w:type="dxa"/>
            <w:tcBorders>
              <w:top w:val="single" w:sz="4" w:space="0" w:color="auto"/>
              <w:left w:val="single" w:sz="4" w:space="0" w:color="auto"/>
              <w:bottom w:val="single" w:sz="4" w:space="0" w:color="auto"/>
              <w:right w:val="single" w:sz="4" w:space="0" w:color="auto"/>
            </w:tcBorders>
          </w:tcPr>
          <w:p w:rsidR="00F120CC" w:rsidRPr="00533D0F" w:rsidRDefault="00DA61D5">
            <w:pPr>
              <w:tabs>
                <w:tab w:val="left" w:pos="226"/>
              </w:tabs>
              <w:jc w:val="center"/>
              <w:rPr>
                <w:rStyle w:val="Style7"/>
                <w:rFonts w:ascii="Arial" w:hAnsi="Arial" w:cs="Arial"/>
                <w:sz w:val="19"/>
                <w:szCs w:val="19"/>
                <w:shd w:val="clear" w:color="auto" w:fill="FFFFFF"/>
                <w:lang w:eastAsia="en-US"/>
              </w:rPr>
            </w:pPr>
            <w:r w:rsidRPr="00533D0F">
              <w:rPr>
                <w:rStyle w:val="Style7"/>
                <w:rFonts w:ascii="Arial" w:hAnsi="Arial" w:cs="Arial"/>
                <w:sz w:val="19"/>
                <w:szCs w:val="19"/>
                <w:shd w:val="clear" w:color="auto" w:fill="FFFFFF"/>
                <w:lang w:eastAsia="en-US"/>
              </w:rPr>
              <w:t>4</w:t>
            </w:r>
          </w:p>
        </w:tc>
      </w:tr>
      <w:tr w:rsidR="00F120CC" w:rsidRPr="00E65146" w:rsidTr="00B4562D">
        <w:trPr>
          <w:jc w:val="center"/>
        </w:trPr>
        <w:tc>
          <w:tcPr>
            <w:tcW w:w="8185" w:type="dxa"/>
            <w:gridSpan w:val="3"/>
            <w:tcBorders>
              <w:top w:val="single" w:sz="4" w:space="0" w:color="auto"/>
              <w:left w:val="single" w:sz="4" w:space="0" w:color="auto"/>
              <w:bottom w:val="single" w:sz="4" w:space="0" w:color="auto"/>
              <w:right w:val="single" w:sz="4" w:space="0" w:color="auto"/>
            </w:tcBorders>
            <w:hideMark/>
          </w:tcPr>
          <w:p w:rsidR="00F120CC" w:rsidRPr="00533D0F" w:rsidRDefault="00F120CC">
            <w:pPr>
              <w:jc w:val="right"/>
              <w:rPr>
                <w:rFonts w:ascii="Arial" w:hAnsi="Arial" w:cs="Arial"/>
                <w:b/>
                <w:sz w:val="19"/>
                <w:szCs w:val="19"/>
                <w:lang w:eastAsia="en-US"/>
              </w:rPr>
            </w:pPr>
            <w:r w:rsidRPr="00533D0F">
              <w:rPr>
                <w:rStyle w:val="Style7"/>
                <w:rFonts w:ascii="Arial" w:hAnsi="Arial" w:cs="Arial"/>
                <w:b/>
                <w:i/>
                <w:sz w:val="19"/>
                <w:szCs w:val="19"/>
                <w:shd w:val="clear" w:color="auto" w:fill="FFFFFF"/>
              </w:rPr>
              <w:t>Overall rating</w:t>
            </w:r>
          </w:p>
        </w:tc>
        <w:tc>
          <w:tcPr>
            <w:tcW w:w="1070" w:type="dxa"/>
            <w:tcBorders>
              <w:top w:val="single" w:sz="4" w:space="0" w:color="auto"/>
              <w:left w:val="single" w:sz="4" w:space="0" w:color="auto"/>
              <w:bottom w:val="single" w:sz="4" w:space="0" w:color="auto"/>
              <w:right w:val="single" w:sz="4" w:space="0" w:color="auto"/>
            </w:tcBorders>
          </w:tcPr>
          <w:p w:rsidR="00F120CC" w:rsidRPr="00533D0F" w:rsidRDefault="00DA61D5">
            <w:pPr>
              <w:jc w:val="center"/>
              <w:rPr>
                <w:rStyle w:val="Style7"/>
                <w:rFonts w:ascii="Arial" w:hAnsi="Arial" w:cs="Arial"/>
                <w:b/>
                <w:sz w:val="19"/>
                <w:szCs w:val="19"/>
                <w:shd w:val="clear" w:color="auto" w:fill="FFFFFF"/>
                <w:lang w:eastAsia="en-US"/>
              </w:rPr>
            </w:pPr>
            <w:r w:rsidRPr="00533D0F">
              <w:rPr>
                <w:rStyle w:val="Style7"/>
                <w:rFonts w:ascii="Arial" w:hAnsi="Arial" w:cs="Arial"/>
                <w:b/>
                <w:sz w:val="19"/>
                <w:szCs w:val="19"/>
                <w:shd w:val="clear" w:color="auto" w:fill="FFFFFF"/>
                <w:lang w:eastAsia="en-US"/>
              </w:rPr>
              <w:t>4</w:t>
            </w:r>
          </w:p>
        </w:tc>
      </w:tr>
      <w:tr w:rsidR="00F120CC" w:rsidRPr="00E65146" w:rsidTr="00B4562D">
        <w:trPr>
          <w:jc w:val="center"/>
        </w:trPr>
        <w:tc>
          <w:tcPr>
            <w:tcW w:w="9255" w:type="dxa"/>
            <w:gridSpan w:val="4"/>
            <w:tcBorders>
              <w:top w:val="single" w:sz="4" w:space="0" w:color="auto"/>
              <w:left w:val="single" w:sz="4" w:space="0" w:color="auto"/>
              <w:bottom w:val="single" w:sz="4" w:space="0" w:color="auto"/>
              <w:right w:val="single" w:sz="4" w:space="0" w:color="auto"/>
            </w:tcBorders>
            <w:hideMark/>
          </w:tcPr>
          <w:p w:rsidR="00F120CC" w:rsidRPr="00533D0F" w:rsidRDefault="00F120CC">
            <w:pPr>
              <w:spacing w:before="60" w:after="60"/>
              <w:jc w:val="center"/>
              <w:rPr>
                <w:rStyle w:val="Style7"/>
                <w:rFonts w:ascii="Arial" w:hAnsi="Arial" w:cs="Arial"/>
                <w:b/>
                <w:sz w:val="19"/>
                <w:szCs w:val="19"/>
                <w:shd w:val="clear" w:color="auto" w:fill="FFFFFF"/>
                <w:lang w:eastAsia="en-US"/>
              </w:rPr>
            </w:pPr>
            <w:r w:rsidRPr="00533D0F">
              <w:rPr>
                <w:rStyle w:val="Style7"/>
                <w:rFonts w:ascii="Arial" w:hAnsi="Arial" w:cs="Arial"/>
                <w:b/>
                <w:sz w:val="19"/>
                <w:szCs w:val="19"/>
                <w:shd w:val="clear" w:color="auto" w:fill="FFFFFF"/>
              </w:rPr>
              <w:t>MONITORING AND EVALUATION</w:t>
            </w:r>
          </w:p>
        </w:tc>
      </w:tr>
      <w:tr w:rsidR="00F120CC" w:rsidRPr="00E65146" w:rsidTr="00B4562D">
        <w:trPr>
          <w:jc w:val="center"/>
        </w:trPr>
        <w:tc>
          <w:tcPr>
            <w:tcW w:w="8185" w:type="dxa"/>
            <w:gridSpan w:val="3"/>
            <w:tcBorders>
              <w:top w:val="single" w:sz="4" w:space="0" w:color="auto"/>
              <w:left w:val="single" w:sz="4" w:space="0" w:color="auto"/>
              <w:bottom w:val="single" w:sz="4" w:space="0" w:color="auto"/>
              <w:right w:val="single" w:sz="4" w:space="0" w:color="auto"/>
            </w:tcBorders>
            <w:hideMark/>
          </w:tcPr>
          <w:p w:rsidR="00F120CC" w:rsidRPr="00533D0F" w:rsidRDefault="00F120CC">
            <w:pPr>
              <w:jc w:val="both"/>
              <w:rPr>
                <w:rFonts w:ascii="Arial" w:hAnsi="Arial" w:cs="Arial"/>
                <w:sz w:val="19"/>
                <w:szCs w:val="19"/>
                <w:lang w:eastAsia="en-US"/>
              </w:rPr>
            </w:pPr>
            <w:r w:rsidRPr="00533D0F">
              <w:rPr>
                <w:rFonts w:ascii="Arial" w:hAnsi="Arial" w:cs="Arial"/>
                <w:sz w:val="19"/>
                <w:szCs w:val="19"/>
              </w:rPr>
              <w:t>There is sufficient performance information to complete the FAQC with confidence.</w:t>
            </w:r>
          </w:p>
        </w:tc>
        <w:tc>
          <w:tcPr>
            <w:tcW w:w="1070" w:type="dxa"/>
            <w:tcBorders>
              <w:top w:val="single" w:sz="4" w:space="0" w:color="auto"/>
              <w:left w:val="single" w:sz="4" w:space="0" w:color="auto"/>
              <w:bottom w:val="single" w:sz="4" w:space="0" w:color="auto"/>
              <w:right w:val="single" w:sz="4" w:space="0" w:color="auto"/>
            </w:tcBorders>
          </w:tcPr>
          <w:p w:rsidR="00F120CC" w:rsidRPr="00533D0F" w:rsidRDefault="008D1DDD">
            <w:pPr>
              <w:jc w:val="center"/>
              <w:rPr>
                <w:rStyle w:val="Style7"/>
                <w:rFonts w:ascii="Arial" w:hAnsi="Arial" w:cs="Arial"/>
                <w:sz w:val="19"/>
                <w:szCs w:val="19"/>
                <w:shd w:val="clear" w:color="auto" w:fill="FFFFFF"/>
                <w:lang w:eastAsia="en-US"/>
              </w:rPr>
            </w:pPr>
            <w:r w:rsidRPr="00533D0F">
              <w:rPr>
                <w:rStyle w:val="Style7"/>
                <w:rFonts w:ascii="Arial" w:hAnsi="Arial" w:cs="Arial"/>
                <w:sz w:val="19"/>
                <w:szCs w:val="19"/>
                <w:shd w:val="clear" w:color="auto" w:fill="FFFFFF"/>
                <w:lang w:eastAsia="en-US"/>
              </w:rPr>
              <w:t>3</w:t>
            </w:r>
          </w:p>
        </w:tc>
      </w:tr>
      <w:tr w:rsidR="00F120CC" w:rsidRPr="00E65146" w:rsidTr="00B4562D">
        <w:trPr>
          <w:jc w:val="center"/>
        </w:trPr>
        <w:tc>
          <w:tcPr>
            <w:tcW w:w="8185" w:type="dxa"/>
            <w:gridSpan w:val="3"/>
            <w:tcBorders>
              <w:top w:val="single" w:sz="4" w:space="0" w:color="auto"/>
              <w:left w:val="single" w:sz="4" w:space="0" w:color="auto"/>
              <w:bottom w:val="single" w:sz="4" w:space="0" w:color="auto"/>
              <w:right w:val="single" w:sz="4" w:space="0" w:color="auto"/>
            </w:tcBorders>
            <w:hideMark/>
          </w:tcPr>
          <w:p w:rsidR="00F120CC" w:rsidRPr="00533D0F" w:rsidRDefault="00F120CC">
            <w:pPr>
              <w:jc w:val="both"/>
              <w:rPr>
                <w:rFonts w:ascii="Arial" w:hAnsi="Arial" w:cs="Arial"/>
                <w:sz w:val="19"/>
                <w:szCs w:val="19"/>
                <w:lang w:eastAsia="en-US"/>
              </w:rPr>
            </w:pPr>
            <w:r w:rsidRPr="00533D0F">
              <w:rPr>
                <w:rFonts w:ascii="Arial" w:hAnsi="Arial" w:cs="Arial"/>
                <w:sz w:val="19"/>
                <w:szCs w:val="19"/>
              </w:rPr>
              <w:t>Implementation progress was tracked against a baseline where appropriate.</w:t>
            </w:r>
          </w:p>
        </w:tc>
        <w:tc>
          <w:tcPr>
            <w:tcW w:w="1070" w:type="dxa"/>
            <w:tcBorders>
              <w:top w:val="single" w:sz="4" w:space="0" w:color="auto"/>
              <w:left w:val="single" w:sz="4" w:space="0" w:color="auto"/>
              <w:bottom w:val="single" w:sz="4" w:space="0" w:color="auto"/>
              <w:right w:val="single" w:sz="4" w:space="0" w:color="auto"/>
            </w:tcBorders>
          </w:tcPr>
          <w:p w:rsidR="00F120CC" w:rsidRPr="00533D0F" w:rsidRDefault="008D1DDD">
            <w:pPr>
              <w:jc w:val="center"/>
              <w:rPr>
                <w:rStyle w:val="Style7"/>
                <w:rFonts w:ascii="Arial" w:hAnsi="Arial" w:cs="Arial"/>
                <w:sz w:val="19"/>
                <w:szCs w:val="19"/>
                <w:shd w:val="clear" w:color="auto" w:fill="FFFFFF"/>
                <w:lang w:eastAsia="en-US"/>
              </w:rPr>
            </w:pPr>
            <w:r w:rsidRPr="00533D0F">
              <w:rPr>
                <w:rStyle w:val="Style7"/>
                <w:rFonts w:ascii="Arial" w:hAnsi="Arial" w:cs="Arial"/>
                <w:sz w:val="19"/>
                <w:szCs w:val="19"/>
                <w:shd w:val="clear" w:color="auto" w:fill="FFFFFF"/>
                <w:lang w:eastAsia="en-US"/>
              </w:rPr>
              <w:t>3</w:t>
            </w:r>
          </w:p>
        </w:tc>
      </w:tr>
      <w:tr w:rsidR="00F120CC" w:rsidRPr="00E65146" w:rsidTr="00B4562D">
        <w:trPr>
          <w:jc w:val="center"/>
        </w:trPr>
        <w:tc>
          <w:tcPr>
            <w:tcW w:w="8185" w:type="dxa"/>
            <w:gridSpan w:val="3"/>
            <w:tcBorders>
              <w:top w:val="single" w:sz="4" w:space="0" w:color="auto"/>
              <w:left w:val="single" w:sz="4" w:space="0" w:color="auto"/>
              <w:bottom w:val="single" w:sz="4" w:space="0" w:color="auto"/>
              <w:right w:val="single" w:sz="4" w:space="0" w:color="auto"/>
            </w:tcBorders>
            <w:hideMark/>
          </w:tcPr>
          <w:p w:rsidR="00F120CC" w:rsidRPr="00533D0F" w:rsidRDefault="00F120CC">
            <w:pPr>
              <w:jc w:val="both"/>
              <w:rPr>
                <w:rFonts w:ascii="Arial" w:hAnsi="Arial" w:cs="Arial"/>
                <w:sz w:val="19"/>
                <w:szCs w:val="19"/>
                <w:lang w:eastAsia="en-US"/>
              </w:rPr>
            </w:pPr>
            <w:r w:rsidRPr="00533D0F">
              <w:rPr>
                <w:rFonts w:ascii="Arial" w:hAnsi="Arial" w:cs="Arial"/>
                <w:sz w:val="19"/>
                <w:szCs w:val="19"/>
              </w:rPr>
              <w:t>A documented M&amp;E arrangement has been in place that specified what would be assessed, by whom, when, how and at what cost.</w:t>
            </w:r>
          </w:p>
        </w:tc>
        <w:tc>
          <w:tcPr>
            <w:tcW w:w="1070" w:type="dxa"/>
            <w:tcBorders>
              <w:top w:val="single" w:sz="4" w:space="0" w:color="auto"/>
              <w:left w:val="single" w:sz="4" w:space="0" w:color="auto"/>
              <w:bottom w:val="single" w:sz="4" w:space="0" w:color="auto"/>
              <w:right w:val="single" w:sz="4" w:space="0" w:color="auto"/>
            </w:tcBorders>
          </w:tcPr>
          <w:p w:rsidR="00F120CC" w:rsidRPr="00533D0F" w:rsidRDefault="008D1DDD">
            <w:pPr>
              <w:jc w:val="center"/>
              <w:rPr>
                <w:rStyle w:val="Style7"/>
                <w:rFonts w:ascii="Arial" w:hAnsi="Arial" w:cs="Arial"/>
                <w:sz w:val="19"/>
                <w:szCs w:val="19"/>
                <w:shd w:val="clear" w:color="auto" w:fill="FFFFFF"/>
                <w:lang w:eastAsia="en-US"/>
              </w:rPr>
            </w:pPr>
            <w:r w:rsidRPr="00533D0F">
              <w:rPr>
                <w:rStyle w:val="Style7"/>
                <w:rFonts w:ascii="Arial" w:hAnsi="Arial" w:cs="Arial"/>
                <w:sz w:val="19"/>
                <w:szCs w:val="19"/>
                <w:shd w:val="clear" w:color="auto" w:fill="FFFFFF"/>
                <w:lang w:eastAsia="en-US"/>
              </w:rPr>
              <w:t>3</w:t>
            </w:r>
          </w:p>
        </w:tc>
      </w:tr>
      <w:tr w:rsidR="00F120CC" w:rsidRPr="00E65146" w:rsidTr="00B4562D">
        <w:trPr>
          <w:jc w:val="center"/>
        </w:trPr>
        <w:tc>
          <w:tcPr>
            <w:tcW w:w="8185" w:type="dxa"/>
            <w:gridSpan w:val="3"/>
            <w:tcBorders>
              <w:top w:val="single" w:sz="4" w:space="0" w:color="auto"/>
              <w:left w:val="single" w:sz="4" w:space="0" w:color="auto"/>
              <w:bottom w:val="single" w:sz="4" w:space="0" w:color="auto"/>
              <w:right w:val="single" w:sz="4" w:space="0" w:color="auto"/>
            </w:tcBorders>
            <w:hideMark/>
          </w:tcPr>
          <w:p w:rsidR="00F120CC" w:rsidRPr="00533D0F" w:rsidRDefault="00F120CC">
            <w:pPr>
              <w:jc w:val="both"/>
              <w:rPr>
                <w:rFonts w:ascii="Arial" w:hAnsi="Arial" w:cs="Arial"/>
                <w:sz w:val="19"/>
                <w:szCs w:val="19"/>
                <w:lang w:eastAsia="en-US"/>
              </w:rPr>
            </w:pPr>
            <w:r w:rsidRPr="00533D0F">
              <w:rPr>
                <w:rFonts w:ascii="Arial" w:hAnsi="Arial" w:cs="Arial"/>
                <w:sz w:val="19"/>
                <w:szCs w:val="19"/>
              </w:rPr>
              <w:t>The M&amp;E system generated information that was used for management decision</w:t>
            </w:r>
            <w:r w:rsidR="00934DA4">
              <w:rPr>
                <w:rFonts w:ascii="Arial" w:hAnsi="Arial" w:cs="Arial"/>
                <w:sz w:val="19"/>
                <w:szCs w:val="19"/>
              </w:rPr>
              <w:t xml:space="preserve"> </w:t>
            </w:r>
            <w:r w:rsidRPr="00533D0F">
              <w:rPr>
                <w:rFonts w:ascii="Arial" w:hAnsi="Arial" w:cs="Arial"/>
                <w:sz w:val="19"/>
                <w:szCs w:val="19"/>
              </w:rPr>
              <w:t>making, learning and accountability purposes.</w:t>
            </w:r>
          </w:p>
        </w:tc>
        <w:tc>
          <w:tcPr>
            <w:tcW w:w="1070" w:type="dxa"/>
            <w:tcBorders>
              <w:top w:val="single" w:sz="4" w:space="0" w:color="auto"/>
              <w:left w:val="single" w:sz="4" w:space="0" w:color="auto"/>
              <w:bottom w:val="single" w:sz="4" w:space="0" w:color="auto"/>
              <w:right w:val="single" w:sz="4" w:space="0" w:color="auto"/>
            </w:tcBorders>
          </w:tcPr>
          <w:p w:rsidR="00F120CC" w:rsidRPr="00533D0F" w:rsidRDefault="008D1DDD">
            <w:pPr>
              <w:jc w:val="center"/>
              <w:rPr>
                <w:rStyle w:val="Style7"/>
                <w:rFonts w:ascii="Arial" w:hAnsi="Arial" w:cs="Arial"/>
                <w:sz w:val="19"/>
                <w:szCs w:val="19"/>
                <w:shd w:val="clear" w:color="auto" w:fill="FFFFFF"/>
                <w:lang w:eastAsia="en-US"/>
              </w:rPr>
            </w:pPr>
            <w:r w:rsidRPr="00533D0F">
              <w:rPr>
                <w:rStyle w:val="Style7"/>
                <w:rFonts w:ascii="Arial" w:hAnsi="Arial" w:cs="Arial"/>
                <w:sz w:val="19"/>
                <w:szCs w:val="19"/>
                <w:shd w:val="clear" w:color="auto" w:fill="FFFFFF"/>
                <w:lang w:eastAsia="en-US"/>
              </w:rPr>
              <w:t>3</w:t>
            </w:r>
          </w:p>
        </w:tc>
      </w:tr>
      <w:tr w:rsidR="00F120CC" w:rsidRPr="00E65146" w:rsidTr="00B4562D">
        <w:trPr>
          <w:jc w:val="center"/>
        </w:trPr>
        <w:tc>
          <w:tcPr>
            <w:tcW w:w="8185" w:type="dxa"/>
            <w:gridSpan w:val="3"/>
            <w:tcBorders>
              <w:top w:val="single" w:sz="4" w:space="0" w:color="auto"/>
              <w:left w:val="single" w:sz="4" w:space="0" w:color="auto"/>
              <w:bottom w:val="single" w:sz="4" w:space="0" w:color="auto"/>
              <w:right w:val="single" w:sz="4" w:space="0" w:color="auto"/>
            </w:tcBorders>
            <w:hideMark/>
          </w:tcPr>
          <w:p w:rsidR="00F120CC" w:rsidRPr="00533D0F" w:rsidRDefault="00F120CC">
            <w:pPr>
              <w:jc w:val="both"/>
              <w:rPr>
                <w:rFonts w:ascii="Arial" w:hAnsi="Arial" w:cs="Arial"/>
                <w:sz w:val="19"/>
                <w:szCs w:val="19"/>
                <w:lang w:eastAsia="en-US"/>
              </w:rPr>
            </w:pPr>
            <w:r w:rsidRPr="00533D0F">
              <w:rPr>
                <w:rFonts w:ascii="Arial" w:hAnsi="Arial" w:cs="Arial"/>
                <w:sz w:val="19"/>
                <w:szCs w:val="19"/>
              </w:rPr>
              <w:t>There were sufficient resources allocated for M&amp;E in the investment’s budget.</w:t>
            </w:r>
          </w:p>
        </w:tc>
        <w:tc>
          <w:tcPr>
            <w:tcW w:w="1070" w:type="dxa"/>
            <w:tcBorders>
              <w:top w:val="single" w:sz="4" w:space="0" w:color="auto"/>
              <w:left w:val="single" w:sz="4" w:space="0" w:color="auto"/>
              <w:bottom w:val="single" w:sz="4" w:space="0" w:color="auto"/>
              <w:right w:val="single" w:sz="4" w:space="0" w:color="auto"/>
            </w:tcBorders>
          </w:tcPr>
          <w:p w:rsidR="00F120CC" w:rsidRPr="00533D0F" w:rsidRDefault="008D1DDD">
            <w:pPr>
              <w:jc w:val="center"/>
              <w:rPr>
                <w:rStyle w:val="Style7"/>
                <w:rFonts w:ascii="Arial" w:hAnsi="Arial" w:cs="Arial"/>
                <w:sz w:val="19"/>
                <w:szCs w:val="19"/>
                <w:shd w:val="clear" w:color="auto" w:fill="FFFFFF"/>
                <w:lang w:eastAsia="en-US"/>
              </w:rPr>
            </w:pPr>
            <w:r w:rsidRPr="00533D0F">
              <w:rPr>
                <w:rStyle w:val="Style7"/>
                <w:rFonts w:ascii="Arial" w:hAnsi="Arial" w:cs="Arial"/>
                <w:sz w:val="19"/>
                <w:szCs w:val="19"/>
                <w:shd w:val="clear" w:color="auto" w:fill="FFFFFF"/>
                <w:lang w:eastAsia="en-US"/>
              </w:rPr>
              <w:t>3</w:t>
            </w:r>
          </w:p>
        </w:tc>
      </w:tr>
      <w:tr w:rsidR="00F120CC" w:rsidRPr="00E65146" w:rsidTr="00B4562D">
        <w:trPr>
          <w:jc w:val="center"/>
        </w:trPr>
        <w:tc>
          <w:tcPr>
            <w:tcW w:w="8185" w:type="dxa"/>
            <w:gridSpan w:val="3"/>
            <w:tcBorders>
              <w:top w:val="single" w:sz="4" w:space="0" w:color="auto"/>
              <w:left w:val="single" w:sz="4" w:space="0" w:color="auto"/>
              <w:bottom w:val="single" w:sz="4" w:space="0" w:color="auto"/>
              <w:right w:val="single" w:sz="4" w:space="0" w:color="auto"/>
            </w:tcBorders>
            <w:hideMark/>
          </w:tcPr>
          <w:p w:rsidR="00F120CC" w:rsidRPr="00533D0F" w:rsidRDefault="00F120CC">
            <w:pPr>
              <w:jc w:val="both"/>
              <w:rPr>
                <w:rFonts w:ascii="Arial" w:hAnsi="Arial" w:cs="Arial"/>
                <w:sz w:val="19"/>
                <w:szCs w:val="19"/>
                <w:lang w:eastAsia="en-US"/>
              </w:rPr>
            </w:pPr>
            <w:r w:rsidRPr="00533D0F">
              <w:rPr>
                <w:rFonts w:ascii="Arial" w:hAnsi="Arial" w:cs="Arial"/>
                <w:sz w:val="19"/>
                <w:szCs w:val="19"/>
              </w:rPr>
              <w:t>M&amp;E arrangements used or strengthened local M&amp;E systems and/or capacity as appropriate, and provided for mutual accountability.</w:t>
            </w:r>
          </w:p>
        </w:tc>
        <w:tc>
          <w:tcPr>
            <w:tcW w:w="1070" w:type="dxa"/>
            <w:tcBorders>
              <w:top w:val="single" w:sz="4" w:space="0" w:color="auto"/>
              <w:left w:val="single" w:sz="4" w:space="0" w:color="auto"/>
              <w:bottom w:val="single" w:sz="4" w:space="0" w:color="auto"/>
              <w:right w:val="single" w:sz="4" w:space="0" w:color="auto"/>
            </w:tcBorders>
          </w:tcPr>
          <w:p w:rsidR="00F120CC" w:rsidRPr="00533D0F" w:rsidRDefault="008D1DDD">
            <w:pPr>
              <w:jc w:val="center"/>
              <w:rPr>
                <w:rStyle w:val="Style7"/>
                <w:rFonts w:ascii="Arial" w:hAnsi="Arial" w:cs="Arial"/>
                <w:sz w:val="19"/>
                <w:szCs w:val="19"/>
                <w:shd w:val="clear" w:color="auto" w:fill="FFFFFF"/>
                <w:lang w:eastAsia="en-US"/>
              </w:rPr>
            </w:pPr>
            <w:r w:rsidRPr="00533D0F">
              <w:rPr>
                <w:rStyle w:val="Style7"/>
                <w:rFonts w:ascii="Arial" w:hAnsi="Arial" w:cs="Arial"/>
                <w:sz w:val="19"/>
                <w:szCs w:val="19"/>
                <w:shd w:val="clear" w:color="auto" w:fill="FFFFFF"/>
                <w:lang w:eastAsia="en-US"/>
              </w:rPr>
              <w:t>4</w:t>
            </w:r>
          </w:p>
        </w:tc>
      </w:tr>
      <w:tr w:rsidR="00F120CC" w:rsidRPr="00E65146" w:rsidTr="00B4562D">
        <w:trPr>
          <w:jc w:val="center"/>
        </w:trPr>
        <w:tc>
          <w:tcPr>
            <w:tcW w:w="8185" w:type="dxa"/>
            <w:gridSpan w:val="3"/>
            <w:tcBorders>
              <w:top w:val="single" w:sz="4" w:space="0" w:color="auto"/>
              <w:left w:val="single" w:sz="4" w:space="0" w:color="auto"/>
              <w:bottom w:val="single" w:sz="4" w:space="0" w:color="auto"/>
              <w:right w:val="single" w:sz="4" w:space="0" w:color="auto"/>
            </w:tcBorders>
            <w:hideMark/>
          </w:tcPr>
          <w:p w:rsidR="00F120CC" w:rsidRPr="00533D0F" w:rsidRDefault="00F120CC">
            <w:pPr>
              <w:jc w:val="both"/>
              <w:rPr>
                <w:rFonts w:ascii="Arial" w:hAnsi="Arial" w:cs="Arial"/>
                <w:sz w:val="19"/>
                <w:szCs w:val="19"/>
                <w:lang w:eastAsia="en-US"/>
              </w:rPr>
            </w:pPr>
            <w:r w:rsidRPr="00533D0F">
              <w:rPr>
                <w:rFonts w:ascii="Arial" w:hAnsi="Arial" w:cs="Arial"/>
                <w:sz w:val="19"/>
                <w:szCs w:val="19"/>
              </w:rPr>
              <w:t>Reviews and evaluations for this investment were good quality</w:t>
            </w:r>
          </w:p>
        </w:tc>
        <w:tc>
          <w:tcPr>
            <w:tcW w:w="1070" w:type="dxa"/>
            <w:tcBorders>
              <w:top w:val="single" w:sz="4" w:space="0" w:color="auto"/>
              <w:left w:val="single" w:sz="4" w:space="0" w:color="auto"/>
              <w:bottom w:val="single" w:sz="4" w:space="0" w:color="auto"/>
              <w:right w:val="single" w:sz="4" w:space="0" w:color="auto"/>
            </w:tcBorders>
          </w:tcPr>
          <w:p w:rsidR="00F120CC" w:rsidRPr="00533D0F" w:rsidRDefault="008D1DDD">
            <w:pPr>
              <w:jc w:val="center"/>
              <w:rPr>
                <w:rStyle w:val="Style7"/>
                <w:rFonts w:ascii="Arial" w:hAnsi="Arial" w:cs="Arial"/>
                <w:sz w:val="19"/>
                <w:szCs w:val="19"/>
                <w:shd w:val="clear" w:color="auto" w:fill="FFFFFF"/>
                <w:lang w:eastAsia="en-US"/>
              </w:rPr>
            </w:pPr>
            <w:r w:rsidRPr="00533D0F">
              <w:rPr>
                <w:rStyle w:val="Style7"/>
                <w:rFonts w:ascii="Arial" w:hAnsi="Arial" w:cs="Arial"/>
                <w:sz w:val="19"/>
                <w:szCs w:val="19"/>
                <w:shd w:val="clear" w:color="auto" w:fill="FFFFFF"/>
                <w:lang w:eastAsia="en-US"/>
              </w:rPr>
              <w:t>3</w:t>
            </w:r>
          </w:p>
        </w:tc>
      </w:tr>
      <w:tr w:rsidR="00F120CC" w:rsidRPr="00E65146" w:rsidTr="00B4562D">
        <w:trPr>
          <w:jc w:val="center"/>
        </w:trPr>
        <w:tc>
          <w:tcPr>
            <w:tcW w:w="8185" w:type="dxa"/>
            <w:gridSpan w:val="3"/>
            <w:tcBorders>
              <w:top w:val="single" w:sz="4" w:space="0" w:color="auto"/>
              <w:left w:val="single" w:sz="4" w:space="0" w:color="auto"/>
              <w:bottom w:val="single" w:sz="4" w:space="0" w:color="auto"/>
              <w:right w:val="single" w:sz="4" w:space="0" w:color="auto"/>
            </w:tcBorders>
            <w:hideMark/>
          </w:tcPr>
          <w:p w:rsidR="00F120CC" w:rsidRPr="00533D0F" w:rsidRDefault="00F120CC">
            <w:pPr>
              <w:jc w:val="both"/>
              <w:rPr>
                <w:rFonts w:ascii="Arial" w:hAnsi="Arial" w:cs="Arial"/>
                <w:sz w:val="19"/>
                <w:szCs w:val="19"/>
                <w:lang w:eastAsia="en-US"/>
              </w:rPr>
            </w:pPr>
            <w:r w:rsidRPr="00533D0F">
              <w:rPr>
                <w:rFonts w:ascii="Arial" w:hAnsi="Arial" w:cs="Arial"/>
                <w:sz w:val="19"/>
                <w:szCs w:val="19"/>
              </w:rPr>
              <w:t>Reviews and evaluations for this investment have been published in a timely manner.</w:t>
            </w:r>
          </w:p>
        </w:tc>
        <w:tc>
          <w:tcPr>
            <w:tcW w:w="1070" w:type="dxa"/>
            <w:tcBorders>
              <w:top w:val="single" w:sz="4" w:space="0" w:color="auto"/>
              <w:left w:val="single" w:sz="4" w:space="0" w:color="auto"/>
              <w:bottom w:val="single" w:sz="4" w:space="0" w:color="auto"/>
              <w:right w:val="single" w:sz="4" w:space="0" w:color="auto"/>
            </w:tcBorders>
          </w:tcPr>
          <w:p w:rsidR="00F120CC" w:rsidRPr="00533D0F" w:rsidRDefault="008D1DDD">
            <w:pPr>
              <w:jc w:val="center"/>
              <w:rPr>
                <w:rStyle w:val="Style7"/>
                <w:rFonts w:ascii="Arial" w:hAnsi="Arial" w:cs="Arial"/>
                <w:sz w:val="19"/>
                <w:szCs w:val="19"/>
                <w:shd w:val="clear" w:color="auto" w:fill="FFFFFF"/>
                <w:lang w:eastAsia="en-US"/>
              </w:rPr>
            </w:pPr>
            <w:r w:rsidRPr="00533D0F">
              <w:rPr>
                <w:rStyle w:val="Style7"/>
                <w:rFonts w:ascii="Arial" w:hAnsi="Arial" w:cs="Arial"/>
                <w:sz w:val="19"/>
                <w:szCs w:val="19"/>
                <w:shd w:val="clear" w:color="auto" w:fill="FFFFFF"/>
                <w:lang w:eastAsia="en-US"/>
              </w:rPr>
              <w:t>3</w:t>
            </w:r>
          </w:p>
        </w:tc>
      </w:tr>
      <w:tr w:rsidR="00F120CC" w:rsidRPr="00E65146" w:rsidTr="00B4562D">
        <w:trPr>
          <w:jc w:val="center"/>
        </w:trPr>
        <w:tc>
          <w:tcPr>
            <w:tcW w:w="8185" w:type="dxa"/>
            <w:gridSpan w:val="3"/>
            <w:tcBorders>
              <w:top w:val="single" w:sz="4" w:space="0" w:color="auto"/>
              <w:left w:val="single" w:sz="4" w:space="0" w:color="auto"/>
              <w:bottom w:val="single" w:sz="4" w:space="0" w:color="auto"/>
              <w:right w:val="single" w:sz="4" w:space="0" w:color="auto"/>
            </w:tcBorders>
            <w:hideMark/>
          </w:tcPr>
          <w:p w:rsidR="00F120CC" w:rsidRPr="00533D0F" w:rsidRDefault="00F120CC">
            <w:pPr>
              <w:jc w:val="both"/>
              <w:rPr>
                <w:rFonts w:ascii="Arial" w:hAnsi="Arial" w:cs="Arial"/>
                <w:sz w:val="19"/>
                <w:szCs w:val="19"/>
                <w:lang w:eastAsia="en-US"/>
              </w:rPr>
            </w:pPr>
            <w:r w:rsidRPr="00533D0F">
              <w:rPr>
                <w:rFonts w:ascii="Arial" w:hAnsi="Arial" w:cs="Arial"/>
                <w:sz w:val="19"/>
                <w:szCs w:val="19"/>
              </w:rPr>
              <w:t>M&amp;E arrangements included the participation of beneficiaries.</w:t>
            </w:r>
          </w:p>
        </w:tc>
        <w:tc>
          <w:tcPr>
            <w:tcW w:w="1070" w:type="dxa"/>
            <w:tcBorders>
              <w:top w:val="single" w:sz="4" w:space="0" w:color="auto"/>
              <w:left w:val="single" w:sz="4" w:space="0" w:color="auto"/>
              <w:bottom w:val="single" w:sz="4" w:space="0" w:color="auto"/>
              <w:right w:val="single" w:sz="4" w:space="0" w:color="auto"/>
            </w:tcBorders>
          </w:tcPr>
          <w:p w:rsidR="00F120CC" w:rsidRPr="00533D0F" w:rsidRDefault="008D1DDD">
            <w:pPr>
              <w:jc w:val="center"/>
              <w:rPr>
                <w:rStyle w:val="Style7"/>
                <w:rFonts w:ascii="Arial" w:hAnsi="Arial" w:cs="Arial"/>
                <w:sz w:val="19"/>
                <w:szCs w:val="19"/>
                <w:shd w:val="clear" w:color="auto" w:fill="FFFFFF"/>
                <w:lang w:eastAsia="en-US"/>
              </w:rPr>
            </w:pPr>
            <w:r w:rsidRPr="00533D0F">
              <w:rPr>
                <w:rStyle w:val="Style7"/>
                <w:rFonts w:ascii="Arial" w:hAnsi="Arial" w:cs="Arial"/>
                <w:sz w:val="19"/>
                <w:szCs w:val="19"/>
                <w:shd w:val="clear" w:color="auto" w:fill="FFFFFF"/>
                <w:lang w:eastAsia="en-US"/>
              </w:rPr>
              <w:t>4</w:t>
            </w:r>
          </w:p>
        </w:tc>
      </w:tr>
      <w:tr w:rsidR="00F120CC" w:rsidRPr="00E65146" w:rsidTr="00B4562D">
        <w:trPr>
          <w:jc w:val="center"/>
        </w:trPr>
        <w:tc>
          <w:tcPr>
            <w:tcW w:w="8185" w:type="dxa"/>
            <w:gridSpan w:val="3"/>
            <w:tcBorders>
              <w:top w:val="single" w:sz="4" w:space="0" w:color="auto"/>
              <w:left w:val="single" w:sz="4" w:space="0" w:color="auto"/>
              <w:bottom w:val="single" w:sz="4" w:space="0" w:color="auto"/>
              <w:right w:val="single" w:sz="4" w:space="0" w:color="auto"/>
            </w:tcBorders>
            <w:hideMark/>
          </w:tcPr>
          <w:p w:rsidR="00F120CC" w:rsidRPr="00533D0F" w:rsidRDefault="00F120CC">
            <w:pPr>
              <w:jc w:val="right"/>
              <w:rPr>
                <w:rFonts w:ascii="Arial" w:hAnsi="Arial" w:cs="Arial"/>
                <w:b/>
                <w:sz w:val="19"/>
                <w:szCs w:val="19"/>
                <w:lang w:eastAsia="en-US"/>
              </w:rPr>
            </w:pPr>
            <w:r w:rsidRPr="00533D0F">
              <w:rPr>
                <w:rStyle w:val="Style7"/>
                <w:rFonts w:ascii="Arial" w:hAnsi="Arial" w:cs="Arial"/>
                <w:b/>
                <w:i/>
                <w:sz w:val="19"/>
                <w:szCs w:val="19"/>
                <w:shd w:val="clear" w:color="auto" w:fill="FFFFFF"/>
              </w:rPr>
              <w:t>Overall rating</w:t>
            </w:r>
          </w:p>
        </w:tc>
        <w:tc>
          <w:tcPr>
            <w:tcW w:w="1070" w:type="dxa"/>
            <w:tcBorders>
              <w:top w:val="single" w:sz="4" w:space="0" w:color="auto"/>
              <w:left w:val="single" w:sz="4" w:space="0" w:color="auto"/>
              <w:bottom w:val="single" w:sz="4" w:space="0" w:color="auto"/>
              <w:right w:val="single" w:sz="4" w:space="0" w:color="auto"/>
            </w:tcBorders>
          </w:tcPr>
          <w:p w:rsidR="00F120CC" w:rsidRPr="00533D0F" w:rsidRDefault="00DA61D5">
            <w:pPr>
              <w:jc w:val="center"/>
              <w:rPr>
                <w:rStyle w:val="Style7"/>
                <w:rFonts w:ascii="Arial" w:hAnsi="Arial" w:cs="Arial"/>
                <w:b/>
                <w:sz w:val="19"/>
                <w:szCs w:val="19"/>
                <w:shd w:val="clear" w:color="auto" w:fill="FFFFFF"/>
                <w:lang w:eastAsia="en-US"/>
              </w:rPr>
            </w:pPr>
            <w:r w:rsidRPr="00533D0F">
              <w:rPr>
                <w:rStyle w:val="Style7"/>
                <w:rFonts w:ascii="Arial" w:hAnsi="Arial" w:cs="Arial"/>
                <w:b/>
                <w:sz w:val="19"/>
                <w:szCs w:val="19"/>
                <w:shd w:val="clear" w:color="auto" w:fill="FFFFFF"/>
                <w:lang w:eastAsia="en-US"/>
              </w:rPr>
              <w:t>3</w:t>
            </w:r>
          </w:p>
        </w:tc>
      </w:tr>
    </w:tbl>
    <w:p w:rsidR="008F5AD8" w:rsidRDefault="008F5AD8" w:rsidP="00F120CC">
      <w:pPr>
        <w:rPr>
          <w:rFonts w:ascii="Arial" w:hAnsi="Arial" w:cs="Arial"/>
          <w:sz w:val="22"/>
          <w:lang w:eastAsia="en-US"/>
        </w:rPr>
      </w:pPr>
    </w:p>
    <w:p w:rsidR="008F5AD8" w:rsidRDefault="008F5AD8" w:rsidP="00F120CC">
      <w:pPr>
        <w:rPr>
          <w:rFonts w:ascii="Arial" w:hAnsi="Arial" w:cs="Arial"/>
          <w:sz w:val="22"/>
          <w:lang w:eastAsia="en-US"/>
        </w:rPr>
      </w:pPr>
    </w:p>
    <w:p w:rsidR="008F5AD8" w:rsidRDefault="008F5AD8" w:rsidP="008F5AD8">
      <w:pPr>
        <w:spacing w:before="240" w:after="120"/>
        <w:jc w:val="center"/>
        <w:rPr>
          <w:rFonts w:ascii="Arial" w:hAnsi="Arial" w:cs="Arial"/>
          <w:b/>
        </w:rPr>
      </w:pPr>
      <w:r>
        <w:rPr>
          <w:rFonts w:ascii="Arial" w:hAnsi="Arial" w:cs="Arial"/>
          <w:b/>
        </w:rPr>
        <w:t>Table 1.2</w:t>
      </w:r>
      <w:r w:rsidRPr="00E65146">
        <w:rPr>
          <w:rFonts w:ascii="Arial" w:hAnsi="Arial" w:cs="Arial"/>
          <w:b/>
        </w:rPr>
        <w:t xml:space="preserve">: </w:t>
      </w:r>
      <w:r w:rsidRPr="007D3AA4">
        <w:rPr>
          <w:rFonts w:ascii="Arial" w:hAnsi="Arial" w:cs="Arial"/>
          <w:b/>
        </w:rPr>
        <w:t>Evaluation Criteria Rating Scale</w:t>
      </w:r>
    </w:p>
    <w:tbl>
      <w:tblPr>
        <w:tblpPr w:leftFromText="180" w:rightFromText="180" w:vertAnchor="text" w:horzAnchor="margin" w:tblpXSpec="center" w:tblpY="306"/>
        <w:tblW w:w="84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57" w:type="dxa"/>
          <w:bottom w:w="28" w:type="dxa"/>
          <w:right w:w="57" w:type="dxa"/>
        </w:tblCellMar>
        <w:tblLook w:val="01E0" w:firstRow="1" w:lastRow="1" w:firstColumn="1" w:lastColumn="1" w:noHBand="0" w:noVBand="0"/>
      </w:tblPr>
      <w:tblGrid>
        <w:gridCol w:w="493"/>
        <w:gridCol w:w="3533"/>
        <w:gridCol w:w="567"/>
        <w:gridCol w:w="3828"/>
      </w:tblGrid>
      <w:tr w:rsidR="008F5AD8" w:rsidRPr="007D3AA4" w:rsidTr="008F5AD8">
        <w:trPr>
          <w:cantSplit/>
          <w:trHeight w:val="263"/>
          <w:tblHeader/>
        </w:trPr>
        <w:tc>
          <w:tcPr>
            <w:tcW w:w="8421" w:type="dxa"/>
            <w:gridSpan w:val="4"/>
            <w:shd w:val="clear" w:color="auto" w:fill="auto"/>
            <w:vAlign w:val="center"/>
          </w:tcPr>
          <w:p w:rsidR="008F5AD8" w:rsidRPr="007D3AA4" w:rsidRDefault="008F5AD8" w:rsidP="008F5AD8">
            <w:pPr>
              <w:keepNext/>
              <w:spacing w:before="40" w:after="40"/>
              <w:jc w:val="center"/>
              <w:rPr>
                <w:rFonts w:ascii="Arial" w:hAnsi="Arial" w:cs="Arial"/>
                <w:b/>
              </w:rPr>
            </w:pPr>
            <w:r w:rsidRPr="007D3AA4">
              <w:rPr>
                <w:rFonts w:ascii="Arial" w:hAnsi="Arial" w:cs="Arial"/>
                <w:b/>
              </w:rPr>
              <w:t>Evaluation Criteria Rating Scale</w:t>
            </w:r>
          </w:p>
        </w:tc>
      </w:tr>
      <w:tr w:rsidR="008F5AD8" w:rsidRPr="008F5AD8" w:rsidTr="008F5AD8">
        <w:trPr>
          <w:cantSplit/>
          <w:trHeight w:val="263"/>
          <w:tblHeader/>
        </w:trPr>
        <w:tc>
          <w:tcPr>
            <w:tcW w:w="4026" w:type="dxa"/>
            <w:gridSpan w:val="2"/>
            <w:shd w:val="clear" w:color="auto" w:fill="auto"/>
            <w:vAlign w:val="center"/>
          </w:tcPr>
          <w:p w:rsidR="008F5AD8" w:rsidRPr="008F5AD8" w:rsidRDefault="008F5AD8" w:rsidP="008F5AD8">
            <w:pPr>
              <w:keepNext/>
              <w:spacing w:before="40" w:after="40"/>
              <w:jc w:val="center"/>
              <w:rPr>
                <w:rFonts w:ascii="Arial" w:hAnsi="Arial" w:cs="Arial"/>
                <w:b/>
                <w:sz w:val="19"/>
                <w:szCs w:val="19"/>
              </w:rPr>
            </w:pPr>
            <w:r w:rsidRPr="008F5AD8">
              <w:rPr>
                <w:rFonts w:ascii="Arial" w:hAnsi="Arial" w:cs="Arial"/>
                <w:b/>
                <w:sz w:val="19"/>
                <w:szCs w:val="19"/>
              </w:rPr>
              <w:t>Satisfactory</w:t>
            </w:r>
          </w:p>
        </w:tc>
        <w:tc>
          <w:tcPr>
            <w:tcW w:w="4395" w:type="dxa"/>
            <w:gridSpan w:val="2"/>
            <w:shd w:val="clear" w:color="auto" w:fill="auto"/>
            <w:vAlign w:val="center"/>
          </w:tcPr>
          <w:p w:rsidR="008F5AD8" w:rsidRPr="008F5AD8" w:rsidRDefault="008F5AD8" w:rsidP="008F5AD8">
            <w:pPr>
              <w:keepNext/>
              <w:spacing w:before="40" w:after="40"/>
              <w:jc w:val="center"/>
              <w:rPr>
                <w:rFonts w:ascii="Arial" w:hAnsi="Arial" w:cs="Arial"/>
                <w:b/>
                <w:sz w:val="19"/>
                <w:szCs w:val="19"/>
              </w:rPr>
            </w:pPr>
            <w:r w:rsidRPr="008F5AD8">
              <w:rPr>
                <w:rFonts w:ascii="Arial" w:hAnsi="Arial" w:cs="Arial"/>
                <w:b/>
                <w:sz w:val="19"/>
                <w:szCs w:val="19"/>
              </w:rPr>
              <w:t>Less than satisfactory</w:t>
            </w:r>
          </w:p>
        </w:tc>
      </w:tr>
      <w:tr w:rsidR="008F5AD8" w:rsidRPr="007D3AA4" w:rsidTr="008F5AD8">
        <w:trPr>
          <w:cantSplit/>
        </w:trPr>
        <w:tc>
          <w:tcPr>
            <w:tcW w:w="493" w:type="dxa"/>
            <w:shd w:val="clear" w:color="auto" w:fill="auto"/>
          </w:tcPr>
          <w:p w:rsidR="008F5AD8" w:rsidRPr="007D3AA4" w:rsidRDefault="008F5AD8" w:rsidP="008F5AD8">
            <w:pPr>
              <w:keepNext/>
              <w:spacing w:before="20" w:after="20"/>
              <w:jc w:val="center"/>
              <w:rPr>
                <w:rFonts w:ascii="Arial" w:hAnsi="Arial" w:cs="Arial"/>
                <w:sz w:val="19"/>
                <w:szCs w:val="19"/>
              </w:rPr>
            </w:pPr>
            <w:r w:rsidRPr="007D3AA4">
              <w:rPr>
                <w:rFonts w:ascii="Arial" w:hAnsi="Arial" w:cs="Arial"/>
                <w:sz w:val="19"/>
                <w:szCs w:val="19"/>
              </w:rPr>
              <w:t>6</w:t>
            </w:r>
          </w:p>
        </w:tc>
        <w:tc>
          <w:tcPr>
            <w:tcW w:w="3533" w:type="dxa"/>
            <w:shd w:val="clear" w:color="auto" w:fill="auto"/>
          </w:tcPr>
          <w:p w:rsidR="008F5AD8" w:rsidRPr="007D3AA4" w:rsidRDefault="008F5AD8" w:rsidP="008F5AD8">
            <w:pPr>
              <w:keepNext/>
              <w:spacing w:before="40" w:after="40"/>
              <w:rPr>
                <w:rFonts w:ascii="Arial" w:hAnsi="Arial" w:cs="Arial"/>
                <w:sz w:val="19"/>
                <w:szCs w:val="19"/>
              </w:rPr>
            </w:pPr>
            <w:r w:rsidRPr="007D3AA4">
              <w:rPr>
                <w:rFonts w:ascii="Arial" w:hAnsi="Arial" w:cs="Arial"/>
                <w:sz w:val="19"/>
                <w:szCs w:val="19"/>
              </w:rPr>
              <w:t>Very good; satisfied criteria in all or almost all areas</w:t>
            </w:r>
          </w:p>
        </w:tc>
        <w:tc>
          <w:tcPr>
            <w:tcW w:w="567" w:type="dxa"/>
            <w:shd w:val="clear" w:color="auto" w:fill="auto"/>
          </w:tcPr>
          <w:p w:rsidR="008F5AD8" w:rsidRPr="007D3AA4" w:rsidRDefault="008F5AD8" w:rsidP="008F5AD8">
            <w:pPr>
              <w:keepNext/>
              <w:spacing w:before="40" w:after="40"/>
              <w:jc w:val="center"/>
              <w:rPr>
                <w:rFonts w:ascii="Arial" w:hAnsi="Arial" w:cs="Arial"/>
                <w:sz w:val="19"/>
                <w:szCs w:val="19"/>
              </w:rPr>
            </w:pPr>
            <w:r w:rsidRPr="007D3AA4">
              <w:rPr>
                <w:rFonts w:ascii="Arial" w:hAnsi="Arial" w:cs="Arial"/>
                <w:sz w:val="19"/>
                <w:szCs w:val="19"/>
              </w:rPr>
              <w:t>3</w:t>
            </w:r>
          </w:p>
        </w:tc>
        <w:tc>
          <w:tcPr>
            <w:tcW w:w="3828" w:type="dxa"/>
            <w:shd w:val="clear" w:color="auto" w:fill="auto"/>
          </w:tcPr>
          <w:p w:rsidR="008F5AD8" w:rsidRPr="007D3AA4" w:rsidRDefault="008F5AD8" w:rsidP="008F5AD8">
            <w:pPr>
              <w:keepNext/>
              <w:spacing w:before="40" w:after="40"/>
              <w:rPr>
                <w:rFonts w:ascii="Arial" w:hAnsi="Arial" w:cs="Arial"/>
                <w:sz w:val="19"/>
                <w:szCs w:val="19"/>
              </w:rPr>
            </w:pPr>
            <w:r w:rsidRPr="007D3AA4">
              <w:rPr>
                <w:rFonts w:ascii="Arial" w:hAnsi="Arial" w:cs="Arial"/>
                <w:sz w:val="19"/>
                <w:szCs w:val="19"/>
              </w:rPr>
              <w:t>Less than adequate; on balance did not satisfy criteria but did not fail in any major area</w:t>
            </w:r>
          </w:p>
        </w:tc>
      </w:tr>
      <w:tr w:rsidR="008F5AD8" w:rsidRPr="007D3AA4" w:rsidTr="008F5AD8">
        <w:trPr>
          <w:cantSplit/>
        </w:trPr>
        <w:tc>
          <w:tcPr>
            <w:tcW w:w="493" w:type="dxa"/>
            <w:shd w:val="clear" w:color="auto" w:fill="auto"/>
          </w:tcPr>
          <w:p w:rsidR="008F5AD8" w:rsidRPr="007D3AA4" w:rsidRDefault="008F5AD8" w:rsidP="008F5AD8">
            <w:pPr>
              <w:keepNext/>
              <w:spacing w:before="20" w:after="20"/>
              <w:jc w:val="center"/>
              <w:rPr>
                <w:rFonts w:ascii="Arial" w:hAnsi="Arial" w:cs="Arial"/>
                <w:sz w:val="19"/>
                <w:szCs w:val="19"/>
              </w:rPr>
            </w:pPr>
            <w:r w:rsidRPr="007D3AA4">
              <w:rPr>
                <w:rFonts w:ascii="Arial" w:hAnsi="Arial" w:cs="Arial"/>
                <w:sz w:val="19"/>
                <w:szCs w:val="19"/>
              </w:rPr>
              <w:t>5</w:t>
            </w:r>
          </w:p>
        </w:tc>
        <w:tc>
          <w:tcPr>
            <w:tcW w:w="3533" w:type="dxa"/>
            <w:shd w:val="clear" w:color="auto" w:fill="auto"/>
          </w:tcPr>
          <w:p w:rsidR="008F5AD8" w:rsidRPr="007D3AA4" w:rsidRDefault="008F5AD8" w:rsidP="008F5AD8">
            <w:pPr>
              <w:keepNext/>
              <w:spacing w:before="40" w:after="40"/>
              <w:rPr>
                <w:rFonts w:ascii="Arial" w:hAnsi="Arial" w:cs="Arial"/>
                <w:sz w:val="19"/>
                <w:szCs w:val="19"/>
              </w:rPr>
            </w:pPr>
            <w:r w:rsidRPr="007D3AA4">
              <w:rPr>
                <w:rFonts w:ascii="Arial" w:hAnsi="Arial" w:cs="Arial"/>
                <w:sz w:val="19"/>
                <w:szCs w:val="19"/>
              </w:rPr>
              <w:t>Good; satisfied criteria in most areas</w:t>
            </w:r>
          </w:p>
        </w:tc>
        <w:tc>
          <w:tcPr>
            <w:tcW w:w="567" w:type="dxa"/>
            <w:shd w:val="clear" w:color="auto" w:fill="auto"/>
          </w:tcPr>
          <w:p w:rsidR="008F5AD8" w:rsidRPr="007D3AA4" w:rsidRDefault="008F5AD8" w:rsidP="008F5AD8">
            <w:pPr>
              <w:keepNext/>
              <w:spacing w:before="40" w:after="40"/>
              <w:jc w:val="center"/>
              <w:rPr>
                <w:rFonts w:ascii="Arial" w:hAnsi="Arial" w:cs="Arial"/>
                <w:sz w:val="19"/>
                <w:szCs w:val="19"/>
              </w:rPr>
            </w:pPr>
            <w:r w:rsidRPr="007D3AA4">
              <w:rPr>
                <w:rFonts w:ascii="Arial" w:hAnsi="Arial" w:cs="Arial"/>
                <w:sz w:val="19"/>
                <w:szCs w:val="19"/>
              </w:rPr>
              <w:t>2</w:t>
            </w:r>
          </w:p>
        </w:tc>
        <w:tc>
          <w:tcPr>
            <w:tcW w:w="3828" w:type="dxa"/>
            <w:shd w:val="clear" w:color="auto" w:fill="auto"/>
          </w:tcPr>
          <w:p w:rsidR="008F5AD8" w:rsidRPr="007D3AA4" w:rsidRDefault="008F5AD8" w:rsidP="008F5AD8">
            <w:pPr>
              <w:keepNext/>
              <w:spacing w:before="40" w:after="40"/>
              <w:rPr>
                <w:rFonts w:ascii="Arial" w:hAnsi="Arial" w:cs="Arial"/>
                <w:sz w:val="19"/>
                <w:szCs w:val="19"/>
              </w:rPr>
            </w:pPr>
            <w:r w:rsidRPr="007D3AA4">
              <w:rPr>
                <w:rFonts w:ascii="Arial" w:hAnsi="Arial" w:cs="Arial"/>
                <w:sz w:val="19"/>
                <w:szCs w:val="19"/>
              </w:rPr>
              <w:t>Poor; did not satisfy criteria in major areas</w:t>
            </w:r>
          </w:p>
        </w:tc>
      </w:tr>
      <w:tr w:rsidR="008F5AD8" w:rsidRPr="007D3AA4" w:rsidTr="008F5AD8">
        <w:trPr>
          <w:cantSplit/>
        </w:trPr>
        <w:tc>
          <w:tcPr>
            <w:tcW w:w="493" w:type="dxa"/>
            <w:shd w:val="clear" w:color="auto" w:fill="auto"/>
          </w:tcPr>
          <w:p w:rsidR="008F5AD8" w:rsidRPr="007D3AA4" w:rsidRDefault="008F5AD8" w:rsidP="008F5AD8">
            <w:pPr>
              <w:spacing w:before="20" w:after="20"/>
              <w:jc w:val="center"/>
              <w:rPr>
                <w:rFonts w:ascii="Arial" w:hAnsi="Arial" w:cs="Arial"/>
                <w:sz w:val="19"/>
                <w:szCs w:val="19"/>
              </w:rPr>
            </w:pPr>
            <w:r w:rsidRPr="007D3AA4">
              <w:rPr>
                <w:rFonts w:ascii="Arial" w:hAnsi="Arial" w:cs="Arial"/>
                <w:sz w:val="19"/>
                <w:szCs w:val="19"/>
              </w:rPr>
              <w:t>4</w:t>
            </w:r>
          </w:p>
        </w:tc>
        <w:tc>
          <w:tcPr>
            <w:tcW w:w="3533" w:type="dxa"/>
            <w:shd w:val="clear" w:color="auto" w:fill="auto"/>
          </w:tcPr>
          <w:p w:rsidR="008F5AD8" w:rsidRPr="007D3AA4" w:rsidRDefault="008F5AD8" w:rsidP="008F5AD8">
            <w:pPr>
              <w:spacing w:before="40" w:after="40"/>
              <w:rPr>
                <w:rFonts w:ascii="Arial" w:hAnsi="Arial" w:cs="Arial"/>
                <w:sz w:val="19"/>
                <w:szCs w:val="19"/>
              </w:rPr>
            </w:pPr>
            <w:r w:rsidRPr="007D3AA4">
              <w:rPr>
                <w:rFonts w:ascii="Arial" w:hAnsi="Arial" w:cs="Arial"/>
                <w:sz w:val="19"/>
                <w:szCs w:val="19"/>
              </w:rPr>
              <w:t>Adequate; on balance satisfied criteria; did not fail in any major area</w:t>
            </w:r>
          </w:p>
        </w:tc>
        <w:tc>
          <w:tcPr>
            <w:tcW w:w="567" w:type="dxa"/>
            <w:shd w:val="clear" w:color="auto" w:fill="auto"/>
          </w:tcPr>
          <w:p w:rsidR="008F5AD8" w:rsidRPr="007D3AA4" w:rsidRDefault="008F5AD8" w:rsidP="008F5AD8">
            <w:pPr>
              <w:spacing w:before="40" w:after="40"/>
              <w:jc w:val="center"/>
              <w:rPr>
                <w:rFonts w:ascii="Arial" w:hAnsi="Arial" w:cs="Arial"/>
                <w:sz w:val="19"/>
                <w:szCs w:val="19"/>
              </w:rPr>
            </w:pPr>
            <w:r w:rsidRPr="007D3AA4">
              <w:rPr>
                <w:rFonts w:ascii="Arial" w:hAnsi="Arial" w:cs="Arial"/>
                <w:sz w:val="19"/>
                <w:szCs w:val="19"/>
              </w:rPr>
              <w:t>1</w:t>
            </w:r>
          </w:p>
        </w:tc>
        <w:tc>
          <w:tcPr>
            <w:tcW w:w="3828" w:type="dxa"/>
            <w:shd w:val="clear" w:color="auto" w:fill="auto"/>
          </w:tcPr>
          <w:p w:rsidR="008F5AD8" w:rsidRPr="007D3AA4" w:rsidRDefault="008F5AD8" w:rsidP="008F5AD8">
            <w:pPr>
              <w:spacing w:before="40" w:after="40"/>
              <w:rPr>
                <w:rFonts w:ascii="Arial" w:hAnsi="Arial" w:cs="Arial"/>
                <w:sz w:val="19"/>
                <w:szCs w:val="19"/>
              </w:rPr>
            </w:pPr>
            <w:r w:rsidRPr="007D3AA4">
              <w:rPr>
                <w:rFonts w:ascii="Arial" w:hAnsi="Arial" w:cs="Arial"/>
                <w:sz w:val="19"/>
                <w:szCs w:val="19"/>
              </w:rPr>
              <w:t>Very poor; did not satisfy criteria in many major areas</w:t>
            </w:r>
          </w:p>
        </w:tc>
      </w:tr>
    </w:tbl>
    <w:p w:rsidR="008F5AD8" w:rsidRPr="00E65146" w:rsidRDefault="008F5AD8" w:rsidP="008F5AD8">
      <w:pPr>
        <w:spacing w:before="240" w:after="120"/>
        <w:jc w:val="center"/>
        <w:rPr>
          <w:rFonts w:ascii="Arial" w:hAnsi="Arial" w:cs="Arial"/>
          <w:b/>
        </w:rPr>
      </w:pPr>
    </w:p>
    <w:p w:rsidR="008F5AD8" w:rsidRDefault="008F5AD8" w:rsidP="00F120CC">
      <w:pPr>
        <w:rPr>
          <w:rFonts w:ascii="Arial" w:hAnsi="Arial" w:cs="Arial"/>
          <w:sz w:val="22"/>
          <w:lang w:eastAsia="en-US"/>
        </w:rPr>
      </w:pPr>
    </w:p>
    <w:p w:rsidR="003F4E23" w:rsidRPr="00E65146" w:rsidRDefault="003F4E23" w:rsidP="00F120CC">
      <w:pPr>
        <w:rPr>
          <w:rFonts w:ascii="Arial" w:hAnsi="Arial" w:cs="Arial"/>
          <w:sz w:val="22"/>
          <w:lang w:eastAsia="en-US"/>
        </w:rPr>
      </w:pPr>
      <w:r w:rsidRPr="00E65146">
        <w:rPr>
          <w:rFonts w:ascii="Arial" w:hAnsi="Arial" w:cs="Arial"/>
          <w:sz w:val="22"/>
          <w:lang w:eastAsia="en-US"/>
        </w:rPr>
        <w:br w:type="page"/>
      </w:r>
    </w:p>
    <w:p w:rsidR="00F120CC" w:rsidRPr="00E65146" w:rsidRDefault="00B4562D" w:rsidP="00CA718F">
      <w:pPr>
        <w:pStyle w:val="ColorfulList-Accent11"/>
        <w:numPr>
          <w:ilvl w:val="0"/>
          <w:numId w:val="8"/>
        </w:numPr>
        <w:pBdr>
          <w:bottom w:val="single" w:sz="6" w:space="1" w:color="auto"/>
        </w:pBdr>
        <w:tabs>
          <w:tab w:val="left" w:pos="1530"/>
        </w:tabs>
        <w:outlineLvl w:val="0"/>
        <w:rPr>
          <w:rFonts w:ascii="Arial" w:hAnsi="Arial" w:cs="Arial"/>
          <w:b/>
        </w:rPr>
      </w:pPr>
      <w:bookmarkStart w:id="97" w:name="_Toc423359355"/>
      <w:r w:rsidRPr="00E65146">
        <w:rPr>
          <w:rFonts w:ascii="Arial" w:hAnsi="Arial" w:cs="Arial"/>
          <w:b/>
          <w:sz w:val="22"/>
        </w:rPr>
        <w:t>DESIGN AND MONITORING FRAME</w:t>
      </w:r>
      <w:r w:rsidR="003F4E23" w:rsidRPr="00E65146">
        <w:rPr>
          <w:rFonts w:ascii="Arial" w:hAnsi="Arial" w:cs="Arial"/>
          <w:b/>
          <w:sz w:val="22"/>
        </w:rPr>
        <w:t>W</w:t>
      </w:r>
      <w:r w:rsidRPr="00E65146">
        <w:rPr>
          <w:rFonts w:ascii="Arial" w:hAnsi="Arial" w:cs="Arial"/>
          <w:b/>
          <w:sz w:val="22"/>
        </w:rPr>
        <w:t>O</w:t>
      </w:r>
      <w:r w:rsidR="003F4E23" w:rsidRPr="00E65146">
        <w:rPr>
          <w:rFonts w:ascii="Arial" w:hAnsi="Arial" w:cs="Arial"/>
          <w:b/>
          <w:sz w:val="22"/>
        </w:rPr>
        <w:t>RK</w:t>
      </w:r>
      <w:bookmarkEnd w:id="97"/>
    </w:p>
    <w:p w:rsidR="009E6616" w:rsidRPr="00E65146" w:rsidRDefault="009E6616" w:rsidP="00B4562D">
      <w:pPr>
        <w:spacing w:before="240" w:after="120"/>
        <w:jc w:val="center"/>
        <w:rPr>
          <w:rFonts w:ascii="Arial" w:hAnsi="Arial" w:cs="Arial"/>
          <w:b/>
        </w:rPr>
      </w:pPr>
      <w:r w:rsidRPr="00E65146">
        <w:rPr>
          <w:rFonts w:ascii="Arial" w:hAnsi="Arial" w:cs="Arial"/>
          <w:b/>
        </w:rPr>
        <w:t>Table 2.1: Achievements against HHRSDP Performance Targets/Indicators</w:t>
      </w:r>
    </w:p>
    <w:tbl>
      <w:tblPr>
        <w:tblW w:w="9180" w:type="dxa"/>
        <w:tblInd w:w="18" w:type="dxa"/>
        <w:tblLayout w:type="fixed"/>
        <w:tblLook w:val="01E0" w:firstRow="1" w:lastRow="1" w:firstColumn="1" w:lastColumn="1" w:noHBand="0" w:noVBand="0"/>
      </w:tblPr>
      <w:tblGrid>
        <w:gridCol w:w="1800"/>
        <w:gridCol w:w="2736"/>
        <w:gridCol w:w="2664"/>
        <w:gridCol w:w="1980"/>
      </w:tblGrid>
      <w:tr w:rsidR="009E6616" w:rsidRPr="00E65146" w:rsidTr="009E6616">
        <w:trPr>
          <w:tblHeader/>
        </w:trPr>
        <w:tc>
          <w:tcPr>
            <w:tcW w:w="1800" w:type="dxa"/>
            <w:tcBorders>
              <w:top w:val="single" w:sz="4" w:space="0" w:color="auto"/>
              <w:left w:val="single" w:sz="4" w:space="0" w:color="auto"/>
              <w:bottom w:val="single" w:sz="4" w:space="0" w:color="auto"/>
              <w:right w:val="single" w:sz="4" w:space="0" w:color="auto"/>
            </w:tcBorders>
          </w:tcPr>
          <w:p w:rsidR="009E6616" w:rsidRPr="00D80D58" w:rsidRDefault="009E6616" w:rsidP="009E6616">
            <w:pPr>
              <w:jc w:val="center"/>
              <w:rPr>
                <w:rFonts w:ascii="Arial" w:hAnsi="Arial" w:cs="Arial"/>
                <w:b/>
                <w:sz w:val="19"/>
                <w:szCs w:val="19"/>
              </w:rPr>
            </w:pPr>
            <w:r w:rsidRPr="00D80D58">
              <w:rPr>
                <w:rFonts w:ascii="Arial" w:hAnsi="Arial" w:cs="Arial"/>
                <w:b/>
                <w:sz w:val="19"/>
                <w:szCs w:val="19"/>
              </w:rPr>
              <w:t>Design Summary</w:t>
            </w:r>
          </w:p>
        </w:tc>
        <w:tc>
          <w:tcPr>
            <w:tcW w:w="2736" w:type="dxa"/>
            <w:tcBorders>
              <w:top w:val="single" w:sz="4" w:space="0" w:color="auto"/>
              <w:left w:val="single" w:sz="4" w:space="0" w:color="auto"/>
              <w:bottom w:val="single" w:sz="4" w:space="0" w:color="auto"/>
              <w:right w:val="single" w:sz="4" w:space="0" w:color="auto"/>
            </w:tcBorders>
          </w:tcPr>
          <w:p w:rsidR="009E6616" w:rsidRPr="00D80D58" w:rsidRDefault="009E6616" w:rsidP="009E6616">
            <w:pPr>
              <w:jc w:val="center"/>
              <w:rPr>
                <w:rFonts w:ascii="Arial" w:hAnsi="Arial" w:cs="Arial"/>
                <w:b/>
                <w:sz w:val="19"/>
                <w:szCs w:val="19"/>
              </w:rPr>
            </w:pPr>
            <w:r w:rsidRPr="00D80D58">
              <w:rPr>
                <w:rFonts w:ascii="Arial" w:hAnsi="Arial" w:cs="Arial"/>
                <w:b/>
                <w:sz w:val="19"/>
                <w:szCs w:val="19"/>
              </w:rPr>
              <w:t>Performance Targets/Indicators</w:t>
            </w:r>
          </w:p>
        </w:tc>
        <w:tc>
          <w:tcPr>
            <w:tcW w:w="2664" w:type="dxa"/>
            <w:tcBorders>
              <w:top w:val="single" w:sz="4" w:space="0" w:color="auto"/>
              <w:left w:val="single" w:sz="4" w:space="0" w:color="auto"/>
              <w:bottom w:val="single" w:sz="4" w:space="0" w:color="auto"/>
              <w:right w:val="single" w:sz="4" w:space="0" w:color="auto"/>
            </w:tcBorders>
          </w:tcPr>
          <w:p w:rsidR="009E6616" w:rsidRPr="00D80D58" w:rsidRDefault="009E6616" w:rsidP="009E6616">
            <w:pPr>
              <w:jc w:val="center"/>
              <w:rPr>
                <w:rFonts w:ascii="Arial" w:hAnsi="Arial" w:cs="Arial"/>
                <w:b/>
                <w:sz w:val="19"/>
                <w:szCs w:val="19"/>
              </w:rPr>
            </w:pPr>
            <w:r w:rsidRPr="00D80D58">
              <w:rPr>
                <w:rFonts w:ascii="Arial" w:hAnsi="Arial" w:cs="Arial"/>
                <w:b/>
                <w:sz w:val="19"/>
                <w:szCs w:val="19"/>
              </w:rPr>
              <w:t>Achievements</w:t>
            </w:r>
          </w:p>
        </w:tc>
        <w:tc>
          <w:tcPr>
            <w:tcW w:w="1980" w:type="dxa"/>
            <w:tcBorders>
              <w:top w:val="single" w:sz="4" w:space="0" w:color="auto"/>
              <w:left w:val="single" w:sz="4" w:space="0" w:color="auto"/>
              <w:bottom w:val="single" w:sz="4" w:space="0" w:color="auto"/>
              <w:right w:val="single" w:sz="4" w:space="0" w:color="auto"/>
            </w:tcBorders>
          </w:tcPr>
          <w:p w:rsidR="009E6616" w:rsidRPr="00D80D58" w:rsidRDefault="00D85FBF" w:rsidP="009E6616">
            <w:pPr>
              <w:jc w:val="center"/>
              <w:rPr>
                <w:rFonts w:ascii="Arial" w:hAnsi="Arial" w:cs="Arial"/>
                <w:b/>
                <w:sz w:val="19"/>
                <w:szCs w:val="19"/>
              </w:rPr>
            </w:pPr>
            <w:r w:rsidRPr="00D80D58">
              <w:rPr>
                <w:rFonts w:ascii="Arial" w:hAnsi="Arial" w:cs="Arial"/>
                <w:b/>
                <w:sz w:val="19"/>
                <w:szCs w:val="19"/>
              </w:rPr>
              <w:t>Assumptions/Risks</w:t>
            </w:r>
          </w:p>
        </w:tc>
      </w:tr>
      <w:tr w:rsidR="009E6616" w:rsidRPr="00E65146" w:rsidTr="009E6616">
        <w:tc>
          <w:tcPr>
            <w:tcW w:w="1800" w:type="dxa"/>
            <w:vMerge w:val="restart"/>
            <w:tcBorders>
              <w:top w:val="single" w:sz="4" w:space="0" w:color="auto"/>
              <w:left w:val="single" w:sz="4" w:space="0" w:color="auto"/>
              <w:right w:val="single" w:sz="4" w:space="0" w:color="auto"/>
            </w:tcBorders>
          </w:tcPr>
          <w:p w:rsidR="009E6616" w:rsidRPr="00D80D58" w:rsidRDefault="009E6616" w:rsidP="009E6616">
            <w:pPr>
              <w:rPr>
                <w:rFonts w:ascii="Arial" w:hAnsi="Arial" w:cs="Arial"/>
                <w:b/>
                <w:sz w:val="19"/>
                <w:szCs w:val="19"/>
              </w:rPr>
            </w:pPr>
            <w:r w:rsidRPr="00D80D58">
              <w:rPr>
                <w:rFonts w:ascii="Arial" w:hAnsi="Arial" w:cs="Arial"/>
                <w:b/>
                <w:sz w:val="19"/>
                <w:szCs w:val="19"/>
              </w:rPr>
              <w:t>Impact</w:t>
            </w:r>
          </w:p>
          <w:p w:rsidR="009E6616" w:rsidRPr="00D80D58" w:rsidRDefault="009E6616" w:rsidP="009E6616">
            <w:pPr>
              <w:rPr>
                <w:rFonts w:ascii="Arial" w:hAnsi="Arial" w:cs="Arial"/>
                <w:sz w:val="19"/>
                <w:szCs w:val="19"/>
              </w:rPr>
            </w:pPr>
            <w:r w:rsidRPr="00D80D58">
              <w:rPr>
                <w:rFonts w:ascii="Arial" w:hAnsi="Arial" w:cs="Arial"/>
                <w:sz w:val="19"/>
                <w:szCs w:val="19"/>
              </w:rPr>
              <w:t xml:space="preserve">Improved health status and progress towards the health Millennium Development Goals (MDGs)/Viet Nam Development Goals (VDGs) in </w:t>
            </w:r>
            <w:r w:rsidR="0028006A">
              <w:rPr>
                <w:rFonts w:ascii="Arial" w:hAnsi="Arial" w:cs="Arial"/>
                <w:sz w:val="19"/>
                <w:szCs w:val="19"/>
              </w:rPr>
              <w:t>Viet Nam</w:t>
            </w: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tc>
        <w:tc>
          <w:tcPr>
            <w:tcW w:w="2736" w:type="dxa"/>
            <w:tcBorders>
              <w:top w:val="single" w:sz="4" w:space="0" w:color="auto"/>
              <w:left w:val="single" w:sz="4" w:space="0" w:color="auto"/>
              <w:bottom w:val="single" w:sz="4" w:space="0" w:color="auto"/>
              <w:right w:val="single" w:sz="4" w:space="0" w:color="auto"/>
            </w:tcBorders>
          </w:tcPr>
          <w:p w:rsidR="009E6616" w:rsidRPr="00D80D58" w:rsidRDefault="009E6616" w:rsidP="009E6616">
            <w:pPr>
              <w:autoSpaceDE w:val="0"/>
              <w:autoSpaceDN w:val="0"/>
              <w:adjustRightInd w:val="0"/>
              <w:rPr>
                <w:rFonts w:ascii="Arial" w:hAnsi="Arial" w:cs="Arial"/>
                <w:sz w:val="19"/>
                <w:szCs w:val="19"/>
              </w:rPr>
            </w:pPr>
            <w:r w:rsidRPr="00D80D58">
              <w:rPr>
                <w:rFonts w:ascii="Arial" w:hAnsi="Arial" w:cs="Arial"/>
                <w:sz w:val="19"/>
                <w:szCs w:val="19"/>
              </w:rPr>
              <w:t xml:space="preserve">The 20 poorest provinces have achieved the </w:t>
            </w:r>
            <w:r w:rsidR="0028006A">
              <w:rPr>
                <w:rFonts w:ascii="Arial" w:hAnsi="Arial" w:cs="Arial"/>
                <w:sz w:val="19"/>
                <w:szCs w:val="19"/>
              </w:rPr>
              <w:t>Viet Nam</w:t>
            </w:r>
            <w:r w:rsidRPr="00D80D58">
              <w:rPr>
                <w:rFonts w:ascii="Arial" w:hAnsi="Arial" w:cs="Arial"/>
                <w:sz w:val="19"/>
                <w:szCs w:val="19"/>
              </w:rPr>
              <w:t xml:space="preserve"> Development Goals for reducing infant mortality (22%) by 2020</w:t>
            </w:r>
            <w:r w:rsidR="002F5949" w:rsidRPr="00D80D58">
              <w:rPr>
                <w:rFonts w:ascii="Arial" w:hAnsi="Arial" w:cs="Arial"/>
                <w:sz w:val="19"/>
                <w:szCs w:val="19"/>
              </w:rPr>
              <w:t>.</w:t>
            </w:r>
          </w:p>
          <w:p w:rsidR="009E6616" w:rsidRPr="00D80D58" w:rsidRDefault="009E6616" w:rsidP="009E6616">
            <w:pPr>
              <w:autoSpaceDE w:val="0"/>
              <w:autoSpaceDN w:val="0"/>
              <w:adjustRightInd w:val="0"/>
              <w:ind w:left="216"/>
              <w:rPr>
                <w:rFonts w:ascii="Arial" w:hAnsi="Arial" w:cs="Arial"/>
                <w:sz w:val="19"/>
                <w:szCs w:val="19"/>
              </w:rPr>
            </w:pPr>
          </w:p>
          <w:p w:rsidR="009E6616" w:rsidRPr="00D80D58" w:rsidRDefault="009E6616" w:rsidP="009E6616">
            <w:pPr>
              <w:autoSpaceDE w:val="0"/>
              <w:autoSpaceDN w:val="0"/>
              <w:adjustRightInd w:val="0"/>
              <w:rPr>
                <w:rFonts w:ascii="Arial" w:hAnsi="Arial" w:cs="Arial"/>
                <w:sz w:val="19"/>
                <w:szCs w:val="19"/>
              </w:rPr>
            </w:pPr>
          </w:p>
        </w:tc>
        <w:tc>
          <w:tcPr>
            <w:tcW w:w="2664" w:type="dxa"/>
            <w:tcBorders>
              <w:top w:val="single" w:sz="4" w:space="0" w:color="auto"/>
              <w:left w:val="single" w:sz="4" w:space="0" w:color="auto"/>
              <w:bottom w:val="single" w:sz="4" w:space="0" w:color="auto"/>
              <w:right w:val="single" w:sz="4" w:space="0" w:color="auto"/>
            </w:tcBorders>
          </w:tcPr>
          <w:p w:rsidR="00AD0B02" w:rsidRPr="00D80D58" w:rsidRDefault="00AD0B02" w:rsidP="009E6616">
            <w:pPr>
              <w:overflowPunct w:val="0"/>
              <w:autoSpaceDE w:val="0"/>
              <w:autoSpaceDN w:val="0"/>
              <w:adjustRightInd w:val="0"/>
              <w:textAlignment w:val="baseline"/>
              <w:rPr>
                <w:rFonts w:ascii="Arial" w:hAnsi="Arial" w:cs="Arial"/>
                <w:sz w:val="19"/>
                <w:szCs w:val="19"/>
              </w:rPr>
            </w:pPr>
            <w:r w:rsidRPr="00D80D58">
              <w:rPr>
                <w:rFonts w:ascii="Arial" w:hAnsi="Arial" w:cs="Arial"/>
                <w:sz w:val="19"/>
                <w:szCs w:val="19"/>
              </w:rPr>
              <w:t>65% (13/20) of provinces had reduced IMR in 2013 compared to 2010</w:t>
            </w:r>
          </w:p>
          <w:p w:rsidR="00AD0B02" w:rsidRPr="00D80D58" w:rsidRDefault="00AD0B02" w:rsidP="009E6616">
            <w:pPr>
              <w:overflowPunct w:val="0"/>
              <w:autoSpaceDE w:val="0"/>
              <w:autoSpaceDN w:val="0"/>
              <w:adjustRightInd w:val="0"/>
              <w:textAlignment w:val="baseline"/>
              <w:rPr>
                <w:rFonts w:ascii="Arial" w:hAnsi="Arial" w:cs="Arial"/>
                <w:sz w:val="19"/>
                <w:szCs w:val="19"/>
              </w:rPr>
            </w:pPr>
          </w:p>
          <w:p w:rsidR="00AD0B02" w:rsidRPr="00D80D58" w:rsidRDefault="00AD0B02" w:rsidP="009E6616">
            <w:pPr>
              <w:overflowPunct w:val="0"/>
              <w:autoSpaceDE w:val="0"/>
              <w:autoSpaceDN w:val="0"/>
              <w:adjustRightInd w:val="0"/>
              <w:textAlignment w:val="baseline"/>
              <w:rPr>
                <w:rFonts w:ascii="Arial" w:hAnsi="Arial" w:cs="Arial"/>
                <w:sz w:val="19"/>
                <w:szCs w:val="19"/>
              </w:rPr>
            </w:pPr>
            <w:r w:rsidRPr="00D80D58">
              <w:rPr>
                <w:rFonts w:ascii="Arial" w:hAnsi="Arial" w:cs="Arial"/>
                <w:sz w:val="19"/>
                <w:szCs w:val="19"/>
              </w:rPr>
              <w:t>None of the 20 poorest provinces had reached the 2012 target (15.4)</w:t>
            </w:r>
          </w:p>
          <w:p w:rsidR="00AD0B02" w:rsidRPr="00D80D58" w:rsidRDefault="00AD0B02" w:rsidP="009E6616">
            <w:pPr>
              <w:overflowPunct w:val="0"/>
              <w:autoSpaceDE w:val="0"/>
              <w:autoSpaceDN w:val="0"/>
              <w:adjustRightInd w:val="0"/>
              <w:textAlignment w:val="baseline"/>
              <w:rPr>
                <w:rFonts w:ascii="Arial" w:hAnsi="Arial" w:cs="Arial"/>
                <w:sz w:val="19"/>
                <w:szCs w:val="19"/>
              </w:rPr>
            </w:pPr>
          </w:p>
          <w:p w:rsidR="009E6616" w:rsidRPr="00D80D58" w:rsidRDefault="004B09E9" w:rsidP="00AD0B02">
            <w:pPr>
              <w:overflowPunct w:val="0"/>
              <w:autoSpaceDE w:val="0"/>
              <w:autoSpaceDN w:val="0"/>
              <w:adjustRightInd w:val="0"/>
              <w:textAlignment w:val="baseline"/>
              <w:rPr>
                <w:rFonts w:ascii="Arial" w:hAnsi="Arial" w:cs="Arial"/>
                <w:sz w:val="19"/>
                <w:szCs w:val="19"/>
              </w:rPr>
            </w:pPr>
            <w:r w:rsidRPr="00D80D58">
              <w:rPr>
                <w:rFonts w:ascii="Arial" w:hAnsi="Arial" w:cs="Arial"/>
                <w:sz w:val="19"/>
                <w:szCs w:val="19"/>
              </w:rPr>
              <w:t>Refer to table 11.1 for data.</w:t>
            </w:r>
          </w:p>
        </w:tc>
        <w:tc>
          <w:tcPr>
            <w:tcW w:w="1980" w:type="dxa"/>
            <w:vMerge w:val="restart"/>
            <w:tcBorders>
              <w:top w:val="single" w:sz="4" w:space="0" w:color="auto"/>
              <w:left w:val="single" w:sz="4" w:space="0" w:color="auto"/>
              <w:right w:val="single" w:sz="4" w:space="0" w:color="auto"/>
            </w:tcBorders>
          </w:tcPr>
          <w:p w:rsidR="009E6616" w:rsidRPr="00D80D58" w:rsidRDefault="009E6616" w:rsidP="009E6616">
            <w:pPr>
              <w:ind w:left="216" w:hanging="216"/>
              <w:rPr>
                <w:rFonts w:ascii="Arial" w:hAnsi="Arial" w:cs="Arial"/>
                <w:b/>
                <w:sz w:val="19"/>
                <w:szCs w:val="19"/>
              </w:rPr>
            </w:pPr>
            <w:r w:rsidRPr="00D80D58">
              <w:rPr>
                <w:rFonts w:ascii="Arial" w:hAnsi="Arial" w:cs="Arial"/>
                <w:b/>
                <w:sz w:val="19"/>
                <w:szCs w:val="19"/>
              </w:rPr>
              <w:t xml:space="preserve">Assumptions </w:t>
            </w:r>
          </w:p>
          <w:p w:rsidR="009E6616" w:rsidRPr="00D80D58" w:rsidRDefault="009E6616" w:rsidP="00CA718F">
            <w:pPr>
              <w:numPr>
                <w:ilvl w:val="0"/>
                <w:numId w:val="9"/>
              </w:numPr>
              <w:overflowPunct w:val="0"/>
              <w:autoSpaceDE w:val="0"/>
              <w:autoSpaceDN w:val="0"/>
              <w:adjustRightInd w:val="0"/>
              <w:textAlignment w:val="baseline"/>
              <w:rPr>
                <w:rFonts w:ascii="Arial" w:hAnsi="Arial" w:cs="Arial"/>
                <w:sz w:val="19"/>
                <w:szCs w:val="19"/>
              </w:rPr>
            </w:pPr>
            <w:r w:rsidRPr="00D80D58">
              <w:rPr>
                <w:rFonts w:ascii="Arial" w:hAnsi="Arial" w:cs="Arial"/>
                <w:sz w:val="19"/>
                <w:szCs w:val="19"/>
              </w:rPr>
              <w:t>Strengthened health systems and human resources improve health status.</w:t>
            </w:r>
          </w:p>
          <w:p w:rsidR="009E6616" w:rsidRPr="00D80D58" w:rsidRDefault="009E6616" w:rsidP="00CA718F">
            <w:pPr>
              <w:numPr>
                <w:ilvl w:val="0"/>
                <w:numId w:val="9"/>
              </w:numPr>
              <w:overflowPunct w:val="0"/>
              <w:autoSpaceDE w:val="0"/>
              <w:autoSpaceDN w:val="0"/>
              <w:adjustRightInd w:val="0"/>
              <w:textAlignment w:val="baseline"/>
              <w:rPr>
                <w:rFonts w:ascii="Arial" w:hAnsi="Arial" w:cs="Arial"/>
                <w:sz w:val="19"/>
                <w:szCs w:val="19"/>
              </w:rPr>
            </w:pPr>
            <w:r w:rsidRPr="00D80D58">
              <w:rPr>
                <w:rFonts w:ascii="Arial" w:hAnsi="Arial" w:cs="Arial"/>
                <w:sz w:val="19"/>
                <w:szCs w:val="19"/>
              </w:rPr>
              <w:t xml:space="preserve">Government gives priority to health care for the poor. </w:t>
            </w:r>
          </w:p>
          <w:p w:rsidR="009E6616" w:rsidRPr="00D80D58" w:rsidRDefault="009E6616" w:rsidP="00CA718F">
            <w:pPr>
              <w:numPr>
                <w:ilvl w:val="0"/>
                <w:numId w:val="9"/>
              </w:numPr>
              <w:overflowPunct w:val="0"/>
              <w:autoSpaceDE w:val="0"/>
              <w:autoSpaceDN w:val="0"/>
              <w:adjustRightInd w:val="0"/>
              <w:textAlignment w:val="baseline"/>
              <w:rPr>
                <w:rFonts w:ascii="Arial" w:hAnsi="Arial" w:cs="Arial"/>
                <w:sz w:val="19"/>
                <w:szCs w:val="19"/>
              </w:rPr>
            </w:pPr>
            <w:r w:rsidRPr="00D80D58">
              <w:rPr>
                <w:rFonts w:ascii="Arial" w:hAnsi="Arial" w:cs="Arial"/>
                <w:sz w:val="19"/>
                <w:szCs w:val="19"/>
              </w:rPr>
              <w:t>Population expectations and health service usage patterns influenced by improved quality of care at the community level.</w:t>
            </w:r>
          </w:p>
          <w:p w:rsidR="009E6616" w:rsidRPr="00D80D58" w:rsidRDefault="009E6616" w:rsidP="009E6616">
            <w:pPr>
              <w:overflowPunct w:val="0"/>
              <w:autoSpaceDE w:val="0"/>
              <w:autoSpaceDN w:val="0"/>
              <w:adjustRightInd w:val="0"/>
              <w:ind w:left="216" w:hanging="216"/>
              <w:textAlignment w:val="baseline"/>
              <w:rPr>
                <w:rFonts w:ascii="Arial" w:hAnsi="Arial" w:cs="Arial"/>
                <w:b/>
                <w:sz w:val="19"/>
                <w:szCs w:val="19"/>
              </w:rPr>
            </w:pPr>
            <w:r w:rsidRPr="00D80D58">
              <w:rPr>
                <w:rFonts w:ascii="Arial" w:hAnsi="Arial" w:cs="Arial"/>
                <w:b/>
                <w:sz w:val="19"/>
                <w:szCs w:val="19"/>
              </w:rPr>
              <w:t>Risks</w:t>
            </w:r>
          </w:p>
          <w:p w:rsidR="009E6616" w:rsidRPr="00D80D58" w:rsidRDefault="009E6616" w:rsidP="00CA718F">
            <w:pPr>
              <w:numPr>
                <w:ilvl w:val="0"/>
                <w:numId w:val="9"/>
              </w:numPr>
              <w:overflowPunct w:val="0"/>
              <w:autoSpaceDE w:val="0"/>
              <w:autoSpaceDN w:val="0"/>
              <w:adjustRightInd w:val="0"/>
              <w:textAlignment w:val="baseline"/>
              <w:rPr>
                <w:rFonts w:ascii="Arial" w:hAnsi="Arial" w:cs="Arial"/>
                <w:sz w:val="19"/>
                <w:szCs w:val="19"/>
              </w:rPr>
            </w:pPr>
            <w:r w:rsidRPr="00D80D58">
              <w:rPr>
                <w:rFonts w:ascii="Arial" w:hAnsi="Arial" w:cs="Arial"/>
                <w:sz w:val="19"/>
                <w:szCs w:val="19"/>
              </w:rPr>
              <w:t>reduced pace and momentum for policy reforms</w:t>
            </w:r>
          </w:p>
          <w:p w:rsidR="009E6616" w:rsidRPr="00D80D58" w:rsidRDefault="009E6616" w:rsidP="00CA718F">
            <w:pPr>
              <w:numPr>
                <w:ilvl w:val="0"/>
                <w:numId w:val="9"/>
              </w:numPr>
              <w:overflowPunct w:val="0"/>
              <w:autoSpaceDE w:val="0"/>
              <w:autoSpaceDN w:val="0"/>
              <w:adjustRightInd w:val="0"/>
              <w:textAlignment w:val="baseline"/>
              <w:rPr>
                <w:rFonts w:ascii="Arial" w:hAnsi="Arial" w:cs="Arial"/>
                <w:sz w:val="19"/>
                <w:szCs w:val="19"/>
              </w:rPr>
            </w:pPr>
            <w:r w:rsidRPr="00D80D58">
              <w:rPr>
                <w:rFonts w:ascii="Arial" w:hAnsi="Arial" w:cs="Arial"/>
                <w:sz w:val="19"/>
                <w:szCs w:val="19"/>
              </w:rPr>
              <w:t>financial risks associated with counterpart funds and budget for operation and maintenance of new equipment.</w:t>
            </w:r>
          </w:p>
        </w:tc>
      </w:tr>
      <w:tr w:rsidR="009E6616" w:rsidRPr="00E65146" w:rsidTr="009E6616">
        <w:tc>
          <w:tcPr>
            <w:tcW w:w="1800" w:type="dxa"/>
            <w:vMerge/>
            <w:tcBorders>
              <w:left w:val="single" w:sz="4" w:space="0" w:color="auto"/>
              <w:right w:val="single" w:sz="4" w:space="0" w:color="auto"/>
            </w:tcBorders>
          </w:tcPr>
          <w:p w:rsidR="009E6616" w:rsidRPr="00D80D58" w:rsidRDefault="009E6616" w:rsidP="009E6616">
            <w:pPr>
              <w:rPr>
                <w:rFonts w:ascii="Arial" w:hAnsi="Arial" w:cs="Arial"/>
                <w:b/>
                <w:sz w:val="19"/>
                <w:szCs w:val="19"/>
              </w:rPr>
            </w:pPr>
          </w:p>
        </w:tc>
        <w:tc>
          <w:tcPr>
            <w:tcW w:w="2736" w:type="dxa"/>
            <w:tcBorders>
              <w:top w:val="single" w:sz="4" w:space="0" w:color="auto"/>
              <w:left w:val="single" w:sz="4" w:space="0" w:color="auto"/>
              <w:bottom w:val="single" w:sz="4" w:space="0" w:color="auto"/>
              <w:right w:val="single" w:sz="4" w:space="0" w:color="auto"/>
            </w:tcBorders>
          </w:tcPr>
          <w:p w:rsidR="009E6616" w:rsidRPr="00D80D58" w:rsidRDefault="009E6616" w:rsidP="009E6616">
            <w:pPr>
              <w:autoSpaceDE w:val="0"/>
              <w:autoSpaceDN w:val="0"/>
              <w:adjustRightInd w:val="0"/>
              <w:rPr>
                <w:rFonts w:ascii="Arial" w:hAnsi="Arial" w:cs="Arial"/>
                <w:sz w:val="19"/>
                <w:szCs w:val="19"/>
              </w:rPr>
            </w:pPr>
            <w:r w:rsidRPr="00D80D58">
              <w:rPr>
                <w:rFonts w:ascii="Arial" w:hAnsi="Arial" w:cs="Arial"/>
                <w:sz w:val="19"/>
                <w:szCs w:val="19"/>
              </w:rPr>
              <w:t xml:space="preserve">The 20 poorest provinces have achieved the </w:t>
            </w:r>
            <w:r w:rsidR="0028006A">
              <w:rPr>
                <w:rFonts w:ascii="Arial" w:hAnsi="Arial" w:cs="Arial"/>
                <w:sz w:val="19"/>
                <w:szCs w:val="19"/>
              </w:rPr>
              <w:t>Viet Nam</w:t>
            </w:r>
            <w:r w:rsidRPr="00D80D58">
              <w:rPr>
                <w:rFonts w:ascii="Arial" w:hAnsi="Arial" w:cs="Arial"/>
                <w:sz w:val="19"/>
                <w:szCs w:val="19"/>
              </w:rPr>
              <w:t xml:space="preserve"> Development Goals for reducing maternal mortality (58.3%) by 2020</w:t>
            </w:r>
            <w:r w:rsidR="002F5949" w:rsidRPr="00D80D58">
              <w:rPr>
                <w:rFonts w:ascii="Arial" w:hAnsi="Arial" w:cs="Arial"/>
                <w:sz w:val="19"/>
                <w:szCs w:val="19"/>
              </w:rPr>
              <w:t>.</w:t>
            </w:r>
          </w:p>
          <w:p w:rsidR="009E6616" w:rsidRPr="00D80D58" w:rsidRDefault="009E6616" w:rsidP="009E6616">
            <w:pPr>
              <w:autoSpaceDE w:val="0"/>
              <w:autoSpaceDN w:val="0"/>
              <w:adjustRightInd w:val="0"/>
              <w:rPr>
                <w:rFonts w:ascii="Arial" w:hAnsi="Arial" w:cs="Arial"/>
                <w:sz w:val="19"/>
                <w:szCs w:val="19"/>
              </w:rPr>
            </w:pPr>
          </w:p>
          <w:p w:rsidR="009E6616" w:rsidRPr="00D80D58" w:rsidRDefault="009E6616" w:rsidP="009E6616">
            <w:pPr>
              <w:overflowPunct w:val="0"/>
              <w:autoSpaceDE w:val="0"/>
              <w:autoSpaceDN w:val="0"/>
              <w:adjustRightInd w:val="0"/>
              <w:textAlignment w:val="baseline"/>
              <w:rPr>
                <w:rFonts w:ascii="Arial" w:hAnsi="Arial" w:cs="Arial"/>
                <w:sz w:val="19"/>
                <w:szCs w:val="19"/>
              </w:rPr>
            </w:pPr>
          </w:p>
        </w:tc>
        <w:tc>
          <w:tcPr>
            <w:tcW w:w="2664" w:type="dxa"/>
            <w:tcBorders>
              <w:top w:val="single" w:sz="4" w:space="0" w:color="auto"/>
              <w:left w:val="single" w:sz="4" w:space="0" w:color="auto"/>
              <w:bottom w:val="single" w:sz="4" w:space="0" w:color="auto"/>
              <w:right w:val="single" w:sz="4" w:space="0" w:color="auto"/>
            </w:tcBorders>
          </w:tcPr>
          <w:p w:rsidR="009E6616" w:rsidRPr="00D80D58" w:rsidRDefault="004B09E9" w:rsidP="009E6616">
            <w:pPr>
              <w:overflowPunct w:val="0"/>
              <w:autoSpaceDE w:val="0"/>
              <w:autoSpaceDN w:val="0"/>
              <w:adjustRightInd w:val="0"/>
              <w:textAlignment w:val="baseline"/>
              <w:rPr>
                <w:rFonts w:ascii="Arial" w:hAnsi="Arial" w:cs="Arial"/>
                <w:sz w:val="19"/>
                <w:szCs w:val="19"/>
              </w:rPr>
            </w:pPr>
            <w:r w:rsidRPr="00D80D58">
              <w:rPr>
                <w:rFonts w:ascii="Arial" w:hAnsi="Arial" w:cs="Arial"/>
                <w:sz w:val="19"/>
                <w:szCs w:val="19"/>
              </w:rPr>
              <w:t>Data on MMR by province unavailable</w:t>
            </w:r>
          </w:p>
        </w:tc>
        <w:tc>
          <w:tcPr>
            <w:tcW w:w="1980" w:type="dxa"/>
            <w:vMerge/>
            <w:tcBorders>
              <w:left w:val="single" w:sz="4" w:space="0" w:color="auto"/>
              <w:right w:val="single" w:sz="4" w:space="0" w:color="auto"/>
            </w:tcBorders>
          </w:tcPr>
          <w:p w:rsidR="009E6616" w:rsidRPr="00D80D58" w:rsidRDefault="009E6616" w:rsidP="009E6616">
            <w:pPr>
              <w:ind w:left="216" w:hanging="216"/>
              <w:rPr>
                <w:rFonts w:ascii="Arial" w:hAnsi="Arial" w:cs="Arial"/>
                <w:b/>
                <w:sz w:val="19"/>
                <w:szCs w:val="19"/>
              </w:rPr>
            </w:pPr>
          </w:p>
        </w:tc>
      </w:tr>
      <w:tr w:rsidR="009E6616" w:rsidRPr="00E65146" w:rsidTr="009E6616">
        <w:trPr>
          <w:trHeight w:val="1759"/>
        </w:trPr>
        <w:tc>
          <w:tcPr>
            <w:tcW w:w="1800" w:type="dxa"/>
            <w:vMerge/>
            <w:tcBorders>
              <w:left w:val="single" w:sz="4" w:space="0" w:color="auto"/>
              <w:bottom w:val="single" w:sz="4" w:space="0" w:color="auto"/>
              <w:right w:val="single" w:sz="4" w:space="0" w:color="auto"/>
            </w:tcBorders>
          </w:tcPr>
          <w:p w:rsidR="009E6616" w:rsidRPr="00D80D58" w:rsidRDefault="009E6616" w:rsidP="009E6616">
            <w:pPr>
              <w:rPr>
                <w:rFonts w:ascii="Arial" w:hAnsi="Arial" w:cs="Arial"/>
                <w:b/>
                <w:sz w:val="19"/>
                <w:szCs w:val="19"/>
              </w:rPr>
            </w:pPr>
          </w:p>
        </w:tc>
        <w:tc>
          <w:tcPr>
            <w:tcW w:w="2736" w:type="dxa"/>
            <w:tcBorders>
              <w:top w:val="single" w:sz="4" w:space="0" w:color="auto"/>
              <w:left w:val="single" w:sz="4" w:space="0" w:color="auto"/>
              <w:bottom w:val="single" w:sz="4" w:space="0" w:color="auto"/>
              <w:right w:val="single" w:sz="4" w:space="0" w:color="auto"/>
            </w:tcBorders>
          </w:tcPr>
          <w:p w:rsidR="009E6616" w:rsidRPr="00D80D58" w:rsidRDefault="009E6616" w:rsidP="00113D51">
            <w:pPr>
              <w:autoSpaceDE w:val="0"/>
              <w:autoSpaceDN w:val="0"/>
              <w:adjustRightInd w:val="0"/>
              <w:rPr>
                <w:rFonts w:ascii="Arial" w:hAnsi="Arial" w:cs="Arial"/>
                <w:sz w:val="19"/>
                <w:szCs w:val="19"/>
              </w:rPr>
            </w:pPr>
            <w:r w:rsidRPr="00D80D58">
              <w:rPr>
                <w:rFonts w:ascii="Arial" w:hAnsi="Arial" w:cs="Arial"/>
                <w:sz w:val="19"/>
                <w:szCs w:val="19"/>
              </w:rPr>
              <w:t>Life expectancy figures for the poor and ethnic minorities in 20 poorest provinces have increased by at least 1 year by 2020.</w:t>
            </w:r>
          </w:p>
        </w:tc>
        <w:tc>
          <w:tcPr>
            <w:tcW w:w="2664" w:type="dxa"/>
            <w:tcBorders>
              <w:top w:val="single" w:sz="4" w:space="0" w:color="auto"/>
              <w:left w:val="single" w:sz="4" w:space="0" w:color="auto"/>
              <w:bottom w:val="single" w:sz="4" w:space="0" w:color="auto"/>
              <w:right w:val="single" w:sz="4" w:space="0" w:color="auto"/>
            </w:tcBorders>
          </w:tcPr>
          <w:p w:rsidR="009E6616" w:rsidRPr="00D80D58" w:rsidRDefault="004B09E9" w:rsidP="004B09E9">
            <w:pPr>
              <w:overflowPunct w:val="0"/>
              <w:autoSpaceDE w:val="0"/>
              <w:autoSpaceDN w:val="0"/>
              <w:adjustRightInd w:val="0"/>
              <w:textAlignment w:val="baseline"/>
              <w:rPr>
                <w:rFonts w:ascii="Arial" w:hAnsi="Arial" w:cs="Arial"/>
                <w:color w:val="FF0000"/>
                <w:sz w:val="19"/>
                <w:szCs w:val="19"/>
              </w:rPr>
            </w:pPr>
            <w:r w:rsidRPr="00D80D58">
              <w:rPr>
                <w:rFonts w:ascii="Arial" w:hAnsi="Arial" w:cs="Arial"/>
                <w:sz w:val="19"/>
                <w:szCs w:val="19"/>
              </w:rPr>
              <w:t>Life expectancy figures for the poor and ethnic minorities by province not available</w:t>
            </w:r>
          </w:p>
        </w:tc>
        <w:tc>
          <w:tcPr>
            <w:tcW w:w="1980" w:type="dxa"/>
            <w:vMerge/>
            <w:tcBorders>
              <w:left w:val="single" w:sz="4" w:space="0" w:color="auto"/>
              <w:bottom w:val="single" w:sz="4" w:space="0" w:color="auto"/>
              <w:right w:val="single" w:sz="4" w:space="0" w:color="auto"/>
            </w:tcBorders>
          </w:tcPr>
          <w:p w:rsidR="009E6616" w:rsidRPr="00D80D58" w:rsidRDefault="009E6616" w:rsidP="009E6616">
            <w:pPr>
              <w:ind w:left="216" w:hanging="216"/>
              <w:rPr>
                <w:rFonts w:ascii="Arial" w:hAnsi="Arial" w:cs="Arial"/>
                <w:b/>
                <w:sz w:val="19"/>
                <w:szCs w:val="19"/>
              </w:rPr>
            </w:pPr>
          </w:p>
        </w:tc>
      </w:tr>
      <w:tr w:rsidR="009E6616" w:rsidRPr="00E65146" w:rsidTr="009E6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0" w:type="dxa"/>
            <w:vMerge w:val="restart"/>
            <w:tcBorders>
              <w:top w:val="single" w:sz="4" w:space="0" w:color="auto"/>
              <w:left w:val="single" w:sz="4" w:space="0" w:color="auto"/>
              <w:right w:val="single" w:sz="4" w:space="0" w:color="auto"/>
            </w:tcBorders>
          </w:tcPr>
          <w:p w:rsidR="009E6616" w:rsidRPr="00D80D58" w:rsidRDefault="009E6616" w:rsidP="009E6616">
            <w:pPr>
              <w:rPr>
                <w:rFonts w:ascii="Arial" w:hAnsi="Arial" w:cs="Arial"/>
                <w:b/>
                <w:sz w:val="19"/>
                <w:szCs w:val="19"/>
              </w:rPr>
            </w:pPr>
            <w:r w:rsidRPr="00D80D58">
              <w:rPr>
                <w:rFonts w:ascii="Arial" w:hAnsi="Arial" w:cs="Arial"/>
                <w:b/>
                <w:sz w:val="19"/>
                <w:szCs w:val="19"/>
              </w:rPr>
              <w:t>Outcome</w:t>
            </w:r>
          </w:p>
          <w:p w:rsidR="009E6616" w:rsidRPr="00D80D58" w:rsidRDefault="009E6616" w:rsidP="009E6616">
            <w:pPr>
              <w:rPr>
                <w:rFonts w:ascii="Arial" w:hAnsi="Arial" w:cs="Arial"/>
                <w:sz w:val="19"/>
                <w:szCs w:val="19"/>
              </w:rPr>
            </w:pPr>
            <w:r w:rsidRPr="00D80D58">
              <w:rPr>
                <w:rFonts w:ascii="Arial" w:hAnsi="Arial" w:cs="Arial"/>
                <w:sz w:val="19"/>
                <w:szCs w:val="19"/>
              </w:rPr>
              <w:t>Improved quality, efficiency and equity in health workforce and health service delivery.</w:t>
            </w: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tc>
        <w:tc>
          <w:tcPr>
            <w:tcW w:w="2736" w:type="dxa"/>
            <w:tcBorders>
              <w:top w:val="single" w:sz="4" w:space="0" w:color="auto"/>
              <w:left w:val="single" w:sz="4" w:space="0" w:color="auto"/>
              <w:bottom w:val="single" w:sz="4" w:space="0" w:color="auto"/>
              <w:right w:val="single" w:sz="4" w:space="0" w:color="auto"/>
            </w:tcBorders>
          </w:tcPr>
          <w:p w:rsidR="009E6616" w:rsidRPr="00D80D58" w:rsidRDefault="009E6616" w:rsidP="009E6616">
            <w:pPr>
              <w:overflowPunct w:val="0"/>
              <w:autoSpaceDE w:val="0"/>
              <w:autoSpaceDN w:val="0"/>
              <w:adjustRightInd w:val="0"/>
              <w:textAlignment w:val="baseline"/>
              <w:rPr>
                <w:rFonts w:ascii="Arial" w:hAnsi="Arial" w:cs="Arial"/>
                <w:b/>
                <w:sz w:val="19"/>
                <w:szCs w:val="19"/>
              </w:rPr>
            </w:pPr>
            <w:r w:rsidRPr="00D80D58">
              <w:rPr>
                <w:rFonts w:ascii="Arial" w:hAnsi="Arial" w:cs="Arial"/>
                <w:b/>
                <w:sz w:val="19"/>
                <w:szCs w:val="19"/>
              </w:rPr>
              <w:t xml:space="preserve">By project completion (2015): </w:t>
            </w:r>
          </w:p>
          <w:p w:rsidR="009E6616" w:rsidRPr="00D80D58" w:rsidRDefault="009E6616" w:rsidP="009E6616">
            <w:pPr>
              <w:overflowPunct w:val="0"/>
              <w:autoSpaceDE w:val="0"/>
              <w:autoSpaceDN w:val="0"/>
              <w:adjustRightInd w:val="0"/>
              <w:textAlignment w:val="baseline"/>
              <w:rPr>
                <w:rFonts w:ascii="Arial" w:hAnsi="Arial" w:cs="Arial"/>
                <w:sz w:val="19"/>
                <w:szCs w:val="19"/>
              </w:rPr>
            </w:pPr>
            <w:r w:rsidRPr="00D80D58">
              <w:rPr>
                <w:rFonts w:ascii="Arial" w:hAnsi="Arial" w:cs="Arial"/>
                <w:sz w:val="19"/>
                <w:szCs w:val="19"/>
              </w:rPr>
              <w:t xml:space="preserve">At least 50% of doctors and nurses practicing in public facilities registered and licensed </w:t>
            </w:r>
          </w:p>
          <w:p w:rsidR="009E6616" w:rsidRPr="00D80D58" w:rsidRDefault="009E6616" w:rsidP="009E6616">
            <w:pPr>
              <w:overflowPunct w:val="0"/>
              <w:autoSpaceDE w:val="0"/>
              <w:autoSpaceDN w:val="0"/>
              <w:adjustRightInd w:val="0"/>
              <w:textAlignment w:val="baseline"/>
              <w:rPr>
                <w:rFonts w:ascii="Arial" w:hAnsi="Arial" w:cs="Arial"/>
                <w:sz w:val="19"/>
                <w:szCs w:val="19"/>
              </w:rPr>
            </w:pPr>
          </w:p>
          <w:p w:rsidR="009E6616" w:rsidRPr="00D80D58" w:rsidRDefault="009E6616" w:rsidP="009E6616">
            <w:pPr>
              <w:overflowPunct w:val="0"/>
              <w:autoSpaceDE w:val="0"/>
              <w:autoSpaceDN w:val="0"/>
              <w:adjustRightInd w:val="0"/>
              <w:textAlignment w:val="baseline"/>
              <w:rPr>
                <w:rFonts w:ascii="Arial" w:hAnsi="Arial" w:cs="Arial"/>
                <w:sz w:val="19"/>
                <w:szCs w:val="19"/>
              </w:rPr>
            </w:pPr>
          </w:p>
          <w:p w:rsidR="009E6616" w:rsidRPr="00D80D58" w:rsidRDefault="009E6616" w:rsidP="009E6616">
            <w:pPr>
              <w:overflowPunct w:val="0"/>
              <w:autoSpaceDE w:val="0"/>
              <w:autoSpaceDN w:val="0"/>
              <w:adjustRightInd w:val="0"/>
              <w:textAlignment w:val="baseline"/>
              <w:rPr>
                <w:rFonts w:ascii="Arial" w:hAnsi="Arial" w:cs="Arial"/>
                <w:sz w:val="19"/>
                <w:szCs w:val="19"/>
              </w:rPr>
            </w:pPr>
          </w:p>
          <w:p w:rsidR="009E6616" w:rsidRPr="00D80D58" w:rsidRDefault="009E6616" w:rsidP="009E6616">
            <w:pPr>
              <w:overflowPunct w:val="0"/>
              <w:autoSpaceDE w:val="0"/>
              <w:autoSpaceDN w:val="0"/>
              <w:adjustRightInd w:val="0"/>
              <w:textAlignment w:val="baseline"/>
              <w:rPr>
                <w:rFonts w:ascii="Arial" w:hAnsi="Arial" w:cs="Arial"/>
                <w:sz w:val="19"/>
                <w:szCs w:val="19"/>
              </w:rPr>
            </w:pPr>
          </w:p>
          <w:p w:rsidR="009E6616" w:rsidRPr="00D80D58" w:rsidRDefault="009E6616" w:rsidP="009E6616">
            <w:pPr>
              <w:overflowPunct w:val="0"/>
              <w:autoSpaceDE w:val="0"/>
              <w:autoSpaceDN w:val="0"/>
              <w:adjustRightInd w:val="0"/>
              <w:textAlignment w:val="baseline"/>
              <w:rPr>
                <w:rFonts w:ascii="Arial" w:hAnsi="Arial" w:cs="Arial"/>
                <w:sz w:val="19"/>
                <w:szCs w:val="19"/>
              </w:rPr>
            </w:pPr>
          </w:p>
          <w:p w:rsidR="009E6616" w:rsidRPr="00D80D58" w:rsidRDefault="009E6616" w:rsidP="009E6616">
            <w:pPr>
              <w:overflowPunct w:val="0"/>
              <w:autoSpaceDE w:val="0"/>
              <w:autoSpaceDN w:val="0"/>
              <w:adjustRightInd w:val="0"/>
              <w:textAlignment w:val="baseline"/>
              <w:rPr>
                <w:rFonts w:ascii="Arial" w:hAnsi="Arial" w:cs="Arial"/>
                <w:sz w:val="19"/>
                <w:szCs w:val="19"/>
              </w:rPr>
            </w:pPr>
          </w:p>
          <w:p w:rsidR="00194B7C" w:rsidRPr="00D80D58" w:rsidRDefault="00194B7C" w:rsidP="009E6616">
            <w:pPr>
              <w:overflowPunct w:val="0"/>
              <w:autoSpaceDE w:val="0"/>
              <w:autoSpaceDN w:val="0"/>
              <w:adjustRightInd w:val="0"/>
              <w:textAlignment w:val="baseline"/>
              <w:rPr>
                <w:rFonts w:ascii="Arial" w:hAnsi="Arial" w:cs="Arial"/>
                <w:sz w:val="19"/>
                <w:szCs w:val="19"/>
              </w:rPr>
            </w:pPr>
          </w:p>
          <w:p w:rsidR="009E6616" w:rsidRPr="00D80D58" w:rsidRDefault="009E6616" w:rsidP="00113D51">
            <w:pPr>
              <w:overflowPunct w:val="0"/>
              <w:autoSpaceDE w:val="0"/>
              <w:autoSpaceDN w:val="0"/>
              <w:adjustRightInd w:val="0"/>
              <w:textAlignment w:val="baseline"/>
              <w:rPr>
                <w:rFonts w:ascii="Arial" w:hAnsi="Arial" w:cs="Arial"/>
                <w:sz w:val="19"/>
                <w:szCs w:val="19"/>
              </w:rPr>
            </w:pPr>
            <w:r w:rsidRPr="00D80D58">
              <w:rPr>
                <w:rFonts w:ascii="Arial" w:hAnsi="Arial" w:cs="Arial"/>
                <w:sz w:val="19"/>
                <w:szCs w:val="19"/>
              </w:rPr>
              <w:t xml:space="preserve">At least 50% of doctors and nurses practicing in public facilities participating in accredited continuing education programs (50% women) </w:t>
            </w:r>
          </w:p>
        </w:tc>
        <w:tc>
          <w:tcPr>
            <w:tcW w:w="2664" w:type="dxa"/>
            <w:tcBorders>
              <w:top w:val="single" w:sz="4" w:space="0" w:color="auto"/>
              <w:left w:val="single" w:sz="4" w:space="0" w:color="auto"/>
              <w:bottom w:val="single" w:sz="4" w:space="0" w:color="auto"/>
              <w:right w:val="single" w:sz="4" w:space="0" w:color="auto"/>
            </w:tcBorders>
          </w:tcPr>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color w:val="DD0806"/>
                <w:sz w:val="19"/>
                <w:szCs w:val="19"/>
              </w:rPr>
            </w:pPr>
          </w:p>
          <w:p w:rsidR="009E6616" w:rsidRPr="00D80D58" w:rsidRDefault="009E6616" w:rsidP="009E6616">
            <w:pPr>
              <w:overflowPunct w:val="0"/>
              <w:autoSpaceDE w:val="0"/>
              <w:autoSpaceDN w:val="0"/>
              <w:adjustRightInd w:val="0"/>
              <w:textAlignment w:val="baseline"/>
              <w:rPr>
                <w:rFonts w:ascii="Arial" w:hAnsi="Arial" w:cs="Arial"/>
                <w:sz w:val="19"/>
                <w:szCs w:val="19"/>
              </w:rPr>
            </w:pPr>
            <w:r w:rsidRPr="00D80D58">
              <w:rPr>
                <w:rFonts w:ascii="Arial" w:hAnsi="Arial" w:cs="Arial"/>
                <w:sz w:val="19"/>
                <w:szCs w:val="19"/>
              </w:rPr>
              <w:t>At June 2015 229,939 health professionals, representing 91% of the estimated number of practitioners nationwide, who are registered under the licensing database. These include 67</w:t>
            </w:r>
            <w:r w:rsidR="008A5D3F" w:rsidRPr="00D80D58">
              <w:rPr>
                <w:rFonts w:ascii="Arial" w:hAnsi="Arial" w:cs="Arial"/>
                <w:sz w:val="19"/>
                <w:szCs w:val="19"/>
              </w:rPr>
              <w:t>,</w:t>
            </w:r>
            <w:r w:rsidRPr="00D80D58">
              <w:rPr>
                <w:rFonts w:ascii="Arial" w:hAnsi="Arial" w:cs="Arial"/>
                <w:sz w:val="19"/>
                <w:szCs w:val="19"/>
              </w:rPr>
              <w:t>166 doctors, 35</w:t>
            </w:r>
            <w:r w:rsidR="008A5D3F" w:rsidRPr="00D80D58">
              <w:rPr>
                <w:rFonts w:ascii="Arial" w:hAnsi="Arial" w:cs="Arial"/>
                <w:sz w:val="19"/>
                <w:szCs w:val="19"/>
              </w:rPr>
              <w:t>,</w:t>
            </w:r>
            <w:r w:rsidRPr="00D80D58">
              <w:rPr>
                <w:rFonts w:ascii="Arial" w:hAnsi="Arial" w:cs="Arial"/>
                <w:sz w:val="19"/>
                <w:szCs w:val="19"/>
              </w:rPr>
              <w:t>280 assistant doctors and 87</w:t>
            </w:r>
            <w:r w:rsidR="008A5D3F" w:rsidRPr="00D80D58">
              <w:rPr>
                <w:rFonts w:ascii="Arial" w:hAnsi="Arial" w:cs="Arial"/>
                <w:sz w:val="19"/>
                <w:szCs w:val="19"/>
              </w:rPr>
              <w:t>,</w:t>
            </w:r>
            <w:r w:rsidRPr="00D80D58">
              <w:rPr>
                <w:rFonts w:ascii="Arial" w:hAnsi="Arial" w:cs="Arial"/>
                <w:sz w:val="19"/>
                <w:szCs w:val="19"/>
              </w:rPr>
              <w:t>649 nurses.</w:t>
            </w:r>
          </w:p>
          <w:p w:rsidR="009E6616" w:rsidRPr="00D80D58" w:rsidRDefault="009E6616" w:rsidP="009E6616">
            <w:pPr>
              <w:overflowPunct w:val="0"/>
              <w:autoSpaceDE w:val="0"/>
              <w:autoSpaceDN w:val="0"/>
              <w:adjustRightInd w:val="0"/>
              <w:ind w:left="216"/>
              <w:textAlignment w:val="baseline"/>
              <w:rPr>
                <w:rFonts w:ascii="Arial" w:hAnsi="Arial" w:cs="Arial"/>
                <w:sz w:val="19"/>
                <w:szCs w:val="19"/>
              </w:rPr>
            </w:pPr>
          </w:p>
          <w:p w:rsidR="009E6616" w:rsidRPr="00D80D58" w:rsidRDefault="009E6616" w:rsidP="009E6616">
            <w:pPr>
              <w:overflowPunct w:val="0"/>
              <w:autoSpaceDE w:val="0"/>
              <w:autoSpaceDN w:val="0"/>
              <w:adjustRightInd w:val="0"/>
              <w:textAlignment w:val="baseline"/>
              <w:rPr>
                <w:rFonts w:ascii="Arial" w:hAnsi="Arial" w:cs="Arial"/>
                <w:sz w:val="19"/>
                <w:szCs w:val="19"/>
              </w:rPr>
            </w:pPr>
          </w:p>
          <w:p w:rsidR="009E6616" w:rsidRPr="00D80D58" w:rsidRDefault="009E6616" w:rsidP="009E6616">
            <w:pPr>
              <w:overflowPunct w:val="0"/>
              <w:autoSpaceDE w:val="0"/>
              <w:autoSpaceDN w:val="0"/>
              <w:adjustRightInd w:val="0"/>
              <w:textAlignment w:val="baseline"/>
              <w:rPr>
                <w:rFonts w:ascii="Arial" w:hAnsi="Arial" w:cs="Arial"/>
                <w:sz w:val="19"/>
                <w:szCs w:val="19"/>
              </w:rPr>
            </w:pPr>
            <w:r w:rsidRPr="00D80D58">
              <w:rPr>
                <w:rFonts w:ascii="Arial" w:hAnsi="Arial" w:cs="Arial"/>
                <w:sz w:val="19"/>
                <w:szCs w:val="19"/>
              </w:rPr>
              <w:t>At June 2015 67</w:t>
            </w:r>
            <w:r w:rsidR="008A5D3F" w:rsidRPr="00D80D58">
              <w:rPr>
                <w:rFonts w:ascii="Arial" w:hAnsi="Arial" w:cs="Arial"/>
                <w:sz w:val="19"/>
                <w:szCs w:val="19"/>
              </w:rPr>
              <w:t>,</w:t>
            </w:r>
            <w:r w:rsidRPr="00D80D58">
              <w:rPr>
                <w:rFonts w:ascii="Arial" w:hAnsi="Arial" w:cs="Arial"/>
                <w:sz w:val="19"/>
                <w:szCs w:val="19"/>
              </w:rPr>
              <w:t>166 doctors and 87</w:t>
            </w:r>
            <w:r w:rsidR="008A5D3F" w:rsidRPr="00D80D58">
              <w:rPr>
                <w:rFonts w:ascii="Arial" w:hAnsi="Arial" w:cs="Arial"/>
                <w:sz w:val="19"/>
                <w:szCs w:val="19"/>
              </w:rPr>
              <w:t>,</w:t>
            </w:r>
            <w:r w:rsidRPr="00D80D58">
              <w:rPr>
                <w:rFonts w:ascii="Arial" w:hAnsi="Arial" w:cs="Arial"/>
                <w:sz w:val="19"/>
                <w:szCs w:val="19"/>
              </w:rPr>
              <w:t>649 nurses had demonstrated compliance with requirement for CME at time of registration.</w:t>
            </w:r>
          </w:p>
          <w:p w:rsidR="009E6616" w:rsidRPr="00D80D58" w:rsidRDefault="009E6616" w:rsidP="009E6616">
            <w:pPr>
              <w:overflowPunct w:val="0"/>
              <w:autoSpaceDE w:val="0"/>
              <w:autoSpaceDN w:val="0"/>
              <w:adjustRightInd w:val="0"/>
              <w:textAlignment w:val="baseline"/>
              <w:rPr>
                <w:rFonts w:ascii="Arial" w:hAnsi="Arial" w:cs="Arial"/>
                <w:sz w:val="19"/>
                <w:szCs w:val="19"/>
              </w:rPr>
            </w:pP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tc>
        <w:tc>
          <w:tcPr>
            <w:tcW w:w="1980" w:type="dxa"/>
            <w:vMerge w:val="restart"/>
            <w:tcBorders>
              <w:top w:val="single" w:sz="4" w:space="0" w:color="auto"/>
              <w:left w:val="single" w:sz="4" w:space="0" w:color="auto"/>
              <w:right w:val="single" w:sz="4" w:space="0" w:color="auto"/>
            </w:tcBorders>
          </w:tcPr>
          <w:p w:rsidR="009E6616" w:rsidRPr="00D80D58" w:rsidRDefault="009E6616" w:rsidP="009E6616">
            <w:pPr>
              <w:ind w:left="216" w:hanging="216"/>
              <w:rPr>
                <w:rFonts w:ascii="Arial" w:hAnsi="Arial" w:cs="Arial"/>
                <w:b/>
                <w:sz w:val="19"/>
                <w:szCs w:val="19"/>
              </w:rPr>
            </w:pPr>
            <w:r w:rsidRPr="00D80D58">
              <w:rPr>
                <w:rFonts w:ascii="Arial" w:hAnsi="Arial" w:cs="Arial"/>
                <w:b/>
                <w:sz w:val="19"/>
                <w:szCs w:val="19"/>
              </w:rPr>
              <w:t xml:space="preserve">Assumptions </w:t>
            </w:r>
          </w:p>
          <w:p w:rsidR="009E6616" w:rsidRPr="00D80D58" w:rsidRDefault="009E6616" w:rsidP="00CA718F">
            <w:pPr>
              <w:numPr>
                <w:ilvl w:val="0"/>
                <w:numId w:val="9"/>
              </w:numPr>
              <w:overflowPunct w:val="0"/>
              <w:autoSpaceDE w:val="0"/>
              <w:autoSpaceDN w:val="0"/>
              <w:adjustRightInd w:val="0"/>
              <w:textAlignment w:val="baseline"/>
              <w:rPr>
                <w:rFonts w:ascii="Arial" w:hAnsi="Arial" w:cs="Arial"/>
                <w:sz w:val="19"/>
                <w:szCs w:val="19"/>
              </w:rPr>
            </w:pPr>
            <w:r w:rsidRPr="00D80D58">
              <w:rPr>
                <w:rFonts w:ascii="Arial" w:hAnsi="Arial" w:cs="Arial"/>
                <w:sz w:val="19"/>
                <w:szCs w:val="19"/>
              </w:rPr>
              <w:t>Government and National Assembly continue to give priority to enactment of health care legislation</w:t>
            </w:r>
          </w:p>
          <w:p w:rsidR="009E6616" w:rsidRPr="00D80D58" w:rsidRDefault="009E6616" w:rsidP="009E6616">
            <w:pPr>
              <w:ind w:left="216" w:hanging="216"/>
              <w:rPr>
                <w:rFonts w:ascii="Arial" w:hAnsi="Arial" w:cs="Arial"/>
                <w:b/>
                <w:sz w:val="19"/>
                <w:szCs w:val="19"/>
              </w:rPr>
            </w:pPr>
            <w:r w:rsidRPr="00D80D58">
              <w:rPr>
                <w:rFonts w:ascii="Arial" w:hAnsi="Arial" w:cs="Arial"/>
                <w:b/>
                <w:sz w:val="19"/>
                <w:szCs w:val="19"/>
              </w:rPr>
              <w:t>Risks</w:t>
            </w:r>
          </w:p>
          <w:p w:rsidR="009E6616" w:rsidRPr="00D80D58" w:rsidRDefault="009E6616" w:rsidP="00CA718F">
            <w:pPr>
              <w:numPr>
                <w:ilvl w:val="0"/>
                <w:numId w:val="9"/>
              </w:numPr>
              <w:overflowPunct w:val="0"/>
              <w:autoSpaceDE w:val="0"/>
              <w:autoSpaceDN w:val="0"/>
              <w:adjustRightInd w:val="0"/>
              <w:textAlignment w:val="baseline"/>
              <w:rPr>
                <w:rFonts w:ascii="Arial" w:hAnsi="Arial" w:cs="Arial"/>
                <w:sz w:val="19"/>
                <w:szCs w:val="19"/>
              </w:rPr>
            </w:pPr>
            <w:r w:rsidRPr="00D80D58">
              <w:rPr>
                <w:rFonts w:ascii="Arial" w:hAnsi="Arial" w:cs="Arial"/>
                <w:sz w:val="19"/>
                <w:szCs w:val="19"/>
              </w:rPr>
              <w:t>Enacting ordinances are ambiguous or delayed in implementation</w:t>
            </w:r>
          </w:p>
          <w:p w:rsidR="009E6616" w:rsidRPr="00D80D58" w:rsidRDefault="009E6616" w:rsidP="00CA718F">
            <w:pPr>
              <w:numPr>
                <w:ilvl w:val="0"/>
                <w:numId w:val="9"/>
              </w:numPr>
              <w:overflowPunct w:val="0"/>
              <w:autoSpaceDE w:val="0"/>
              <w:autoSpaceDN w:val="0"/>
              <w:adjustRightInd w:val="0"/>
              <w:textAlignment w:val="baseline"/>
              <w:rPr>
                <w:rFonts w:ascii="Arial" w:hAnsi="Arial" w:cs="Arial"/>
                <w:sz w:val="19"/>
                <w:szCs w:val="19"/>
              </w:rPr>
            </w:pPr>
            <w:r w:rsidRPr="00D80D58">
              <w:rPr>
                <w:rFonts w:ascii="Arial" w:hAnsi="Arial" w:cs="Arial"/>
                <w:sz w:val="19"/>
                <w:szCs w:val="19"/>
              </w:rPr>
              <w:t>Inadequate intake of minority candidates enrolled in the special entry for the planned training programs</w:t>
            </w:r>
          </w:p>
        </w:tc>
      </w:tr>
      <w:tr w:rsidR="009E6616" w:rsidRPr="00E65146" w:rsidTr="009E6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0" w:type="dxa"/>
            <w:vMerge/>
            <w:tcBorders>
              <w:left w:val="single" w:sz="4" w:space="0" w:color="auto"/>
              <w:right w:val="single" w:sz="4" w:space="0" w:color="auto"/>
            </w:tcBorders>
          </w:tcPr>
          <w:p w:rsidR="009E6616" w:rsidRPr="00D80D58" w:rsidRDefault="009E6616" w:rsidP="009E6616">
            <w:pPr>
              <w:rPr>
                <w:rFonts w:ascii="Arial" w:hAnsi="Arial" w:cs="Arial"/>
                <w:b/>
                <w:sz w:val="19"/>
                <w:szCs w:val="19"/>
              </w:rPr>
            </w:pPr>
          </w:p>
        </w:tc>
        <w:tc>
          <w:tcPr>
            <w:tcW w:w="2736" w:type="dxa"/>
            <w:tcBorders>
              <w:top w:val="single" w:sz="4" w:space="0" w:color="auto"/>
              <w:left w:val="single" w:sz="4" w:space="0" w:color="auto"/>
              <w:bottom w:val="single" w:sz="4" w:space="0" w:color="auto"/>
              <w:right w:val="single" w:sz="4" w:space="0" w:color="auto"/>
            </w:tcBorders>
          </w:tcPr>
          <w:p w:rsidR="009E6616" w:rsidRPr="00D80D58" w:rsidRDefault="009E6616" w:rsidP="009E6616">
            <w:pPr>
              <w:rPr>
                <w:rFonts w:ascii="Arial" w:hAnsi="Arial" w:cs="Arial"/>
                <w:sz w:val="19"/>
                <w:szCs w:val="19"/>
              </w:rPr>
            </w:pPr>
            <w:r w:rsidRPr="00D80D58">
              <w:rPr>
                <w:rFonts w:ascii="Arial" w:hAnsi="Arial" w:cs="Arial"/>
                <w:sz w:val="19"/>
                <w:szCs w:val="19"/>
              </w:rPr>
              <w:t xml:space="preserve">At least 240 health professionals per year for 3 years from central and provincial level institutions have done placements in rural and underserved areas </w:t>
            </w:r>
          </w:p>
          <w:p w:rsidR="009E6616" w:rsidRPr="00D80D58" w:rsidRDefault="009E6616" w:rsidP="009E6616">
            <w:pPr>
              <w:overflowPunct w:val="0"/>
              <w:autoSpaceDE w:val="0"/>
              <w:autoSpaceDN w:val="0"/>
              <w:adjustRightInd w:val="0"/>
              <w:textAlignment w:val="baseline"/>
              <w:rPr>
                <w:rFonts w:ascii="Arial" w:hAnsi="Arial" w:cs="Arial"/>
                <w:sz w:val="19"/>
                <w:szCs w:val="19"/>
              </w:rPr>
            </w:pPr>
          </w:p>
        </w:tc>
        <w:tc>
          <w:tcPr>
            <w:tcW w:w="2664" w:type="dxa"/>
            <w:tcBorders>
              <w:top w:val="single" w:sz="4" w:space="0" w:color="auto"/>
              <w:left w:val="single" w:sz="4" w:space="0" w:color="auto"/>
              <w:bottom w:val="single" w:sz="4" w:space="0" w:color="auto"/>
              <w:right w:val="single" w:sz="4" w:space="0" w:color="auto"/>
            </w:tcBorders>
          </w:tcPr>
          <w:p w:rsidR="009E6616" w:rsidRPr="00D80D58" w:rsidRDefault="009E6616" w:rsidP="009E6616">
            <w:pPr>
              <w:rPr>
                <w:rFonts w:ascii="Arial" w:hAnsi="Arial" w:cs="Arial"/>
                <w:sz w:val="19"/>
                <w:szCs w:val="19"/>
              </w:rPr>
            </w:pPr>
            <w:r w:rsidRPr="00D80D58">
              <w:rPr>
                <w:rFonts w:ascii="Arial" w:hAnsi="Arial" w:cs="Arial"/>
                <w:sz w:val="19"/>
                <w:szCs w:val="19"/>
              </w:rPr>
              <w:t>Number of health professionals placed in rural and underserved areas under Decree 1816/QD-BYT</w:t>
            </w:r>
          </w:p>
          <w:p w:rsidR="009E6616" w:rsidRPr="00D80D58" w:rsidRDefault="009E6616" w:rsidP="009E6616">
            <w:pPr>
              <w:rPr>
                <w:rFonts w:ascii="Arial" w:hAnsi="Arial" w:cs="Arial"/>
                <w:sz w:val="19"/>
                <w:szCs w:val="19"/>
              </w:rPr>
            </w:pPr>
            <w:r w:rsidRPr="00D80D58">
              <w:rPr>
                <w:rFonts w:ascii="Arial" w:hAnsi="Arial" w:cs="Arial"/>
                <w:sz w:val="19"/>
                <w:szCs w:val="19"/>
              </w:rPr>
              <w:t>2013 = 1037</w:t>
            </w:r>
          </w:p>
          <w:p w:rsidR="009E6616" w:rsidRPr="00D80D58" w:rsidRDefault="009E6616" w:rsidP="009E6616">
            <w:pPr>
              <w:rPr>
                <w:rFonts w:ascii="Arial" w:hAnsi="Arial" w:cs="Arial"/>
                <w:sz w:val="19"/>
                <w:szCs w:val="19"/>
              </w:rPr>
            </w:pPr>
            <w:r w:rsidRPr="00D80D58">
              <w:rPr>
                <w:rFonts w:ascii="Arial" w:hAnsi="Arial" w:cs="Arial"/>
                <w:sz w:val="19"/>
                <w:szCs w:val="19"/>
              </w:rPr>
              <w:t>2014 = 1012</w:t>
            </w:r>
          </w:p>
        </w:tc>
        <w:tc>
          <w:tcPr>
            <w:tcW w:w="1980" w:type="dxa"/>
            <w:vMerge/>
            <w:tcBorders>
              <w:left w:val="single" w:sz="4" w:space="0" w:color="auto"/>
              <w:right w:val="single" w:sz="4" w:space="0" w:color="auto"/>
            </w:tcBorders>
          </w:tcPr>
          <w:p w:rsidR="009E6616" w:rsidRPr="00D80D58" w:rsidRDefault="009E6616" w:rsidP="009E6616">
            <w:pPr>
              <w:ind w:left="216" w:hanging="216"/>
              <w:rPr>
                <w:rFonts w:ascii="Arial" w:hAnsi="Arial" w:cs="Arial"/>
                <w:b/>
                <w:sz w:val="19"/>
                <w:szCs w:val="19"/>
              </w:rPr>
            </w:pPr>
          </w:p>
        </w:tc>
      </w:tr>
      <w:tr w:rsidR="009E6616" w:rsidRPr="00E65146" w:rsidTr="009E6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0" w:type="dxa"/>
            <w:vMerge/>
            <w:tcBorders>
              <w:left w:val="single" w:sz="4" w:space="0" w:color="auto"/>
              <w:right w:val="single" w:sz="4" w:space="0" w:color="auto"/>
            </w:tcBorders>
          </w:tcPr>
          <w:p w:rsidR="009E6616" w:rsidRPr="00D80D58" w:rsidRDefault="009E6616" w:rsidP="009E6616">
            <w:pPr>
              <w:rPr>
                <w:rFonts w:ascii="Arial" w:hAnsi="Arial" w:cs="Arial"/>
                <w:b/>
                <w:sz w:val="19"/>
                <w:szCs w:val="19"/>
              </w:rPr>
            </w:pPr>
          </w:p>
        </w:tc>
        <w:tc>
          <w:tcPr>
            <w:tcW w:w="2736" w:type="dxa"/>
            <w:tcBorders>
              <w:top w:val="single" w:sz="4" w:space="0" w:color="auto"/>
              <w:left w:val="single" w:sz="4" w:space="0" w:color="auto"/>
              <w:bottom w:val="single" w:sz="4" w:space="0" w:color="auto"/>
              <w:right w:val="single" w:sz="4" w:space="0" w:color="auto"/>
            </w:tcBorders>
          </w:tcPr>
          <w:p w:rsidR="009E6616" w:rsidRPr="00D80D58" w:rsidRDefault="009E6616" w:rsidP="00185E36">
            <w:pPr>
              <w:rPr>
                <w:rFonts w:ascii="Arial" w:hAnsi="Arial" w:cs="Arial"/>
                <w:sz w:val="19"/>
                <w:szCs w:val="19"/>
              </w:rPr>
            </w:pPr>
            <w:r w:rsidRPr="00D80D58">
              <w:rPr>
                <w:rFonts w:ascii="Arial" w:hAnsi="Arial" w:cs="Arial"/>
                <w:sz w:val="19"/>
                <w:szCs w:val="19"/>
              </w:rPr>
              <w:t>10% increase in number of Ethnic Minority students graduating from six prioritized medical universities over baseline level</w:t>
            </w:r>
          </w:p>
        </w:tc>
        <w:tc>
          <w:tcPr>
            <w:tcW w:w="2664" w:type="dxa"/>
            <w:tcBorders>
              <w:top w:val="single" w:sz="4" w:space="0" w:color="auto"/>
              <w:left w:val="single" w:sz="4" w:space="0" w:color="auto"/>
              <w:bottom w:val="single" w:sz="4" w:space="0" w:color="auto"/>
              <w:right w:val="single" w:sz="4" w:space="0" w:color="auto"/>
            </w:tcBorders>
          </w:tcPr>
          <w:p w:rsidR="009E6616" w:rsidRPr="00D80D58" w:rsidRDefault="009E6616" w:rsidP="009E6616">
            <w:pPr>
              <w:overflowPunct w:val="0"/>
              <w:autoSpaceDE w:val="0"/>
              <w:autoSpaceDN w:val="0"/>
              <w:adjustRightInd w:val="0"/>
              <w:textAlignment w:val="baseline"/>
              <w:rPr>
                <w:rFonts w:ascii="Arial" w:hAnsi="Arial" w:cs="Arial"/>
                <w:sz w:val="19"/>
                <w:szCs w:val="19"/>
              </w:rPr>
            </w:pPr>
            <w:r w:rsidRPr="00D80D58">
              <w:rPr>
                <w:rFonts w:ascii="Arial" w:hAnsi="Arial" w:cs="Arial"/>
                <w:sz w:val="19"/>
                <w:szCs w:val="19"/>
              </w:rPr>
              <w:t xml:space="preserve">Average annual number of EM students </w:t>
            </w:r>
            <w:r w:rsidR="003A6670" w:rsidRPr="00D80D58">
              <w:rPr>
                <w:rFonts w:ascii="Arial" w:hAnsi="Arial" w:cs="Arial"/>
                <w:sz w:val="19"/>
                <w:szCs w:val="19"/>
              </w:rPr>
              <w:t>enrolled at</w:t>
            </w:r>
            <w:r w:rsidRPr="00D80D58">
              <w:rPr>
                <w:rFonts w:ascii="Arial" w:hAnsi="Arial" w:cs="Arial"/>
                <w:sz w:val="19"/>
                <w:szCs w:val="19"/>
              </w:rPr>
              <w:t xml:space="preserve"> six prioritized medical universities between 2011-2014:</w:t>
            </w:r>
          </w:p>
          <w:p w:rsidR="009E6616" w:rsidRPr="00D80D58" w:rsidRDefault="009E6616" w:rsidP="009E6616">
            <w:pPr>
              <w:overflowPunct w:val="0"/>
              <w:autoSpaceDE w:val="0"/>
              <w:autoSpaceDN w:val="0"/>
              <w:adjustRightInd w:val="0"/>
              <w:ind w:left="720"/>
              <w:textAlignment w:val="baseline"/>
              <w:rPr>
                <w:rFonts w:ascii="Arial" w:hAnsi="Arial" w:cs="Arial"/>
                <w:sz w:val="19"/>
                <w:szCs w:val="19"/>
              </w:rPr>
            </w:pPr>
          </w:p>
          <w:p w:rsidR="009E6616" w:rsidRPr="00D80D58" w:rsidRDefault="009E6616" w:rsidP="009E6616">
            <w:pPr>
              <w:overflowPunct w:val="0"/>
              <w:autoSpaceDE w:val="0"/>
              <w:autoSpaceDN w:val="0"/>
              <w:adjustRightInd w:val="0"/>
              <w:textAlignment w:val="baseline"/>
              <w:rPr>
                <w:rFonts w:ascii="Arial" w:hAnsi="Arial" w:cs="Arial"/>
                <w:sz w:val="19"/>
                <w:szCs w:val="19"/>
              </w:rPr>
            </w:pPr>
            <w:r w:rsidRPr="00D80D58">
              <w:rPr>
                <w:rFonts w:ascii="Arial" w:hAnsi="Arial" w:cs="Arial"/>
                <w:sz w:val="19"/>
                <w:szCs w:val="19"/>
              </w:rPr>
              <w:t>Hanoi Medical University = 197</w:t>
            </w:r>
          </w:p>
          <w:p w:rsidR="009E6616" w:rsidRPr="00D80D58" w:rsidRDefault="009E6616" w:rsidP="009E6616">
            <w:pPr>
              <w:overflowPunct w:val="0"/>
              <w:autoSpaceDE w:val="0"/>
              <w:autoSpaceDN w:val="0"/>
              <w:adjustRightInd w:val="0"/>
              <w:ind w:left="720"/>
              <w:textAlignment w:val="baseline"/>
              <w:rPr>
                <w:rFonts w:ascii="Arial" w:hAnsi="Arial" w:cs="Arial"/>
                <w:sz w:val="19"/>
                <w:szCs w:val="19"/>
              </w:rPr>
            </w:pPr>
          </w:p>
          <w:p w:rsidR="009E6616" w:rsidRPr="00D80D58" w:rsidRDefault="009E6616" w:rsidP="009E6616">
            <w:pPr>
              <w:overflowPunct w:val="0"/>
              <w:autoSpaceDE w:val="0"/>
              <w:autoSpaceDN w:val="0"/>
              <w:adjustRightInd w:val="0"/>
              <w:textAlignment w:val="baseline"/>
              <w:rPr>
                <w:rFonts w:ascii="Arial" w:hAnsi="Arial" w:cs="Arial"/>
                <w:sz w:val="19"/>
                <w:szCs w:val="19"/>
              </w:rPr>
            </w:pPr>
            <w:r w:rsidRPr="00D80D58">
              <w:rPr>
                <w:rFonts w:ascii="Arial" w:hAnsi="Arial" w:cs="Arial"/>
                <w:sz w:val="19"/>
                <w:szCs w:val="19"/>
              </w:rPr>
              <w:t>Hanoi University of Pharmacy = 314</w:t>
            </w:r>
          </w:p>
          <w:p w:rsidR="009E6616" w:rsidRPr="00D80D58" w:rsidRDefault="009E6616" w:rsidP="009E6616">
            <w:pPr>
              <w:overflowPunct w:val="0"/>
              <w:autoSpaceDE w:val="0"/>
              <w:autoSpaceDN w:val="0"/>
              <w:adjustRightInd w:val="0"/>
              <w:textAlignment w:val="baseline"/>
              <w:rPr>
                <w:rFonts w:ascii="Arial" w:hAnsi="Arial" w:cs="Arial"/>
                <w:sz w:val="19"/>
                <w:szCs w:val="19"/>
              </w:rPr>
            </w:pPr>
          </w:p>
          <w:p w:rsidR="009E6616" w:rsidRPr="00D80D58" w:rsidRDefault="009E6616" w:rsidP="009E6616">
            <w:pPr>
              <w:overflowPunct w:val="0"/>
              <w:autoSpaceDE w:val="0"/>
              <w:autoSpaceDN w:val="0"/>
              <w:adjustRightInd w:val="0"/>
              <w:textAlignment w:val="baseline"/>
              <w:rPr>
                <w:rFonts w:ascii="Arial" w:hAnsi="Arial" w:cs="Arial"/>
                <w:sz w:val="19"/>
                <w:szCs w:val="19"/>
              </w:rPr>
            </w:pPr>
            <w:r w:rsidRPr="00D80D58">
              <w:rPr>
                <w:rFonts w:ascii="Arial" w:hAnsi="Arial" w:cs="Arial"/>
                <w:sz w:val="19"/>
                <w:szCs w:val="19"/>
              </w:rPr>
              <w:t>Thai Nguyen University of Medicine and Pharmacy = 2,488</w:t>
            </w:r>
          </w:p>
          <w:p w:rsidR="009E6616" w:rsidRPr="00D80D58" w:rsidRDefault="009E6616" w:rsidP="009E6616">
            <w:pPr>
              <w:overflowPunct w:val="0"/>
              <w:autoSpaceDE w:val="0"/>
              <w:autoSpaceDN w:val="0"/>
              <w:adjustRightInd w:val="0"/>
              <w:ind w:left="720"/>
              <w:textAlignment w:val="baseline"/>
              <w:rPr>
                <w:rFonts w:ascii="Arial" w:hAnsi="Arial" w:cs="Arial"/>
                <w:sz w:val="19"/>
                <w:szCs w:val="19"/>
              </w:rPr>
            </w:pPr>
          </w:p>
          <w:p w:rsidR="009E6616" w:rsidRPr="00D80D58" w:rsidRDefault="009E6616" w:rsidP="009E6616">
            <w:pPr>
              <w:overflowPunct w:val="0"/>
              <w:autoSpaceDE w:val="0"/>
              <w:autoSpaceDN w:val="0"/>
              <w:adjustRightInd w:val="0"/>
              <w:textAlignment w:val="baseline"/>
              <w:rPr>
                <w:rFonts w:ascii="Arial" w:hAnsi="Arial" w:cs="Arial"/>
                <w:sz w:val="19"/>
                <w:szCs w:val="19"/>
              </w:rPr>
            </w:pPr>
            <w:r w:rsidRPr="00D80D58">
              <w:rPr>
                <w:rFonts w:ascii="Arial" w:hAnsi="Arial" w:cs="Arial"/>
                <w:sz w:val="19"/>
                <w:szCs w:val="19"/>
              </w:rPr>
              <w:t>Hue University of Medicine and Pharmacy = 1,883</w:t>
            </w:r>
          </w:p>
          <w:p w:rsidR="009E6616" w:rsidRPr="00D80D58" w:rsidRDefault="009E6616" w:rsidP="009E6616">
            <w:pPr>
              <w:overflowPunct w:val="0"/>
              <w:autoSpaceDE w:val="0"/>
              <w:autoSpaceDN w:val="0"/>
              <w:adjustRightInd w:val="0"/>
              <w:ind w:left="720"/>
              <w:textAlignment w:val="baseline"/>
              <w:rPr>
                <w:rFonts w:ascii="Arial" w:hAnsi="Arial" w:cs="Arial"/>
                <w:sz w:val="19"/>
                <w:szCs w:val="19"/>
              </w:rPr>
            </w:pPr>
          </w:p>
          <w:p w:rsidR="009E6616" w:rsidRPr="00D80D58" w:rsidRDefault="009E6616" w:rsidP="009E6616">
            <w:pPr>
              <w:overflowPunct w:val="0"/>
              <w:autoSpaceDE w:val="0"/>
              <w:autoSpaceDN w:val="0"/>
              <w:adjustRightInd w:val="0"/>
              <w:textAlignment w:val="baseline"/>
              <w:rPr>
                <w:rFonts w:ascii="Arial" w:hAnsi="Arial" w:cs="Arial"/>
                <w:sz w:val="19"/>
                <w:szCs w:val="19"/>
              </w:rPr>
            </w:pPr>
            <w:r w:rsidRPr="00D80D58">
              <w:rPr>
                <w:rFonts w:ascii="Arial" w:hAnsi="Arial" w:cs="Arial"/>
                <w:sz w:val="19"/>
                <w:szCs w:val="19"/>
              </w:rPr>
              <w:t>HCMC University of Medicine and Pharmacy = 1,672</w:t>
            </w:r>
          </w:p>
          <w:p w:rsidR="009E6616" w:rsidRPr="00D80D58" w:rsidRDefault="009E6616" w:rsidP="009E6616">
            <w:pPr>
              <w:overflowPunct w:val="0"/>
              <w:autoSpaceDE w:val="0"/>
              <w:autoSpaceDN w:val="0"/>
              <w:adjustRightInd w:val="0"/>
              <w:ind w:left="720"/>
              <w:textAlignment w:val="baseline"/>
              <w:rPr>
                <w:rFonts w:ascii="Arial" w:hAnsi="Arial" w:cs="Arial"/>
                <w:sz w:val="19"/>
                <w:szCs w:val="19"/>
              </w:rPr>
            </w:pPr>
          </w:p>
          <w:p w:rsidR="009E6616" w:rsidRPr="00D80D58" w:rsidRDefault="009E6616" w:rsidP="009E6616">
            <w:pPr>
              <w:overflowPunct w:val="0"/>
              <w:autoSpaceDE w:val="0"/>
              <w:autoSpaceDN w:val="0"/>
              <w:adjustRightInd w:val="0"/>
              <w:textAlignment w:val="baseline"/>
              <w:rPr>
                <w:rFonts w:ascii="Arial" w:hAnsi="Arial" w:cs="Arial"/>
                <w:sz w:val="19"/>
                <w:szCs w:val="19"/>
              </w:rPr>
            </w:pPr>
            <w:r w:rsidRPr="00D80D58">
              <w:rPr>
                <w:rFonts w:ascii="Arial" w:hAnsi="Arial" w:cs="Arial"/>
                <w:sz w:val="19"/>
                <w:szCs w:val="19"/>
              </w:rPr>
              <w:t xml:space="preserve"> Can Tho University of Medicine and Pharmacy = 1,313</w:t>
            </w:r>
          </w:p>
          <w:p w:rsidR="009E6616" w:rsidRPr="00D80D58" w:rsidRDefault="009E6616" w:rsidP="009E6616">
            <w:pPr>
              <w:overflowPunct w:val="0"/>
              <w:autoSpaceDE w:val="0"/>
              <w:autoSpaceDN w:val="0"/>
              <w:adjustRightInd w:val="0"/>
              <w:ind w:left="720"/>
              <w:textAlignment w:val="baseline"/>
              <w:rPr>
                <w:rFonts w:ascii="Arial" w:hAnsi="Arial" w:cs="Arial"/>
                <w:sz w:val="19"/>
                <w:szCs w:val="19"/>
              </w:rPr>
            </w:pPr>
          </w:p>
          <w:p w:rsidR="009E6616" w:rsidRPr="00D80D58" w:rsidRDefault="009E6616" w:rsidP="009E6616">
            <w:pPr>
              <w:overflowPunct w:val="0"/>
              <w:autoSpaceDE w:val="0"/>
              <w:autoSpaceDN w:val="0"/>
              <w:adjustRightInd w:val="0"/>
              <w:textAlignment w:val="baseline"/>
              <w:rPr>
                <w:rFonts w:ascii="Arial" w:hAnsi="Arial" w:cs="Arial"/>
                <w:sz w:val="19"/>
                <w:szCs w:val="19"/>
              </w:rPr>
            </w:pPr>
            <w:r w:rsidRPr="00D80D58">
              <w:rPr>
                <w:rFonts w:ascii="Arial" w:hAnsi="Arial" w:cs="Arial"/>
                <w:sz w:val="19"/>
                <w:szCs w:val="19"/>
              </w:rPr>
              <w:t xml:space="preserve">Average annual number of EM students </w:t>
            </w:r>
            <w:r w:rsidR="003A6670" w:rsidRPr="00D80D58">
              <w:rPr>
                <w:rFonts w:ascii="Arial" w:hAnsi="Arial" w:cs="Arial"/>
                <w:sz w:val="19"/>
                <w:szCs w:val="19"/>
              </w:rPr>
              <w:t xml:space="preserve">enrolled at 17 </w:t>
            </w:r>
            <w:r w:rsidR="00C41114" w:rsidRPr="00D80D58">
              <w:rPr>
                <w:rFonts w:ascii="Arial" w:hAnsi="Arial" w:cs="Arial"/>
                <w:sz w:val="19"/>
                <w:szCs w:val="19"/>
              </w:rPr>
              <w:t>HPTF</w:t>
            </w:r>
            <w:r w:rsidR="003A6670" w:rsidRPr="00D80D58">
              <w:rPr>
                <w:rFonts w:ascii="Arial" w:hAnsi="Arial" w:cs="Arial"/>
                <w:sz w:val="19"/>
                <w:szCs w:val="19"/>
              </w:rPr>
              <w:t xml:space="preserve"> combined </w:t>
            </w:r>
            <w:r w:rsidRPr="00D80D58">
              <w:rPr>
                <w:rFonts w:ascii="Arial" w:hAnsi="Arial" w:cs="Arial"/>
                <w:sz w:val="19"/>
                <w:szCs w:val="19"/>
              </w:rPr>
              <w:t>between 2011-2014 = 10,783.</w:t>
            </w:r>
          </w:p>
          <w:p w:rsidR="009E6616" w:rsidRPr="00D80D58" w:rsidRDefault="009E6616" w:rsidP="009E6616">
            <w:pPr>
              <w:overflowPunct w:val="0"/>
              <w:autoSpaceDE w:val="0"/>
              <w:autoSpaceDN w:val="0"/>
              <w:adjustRightInd w:val="0"/>
              <w:textAlignment w:val="baseline"/>
              <w:rPr>
                <w:rFonts w:ascii="Arial" w:hAnsi="Arial" w:cs="Arial"/>
                <w:color w:val="FF0000"/>
                <w:sz w:val="19"/>
                <w:szCs w:val="19"/>
              </w:rPr>
            </w:pPr>
          </w:p>
        </w:tc>
        <w:tc>
          <w:tcPr>
            <w:tcW w:w="1980" w:type="dxa"/>
            <w:vMerge/>
            <w:tcBorders>
              <w:left w:val="single" w:sz="4" w:space="0" w:color="auto"/>
              <w:right w:val="single" w:sz="4" w:space="0" w:color="auto"/>
            </w:tcBorders>
          </w:tcPr>
          <w:p w:rsidR="009E6616" w:rsidRPr="00D80D58" w:rsidRDefault="009E6616" w:rsidP="009E6616">
            <w:pPr>
              <w:ind w:left="216" w:hanging="216"/>
              <w:rPr>
                <w:rFonts w:ascii="Arial" w:hAnsi="Arial" w:cs="Arial"/>
                <w:b/>
                <w:sz w:val="19"/>
                <w:szCs w:val="19"/>
              </w:rPr>
            </w:pPr>
          </w:p>
        </w:tc>
      </w:tr>
      <w:tr w:rsidR="009E6616" w:rsidRPr="00E65146" w:rsidTr="009E6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0" w:type="dxa"/>
            <w:vMerge/>
            <w:tcBorders>
              <w:left w:val="single" w:sz="4" w:space="0" w:color="auto"/>
              <w:bottom w:val="single" w:sz="4" w:space="0" w:color="auto"/>
              <w:right w:val="single" w:sz="4" w:space="0" w:color="auto"/>
            </w:tcBorders>
          </w:tcPr>
          <w:p w:rsidR="009E6616" w:rsidRPr="00D80D58" w:rsidRDefault="009E6616" w:rsidP="009E6616">
            <w:pPr>
              <w:rPr>
                <w:rFonts w:ascii="Arial" w:hAnsi="Arial" w:cs="Arial"/>
                <w:b/>
                <w:sz w:val="19"/>
                <w:szCs w:val="19"/>
              </w:rPr>
            </w:pPr>
          </w:p>
        </w:tc>
        <w:tc>
          <w:tcPr>
            <w:tcW w:w="2736" w:type="dxa"/>
            <w:tcBorders>
              <w:top w:val="single" w:sz="4" w:space="0" w:color="auto"/>
              <w:left w:val="single" w:sz="4" w:space="0" w:color="auto"/>
              <w:bottom w:val="single" w:sz="4" w:space="0" w:color="auto"/>
              <w:right w:val="single" w:sz="4" w:space="0" w:color="auto"/>
            </w:tcBorders>
          </w:tcPr>
          <w:p w:rsidR="009E6616" w:rsidRPr="00D80D58" w:rsidRDefault="009E6616" w:rsidP="00113D51">
            <w:pPr>
              <w:overflowPunct w:val="0"/>
              <w:autoSpaceDE w:val="0"/>
              <w:autoSpaceDN w:val="0"/>
              <w:adjustRightInd w:val="0"/>
              <w:textAlignment w:val="baseline"/>
              <w:rPr>
                <w:rFonts w:ascii="Arial" w:hAnsi="Arial" w:cs="Arial"/>
                <w:sz w:val="19"/>
                <w:szCs w:val="19"/>
              </w:rPr>
            </w:pPr>
            <w:r w:rsidRPr="00D80D58">
              <w:rPr>
                <w:rFonts w:ascii="Arial" w:hAnsi="Arial" w:cs="Arial"/>
                <w:sz w:val="19"/>
                <w:szCs w:val="19"/>
              </w:rPr>
              <w:t xml:space="preserve">20 hospitals with improved efficiency and quality of services through adoption of operational policies for use of care pathways and case-based payments </w:t>
            </w:r>
          </w:p>
        </w:tc>
        <w:tc>
          <w:tcPr>
            <w:tcW w:w="2664" w:type="dxa"/>
            <w:tcBorders>
              <w:top w:val="single" w:sz="4" w:space="0" w:color="auto"/>
              <w:left w:val="single" w:sz="4" w:space="0" w:color="auto"/>
              <w:bottom w:val="single" w:sz="4" w:space="0" w:color="auto"/>
              <w:right w:val="single" w:sz="4" w:space="0" w:color="auto"/>
            </w:tcBorders>
          </w:tcPr>
          <w:p w:rsidR="009E6616" w:rsidRPr="00D80D58" w:rsidRDefault="009E6616" w:rsidP="009E6616">
            <w:pPr>
              <w:overflowPunct w:val="0"/>
              <w:autoSpaceDE w:val="0"/>
              <w:autoSpaceDN w:val="0"/>
              <w:adjustRightInd w:val="0"/>
              <w:textAlignment w:val="baseline"/>
              <w:rPr>
                <w:rFonts w:ascii="Arial" w:hAnsi="Arial" w:cs="Arial"/>
                <w:sz w:val="19"/>
                <w:szCs w:val="19"/>
              </w:rPr>
            </w:pPr>
            <w:r w:rsidRPr="00D80D58">
              <w:rPr>
                <w:rFonts w:ascii="Arial" w:hAnsi="Arial" w:cs="Arial"/>
                <w:sz w:val="19"/>
                <w:szCs w:val="19"/>
              </w:rPr>
              <w:t>Piloting of case based payments using the costed care pathways has not yet commenced.</w:t>
            </w:r>
          </w:p>
        </w:tc>
        <w:tc>
          <w:tcPr>
            <w:tcW w:w="1980" w:type="dxa"/>
            <w:vMerge/>
            <w:tcBorders>
              <w:left w:val="single" w:sz="4" w:space="0" w:color="auto"/>
              <w:bottom w:val="single" w:sz="4" w:space="0" w:color="auto"/>
              <w:right w:val="single" w:sz="4" w:space="0" w:color="auto"/>
            </w:tcBorders>
          </w:tcPr>
          <w:p w:rsidR="009E6616" w:rsidRPr="00D80D58" w:rsidRDefault="009E6616" w:rsidP="009E6616">
            <w:pPr>
              <w:ind w:left="216" w:hanging="216"/>
              <w:rPr>
                <w:rFonts w:ascii="Arial" w:hAnsi="Arial" w:cs="Arial"/>
                <w:b/>
                <w:sz w:val="19"/>
                <w:szCs w:val="19"/>
              </w:rPr>
            </w:pPr>
          </w:p>
        </w:tc>
      </w:tr>
      <w:tr w:rsidR="009E6616" w:rsidRPr="00E65146" w:rsidTr="009E6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80" w:type="dxa"/>
            <w:gridSpan w:val="4"/>
            <w:tcBorders>
              <w:bottom w:val="single" w:sz="4" w:space="0" w:color="auto"/>
            </w:tcBorders>
          </w:tcPr>
          <w:p w:rsidR="009E6616" w:rsidRPr="00D80D58" w:rsidRDefault="009E6616" w:rsidP="009E6616">
            <w:pPr>
              <w:rPr>
                <w:rFonts w:ascii="Arial" w:hAnsi="Arial" w:cs="Arial"/>
                <w:sz w:val="19"/>
                <w:szCs w:val="19"/>
              </w:rPr>
            </w:pPr>
            <w:r w:rsidRPr="00D80D58">
              <w:rPr>
                <w:rFonts w:ascii="Arial" w:hAnsi="Arial" w:cs="Arial"/>
                <w:b/>
                <w:sz w:val="19"/>
                <w:szCs w:val="19"/>
              </w:rPr>
              <w:t>Outputs</w:t>
            </w:r>
          </w:p>
        </w:tc>
      </w:tr>
      <w:tr w:rsidR="009E6616" w:rsidRPr="00E65146" w:rsidTr="009E6616">
        <w:tc>
          <w:tcPr>
            <w:tcW w:w="1800" w:type="dxa"/>
            <w:vMerge w:val="restart"/>
            <w:tcBorders>
              <w:top w:val="single" w:sz="4" w:space="0" w:color="auto"/>
              <w:left w:val="single" w:sz="4" w:space="0" w:color="auto"/>
              <w:right w:val="single" w:sz="4" w:space="0" w:color="auto"/>
            </w:tcBorders>
          </w:tcPr>
          <w:p w:rsidR="009E6616" w:rsidRPr="00D80D58" w:rsidRDefault="009E6616" w:rsidP="009E6616">
            <w:pPr>
              <w:rPr>
                <w:rFonts w:ascii="Arial" w:hAnsi="Arial" w:cs="Arial"/>
                <w:sz w:val="19"/>
                <w:szCs w:val="19"/>
              </w:rPr>
            </w:pPr>
            <w:r w:rsidRPr="00D80D58">
              <w:rPr>
                <w:rFonts w:ascii="Arial" w:hAnsi="Arial" w:cs="Arial"/>
                <w:sz w:val="19"/>
                <w:szCs w:val="19"/>
              </w:rPr>
              <w:t>1. Better planning and management of human resources</w:t>
            </w: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tc>
        <w:tc>
          <w:tcPr>
            <w:tcW w:w="2736" w:type="dxa"/>
            <w:tcBorders>
              <w:top w:val="single" w:sz="4" w:space="0" w:color="auto"/>
              <w:left w:val="single" w:sz="4" w:space="0" w:color="auto"/>
              <w:bottom w:val="single" w:sz="4" w:space="0" w:color="auto"/>
              <w:right w:val="single" w:sz="4" w:space="0" w:color="auto"/>
            </w:tcBorders>
          </w:tcPr>
          <w:p w:rsidR="009E6616" w:rsidRPr="00D80D58" w:rsidRDefault="009E6616" w:rsidP="009E6616">
            <w:pPr>
              <w:rPr>
                <w:rFonts w:ascii="Arial" w:hAnsi="Arial" w:cs="Arial"/>
                <w:b/>
                <w:sz w:val="19"/>
                <w:szCs w:val="19"/>
              </w:rPr>
            </w:pPr>
            <w:r w:rsidRPr="00D80D58">
              <w:rPr>
                <w:rFonts w:ascii="Arial" w:hAnsi="Arial" w:cs="Arial"/>
                <w:b/>
                <w:sz w:val="19"/>
                <w:szCs w:val="19"/>
              </w:rPr>
              <w:t>Program</w:t>
            </w:r>
          </w:p>
          <w:p w:rsidR="009E6616" w:rsidRPr="00D80D58" w:rsidRDefault="009E6616" w:rsidP="009E6616">
            <w:pPr>
              <w:rPr>
                <w:rFonts w:ascii="Arial" w:hAnsi="Arial" w:cs="Arial"/>
                <w:sz w:val="19"/>
                <w:szCs w:val="19"/>
              </w:rPr>
            </w:pPr>
            <w:r w:rsidRPr="00D80D58">
              <w:rPr>
                <w:rFonts w:ascii="Arial" w:hAnsi="Arial" w:cs="Arial"/>
                <w:sz w:val="19"/>
                <w:szCs w:val="19"/>
              </w:rPr>
              <w:t>By April 2010, Ministry of Health (MOH) Decision on establishing Joint Committee on Human Resources Planning and Management.</w:t>
            </w:r>
          </w:p>
          <w:p w:rsidR="009E6616" w:rsidRPr="00D80D58" w:rsidRDefault="009E6616" w:rsidP="009E6616">
            <w:pPr>
              <w:ind w:left="216"/>
              <w:rPr>
                <w:rFonts w:ascii="Arial" w:hAnsi="Arial" w:cs="Arial"/>
                <w:sz w:val="19"/>
                <w:szCs w:val="19"/>
              </w:rPr>
            </w:pPr>
          </w:p>
          <w:p w:rsidR="009E6616" w:rsidRPr="00D80D58" w:rsidRDefault="009E6616" w:rsidP="009E6616">
            <w:pPr>
              <w:rPr>
                <w:rFonts w:ascii="Arial" w:hAnsi="Arial" w:cs="Arial"/>
                <w:sz w:val="19"/>
                <w:szCs w:val="19"/>
              </w:rPr>
            </w:pPr>
          </w:p>
        </w:tc>
        <w:tc>
          <w:tcPr>
            <w:tcW w:w="2664" w:type="dxa"/>
            <w:tcBorders>
              <w:top w:val="single" w:sz="4" w:space="0" w:color="auto"/>
              <w:left w:val="single" w:sz="4" w:space="0" w:color="auto"/>
              <w:bottom w:val="single" w:sz="4" w:space="0" w:color="auto"/>
              <w:right w:val="single" w:sz="4" w:space="0" w:color="auto"/>
            </w:tcBorders>
          </w:tcPr>
          <w:p w:rsidR="009E6616" w:rsidRPr="00D80D58" w:rsidRDefault="009E6616" w:rsidP="009E6616">
            <w:pPr>
              <w:overflowPunct w:val="0"/>
              <w:autoSpaceDE w:val="0"/>
              <w:autoSpaceDN w:val="0"/>
              <w:adjustRightInd w:val="0"/>
              <w:textAlignment w:val="baseline"/>
              <w:rPr>
                <w:rFonts w:ascii="Arial" w:hAnsi="Arial" w:cs="Arial"/>
                <w:sz w:val="19"/>
                <w:szCs w:val="19"/>
              </w:rPr>
            </w:pPr>
          </w:p>
          <w:p w:rsidR="009E6616" w:rsidRPr="00D80D58" w:rsidRDefault="009E6616" w:rsidP="009E6616">
            <w:pPr>
              <w:overflowPunct w:val="0"/>
              <w:autoSpaceDE w:val="0"/>
              <w:autoSpaceDN w:val="0"/>
              <w:adjustRightInd w:val="0"/>
              <w:textAlignment w:val="baseline"/>
              <w:rPr>
                <w:rFonts w:ascii="Arial" w:hAnsi="Arial" w:cs="Arial"/>
                <w:sz w:val="19"/>
                <w:szCs w:val="19"/>
              </w:rPr>
            </w:pPr>
            <w:r w:rsidRPr="00D80D58">
              <w:rPr>
                <w:rFonts w:ascii="Arial" w:hAnsi="Arial" w:cs="Arial"/>
                <w:sz w:val="19"/>
                <w:szCs w:val="19"/>
              </w:rPr>
              <w:t>HHR Committee established (</w:t>
            </w:r>
            <w:r w:rsidRPr="00D80D58">
              <w:rPr>
                <w:rFonts w:ascii="Arial" w:hAnsi="Arial" w:cs="Arial"/>
                <w:snapToGrid w:val="0"/>
                <w:color w:val="000000"/>
                <w:sz w:val="19"/>
                <w:szCs w:val="19"/>
              </w:rPr>
              <w:t>Decision 1301/QD-BYT date 21/4/2010)</w:t>
            </w:r>
          </w:p>
          <w:p w:rsidR="009E6616" w:rsidRPr="00D80D58" w:rsidRDefault="009E6616" w:rsidP="009E6616">
            <w:pPr>
              <w:overflowPunct w:val="0"/>
              <w:autoSpaceDE w:val="0"/>
              <w:autoSpaceDN w:val="0"/>
              <w:adjustRightInd w:val="0"/>
              <w:textAlignment w:val="baseline"/>
              <w:rPr>
                <w:rFonts w:ascii="Arial" w:hAnsi="Arial" w:cs="Arial"/>
                <w:sz w:val="19"/>
                <w:szCs w:val="19"/>
              </w:rPr>
            </w:pPr>
          </w:p>
        </w:tc>
        <w:tc>
          <w:tcPr>
            <w:tcW w:w="1980" w:type="dxa"/>
            <w:vMerge w:val="restart"/>
            <w:tcBorders>
              <w:top w:val="single" w:sz="4" w:space="0" w:color="auto"/>
              <w:left w:val="single" w:sz="4" w:space="0" w:color="auto"/>
              <w:right w:val="single" w:sz="4" w:space="0" w:color="auto"/>
            </w:tcBorders>
          </w:tcPr>
          <w:p w:rsidR="009E6616" w:rsidRPr="00D80D58" w:rsidRDefault="009E6616" w:rsidP="009E6616">
            <w:pPr>
              <w:rPr>
                <w:rFonts w:ascii="Arial" w:hAnsi="Arial" w:cs="Arial"/>
                <w:b/>
                <w:sz w:val="19"/>
                <w:szCs w:val="19"/>
              </w:rPr>
            </w:pPr>
            <w:r w:rsidRPr="00D80D58">
              <w:rPr>
                <w:rFonts w:ascii="Arial" w:hAnsi="Arial" w:cs="Arial"/>
                <w:b/>
                <w:sz w:val="19"/>
                <w:szCs w:val="19"/>
              </w:rPr>
              <w:t xml:space="preserve">Assumptions </w:t>
            </w:r>
          </w:p>
          <w:p w:rsidR="009E6616" w:rsidRPr="00D80D58" w:rsidRDefault="009E6616" w:rsidP="00CA718F">
            <w:pPr>
              <w:numPr>
                <w:ilvl w:val="0"/>
                <w:numId w:val="9"/>
              </w:numPr>
              <w:overflowPunct w:val="0"/>
              <w:autoSpaceDE w:val="0"/>
              <w:autoSpaceDN w:val="0"/>
              <w:adjustRightInd w:val="0"/>
              <w:textAlignment w:val="baseline"/>
              <w:rPr>
                <w:rFonts w:ascii="Arial" w:hAnsi="Arial" w:cs="Arial"/>
                <w:sz w:val="19"/>
                <w:szCs w:val="19"/>
              </w:rPr>
            </w:pPr>
            <w:r w:rsidRPr="00D80D58">
              <w:rPr>
                <w:rFonts w:ascii="Arial" w:hAnsi="Arial" w:cs="Arial"/>
                <w:sz w:val="19"/>
                <w:szCs w:val="19"/>
              </w:rPr>
              <w:t>Continued government priority to health human resources strengthening</w:t>
            </w:r>
          </w:p>
          <w:p w:rsidR="009E6616" w:rsidRPr="00D80D58" w:rsidRDefault="009E6616" w:rsidP="009E6616">
            <w:pPr>
              <w:ind w:left="216" w:hanging="216"/>
              <w:rPr>
                <w:rFonts w:ascii="Arial" w:hAnsi="Arial" w:cs="Arial"/>
                <w:b/>
                <w:sz w:val="19"/>
                <w:szCs w:val="19"/>
              </w:rPr>
            </w:pPr>
            <w:r w:rsidRPr="00D80D58">
              <w:rPr>
                <w:rFonts w:ascii="Arial" w:hAnsi="Arial" w:cs="Arial"/>
                <w:b/>
                <w:sz w:val="19"/>
                <w:szCs w:val="19"/>
              </w:rPr>
              <w:t>Risks</w:t>
            </w:r>
          </w:p>
          <w:p w:rsidR="009E6616" w:rsidRPr="00D80D58" w:rsidRDefault="009E6616" w:rsidP="00CA718F">
            <w:pPr>
              <w:numPr>
                <w:ilvl w:val="0"/>
                <w:numId w:val="11"/>
              </w:numPr>
              <w:rPr>
                <w:rFonts w:ascii="Arial" w:hAnsi="Arial" w:cs="Arial"/>
                <w:sz w:val="19"/>
                <w:szCs w:val="19"/>
              </w:rPr>
            </w:pPr>
            <w:r w:rsidRPr="00D80D58">
              <w:rPr>
                <w:rFonts w:ascii="Arial" w:hAnsi="Arial" w:cs="Arial"/>
                <w:sz w:val="19"/>
                <w:szCs w:val="19"/>
              </w:rPr>
              <w:t>Weak links with Provincial, District and Community Level Plans.</w:t>
            </w:r>
          </w:p>
          <w:p w:rsidR="009E6616" w:rsidRPr="00D80D58" w:rsidRDefault="009E6616" w:rsidP="00CA718F">
            <w:pPr>
              <w:numPr>
                <w:ilvl w:val="0"/>
                <w:numId w:val="11"/>
              </w:numPr>
              <w:rPr>
                <w:rFonts w:ascii="Arial" w:hAnsi="Arial" w:cs="Arial"/>
                <w:sz w:val="19"/>
                <w:szCs w:val="19"/>
              </w:rPr>
            </w:pPr>
            <w:r w:rsidRPr="00D80D58">
              <w:rPr>
                <w:rFonts w:ascii="Arial" w:hAnsi="Arial" w:cs="Arial"/>
                <w:sz w:val="19"/>
                <w:szCs w:val="19"/>
              </w:rPr>
              <w:t>Adoption of LET implementing ordinances delayed.</w:t>
            </w:r>
          </w:p>
          <w:p w:rsidR="009E6616" w:rsidRPr="00D80D58" w:rsidRDefault="009E6616" w:rsidP="009E6616">
            <w:pPr>
              <w:ind w:left="216"/>
              <w:rPr>
                <w:rFonts w:ascii="Arial" w:hAnsi="Arial" w:cs="Arial"/>
                <w:sz w:val="19"/>
                <w:szCs w:val="19"/>
              </w:rPr>
            </w:pPr>
            <w:r w:rsidRPr="00D80D58">
              <w:rPr>
                <w:rFonts w:ascii="Arial" w:hAnsi="Arial" w:cs="Arial"/>
                <w:sz w:val="19"/>
                <w:szCs w:val="19"/>
              </w:rPr>
              <w:t>.</w:t>
            </w:r>
          </w:p>
        </w:tc>
      </w:tr>
      <w:tr w:rsidR="009E6616" w:rsidRPr="00E65146" w:rsidTr="009E6616">
        <w:tc>
          <w:tcPr>
            <w:tcW w:w="1800" w:type="dxa"/>
            <w:vMerge/>
            <w:tcBorders>
              <w:left w:val="single" w:sz="4" w:space="0" w:color="auto"/>
              <w:right w:val="single" w:sz="4" w:space="0" w:color="auto"/>
            </w:tcBorders>
          </w:tcPr>
          <w:p w:rsidR="009E6616" w:rsidRPr="00D80D58" w:rsidRDefault="009E6616" w:rsidP="009E6616">
            <w:pPr>
              <w:rPr>
                <w:rFonts w:ascii="Arial" w:hAnsi="Arial" w:cs="Arial"/>
                <w:sz w:val="19"/>
                <w:szCs w:val="19"/>
              </w:rPr>
            </w:pPr>
          </w:p>
        </w:tc>
        <w:tc>
          <w:tcPr>
            <w:tcW w:w="2736" w:type="dxa"/>
            <w:tcBorders>
              <w:top w:val="single" w:sz="4" w:space="0" w:color="auto"/>
              <w:left w:val="single" w:sz="4" w:space="0" w:color="auto"/>
              <w:bottom w:val="single" w:sz="4" w:space="0" w:color="auto"/>
              <w:right w:val="single" w:sz="4" w:space="0" w:color="auto"/>
            </w:tcBorders>
          </w:tcPr>
          <w:p w:rsidR="009E6616" w:rsidRPr="00D80D58" w:rsidRDefault="009E6616" w:rsidP="009E6616">
            <w:pPr>
              <w:rPr>
                <w:rFonts w:ascii="Arial" w:hAnsi="Arial" w:cs="Arial"/>
                <w:sz w:val="19"/>
                <w:szCs w:val="19"/>
              </w:rPr>
            </w:pPr>
            <w:r w:rsidRPr="00D80D58">
              <w:rPr>
                <w:rFonts w:ascii="Arial" w:hAnsi="Arial" w:cs="Arial"/>
                <w:sz w:val="19"/>
                <w:szCs w:val="19"/>
              </w:rPr>
              <w:t>By November 2009, the Law on Examination and Treatment (LET) approved by the National Assembly with provisions for establishing a system to register and license medical workforce and facilities.</w:t>
            </w:r>
          </w:p>
          <w:p w:rsidR="009E6616" w:rsidRPr="00D80D58" w:rsidRDefault="009E6616" w:rsidP="009E6616">
            <w:pPr>
              <w:rPr>
                <w:rFonts w:ascii="Arial" w:hAnsi="Arial" w:cs="Arial"/>
                <w:b/>
                <w:sz w:val="19"/>
                <w:szCs w:val="19"/>
              </w:rPr>
            </w:pPr>
          </w:p>
        </w:tc>
        <w:tc>
          <w:tcPr>
            <w:tcW w:w="2664" w:type="dxa"/>
            <w:tcBorders>
              <w:top w:val="single" w:sz="4" w:space="0" w:color="auto"/>
              <w:left w:val="single" w:sz="4" w:space="0" w:color="auto"/>
              <w:bottom w:val="single" w:sz="4" w:space="0" w:color="auto"/>
              <w:right w:val="single" w:sz="4" w:space="0" w:color="auto"/>
            </w:tcBorders>
          </w:tcPr>
          <w:p w:rsidR="009E6616" w:rsidRPr="00D80D58" w:rsidRDefault="009E6616" w:rsidP="009E6616">
            <w:pPr>
              <w:rPr>
                <w:rFonts w:ascii="Arial" w:hAnsi="Arial" w:cs="Arial"/>
                <w:sz w:val="19"/>
                <w:szCs w:val="19"/>
              </w:rPr>
            </w:pPr>
            <w:r w:rsidRPr="00D80D58">
              <w:rPr>
                <w:rFonts w:ascii="Arial" w:hAnsi="Arial" w:cs="Arial"/>
                <w:sz w:val="19"/>
                <w:szCs w:val="19"/>
              </w:rPr>
              <w:t xml:space="preserve">The LET approved on 23/11/2009 and effective from 1/2011. The LET includes articles relating to the classification, accreditation, and licensing of health professionals and health care facilities. </w:t>
            </w: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r w:rsidRPr="00D80D58">
              <w:rPr>
                <w:rFonts w:ascii="Arial" w:hAnsi="Arial" w:cs="Arial"/>
                <w:sz w:val="19"/>
                <w:szCs w:val="19"/>
              </w:rPr>
              <w:t>Implementation decrees and circulars critical to establishing the institutions and systems necessary to support the registration and licensing of health professional and health facilities include:</w:t>
            </w:r>
          </w:p>
          <w:p w:rsidR="009E6616" w:rsidRPr="00D80D58" w:rsidRDefault="009E6616" w:rsidP="009E6616">
            <w:pPr>
              <w:rPr>
                <w:rFonts w:ascii="Arial" w:hAnsi="Arial" w:cs="Arial"/>
                <w:sz w:val="19"/>
                <w:szCs w:val="19"/>
              </w:rPr>
            </w:pPr>
          </w:p>
          <w:p w:rsidR="009E6616" w:rsidRPr="00D80D58" w:rsidRDefault="009E6616" w:rsidP="00CA718F">
            <w:pPr>
              <w:pStyle w:val="ColorfulList-Accent11"/>
              <w:numPr>
                <w:ilvl w:val="0"/>
                <w:numId w:val="16"/>
              </w:numPr>
              <w:ind w:left="456"/>
              <w:contextualSpacing w:val="0"/>
              <w:rPr>
                <w:rFonts w:ascii="Arial" w:hAnsi="Arial" w:cs="Arial"/>
                <w:sz w:val="19"/>
                <w:szCs w:val="19"/>
              </w:rPr>
            </w:pPr>
            <w:r w:rsidRPr="00D80D58">
              <w:rPr>
                <w:rFonts w:ascii="Arial" w:hAnsi="Arial" w:cs="Arial"/>
                <w:sz w:val="19"/>
                <w:szCs w:val="19"/>
              </w:rPr>
              <w:t xml:space="preserve">Decree 87/2011/NĐ-CP dated 27/9/2011 </w:t>
            </w:r>
          </w:p>
          <w:p w:rsidR="009E6616" w:rsidRPr="00D80D58" w:rsidRDefault="009E6616" w:rsidP="00CA718F">
            <w:pPr>
              <w:pStyle w:val="ColorfulList-Accent11"/>
              <w:numPr>
                <w:ilvl w:val="0"/>
                <w:numId w:val="16"/>
              </w:numPr>
              <w:ind w:left="456"/>
              <w:contextualSpacing w:val="0"/>
              <w:rPr>
                <w:rFonts w:ascii="Arial" w:hAnsi="Arial" w:cs="Arial"/>
                <w:sz w:val="19"/>
                <w:szCs w:val="19"/>
              </w:rPr>
            </w:pPr>
            <w:r w:rsidRPr="00D80D58">
              <w:rPr>
                <w:rFonts w:ascii="Arial" w:hAnsi="Arial" w:cs="Arial"/>
                <w:sz w:val="19"/>
                <w:szCs w:val="19"/>
              </w:rPr>
              <w:t>Circular 41/2011/TT-BYT dated 14/11/2011</w:t>
            </w:r>
          </w:p>
          <w:p w:rsidR="009E6616" w:rsidRPr="00D80D58" w:rsidRDefault="009E6616" w:rsidP="00CA718F">
            <w:pPr>
              <w:pStyle w:val="ColorfulList-Accent11"/>
              <w:numPr>
                <w:ilvl w:val="0"/>
                <w:numId w:val="16"/>
              </w:numPr>
              <w:ind w:left="456"/>
              <w:contextualSpacing w:val="0"/>
              <w:rPr>
                <w:rFonts w:ascii="Arial" w:hAnsi="Arial" w:cs="Arial"/>
                <w:sz w:val="19"/>
                <w:szCs w:val="19"/>
              </w:rPr>
            </w:pPr>
            <w:r w:rsidRPr="00D80D58">
              <w:rPr>
                <w:rFonts w:ascii="Arial" w:hAnsi="Arial" w:cs="Arial"/>
                <w:sz w:val="19"/>
                <w:szCs w:val="19"/>
              </w:rPr>
              <w:t xml:space="preserve">Decree 96/2011/NĐ-CP dated 21/10/2011 </w:t>
            </w:r>
          </w:p>
          <w:p w:rsidR="009E6616" w:rsidRPr="00D80D58" w:rsidRDefault="009E6616" w:rsidP="00CA718F">
            <w:pPr>
              <w:pStyle w:val="ColorfulList-Accent11"/>
              <w:numPr>
                <w:ilvl w:val="0"/>
                <w:numId w:val="16"/>
              </w:numPr>
              <w:ind w:left="456"/>
              <w:contextualSpacing w:val="0"/>
              <w:rPr>
                <w:rFonts w:ascii="Arial" w:hAnsi="Arial" w:cs="Arial"/>
                <w:sz w:val="19"/>
                <w:szCs w:val="19"/>
              </w:rPr>
            </w:pPr>
            <w:r w:rsidRPr="00D80D58">
              <w:rPr>
                <w:rFonts w:ascii="Arial" w:hAnsi="Arial" w:cs="Arial"/>
                <w:sz w:val="19"/>
                <w:szCs w:val="19"/>
              </w:rPr>
              <w:t xml:space="preserve">Circular  03/2013/TT-BYT dated 8/01/2013 </w:t>
            </w:r>
          </w:p>
          <w:p w:rsidR="009E6616" w:rsidRPr="00D80D58" w:rsidRDefault="009E6616" w:rsidP="00CA718F">
            <w:pPr>
              <w:pStyle w:val="ColorfulList-Accent11"/>
              <w:numPr>
                <w:ilvl w:val="0"/>
                <w:numId w:val="16"/>
              </w:numPr>
              <w:ind w:left="456"/>
              <w:contextualSpacing w:val="0"/>
              <w:rPr>
                <w:rFonts w:ascii="Arial" w:hAnsi="Arial" w:cs="Arial"/>
                <w:sz w:val="19"/>
                <w:szCs w:val="19"/>
              </w:rPr>
            </w:pPr>
            <w:r w:rsidRPr="00D80D58">
              <w:rPr>
                <w:rFonts w:ascii="Arial" w:hAnsi="Arial" w:cs="Arial"/>
                <w:sz w:val="19"/>
                <w:szCs w:val="19"/>
              </w:rPr>
              <w:t xml:space="preserve">Circular 22/2013/TT-BYT dated 9/8/2013 </w:t>
            </w:r>
          </w:p>
          <w:p w:rsidR="009E6616" w:rsidRPr="00D80D58" w:rsidRDefault="009E6616" w:rsidP="00CA718F">
            <w:pPr>
              <w:pStyle w:val="ColorfulList-Accent11"/>
              <w:numPr>
                <w:ilvl w:val="0"/>
                <w:numId w:val="16"/>
              </w:numPr>
              <w:ind w:left="456"/>
              <w:contextualSpacing w:val="0"/>
              <w:rPr>
                <w:rFonts w:ascii="Arial" w:hAnsi="Arial" w:cs="Arial"/>
                <w:sz w:val="19"/>
                <w:szCs w:val="19"/>
              </w:rPr>
            </w:pPr>
            <w:r w:rsidRPr="00D80D58">
              <w:rPr>
                <w:rFonts w:ascii="Arial" w:hAnsi="Arial" w:cs="Arial"/>
                <w:sz w:val="19"/>
                <w:szCs w:val="19"/>
              </w:rPr>
              <w:t>Circular 30/2014/TT-BYT dated 28/8/2014</w:t>
            </w:r>
          </w:p>
          <w:p w:rsidR="009E6616" w:rsidRPr="00D80D58" w:rsidRDefault="009E6616" w:rsidP="009E6616">
            <w:pPr>
              <w:rPr>
                <w:rFonts w:ascii="Arial" w:hAnsi="Arial" w:cs="Arial"/>
                <w:sz w:val="19"/>
                <w:szCs w:val="19"/>
              </w:rPr>
            </w:pPr>
          </w:p>
          <w:p w:rsidR="009E6616" w:rsidRPr="00D80D58" w:rsidRDefault="009E6616" w:rsidP="009E6616">
            <w:pPr>
              <w:overflowPunct w:val="0"/>
              <w:autoSpaceDE w:val="0"/>
              <w:autoSpaceDN w:val="0"/>
              <w:adjustRightInd w:val="0"/>
              <w:textAlignment w:val="baseline"/>
              <w:rPr>
                <w:rFonts w:ascii="Arial" w:hAnsi="Arial" w:cs="Arial"/>
                <w:sz w:val="19"/>
                <w:szCs w:val="19"/>
              </w:rPr>
            </w:pPr>
          </w:p>
        </w:tc>
        <w:tc>
          <w:tcPr>
            <w:tcW w:w="1980" w:type="dxa"/>
            <w:vMerge/>
            <w:tcBorders>
              <w:left w:val="single" w:sz="4" w:space="0" w:color="auto"/>
              <w:right w:val="single" w:sz="4" w:space="0" w:color="auto"/>
            </w:tcBorders>
          </w:tcPr>
          <w:p w:rsidR="009E6616" w:rsidRPr="00D80D58" w:rsidRDefault="009E6616" w:rsidP="009E6616">
            <w:pPr>
              <w:rPr>
                <w:rFonts w:ascii="Arial" w:hAnsi="Arial" w:cs="Arial"/>
                <w:b/>
                <w:sz w:val="19"/>
                <w:szCs w:val="19"/>
              </w:rPr>
            </w:pPr>
          </w:p>
        </w:tc>
      </w:tr>
      <w:tr w:rsidR="009E6616" w:rsidRPr="00E65146" w:rsidTr="009E6616">
        <w:tc>
          <w:tcPr>
            <w:tcW w:w="1800" w:type="dxa"/>
            <w:vMerge/>
            <w:tcBorders>
              <w:left w:val="single" w:sz="4" w:space="0" w:color="auto"/>
              <w:right w:val="single" w:sz="4" w:space="0" w:color="auto"/>
            </w:tcBorders>
          </w:tcPr>
          <w:p w:rsidR="009E6616" w:rsidRPr="00D80D58" w:rsidRDefault="009E6616" w:rsidP="009E6616">
            <w:pPr>
              <w:rPr>
                <w:rFonts w:ascii="Arial" w:hAnsi="Arial" w:cs="Arial"/>
                <w:sz w:val="19"/>
                <w:szCs w:val="19"/>
              </w:rPr>
            </w:pPr>
          </w:p>
        </w:tc>
        <w:tc>
          <w:tcPr>
            <w:tcW w:w="2736" w:type="dxa"/>
            <w:tcBorders>
              <w:top w:val="single" w:sz="4" w:space="0" w:color="auto"/>
              <w:left w:val="single" w:sz="4" w:space="0" w:color="auto"/>
              <w:bottom w:val="single" w:sz="4" w:space="0" w:color="auto"/>
              <w:right w:val="single" w:sz="4" w:space="0" w:color="auto"/>
            </w:tcBorders>
          </w:tcPr>
          <w:p w:rsidR="009E6616" w:rsidRPr="00D80D58" w:rsidRDefault="009E6616" w:rsidP="009E6616">
            <w:pPr>
              <w:rPr>
                <w:rFonts w:ascii="Arial" w:hAnsi="Arial" w:cs="Arial"/>
                <w:b/>
                <w:sz w:val="19"/>
                <w:szCs w:val="19"/>
              </w:rPr>
            </w:pPr>
            <w:r w:rsidRPr="00D80D58">
              <w:rPr>
                <w:rFonts w:ascii="Arial" w:hAnsi="Arial" w:cs="Arial"/>
                <w:b/>
                <w:sz w:val="19"/>
                <w:szCs w:val="19"/>
              </w:rPr>
              <w:t>Project</w:t>
            </w:r>
          </w:p>
          <w:p w:rsidR="009E6616" w:rsidRPr="00D80D58" w:rsidRDefault="009E6616" w:rsidP="009E6616">
            <w:pPr>
              <w:rPr>
                <w:rFonts w:ascii="Arial" w:hAnsi="Arial" w:cs="Arial"/>
                <w:b/>
                <w:sz w:val="19"/>
                <w:szCs w:val="19"/>
              </w:rPr>
            </w:pPr>
            <w:r w:rsidRPr="00D80D58">
              <w:rPr>
                <w:rFonts w:ascii="Arial" w:hAnsi="Arial" w:cs="Arial"/>
                <w:b/>
                <w:sz w:val="19"/>
                <w:szCs w:val="19"/>
              </w:rPr>
              <w:t xml:space="preserve">By project completion (2015): </w:t>
            </w:r>
          </w:p>
          <w:p w:rsidR="009E6616" w:rsidRPr="00D80D58" w:rsidRDefault="009E6616" w:rsidP="009E6616">
            <w:pPr>
              <w:rPr>
                <w:rFonts w:ascii="Arial" w:hAnsi="Arial" w:cs="Arial"/>
                <w:sz w:val="19"/>
                <w:szCs w:val="19"/>
              </w:rPr>
            </w:pPr>
            <w:r w:rsidRPr="00D80D58">
              <w:rPr>
                <w:rFonts w:ascii="Arial" w:hAnsi="Arial" w:cs="Arial"/>
                <w:sz w:val="19"/>
                <w:szCs w:val="19"/>
              </w:rPr>
              <w:t xml:space="preserve">At least 50 public hospitals licensed under new accreditation system </w:t>
            </w:r>
          </w:p>
          <w:p w:rsidR="009E6616" w:rsidRPr="00D80D58" w:rsidRDefault="009E6616" w:rsidP="009E6616">
            <w:pPr>
              <w:ind w:left="216"/>
              <w:rPr>
                <w:rFonts w:ascii="Arial" w:hAnsi="Arial" w:cs="Arial"/>
                <w:sz w:val="19"/>
                <w:szCs w:val="19"/>
                <w:highlight w:val="yellow"/>
              </w:rPr>
            </w:pPr>
          </w:p>
          <w:p w:rsidR="009E6616" w:rsidRPr="00D80D58" w:rsidRDefault="009E6616" w:rsidP="009E6616">
            <w:pPr>
              <w:rPr>
                <w:rFonts w:ascii="Arial" w:hAnsi="Arial" w:cs="Arial"/>
                <w:sz w:val="19"/>
                <w:szCs w:val="19"/>
                <w:highlight w:val="yellow"/>
              </w:rPr>
            </w:pPr>
          </w:p>
          <w:p w:rsidR="009E6616" w:rsidRPr="00D80D58" w:rsidRDefault="009E6616" w:rsidP="009E6616">
            <w:pPr>
              <w:rPr>
                <w:rFonts w:ascii="Arial" w:hAnsi="Arial" w:cs="Arial"/>
                <w:b/>
                <w:sz w:val="19"/>
                <w:szCs w:val="19"/>
                <w:highlight w:val="yellow"/>
              </w:rPr>
            </w:pPr>
            <w:r w:rsidRPr="00D80D58">
              <w:rPr>
                <w:rFonts w:ascii="Arial" w:hAnsi="Arial" w:cs="Arial"/>
                <w:sz w:val="19"/>
                <w:szCs w:val="19"/>
                <w:highlight w:val="yellow"/>
              </w:rPr>
              <w:t xml:space="preserve"> </w:t>
            </w:r>
          </w:p>
        </w:tc>
        <w:tc>
          <w:tcPr>
            <w:tcW w:w="2664" w:type="dxa"/>
            <w:tcBorders>
              <w:top w:val="single" w:sz="4" w:space="0" w:color="auto"/>
              <w:left w:val="single" w:sz="4" w:space="0" w:color="auto"/>
              <w:bottom w:val="single" w:sz="4" w:space="0" w:color="auto"/>
              <w:right w:val="single" w:sz="4" w:space="0" w:color="auto"/>
            </w:tcBorders>
          </w:tcPr>
          <w:p w:rsidR="009E6616" w:rsidRPr="00D80D58" w:rsidRDefault="009E6616" w:rsidP="009E6616">
            <w:pPr>
              <w:rPr>
                <w:rFonts w:ascii="Arial" w:hAnsi="Arial" w:cs="Arial"/>
                <w:sz w:val="19"/>
                <w:szCs w:val="19"/>
                <w:highlight w:val="yellow"/>
              </w:rPr>
            </w:pPr>
          </w:p>
          <w:p w:rsidR="009E6616" w:rsidRPr="00D80D58" w:rsidRDefault="009E6616" w:rsidP="009E6616">
            <w:pPr>
              <w:rPr>
                <w:rFonts w:ascii="Arial" w:hAnsi="Arial" w:cs="Arial"/>
                <w:sz w:val="19"/>
                <w:szCs w:val="19"/>
                <w:highlight w:val="yellow"/>
              </w:rPr>
            </w:pPr>
          </w:p>
          <w:p w:rsidR="009F3F9A" w:rsidRPr="00D80D58" w:rsidRDefault="009F3F9A" w:rsidP="009E6616">
            <w:pPr>
              <w:rPr>
                <w:rFonts w:ascii="Arial" w:hAnsi="Arial" w:cs="Arial"/>
                <w:sz w:val="19"/>
                <w:szCs w:val="19"/>
                <w:highlight w:val="yellow"/>
              </w:rPr>
            </w:pPr>
          </w:p>
          <w:p w:rsidR="009F3F9A" w:rsidRPr="00D80D58" w:rsidRDefault="009F3F9A" w:rsidP="009E6616">
            <w:pPr>
              <w:rPr>
                <w:rFonts w:ascii="Arial" w:hAnsi="Arial" w:cs="Arial"/>
                <w:sz w:val="19"/>
                <w:szCs w:val="19"/>
              </w:rPr>
            </w:pPr>
            <w:r w:rsidRPr="00D80D58">
              <w:rPr>
                <w:rFonts w:ascii="Arial" w:hAnsi="Arial" w:cs="Arial"/>
                <w:sz w:val="19"/>
                <w:szCs w:val="19"/>
              </w:rPr>
              <w:t>822 public hospitals facilities registered</w:t>
            </w:r>
          </w:p>
          <w:p w:rsidR="009F3F9A" w:rsidRPr="00D80D58" w:rsidRDefault="009F3F9A" w:rsidP="009E6616">
            <w:pPr>
              <w:rPr>
                <w:rFonts w:ascii="Arial" w:hAnsi="Arial" w:cs="Arial"/>
                <w:sz w:val="19"/>
                <w:szCs w:val="19"/>
                <w:highlight w:val="yellow"/>
              </w:rPr>
            </w:pPr>
          </w:p>
          <w:p w:rsidR="009E6616" w:rsidRPr="00D80D58" w:rsidRDefault="009E6616" w:rsidP="009E6616">
            <w:pPr>
              <w:rPr>
                <w:rFonts w:ascii="Arial" w:hAnsi="Arial" w:cs="Arial"/>
                <w:color w:val="FF0000"/>
                <w:sz w:val="19"/>
                <w:szCs w:val="19"/>
              </w:rPr>
            </w:pPr>
          </w:p>
          <w:p w:rsidR="009E6616" w:rsidRPr="00D80D58" w:rsidRDefault="009E6616" w:rsidP="009E6616">
            <w:pPr>
              <w:rPr>
                <w:rFonts w:ascii="Arial" w:hAnsi="Arial" w:cs="Arial"/>
                <w:sz w:val="19"/>
                <w:szCs w:val="19"/>
                <w:highlight w:val="yellow"/>
              </w:rPr>
            </w:pPr>
          </w:p>
          <w:p w:rsidR="009E6616" w:rsidRPr="00D80D58" w:rsidRDefault="009E6616" w:rsidP="009E6616">
            <w:pPr>
              <w:rPr>
                <w:rFonts w:ascii="Arial" w:hAnsi="Arial" w:cs="Arial"/>
                <w:sz w:val="19"/>
                <w:szCs w:val="19"/>
                <w:highlight w:val="yellow"/>
              </w:rPr>
            </w:pPr>
          </w:p>
          <w:p w:rsidR="009E6616" w:rsidRPr="00D80D58" w:rsidRDefault="009E6616" w:rsidP="009E6616">
            <w:pPr>
              <w:rPr>
                <w:rFonts w:ascii="Arial" w:hAnsi="Arial" w:cs="Arial"/>
                <w:sz w:val="19"/>
                <w:szCs w:val="19"/>
                <w:highlight w:val="yellow"/>
              </w:rPr>
            </w:pPr>
          </w:p>
        </w:tc>
        <w:tc>
          <w:tcPr>
            <w:tcW w:w="1980" w:type="dxa"/>
            <w:vMerge/>
            <w:tcBorders>
              <w:left w:val="single" w:sz="4" w:space="0" w:color="auto"/>
              <w:right w:val="single" w:sz="4" w:space="0" w:color="auto"/>
            </w:tcBorders>
          </w:tcPr>
          <w:p w:rsidR="009E6616" w:rsidRPr="00D80D58" w:rsidRDefault="009E6616" w:rsidP="009E6616">
            <w:pPr>
              <w:rPr>
                <w:rFonts w:ascii="Arial" w:hAnsi="Arial" w:cs="Arial"/>
                <w:b/>
                <w:sz w:val="19"/>
                <w:szCs w:val="19"/>
              </w:rPr>
            </w:pPr>
          </w:p>
        </w:tc>
      </w:tr>
      <w:tr w:rsidR="009E6616" w:rsidRPr="00E65146" w:rsidTr="009E6616">
        <w:tc>
          <w:tcPr>
            <w:tcW w:w="1800" w:type="dxa"/>
            <w:vMerge/>
            <w:tcBorders>
              <w:left w:val="single" w:sz="4" w:space="0" w:color="auto"/>
              <w:right w:val="single" w:sz="4" w:space="0" w:color="auto"/>
            </w:tcBorders>
          </w:tcPr>
          <w:p w:rsidR="009E6616" w:rsidRPr="00D80D58" w:rsidRDefault="009E6616" w:rsidP="009E6616">
            <w:pPr>
              <w:rPr>
                <w:rFonts w:ascii="Arial" w:hAnsi="Arial" w:cs="Arial"/>
                <w:sz w:val="19"/>
                <w:szCs w:val="19"/>
              </w:rPr>
            </w:pPr>
          </w:p>
        </w:tc>
        <w:tc>
          <w:tcPr>
            <w:tcW w:w="2736" w:type="dxa"/>
            <w:tcBorders>
              <w:top w:val="single" w:sz="4" w:space="0" w:color="auto"/>
              <w:left w:val="single" w:sz="4" w:space="0" w:color="auto"/>
              <w:bottom w:val="single" w:sz="4" w:space="0" w:color="auto"/>
              <w:right w:val="single" w:sz="4" w:space="0" w:color="auto"/>
            </w:tcBorders>
          </w:tcPr>
          <w:p w:rsidR="009E6616" w:rsidRPr="00D80D58" w:rsidRDefault="009E6616" w:rsidP="009E6616">
            <w:pPr>
              <w:rPr>
                <w:rFonts w:ascii="Arial" w:hAnsi="Arial" w:cs="Arial"/>
                <w:sz w:val="19"/>
                <w:szCs w:val="19"/>
              </w:rPr>
            </w:pPr>
            <w:r w:rsidRPr="00D80D58">
              <w:rPr>
                <w:rFonts w:ascii="Arial" w:hAnsi="Arial" w:cs="Arial"/>
                <w:sz w:val="19"/>
                <w:szCs w:val="19"/>
              </w:rPr>
              <w:t>A health professional registration system established with all new graduating doctors and nurses registered in the year they graduate.</w:t>
            </w:r>
          </w:p>
          <w:p w:rsidR="009E6616" w:rsidRPr="00D80D58" w:rsidRDefault="009E6616" w:rsidP="009E6616">
            <w:pPr>
              <w:ind w:left="216"/>
              <w:rPr>
                <w:rFonts w:ascii="Arial" w:hAnsi="Arial" w:cs="Arial"/>
                <w:sz w:val="19"/>
                <w:szCs w:val="19"/>
              </w:rPr>
            </w:pPr>
          </w:p>
          <w:p w:rsidR="009E6616" w:rsidRPr="00D80D58" w:rsidRDefault="009E6616" w:rsidP="009E6616">
            <w:pPr>
              <w:rPr>
                <w:rFonts w:ascii="Arial" w:hAnsi="Arial" w:cs="Arial"/>
                <w:b/>
                <w:sz w:val="19"/>
                <w:szCs w:val="19"/>
              </w:rPr>
            </w:pPr>
          </w:p>
        </w:tc>
        <w:tc>
          <w:tcPr>
            <w:tcW w:w="2664" w:type="dxa"/>
            <w:tcBorders>
              <w:top w:val="single" w:sz="4" w:space="0" w:color="auto"/>
              <w:left w:val="single" w:sz="4" w:space="0" w:color="auto"/>
              <w:bottom w:val="single" w:sz="4" w:space="0" w:color="auto"/>
              <w:right w:val="single" w:sz="4" w:space="0" w:color="auto"/>
            </w:tcBorders>
          </w:tcPr>
          <w:p w:rsidR="009E6616" w:rsidRPr="00D80D58" w:rsidRDefault="009E6616" w:rsidP="009E6616">
            <w:pPr>
              <w:rPr>
                <w:rFonts w:ascii="Arial" w:hAnsi="Arial" w:cs="Arial"/>
                <w:sz w:val="19"/>
                <w:szCs w:val="19"/>
              </w:rPr>
            </w:pPr>
            <w:r w:rsidRPr="00D80D58">
              <w:rPr>
                <w:rFonts w:ascii="Arial" w:hAnsi="Arial" w:cs="Arial"/>
                <w:sz w:val="19"/>
                <w:szCs w:val="19"/>
              </w:rPr>
              <w:t>Core system for health professional registration established, mandated for national use, and operational centrally and in 63 provinces.</w:t>
            </w: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r w:rsidRPr="00D80D58">
              <w:rPr>
                <w:rFonts w:ascii="Arial" w:hAnsi="Arial" w:cs="Arial"/>
                <w:sz w:val="19"/>
                <w:szCs w:val="19"/>
              </w:rPr>
              <w:t>(Official Letter No. 1356/BYT-KCB on 3/15/2013 instructing the use of the registration and licensing database by all 63 provinces.)</w:t>
            </w:r>
          </w:p>
          <w:p w:rsidR="009E6616" w:rsidRPr="00D80D58" w:rsidRDefault="009E6616" w:rsidP="009E6616">
            <w:pPr>
              <w:rPr>
                <w:rFonts w:ascii="Arial" w:hAnsi="Arial" w:cs="Arial"/>
                <w:sz w:val="19"/>
                <w:szCs w:val="19"/>
              </w:rPr>
            </w:pPr>
          </w:p>
        </w:tc>
        <w:tc>
          <w:tcPr>
            <w:tcW w:w="1980" w:type="dxa"/>
            <w:vMerge/>
            <w:tcBorders>
              <w:left w:val="single" w:sz="4" w:space="0" w:color="auto"/>
              <w:right w:val="single" w:sz="4" w:space="0" w:color="auto"/>
            </w:tcBorders>
          </w:tcPr>
          <w:p w:rsidR="009E6616" w:rsidRPr="00D80D58" w:rsidRDefault="009E6616" w:rsidP="009E6616">
            <w:pPr>
              <w:rPr>
                <w:rFonts w:ascii="Arial" w:hAnsi="Arial" w:cs="Arial"/>
                <w:b/>
                <w:sz w:val="19"/>
                <w:szCs w:val="19"/>
              </w:rPr>
            </w:pPr>
          </w:p>
        </w:tc>
      </w:tr>
      <w:tr w:rsidR="009E6616" w:rsidRPr="00E65146" w:rsidTr="009E6616">
        <w:tc>
          <w:tcPr>
            <w:tcW w:w="1800" w:type="dxa"/>
            <w:vMerge/>
            <w:tcBorders>
              <w:left w:val="single" w:sz="4" w:space="0" w:color="auto"/>
              <w:bottom w:val="single" w:sz="4" w:space="0" w:color="auto"/>
              <w:right w:val="single" w:sz="4" w:space="0" w:color="auto"/>
            </w:tcBorders>
          </w:tcPr>
          <w:p w:rsidR="009E6616" w:rsidRPr="00D80D58" w:rsidRDefault="009E6616" w:rsidP="009E6616">
            <w:pPr>
              <w:rPr>
                <w:rFonts w:ascii="Arial" w:hAnsi="Arial" w:cs="Arial"/>
                <w:sz w:val="19"/>
                <w:szCs w:val="19"/>
              </w:rPr>
            </w:pPr>
          </w:p>
        </w:tc>
        <w:tc>
          <w:tcPr>
            <w:tcW w:w="2736" w:type="dxa"/>
            <w:tcBorders>
              <w:top w:val="single" w:sz="4" w:space="0" w:color="auto"/>
              <w:left w:val="single" w:sz="4" w:space="0" w:color="auto"/>
              <w:bottom w:val="single" w:sz="4" w:space="0" w:color="auto"/>
              <w:right w:val="single" w:sz="4" w:space="0" w:color="auto"/>
            </w:tcBorders>
          </w:tcPr>
          <w:p w:rsidR="009E6616" w:rsidRPr="00D80D58" w:rsidRDefault="009E6616" w:rsidP="00113D51">
            <w:pPr>
              <w:rPr>
                <w:rFonts w:ascii="Arial" w:hAnsi="Arial" w:cs="Arial"/>
                <w:b/>
                <w:sz w:val="19"/>
                <w:szCs w:val="19"/>
              </w:rPr>
            </w:pPr>
            <w:r w:rsidRPr="00D80D58">
              <w:rPr>
                <w:rFonts w:ascii="Arial" w:hAnsi="Arial" w:cs="Arial"/>
                <w:sz w:val="19"/>
                <w:szCs w:val="19"/>
              </w:rPr>
              <w:t xml:space="preserve">At least 10% increase of women at senior levels in MOH </w:t>
            </w:r>
          </w:p>
        </w:tc>
        <w:tc>
          <w:tcPr>
            <w:tcW w:w="2664" w:type="dxa"/>
            <w:tcBorders>
              <w:top w:val="single" w:sz="4" w:space="0" w:color="auto"/>
              <w:left w:val="single" w:sz="4" w:space="0" w:color="auto"/>
              <w:bottom w:val="single" w:sz="4" w:space="0" w:color="auto"/>
              <w:right w:val="single" w:sz="4" w:space="0" w:color="auto"/>
            </w:tcBorders>
          </w:tcPr>
          <w:p w:rsidR="009E6616" w:rsidRPr="00D80D58" w:rsidRDefault="009F3F9A" w:rsidP="009E6616">
            <w:pPr>
              <w:rPr>
                <w:rFonts w:ascii="Arial" w:hAnsi="Arial" w:cs="Arial"/>
                <w:sz w:val="19"/>
                <w:szCs w:val="19"/>
              </w:rPr>
            </w:pPr>
            <w:r w:rsidRPr="00D80D58">
              <w:rPr>
                <w:rFonts w:ascii="Arial" w:hAnsi="Arial" w:cs="Arial"/>
                <w:sz w:val="19"/>
                <w:szCs w:val="19"/>
              </w:rPr>
              <w:t>Data not available at time of ICE</w:t>
            </w:r>
          </w:p>
        </w:tc>
        <w:tc>
          <w:tcPr>
            <w:tcW w:w="1980" w:type="dxa"/>
            <w:vMerge/>
            <w:tcBorders>
              <w:left w:val="single" w:sz="4" w:space="0" w:color="auto"/>
              <w:bottom w:val="single" w:sz="4" w:space="0" w:color="auto"/>
              <w:right w:val="single" w:sz="4" w:space="0" w:color="auto"/>
            </w:tcBorders>
          </w:tcPr>
          <w:p w:rsidR="009E6616" w:rsidRPr="00D80D58" w:rsidRDefault="009E6616" w:rsidP="009E6616">
            <w:pPr>
              <w:rPr>
                <w:rFonts w:ascii="Arial" w:hAnsi="Arial" w:cs="Arial"/>
                <w:b/>
                <w:sz w:val="19"/>
                <w:szCs w:val="19"/>
              </w:rPr>
            </w:pPr>
          </w:p>
        </w:tc>
      </w:tr>
      <w:tr w:rsidR="009E6616" w:rsidRPr="00E65146" w:rsidTr="009E6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0" w:type="dxa"/>
            <w:vMerge w:val="restart"/>
            <w:tcBorders>
              <w:top w:val="single" w:sz="4" w:space="0" w:color="auto"/>
              <w:left w:val="single" w:sz="4" w:space="0" w:color="auto"/>
              <w:right w:val="single" w:sz="4" w:space="0" w:color="auto"/>
            </w:tcBorders>
          </w:tcPr>
          <w:p w:rsidR="009E6616" w:rsidRPr="00D80D58" w:rsidRDefault="009E6616" w:rsidP="009E6616">
            <w:pPr>
              <w:rPr>
                <w:rFonts w:ascii="Arial" w:hAnsi="Arial" w:cs="Arial"/>
                <w:sz w:val="19"/>
                <w:szCs w:val="19"/>
              </w:rPr>
            </w:pPr>
            <w:r w:rsidRPr="00D80D58">
              <w:rPr>
                <w:rFonts w:ascii="Arial" w:hAnsi="Arial" w:cs="Arial"/>
                <w:sz w:val="19"/>
                <w:szCs w:val="19"/>
              </w:rPr>
              <w:t xml:space="preserve">2. Higher quality of training of human resources </w:t>
            </w: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tc>
        <w:tc>
          <w:tcPr>
            <w:tcW w:w="2736" w:type="dxa"/>
            <w:tcBorders>
              <w:top w:val="single" w:sz="4" w:space="0" w:color="auto"/>
              <w:left w:val="single" w:sz="4" w:space="0" w:color="auto"/>
              <w:bottom w:val="single" w:sz="4" w:space="0" w:color="auto"/>
              <w:right w:val="single" w:sz="4" w:space="0" w:color="auto"/>
            </w:tcBorders>
          </w:tcPr>
          <w:p w:rsidR="009E6616" w:rsidRPr="00D80D58" w:rsidRDefault="009E6616" w:rsidP="009E6616">
            <w:pPr>
              <w:rPr>
                <w:rFonts w:ascii="Arial" w:hAnsi="Arial" w:cs="Arial"/>
                <w:b/>
                <w:color w:val="FF0000"/>
                <w:sz w:val="19"/>
                <w:szCs w:val="19"/>
              </w:rPr>
            </w:pPr>
            <w:r w:rsidRPr="00D80D58">
              <w:rPr>
                <w:rFonts w:ascii="Arial" w:hAnsi="Arial" w:cs="Arial"/>
                <w:b/>
                <w:sz w:val="19"/>
                <w:szCs w:val="19"/>
              </w:rPr>
              <w:t>Program</w:t>
            </w:r>
          </w:p>
          <w:p w:rsidR="009E6616" w:rsidRPr="00D80D58" w:rsidRDefault="009E6616" w:rsidP="009E6616">
            <w:pPr>
              <w:rPr>
                <w:rFonts w:ascii="Arial" w:hAnsi="Arial" w:cs="Arial"/>
                <w:sz w:val="19"/>
                <w:szCs w:val="19"/>
              </w:rPr>
            </w:pPr>
            <w:r w:rsidRPr="00D80D58">
              <w:rPr>
                <w:rFonts w:ascii="Arial" w:hAnsi="Arial" w:cs="Arial"/>
                <w:sz w:val="19"/>
                <w:szCs w:val="19"/>
              </w:rPr>
              <w:t>By February 2010, the Master Plan for teaching institutions approved by the MOH</w:t>
            </w:r>
          </w:p>
          <w:p w:rsidR="009E6616" w:rsidRPr="00D80D58" w:rsidRDefault="009E6616" w:rsidP="009E6616">
            <w:pPr>
              <w:overflowPunct w:val="0"/>
              <w:autoSpaceDE w:val="0"/>
              <w:autoSpaceDN w:val="0"/>
              <w:adjustRightInd w:val="0"/>
              <w:textAlignment w:val="baseline"/>
              <w:rPr>
                <w:rFonts w:ascii="Arial" w:hAnsi="Arial" w:cs="Arial"/>
                <w:sz w:val="19"/>
                <w:szCs w:val="19"/>
              </w:rPr>
            </w:pPr>
          </w:p>
        </w:tc>
        <w:tc>
          <w:tcPr>
            <w:tcW w:w="2664" w:type="dxa"/>
            <w:tcBorders>
              <w:top w:val="single" w:sz="4" w:space="0" w:color="auto"/>
              <w:left w:val="single" w:sz="4" w:space="0" w:color="auto"/>
              <w:bottom w:val="single" w:sz="4" w:space="0" w:color="auto"/>
              <w:right w:val="single" w:sz="4" w:space="0" w:color="auto"/>
            </w:tcBorders>
          </w:tcPr>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r w:rsidRPr="00D80D58">
              <w:rPr>
                <w:rFonts w:ascii="Arial" w:hAnsi="Arial" w:cs="Arial"/>
                <w:sz w:val="19"/>
                <w:szCs w:val="19"/>
              </w:rPr>
              <w:t>Decision 816/QD-BYT dated 16/3/2012 on the Master Plan for Health HR Development 2012-2020</w:t>
            </w:r>
          </w:p>
          <w:p w:rsidR="009E6616" w:rsidRPr="00D80D58" w:rsidRDefault="009E6616" w:rsidP="009E6616">
            <w:pPr>
              <w:ind w:left="216"/>
              <w:rPr>
                <w:rFonts w:ascii="Arial" w:hAnsi="Arial" w:cs="Arial"/>
                <w:sz w:val="19"/>
                <w:szCs w:val="19"/>
              </w:rPr>
            </w:pPr>
          </w:p>
          <w:p w:rsidR="009E6616" w:rsidRPr="00D80D58" w:rsidRDefault="009E6616" w:rsidP="009E6616">
            <w:pPr>
              <w:ind w:left="216"/>
              <w:rPr>
                <w:rFonts w:ascii="Arial" w:hAnsi="Arial" w:cs="Arial"/>
                <w:sz w:val="19"/>
                <w:szCs w:val="19"/>
              </w:rPr>
            </w:pPr>
          </w:p>
        </w:tc>
        <w:tc>
          <w:tcPr>
            <w:tcW w:w="1980" w:type="dxa"/>
            <w:vMerge w:val="restart"/>
            <w:tcBorders>
              <w:top w:val="single" w:sz="4" w:space="0" w:color="auto"/>
              <w:left w:val="single" w:sz="4" w:space="0" w:color="auto"/>
              <w:right w:val="single" w:sz="4" w:space="0" w:color="auto"/>
            </w:tcBorders>
          </w:tcPr>
          <w:p w:rsidR="009E6616" w:rsidRPr="00D80D58" w:rsidRDefault="009E6616" w:rsidP="009E6616">
            <w:pPr>
              <w:rPr>
                <w:rFonts w:ascii="Arial" w:hAnsi="Arial" w:cs="Arial"/>
                <w:b/>
                <w:sz w:val="19"/>
                <w:szCs w:val="19"/>
              </w:rPr>
            </w:pPr>
            <w:r w:rsidRPr="00D80D58">
              <w:rPr>
                <w:rFonts w:ascii="Arial" w:hAnsi="Arial" w:cs="Arial"/>
                <w:b/>
                <w:sz w:val="19"/>
                <w:szCs w:val="19"/>
              </w:rPr>
              <w:t xml:space="preserve">Assumptions </w:t>
            </w:r>
          </w:p>
          <w:p w:rsidR="009E6616" w:rsidRPr="00D80D58" w:rsidRDefault="009E6616" w:rsidP="00CA718F">
            <w:pPr>
              <w:numPr>
                <w:ilvl w:val="0"/>
                <w:numId w:val="9"/>
              </w:numPr>
              <w:rPr>
                <w:rFonts w:ascii="Arial" w:hAnsi="Arial" w:cs="Arial"/>
                <w:sz w:val="19"/>
                <w:szCs w:val="19"/>
              </w:rPr>
            </w:pPr>
            <w:r w:rsidRPr="00D80D58">
              <w:rPr>
                <w:rFonts w:ascii="Arial" w:hAnsi="Arial" w:cs="Arial"/>
                <w:sz w:val="19"/>
                <w:szCs w:val="19"/>
              </w:rPr>
              <w:t>Staff able to participate in training</w:t>
            </w:r>
          </w:p>
          <w:p w:rsidR="009E6616" w:rsidRPr="00D80D58" w:rsidRDefault="009E6616" w:rsidP="00CA718F">
            <w:pPr>
              <w:numPr>
                <w:ilvl w:val="0"/>
                <w:numId w:val="9"/>
              </w:numPr>
              <w:rPr>
                <w:rFonts w:ascii="Arial" w:hAnsi="Arial" w:cs="Arial"/>
                <w:sz w:val="19"/>
                <w:szCs w:val="19"/>
              </w:rPr>
            </w:pPr>
            <w:r w:rsidRPr="00D80D58">
              <w:rPr>
                <w:rFonts w:ascii="Arial" w:hAnsi="Arial" w:cs="Arial"/>
                <w:sz w:val="19"/>
                <w:szCs w:val="19"/>
              </w:rPr>
              <w:t xml:space="preserve">Training institutions willing to participate and commit resources and capacity </w:t>
            </w:r>
          </w:p>
          <w:p w:rsidR="009E6616" w:rsidRPr="00D80D58" w:rsidRDefault="009E6616" w:rsidP="00CA718F">
            <w:pPr>
              <w:numPr>
                <w:ilvl w:val="0"/>
                <w:numId w:val="9"/>
              </w:numPr>
              <w:rPr>
                <w:rFonts w:ascii="Arial" w:hAnsi="Arial" w:cs="Arial"/>
                <w:sz w:val="19"/>
                <w:szCs w:val="19"/>
              </w:rPr>
            </w:pPr>
            <w:r w:rsidRPr="00D80D58">
              <w:rPr>
                <w:rFonts w:ascii="Arial" w:hAnsi="Arial" w:cs="Arial"/>
                <w:sz w:val="19"/>
                <w:szCs w:val="19"/>
              </w:rPr>
              <w:t>Supervisory system supports quality improvement, not simply documenting strengths and weaknesses</w:t>
            </w:r>
          </w:p>
          <w:p w:rsidR="009E6616" w:rsidRPr="00D80D58" w:rsidRDefault="009E6616" w:rsidP="00CA718F">
            <w:pPr>
              <w:numPr>
                <w:ilvl w:val="0"/>
                <w:numId w:val="9"/>
              </w:numPr>
              <w:rPr>
                <w:rFonts w:ascii="Arial" w:hAnsi="Arial" w:cs="Arial"/>
                <w:sz w:val="19"/>
                <w:szCs w:val="19"/>
              </w:rPr>
            </w:pPr>
            <w:r w:rsidRPr="00D80D58">
              <w:rPr>
                <w:rFonts w:ascii="Arial" w:hAnsi="Arial" w:cs="Arial"/>
                <w:sz w:val="19"/>
                <w:szCs w:val="19"/>
              </w:rPr>
              <w:t>Rural workforce interested in strengthening professional identity</w:t>
            </w:r>
          </w:p>
          <w:p w:rsidR="009E6616" w:rsidRPr="00D80D58" w:rsidRDefault="009E6616" w:rsidP="009E6616">
            <w:pPr>
              <w:rPr>
                <w:rFonts w:ascii="Arial" w:hAnsi="Arial" w:cs="Arial"/>
                <w:b/>
                <w:sz w:val="19"/>
                <w:szCs w:val="19"/>
              </w:rPr>
            </w:pPr>
          </w:p>
          <w:p w:rsidR="009E6616" w:rsidRPr="00D80D58" w:rsidRDefault="009E6616" w:rsidP="009E6616">
            <w:pPr>
              <w:rPr>
                <w:rFonts w:ascii="Arial" w:hAnsi="Arial" w:cs="Arial"/>
                <w:b/>
                <w:sz w:val="19"/>
                <w:szCs w:val="19"/>
              </w:rPr>
            </w:pPr>
            <w:r w:rsidRPr="00D80D58">
              <w:rPr>
                <w:rFonts w:ascii="Arial" w:hAnsi="Arial" w:cs="Arial"/>
                <w:b/>
                <w:sz w:val="19"/>
                <w:szCs w:val="19"/>
              </w:rPr>
              <w:t>Risks</w:t>
            </w:r>
          </w:p>
          <w:p w:rsidR="009E6616" w:rsidRPr="00D80D58" w:rsidRDefault="009E6616" w:rsidP="00CA718F">
            <w:pPr>
              <w:numPr>
                <w:ilvl w:val="0"/>
                <w:numId w:val="9"/>
              </w:numPr>
              <w:rPr>
                <w:rFonts w:ascii="Arial" w:hAnsi="Arial" w:cs="Arial"/>
                <w:sz w:val="19"/>
                <w:szCs w:val="19"/>
              </w:rPr>
            </w:pPr>
            <w:r w:rsidRPr="00D80D58">
              <w:rPr>
                <w:rFonts w:ascii="Arial" w:hAnsi="Arial" w:cs="Arial"/>
                <w:sz w:val="19"/>
                <w:szCs w:val="19"/>
              </w:rPr>
              <w:t>Participation of women and Ethnic Minority candidates in training limited by lack of pre-requisites.</w:t>
            </w:r>
          </w:p>
          <w:p w:rsidR="009E6616" w:rsidRPr="00D80D58" w:rsidRDefault="009E6616" w:rsidP="00CA718F">
            <w:pPr>
              <w:numPr>
                <w:ilvl w:val="0"/>
                <w:numId w:val="9"/>
              </w:numPr>
              <w:rPr>
                <w:rFonts w:ascii="Arial" w:hAnsi="Arial" w:cs="Arial"/>
                <w:sz w:val="19"/>
                <w:szCs w:val="19"/>
              </w:rPr>
            </w:pPr>
            <w:r w:rsidRPr="00D80D58">
              <w:rPr>
                <w:rFonts w:ascii="Arial" w:hAnsi="Arial" w:cs="Arial"/>
                <w:sz w:val="19"/>
                <w:szCs w:val="19"/>
              </w:rPr>
              <w:t>Gap between strong and weaker training institutions widens</w:t>
            </w:r>
          </w:p>
          <w:p w:rsidR="009E6616" w:rsidRPr="00D80D58" w:rsidRDefault="009E6616" w:rsidP="00CA718F">
            <w:pPr>
              <w:numPr>
                <w:ilvl w:val="0"/>
                <w:numId w:val="9"/>
              </w:numPr>
              <w:rPr>
                <w:rFonts w:ascii="Arial" w:hAnsi="Arial" w:cs="Arial"/>
                <w:sz w:val="19"/>
                <w:szCs w:val="19"/>
              </w:rPr>
            </w:pPr>
            <w:r w:rsidRPr="00D80D58">
              <w:rPr>
                <w:rFonts w:ascii="Arial" w:hAnsi="Arial" w:cs="Arial"/>
                <w:sz w:val="19"/>
                <w:szCs w:val="19"/>
              </w:rPr>
              <w:t>Supervision and accreditation activities constrained by lack of capable staff.</w:t>
            </w:r>
          </w:p>
          <w:p w:rsidR="009E6616" w:rsidRPr="00D80D58" w:rsidRDefault="009E6616" w:rsidP="00CA718F">
            <w:pPr>
              <w:numPr>
                <w:ilvl w:val="0"/>
                <w:numId w:val="9"/>
              </w:numPr>
              <w:rPr>
                <w:rFonts w:ascii="Arial" w:hAnsi="Arial" w:cs="Arial"/>
                <w:sz w:val="19"/>
                <w:szCs w:val="19"/>
              </w:rPr>
            </w:pPr>
            <w:r w:rsidRPr="00D80D58">
              <w:rPr>
                <w:rFonts w:ascii="Arial" w:hAnsi="Arial" w:cs="Arial"/>
                <w:sz w:val="19"/>
                <w:szCs w:val="19"/>
              </w:rPr>
              <w:t>Institutions cannot release staff to participate in activities.</w:t>
            </w:r>
          </w:p>
          <w:p w:rsidR="009E6616" w:rsidRPr="00D80D58" w:rsidRDefault="009E6616" w:rsidP="00CA718F">
            <w:pPr>
              <w:numPr>
                <w:ilvl w:val="0"/>
                <w:numId w:val="9"/>
              </w:numPr>
              <w:rPr>
                <w:rFonts w:ascii="Arial" w:hAnsi="Arial" w:cs="Arial"/>
                <w:sz w:val="19"/>
                <w:szCs w:val="19"/>
              </w:rPr>
            </w:pPr>
            <w:r w:rsidRPr="00D80D58">
              <w:rPr>
                <w:rFonts w:ascii="Arial" w:hAnsi="Arial" w:cs="Arial"/>
                <w:sz w:val="19"/>
                <w:szCs w:val="19"/>
              </w:rPr>
              <w:t>Incentives or support insufficient to ensure participation of Ethnic Minority students in training.</w:t>
            </w:r>
          </w:p>
          <w:p w:rsidR="009E6616" w:rsidRPr="00D80D58" w:rsidRDefault="009E6616" w:rsidP="00CA718F">
            <w:pPr>
              <w:numPr>
                <w:ilvl w:val="0"/>
                <w:numId w:val="9"/>
              </w:numPr>
              <w:rPr>
                <w:rFonts w:ascii="Arial" w:hAnsi="Arial" w:cs="Arial"/>
                <w:sz w:val="19"/>
                <w:szCs w:val="19"/>
              </w:rPr>
            </w:pPr>
            <w:r w:rsidRPr="00D80D58">
              <w:rPr>
                <w:rFonts w:ascii="Arial" w:hAnsi="Arial" w:cs="Arial"/>
                <w:sz w:val="19"/>
                <w:szCs w:val="19"/>
              </w:rPr>
              <w:t>Ethnic Minority graduates do not return to work in rural areas.</w:t>
            </w:r>
          </w:p>
          <w:p w:rsidR="009E6616" w:rsidRPr="00D80D58" w:rsidRDefault="009E6616" w:rsidP="00CA718F">
            <w:pPr>
              <w:numPr>
                <w:ilvl w:val="0"/>
                <w:numId w:val="9"/>
              </w:numPr>
              <w:rPr>
                <w:rFonts w:ascii="Arial" w:hAnsi="Arial" w:cs="Arial"/>
                <w:sz w:val="19"/>
                <w:szCs w:val="19"/>
              </w:rPr>
            </w:pPr>
            <w:r w:rsidRPr="00D80D58">
              <w:rPr>
                <w:rFonts w:ascii="Arial" w:hAnsi="Arial" w:cs="Arial"/>
                <w:sz w:val="19"/>
                <w:szCs w:val="19"/>
              </w:rPr>
              <w:t>Inadequate intake of minority candidates enrolled in the special entry for the planned training programs</w:t>
            </w:r>
          </w:p>
        </w:tc>
      </w:tr>
      <w:tr w:rsidR="009E6616" w:rsidRPr="00E65146" w:rsidTr="009E6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0" w:type="dxa"/>
            <w:vMerge/>
            <w:tcBorders>
              <w:left w:val="single" w:sz="4" w:space="0" w:color="auto"/>
              <w:right w:val="single" w:sz="4" w:space="0" w:color="auto"/>
            </w:tcBorders>
          </w:tcPr>
          <w:p w:rsidR="009E6616" w:rsidRPr="00D80D58" w:rsidRDefault="009E6616" w:rsidP="009E6616">
            <w:pPr>
              <w:rPr>
                <w:rFonts w:ascii="Arial" w:hAnsi="Arial" w:cs="Arial"/>
                <w:sz w:val="19"/>
                <w:szCs w:val="19"/>
              </w:rPr>
            </w:pPr>
          </w:p>
        </w:tc>
        <w:tc>
          <w:tcPr>
            <w:tcW w:w="2736" w:type="dxa"/>
            <w:tcBorders>
              <w:top w:val="single" w:sz="4" w:space="0" w:color="auto"/>
              <w:left w:val="single" w:sz="4" w:space="0" w:color="auto"/>
              <w:bottom w:val="single" w:sz="4" w:space="0" w:color="auto"/>
              <w:right w:val="single" w:sz="4" w:space="0" w:color="auto"/>
            </w:tcBorders>
          </w:tcPr>
          <w:p w:rsidR="009E6616" w:rsidRPr="00D80D58" w:rsidRDefault="009E6616" w:rsidP="009E6616">
            <w:pPr>
              <w:rPr>
                <w:rFonts w:ascii="Arial" w:hAnsi="Arial" w:cs="Arial"/>
                <w:sz w:val="19"/>
                <w:szCs w:val="19"/>
              </w:rPr>
            </w:pPr>
            <w:r w:rsidRPr="00D80D58">
              <w:rPr>
                <w:rFonts w:ascii="Arial" w:hAnsi="Arial" w:cs="Arial"/>
                <w:sz w:val="19"/>
                <w:szCs w:val="19"/>
              </w:rPr>
              <w:t>By November 2009, the LET approved by the National Assembly with provisions for accreditation of training institutions and continuing education.</w:t>
            </w:r>
          </w:p>
        </w:tc>
        <w:tc>
          <w:tcPr>
            <w:tcW w:w="2664" w:type="dxa"/>
            <w:tcBorders>
              <w:top w:val="single" w:sz="4" w:space="0" w:color="auto"/>
              <w:left w:val="single" w:sz="4" w:space="0" w:color="auto"/>
              <w:bottom w:val="single" w:sz="4" w:space="0" w:color="auto"/>
              <w:right w:val="single" w:sz="4" w:space="0" w:color="auto"/>
            </w:tcBorders>
          </w:tcPr>
          <w:p w:rsidR="009E6616" w:rsidRPr="00D80D58" w:rsidRDefault="009E6616" w:rsidP="009E6616">
            <w:pPr>
              <w:rPr>
                <w:rFonts w:ascii="Arial" w:hAnsi="Arial" w:cs="Arial"/>
                <w:sz w:val="19"/>
                <w:szCs w:val="19"/>
              </w:rPr>
            </w:pPr>
            <w:r w:rsidRPr="00D80D58">
              <w:rPr>
                <w:rFonts w:ascii="Arial" w:hAnsi="Arial" w:cs="Arial"/>
                <w:sz w:val="19"/>
                <w:szCs w:val="19"/>
              </w:rPr>
              <w:t>The LET approved on 23/11/2009 and effective from 1/2011. The LET includes articles relating to CME for health professionals</w:t>
            </w:r>
          </w:p>
          <w:p w:rsidR="009E6616" w:rsidRPr="00D80D58" w:rsidRDefault="009E6616" w:rsidP="009E6616">
            <w:pPr>
              <w:rPr>
                <w:rFonts w:ascii="Arial" w:hAnsi="Arial" w:cs="Arial"/>
                <w:sz w:val="19"/>
                <w:szCs w:val="19"/>
              </w:rPr>
            </w:pPr>
          </w:p>
          <w:p w:rsidR="009E6616" w:rsidRPr="00D80D58" w:rsidRDefault="009E6616" w:rsidP="009E6616">
            <w:pPr>
              <w:widowControl w:val="0"/>
              <w:autoSpaceDE w:val="0"/>
              <w:autoSpaceDN w:val="0"/>
              <w:adjustRightInd w:val="0"/>
              <w:spacing w:after="120"/>
              <w:rPr>
                <w:rFonts w:ascii="Arial" w:hAnsi="Arial" w:cs="Arial"/>
                <w:sz w:val="19"/>
                <w:szCs w:val="19"/>
              </w:rPr>
            </w:pPr>
            <w:r w:rsidRPr="00D80D58">
              <w:rPr>
                <w:rFonts w:ascii="Arial" w:hAnsi="Arial" w:cs="Arial"/>
                <w:sz w:val="19"/>
                <w:szCs w:val="19"/>
              </w:rPr>
              <w:t>Circular No. 22/2013/TT-BYT (09/08/2013) details the requirements for health professionals to undergo continuing medical education in order to achieve and maintain core skills and competencies.</w:t>
            </w:r>
          </w:p>
          <w:p w:rsidR="009E6616" w:rsidRPr="00D80D58" w:rsidRDefault="009E6616" w:rsidP="009E6616">
            <w:pPr>
              <w:rPr>
                <w:rFonts w:ascii="Arial" w:hAnsi="Arial" w:cs="Arial"/>
                <w:sz w:val="19"/>
                <w:szCs w:val="19"/>
              </w:rPr>
            </w:pPr>
          </w:p>
        </w:tc>
        <w:tc>
          <w:tcPr>
            <w:tcW w:w="1980" w:type="dxa"/>
            <w:vMerge/>
            <w:tcBorders>
              <w:left w:val="single" w:sz="4" w:space="0" w:color="auto"/>
              <w:right w:val="single" w:sz="4" w:space="0" w:color="auto"/>
            </w:tcBorders>
          </w:tcPr>
          <w:p w:rsidR="009E6616" w:rsidRPr="00D80D58" w:rsidRDefault="009E6616" w:rsidP="009E6616">
            <w:pPr>
              <w:rPr>
                <w:rFonts w:ascii="Arial" w:hAnsi="Arial" w:cs="Arial"/>
                <w:b/>
                <w:sz w:val="19"/>
                <w:szCs w:val="19"/>
              </w:rPr>
            </w:pPr>
          </w:p>
        </w:tc>
      </w:tr>
      <w:tr w:rsidR="009E6616" w:rsidRPr="00E65146" w:rsidTr="009E6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0" w:type="dxa"/>
            <w:vMerge/>
            <w:tcBorders>
              <w:left w:val="single" w:sz="4" w:space="0" w:color="auto"/>
              <w:right w:val="single" w:sz="4" w:space="0" w:color="auto"/>
            </w:tcBorders>
          </w:tcPr>
          <w:p w:rsidR="009E6616" w:rsidRPr="00D80D58" w:rsidRDefault="009E6616" w:rsidP="009E6616">
            <w:pPr>
              <w:rPr>
                <w:rFonts w:ascii="Arial" w:hAnsi="Arial" w:cs="Arial"/>
                <w:sz w:val="19"/>
                <w:szCs w:val="19"/>
              </w:rPr>
            </w:pPr>
          </w:p>
        </w:tc>
        <w:tc>
          <w:tcPr>
            <w:tcW w:w="2736" w:type="dxa"/>
            <w:tcBorders>
              <w:top w:val="single" w:sz="4" w:space="0" w:color="auto"/>
              <w:left w:val="single" w:sz="4" w:space="0" w:color="auto"/>
              <w:bottom w:val="single" w:sz="4" w:space="0" w:color="auto"/>
              <w:right w:val="single" w:sz="4" w:space="0" w:color="auto"/>
            </w:tcBorders>
          </w:tcPr>
          <w:p w:rsidR="009E6616" w:rsidRPr="00D80D58" w:rsidRDefault="009E6616" w:rsidP="009E6616">
            <w:pPr>
              <w:rPr>
                <w:rFonts w:ascii="Arial" w:hAnsi="Arial" w:cs="Arial"/>
                <w:sz w:val="19"/>
                <w:szCs w:val="19"/>
              </w:rPr>
            </w:pPr>
            <w:r w:rsidRPr="00D80D58">
              <w:rPr>
                <w:rFonts w:ascii="Arial" w:hAnsi="Arial" w:cs="Arial"/>
                <w:sz w:val="19"/>
                <w:szCs w:val="19"/>
              </w:rPr>
              <w:t>By December 2013, MOH has adopted a set of minimum standards for equipment in Medical Colleges.</w:t>
            </w:r>
          </w:p>
          <w:p w:rsidR="009E6616" w:rsidRPr="00D80D58" w:rsidRDefault="009E6616" w:rsidP="009E6616">
            <w:pPr>
              <w:rPr>
                <w:rFonts w:ascii="Arial" w:hAnsi="Arial" w:cs="Arial"/>
                <w:b/>
                <w:sz w:val="19"/>
                <w:szCs w:val="19"/>
              </w:rPr>
            </w:pPr>
          </w:p>
        </w:tc>
        <w:tc>
          <w:tcPr>
            <w:tcW w:w="2664" w:type="dxa"/>
            <w:tcBorders>
              <w:top w:val="single" w:sz="4" w:space="0" w:color="auto"/>
              <w:left w:val="single" w:sz="4" w:space="0" w:color="auto"/>
              <w:bottom w:val="single" w:sz="4" w:space="0" w:color="auto"/>
              <w:right w:val="single" w:sz="4" w:space="0" w:color="auto"/>
            </w:tcBorders>
          </w:tcPr>
          <w:p w:rsidR="009E6616" w:rsidRPr="00D80D58" w:rsidRDefault="009E6616" w:rsidP="009E6616">
            <w:pPr>
              <w:widowControl w:val="0"/>
              <w:autoSpaceDE w:val="0"/>
              <w:autoSpaceDN w:val="0"/>
              <w:adjustRightInd w:val="0"/>
              <w:spacing w:after="120"/>
              <w:rPr>
                <w:rFonts w:ascii="Arial" w:hAnsi="Arial" w:cs="Arial"/>
                <w:sz w:val="19"/>
                <w:szCs w:val="19"/>
              </w:rPr>
            </w:pPr>
            <w:r w:rsidRPr="00D80D58">
              <w:rPr>
                <w:rFonts w:ascii="Arial" w:hAnsi="Arial" w:cs="Arial"/>
                <w:sz w:val="19"/>
                <w:szCs w:val="19"/>
              </w:rPr>
              <w:t>Decision 1239/QD-BYT dated 15 April 2013 concerning on standards for equipment required for medical universities and colleges.</w:t>
            </w:r>
          </w:p>
          <w:p w:rsidR="009E6616" w:rsidRPr="00D80D58" w:rsidRDefault="009E6616" w:rsidP="009E6616">
            <w:pPr>
              <w:rPr>
                <w:rFonts w:ascii="Arial" w:hAnsi="Arial" w:cs="Arial"/>
                <w:sz w:val="19"/>
                <w:szCs w:val="19"/>
              </w:rPr>
            </w:pPr>
          </w:p>
        </w:tc>
        <w:tc>
          <w:tcPr>
            <w:tcW w:w="1980" w:type="dxa"/>
            <w:vMerge/>
            <w:tcBorders>
              <w:left w:val="single" w:sz="4" w:space="0" w:color="auto"/>
              <w:right w:val="single" w:sz="4" w:space="0" w:color="auto"/>
            </w:tcBorders>
          </w:tcPr>
          <w:p w:rsidR="009E6616" w:rsidRPr="00D80D58" w:rsidRDefault="009E6616" w:rsidP="009E6616">
            <w:pPr>
              <w:rPr>
                <w:rFonts w:ascii="Arial" w:hAnsi="Arial" w:cs="Arial"/>
                <w:b/>
                <w:sz w:val="19"/>
                <w:szCs w:val="19"/>
              </w:rPr>
            </w:pPr>
          </w:p>
        </w:tc>
      </w:tr>
      <w:tr w:rsidR="009E6616" w:rsidRPr="00E65146" w:rsidTr="009E6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0" w:type="dxa"/>
            <w:vMerge/>
            <w:tcBorders>
              <w:left w:val="single" w:sz="4" w:space="0" w:color="auto"/>
              <w:right w:val="single" w:sz="4" w:space="0" w:color="auto"/>
            </w:tcBorders>
          </w:tcPr>
          <w:p w:rsidR="009E6616" w:rsidRPr="00D80D58" w:rsidRDefault="009E6616" w:rsidP="009E6616">
            <w:pPr>
              <w:rPr>
                <w:rFonts w:ascii="Arial" w:hAnsi="Arial" w:cs="Arial"/>
                <w:sz w:val="19"/>
                <w:szCs w:val="19"/>
              </w:rPr>
            </w:pPr>
          </w:p>
        </w:tc>
        <w:tc>
          <w:tcPr>
            <w:tcW w:w="2736" w:type="dxa"/>
            <w:tcBorders>
              <w:top w:val="single" w:sz="4" w:space="0" w:color="auto"/>
              <w:left w:val="single" w:sz="4" w:space="0" w:color="auto"/>
              <w:bottom w:val="single" w:sz="4" w:space="0" w:color="auto"/>
              <w:right w:val="single" w:sz="4" w:space="0" w:color="auto"/>
            </w:tcBorders>
          </w:tcPr>
          <w:p w:rsidR="009E6616" w:rsidRPr="00D80D58" w:rsidRDefault="009E6616" w:rsidP="009E6616">
            <w:pPr>
              <w:rPr>
                <w:rFonts w:ascii="Arial" w:hAnsi="Arial" w:cs="Arial"/>
                <w:sz w:val="19"/>
                <w:szCs w:val="19"/>
              </w:rPr>
            </w:pPr>
            <w:r w:rsidRPr="00D80D58">
              <w:rPr>
                <w:rFonts w:ascii="Arial" w:hAnsi="Arial" w:cs="Arial"/>
                <w:sz w:val="19"/>
                <w:szCs w:val="19"/>
              </w:rPr>
              <w:t>By December 2015, MOH has completed policy impact review on increasing enrollment of Ethnic Minority students in health training.</w:t>
            </w:r>
          </w:p>
          <w:p w:rsidR="009E6616" w:rsidRPr="00D80D58" w:rsidRDefault="009E6616" w:rsidP="009E6616">
            <w:pPr>
              <w:rPr>
                <w:rFonts w:ascii="Arial" w:hAnsi="Arial" w:cs="Arial"/>
                <w:b/>
                <w:sz w:val="19"/>
                <w:szCs w:val="19"/>
              </w:rPr>
            </w:pPr>
          </w:p>
        </w:tc>
        <w:tc>
          <w:tcPr>
            <w:tcW w:w="2664" w:type="dxa"/>
            <w:tcBorders>
              <w:top w:val="single" w:sz="4" w:space="0" w:color="auto"/>
              <w:left w:val="single" w:sz="4" w:space="0" w:color="auto"/>
              <w:bottom w:val="single" w:sz="4" w:space="0" w:color="auto"/>
              <w:right w:val="single" w:sz="4" w:space="0" w:color="auto"/>
            </w:tcBorders>
          </w:tcPr>
          <w:p w:rsidR="009E6616" w:rsidRPr="00D80D58" w:rsidRDefault="009E6616" w:rsidP="009E6616">
            <w:pPr>
              <w:widowControl w:val="0"/>
              <w:autoSpaceDE w:val="0"/>
              <w:autoSpaceDN w:val="0"/>
              <w:adjustRightInd w:val="0"/>
              <w:spacing w:after="120"/>
              <w:rPr>
                <w:rFonts w:ascii="Arial" w:hAnsi="Arial" w:cs="Arial"/>
                <w:sz w:val="19"/>
                <w:szCs w:val="19"/>
              </w:rPr>
            </w:pPr>
            <w:r w:rsidRPr="00D80D58">
              <w:rPr>
                <w:rFonts w:ascii="Arial" w:hAnsi="Arial" w:cs="Arial"/>
                <w:sz w:val="19"/>
                <w:szCs w:val="19"/>
              </w:rPr>
              <w:t>Completed – MoH has completed a report concerning direct recruitment education in 34 provinces in Viet Nam during 2007–2011, implementing Decree 134, and Decision 1544 by the government</w:t>
            </w:r>
          </w:p>
          <w:p w:rsidR="009E6616" w:rsidRPr="00D80D58" w:rsidRDefault="009E6616" w:rsidP="009E6616">
            <w:pPr>
              <w:spacing w:after="120"/>
              <w:rPr>
                <w:rFonts w:ascii="Arial" w:hAnsi="Arial" w:cs="Arial"/>
                <w:sz w:val="19"/>
                <w:szCs w:val="19"/>
              </w:rPr>
            </w:pPr>
          </w:p>
        </w:tc>
        <w:tc>
          <w:tcPr>
            <w:tcW w:w="1980" w:type="dxa"/>
            <w:vMerge/>
            <w:tcBorders>
              <w:left w:val="single" w:sz="4" w:space="0" w:color="auto"/>
              <w:right w:val="single" w:sz="4" w:space="0" w:color="auto"/>
            </w:tcBorders>
          </w:tcPr>
          <w:p w:rsidR="009E6616" w:rsidRPr="00D80D58" w:rsidRDefault="009E6616" w:rsidP="009E6616">
            <w:pPr>
              <w:rPr>
                <w:rFonts w:ascii="Arial" w:hAnsi="Arial" w:cs="Arial"/>
                <w:b/>
                <w:sz w:val="19"/>
                <w:szCs w:val="19"/>
              </w:rPr>
            </w:pPr>
          </w:p>
        </w:tc>
      </w:tr>
      <w:tr w:rsidR="009E6616" w:rsidRPr="00E65146" w:rsidTr="009E6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0" w:type="dxa"/>
            <w:vMerge/>
            <w:tcBorders>
              <w:left w:val="single" w:sz="4" w:space="0" w:color="auto"/>
              <w:right w:val="single" w:sz="4" w:space="0" w:color="auto"/>
            </w:tcBorders>
          </w:tcPr>
          <w:p w:rsidR="009E6616" w:rsidRPr="00D80D58" w:rsidRDefault="009E6616" w:rsidP="009E6616">
            <w:pPr>
              <w:rPr>
                <w:rFonts w:ascii="Arial" w:hAnsi="Arial" w:cs="Arial"/>
                <w:sz w:val="19"/>
                <w:szCs w:val="19"/>
              </w:rPr>
            </w:pPr>
          </w:p>
        </w:tc>
        <w:tc>
          <w:tcPr>
            <w:tcW w:w="2736" w:type="dxa"/>
            <w:tcBorders>
              <w:top w:val="single" w:sz="4" w:space="0" w:color="auto"/>
              <w:left w:val="single" w:sz="4" w:space="0" w:color="auto"/>
              <w:bottom w:val="single" w:sz="4" w:space="0" w:color="auto"/>
              <w:right w:val="single" w:sz="4" w:space="0" w:color="auto"/>
            </w:tcBorders>
          </w:tcPr>
          <w:p w:rsidR="009E6616" w:rsidRPr="00D80D58" w:rsidRDefault="009E6616" w:rsidP="009E6616">
            <w:pPr>
              <w:rPr>
                <w:rFonts w:ascii="Arial" w:hAnsi="Arial" w:cs="Arial"/>
                <w:b/>
                <w:sz w:val="19"/>
                <w:szCs w:val="19"/>
              </w:rPr>
            </w:pPr>
            <w:r w:rsidRPr="00D80D58">
              <w:rPr>
                <w:rFonts w:ascii="Arial" w:hAnsi="Arial" w:cs="Arial"/>
                <w:b/>
                <w:sz w:val="19"/>
                <w:szCs w:val="19"/>
              </w:rPr>
              <w:t>Project</w:t>
            </w:r>
          </w:p>
          <w:p w:rsidR="009E6616" w:rsidRPr="00D80D58" w:rsidRDefault="009E6616" w:rsidP="009E6616">
            <w:pPr>
              <w:rPr>
                <w:rFonts w:ascii="Arial" w:hAnsi="Arial" w:cs="Arial"/>
                <w:b/>
                <w:sz w:val="19"/>
                <w:szCs w:val="19"/>
              </w:rPr>
            </w:pPr>
            <w:r w:rsidRPr="00D80D58">
              <w:rPr>
                <w:rFonts w:ascii="Arial" w:hAnsi="Arial" w:cs="Arial"/>
                <w:b/>
                <w:sz w:val="19"/>
                <w:szCs w:val="19"/>
              </w:rPr>
              <w:t>By project completion:</w:t>
            </w:r>
          </w:p>
          <w:p w:rsidR="009E6616" w:rsidRPr="00D80D58" w:rsidRDefault="009E6616" w:rsidP="00185E36">
            <w:pPr>
              <w:numPr>
                <w:ilvl w:val="0"/>
                <w:numId w:val="13"/>
              </w:numPr>
              <w:rPr>
                <w:rFonts w:ascii="Arial" w:hAnsi="Arial" w:cs="Arial"/>
                <w:b/>
                <w:sz w:val="19"/>
                <w:szCs w:val="19"/>
              </w:rPr>
            </w:pPr>
            <w:r w:rsidRPr="00D80D58">
              <w:rPr>
                <w:rFonts w:ascii="Arial" w:hAnsi="Arial" w:cs="Arial"/>
                <w:sz w:val="19"/>
                <w:szCs w:val="19"/>
              </w:rPr>
              <w:t xml:space="preserve">6 medical teaching institutions with upgraded teaching laboratories and equipment </w:t>
            </w:r>
          </w:p>
        </w:tc>
        <w:tc>
          <w:tcPr>
            <w:tcW w:w="2664" w:type="dxa"/>
            <w:tcBorders>
              <w:top w:val="single" w:sz="4" w:space="0" w:color="auto"/>
              <w:left w:val="single" w:sz="4" w:space="0" w:color="auto"/>
              <w:bottom w:val="single" w:sz="4" w:space="0" w:color="auto"/>
              <w:right w:val="single" w:sz="4" w:space="0" w:color="auto"/>
            </w:tcBorders>
          </w:tcPr>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r w:rsidRPr="00D80D58">
              <w:rPr>
                <w:rFonts w:ascii="Arial" w:hAnsi="Arial" w:cs="Arial"/>
                <w:sz w:val="19"/>
                <w:szCs w:val="19"/>
              </w:rPr>
              <w:t>17 medical teaching institutions with renovated laboratory facilities (works detailed in Appendix 6</w:t>
            </w:r>
            <w:r w:rsidR="0083264E">
              <w:rPr>
                <w:rFonts w:ascii="Arial" w:hAnsi="Arial" w:cs="Arial"/>
                <w:sz w:val="19"/>
                <w:szCs w:val="19"/>
              </w:rPr>
              <w:t>,</w:t>
            </w:r>
            <w:r w:rsidRPr="00D80D58">
              <w:rPr>
                <w:rFonts w:ascii="Arial" w:hAnsi="Arial" w:cs="Arial"/>
                <w:sz w:val="19"/>
                <w:szCs w:val="19"/>
              </w:rPr>
              <w:t xml:space="preserve"> Table 6.1) </w:t>
            </w: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r w:rsidRPr="00D80D58">
              <w:rPr>
                <w:rFonts w:ascii="Arial" w:hAnsi="Arial" w:cs="Arial"/>
                <w:sz w:val="19"/>
                <w:szCs w:val="19"/>
              </w:rPr>
              <w:t xml:space="preserve">9 medical teaching institutions receiving equipment to upgrade teaching laboratories and classrooms (equipment </w:t>
            </w:r>
            <w:r w:rsidR="009F3F9A" w:rsidRPr="00D80D58">
              <w:rPr>
                <w:rFonts w:ascii="Arial" w:hAnsi="Arial" w:cs="Arial"/>
                <w:sz w:val="19"/>
                <w:szCs w:val="19"/>
              </w:rPr>
              <w:t xml:space="preserve">is </w:t>
            </w:r>
            <w:r w:rsidRPr="00D80D58">
              <w:rPr>
                <w:rFonts w:ascii="Arial" w:hAnsi="Arial" w:cs="Arial"/>
                <w:sz w:val="19"/>
                <w:szCs w:val="19"/>
              </w:rPr>
              <w:t xml:space="preserve">detailed in Appendix </w:t>
            </w:r>
            <w:r w:rsidR="009F3F9A" w:rsidRPr="00D80D58">
              <w:rPr>
                <w:rFonts w:ascii="Arial" w:hAnsi="Arial" w:cs="Arial"/>
                <w:sz w:val="19"/>
                <w:szCs w:val="19"/>
              </w:rPr>
              <w:t>8).</w:t>
            </w:r>
          </w:p>
          <w:p w:rsidR="009E6616" w:rsidRPr="00D80D58" w:rsidRDefault="009E6616" w:rsidP="009E6616">
            <w:pPr>
              <w:rPr>
                <w:rFonts w:ascii="Arial" w:hAnsi="Arial" w:cs="Arial"/>
                <w:sz w:val="19"/>
                <w:szCs w:val="19"/>
              </w:rPr>
            </w:pPr>
          </w:p>
        </w:tc>
        <w:tc>
          <w:tcPr>
            <w:tcW w:w="1980" w:type="dxa"/>
            <w:vMerge/>
            <w:tcBorders>
              <w:left w:val="single" w:sz="4" w:space="0" w:color="auto"/>
              <w:right w:val="single" w:sz="4" w:space="0" w:color="auto"/>
            </w:tcBorders>
          </w:tcPr>
          <w:p w:rsidR="009E6616" w:rsidRPr="00D80D58" w:rsidRDefault="009E6616" w:rsidP="009E6616">
            <w:pPr>
              <w:rPr>
                <w:rFonts w:ascii="Arial" w:hAnsi="Arial" w:cs="Arial"/>
                <w:b/>
                <w:sz w:val="19"/>
                <w:szCs w:val="19"/>
              </w:rPr>
            </w:pPr>
          </w:p>
        </w:tc>
      </w:tr>
      <w:tr w:rsidR="009E6616" w:rsidRPr="00E65146" w:rsidTr="009E6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0" w:type="dxa"/>
            <w:vMerge/>
            <w:tcBorders>
              <w:left w:val="single" w:sz="4" w:space="0" w:color="auto"/>
              <w:right w:val="single" w:sz="4" w:space="0" w:color="auto"/>
            </w:tcBorders>
          </w:tcPr>
          <w:p w:rsidR="009E6616" w:rsidRPr="00D80D58" w:rsidRDefault="009E6616" w:rsidP="009E6616">
            <w:pPr>
              <w:rPr>
                <w:rFonts w:ascii="Arial" w:hAnsi="Arial" w:cs="Arial"/>
                <w:sz w:val="19"/>
                <w:szCs w:val="19"/>
              </w:rPr>
            </w:pPr>
          </w:p>
        </w:tc>
        <w:tc>
          <w:tcPr>
            <w:tcW w:w="2736" w:type="dxa"/>
            <w:tcBorders>
              <w:top w:val="single" w:sz="4" w:space="0" w:color="auto"/>
              <w:left w:val="single" w:sz="4" w:space="0" w:color="auto"/>
              <w:bottom w:val="single" w:sz="4" w:space="0" w:color="auto"/>
              <w:right w:val="single" w:sz="4" w:space="0" w:color="auto"/>
            </w:tcBorders>
          </w:tcPr>
          <w:p w:rsidR="009E6616" w:rsidRPr="00D80D58" w:rsidRDefault="009E6616" w:rsidP="00CA718F">
            <w:pPr>
              <w:numPr>
                <w:ilvl w:val="0"/>
                <w:numId w:val="13"/>
              </w:numPr>
              <w:rPr>
                <w:rFonts w:ascii="Arial" w:hAnsi="Arial" w:cs="Arial"/>
                <w:b/>
                <w:sz w:val="19"/>
                <w:szCs w:val="19"/>
              </w:rPr>
            </w:pPr>
            <w:r w:rsidRPr="00D80D58">
              <w:rPr>
                <w:rFonts w:ascii="Arial" w:hAnsi="Arial" w:cs="Arial"/>
                <w:sz w:val="19"/>
                <w:szCs w:val="19"/>
              </w:rPr>
              <w:t xml:space="preserve">600 university teachers (40% women) trained in modern teaching methods </w:t>
            </w:r>
          </w:p>
          <w:p w:rsidR="009E6616" w:rsidRPr="00D80D58" w:rsidRDefault="009E6616" w:rsidP="009E6616">
            <w:pPr>
              <w:rPr>
                <w:rFonts w:ascii="Arial" w:hAnsi="Arial" w:cs="Arial"/>
                <w:b/>
                <w:sz w:val="19"/>
                <w:szCs w:val="19"/>
              </w:rPr>
            </w:pPr>
          </w:p>
        </w:tc>
        <w:tc>
          <w:tcPr>
            <w:tcW w:w="2664" w:type="dxa"/>
            <w:tcBorders>
              <w:top w:val="single" w:sz="4" w:space="0" w:color="auto"/>
              <w:left w:val="single" w:sz="4" w:space="0" w:color="auto"/>
              <w:bottom w:val="single" w:sz="4" w:space="0" w:color="auto"/>
              <w:right w:val="single" w:sz="4" w:space="0" w:color="auto"/>
            </w:tcBorders>
          </w:tcPr>
          <w:p w:rsidR="009E6616" w:rsidRPr="00D80D58" w:rsidRDefault="009E6616" w:rsidP="009E6616">
            <w:pPr>
              <w:rPr>
                <w:rFonts w:ascii="Arial" w:hAnsi="Arial" w:cs="Arial"/>
                <w:sz w:val="19"/>
                <w:szCs w:val="19"/>
              </w:rPr>
            </w:pPr>
            <w:r w:rsidRPr="00D80D58">
              <w:rPr>
                <w:rFonts w:ascii="Arial" w:hAnsi="Arial" w:cs="Arial"/>
                <w:sz w:val="19"/>
                <w:szCs w:val="19"/>
              </w:rPr>
              <w:t>112 teaching staff undertaking postgraduate training (Masters and PhD in basic science and practical skills in management (67% female)</w:t>
            </w: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r w:rsidRPr="00D80D58">
              <w:rPr>
                <w:rFonts w:ascii="Arial" w:hAnsi="Arial" w:cs="Arial"/>
                <w:sz w:val="19"/>
                <w:szCs w:val="19"/>
              </w:rPr>
              <w:t>1191 teaching staff with improved basic-science &amp; pre-clinical skills labs training capacity through in-service training (female: 61%; EM: 15)</w:t>
            </w: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r w:rsidRPr="00D80D58">
              <w:rPr>
                <w:rFonts w:ascii="Arial" w:hAnsi="Arial" w:cs="Arial"/>
                <w:sz w:val="19"/>
                <w:szCs w:val="19"/>
              </w:rPr>
              <w:t>39 teaching staff with improved skills in competency-based learning through in-service training (female: 54%)</w:t>
            </w: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r w:rsidRPr="00D80D58">
              <w:rPr>
                <w:rFonts w:ascii="Arial" w:hAnsi="Arial" w:cs="Arial"/>
                <w:sz w:val="19"/>
                <w:szCs w:val="19"/>
              </w:rPr>
              <w:t>1264 teachers / managers / clinicians with improved capacity to support practical clinical training of students (59% female; 15 EM).</w:t>
            </w: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r w:rsidRPr="00D80D58">
              <w:rPr>
                <w:rFonts w:ascii="Arial" w:hAnsi="Arial" w:cs="Arial"/>
                <w:sz w:val="19"/>
                <w:szCs w:val="19"/>
              </w:rPr>
              <w:t xml:space="preserve">69 teachers training on biosafety laboratories and laboratory quality assurance (74% female) </w:t>
            </w: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tc>
        <w:tc>
          <w:tcPr>
            <w:tcW w:w="1980" w:type="dxa"/>
            <w:vMerge/>
            <w:tcBorders>
              <w:left w:val="single" w:sz="4" w:space="0" w:color="auto"/>
              <w:right w:val="single" w:sz="4" w:space="0" w:color="auto"/>
            </w:tcBorders>
          </w:tcPr>
          <w:p w:rsidR="009E6616" w:rsidRPr="00D80D58" w:rsidRDefault="009E6616" w:rsidP="009E6616">
            <w:pPr>
              <w:rPr>
                <w:rFonts w:ascii="Arial" w:hAnsi="Arial" w:cs="Arial"/>
                <w:b/>
                <w:sz w:val="19"/>
                <w:szCs w:val="19"/>
              </w:rPr>
            </w:pPr>
          </w:p>
        </w:tc>
      </w:tr>
      <w:tr w:rsidR="009F3F9A" w:rsidRPr="00E65146" w:rsidTr="009F3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0" w:type="dxa"/>
            <w:vMerge/>
            <w:tcBorders>
              <w:left w:val="single" w:sz="4" w:space="0" w:color="auto"/>
              <w:right w:val="single" w:sz="4" w:space="0" w:color="auto"/>
            </w:tcBorders>
          </w:tcPr>
          <w:p w:rsidR="009F3F9A" w:rsidRPr="00D80D58" w:rsidRDefault="009F3F9A" w:rsidP="009E6616">
            <w:pPr>
              <w:rPr>
                <w:rFonts w:ascii="Arial" w:hAnsi="Arial" w:cs="Arial"/>
                <w:sz w:val="19"/>
                <w:szCs w:val="19"/>
              </w:rPr>
            </w:pPr>
          </w:p>
        </w:tc>
        <w:tc>
          <w:tcPr>
            <w:tcW w:w="2736" w:type="dxa"/>
            <w:tcBorders>
              <w:top w:val="single" w:sz="4" w:space="0" w:color="auto"/>
              <w:left w:val="single" w:sz="4" w:space="0" w:color="auto"/>
              <w:bottom w:val="single" w:sz="4" w:space="0" w:color="auto"/>
              <w:right w:val="single" w:sz="4" w:space="0" w:color="auto"/>
            </w:tcBorders>
          </w:tcPr>
          <w:p w:rsidR="009F3F9A" w:rsidRPr="00D80D58" w:rsidRDefault="009F3F9A" w:rsidP="00185E36">
            <w:pPr>
              <w:numPr>
                <w:ilvl w:val="0"/>
                <w:numId w:val="10"/>
              </w:numPr>
              <w:rPr>
                <w:rFonts w:ascii="Arial" w:hAnsi="Arial" w:cs="Arial"/>
                <w:b/>
                <w:sz w:val="19"/>
                <w:szCs w:val="19"/>
              </w:rPr>
            </w:pPr>
            <w:r w:rsidRPr="00D80D58">
              <w:rPr>
                <w:rFonts w:ascii="Arial" w:hAnsi="Arial" w:cs="Arial"/>
                <w:sz w:val="19"/>
                <w:szCs w:val="19"/>
              </w:rPr>
              <w:t xml:space="preserve">at least 6 prioritized universities have met national teaching quality accreditation standards </w:t>
            </w:r>
          </w:p>
        </w:tc>
        <w:tc>
          <w:tcPr>
            <w:tcW w:w="2664" w:type="dxa"/>
            <w:vMerge w:val="restart"/>
            <w:tcBorders>
              <w:top w:val="single" w:sz="4" w:space="0" w:color="auto"/>
              <w:left w:val="single" w:sz="4" w:space="0" w:color="auto"/>
              <w:right w:val="single" w:sz="4" w:space="0" w:color="auto"/>
            </w:tcBorders>
          </w:tcPr>
          <w:p w:rsidR="009F3F9A" w:rsidRPr="00D80D58" w:rsidRDefault="009F3F9A" w:rsidP="009F3F9A">
            <w:pPr>
              <w:rPr>
                <w:rFonts w:ascii="Arial" w:hAnsi="Arial" w:cs="Arial"/>
                <w:sz w:val="19"/>
                <w:szCs w:val="19"/>
              </w:rPr>
            </w:pPr>
            <w:r w:rsidRPr="00D80D58">
              <w:rPr>
                <w:rFonts w:ascii="Arial" w:hAnsi="Arial" w:cs="Arial"/>
                <w:sz w:val="19"/>
                <w:szCs w:val="19"/>
              </w:rPr>
              <w:t>Not achieved. The outputs were revised to:</w:t>
            </w:r>
          </w:p>
          <w:p w:rsidR="009F3F9A" w:rsidRPr="00D80D58" w:rsidRDefault="009F3F9A" w:rsidP="009F3F9A">
            <w:pPr>
              <w:rPr>
                <w:rFonts w:ascii="Arial" w:hAnsi="Arial" w:cs="Arial"/>
                <w:sz w:val="19"/>
                <w:szCs w:val="19"/>
              </w:rPr>
            </w:pPr>
          </w:p>
          <w:p w:rsidR="009F3F9A" w:rsidRPr="00D80D58" w:rsidRDefault="009F3F9A" w:rsidP="009F3F9A">
            <w:pPr>
              <w:rPr>
                <w:rFonts w:ascii="Arial" w:hAnsi="Arial" w:cs="Arial"/>
                <w:sz w:val="19"/>
                <w:szCs w:val="19"/>
              </w:rPr>
            </w:pPr>
            <w:r w:rsidRPr="00D80D58">
              <w:rPr>
                <w:rFonts w:ascii="Arial" w:hAnsi="Arial" w:cs="Arial"/>
                <w:sz w:val="19"/>
                <w:szCs w:val="19"/>
              </w:rPr>
              <w:t xml:space="preserve">(i) A survey to assess the current conditions for accreditation within HPTF; </w:t>
            </w:r>
          </w:p>
          <w:p w:rsidR="009F3F9A" w:rsidRPr="00D80D58" w:rsidRDefault="009F3F9A" w:rsidP="009F3F9A">
            <w:pPr>
              <w:rPr>
                <w:rFonts w:ascii="Arial" w:hAnsi="Arial" w:cs="Arial"/>
                <w:sz w:val="19"/>
                <w:szCs w:val="19"/>
              </w:rPr>
            </w:pPr>
            <w:r w:rsidRPr="00D80D58">
              <w:rPr>
                <w:rFonts w:ascii="Arial" w:hAnsi="Arial" w:cs="Arial"/>
                <w:sz w:val="19"/>
                <w:szCs w:val="19"/>
              </w:rPr>
              <w:t>(ii) A set of Standards for Accreditation for Medical Facilities developed and piloted;</w:t>
            </w:r>
          </w:p>
          <w:p w:rsidR="009F3F9A" w:rsidRPr="00D80D58" w:rsidRDefault="009F3F9A" w:rsidP="009F3F9A">
            <w:pPr>
              <w:rPr>
                <w:rFonts w:ascii="Arial" w:hAnsi="Arial" w:cs="Arial"/>
                <w:sz w:val="19"/>
                <w:szCs w:val="19"/>
              </w:rPr>
            </w:pPr>
            <w:r w:rsidRPr="00D80D58">
              <w:rPr>
                <w:rFonts w:ascii="Arial" w:hAnsi="Arial" w:cs="Arial"/>
                <w:sz w:val="19"/>
                <w:szCs w:val="19"/>
              </w:rPr>
              <w:t>(iii) Internal Quality Assurance for HPTF strengthened</w:t>
            </w:r>
          </w:p>
          <w:p w:rsidR="009F3F9A" w:rsidRPr="00D80D58" w:rsidRDefault="009F3F9A" w:rsidP="009F3F9A">
            <w:pPr>
              <w:rPr>
                <w:rFonts w:ascii="Arial" w:hAnsi="Arial" w:cs="Arial"/>
                <w:sz w:val="19"/>
                <w:szCs w:val="19"/>
              </w:rPr>
            </w:pPr>
          </w:p>
          <w:p w:rsidR="009F3F9A" w:rsidRPr="00D80D58" w:rsidRDefault="009F3F9A" w:rsidP="009F3F9A">
            <w:pPr>
              <w:rPr>
                <w:rFonts w:ascii="Arial" w:hAnsi="Arial" w:cs="Arial"/>
                <w:sz w:val="19"/>
                <w:szCs w:val="19"/>
              </w:rPr>
            </w:pPr>
            <w:r w:rsidRPr="00D80D58">
              <w:rPr>
                <w:rFonts w:ascii="Arial" w:hAnsi="Arial" w:cs="Arial"/>
                <w:sz w:val="19"/>
                <w:szCs w:val="19"/>
              </w:rPr>
              <w:t>(Refer to Section II.B)</w:t>
            </w:r>
          </w:p>
          <w:p w:rsidR="009F3F9A" w:rsidRPr="00D80D58" w:rsidRDefault="009F3F9A" w:rsidP="009E6616">
            <w:pPr>
              <w:rPr>
                <w:rFonts w:ascii="Arial" w:hAnsi="Arial" w:cs="Arial"/>
                <w:sz w:val="19"/>
                <w:szCs w:val="19"/>
              </w:rPr>
            </w:pPr>
          </w:p>
          <w:p w:rsidR="009F3F9A" w:rsidRPr="00D80D58" w:rsidRDefault="009F3F9A" w:rsidP="009E6616">
            <w:pPr>
              <w:rPr>
                <w:rFonts w:ascii="Arial" w:hAnsi="Arial" w:cs="Arial"/>
                <w:sz w:val="19"/>
                <w:szCs w:val="19"/>
              </w:rPr>
            </w:pPr>
          </w:p>
          <w:p w:rsidR="009F3F9A" w:rsidRPr="00D80D58" w:rsidRDefault="009F3F9A" w:rsidP="009E6616">
            <w:pPr>
              <w:rPr>
                <w:rFonts w:ascii="Arial" w:hAnsi="Arial" w:cs="Arial"/>
                <w:sz w:val="19"/>
                <w:szCs w:val="19"/>
              </w:rPr>
            </w:pPr>
          </w:p>
        </w:tc>
        <w:tc>
          <w:tcPr>
            <w:tcW w:w="1980" w:type="dxa"/>
            <w:vMerge/>
            <w:tcBorders>
              <w:left w:val="single" w:sz="4" w:space="0" w:color="auto"/>
              <w:right w:val="single" w:sz="4" w:space="0" w:color="auto"/>
            </w:tcBorders>
          </w:tcPr>
          <w:p w:rsidR="009F3F9A" w:rsidRPr="00D80D58" w:rsidRDefault="009F3F9A" w:rsidP="009E6616">
            <w:pPr>
              <w:rPr>
                <w:rFonts w:ascii="Arial" w:hAnsi="Arial" w:cs="Arial"/>
                <w:b/>
                <w:sz w:val="19"/>
                <w:szCs w:val="19"/>
              </w:rPr>
            </w:pPr>
          </w:p>
        </w:tc>
      </w:tr>
      <w:tr w:rsidR="009F3F9A" w:rsidRPr="00E65146" w:rsidTr="009F3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0" w:type="dxa"/>
            <w:vMerge/>
            <w:tcBorders>
              <w:left w:val="single" w:sz="4" w:space="0" w:color="auto"/>
              <w:right w:val="single" w:sz="4" w:space="0" w:color="auto"/>
            </w:tcBorders>
          </w:tcPr>
          <w:p w:rsidR="009F3F9A" w:rsidRPr="00D80D58" w:rsidRDefault="009F3F9A" w:rsidP="009E6616">
            <w:pPr>
              <w:rPr>
                <w:rFonts w:ascii="Arial" w:hAnsi="Arial" w:cs="Arial"/>
                <w:sz w:val="19"/>
                <w:szCs w:val="19"/>
              </w:rPr>
            </w:pPr>
          </w:p>
        </w:tc>
        <w:tc>
          <w:tcPr>
            <w:tcW w:w="2736" w:type="dxa"/>
            <w:tcBorders>
              <w:top w:val="single" w:sz="4" w:space="0" w:color="auto"/>
              <w:left w:val="single" w:sz="4" w:space="0" w:color="auto"/>
              <w:bottom w:val="single" w:sz="4" w:space="0" w:color="auto"/>
              <w:right w:val="single" w:sz="4" w:space="0" w:color="auto"/>
            </w:tcBorders>
          </w:tcPr>
          <w:p w:rsidR="009F3F9A" w:rsidRPr="00D80D58" w:rsidRDefault="009F3F9A" w:rsidP="00CA718F">
            <w:pPr>
              <w:numPr>
                <w:ilvl w:val="0"/>
                <w:numId w:val="10"/>
              </w:numPr>
              <w:rPr>
                <w:rFonts w:ascii="Arial" w:hAnsi="Arial" w:cs="Arial"/>
                <w:sz w:val="19"/>
                <w:szCs w:val="19"/>
              </w:rPr>
            </w:pPr>
            <w:r w:rsidRPr="00D80D58">
              <w:rPr>
                <w:rFonts w:ascii="Arial" w:hAnsi="Arial" w:cs="Arial"/>
                <w:sz w:val="19"/>
                <w:szCs w:val="19"/>
              </w:rPr>
              <w:t xml:space="preserve">3 courses in each prioritized training institution accredited under continuing education system </w:t>
            </w:r>
          </w:p>
          <w:p w:rsidR="009F3F9A" w:rsidRPr="00D80D58" w:rsidRDefault="009F3F9A" w:rsidP="009E6616">
            <w:pPr>
              <w:rPr>
                <w:rFonts w:ascii="Arial" w:hAnsi="Arial" w:cs="Arial"/>
                <w:b/>
                <w:sz w:val="19"/>
                <w:szCs w:val="19"/>
              </w:rPr>
            </w:pPr>
          </w:p>
        </w:tc>
        <w:tc>
          <w:tcPr>
            <w:tcW w:w="2664" w:type="dxa"/>
            <w:vMerge/>
            <w:tcBorders>
              <w:left w:val="single" w:sz="4" w:space="0" w:color="auto"/>
              <w:bottom w:val="single" w:sz="4" w:space="0" w:color="auto"/>
              <w:right w:val="single" w:sz="4" w:space="0" w:color="auto"/>
            </w:tcBorders>
          </w:tcPr>
          <w:p w:rsidR="009F3F9A" w:rsidRPr="00D80D58" w:rsidRDefault="009F3F9A" w:rsidP="009F3F9A">
            <w:pPr>
              <w:rPr>
                <w:rFonts w:ascii="Arial" w:hAnsi="Arial" w:cs="Arial"/>
                <w:sz w:val="19"/>
                <w:szCs w:val="19"/>
              </w:rPr>
            </w:pPr>
          </w:p>
        </w:tc>
        <w:tc>
          <w:tcPr>
            <w:tcW w:w="1980" w:type="dxa"/>
            <w:vMerge/>
            <w:tcBorders>
              <w:left w:val="single" w:sz="4" w:space="0" w:color="auto"/>
              <w:right w:val="single" w:sz="4" w:space="0" w:color="auto"/>
            </w:tcBorders>
          </w:tcPr>
          <w:p w:rsidR="009F3F9A" w:rsidRPr="00D80D58" w:rsidRDefault="009F3F9A" w:rsidP="009E6616">
            <w:pPr>
              <w:rPr>
                <w:rFonts w:ascii="Arial" w:hAnsi="Arial" w:cs="Arial"/>
                <w:b/>
                <w:sz w:val="19"/>
                <w:szCs w:val="19"/>
              </w:rPr>
            </w:pPr>
          </w:p>
        </w:tc>
      </w:tr>
      <w:tr w:rsidR="009E6616" w:rsidRPr="00E65146" w:rsidTr="009E6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0" w:type="dxa"/>
            <w:vMerge/>
            <w:tcBorders>
              <w:left w:val="single" w:sz="4" w:space="0" w:color="auto"/>
              <w:right w:val="single" w:sz="4" w:space="0" w:color="auto"/>
            </w:tcBorders>
          </w:tcPr>
          <w:p w:rsidR="009E6616" w:rsidRPr="00D80D58" w:rsidRDefault="009E6616" w:rsidP="009E6616">
            <w:pPr>
              <w:rPr>
                <w:rFonts w:ascii="Arial" w:hAnsi="Arial" w:cs="Arial"/>
                <w:sz w:val="19"/>
                <w:szCs w:val="19"/>
              </w:rPr>
            </w:pPr>
          </w:p>
        </w:tc>
        <w:tc>
          <w:tcPr>
            <w:tcW w:w="2736" w:type="dxa"/>
            <w:tcBorders>
              <w:top w:val="single" w:sz="4" w:space="0" w:color="auto"/>
              <w:left w:val="single" w:sz="4" w:space="0" w:color="auto"/>
              <w:bottom w:val="single" w:sz="4" w:space="0" w:color="auto"/>
              <w:right w:val="single" w:sz="4" w:space="0" w:color="auto"/>
            </w:tcBorders>
          </w:tcPr>
          <w:p w:rsidR="009E6616" w:rsidRPr="00D80D58" w:rsidRDefault="009E6616" w:rsidP="00185E36">
            <w:pPr>
              <w:numPr>
                <w:ilvl w:val="0"/>
                <w:numId w:val="10"/>
              </w:numPr>
              <w:overflowPunct w:val="0"/>
              <w:autoSpaceDE w:val="0"/>
              <w:autoSpaceDN w:val="0"/>
              <w:adjustRightInd w:val="0"/>
              <w:textAlignment w:val="baseline"/>
              <w:rPr>
                <w:rFonts w:ascii="Arial" w:hAnsi="Arial" w:cs="Arial"/>
                <w:b/>
                <w:sz w:val="19"/>
                <w:szCs w:val="19"/>
              </w:rPr>
            </w:pPr>
            <w:r w:rsidRPr="00D80D58">
              <w:rPr>
                <w:rFonts w:ascii="Arial" w:hAnsi="Arial" w:cs="Arial"/>
                <w:sz w:val="19"/>
                <w:szCs w:val="19"/>
              </w:rPr>
              <w:t xml:space="preserve">50 scholarships for pre-service and in-service for Ethnic Minority students (50% women) delivered </w:t>
            </w:r>
          </w:p>
        </w:tc>
        <w:tc>
          <w:tcPr>
            <w:tcW w:w="2664" w:type="dxa"/>
            <w:tcBorders>
              <w:top w:val="single" w:sz="4" w:space="0" w:color="auto"/>
              <w:left w:val="single" w:sz="4" w:space="0" w:color="auto"/>
              <w:bottom w:val="single" w:sz="4" w:space="0" w:color="auto"/>
              <w:right w:val="single" w:sz="4" w:space="0" w:color="auto"/>
            </w:tcBorders>
          </w:tcPr>
          <w:p w:rsidR="009E6616" w:rsidRPr="00D80D58" w:rsidRDefault="009E6616" w:rsidP="009E6616">
            <w:pPr>
              <w:rPr>
                <w:rFonts w:ascii="Arial" w:hAnsi="Arial" w:cs="Arial"/>
                <w:sz w:val="19"/>
                <w:szCs w:val="19"/>
              </w:rPr>
            </w:pPr>
            <w:r w:rsidRPr="00D80D58">
              <w:rPr>
                <w:rFonts w:ascii="Arial" w:hAnsi="Arial" w:cs="Arial"/>
                <w:sz w:val="19"/>
                <w:szCs w:val="19"/>
              </w:rPr>
              <w:t>2280 students from EM groups receiving supplementary scholarships</w:t>
            </w: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tc>
        <w:tc>
          <w:tcPr>
            <w:tcW w:w="1980" w:type="dxa"/>
            <w:vMerge/>
            <w:tcBorders>
              <w:left w:val="single" w:sz="4" w:space="0" w:color="auto"/>
              <w:right w:val="single" w:sz="4" w:space="0" w:color="auto"/>
            </w:tcBorders>
          </w:tcPr>
          <w:p w:rsidR="009E6616" w:rsidRPr="00D80D58" w:rsidRDefault="009E6616" w:rsidP="009E6616">
            <w:pPr>
              <w:rPr>
                <w:rFonts w:ascii="Arial" w:hAnsi="Arial" w:cs="Arial"/>
                <w:b/>
                <w:sz w:val="19"/>
                <w:szCs w:val="19"/>
              </w:rPr>
            </w:pPr>
          </w:p>
        </w:tc>
      </w:tr>
      <w:tr w:rsidR="009E6616" w:rsidRPr="00E65146" w:rsidTr="009E6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0" w:type="dxa"/>
            <w:vMerge/>
            <w:tcBorders>
              <w:left w:val="single" w:sz="4" w:space="0" w:color="auto"/>
              <w:right w:val="single" w:sz="4" w:space="0" w:color="auto"/>
            </w:tcBorders>
          </w:tcPr>
          <w:p w:rsidR="009E6616" w:rsidRPr="00D80D58" w:rsidRDefault="009E6616" w:rsidP="009E6616">
            <w:pPr>
              <w:rPr>
                <w:rFonts w:ascii="Arial" w:hAnsi="Arial" w:cs="Arial"/>
                <w:sz w:val="19"/>
                <w:szCs w:val="19"/>
              </w:rPr>
            </w:pPr>
          </w:p>
        </w:tc>
        <w:tc>
          <w:tcPr>
            <w:tcW w:w="2736" w:type="dxa"/>
            <w:tcBorders>
              <w:top w:val="single" w:sz="4" w:space="0" w:color="auto"/>
              <w:left w:val="single" w:sz="4" w:space="0" w:color="auto"/>
              <w:bottom w:val="single" w:sz="4" w:space="0" w:color="auto"/>
              <w:right w:val="single" w:sz="4" w:space="0" w:color="auto"/>
            </w:tcBorders>
          </w:tcPr>
          <w:p w:rsidR="009E6616" w:rsidRPr="00D80D58" w:rsidRDefault="009E6616" w:rsidP="00185E36">
            <w:pPr>
              <w:numPr>
                <w:ilvl w:val="0"/>
                <w:numId w:val="10"/>
              </w:numPr>
              <w:overflowPunct w:val="0"/>
              <w:autoSpaceDE w:val="0"/>
              <w:autoSpaceDN w:val="0"/>
              <w:adjustRightInd w:val="0"/>
              <w:textAlignment w:val="baseline"/>
              <w:rPr>
                <w:rFonts w:ascii="Arial" w:hAnsi="Arial" w:cs="Arial"/>
                <w:b/>
                <w:sz w:val="19"/>
                <w:szCs w:val="19"/>
              </w:rPr>
            </w:pPr>
            <w:r w:rsidRPr="00D80D58">
              <w:rPr>
                <w:rFonts w:ascii="Arial" w:hAnsi="Arial" w:cs="Arial"/>
                <w:sz w:val="19"/>
                <w:szCs w:val="19"/>
              </w:rPr>
              <w:t xml:space="preserve">40% women in all study tours and teach exchange programs </w:t>
            </w:r>
          </w:p>
        </w:tc>
        <w:tc>
          <w:tcPr>
            <w:tcW w:w="2664" w:type="dxa"/>
            <w:tcBorders>
              <w:top w:val="single" w:sz="4" w:space="0" w:color="auto"/>
              <w:left w:val="single" w:sz="4" w:space="0" w:color="auto"/>
              <w:bottom w:val="single" w:sz="4" w:space="0" w:color="auto"/>
              <w:right w:val="single" w:sz="4" w:space="0" w:color="auto"/>
            </w:tcBorders>
          </w:tcPr>
          <w:p w:rsidR="009E6616" w:rsidRPr="00D80D58" w:rsidRDefault="009E6616" w:rsidP="009E6616">
            <w:pPr>
              <w:rPr>
                <w:rFonts w:ascii="Arial" w:hAnsi="Arial" w:cs="Arial"/>
                <w:sz w:val="19"/>
                <w:szCs w:val="19"/>
              </w:rPr>
            </w:pPr>
            <w:r w:rsidRPr="00D80D58">
              <w:rPr>
                <w:rFonts w:ascii="Arial" w:hAnsi="Arial" w:cs="Arial"/>
                <w:sz w:val="19"/>
                <w:szCs w:val="19"/>
              </w:rPr>
              <w:t xml:space="preserve">53% (72/135) female participants on international study tours to ASEAN region counties </w:t>
            </w: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r w:rsidRPr="00D80D58">
              <w:rPr>
                <w:rFonts w:ascii="Arial" w:hAnsi="Arial" w:cs="Arial"/>
                <w:sz w:val="19"/>
                <w:szCs w:val="19"/>
              </w:rPr>
              <w:t xml:space="preserve">52% (122/253) female participants on in-Viet Nam study tours and teacher exchanges </w:t>
            </w:r>
          </w:p>
          <w:p w:rsidR="009E6616" w:rsidRPr="00D80D58" w:rsidRDefault="009E6616" w:rsidP="009E6616">
            <w:pPr>
              <w:rPr>
                <w:rFonts w:ascii="Arial" w:hAnsi="Arial" w:cs="Arial"/>
                <w:sz w:val="19"/>
                <w:szCs w:val="19"/>
              </w:rPr>
            </w:pPr>
          </w:p>
        </w:tc>
        <w:tc>
          <w:tcPr>
            <w:tcW w:w="1980" w:type="dxa"/>
            <w:vMerge/>
            <w:tcBorders>
              <w:left w:val="single" w:sz="4" w:space="0" w:color="auto"/>
              <w:right w:val="single" w:sz="4" w:space="0" w:color="auto"/>
            </w:tcBorders>
          </w:tcPr>
          <w:p w:rsidR="009E6616" w:rsidRPr="00D80D58" w:rsidRDefault="009E6616" w:rsidP="009E6616">
            <w:pPr>
              <w:rPr>
                <w:rFonts w:ascii="Arial" w:hAnsi="Arial" w:cs="Arial"/>
                <w:b/>
                <w:sz w:val="19"/>
                <w:szCs w:val="19"/>
              </w:rPr>
            </w:pPr>
          </w:p>
        </w:tc>
      </w:tr>
      <w:tr w:rsidR="009E6616" w:rsidRPr="00E65146" w:rsidTr="009E6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0" w:type="dxa"/>
            <w:vMerge/>
            <w:tcBorders>
              <w:left w:val="single" w:sz="4" w:space="0" w:color="auto"/>
              <w:right w:val="single" w:sz="4" w:space="0" w:color="auto"/>
            </w:tcBorders>
          </w:tcPr>
          <w:p w:rsidR="009E6616" w:rsidRPr="00D80D58" w:rsidRDefault="009E6616" w:rsidP="009E6616">
            <w:pPr>
              <w:rPr>
                <w:rFonts w:ascii="Arial" w:hAnsi="Arial" w:cs="Arial"/>
                <w:sz w:val="19"/>
                <w:szCs w:val="19"/>
              </w:rPr>
            </w:pPr>
          </w:p>
        </w:tc>
        <w:tc>
          <w:tcPr>
            <w:tcW w:w="2736" w:type="dxa"/>
            <w:tcBorders>
              <w:top w:val="single" w:sz="4" w:space="0" w:color="auto"/>
              <w:left w:val="single" w:sz="4" w:space="0" w:color="auto"/>
              <w:bottom w:val="single" w:sz="4" w:space="0" w:color="auto"/>
              <w:right w:val="single" w:sz="4" w:space="0" w:color="auto"/>
            </w:tcBorders>
          </w:tcPr>
          <w:p w:rsidR="009E6616" w:rsidRPr="00D80D58" w:rsidRDefault="009E6616" w:rsidP="00CA718F">
            <w:pPr>
              <w:numPr>
                <w:ilvl w:val="0"/>
                <w:numId w:val="10"/>
              </w:numPr>
              <w:rPr>
                <w:rFonts w:ascii="Arial" w:hAnsi="Arial" w:cs="Arial"/>
                <w:sz w:val="19"/>
                <w:szCs w:val="19"/>
              </w:rPr>
            </w:pPr>
            <w:r w:rsidRPr="00D80D58">
              <w:rPr>
                <w:rFonts w:ascii="Arial" w:hAnsi="Arial" w:cs="Arial"/>
                <w:sz w:val="19"/>
                <w:szCs w:val="19"/>
              </w:rPr>
              <w:t>Special entry programs for EM students strengthened and operational</w:t>
            </w:r>
          </w:p>
          <w:p w:rsidR="009E6616" w:rsidRPr="00D80D58" w:rsidRDefault="009E6616" w:rsidP="009E6616">
            <w:pPr>
              <w:rPr>
                <w:rFonts w:ascii="Arial" w:hAnsi="Arial" w:cs="Arial"/>
                <w:b/>
                <w:sz w:val="19"/>
                <w:szCs w:val="19"/>
              </w:rPr>
            </w:pPr>
          </w:p>
        </w:tc>
        <w:tc>
          <w:tcPr>
            <w:tcW w:w="2664" w:type="dxa"/>
            <w:tcBorders>
              <w:top w:val="single" w:sz="4" w:space="0" w:color="auto"/>
              <w:left w:val="single" w:sz="4" w:space="0" w:color="auto"/>
              <w:bottom w:val="single" w:sz="4" w:space="0" w:color="auto"/>
              <w:right w:val="single" w:sz="4" w:space="0" w:color="auto"/>
            </w:tcBorders>
          </w:tcPr>
          <w:p w:rsidR="009E6616" w:rsidRPr="00D80D58" w:rsidRDefault="009E6616" w:rsidP="009E6616">
            <w:pPr>
              <w:rPr>
                <w:rFonts w:ascii="Arial" w:hAnsi="Arial" w:cs="Arial"/>
                <w:sz w:val="19"/>
                <w:szCs w:val="19"/>
              </w:rPr>
            </w:pPr>
            <w:r w:rsidRPr="00D80D58">
              <w:rPr>
                <w:rFonts w:ascii="Arial" w:hAnsi="Arial" w:cs="Arial"/>
                <w:sz w:val="19"/>
                <w:szCs w:val="19"/>
              </w:rPr>
              <w:t>21% (51/242) of scholarships for health staff from remote areas to undertake specialized health professional qualifications targeted to EM health care workers</w:t>
            </w:r>
          </w:p>
          <w:p w:rsidR="009E6616" w:rsidRPr="00D80D58" w:rsidRDefault="009E6616" w:rsidP="009E6616">
            <w:pPr>
              <w:rPr>
                <w:rFonts w:ascii="Arial" w:hAnsi="Arial" w:cs="Arial"/>
                <w:sz w:val="19"/>
                <w:szCs w:val="19"/>
              </w:rPr>
            </w:pPr>
          </w:p>
        </w:tc>
        <w:tc>
          <w:tcPr>
            <w:tcW w:w="1980" w:type="dxa"/>
            <w:vMerge/>
            <w:tcBorders>
              <w:left w:val="single" w:sz="4" w:space="0" w:color="auto"/>
              <w:right w:val="single" w:sz="4" w:space="0" w:color="auto"/>
            </w:tcBorders>
          </w:tcPr>
          <w:p w:rsidR="009E6616" w:rsidRPr="00D80D58" w:rsidRDefault="009E6616" w:rsidP="009E6616">
            <w:pPr>
              <w:rPr>
                <w:rFonts w:ascii="Arial" w:hAnsi="Arial" w:cs="Arial"/>
                <w:b/>
                <w:sz w:val="19"/>
                <w:szCs w:val="19"/>
              </w:rPr>
            </w:pPr>
          </w:p>
        </w:tc>
      </w:tr>
      <w:tr w:rsidR="009E6616" w:rsidRPr="00E65146" w:rsidTr="009E6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0" w:type="dxa"/>
            <w:vMerge/>
            <w:tcBorders>
              <w:left w:val="single" w:sz="4" w:space="0" w:color="auto"/>
              <w:right w:val="single" w:sz="4" w:space="0" w:color="auto"/>
            </w:tcBorders>
          </w:tcPr>
          <w:p w:rsidR="009E6616" w:rsidRPr="00D80D58" w:rsidRDefault="009E6616" w:rsidP="009E6616">
            <w:pPr>
              <w:rPr>
                <w:rFonts w:ascii="Arial" w:hAnsi="Arial" w:cs="Arial"/>
                <w:sz w:val="19"/>
                <w:szCs w:val="19"/>
              </w:rPr>
            </w:pPr>
          </w:p>
        </w:tc>
        <w:tc>
          <w:tcPr>
            <w:tcW w:w="2736" w:type="dxa"/>
            <w:tcBorders>
              <w:top w:val="single" w:sz="4" w:space="0" w:color="auto"/>
              <w:left w:val="single" w:sz="4" w:space="0" w:color="auto"/>
              <w:bottom w:val="single" w:sz="4" w:space="0" w:color="auto"/>
              <w:right w:val="single" w:sz="4" w:space="0" w:color="auto"/>
            </w:tcBorders>
          </w:tcPr>
          <w:p w:rsidR="009E6616" w:rsidRPr="00D80D58" w:rsidRDefault="009E6616" w:rsidP="00CA718F">
            <w:pPr>
              <w:numPr>
                <w:ilvl w:val="0"/>
                <w:numId w:val="10"/>
              </w:numPr>
              <w:overflowPunct w:val="0"/>
              <w:autoSpaceDE w:val="0"/>
              <w:autoSpaceDN w:val="0"/>
              <w:adjustRightInd w:val="0"/>
              <w:textAlignment w:val="baseline"/>
              <w:rPr>
                <w:rFonts w:ascii="Arial" w:hAnsi="Arial" w:cs="Arial"/>
                <w:sz w:val="19"/>
                <w:szCs w:val="19"/>
              </w:rPr>
            </w:pPr>
            <w:r w:rsidRPr="00D80D58">
              <w:rPr>
                <w:rFonts w:ascii="Arial" w:hAnsi="Arial" w:cs="Arial"/>
                <w:sz w:val="19"/>
                <w:szCs w:val="19"/>
              </w:rPr>
              <w:t>50% scholarships reserved for women in pre-service and in-service training.</w:t>
            </w:r>
          </w:p>
          <w:p w:rsidR="009E6616" w:rsidRPr="00D80D58" w:rsidRDefault="009E6616" w:rsidP="009E6616">
            <w:pPr>
              <w:rPr>
                <w:rFonts w:ascii="Arial" w:hAnsi="Arial" w:cs="Arial"/>
                <w:b/>
                <w:sz w:val="19"/>
                <w:szCs w:val="19"/>
              </w:rPr>
            </w:pPr>
          </w:p>
        </w:tc>
        <w:tc>
          <w:tcPr>
            <w:tcW w:w="2664" w:type="dxa"/>
            <w:tcBorders>
              <w:top w:val="single" w:sz="4" w:space="0" w:color="auto"/>
              <w:left w:val="single" w:sz="4" w:space="0" w:color="auto"/>
              <w:bottom w:val="single" w:sz="4" w:space="0" w:color="auto"/>
              <w:right w:val="single" w:sz="4" w:space="0" w:color="auto"/>
            </w:tcBorders>
          </w:tcPr>
          <w:p w:rsidR="009E6616" w:rsidRPr="00D80D58" w:rsidRDefault="009E6616" w:rsidP="009E6616">
            <w:pPr>
              <w:rPr>
                <w:rFonts w:ascii="Arial" w:hAnsi="Arial" w:cs="Arial"/>
                <w:sz w:val="19"/>
                <w:szCs w:val="19"/>
              </w:rPr>
            </w:pPr>
            <w:r w:rsidRPr="00D80D58">
              <w:rPr>
                <w:rFonts w:ascii="Arial" w:hAnsi="Arial" w:cs="Arial"/>
                <w:sz w:val="19"/>
                <w:szCs w:val="19"/>
              </w:rPr>
              <w:t xml:space="preserve">34% (1080/3000) of recipients of supplementary scholarships were female </w:t>
            </w: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r w:rsidRPr="00D80D58">
              <w:rPr>
                <w:rFonts w:ascii="Arial" w:hAnsi="Arial" w:cs="Arial"/>
                <w:sz w:val="19"/>
                <w:szCs w:val="19"/>
              </w:rPr>
              <w:t xml:space="preserve">30% (72/242) of recipients of scholarships for to undertake specialized health professional qualifications were female </w:t>
            </w:r>
          </w:p>
        </w:tc>
        <w:tc>
          <w:tcPr>
            <w:tcW w:w="1980" w:type="dxa"/>
            <w:vMerge/>
            <w:tcBorders>
              <w:left w:val="single" w:sz="4" w:space="0" w:color="auto"/>
              <w:right w:val="single" w:sz="4" w:space="0" w:color="auto"/>
            </w:tcBorders>
          </w:tcPr>
          <w:p w:rsidR="009E6616" w:rsidRPr="00D80D58" w:rsidRDefault="009E6616" w:rsidP="009E6616">
            <w:pPr>
              <w:rPr>
                <w:rFonts w:ascii="Arial" w:hAnsi="Arial" w:cs="Arial"/>
                <w:b/>
                <w:sz w:val="19"/>
                <w:szCs w:val="19"/>
              </w:rPr>
            </w:pPr>
          </w:p>
        </w:tc>
      </w:tr>
      <w:tr w:rsidR="009E6616" w:rsidRPr="00E65146" w:rsidTr="009E6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0" w:type="dxa"/>
            <w:vMerge/>
            <w:tcBorders>
              <w:left w:val="single" w:sz="4" w:space="0" w:color="auto"/>
              <w:bottom w:val="single" w:sz="4" w:space="0" w:color="auto"/>
              <w:right w:val="single" w:sz="4" w:space="0" w:color="auto"/>
            </w:tcBorders>
          </w:tcPr>
          <w:p w:rsidR="009E6616" w:rsidRPr="00D80D58" w:rsidRDefault="009E6616" w:rsidP="009E6616">
            <w:pPr>
              <w:rPr>
                <w:rFonts w:ascii="Arial" w:hAnsi="Arial" w:cs="Arial"/>
                <w:sz w:val="19"/>
                <w:szCs w:val="19"/>
              </w:rPr>
            </w:pPr>
          </w:p>
        </w:tc>
        <w:tc>
          <w:tcPr>
            <w:tcW w:w="2736" w:type="dxa"/>
            <w:tcBorders>
              <w:top w:val="single" w:sz="4" w:space="0" w:color="auto"/>
              <w:left w:val="single" w:sz="4" w:space="0" w:color="auto"/>
              <w:bottom w:val="single" w:sz="4" w:space="0" w:color="auto"/>
              <w:right w:val="single" w:sz="4" w:space="0" w:color="auto"/>
            </w:tcBorders>
          </w:tcPr>
          <w:p w:rsidR="009E6616" w:rsidRPr="00D80D58" w:rsidRDefault="009E6616" w:rsidP="00CA718F">
            <w:pPr>
              <w:numPr>
                <w:ilvl w:val="0"/>
                <w:numId w:val="10"/>
              </w:numPr>
              <w:rPr>
                <w:rFonts w:ascii="Arial" w:hAnsi="Arial" w:cs="Arial"/>
                <w:b/>
                <w:sz w:val="19"/>
                <w:szCs w:val="19"/>
              </w:rPr>
            </w:pPr>
            <w:r w:rsidRPr="00D80D58">
              <w:rPr>
                <w:rFonts w:ascii="Arial" w:hAnsi="Arial" w:cs="Arial"/>
                <w:sz w:val="19"/>
                <w:szCs w:val="19"/>
              </w:rPr>
              <w:t>Professional Association of Rural Health Workers established and two meetings held by 2014</w:t>
            </w:r>
          </w:p>
        </w:tc>
        <w:tc>
          <w:tcPr>
            <w:tcW w:w="2664" w:type="dxa"/>
            <w:tcBorders>
              <w:top w:val="single" w:sz="4" w:space="0" w:color="auto"/>
              <w:left w:val="single" w:sz="4" w:space="0" w:color="auto"/>
              <w:bottom w:val="single" w:sz="4" w:space="0" w:color="auto"/>
              <w:right w:val="single" w:sz="4" w:space="0" w:color="auto"/>
            </w:tcBorders>
          </w:tcPr>
          <w:p w:rsidR="009E6616" w:rsidRPr="00D80D58" w:rsidRDefault="009E6616" w:rsidP="009E6616">
            <w:pPr>
              <w:rPr>
                <w:rFonts w:ascii="Arial" w:hAnsi="Arial" w:cs="Arial"/>
                <w:sz w:val="19"/>
                <w:szCs w:val="19"/>
              </w:rPr>
            </w:pPr>
            <w:r w:rsidRPr="00D80D58">
              <w:rPr>
                <w:rFonts w:ascii="Arial" w:hAnsi="Arial" w:cs="Arial"/>
                <w:sz w:val="19"/>
                <w:szCs w:val="19"/>
              </w:rPr>
              <w:t xml:space="preserve">An association was in place prior to project commencement. </w:t>
            </w: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r w:rsidRPr="00D80D58">
              <w:rPr>
                <w:rFonts w:ascii="Arial" w:hAnsi="Arial" w:cs="Arial"/>
                <w:sz w:val="19"/>
                <w:szCs w:val="19"/>
              </w:rPr>
              <w:t xml:space="preserve">242 scholarships for health staff from remote areas to undertake specialized health professional qualifications </w:t>
            </w:r>
            <w:r w:rsidRPr="00D80D58">
              <w:rPr>
                <w:rFonts w:ascii="Arial" w:hAnsi="Arial" w:cs="Arial"/>
                <w:color w:val="000000"/>
                <w:sz w:val="19"/>
                <w:szCs w:val="19"/>
              </w:rPr>
              <w:t xml:space="preserve"> </w:t>
            </w:r>
            <w:r w:rsidRPr="00D80D58">
              <w:rPr>
                <w:rFonts w:ascii="Arial" w:hAnsi="Arial" w:cs="Arial"/>
                <w:sz w:val="19"/>
                <w:szCs w:val="19"/>
              </w:rPr>
              <w:t>(30% female; 21% EM).</w:t>
            </w:r>
          </w:p>
          <w:p w:rsidR="009E6616" w:rsidRPr="00D80D58" w:rsidRDefault="009E6616" w:rsidP="009E6616">
            <w:pPr>
              <w:rPr>
                <w:rFonts w:ascii="Arial" w:hAnsi="Arial" w:cs="Arial"/>
                <w:color w:val="000000"/>
                <w:sz w:val="19"/>
                <w:szCs w:val="19"/>
              </w:rPr>
            </w:pPr>
          </w:p>
          <w:p w:rsidR="009E6616" w:rsidRPr="00D80D58" w:rsidRDefault="009E6616" w:rsidP="009E6616">
            <w:pPr>
              <w:rPr>
                <w:rFonts w:ascii="Arial" w:hAnsi="Arial" w:cs="Arial"/>
                <w:sz w:val="19"/>
                <w:szCs w:val="19"/>
              </w:rPr>
            </w:pPr>
            <w:r w:rsidRPr="00D80D58">
              <w:rPr>
                <w:rFonts w:ascii="Arial" w:hAnsi="Arial" w:cs="Arial"/>
                <w:sz w:val="19"/>
                <w:szCs w:val="19"/>
              </w:rPr>
              <w:t>The project has provided training to 948 rural health workers on primary health care curriculum (56% female; 20% EM).</w:t>
            </w: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r w:rsidRPr="00D80D58">
              <w:rPr>
                <w:rFonts w:ascii="Arial" w:hAnsi="Arial" w:cs="Arial"/>
                <w:sz w:val="19"/>
                <w:szCs w:val="19"/>
              </w:rPr>
              <w:t>The project has provided training to 2507 rural commune health workers</w:t>
            </w:r>
            <w:r w:rsidRPr="00D80D58">
              <w:rPr>
                <w:rFonts w:ascii="Arial" w:hAnsi="Arial" w:cs="Arial"/>
                <w:b/>
                <w:sz w:val="19"/>
                <w:szCs w:val="19"/>
              </w:rPr>
              <w:t xml:space="preserve">* </w:t>
            </w:r>
            <w:r w:rsidRPr="00D80D58">
              <w:rPr>
                <w:rFonts w:ascii="Arial" w:hAnsi="Arial" w:cs="Arial"/>
                <w:sz w:val="19"/>
                <w:szCs w:val="19"/>
              </w:rPr>
              <w:t>to improve their training and teaching skills  (43%% female; 26% EM).</w:t>
            </w: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r w:rsidRPr="00D80D58">
              <w:rPr>
                <w:rFonts w:ascii="Arial" w:hAnsi="Arial" w:cs="Arial"/>
                <w:b/>
                <w:sz w:val="19"/>
                <w:szCs w:val="19"/>
              </w:rPr>
              <w:t>*</w:t>
            </w:r>
            <w:r w:rsidRPr="00D80D58">
              <w:rPr>
                <w:rFonts w:ascii="Arial" w:hAnsi="Arial" w:cs="Arial"/>
                <w:sz w:val="19"/>
                <w:szCs w:val="19"/>
              </w:rPr>
              <w:t xml:space="preserve"> Commune health workers in this because schools take students on social practice so commune health staff serve as instructors </w:t>
            </w: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tc>
        <w:tc>
          <w:tcPr>
            <w:tcW w:w="1980" w:type="dxa"/>
            <w:vMerge/>
            <w:tcBorders>
              <w:left w:val="single" w:sz="4" w:space="0" w:color="auto"/>
              <w:bottom w:val="single" w:sz="4" w:space="0" w:color="auto"/>
              <w:right w:val="single" w:sz="4" w:space="0" w:color="auto"/>
            </w:tcBorders>
          </w:tcPr>
          <w:p w:rsidR="009E6616" w:rsidRPr="00D80D58" w:rsidRDefault="009E6616" w:rsidP="009E6616">
            <w:pPr>
              <w:rPr>
                <w:rFonts w:ascii="Arial" w:hAnsi="Arial" w:cs="Arial"/>
                <w:b/>
                <w:sz w:val="19"/>
                <w:szCs w:val="19"/>
              </w:rPr>
            </w:pPr>
          </w:p>
        </w:tc>
      </w:tr>
      <w:tr w:rsidR="009E6616" w:rsidRPr="00E65146" w:rsidTr="009E6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0"/>
        </w:trPr>
        <w:tc>
          <w:tcPr>
            <w:tcW w:w="1800" w:type="dxa"/>
            <w:vMerge w:val="restart"/>
          </w:tcPr>
          <w:p w:rsidR="009E6616" w:rsidRPr="00D80D58" w:rsidRDefault="009E6616" w:rsidP="009E6616">
            <w:pPr>
              <w:rPr>
                <w:rFonts w:ascii="Arial" w:hAnsi="Arial" w:cs="Arial"/>
                <w:sz w:val="19"/>
                <w:szCs w:val="19"/>
              </w:rPr>
            </w:pPr>
            <w:r w:rsidRPr="00D80D58">
              <w:rPr>
                <w:rFonts w:ascii="Arial" w:hAnsi="Arial" w:cs="Arial"/>
                <w:sz w:val="19"/>
                <w:szCs w:val="19"/>
              </w:rPr>
              <w:t>3. Improved management systems health service delivery</w:t>
            </w: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tc>
        <w:tc>
          <w:tcPr>
            <w:tcW w:w="2736" w:type="dxa"/>
          </w:tcPr>
          <w:p w:rsidR="009E6616" w:rsidRPr="00D80D58" w:rsidRDefault="009E6616" w:rsidP="009E6616">
            <w:pPr>
              <w:rPr>
                <w:rFonts w:ascii="Arial" w:hAnsi="Arial" w:cs="Arial"/>
                <w:b/>
                <w:sz w:val="19"/>
                <w:szCs w:val="19"/>
              </w:rPr>
            </w:pPr>
            <w:r w:rsidRPr="00D80D58">
              <w:rPr>
                <w:rFonts w:ascii="Arial" w:hAnsi="Arial" w:cs="Arial"/>
                <w:b/>
                <w:sz w:val="19"/>
                <w:szCs w:val="19"/>
              </w:rPr>
              <w:t>Program</w:t>
            </w:r>
          </w:p>
          <w:p w:rsidR="009E6616" w:rsidRPr="00D80D58" w:rsidRDefault="009E6616" w:rsidP="00CA718F">
            <w:pPr>
              <w:numPr>
                <w:ilvl w:val="0"/>
                <w:numId w:val="12"/>
              </w:numPr>
              <w:rPr>
                <w:rFonts w:ascii="Arial" w:hAnsi="Arial" w:cs="Arial"/>
                <w:sz w:val="19"/>
                <w:szCs w:val="19"/>
              </w:rPr>
            </w:pPr>
            <w:r w:rsidRPr="00D80D58">
              <w:rPr>
                <w:rFonts w:ascii="Arial" w:hAnsi="Arial" w:cs="Arial"/>
                <w:sz w:val="19"/>
                <w:szCs w:val="19"/>
              </w:rPr>
              <w:t xml:space="preserve">a </w:t>
            </w:r>
            <w:r w:rsidRPr="00D80D58">
              <w:rPr>
                <w:rFonts w:ascii="Arial" w:hAnsi="Arial" w:cs="Arial"/>
                <w:i/>
                <w:sz w:val="19"/>
                <w:szCs w:val="19"/>
              </w:rPr>
              <w:t>De An</w:t>
            </w:r>
            <w:r w:rsidRPr="00D80D58">
              <w:rPr>
                <w:rFonts w:ascii="Arial" w:hAnsi="Arial" w:cs="Arial"/>
                <w:sz w:val="19"/>
                <w:szCs w:val="19"/>
              </w:rPr>
              <w:t xml:space="preserve"> authorizing pilot study on case-based provider payment linked to care pathways issued by April 2010. </w:t>
            </w:r>
          </w:p>
          <w:p w:rsidR="009E6616" w:rsidRPr="00D80D58" w:rsidRDefault="009E6616" w:rsidP="009E6616">
            <w:pPr>
              <w:ind w:left="216"/>
              <w:rPr>
                <w:rFonts w:ascii="Arial" w:hAnsi="Arial" w:cs="Arial"/>
                <w:sz w:val="19"/>
                <w:szCs w:val="19"/>
              </w:rPr>
            </w:pPr>
          </w:p>
          <w:p w:rsidR="009E6616" w:rsidRPr="00D80D58" w:rsidRDefault="009E6616" w:rsidP="009E6616">
            <w:pPr>
              <w:rPr>
                <w:rFonts w:ascii="Arial" w:hAnsi="Arial" w:cs="Arial"/>
                <w:b/>
                <w:sz w:val="19"/>
                <w:szCs w:val="19"/>
              </w:rPr>
            </w:pPr>
          </w:p>
          <w:p w:rsidR="009E6616" w:rsidRPr="00D80D58" w:rsidRDefault="009E6616" w:rsidP="009E6616">
            <w:pPr>
              <w:ind w:left="216"/>
              <w:rPr>
                <w:rFonts w:ascii="Arial" w:hAnsi="Arial" w:cs="Arial"/>
                <w:sz w:val="19"/>
                <w:szCs w:val="19"/>
              </w:rPr>
            </w:pPr>
          </w:p>
        </w:tc>
        <w:tc>
          <w:tcPr>
            <w:tcW w:w="2664" w:type="dxa"/>
          </w:tcPr>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r w:rsidRPr="00D80D58">
              <w:rPr>
                <w:rFonts w:ascii="Arial" w:hAnsi="Arial" w:cs="Arial"/>
                <w:sz w:val="19"/>
                <w:szCs w:val="19"/>
              </w:rPr>
              <w:t>De An issued.</w:t>
            </w:r>
          </w:p>
          <w:p w:rsidR="009E6616" w:rsidRPr="00D80D58" w:rsidRDefault="009E6616" w:rsidP="009E6616">
            <w:pPr>
              <w:pStyle w:val="ColorfulList-Accent11"/>
              <w:rPr>
                <w:rFonts w:ascii="Arial" w:hAnsi="Arial" w:cs="Arial"/>
                <w:sz w:val="19"/>
                <w:szCs w:val="19"/>
              </w:rPr>
            </w:pPr>
          </w:p>
          <w:p w:rsidR="009E6616" w:rsidRPr="00D80D58" w:rsidRDefault="009E6616" w:rsidP="009E6616">
            <w:pPr>
              <w:ind w:left="216"/>
              <w:rPr>
                <w:rFonts w:ascii="Arial" w:hAnsi="Arial" w:cs="Arial"/>
                <w:sz w:val="19"/>
                <w:szCs w:val="19"/>
              </w:rPr>
            </w:pPr>
          </w:p>
        </w:tc>
        <w:tc>
          <w:tcPr>
            <w:tcW w:w="1980" w:type="dxa"/>
            <w:vMerge w:val="restart"/>
          </w:tcPr>
          <w:p w:rsidR="009E6616" w:rsidRPr="00D80D58" w:rsidRDefault="009E6616" w:rsidP="009E6616">
            <w:pPr>
              <w:rPr>
                <w:rFonts w:ascii="Arial" w:hAnsi="Arial" w:cs="Arial"/>
                <w:b/>
                <w:sz w:val="19"/>
                <w:szCs w:val="19"/>
              </w:rPr>
            </w:pPr>
            <w:r w:rsidRPr="00D80D58">
              <w:rPr>
                <w:rFonts w:ascii="Arial" w:hAnsi="Arial" w:cs="Arial"/>
                <w:b/>
                <w:sz w:val="19"/>
                <w:szCs w:val="19"/>
              </w:rPr>
              <w:t xml:space="preserve">Assumptions </w:t>
            </w:r>
          </w:p>
          <w:p w:rsidR="009E6616" w:rsidRPr="00D80D58" w:rsidRDefault="009E6616" w:rsidP="00CA718F">
            <w:pPr>
              <w:numPr>
                <w:ilvl w:val="0"/>
                <w:numId w:val="9"/>
              </w:numPr>
              <w:rPr>
                <w:rFonts w:ascii="Arial" w:hAnsi="Arial" w:cs="Arial"/>
                <w:sz w:val="19"/>
                <w:szCs w:val="19"/>
              </w:rPr>
            </w:pPr>
            <w:r w:rsidRPr="00D80D58">
              <w:rPr>
                <w:rFonts w:ascii="Arial" w:hAnsi="Arial" w:cs="Arial"/>
                <w:sz w:val="19"/>
                <w:szCs w:val="19"/>
              </w:rPr>
              <w:t>Managers of pilot hospitals willing to participate.</w:t>
            </w:r>
          </w:p>
          <w:p w:rsidR="009E6616" w:rsidRPr="00D80D58" w:rsidRDefault="009E6616" w:rsidP="00CA718F">
            <w:pPr>
              <w:numPr>
                <w:ilvl w:val="0"/>
                <w:numId w:val="9"/>
              </w:numPr>
              <w:rPr>
                <w:rFonts w:ascii="Arial" w:hAnsi="Arial" w:cs="Arial"/>
                <w:sz w:val="19"/>
                <w:szCs w:val="19"/>
              </w:rPr>
            </w:pPr>
            <w:r w:rsidRPr="00D80D58">
              <w:rPr>
                <w:rFonts w:ascii="Arial" w:hAnsi="Arial" w:cs="Arial"/>
                <w:sz w:val="19"/>
                <w:szCs w:val="19"/>
              </w:rPr>
              <w:t xml:space="preserve">Health insurance authorities become active participants </w:t>
            </w:r>
          </w:p>
          <w:p w:rsidR="009E6616" w:rsidRPr="00D80D58" w:rsidRDefault="009E6616" w:rsidP="00CA718F">
            <w:pPr>
              <w:numPr>
                <w:ilvl w:val="0"/>
                <w:numId w:val="9"/>
              </w:numPr>
              <w:rPr>
                <w:rFonts w:ascii="Arial" w:hAnsi="Arial" w:cs="Arial"/>
                <w:sz w:val="19"/>
                <w:szCs w:val="19"/>
              </w:rPr>
            </w:pPr>
            <w:r w:rsidRPr="00D80D58">
              <w:rPr>
                <w:rFonts w:ascii="Arial" w:hAnsi="Arial" w:cs="Arial"/>
                <w:sz w:val="19"/>
                <w:szCs w:val="19"/>
              </w:rPr>
              <w:t>Pilot study demonstrates improvements in hospital efficiency and service delivery costing</w:t>
            </w:r>
          </w:p>
          <w:p w:rsidR="009E6616" w:rsidRPr="00D80D58" w:rsidRDefault="009E6616" w:rsidP="00CA718F">
            <w:pPr>
              <w:numPr>
                <w:ilvl w:val="0"/>
                <w:numId w:val="9"/>
              </w:numPr>
              <w:rPr>
                <w:rFonts w:ascii="Arial" w:hAnsi="Arial" w:cs="Arial"/>
                <w:sz w:val="19"/>
                <w:szCs w:val="19"/>
              </w:rPr>
            </w:pPr>
            <w:r w:rsidRPr="00D80D58">
              <w:rPr>
                <w:rFonts w:ascii="Arial" w:hAnsi="Arial" w:cs="Arial"/>
                <w:sz w:val="19"/>
                <w:szCs w:val="19"/>
              </w:rPr>
              <w:t>MOH pay due effort to institutional capacity building for provider payment reform</w:t>
            </w:r>
          </w:p>
          <w:p w:rsidR="009E6616" w:rsidRPr="00D80D58" w:rsidRDefault="009E6616" w:rsidP="009E6616">
            <w:pPr>
              <w:ind w:left="216"/>
              <w:rPr>
                <w:rFonts w:ascii="Arial" w:hAnsi="Arial" w:cs="Arial"/>
                <w:sz w:val="19"/>
                <w:szCs w:val="19"/>
              </w:rPr>
            </w:pPr>
          </w:p>
          <w:p w:rsidR="009E6616" w:rsidRPr="00D80D58" w:rsidRDefault="009E6616" w:rsidP="009E6616">
            <w:pPr>
              <w:rPr>
                <w:rFonts w:ascii="Arial" w:hAnsi="Arial" w:cs="Arial"/>
                <w:b/>
                <w:sz w:val="19"/>
                <w:szCs w:val="19"/>
              </w:rPr>
            </w:pPr>
            <w:r w:rsidRPr="00D80D58">
              <w:rPr>
                <w:rFonts w:ascii="Arial" w:hAnsi="Arial" w:cs="Arial"/>
                <w:b/>
                <w:sz w:val="19"/>
                <w:szCs w:val="19"/>
              </w:rPr>
              <w:t>Risks</w:t>
            </w:r>
          </w:p>
          <w:p w:rsidR="009E6616" w:rsidRPr="00D80D58" w:rsidRDefault="009E6616" w:rsidP="00CA718F">
            <w:pPr>
              <w:numPr>
                <w:ilvl w:val="0"/>
                <w:numId w:val="9"/>
              </w:numPr>
              <w:rPr>
                <w:rFonts w:ascii="Arial" w:hAnsi="Arial" w:cs="Arial"/>
                <w:sz w:val="19"/>
                <w:szCs w:val="19"/>
              </w:rPr>
            </w:pPr>
            <w:r w:rsidRPr="00D80D58">
              <w:rPr>
                <w:rFonts w:ascii="Arial" w:hAnsi="Arial" w:cs="Arial"/>
                <w:sz w:val="19"/>
                <w:szCs w:val="19"/>
              </w:rPr>
              <w:t>Managers and systems of district hospitals are not strong enough to support new methods.</w:t>
            </w:r>
          </w:p>
          <w:p w:rsidR="009E6616" w:rsidRPr="00D80D58" w:rsidRDefault="009E6616" w:rsidP="00CA718F">
            <w:pPr>
              <w:numPr>
                <w:ilvl w:val="0"/>
                <w:numId w:val="9"/>
              </w:numPr>
              <w:rPr>
                <w:rFonts w:ascii="Arial" w:hAnsi="Arial" w:cs="Arial"/>
                <w:sz w:val="19"/>
                <w:szCs w:val="19"/>
              </w:rPr>
            </w:pPr>
            <w:r w:rsidRPr="00D80D58">
              <w:rPr>
                <w:rFonts w:ascii="Arial" w:hAnsi="Arial" w:cs="Arial"/>
                <w:sz w:val="19"/>
                <w:szCs w:val="19"/>
              </w:rPr>
              <w:t>Case-based payment system does not provide pilot hospitals with adequate revenues.</w:t>
            </w:r>
          </w:p>
          <w:p w:rsidR="009E6616" w:rsidRPr="00D80D58" w:rsidRDefault="009E6616" w:rsidP="00CA718F">
            <w:pPr>
              <w:numPr>
                <w:ilvl w:val="0"/>
                <w:numId w:val="9"/>
              </w:numPr>
              <w:rPr>
                <w:rFonts w:ascii="Arial" w:hAnsi="Arial" w:cs="Arial"/>
                <w:sz w:val="19"/>
                <w:szCs w:val="19"/>
              </w:rPr>
            </w:pPr>
            <w:r w:rsidRPr="00D80D58">
              <w:rPr>
                <w:rFonts w:ascii="Arial" w:hAnsi="Arial" w:cs="Arial"/>
                <w:sz w:val="19"/>
                <w:szCs w:val="19"/>
              </w:rPr>
              <w:t>Care pathways and case-based payments have no impact on affordability of health care for the poor.</w:t>
            </w:r>
          </w:p>
          <w:p w:rsidR="009E6616" w:rsidRPr="00D80D58" w:rsidRDefault="009E6616" w:rsidP="00CA718F">
            <w:pPr>
              <w:numPr>
                <w:ilvl w:val="0"/>
                <w:numId w:val="9"/>
              </w:numPr>
              <w:rPr>
                <w:rFonts w:ascii="Arial" w:hAnsi="Arial" w:cs="Arial"/>
                <w:sz w:val="19"/>
                <w:szCs w:val="19"/>
              </w:rPr>
            </w:pPr>
            <w:r w:rsidRPr="00D80D58">
              <w:rPr>
                <w:rFonts w:ascii="Arial" w:hAnsi="Arial" w:cs="Arial"/>
                <w:sz w:val="19"/>
                <w:szCs w:val="19"/>
              </w:rPr>
              <w:t>Case-based payment implementation activities constrained due to lack of capable staff</w:t>
            </w:r>
          </w:p>
        </w:tc>
      </w:tr>
      <w:tr w:rsidR="009E6616" w:rsidRPr="00E65146" w:rsidTr="009E6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0"/>
        </w:trPr>
        <w:tc>
          <w:tcPr>
            <w:tcW w:w="1800" w:type="dxa"/>
            <w:vMerge/>
          </w:tcPr>
          <w:p w:rsidR="009E6616" w:rsidRPr="00D80D58" w:rsidRDefault="009E6616" w:rsidP="009E6616">
            <w:pPr>
              <w:rPr>
                <w:rFonts w:ascii="Arial" w:hAnsi="Arial" w:cs="Arial"/>
                <w:sz w:val="19"/>
                <w:szCs w:val="19"/>
              </w:rPr>
            </w:pPr>
          </w:p>
        </w:tc>
        <w:tc>
          <w:tcPr>
            <w:tcW w:w="2736" w:type="dxa"/>
          </w:tcPr>
          <w:p w:rsidR="009E6616" w:rsidRPr="00D80D58" w:rsidRDefault="009E6616" w:rsidP="00185E36">
            <w:pPr>
              <w:numPr>
                <w:ilvl w:val="0"/>
                <w:numId w:val="14"/>
              </w:numPr>
              <w:rPr>
                <w:rFonts w:ascii="Arial" w:hAnsi="Arial" w:cs="Arial"/>
                <w:sz w:val="19"/>
                <w:szCs w:val="19"/>
              </w:rPr>
            </w:pPr>
            <w:r w:rsidRPr="00D80D58">
              <w:rPr>
                <w:rFonts w:ascii="Arial" w:hAnsi="Arial" w:cs="Arial"/>
                <w:sz w:val="19"/>
                <w:szCs w:val="19"/>
              </w:rPr>
              <w:t xml:space="preserve">24 care pathways developed and used in 6 hospitals by December 2012 </w:t>
            </w:r>
          </w:p>
          <w:p w:rsidR="009E6616" w:rsidRPr="00D80D58" w:rsidRDefault="009E6616" w:rsidP="009E6616">
            <w:pPr>
              <w:rPr>
                <w:rFonts w:ascii="Arial" w:hAnsi="Arial" w:cs="Arial"/>
                <w:b/>
                <w:sz w:val="19"/>
                <w:szCs w:val="19"/>
              </w:rPr>
            </w:pPr>
          </w:p>
        </w:tc>
        <w:tc>
          <w:tcPr>
            <w:tcW w:w="2664" w:type="dxa"/>
          </w:tcPr>
          <w:p w:rsidR="009E6616" w:rsidRPr="00D80D58" w:rsidRDefault="009E6616" w:rsidP="009E6616">
            <w:pPr>
              <w:widowControl w:val="0"/>
              <w:autoSpaceDE w:val="0"/>
              <w:autoSpaceDN w:val="0"/>
              <w:adjustRightInd w:val="0"/>
              <w:spacing w:after="240"/>
              <w:rPr>
                <w:rFonts w:ascii="Arial" w:hAnsi="Arial" w:cs="Arial"/>
                <w:sz w:val="19"/>
                <w:szCs w:val="19"/>
              </w:rPr>
            </w:pPr>
            <w:r w:rsidRPr="00D80D58">
              <w:rPr>
                <w:rFonts w:ascii="Arial" w:hAnsi="Arial" w:cs="Arial"/>
                <w:sz w:val="19"/>
                <w:szCs w:val="19"/>
              </w:rPr>
              <w:t>Ongoing activity.</w:t>
            </w:r>
          </w:p>
          <w:p w:rsidR="009E6616" w:rsidRPr="00D80D58" w:rsidRDefault="009E6616" w:rsidP="009E6616">
            <w:pPr>
              <w:widowControl w:val="0"/>
              <w:autoSpaceDE w:val="0"/>
              <w:autoSpaceDN w:val="0"/>
              <w:adjustRightInd w:val="0"/>
              <w:spacing w:after="240"/>
              <w:rPr>
                <w:rFonts w:ascii="Arial" w:hAnsi="Arial" w:cs="Arial"/>
                <w:sz w:val="19"/>
                <w:szCs w:val="19"/>
              </w:rPr>
            </w:pPr>
            <w:r w:rsidRPr="00D80D58">
              <w:rPr>
                <w:rFonts w:ascii="Arial" w:hAnsi="Arial" w:cs="Arial"/>
                <w:sz w:val="19"/>
                <w:szCs w:val="19"/>
              </w:rPr>
              <w:t>26 CPs for high-volume conditions including 5 CPs medical conditions that primarily affect women.</w:t>
            </w:r>
          </w:p>
          <w:p w:rsidR="009E6616" w:rsidRPr="00D80D58" w:rsidRDefault="009E6616" w:rsidP="009E6616">
            <w:pPr>
              <w:widowControl w:val="0"/>
              <w:autoSpaceDE w:val="0"/>
              <w:autoSpaceDN w:val="0"/>
              <w:adjustRightInd w:val="0"/>
              <w:spacing w:after="240"/>
              <w:rPr>
                <w:rFonts w:ascii="Arial" w:hAnsi="Arial" w:cs="Arial"/>
                <w:sz w:val="19"/>
                <w:szCs w:val="19"/>
              </w:rPr>
            </w:pPr>
            <w:r w:rsidRPr="00D80D58">
              <w:rPr>
                <w:rFonts w:ascii="Arial" w:hAnsi="Arial" w:cs="Arial"/>
                <w:sz w:val="19"/>
                <w:szCs w:val="19"/>
              </w:rPr>
              <w:t xml:space="preserve">Preliminary cost outcomes and cost per case analysis for 30 CPs (includes 4 CPs from the previous pilot project) </w:t>
            </w: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p>
        </w:tc>
        <w:tc>
          <w:tcPr>
            <w:tcW w:w="1980" w:type="dxa"/>
            <w:vMerge/>
          </w:tcPr>
          <w:p w:rsidR="009E6616" w:rsidRPr="00D80D58" w:rsidRDefault="009E6616" w:rsidP="009E6616">
            <w:pPr>
              <w:rPr>
                <w:rFonts w:ascii="Arial" w:hAnsi="Arial" w:cs="Arial"/>
                <w:b/>
                <w:sz w:val="19"/>
                <w:szCs w:val="19"/>
              </w:rPr>
            </w:pPr>
          </w:p>
        </w:tc>
      </w:tr>
      <w:tr w:rsidR="009E6616" w:rsidRPr="00E65146" w:rsidTr="009E6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0"/>
        </w:trPr>
        <w:tc>
          <w:tcPr>
            <w:tcW w:w="1800" w:type="dxa"/>
            <w:vMerge/>
          </w:tcPr>
          <w:p w:rsidR="009E6616" w:rsidRPr="00D80D58" w:rsidRDefault="009E6616" w:rsidP="009E6616">
            <w:pPr>
              <w:rPr>
                <w:rFonts w:ascii="Arial" w:hAnsi="Arial" w:cs="Arial"/>
                <w:sz w:val="19"/>
                <w:szCs w:val="19"/>
              </w:rPr>
            </w:pPr>
          </w:p>
        </w:tc>
        <w:tc>
          <w:tcPr>
            <w:tcW w:w="2736" w:type="dxa"/>
          </w:tcPr>
          <w:p w:rsidR="009E6616" w:rsidRPr="00D80D58" w:rsidRDefault="009E6616" w:rsidP="009E6616">
            <w:pPr>
              <w:ind w:left="216"/>
              <w:rPr>
                <w:rFonts w:ascii="Arial" w:hAnsi="Arial" w:cs="Arial"/>
                <w:sz w:val="19"/>
                <w:szCs w:val="19"/>
              </w:rPr>
            </w:pPr>
          </w:p>
          <w:p w:rsidR="009E6616" w:rsidRPr="00D80D58" w:rsidRDefault="009E6616" w:rsidP="00CA718F">
            <w:pPr>
              <w:numPr>
                <w:ilvl w:val="0"/>
                <w:numId w:val="12"/>
              </w:numPr>
              <w:rPr>
                <w:rFonts w:ascii="Arial" w:hAnsi="Arial" w:cs="Arial"/>
                <w:sz w:val="19"/>
                <w:szCs w:val="19"/>
              </w:rPr>
            </w:pPr>
            <w:r w:rsidRPr="00D80D58">
              <w:rPr>
                <w:rFonts w:ascii="Arial" w:hAnsi="Arial" w:cs="Arial"/>
                <w:sz w:val="19"/>
                <w:szCs w:val="19"/>
              </w:rPr>
              <w:t>Guidelines for financing reform associated with care pathways submitted to Ministry of Finance (MOF) and MOH by December 2012.</w:t>
            </w:r>
          </w:p>
          <w:p w:rsidR="009E6616" w:rsidRPr="00D80D58" w:rsidRDefault="009E6616" w:rsidP="009E6616">
            <w:pPr>
              <w:rPr>
                <w:rFonts w:ascii="Arial" w:hAnsi="Arial" w:cs="Arial"/>
                <w:b/>
                <w:sz w:val="19"/>
                <w:szCs w:val="19"/>
              </w:rPr>
            </w:pPr>
          </w:p>
        </w:tc>
        <w:tc>
          <w:tcPr>
            <w:tcW w:w="2664" w:type="dxa"/>
          </w:tcPr>
          <w:p w:rsidR="009E6616" w:rsidRPr="00D80D58" w:rsidRDefault="009E6616" w:rsidP="009E6616">
            <w:pPr>
              <w:rPr>
                <w:rFonts w:ascii="Arial" w:hAnsi="Arial" w:cs="Arial"/>
                <w:sz w:val="19"/>
                <w:szCs w:val="19"/>
              </w:rPr>
            </w:pPr>
          </w:p>
          <w:p w:rsidR="009E6616" w:rsidRPr="00D80D58" w:rsidRDefault="008A5D3F" w:rsidP="009E6616">
            <w:pPr>
              <w:rPr>
                <w:rFonts w:ascii="Arial" w:hAnsi="Arial" w:cs="Arial"/>
                <w:sz w:val="19"/>
                <w:szCs w:val="19"/>
              </w:rPr>
            </w:pPr>
            <w:r w:rsidRPr="00D80D58">
              <w:rPr>
                <w:rFonts w:ascii="Arial" w:hAnsi="Arial" w:cs="Arial"/>
                <w:sz w:val="19"/>
                <w:szCs w:val="19"/>
              </w:rPr>
              <w:t>Completed.</w:t>
            </w:r>
          </w:p>
          <w:p w:rsidR="009F3F9A" w:rsidRPr="00D80D58" w:rsidRDefault="009F3F9A" w:rsidP="009E6616">
            <w:pPr>
              <w:rPr>
                <w:rFonts w:ascii="Arial" w:hAnsi="Arial" w:cs="Arial"/>
                <w:sz w:val="19"/>
                <w:szCs w:val="19"/>
              </w:rPr>
            </w:pPr>
          </w:p>
        </w:tc>
        <w:tc>
          <w:tcPr>
            <w:tcW w:w="1980" w:type="dxa"/>
            <w:vMerge/>
          </w:tcPr>
          <w:p w:rsidR="009E6616" w:rsidRPr="00D80D58" w:rsidRDefault="009E6616" w:rsidP="009E6616">
            <w:pPr>
              <w:rPr>
                <w:rFonts w:ascii="Arial" w:hAnsi="Arial" w:cs="Arial"/>
                <w:b/>
                <w:sz w:val="19"/>
                <w:szCs w:val="19"/>
              </w:rPr>
            </w:pPr>
          </w:p>
        </w:tc>
      </w:tr>
      <w:tr w:rsidR="009E6616" w:rsidRPr="00E65146" w:rsidTr="009E6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0"/>
        </w:trPr>
        <w:tc>
          <w:tcPr>
            <w:tcW w:w="1800" w:type="dxa"/>
            <w:vMerge/>
          </w:tcPr>
          <w:p w:rsidR="009E6616" w:rsidRPr="00D80D58" w:rsidRDefault="009E6616" w:rsidP="009E6616">
            <w:pPr>
              <w:rPr>
                <w:rFonts w:ascii="Arial" w:hAnsi="Arial" w:cs="Arial"/>
                <w:sz w:val="19"/>
                <w:szCs w:val="19"/>
              </w:rPr>
            </w:pPr>
          </w:p>
        </w:tc>
        <w:tc>
          <w:tcPr>
            <w:tcW w:w="2736" w:type="dxa"/>
          </w:tcPr>
          <w:p w:rsidR="009E6616" w:rsidRPr="00D80D58" w:rsidRDefault="009E6616" w:rsidP="009E6616">
            <w:pPr>
              <w:rPr>
                <w:rFonts w:ascii="Arial" w:hAnsi="Arial" w:cs="Arial"/>
                <w:b/>
                <w:sz w:val="19"/>
                <w:szCs w:val="19"/>
              </w:rPr>
            </w:pPr>
            <w:r w:rsidRPr="00D80D58">
              <w:rPr>
                <w:rFonts w:ascii="Arial" w:hAnsi="Arial" w:cs="Arial"/>
                <w:b/>
                <w:sz w:val="19"/>
                <w:szCs w:val="19"/>
              </w:rPr>
              <w:t>Project</w:t>
            </w:r>
          </w:p>
          <w:p w:rsidR="009E6616" w:rsidRPr="00D80D58" w:rsidRDefault="009E6616" w:rsidP="00185E36">
            <w:pPr>
              <w:numPr>
                <w:ilvl w:val="0"/>
                <w:numId w:val="15"/>
              </w:numPr>
              <w:rPr>
                <w:rFonts w:ascii="Arial" w:hAnsi="Arial" w:cs="Arial"/>
                <w:b/>
                <w:sz w:val="19"/>
                <w:szCs w:val="19"/>
              </w:rPr>
            </w:pPr>
            <w:r w:rsidRPr="00D80D58">
              <w:rPr>
                <w:rFonts w:ascii="Arial" w:hAnsi="Arial" w:cs="Arial"/>
                <w:sz w:val="19"/>
                <w:szCs w:val="19"/>
              </w:rPr>
              <w:t xml:space="preserve">By 2014, 50% of revenue via case-based payment mechanism in each of the 20 project hospital </w:t>
            </w:r>
          </w:p>
          <w:p w:rsidR="009E6616" w:rsidRPr="00D80D58" w:rsidRDefault="009E6616" w:rsidP="009E6616">
            <w:pPr>
              <w:rPr>
                <w:rFonts w:ascii="Arial" w:hAnsi="Arial" w:cs="Arial"/>
                <w:b/>
                <w:sz w:val="19"/>
                <w:szCs w:val="19"/>
              </w:rPr>
            </w:pPr>
          </w:p>
        </w:tc>
        <w:tc>
          <w:tcPr>
            <w:tcW w:w="2664" w:type="dxa"/>
          </w:tcPr>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r w:rsidRPr="00D80D58">
              <w:rPr>
                <w:rFonts w:ascii="Arial" w:hAnsi="Arial" w:cs="Arial"/>
                <w:sz w:val="19"/>
                <w:szCs w:val="19"/>
              </w:rPr>
              <w:t>Piloting of case based payments using the costed care pathways has not yet commenced.</w:t>
            </w:r>
          </w:p>
        </w:tc>
        <w:tc>
          <w:tcPr>
            <w:tcW w:w="1980" w:type="dxa"/>
            <w:vMerge/>
          </w:tcPr>
          <w:p w:rsidR="009E6616" w:rsidRPr="00D80D58" w:rsidRDefault="009E6616" w:rsidP="009E6616">
            <w:pPr>
              <w:rPr>
                <w:rFonts w:ascii="Arial" w:hAnsi="Arial" w:cs="Arial"/>
                <w:b/>
                <w:sz w:val="19"/>
                <w:szCs w:val="19"/>
              </w:rPr>
            </w:pPr>
          </w:p>
        </w:tc>
      </w:tr>
      <w:tr w:rsidR="009E6616" w:rsidRPr="00E65146" w:rsidTr="009E6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0"/>
        </w:trPr>
        <w:tc>
          <w:tcPr>
            <w:tcW w:w="1800" w:type="dxa"/>
            <w:vMerge/>
          </w:tcPr>
          <w:p w:rsidR="009E6616" w:rsidRPr="00D80D58" w:rsidRDefault="009E6616" w:rsidP="009E6616">
            <w:pPr>
              <w:rPr>
                <w:rFonts w:ascii="Arial" w:hAnsi="Arial" w:cs="Arial"/>
                <w:sz w:val="19"/>
                <w:szCs w:val="19"/>
              </w:rPr>
            </w:pPr>
          </w:p>
        </w:tc>
        <w:tc>
          <w:tcPr>
            <w:tcW w:w="2736" w:type="dxa"/>
          </w:tcPr>
          <w:p w:rsidR="009E6616" w:rsidRPr="00D80D58" w:rsidRDefault="009E6616" w:rsidP="009E6616">
            <w:pPr>
              <w:rPr>
                <w:rFonts w:ascii="Arial" w:hAnsi="Arial" w:cs="Arial"/>
                <w:b/>
                <w:sz w:val="19"/>
                <w:szCs w:val="19"/>
              </w:rPr>
            </w:pPr>
            <w:r w:rsidRPr="00D80D58">
              <w:rPr>
                <w:rFonts w:ascii="Arial" w:hAnsi="Arial" w:cs="Arial"/>
                <w:sz w:val="19"/>
                <w:szCs w:val="19"/>
              </w:rPr>
              <w:t>By project completion:</w:t>
            </w:r>
          </w:p>
          <w:p w:rsidR="009E6616" w:rsidRPr="00D80D58" w:rsidRDefault="009E6616" w:rsidP="00185E36">
            <w:pPr>
              <w:numPr>
                <w:ilvl w:val="0"/>
                <w:numId w:val="15"/>
              </w:numPr>
              <w:rPr>
                <w:rFonts w:ascii="Arial" w:hAnsi="Arial" w:cs="Arial"/>
                <w:b/>
                <w:sz w:val="19"/>
                <w:szCs w:val="19"/>
              </w:rPr>
            </w:pPr>
            <w:r w:rsidRPr="00D80D58">
              <w:rPr>
                <w:rFonts w:ascii="Arial" w:hAnsi="Arial" w:cs="Arial"/>
                <w:sz w:val="19"/>
                <w:szCs w:val="19"/>
              </w:rPr>
              <w:t xml:space="preserve">20 hospital operating with reformed management and finance systems </w:t>
            </w:r>
          </w:p>
        </w:tc>
        <w:tc>
          <w:tcPr>
            <w:tcW w:w="2664" w:type="dxa"/>
          </w:tcPr>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r w:rsidRPr="00D80D58">
              <w:rPr>
                <w:rFonts w:ascii="Arial" w:hAnsi="Arial" w:cs="Arial"/>
                <w:sz w:val="19"/>
                <w:szCs w:val="19"/>
              </w:rPr>
              <w:t>Piloting of case based payments using the costed care pathways has not yet commenced.</w:t>
            </w:r>
          </w:p>
        </w:tc>
        <w:tc>
          <w:tcPr>
            <w:tcW w:w="1980" w:type="dxa"/>
            <w:vMerge/>
          </w:tcPr>
          <w:p w:rsidR="009E6616" w:rsidRPr="00D80D58" w:rsidRDefault="009E6616" w:rsidP="009E6616">
            <w:pPr>
              <w:rPr>
                <w:rFonts w:ascii="Arial" w:hAnsi="Arial" w:cs="Arial"/>
                <w:b/>
                <w:sz w:val="19"/>
                <w:szCs w:val="19"/>
              </w:rPr>
            </w:pPr>
          </w:p>
        </w:tc>
      </w:tr>
      <w:tr w:rsidR="009E6616" w:rsidRPr="00E65146" w:rsidTr="00185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4"/>
        </w:trPr>
        <w:tc>
          <w:tcPr>
            <w:tcW w:w="1800" w:type="dxa"/>
            <w:vMerge/>
          </w:tcPr>
          <w:p w:rsidR="009E6616" w:rsidRPr="00D80D58" w:rsidRDefault="009E6616" w:rsidP="009E6616">
            <w:pPr>
              <w:rPr>
                <w:rFonts w:ascii="Arial" w:hAnsi="Arial" w:cs="Arial"/>
                <w:sz w:val="19"/>
                <w:szCs w:val="19"/>
              </w:rPr>
            </w:pPr>
          </w:p>
        </w:tc>
        <w:tc>
          <w:tcPr>
            <w:tcW w:w="2736" w:type="dxa"/>
          </w:tcPr>
          <w:p w:rsidR="009E6616" w:rsidRPr="00D80D58" w:rsidRDefault="009E6616" w:rsidP="00185E36">
            <w:pPr>
              <w:numPr>
                <w:ilvl w:val="0"/>
                <w:numId w:val="15"/>
              </w:numPr>
              <w:rPr>
                <w:rFonts w:ascii="Arial" w:hAnsi="Arial" w:cs="Arial"/>
                <w:b/>
                <w:sz w:val="19"/>
                <w:szCs w:val="19"/>
              </w:rPr>
            </w:pPr>
            <w:r w:rsidRPr="00185E36">
              <w:rPr>
                <w:rStyle w:val="x41"/>
                <w:rFonts w:ascii="Arial" w:hAnsi="Arial" w:cs="Arial"/>
                <w:color w:val="auto"/>
                <w:sz w:val="19"/>
                <w:szCs w:val="19"/>
              </w:rPr>
              <w:t>Approval of the implementation plan for introduction of a DRG-based provide payment mechanism</w:t>
            </w:r>
          </w:p>
        </w:tc>
        <w:tc>
          <w:tcPr>
            <w:tcW w:w="2664" w:type="dxa"/>
          </w:tcPr>
          <w:p w:rsidR="009E6616" w:rsidRPr="00D80D58" w:rsidRDefault="009E6616" w:rsidP="009E6616">
            <w:pPr>
              <w:rPr>
                <w:rFonts w:ascii="Arial" w:hAnsi="Arial" w:cs="Arial"/>
                <w:sz w:val="19"/>
                <w:szCs w:val="19"/>
              </w:rPr>
            </w:pPr>
            <w:r w:rsidRPr="00D80D58">
              <w:rPr>
                <w:rFonts w:ascii="Arial" w:hAnsi="Arial" w:cs="Arial"/>
                <w:sz w:val="19"/>
                <w:szCs w:val="19"/>
              </w:rPr>
              <w:t>Not yet achieved</w:t>
            </w:r>
          </w:p>
        </w:tc>
        <w:tc>
          <w:tcPr>
            <w:tcW w:w="1980" w:type="dxa"/>
            <w:vMerge/>
          </w:tcPr>
          <w:p w:rsidR="009E6616" w:rsidRPr="00D80D58" w:rsidRDefault="009E6616" w:rsidP="009E6616">
            <w:pPr>
              <w:rPr>
                <w:rFonts w:ascii="Arial" w:hAnsi="Arial" w:cs="Arial"/>
                <w:b/>
                <w:sz w:val="19"/>
                <w:szCs w:val="19"/>
              </w:rPr>
            </w:pPr>
          </w:p>
        </w:tc>
      </w:tr>
      <w:tr w:rsidR="009E6616" w:rsidRPr="00E65146" w:rsidTr="009E6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0"/>
        </w:trPr>
        <w:tc>
          <w:tcPr>
            <w:tcW w:w="1800" w:type="dxa"/>
            <w:vMerge/>
          </w:tcPr>
          <w:p w:rsidR="009E6616" w:rsidRPr="00D80D58" w:rsidRDefault="009E6616" w:rsidP="009E6616">
            <w:pPr>
              <w:rPr>
                <w:rFonts w:ascii="Arial" w:hAnsi="Arial" w:cs="Arial"/>
                <w:sz w:val="19"/>
                <w:szCs w:val="19"/>
              </w:rPr>
            </w:pPr>
          </w:p>
        </w:tc>
        <w:tc>
          <w:tcPr>
            <w:tcW w:w="2736" w:type="dxa"/>
          </w:tcPr>
          <w:p w:rsidR="009E6616" w:rsidRPr="00D80D58" w:rsidRDefault="009E6616">
            <w:pPr>
              <w:numPr>
                <w:ilvl w:val="0"/>
                <w:numId w:val="15"/>
              </w:numPr>
              <w:rPr>
                <w:rFonts w:ascii="Arial" w:hAnsi="Arial" w:cs="Arial"/>
                <w:b/>
                <w:sz w:val="19"/>
                <w:szCs w:val="19"/>
              </w:rPr>
            </w:pPr>
            <w:r w:rsidRPr="00D80D58">
              <w:rPr>
                <w:rFonts w:ascii="Arial" w:hAnsi="Arial" w:cs="Arial"/>
                <w:sz w:val="19"/>
                <w:szCs w:val="19"/>
              </w:rPr>
              <w:t xml:space="preserve">ALOS reduced (0.15%) specified by each of the piloted case types </w:t>
            </w:r>
          </w:p>
        </w:tc>
        <w:tc>
          <w:tcPr>
            <w:tcW w:w="2664" w:type="dxa"/>
          </w:tcPr>
          <w:p w:rsidR="009E6616" w:rsidRPr="00D80D58" w:rsidRDefault="009E6616" w:rsidP="009E6616">
            <w:pPr>
              <w:rPr>
                <w:rFonts w:ascii="Arial" w:hAnsi="Arial" w:cs="Arial"/>
                <w:sz w:val="19"/>
                <w:szCs w:val="19"/>
              </w:rPr>
            </w:pPr>
            <w:r w:rsidRPr="00D80D58">
              <w:rPr>
                <w:rFonts w:ascii="Arial" w:hAnsi="Arial" w:cs="Arial"/>
                <w:sz w:val="19"/>
                <w:szCs w:val="19"/>
              </w:rPr>
              <w:t>Reduced average length of stay (ALOS) for 16/24 case types for which CPs were applied (adequate data</w:t>
            </w:r>
            <w:r w:rsidR="002F5949" w:rsidRPr="00D80D58">
              <w:rPr>
                <w:rFonts w:ascii="Arial" w:hAnsi="Arial" w:cs="Arial"/>
                <w:sz w:val="19"/>
                <w:szCs w:val="19"/>
              </w:rPr>
              <w:t xml:space="preserve"> </w:t>
            </w:r>
            <w:r w:rsidRPr="00D80D58">
              <w:rPr>
                <w:rFonts w:ascii="Arial" w:hAnsi="Arial" w:cs="Arial"/>
                <w:sz w:val="19"/>
                <w:szCs w:val="19"/>
              </w:rPr>
              <w:t>only available for 24 case types)</w:t>
            </w:r>
          </w:p>
          <w:p w:rsidR="009E6616" w:rsidRPr="00D80D58" w:rsidRDefault="009E6616" w:rsidP="009E6616">
            <w:pPr>
              <w:rPr>
                <w:rFonts w:ascii="Arial" w:hAnsi="Arial" w:cs="Arial"/>
                <w:sz w:val="19"/>
                <w:szCs w:val="19"/>
              </w:rPr>
            </w:pPr>
          </w:p>
          <w:p w:rsidR="009E6616" w:rsidRPr="00D80D58" w:rsidRDefault="009E6616" w:rsidP="009E6616">
            <w:pPr>
              <w:rPr>
                <w:rFonts w:ascii="Arial" w:hAnsi="Arial" w:cs="Arial"/>
                <w:sz w:val="19"/>
                <w:szCs w:val="19"/>
              </w:rPr>
            </w:pPr>
            <w:r w:rsidRPr="00D80D58">
              <w:rPr>
                <w:rFonts w:ascii="Arial" w:hAnsi="Arial" w:cs="Arial"/>
                <w:sz w:val="19"/>
                <w:szCs w:val="19"/>
              </w:rPr>
              <w:t>(Data on ALOS is detailed in Appendix 7, Table 7.1)</w:t>
            </w:r>
          </w:p>
        </w:tc>
        <w:tc>
          <w:tcPr>
            <w:tcW w:w="1980" w:type="dxa"/>
            <w:vMerge/>
          </w:tcPr>
          <w:p w:rsidR="009E6616" w:rsidRPr="00D80D58" w:rsidRDefault="009E6616" w:rsidP="009E6616">
            <w:pPr>
              <w:rPr>
                <w:rFonts w:ascii="Arial" w:hAnsi="Arial" w:cs="Arial"/>
                <w:b/>
                <w:sz w:val="19"/>
                <w:szCs w:val="19"/>
              </w:rPr>
            </w:pPr>
          </w:p>
        </w:tc>
      </w:tr>
    </w:tbl>
    <w:p w:rsidR="009E6616" w:rsidRPr="00E65146" w:rsidRDefault="009E6616" w:rsidP="009E6616">
      <w:pPr>
        <w:rPr>
          <w:rFonts w:ascii="Arial" w:hAnsi="Arial" w:cs="Arial"/>
        </w:rPr>
      </w:pPr>
    </w:p>
    <w:p w:rsidR="00B4562D" w:rsidRPr="00E65146" w:rsidRDefault="00B4562D" w:rsidP="009E6616">
      <w:pPr>
        <w:tabs>
          <w:tab w:val="left" w:pos="1530"/>
        </w:tabs>
        <w:rPr>
          <w:rFonts w:ascii="Arial" w:hAnsi="Arial" w:cs="Arial"/>
        </w:rPr>
        <w:sectPr w:rsidR="00B4562D" w:rsidRPr="00E65146" w:rsidSect="009F6E10">
          <w:pgSz w:w="11906" w:h="16838" w:code="9"/>
          <w:pgMar w:top="1440" w:right="1440" w:bottom="1440" w:left="1440" w:header="567" w:footer="431" w:gutter="0"/>
          <w:pgNumType w:start="1"/>
          <w:cols w:space="708"/>
          <w:docGrid w:linePitch="360"/>
        </w:sectPr>
      </w:pPr>
    </w:p>
    <w:p w:rsidR="004825A0" w:rsidRPr="00CC2D6B" w:rsidRDefault="00CC2D6B" w:rsidP="00CA718F">
      <w:pPr>
        <w:pStyle w:val="ColorfulList-Accent11"/>
        <w:numPr>
          <w:ilvl w:val="0"/>
          <w:numId w:val="8"/>
        </w:numPr>
        <w:pBdr>
          <w:bottom w:val="single" w:sz="6" w:space="1" w:color="auto"/>
        </w:pBdr>
        <w:tabs>
          <w:tab w:val="left" w:pos="1530"/>
        </w:tabs>
        <w:outlineLvl w:val="0"/>
        <w:rPr>
          <w:rFonts w:ascii="Arial" w:hAnsi="Arial" w:cs="Arial"/>
          <w:b/>
          <w:sz w:val="22"/>
          <w:szCs w:val="22"/>
        </w:rPr>
      </w:pPr>
      <w:bookmarkStart w:id="98" w:name="_Toc423359356"/>
      <w:r w:rsidRPr="00CC2D6B">
        <w:rPr>
          <w:rFonts w:ascii="Arial" w:hAnsi="Arial" w:cs="Arial"/>
          <w:b/>
          <w:sz w:val="22"/>
          <w:szCs w:val="22"/>
        </w:rPr>
        <w:t>STATUS OF POLICY ACTIONS</w:t>
      </w:r>
      <w:bookmarkEnd w:id="98"/>
    </w:p>
    <w:p w:rsidR="004825A0" w:rsidRPr="00E65146" w:rsidRDefault="004825A0" w:rsidP="00797A39">
      <w:pPr>
        <w:spacing w:before="240" w:after="120"/>
        <w:jc w:val="center"/>
        <w:rPr>
          <w:rFonts w:ascii="Arial" w:hAnsi="Arial" w:cs="Arial"/>
          <w:b/>
        </w:rPr>
      </w:pPr>
      <w:r w:rsidRPr="00E65146">
        <w:rPr>
          <w:rFonts w:ascii="Arial" w:hAnsi="Arial" w:cs="Arial"/>
          <w:b/>
        </w:rPr>
        <w:t>Table 3.1: ADB’s assessment of MoH’s compliance with the tranche two policy actions</w:t>
      </w:r>
    </w:p>
    <w:tbl>
      <w:tblPr>
        <w:tblW w:w="13965" w:type="dxa"/>
        <w:tblInd w:w="93" w:type="dxa"/>
        <w:tblLook w:val="04A0" w:firstRow="1" w:lastRow="0" w:firstColumn="1" w:lastColumn="0" w:noHBand="0" w:noVBand="1"/>
      </w:tblPr>
      <w:tblGrid>
        <w:gridCol w:w="1080"/>
        <w:gridCol w:w="3795"/>
        <w:gridCol w:w="5940"/>
        <w:gridCol w:w="3150"/>
      </w:tblGrid>
      <w:tr w:rsidR="00B4562D" w:rsidRPr="00E65146" w:rsidTr="00C522F2">
        <w:trPr>
          <w:trHeight w:val="510"/>
          <w:tblHeader/>
        </w:trPr>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B4562D" w:rsidRPr="00916F8A" w:rsidRDefault="00B4562D" w:rsidP="00916F8A">
            <w:pPr>
              <w:jc w:val="center"/>
              <w:rPr>
                <w:rFonts w:ascii="Arial" w:hAnsi="Arial" w:cs="Arial"/>
                <w:b/>
                <w:bCs/>
                <w:color w:val="000000"/>
                <w:sz w:val="19"/>
                <w:szCs w:val="19"/>
              </w:rPr>
            </w:pPr>
            <w:r w:rsidRPr="00916F8A">
              <w:rPr>
                <w:rFonts w:ascii="Arial" w:hAnsi="Arial" w:cs="Arial"/>
                <w:b/>
                <w:bCs/>
                <w:color w:val="000000"/>
                <w:sz w:val="19"/>
                <w:szCs w:val="19"/>
              </w:rPr>
              <w:t>Policy</w:t>
            </w:r>
            <w:r w:rsidRPr="00916F8A">
              <w:rPr>
                <w:rFonts w:ascii="Arial" w:hAnsi="Arial" w:cs="Arial"/>
                <w:b/>
                <w:bCs/>
                <w:color w:val="000000"/>
                <w:sz w:val="19"/>
                <w:szCs w:val="19"/>
              </w:rPr>
              <w:br/>
              <w:t>Action No.</w:t>
            </w:r>
          </w:p>
        </w:tc>
        <w:tc>
          <w:tcPr>
            <w:tcW w:w="3795" w:type="dxa"/>
            <w:tcBorders>
              <w:top w:val="single" w:sz="4" w:space="0" w:color="000000"/>
              <w:left w:val="nil"/>
              <w:bottom w:val="single" w:sz="4" w:space="0" w:color="000000"/>
              <w:right w:val="single" w:sz="4" w:space="0" w:color="000000"/>
            </w:tcBorders>
            <w:shd w:val="clear" w:color="auto" w:fill="auto"/>
            <w:hideMark/>
          </w:tcPr>
          <w:p w:rsidR="00B4562D" w:rsidRPr="00916F8A" w:rsidRDefault="00B4562D" w:rsidP="00916F8A">
            <w:pPr>
              <w:jc w:val="center"/>
              <w:rPr>
                <w:rFonts w:ascii="Arial" w:hAnsi="Arial" w:cs="Arial"/>
                <w:b/>
                <w:bCs/>
                <w:color w:val="000000"/>
                <w:sz w:val="19"/>
                <w:szCs w:val="19"/>
              </w:rPr>
            </w:pPr>
            <w:r w:rsidRPr="00916F8A">
              <w:rPr>
                <w:rFonts w:ascii="Arial" w:hAnsi="Arial" w:cs="Arial"/>
                <w:b/>
                <w:bCs/>
                <w:color w:val="000000"/>
                <w:sz w:val="19"/>
                <w:szCs w:val="19"/>
              </w:rPr>
              <w:t>Policy Commitment</w:t>
            </w:r>
          </w:p>
        </w:tc>
        <w:tc>
          <w:tcPr>
            <w:tcW w:w="5940" w:type="dxa"/>
            <w:tcBorders>
              <w:top w:val="single" w:sz="4" w:space="0" w:color="000000"/>
              <w:left w:val="nil"/>
              <w:bottom w:val="single" w:sz="4" w:space="0" w:color="000000"/>
              <w:right w:val="single" w:sz="4" w:space="0" w:color="000000"/>
            </w:tcBorders>
            <w:shd w:val="clear" w:color="auto" w:fill="auto"/>
            <w:hideMark/>
          </w:tcPr>
          <w:p w:rsidR="00B4562D" w:rsidRPr="00916F8A" w:rsidRDefault="00B4562D" w:rsidP="00916F8A">
            <w:pPr>
              <w:jc w:val="center"/>
              <w:rPr>
                <w:rFonts w:ascii="Arial" w:hAnsi="Arial" w:cs="Arial"/>
                <w:b/>
                <w:bCs/>
                <w:color w:val="000000"/>
                <w:sz w:val="19"/>
                <w:szCs w:val="19"/>
              </w:rPr>
            </w:pPr>
            <w:r w:rsidRPr="00916F8A">
              <w:rPr>
                <w:rFonts w:ascii="Arial" w:hAnsi="Arial" w:cs="Arial"/>
                <w:b/>
                <w:bCs/>
                <w:color w:val="000000"/>
                <w:sz w:val="19"/>
                <w:szCs w:val="19"/>
              </w:rPr>
              <w:t>Supporting Documents</w:t>
            </w:r>
          </w:p>
        </w:tc>
        <w:tc>
          <w:tcPr>
            <w:tcW w:w="3150" w:type="dxa"/>
            <w:tcBorders>
              <w:top w:val="single" w:sz="4" w:space="0" w:color="000000"/>
              <w:left w:val="nil"/>
              <w:bottom w:val="single" w:sz="4" w:space="0" w:color="000000"/>
              <w:right w:val="single" w:sz="4" w:space="0" w:color="000000"/>
            </w:tcBorders>
            <w:shd w:val="clear" w:color="auto" w:fill="auto"/>
            <w:hideMark/>
          </w:tcPr>
          <w:p w:rsidR="00B4562D" w:rsidRPr="00916F8A" w:rsidRDefault="00B4562D" w:rsidP="00916F8A">
            <w:pPr>
              <w:jc w:val="center"/>
              <w:rPr>
                <w:rFonts w:ascii="Arial" w:hAnsi="Arial" w:cs="Arial"/>
                <w:b/>
                <w:bCs/>
                <w:color w:val="000000"/>
                <w:sz w:val="19"/>
                <w:szCs w:val="19"/>
              </w:rPr>
            </w:pPr>
            <w:r w:rsidRPr="00916F8A">
              <w:rPr>
                <w:rFonts w:ascii="Arial" w:hAnsi="Arial" w:cs="Arial"/>
                <w:b/>
                <w:bCs/>
                <w:color w:val="000000"/>
                <w:sz w:val="19"/>
                <w:szCs w:val="19"/>
              </w:rPr>
              <w:t>Status</w:t>
            </w:r>
          </w:p>
        </w:tc>
      </w:tr>
      <w:tr w:rsidR="00B4562D" w:rsidRPr="00E65146" w:rsidTr="00C522F2">
        <w:trPr>
          <w:trHeight w:val="2040"/>
        </w:trPr>
        <w:tc>
          <w:tcPr>
            <w:tcW w:w="1080" w:type="dxa"/>
            <w:tcBorders>
              <w:top w:val="nil"/>
              <w:left w:val="single" w:sz="4" w:space="0" w:color="000000"/>
              <w:bottom w:val="single" w:sz="4" w:space="0" w:color="000000"/>
              <w:right w:val="single" w:sz="4" w:space="0" w:color="000000"/>
            </w:tcBorders>
            <w:shd w:val="clear" w:color="auto" w:fill="auto"/>
            <w:noWrap/>
            <w:hideMark/>
          </w:tcPr>
          <w:p w:rsidR="00B4562D" w:rsidRPr="00916F8A" w:rsidRDefault="00B4562D" w:rsidP="00B4562D">
            <w:pPr>
              <w:jc w:val="center"/>
              <w:rPr>
                <w:rFonts w:ascii="Arial" w:hAnsi="Arial" w:cs="Arial"/>
                <w:color w:val="000000"/>
                <w:sz w:val="19"/>
                <w:szCs w:val="19"/>
              </w:rPr>
            </w:pPr>
            <w:r w:rsidRPr="00916F8A">
              <w:rPr>
                <w:rFonts w:ascii="Arial" w:hAnsi="Arial" w:cs="Arial"/>
                <w:color w:val="000000"/>
                <w:sz w:val="19"/>
                <w:szCs w:val="19"/>
              </w:rPr>
              <w:t>1</w:t>
            </w:r>
          </w:p>
        </w:tc>
        <w:tc>
          <w:tcPr>
            <w:tcW w:w="3795" w:type="dxa"/>
            <w:tcBorders>
              <w:top w:val="nil"/>
              <w:left w:val="nil"/>
              <w:bottom w:val="single" w:sz="4" w:space="0" w:color="000000"/>
              <w:right w:val="single" w:sz="4" w:space="0" w:color="000000"/>
            </w:tcBorders>
            <w:shd w:val="clear" w:color="auto" w:fill="auto"/>
            <w:hideMark/>
          </w:tcPr>
          <w:p w:rsidR="00B4562D" w:rsidRPr="00916F8A" w:rsidRDefault="00B4562D" w:rsidP="00B4562D">
            <w:pPr>
              <w:rPr>
                <w:rFonts w:ascii="Arial" w:hAnsi="Arial" w:cs="Arial"/>
                <w:color w:val="000000"/>
                <w:sz w:val="19"/>
                <w:szCs w:val="19"/>
              </w:rPr>
            </w:pPr>
            <w:r w:rsidRPr="00916F8A">
              <w:rPr>
                <w:rFonts w:ascii="Arial" w:hAnsi="Arial" w:cs="Arial"/>
                <w:color w:val="000000"/>
                <w:sz w:val="19"/>
                <w:szCs w:val="19"/>
              </w:rPr>
              <w:t>The Joint Committee on Human Resources</w:t>
            </w:r>
            <w:r w:rsidRPr="00916F8A">
              <w:rPr>
                <w:rFonts w:ascii="Arial" w:hAnsi="Arial" w:cs="Arial"/>
                <w:color w:val="000000"/>
                <w:sz w:val="19"/>
                <w:szCs w:val="19"/>
              </w:rPr>
              <w:br/>
              <w:t>Planning and Management has submitted a report to MOH on reform, planning, and management of the health workforce.</w:t>
            </w:r>
          </w:p>
        </w:tc>
        <w:tc>
          <w:tcPr>
            <w:tcW w:w="5940" w:type="dxa"/>
            <w:tcBorders>
              <w:top w:val="nil"/>
              <w:left w:val="nil"/>
              <w:bottom w:val="single" w:sz="4" w:space="0" w:color="000000"/>
              <w:right w:val="single" w:sz="4" w:space="0" w:color="000000"/>
            </w:tcBorders>
            <w:shd w:val="clear" w:color="auto" w:fill="auto"/>
            <w:hideMark/>
          </w:tcPr>
          <w:p w:rsidR="00B4562D" w:rsidRPr="00916F8A" w:rsidRDefault="00B4562D" w:rsidP="00B4562D">
            <w:pPr>
              <w:rPr>
                <w:rFonts w:ascii="Arial" w:hAnsi="Arial" w:cs="Arial"/>
                <w:color w:val="000000"/>
                <w:sz w:val="19"/>
                <w:szCs w:val="19"/>
              </w:rPr>
            </w:pPr>
            <w:r w:rsidRPr="00916F8A">
              <w:rPr>
                <w:rFonts w:ascii="Arial" w:hAnsi="Arial" w:cs="Arial"/>
                <w:color w:val="000000"/>
                <w:sz w:val="19"/>
                <w:szCs w:val="19"/>
              </w:rPr>
              <w:t>Vietnamese and English translation of a report on</w:t>
            </w:r>
            <w:r w:rsidRPr="00916F8A">
              <w:rPr>
                <w:rFonts w:ascii="Arial" w:hAnsi="Arial" w:cs="Arial"/>
                <w:color w:val="000000"/>
                <w:sz w:val="19"/>
                <w:szCs w:val="19"/>
              </w:rPr>
              <w:br/>
              <w:t>health human resources reform, planning, and management to the Minister of Health from the Joint Committee on Human Resources Planning and Management dated May 2013</w:t>
            </w:r>
            <w:r w:rsidRPr="00916F8A">
              <w:rPr>
                <w:rFonts w:ascii="Arial" w:hAnsi="Arial" w:cs="Arial"/>
                <w:color w:val="000000"/>
                <w:sz w:val="19"/>
                <w:szCs w:val="19"/>
              </w:rPr>
              <w:br/>
            </w:r>
            <w:r w:rsidRPr="00916F8A">
              <w:rPr>
                <w:rFonts w:ascii="Arial" w:hAnsi="Arial" w:cs="Arial"/>
                <w:color w:val="000000"/>
                <w:sz w:val="19"/>
                <w:szCs w:val="19"/>
              </w:rPr>
              <w:br/>
              <w:t>Vietnamese and English translation of Submission</w:t>
            </w:r>
            <w:r w:rsidRPr="00916F8A">
              <w:rPr>
                <w:rFonts w:ascii="Arial" w:hAnsi="Arial" w:cs="Arial"/>
                <w:color w:val="000000"/>
                <w:sz w:val="19"/>
                <w:szCs w:val="19"/>
              </w:rPr>
              <w:br/>
              <w:t>Document No. 6/BDH dated 12 April 2013 from the Joint Committee to the Minister of Health</w:t>
            </w:r>
          </w:p>
        </w:tc>
        <w:tc>
          <w:tcPr>
            <w:tcW w:w="3150" w:type="dxa"/>
            <w:tcBorders>
              <w:top w:val="nil"/>
              <w:left w:val="nil"/>
              <w:bottom w:val="single" w:sz="4" w:space="0" w:color="000000"/>
              <w:right w:val="single" w:sz="4" w:space="0" w:color="000000"/>
            </w:tcBorders>
            <w:shd w:val="clear" w:color="auto" w:fill="auto"/>
            <w:noWrap/>
            <w:hideMark/>
          </w:tcPr>
          <w:p w:rsidR="00B4562D" w:rsidRPr="00916F8A" w:rsidRDefault="00B4562D" w:rsidP="00B4562D">
            <w:pPr>
              <w:rPr>
                <w:rFonts w:ascii="Arial" w:hAnsi="Arial" w:cs="Arial"/>
                <w:color w:val="000000"/>
                <w:sz w:val="19"/>
                <w:szCs w:val="19"/>
              </w:rPr>
            </w:pPr>
            <w:r w:rsidRPr="00916F8A">
              <w:rPr>
                <w:rFonts w:ascii="Arial" w:hAnsi="Arial" w:cs="Arial"/>
                <w:color w:val="000000"/>
                <w:sz w:val="19"/>
                <w:szCs w:val="19"/>
              </w:rPr>
              <w:t>Completed.</w:t>
            </w:r>
          </w:p>
        </w:tc>
      </w:tr>
      <w:tr w:rsidR="00B4562D" w:rsidRPr="00E65146" w:rsidTr="00C522F2">
        <w:trPr>
          <w:trHeight w:val="2295"/>
        </w:trPr>
        <w:tc>
          <w:tcPr>
            <w:tcW w:w="1080" w:type="dxa"/>
            <w:tcBorders>
              <w:top w:val="nil"/>
              <w:left w:val="single" w:sz="4" w:space="0" w:color="000000"/>
              <w:bottom w:val="single" w:sz="4" w:space="0" w:color="000000"/>
              <w:right w:val="single" w:sz="4" w:space="0" w:color="000000"/>
            </w:tcBorders>
            <w:shd w:val="clear" w:color="auto" w:fill="auto"/>
            <w:noWrap/>
            <w:hideMark/>
          </w:tcPr>
          <w:p w:rsidR="00B4562D" w:rsidRPr="00916F8A" w:rsidRDefault="00B4562D" w:rsidP="00B4562D">
            <w:pPr>
              <w:jc w:val="center"/>
              <w:rPr>
                <w:rFonts w:ascii="Arial" w:hAnsi="Arial" w:cs="Arial"/>
                <w:color w:val="000000"/>
                <w:sz w:val="19"/>
                <w:szCs w:val="19"/>
              </w:rPr>
            </w:pPr>
            <w:r w:rsidRPr="00916F8A">
              <w:rPr>
                <w:rFonts w:ascii="Arial" w:hAnsi="Arial" w:cs="Arial"/>
                <w:color w:val="000000"/>
                <w:sz w:val="19"/>
                <w:szCs w:val="19"/>
              </w:rPr>
              <w:t>2</w:t>
            </w:r>
          </w:p>
        </w:tc>
        <w:tc>
          <w:tcPr>
            <w:tcW w:w="3795" w:type="dxa"/>
            <w:tcBorders>
              <w:top w:val="nil"/>
              <w:left w:val="nil"/>
              <w:bottom w:val="single" w:sz="4" w:space="0" w:color="000000"/>
              <w:right w:val="single" w:sz="4" w:space="0" w:color="000000"/>
            </w:tcBorders>
            <w:shd w:val="clear" w:color="auto" w:fill="auto"/>
            <w:hideMark/>
          </w:tcPr>
          <w:p w:rsidR="00B4562D" w:rsidRPr="00916F8A" w:rsidRDefault="00B4562D" w:rsidP="00B4562D">
            <w:pPr>
              <w:rPr>
                <w:rFonts w:ascii="Arial" w:hAnsi="Arial" w:cs="Arial"/>
                <w:color w:val="000000"/>
                <w:sz w:val="19"/>
                <w:szCs w:val="19"/>
              </w:rPr>
            </w:pPr>
            <w:r w:rsidRPr="00916F8A">
              <w:rPr>
                <w:rFonts w:ascii="Arial" w:hAnsi="Arial" w:cs="Arial"/>
                <w:color w:val="000000"/>
                <w:sz w:val="19"/>
                <w:szCs w:val="19"/>
              </w:rPr>
              <w:t>Standards for licensing of health facilities</w:t>
            </w:r>
            <w:r w:rsidRPr="00916F8A">
              <w:rPr>
                <w:rFonts w:ascii="Arial" w:hAnsi="Arial" w:cs="Arial"/>
                <w:color w:val="000000"/>
                <w:sz w:val="19"/>
                <w:szCs w:val="19"/>
              </w:rPr>
              <w:br/>
              <w:t>have been adopted, and institutional systems have been established and are operational.</w:t>
            </w:r>
          </w:p>
        </w:tc>
        <w:tc>
          <w:tcPr>
            <w:tcW w:w="5940" w:type="dxa"/>
            <w:tcBorders>
              <w:top w:val="nil"/>
              <w:left w:val="nil"/>
              <w:bottom w:val="single" w:sz="4" w:space="0" w:color="000000"/>
              <w:right w:val="single" w:sz="4" w:space="0" w:color="000000"/>
            </w:tcBorders>
            <w:shd w:val="clear" w:color="auto" w:fill="auto"/>
            <w:hideMark/>
          </w:tcPr>
          <w:p w:rsidR="00B4562D" w:rsidRPr="00916F8A" w:rsidRDefault="00B4562D" w:rsidP="00B4562D">
            <w:pPr>
              <w:rPr>
                <w:rFonts w:ascii="Arial" w:hAnsi="Arial" w:cs="Arial"/>
                <w:color w:val="000000"/>
                <w:sz w:val="19"/>
                <w:szCs w:val="19"/>
              </w:rPr>
            </w:pPr>
            <w:r w:rsidRPr="00916F8A">
              <w:rPr>
                <w:rFonts w:ascii="Arial" w:hAnsi="Arial" w:cs="Arial"/>
                <w:color w:val="000000"/>
                <w:sz w:val="19"/>
                <w:szCs w:val="19"/>
              </w:rPr>
              <w:t>Vietnamese and English translation of Circular</w:t>
            </w:r>
            <w:r w:rsidRPr="00916F8A">
              <w:rPr>
                <w:rFonts w:ascii="Arial" w:hAnsi="Arial" w:cs="Arial"/>
                <w:color w:val="000000"/>
                <w:sz w:val="19"/>
                <w:szCs w:val="19"/>
              </w:rPr>
              <w:br/>
              <w:t>No. 41/2011 on guidance on the granting of certificates to medical practitioners and operating licenses to medical examination and treatment establishments issued on 14 November 2011, stamped and signed by Vice Minister Nguyen Thi Xuyen on behalf of the Minister of Health</w:t>
            </w:r>
            <w:r w:rsidRPr="00916F8A">
              <w:rPr>
                <w:rFonts w:ascii="Arial" w:hAnsi="Arial" w:cs="Arial"/>
                <w:color w:val="000000"/>
                <w:sz w:val="19"/>
                <w:szCs w:val="19"/>
              </w:rPr>
              <w:br/>
            </w:r>
            <w:r w:rsidRPr="00916F8A">
              <w:rPr>
                <w:rFonts w:ascii="Arial" w:hAnsi="Arial" w:cs="Arial"/>
                <w:color w:val="000000"/>
                <w:sz w:val="19"/>
                <w:szCs w:val="19"/>
              </w:rPr>
              <w:br/>
              <w:t>Report on a registration and licensing system in Viet Nam showing the number of facility licenses issued as of 20 May 2013 signed by Dr. Khue, the director assigned responsibility for this activity in Circular No. 41</w:t>
            </w:r>
          </w:p>
        </w:tc>
        <w:tc>
          <w:tcPr>
            <w:tcW w:w="3150" w:type="dxa"/>
            <w:tcBorders>
              <w:top w:val="nil"/>
              <w:left w:val="nil"/>
              <w:bottom w:val="single" w:sz="4" w:space="0" w:color="000000"/>
              <w:right w:val="single" w:sz="4" w:space="0" w:color="000000"/>
            </w:tcBorders>
            <w:shd w:val="clear" w:color="auto" w:fill="auto"/>
            <w:noWrap/>
            <w:hideMark/>
          </w:tcPr>
          <w:p w:rsidR="00B4562D" w:rsidRPr="00916F8A" w:rsidRDefault="00B4562D" w:rsidP="00B4562D">
            <w:pPr>
              <w:rPr>
                <w:rFonts w:ascii="Arial" w:hAnsi="Arial" w:cs="Arial"/>
                <w:color w:val="000000"/>
                <w:sz w:val="19"/>
                <w:szCs w:val="19"/>
              </w:rPr>
            </w:pPr>
            <w:r w:rsidRPr="00916F8A">
              <w:rPr>
                <w:rFonts w:ascii="Arial" w:hAnsi="Arial" w:cs="Arial"/>
                <w:color w:val="000000"/>
                <w:sz w:val="19"/>
                <w:szCs w:val="19"/>
              </w:rPr>
              <w:t>Completed.</w:t>
            </w:r>
          </w:p>
        </w:tc>
      </w:tr>
      <w:tr w:rsidR="00B4562D" w:rsidRPr="00E65146" w:rsidTr="00C522F2">
        <w:trPr>
          <w:trHeight w:val="2805"/>
        </w:trPr>
        <w:tc>
          <w:tcPr>
            <w:tcW w:w="1080" w:type="dxa"/>
            <w:tcBorders>
              <w:top w:val="nil"/>
              <w:left w:val="single" w:sz="4" w:space="0" w:color="000000"/>
              <w:bottom w:val="single" w:sz="4" w:space="0" w:color="000000"/>
              <w:right w:val="single" w:sz="4" w:space="0" w:color="000000"/>
            </w:tcBorders>
            <w:shd w:val="clear" w:color="auto" w:fill="auto"/>
            <w:noWrap/>
            <w:hideMark/>
          </w:tcPr>
          <w:p w:rsidR="00B4562D" w:rsidRPr="00916F8A" w:rsidRDefault="00B4562D" w:rsidP="00B4562D">
            <w:pPr>
              <w:jc w:val="center"/>
              <w:rPr>
                <w:rFonts w:ascii="Arial" w:hAnsi="Arial" w:cs="Arial"/>
                <w:color w:val="000000"/>
                <w:sz w:val="19"/>
                <w:szCs w:val="19"/>
              </w:rPr>
            </w:pPr>
            <w:r w:rsidRPr="00916F8A">
              <w:rPr>
                <w:rFonts w:ascii="Arial" w:hAnsi="Arial" w:cs="Arial"/>
                <w:color w:val="000000"/>
                <w:sz w:val="19"/>
                <w:szCs w:val="19"/>
              </w:rPr>
              <w:t>3.1</w:t>
            </w:r>
          </w:p>
        </w:tc>
        <w:tc>
          <w:tcPr>
            <w:tcW w:w="3795" w:type="dxa"/>
            <w:tcBorders>
              <w:top w:val="nil"/>
              <w:left w:val="nil"/>
              <w:bottom w:val="single" w:sz="4" w:space="0" w:color="000000"/>
              <w:right w:val="single" w:sz="4" w:space="0" w:color="000000"/>
            </w:tcBorders>
            <w:shd w:val="clear" w:color="auto" w:fill="auto"/>
            <w:hideMark/>
          </w:tcPr>
          <w:p w:rsidR="00B4562D" w:rsidRPr="00916F8A" w:rsidRDefault="00B4562D" w:rsidP="00B4562D">
            <w:pPr>
              <w:rPr>
                <w:rFonts w:ascii="Arial" w:hAnsi="Arial" w:cs="Arial"/>
                <w:color w:val="000000"/>
                <w:sz w:val="19"/>
                <w:szCs w:val="19"/>
              </w:rPr>
            </w:pPr>
            <w:r w:rsidRPr="00916F8A">
              <w:rPr>
                <w:rFonts w:ascii="Arial" w:hAnsi="Arial" w:cs="Arial"/>
                <w:color w:val="000000"/>
                <w:sz w:val="19"/>
                <w:szCs w:val="19"/>
              </w:rPr>
              <w:t>A decree on the detailed provisions and</w:t>
            </w:r>
            <w:r w:rsidRPr="00916F8A">
              <w:rPr>
                <w:rFonts w:ascii="Arial" w:hAnsi="Arial" w:cs="Arial"/>
                <w:color w:val="000000"/>
                <w:sz w:val="19"/>
                <w:szCs w:val="19"/>
              </w:rPr>
              <w:br/>
              <w:t>guidelines for implementation of the Law on Examination and Treatment that contains provisions for the certification of health professionals has been issued.</w:t>
            </w:r>
          </w:p>
        </w:tc>
        <w:tc>
          <w:tcPr>
            <w:tcW w:w="5940" w:type="dxa"/>
            <w:tcBorders>
              <w:top w:val="nil"/>
              <w:left w:val="nil"/>
              <w:bottom w:val="single" w:sz="4" w:space="0" w:color="000000"/>
              <w:right w:val="single" w:sz="4" w:space="0" w:color="000000"/>
            </w:tcBorders>
            <w:shd w:val="clear" w:color="auto" w:fill="auto"/>
            <w:hideMark/>
          </w:tcPr>
          <w:p w:rsidR="00B4562D" w:rsidRPr="00916F8A" w:rsidRDefault="00B4562D" w:rsidP="00B4562D">
            <w:pPr>
              <w:rPr>
                <w:rFonts w:ascii="Arial" w:hAnsi="Arial" w:cs="Arial"/>
                <w:color w:val="000000"/>
                <w:sz w:val="19"/>
                <w:szCs w:val="19"/>
              </w:rPr>
            </w:pPr>
            <w:r w:rsidRPr="00916F8A">
              <w:rPr>
                <w:rFonts w:ascii="Arial" w:hAnsi="Arial" w:cs="Arial"/>
                <w:color w:val="000000"/>
                <w:sz w:val="19"/>
                <w:szCs w:val="19"/>
              </w:rPr>
              <w:t>Vietnamese and English translation of Decree No.</w:t>
            </w:r>
            <w:r w:rsidRPr="00916F8A">
              <w:rPr>
                <w:rFonts w:ascii="Arial" w:hAnsi="Arial" w:cs="Arial"/>
                <w:color w:val="000000"/>
                <w:sz w:val="19"/>
                <w:szCs w:val="19"/>
              </w:rPr>
              <w:br/>
              <w:t>87/2011 on detailing and guiding articles of the</w:t>
            </w:r>
            <w:r w:rsidRPr="00916F8A">
              <w:rPr>
                <w:rFonts w:ascii="Arial" w:hAnsi="Arial" w:cs="Arial"/>
                <w:color w:val="000000"/>
                <w:sz w:val="19"/>
                <w:szCs w:val="19"/>
              </w:rPr>
              <w:br/>
              <w:t>Law on Examination and Treatment issued on 27</w:t>
            </w:r>
            <w:r w:rsidRPr="00916F8A">
              <w:rPr>
                <w:rFonts w:ascii="Arial" w:hAnsi="Arial" w:cs="Arial"/>
                <w:color w:val="000000"/>
                <w:sz w:val="19"/>
                <w:szCs w:val="19"/>
              </w:rPr>
              <w:br/>
              <w:t>September 2011, stamped and signed by the</w:t>
            </w:r>
            <w:r w:rsidRPr="00916F8A">
              <w:rPr>
                <w:rFonts w:ascii="Arial" w:hAnsi="Arial" w:cs="Arial"/>
                <w:color w:val="000000"/>
                <w:sz w:val="19"/>
                <w:szCs w:val="19"/>
              </w:rPr>
              <w:br/>
              <w:t>Prime Minister Nguyen Tan Dung</w:t>
            </w:r>
            <w:r w:rsidRPr="00916F8A">
              <w:rPr>
                <w:rFonts w:ascii="Arial" w:hAnsi="Arial" w:cs="Arial"/>
                <w:color w:val="000000"/>
                <w:sz w:val="19"/>
                <w:szCs w:val="19"/>
              </w:rPr>
              <w:br/>
            </w:r>
            <w:r w:rsidRPr="00916F8A">
              <w:rPr>
                <w:rFonts w:ascii="Arial" w:hAnsi="Arial" w:cs="Arial"/>
                <w:color w:val="000000"/>
                <w:sz w:val="19"/>
                <w:szCs w:val="19"/>
              </w:rPr>
              <w:br/>
              <w:t>Vietnamese and English translation of Circular No. 41/2011 on guidance on the granting of certificates to medical practitioners and operating licenses to medical examination and treatment establishments issued on 14 November 2011, stamped and signed by Vice Minister Nguyen Thi Xuyen on behalf of the Minister of Health</w:t>
            </w:r>
          </w:p>
        </w:tc>
        <w:tc>
          <w:tcPr>
            <w:tcW w:w="3150" w:type="dxa"/>
            <w:tcBorders>
              <w:top w:val="nil"/>
              <w:left w:val="nil"/>
              <w:bottom w:val="single" w:sz="4" w:space="0" w:color="000000"/>
              <w:right w:val="single" w:sz="4" w:space="0" w:color="000000"/>
            </w:tcBorders>
            <w:shd w:val="clear" w:color="auto" w:fill="auto"/>
            <w:noWrap/>
            <w:hideMark/>
          </w:tcPr>
          <w:p w:rsidR="00B4562D" w:rsidRPr="00916F8A" w:rsidRDefault="00B4562D" w:rsidP="00B4562D">
            <w:pPr>
              <w:rPr>
                <w:rFonts w:ascii="Arial" w:hAnsi="Arial" w:cs="Arial"/>
                <w:color w:val="000000"/>
                <w:sz w:val="19"/>
                <w:szCs w:val="19"/>
              </w:rPr>
            </w:pPr>
            <w:r w:rsidRPr="00916F8A">
              <w:rPr>
                <w:rFonts w:ascii="Arial" w:hAnsi="Arial" w:cs="Arial"/>
                <w:color w:val="000000"/>
                <w:sz w:val="19"/>
                <w:szCs w:val="19"/>
              </w:rPr>
              <w:t>Completed.</w:t>
            </w:r>
          </w:p>
        </w:tc>
      </w:tr>
      <w:tr w:rsidR="00B4562D" w:rsidRPr="00E65146" w:rsidTr="00C522F2">
        <w:trPr>
          <w:trHeight w:val="1020"/>
        </w:trPr>
        <w:tc>
          <w:tcPr>
            <w:tcW w:w="1080" w:type="dxa"/>
            <w:tcBorders>
              <w:top w:val="nil"/>
              <w:left w:val="single" w:sz="4" w:space="0" w:color="000000"/>
              <w:bottom w:val="single" w:sz="4" w:space="0" w:color="000000"/>
              <w:right w:val="single" w:sz="4" w:space="0" w:color="000000"/>
            </w:tcBorders>
            <w:shd w:val="clear" w:color="auto" w:fill="auto"/>
            <w:noWrap/>
            <w:hideMark/>
          </w:tcPr>
          <w:p w:rsidR="00B4562D" w:rsidRPr="00916F8A" w:rsidRDefault="00B4562D" w:rsidP="00B4562D">
            <w:pPr>
              <w:jc w:val="center"/>
              <w:rPr>
                <w:rFonts w:ascii="Arial" w:hAnsi="Arial" w:cs="Arial"/>
                <w:color w:val="000000"/>
                <w:sz w:val="19"/>
                <w:szCs w:val="19"/>
              </w:rPr>
            </w:pPr>
            <w:r w:rsidRPr="00916F8A">
              <w:rPr>
                <w:rFonts w:ascii="Arial" w:hAnsi="Arial" w:cs="Arial"/>
                <w:color w:val="000000"/>
                <w:sz w:val="19"/>
                <w:szCs w:val="19"/>
              </w:rPr>
              <w:t>3.2</w:t>
            </w:r>
          </w:p>
        </w:tc>
        <w:tc>
          <w:tcPr>
            <w:tcW w:w="3795" w:type="dxa"/>
            <w:tcBorders>
              <w:top w:val="nil"/>
              <w:left w:val="nil"/>
              <w:bottom w:val="single" w:sz="4" w:space="0" w:color="000000"/>
              <w:right w:val="single" w:sz="4" w:space="0" w:color="000000"/>
            </w:tcBorders>
            <w:shd w:val="clear" w:color="auto" w:fill="auto"/>
            <w:hideMark/>
          </w:tcPr>
          <w:p w:rsidR="00B4562D" w:rsidRPr="00916F8A" w:rsidRDefault="00B4562D" w:rsidP="00B4562D">
            <w:pPr>
              <w:rPr>
                <w:rFonts w:ascii="Arial" w:hAnsi="Arial" w:cs="Arial"/>
                <w:color w:val="000000"/>
                <w:sz w:val="19"/>
                <w:szCs w:val="19"/>
              </w:rPr>
            </w:pPr>
            <w:r w:rsidRPr="00916F8A">
              <w:rPr>
                <w:rFonts w:ascii="Arial" w:hAnsi="Arial" w:cs="Arial"/>
                <w:color w:val="000000"/>
                <w:sz w:val="19"/>
                <w:szCs w:val="19"/>
              </w:rPr>
              <w:t>A decree and/or related circulars have been</w:t>
            </w:r>
            <w:r w:rsidRPr="00916F8A">
              <w:rPr>
                <w:rFonts w:ascii="Arial" w:hAnsi="Arial" w:cs="Arial"/>
                <w:color w:val="000000"/>
                <w:sz w:val="19"/>
                <w:szCs w:val="19"/>
              </w:rPr>
              <w:br/>
              <w:t>issued to specify how the ethical, technical, and administrative violations by health professionals regarding examination and treatment should be handled.</w:t>
            </w:r>
          </w:p>
        </w:tc>
        <w:tc>
          <w:tcPr>
            <w:tcW w:w="5940" w:type="dxa"/>
            <w:tcBorders>
              <w:top w:val="nil"/>
              <w:left w:val="nil"/>
              <w:bottom w:val="single" w:sz="4" w:space="0" w:color="000000"/>
              <w:right w:val="single" w:sz="4" w:space="0" w:color="000000"/>
            </w:tcBorders>
            <w:shd w:val="clear" w:color="auto" w:fill="auto"/>
            <w:hideMark/>
          </w:tcPr>
          <w:p w:rsidR="00B4562D" w:rsidRPr="00916F8A" w:rsidRDefault="00B4562D" w:rsidP="00B4562D">
            <w:pPr>
              <w:rPr>
                <w:rFonts w:ascii="Arial" w:hAnsi="Arial" w:cs="Arial"/>
                <w:color w:val="000000"/>
                <w:sz w:val="19"/>
                <w:szCs w:val="19"/>
              </w:rPr>
            </w:pPr>
            <w:r w:rsidRPr="00916F8A">
              <w:rPr>
                <w:rFonts w:ascii="Arial" w:hAnsi="Arial" w:cs="Arial"/>
                <w:color w:val="000000"/>
                <w:sz w:val="19"/>
                <w:szCs w:val="19"/>
              </w:rPr>
              <w:t>Vietnamese and English translation of Decree</w:t>
            </w:r>
            <w:r w:rsidRPr="00916F8A">
              <w:rPr>
                <w:rFonts w:ascii="Arial" w:hAnsi="Arial" w:cs="Arial"/>
                <w:color w:val="000000"/>
                <w:sz w:val="19"/>
                <w:szCs w:val="19"/>
              </w:rPr>
              <w:br/>
              <w:t>96/2011/ND-CP on regulations on sanctions against violations in examination and treatment issued on 21 October 2011, signed and sealed by Prime Minister Nguyen Tan Dung</w:t>
            </w:r>
          </w:p>
        </w:tc>
        <w:tc>
          <w:tcPr>
            <w:tcW w:w="3150" w:type="dxa"/>
            <w:tcBorders>
              <w:top w:val="nil"/>
              <w:left w:val="nil"/>
              <w:bottom w:val="single" w:sz="4" w:space="0" w:color="000000"/>
              <w:right w:val="single" w:sz="4" w:space="0" w:color="000000"/>
            </w:tcBorders>
            <w:shd w:val="clear" w:color="auto" w:fill="auto"/>
            <w:noWrap/>
            <w:hideMark/>
          </w:tcPr>
          <w:p w:rsidR="00B4562D" w:rsidRPr="00916F8A" w:rsidRDefault="00B4562D" w:rsidP="00B4562D">
            <w:pPr>
              <w:rPr>
                <w:rFonts w:ascii="Arial" w:hAnsi="Arial" w:cs="Arial"/>
                <w:color w:val="000000"/>
                <w:sz w:val="19"/>
                <w:szCs w:val="19"/>
              </w:rPr>
            </w:pPr>
            <w:r w:rsidRPr="00916F8A">
              <w:rPr>
                <w:rFonts w:ascii="Arial" w:hAnsi="Arial" w:cs="Arial"/>
                <w:color w:val="000000"/>
                <w:sz w:val="19"/>
                <w:szCs w:val="19"/>
              </w:rPr>
              <w:t>Completed.</w:t>
            </w:r>
          </w:p>
        </w:tc>
      </w:tr>
      <w:tr w:rsidR="00B4562D" w:rsidRPr="00E65146" w:rsidTr="00C522F2">
        <w:trPr>
          <w:trHeight w:val="1275"/>
        </w:trPr>
        <w:tc>
          <w:tcPr>
            <w:tcW w:w="1080" w:type="dxa"/>
            <w:tcBorders>
              <w:top w:val="nil"/>
              <w:left w:val="single" w:sz="4" w:space="0" w:color="000000"/>
              <w:bottom w:val="single" w:sz="4" w:space="0" w:color="000000"/>
              <w:right w:val="single" w:sz="4" w:space="0" w:color="000000"/>
            </w:tcBorders>
            <w:shd w:val="clear" w:color="auto" w:fill="auto"/>
            <w:noWrap/>
            <w:hideMark/>
          </w:tcPr>
          <w:p w:rsidR="00B4562D" w:rsidRPr="00916F8A" w:rsidRDefault="00B4562D" w:rsidP="00B4562D">
            <w:pPr>
              <w:jc w:val="center"/>
              <w:rPr>
                <w:rFonts w:ascii="Arial" w:hAnsi="Arial" w:cs="Arial"/>
                <w:color w:val="000000"/>
                <w:sz w:val="19"/>
                <w:szCs w:val="19"/>
              </w:rPr>
            </w:pPr>
            <w:r w:rsidRPr="00916F8A">
              <w:rPr>
                <w:rFonts w:ascii="Arial" w:hAnsi="Arial" w:cs="Arial"/>
                <w:color w:val="000000"/>
                <w:sz w:val="19"/>
                <w:szCs w:val="19"/>
              </w:rPr>
              <w:t>3.3</w:t>
            </w:r>
          </w:p>
        </w:tc>
        <w:tc>
          <w:tcPr>
            <w:tcW w:w="3795" w:type="dxa"/>
            <w:tcBorders>
              <w:top w:val="nil"/>
              <w:left w:val="nil"/>
              <w:bottom w:val="single" w:sz="4" w:space="0" w:color="000000"/>
              <w:right w:val="single" w:sz="4" w:space="0" w:color="000000"/>
            </w:tcBorders>
            <w:shd w:val="clear" w:color="auto" w:fill="auto"/>
            <w:hideMark/>
          </w:tcPr>
          <w:p w:rsidR="00B4562D" w:rsidRPr="00916F8A" w:rsidRDefault="00B4562D" w:rsidP="00B4562D">
            <w:pPr>
              <w:rPr>
                <w:rFonts w:ascii="Arial" w:hAnsi="Arial" w:cs="Arial"/>
                <w:color w:val="000000"/>
                <w:sz w:val="19"/>
                <w:szCs w:val="19"/>
              </w:rPr>
            </w:pPr>
            <w:r w:rsidRPr="00916F8A">
              <w:rPr>
                <w:rFonts w:ascii="Arial" w:hAnsi="Arial" w:cs="Arial"/>
                <w:color w:val="000000"/>
                <w:sz w:val="19"/>
                <w:szCs w:val="19"/>
              </w:rPr>
              <w:t>A circular has been issued to ensure that</w:t>
            </w:r>
            <w:r w:rsidRPr="00916F8A">
              <w:rPr>
                <w:rFonts w:ascii="Arial" w:hAnsi="Arial" w:cs="Arial"/>
                <w:color w:val="000000"/>
                <w:sz w:val="19"/>
                <w:szCs w:val="19"/>
              </w:rPr>
              <w:br/>
              <w:t>health professionals meet the requirement of continuing medical education and the compliance with such requirement will be monitored regularly.</w:t>
            </w:r>
          </w:p>
        </w:tc>
        <w:tc>
          <w:tcPr>
            <w:tcW w:w="5940" w:type="dxa"/>
            <w:tcBorders>
              <w:top w:val="nil"/>
              <w:left w:val="nil"/>
              <w:bottom w:val="single" w:sz="4" w:space="0" w:color="000000"/>
              <w:right w:val="single" w:sz="4" w:space="0" w:color="000000"/>
            </w:tcBorders>
            <w:shd w:val="clear" w:color="auto" w:fill="auto"/>
            <w:hideMark/>
          </w:tcPr>
          <w:p w:rsidR="00B4562D" w:rsidRPr="00916F8A" w:rsidRDefault="00B4562D" w:rsidP="00B4562D">
            <w:pPr>
              <w:rPr>
                <w:rFonts w:ascii="Arial" w:hAnsi="Arial" w:cs="Arial"/>
                <w:color w:val="000000"/>
                <w:sz w:val="19"/>
                <w:szCs w:val="19"/>
              </w:rPr>
            </w:pPr>
            <w:r w:rsidRPr="00916F8A">
              <w:rPr>
                <w:rFonts w:ascii="Arial" w:hAnsi="Arial" w:cs="Arial"/>
                <w:color w:val="000000"/>
                <w:sz w:val="19"/>
                <w:szCs w:val="19"/>
              </w:rPr>
              <w:t>Vietnamese  and  English  translation  of  Circular</w:t>
            </w:r>
            <w:r w:rsidRPr="00916F8A">
              <w:rPr>
                <w:rFonts w:ascii="Arial" w:hAnsi="Arial" w:cs="Arial"/>
                <w:color w:val="000000"/>
                <w:sz w:val="19"/>
                <w:szCs w:val="19"/>
              </w:rPr>
              <w:br/>
              <w:t>No. 22/2013 on guidance on continuing education in the health sector issued on  9  August 2013, signed and sealed by the Minister of Health (Chapter 4,  Article 21 assigns responsibility for inspection to MOH’s Technology and Training Administration)</w:t>
            </w:r>
          </w:p>
        </w:tc>
        <w:tc>
          <w:tcPr>
            <w:tcW w:w="3150" w:type="dxa"/>
            <w:tcBorders>
              <w:top w:val="nil"/>
              <w:left w:val="nil"/>
              <w:bottom w:val="single" w:sz="4" w:space="0" w:color="000000"/>
              <w:right w:val="single" w:sz="4" w:space="0" w:color="000000"/>
            </w:tcBorders>
            <w:shd w:val="clear" w:color="auto" w:fill="auto"/>
            <w:noWrap/>
            <w:hideMark/>
          </w:tcPr>
          <w:p w:rsidR="00B4562D" w:rsidRPr="00916F8A" w:rsidRDefault="00B4562D" w:rsidP="00B4562D">
            <w:pPr>
              <w:rPr>
                <w:rFonts w:ascii="Arial" w:hAnsi="Arial" w:cs="Arial"/>
                <w:color w:val="000000"/>
                <w:sz w:val="19"/>
                <w:szCs w:val="19"/>
              </w:rPr>
            </w:pPr>
            <w:r w:rsidRPr="00916F8A">
              <w:rPr>
                <w:rFonts w:ascii="Arial" w:hAnsi="Arial" w:cs="Arial"/>
                <w:color w:val="000000"/>
                <w:sz w:val="19"/>
                <w:szCs w:val="19"/>
              </w:rPr>
              <w:t>Completed.</w:t>
            </w:r>
          </w:p>
        </w:tc>
      </w:tr>
      <w:tr w:rsidR="00B4562D" w:rsidRPr="00E65146" w:rsidTr="00C522F2">
        <w:trPr>
          <w:trHeight w:val="1785"/>
        </w:trPr>
        <w:tc>
          <w:tcPr>
            <w:tcW w:w="1080" w:type="dxa"/>
            <w:tcBorders>
              <w:top w:val="nil"/>
              <w:left w:val="single" w:sz="4" w:space="0" w:color="000000"/>
              <w:bottom w:val="single" w:sz="4" w:space="0" w:color="000000"/>
              <w:right w:val="single" w:sz="4" w:space="0" w:color="000000"/>
            </w:tcBorders>
            <w:shd w:val="clear" w:color="auto" w:fill="auto"/>
            <w:noWrap/>
            <w:hideMark/>
          </w:tcPr>
          <w:p w:rsidR="00B4562D" w:rsidRPr="00916F8A" w:rsidRDefault="00B4562D" w:rsidP="00B4562D">
            <w:pPr>
              <w:jc w:val="center"/>
              <w:rPr>
                <w:rFonts w:ascii="Arial" w:hAnsi="Arial" w:cs="Arial"/>
                <w:color w:val="000000"/>
                <w:sz w:val="19"/>
                <w:szCs w:val="19"/>
              </w:rPr>
            </w:pPr>
            <w:r w:rsidRPr="00916F8A">
              <w:rPr>
                <w:rFonts w:ascii="Arial" w:hAnsi="Arial" w:cs="Arial"/>
                <w:color w:val="000000"/>
                <w:sz w:val="19"/>
                <w:szCs w:val="19"/>
              </w:rPr>
              <w:t>3.4</w:t>
            </w:r>
          </w:p>
        </w:tc>
        <w:tc>
          <w:tcPr>
            <w:tcW w:w="3795" w:type="dxa"/>
            <w:tcBorders>
              <w:top w:val="nil"/>
              <w:left w:val="nil"/>
              <w:bottom w:val="single" w:sz="4" w:space="0" w:color="000000"/>
              <w:right w:val="single" w:sz="4" w:space="0" w:color="000000"/>
            </w:tcBorders>
            <w:shd w:val="clear" w:color="auto" w:fill="auto"/>
            <w:hideMark/>
          </w:tcPr>
          <w:p w:rsidR="00B4562D" w:rsidRPr="00916F8A" w:rsidRDefault="00B4562D" w:rsidP="00B4562D">
            <w:pPr>
              <w:rPr>
                <w:rFonts w:ascii="Arial" w:hAnsi="Arial" w:cs="Arial"/>
                <w:color w:val="000000"/>
                <w:sz w:val="19"/>
                <w:szCs w:val="19"/>
              </w:rPr>
            </w:pPr>
            <w:r w:rsidRPr="00916F8A">
              <w:rPr>
                <w:rFonts w:ascii="Arial" w:hAnsi="Arial" w:cs="Arial"/>
                <w:color w:val="000000"/>
                <w:sz w:val="19"/>
                <w:szCs w:val="19"/>
              </w:rPr>
              <w:t>The national advisory council at MOH level</w:t>
            </w:r>
            <w:r w:rsidRPr="00916F8A">
              <w:rPr>
                <w:rFonts w:ascii="Arial" w:hAnsi="Arial" w:cs="Arial"/>
                <w:color w:val="000000"/>
                <w:sz w:val="19"/>
                <w:szCs w:val="19"/>
              </w:rPr>
              <w:br/>
              <w:t>has become operational.</w:t>
            </w:r>
          </w:p>
        </w:tc>
        <w:tc>
          <w:tcPr>
            <w:tcW w:w="5940" w:type="dxa"/>
            <w:tcBorders>
              <w:top w:val="nil"/>
              <w:left w:val="nil"/>
              <w:bottom w:val="single" w:sz="4" w:space="0" w:color="000000"/>
              <w:right w:val="single" w:sz="4" w:space="0" w:color="000000"/>
            </w:tcBorders>
            <w:shd w:val="clear" w:color="auto" w:fill="auto"/>
            <w:hideMark/>
          </w:tcPr>
          <w:p w:rsidR="00B4562D" w:rsidRPr="00916F8A" w:rsidRDefault="00B4562D" w:rsidP="00B4562D">
            <w:pPr>
              <w:rPr>
                <w:rFonts w:ascii="Arial" w:hAnsi="Arial" w:cs="Arial"/>
                <w:color w:val="000000"/>
                <w:sz w:val="19"/>
                <w:szCs w:val="19"/>
              </w:rPr>
            </w:pPr>
            <w:r w:rsidRPr="00916F8A">
              <w:rPr>
                <w:rFonts w:ascii="Arial" w:hAnsi="Arial" w:cs="Arial"/>
                <w:color w:val="000000"/>
                <w:sz w:val="19"/>
                <w:szCs w:val="19"/>
              </w:rPr>
              <w:t>Vietnamese and English translation of Decision</w:t>
            </w:r>
            <w:r w:rsidRPr="00916F8A">
              <w:rPr>
                <w:rFonts w:ascii="Arial" w:hAnsi="Arial" w:cs="Arial"/>
                <w:color w:val="000000"/>
                <w:sz w:val="19"/>
                <w:szCs w:val="19"/>
              </w:rPr>
              <w:br/>
              <w:t>5248/2012 on establishing the national advisory council within MOH for health professional certification issued on 28 December 2012, signed and sealed by the Minister of Health Nguyen Thi Kim Tien</w:t>
            </w:r>
            <w:r w:rsidRPr="00916F8A">
              <w:rPr>
                <w:rFonts w:ascii="Arial" w:hAnsi="Arial" w:cs="Arial"/>
                <w:color w:val="000000"/>
                <w:sz w:val="19"/>
                <w:szCs w:val="19"/>
              </w:rPr>
              <w:br/>
            </w:r>
            <w:r w:rsidRPr="00916F8A">
              <w:rPr>
                <w:rFonts w:ascii="Arial" w:hAnsi="Arial" w:cs="Arial"/>
                <w:color w:val="000000"/>
                <w:sz w:val="19"/>
                <w:szCs w:val="19"/>
              </w:rPr>
              <w:br/>
              <w:t>Minutes of the Meeting of the national advisory council dated 11 March 2013, signed by the Chair, Vice Minister Nguyen Thi Xuyen</w:t>
            </w:r>
          </w:p>
        </w:tc>
        <w:tc>
          <w:tcPr>
            <w:tcW w:w="3150" w:type="dxa"/>
            <w:tcBorders>
              <w:top w:val="nil"/>
              <w:left w:val="nil"/>
              <w:bottom w:val="single" w:sz="4" w:space="0" w:color="000000"/>
              <w:right w:val="single" w:sz="4" w:space="0" w:color="000000"/>
            </w:tcBorders>
            <w:shd w:val="clear" w:color="auto" w:fill="auto"/>
            <w:noWrap/>
            <w:hideMark/>
          </w:tcPr>
          <w:p w:rsidR="00B4562D" w:rsidRPr="00916F8A" w:rsidRDefault="00B4562D" w:rsidP="00B4562D">
            <w:pPr>
              <w:rPr>
                <w:rFonts w:ascii="Arial" w:hAnsi="Arial" w:cs="Arial"/>
                <w:color w:val="000000"/>
                <w:sz w:val="19"/>
                <w:szCs w:val="19"/>
              </w:rPr>
            </w:pPr>
            <w:r w:rsidRPr="00916F8A">
              <w:rPr>
                <w:rFonts w:ascii="Arial" w:hAnsi="Arial" w:cs="Arial"/>
                <w:color w:val="000000"/>
                <w:sz w:val="19"/>
                <w:szCs w:val="19"/>
              </w:rPr>
              <w:t>Completed.</w:t>
            </w:r>
          </w:p>
        </w:tc>
      </w:tr>
      <w:tr w:rsidR="00B4562D" w:rsidRPr="00E65146" w:rsidTr="00C522F2">
        <w:trPr>
          <w:trHeight w:val="1275"/>
        </w:trPr>
        <w:tc>
          <w:tcPr>
            <w:tcW w:w="1080" w:type="dxa"/>
            <w:tcBorders>
              <w:top w:val="nil"/>
              <w:left w:val="single" w:sz="4" w:space="0" w:color="000000"/>
              <w:bottom w:val="single" w:sz="4" w:space="0" w:color="000000"/>
              <w:right w:val="single" w:sz="4" w:space="0" w:color="000000"/>
            </w:tcBorders>
            <w:shd w:val="clear" w:color="auto" w:fill="auto"/>
            <w:noWrap/>
            <w:hideMark/>
          </w:tcPr>
          <w:p w:rsidR="00B4562D" w:rsidRPr="00916F8A" w:rsidRDefault="00B4562D" w:rsidP="00B4562D">
            <w:pPr>
              <w:jc w:val="center"/>
              <w:rPr>
                <w:rFonts w:ascii="Arial" w:hAnsi="Arial" w:cs="Arial"/>
                <w:color w:val="000000"/>
                <w:sz w:val="19"/>
                <w:szCs w:val="19"/>
              </w:rPr>
            </w:pPr>
            <w:r w:rsidRPr="00916F8A">
              <w:rPr>
                <w:rFonts w:ascii="Arial" w:hAnsi="Arial" w:cs="Arial"/>
                <w:color w:val="000000"/>
                <w:sz w:val="19"/>
                <w:szCs w:val="19"/>
              </w:rPr>
              <w:t>3.5</w:t>
            </w:r>
          </w:p>
        </w:tc>
        <w:tc>
          <w:tcPr>
            <w:tcW w:w="3795" w:type="dxa"/>
            <w:tcBorders>
              <w:top w:val="nil"/>
              <w:left w:val="nil"/>
              <w:bottom w:val="single" w:sz="4" w:space="0" w:color="000000"/>
              <w:right w:val="single" w:sz="4" w:space="0" w:color="000000"/>
            </w:tcBorders>
            <w:shd w:val="clear" w:color="auto" w:fill="auto"/>
            <w:hideMark/>
          </w:tcPr>
          <w:p w:rsidR="00B4562D" w:rsidRPr="00916F8A" w:rsidRDefault="00B4562D" w:rsidP="00B4562D">
            <w:pPr>
              <w:rPr>
                <w:rFonts w:ascii="Arial" w:hAnsi="Arial" w:cs="Arial"/>
                <w:color w:val="000000"/>
                <w:sz w:val="19"/>
                <w:szCs w:val="19"/>
              </w:rPr>
            </w:pPr>
            <w:r w:rsidRPr="00916F8A">
              <w:rPr>
                <w:rFonts w:ascii="Arial" w:hAnsi="Arial" w:cs="Arial"/>
                <w:color w:val="000000"/>
                <w:sz w:val="19"/>
                <w:szCs w:val="19"/>
              </w:rPr>
              <w:t>A national unit within MOH with responsibility for the health professional certification</w:t>
            </w:r>
            <w:r w:rsidRPr="00916F8A">
              <w:rPr>
                <w:rFonts w:ascii="Arial" w:hAnsi="Arial" w:cs="Arial"/>
                <w:color w:val="000000"/>
                <w:sz w:val="19"/>
                <w:szCs w:val="19"/>
              </w:rPr>
              <w:br/>
              <w:t>system has been established and is operational.</w:t>
            </w:r>
          </w:p>
        </w:tc>
        <w:tc>
          <w:tcPr>
            <w:tcW w:w="5940" w:type="dxa"/>
            <w:tcBorders>
              <w:top w:val="nil"/>
              <w:left w:val="nil"/>
              <w:bottom w:val="single" w:sz="4" w:space="0" w:color="000000"/>
              <w:right w:val="single" w:sz="4" w:space="0" w:color="000000"/>
            </w:tcBorders>
            <w:shd w:val="clear" w:color="auto" w:fill="auto"/>
            <w:hideMark/>
          </w:tcPr>
          <w:p w:rsidR="00B4562D" w:rsidRPr="00916F8A" w:rsidRDefault="00B4562D" w:rsidP="00B4562D">
            <w:pPr>
              <w:rPr>
                <w:rFonts w:ascii="Arial" w:hAnsi="Arial" w:cs="Arial"/>
                <w:color w:val="000000"/>
                <w:sz w:val="19"/>
                <w:szCs w:val="19"/>
              </w:rPr>
            </w:pPr>
            <w:r w:rsidRPr="00916F8A">
              <w:rPr>
                <w:rFonts w:ascii="Arial" w:hAnsi="Arial" w:cs="Arial"/>
                <w:color w:val="000000"/>
                <w:sz w:val="19"/>
                <w:szCs w:val="19"/>
              </w:rPr>
              <w:t>Vietnamese and English translation of report on the registration and licensing system in Viet Nam</w:t>
            </w:r>
            <w:r w:rsidRPr="00916F8A">
              <w:rPr>
                <w:rFonts w:ascii="Arial" w:hAnsi="Arial" w:cs="Arial"/>
                <w:color w:val="000000"/>
                <w:sz w:val="19"/>
                <w:szCs w:val="19"/>
              </w:rPr>
              <w:br/>
              <w:t>showing the number of health professional licenses issued as of 20 May 2013, signed by Dr Khue, the director assigned responsibility for this activity in Circular No. 41</w:t>
            </w:r>
          </w:p>
        </w:tc>
        <w:tc>
          <w:tcPr>
            <w:tcW w:w="3150" w:type="dxa"/>
            <w:tcBorders>
              <w:top w:val="nil"/>
              <w:left w:val="nil"/>
              <w:bottom w:val="single" w:sz="4" w:space="0" w:color="000000"/>
              <w:right w:val="single" w:sz="4" w:space="0" w:color="000000"/>
            </w:tcBorders>
            <w:shd w:val="clear" w:color="auto" w:fill="auto"/>
            <w:noWrap/>
            <w:hideMark/>
          </w:tcPr>
          <w:p w:rsidR="00B4562D" w:rsidRPr="00916F8A" w:rsidRDefault="00B4562D" w:rsidP="00B4562D">
            <w:pPr>
              <w:rPr>
                <w:rFonts w:ascii="Arial" w:hAnsi="Arial" w:cs="Arial"/>
                <w:color w:val="000000"/>
                <w:sz w:val="19"/>
                <w:szCs w:val="19"/>
              </w:rPr>
            </w:pPr>
            <w:r w:rsidRPr="00916F8A">
              <w:rPr>
                <w:rFonts w:ascii="Arial" w:hAnsi="Arial" w:cs="Arial"/>
                <w:color w:val="000000"/>
                <w:sz w:val="19"/>
                <w:szCs w:val="19"/>
              </w:rPr>
              <w:t>Completed.</w:t>
            </w:r>
          </w:p>
        </w:tc>
      </w:tr>
      <w:tr w:rsidR="00B4562D" w:rsidRPr="00E65146" w:rsidTr="00C522F2">
        <w:trPr>
          <w:trHeight w:val="2295"/>
        </w:trPr>
        <w:tc>
          <w:tcPr>
            <w:tcW w:w="1080" w:type="dxa"/>
            <w:tcBorders>
              <w:top w:val="nil"/>
              <w:left w:val="single" w:sz="4" w:space="0" w:color="000000"/>
              <w:bottom w:val="single" w:sz="4" w:space="0" w:color="000000"/>
              <w:right w:val="single" w:sz="4" w:space="0" w:color="000000"/>
            </w:tcBorders>
            <w:shd w:val="clear" w:color="auto" w:fill="auto"/>
            <w:noWrap/>
            <w:hideMark/>
          </w:tcPr>
          <w:p w:rsidR="00B4562D" w:rsidRPr="00916F8A" w:rsidRDefault="00B4562D" w:rsidP="00B4562D">
            <w:pPr>
              <w:jc w:val="center"/>
              <w:rPr>
                <w:rFonts w:ascii="Arial" w:hAnsi="Arial" w:cs="Arial"/>
                <w:color w:val="000000"/>
                <w:sz w:val="19"/>
                <w:szCs w:val="19"/>
              </w:rPr>
            </w:pPr>
            <w:r w:rsidRPr="00916F8A">
              <w:rPr>
                <w:rFonts w:ascii="Arial" w:hAnsi="Arial" w:cs="Arial"/>
                <w:color w:val="000000"/>
                <w:sz w:val="19"/>
                <w:szCs w:val="19"/>
              </w:rPr>
              <w:t>3.6</w:t>
            </w:r>
          </w:p>
        </w:tc>
        <w:tc>
          <w:tcPr>
            <w:tcW w:w="3795" w:type="dxa"/>
            <w:tcBorders>
              <w:top w:val="nil"/>
              <w:left w:val="nil"/>
              <w:bottom w:val="single" w:sz="4" w:space="0" w:color="000000"/>
              <w:right w:val="single" w:sz="4" w:space="0" w:color="000000"/>
            </w:tcBorders>
            <w:shd w:val="clear" w:color="auto" w:fill="auto"/>
            <w:hideMark/>
          </w:tcPr>
          <w:p w:rsidR="00B4562D" w:rsidRPr="00916F8A" w:rsidRDefault="00B4562D" w:rsidP="00B4562D">
            <w:pPr>
              <w:rPr>
                <w:rFonts w:ascii="Arial" w:hAnsi="Arial" w:cs="Arial"/>
                <w:color w:val="000000"/>
                <w:sz w:val="19"/>
                <w:szCs w:val="19"/>
              </w:rPr>
            </w:pPr>
            <w:r w:rsidRPr="00916F8A">
              <w:rPr>
                <w:rFonts w:ascii="Arial" w:hAnsi="Arial" w:cs="Arial"/>
                <w:color w:val="000000"/>
                <w:sz w:val="19"/>
                <w:szCs w:val="19"/>
              </w:rPr>
              <w:t>A national health professional certification</w:t>
            </w:r>
            <w:r w:rsidRPr="00916F8A">
              <w:rPr>
                <w:rFonts w:ascii="Arial" w:hAnsi="Arial" w:cs="Arial"/>
                <w:color w:val="000000"/>
                <w:sz w:val="19"/>
                <w:szCs w:val="19"/>
              </w:rPr>
              <w:br/>
              <w:t>database has been developed and tested.</w:t>
            </w:r>
          </w:p>
        </w:tc>
        <w:tc>
          <w:tcPr>
            <w:tcW w:w="5940" w:type="dxa"/>
            <w:tcBorders>
              <w:top w:val="nil"/>
              <w:left w:val="nil"/>
              <w:bottom w:val="single" w:sz="4" w:space="0" w:color="000000"/>
              <w:right w:val="single" w:sz="4" w:space="0" w:color="000000"/>
            </w:tcBorders>
            <w:shd w:val="clear" w:color="auto" w:fill="auto"/>
            <w:hideMark/>
          </w:tcPr>
          <w:p w:rsidR="00B4562D" w:rsidRPr="00916F8A" w:rsidRDefault="00B4562D" w:rsidP="00B4562D">
            <w:pPr>
              <w:rPr>
                <w:rFonts w:ascii="Arial" w:hAnsi="Arial" w:cs="Arial"/>
                <w:color w:val="000000"/>
                <w:sz w:val="19"/>
                <w:szCs w:val="19"/>
              </w:rPr>
            </w:pPr>
            <w:r w:rsidRPr="00916F8A">
              <w:rPr>
                <w:rFonts w:ascii="Arial" w:hAnsi="Arial" w:cs="Arial"/>
                <w:color w:val="000000"/>
                <w:sz w:val="19"/>
                <w:szCs w:val="19"/>
              </w:rPr>
              <w:t>Vietnamese and English translation of Letter</w:t>
            </w:r>
            <w:r w:rsidRPr="00916F8A">
              <w:rPr>
                <w:rFonts w:ascii="Arial" w:hAnsi="Arial" w:cs="Arial"/>
                <w:color w:val="000000"/>
                <w:sz w:val="19"/>
                <w:szCs w:val="19"/>
              </w:rPr>
              <w:br/>
              <w:t>1356/BYT ordering use of the national database in all provinces and municipalities, signed and</w:t>
            </w:r>
            <w:r w:rsidRPr="00916F8A">
              <w:rPr>
                <w:rFonts w:ascii="Arial" w:hAnsi="Arial" w:cs="Arial"/>
                <w:color w:val="000000"/>
                <w:sz w:val="19"/>
                <w:szCs w:val="19"/>
              </w:rPr>
              <w:br/>
              <w:t>sealed by Vice Minister Xuyen</w:t>
            </w:r>
            <w:r w:rsidRPr="00916F8A">
              <w:rPr>
                <w:rFonts w:ascii="Arial" w:hAnsi="Arial" w:cs="Arial"/>
                <w:color w:val="000000"/>
                <w:sz w:val="19"/>
                <w:szCs w:val="19"/>
              </w:rPr>
              <w:br/>
            </w:r>
            <w:r w:rsidRPr="00916F8A">
              <w:rPr>
                <w:rFonts w:ascii="Arial" w:hAnsi="Arial" w:cs="Arial"/>
                <w:color w:val="000000"/>
                <w:sz w:val="19"/>
                <w:szCs w:val="19"/>
              </w:rPr>
              <w:br/>
              <w:t>Vietnamese and English translation of report on the registration and licensing system in Viet Nam showing the number of health professional licenses issued as of 20 May 2013 signed by Dr. Khue, the Director assigned responsibility for this</w:t>
            </w:r>
          </w:p>
        </w:tc>
        <w:tc>
          <w:tcPr>
            <w:tcW w:w="3150" w:type="dxa"/>
            <w:tcBorders>
              <w:top w:val="nil"/>
              <w:left w:val="nil"/>
              <w:bottom w:val="single" w:sz="4" w:space="0" w:color="000000"/>
              <w:right w:val="single" w:sz="4" w:space="0" w:color="000000"/>
            </w:tcBorders>
            <w:shd w:val="clear" w:color="auto" w:fill="auto"/>
            <w:noWrap/>
            <w:hideMark/>
          </w:tcPr>
          <w:p w:rsidR="00B4562D" w:rsidRPr="00916F8A" w:rsidRDefault="00B4562D" w:rsidP="00B4562D">
            <w:pPr>
              <w:rPr>
                <w:rFonts w:ascii="Arial" w:hAnsi="Arial" w:cs="Arial"/>
                <w:color w:val="000000"/>
                <w:sz w:val="19"/>
                <w:szCs w:val="19"/>
              </w:rPr>
            </w:pPr>
            <w:r w:rsidRPr="00916F8A">
              <w:rPr>
                <w:rFonts w:ascii="Arial" w:hAnsi="Arial" w:cs="Arial"/>
                <w:color w:val="000000"/>
                <w:sz w:val="19"/>
                <w:szCs w:val="19"/>
              </w:rPr>
              <w:t>Completed.</w:t>
            </w:r>
          </w:p>
        </w:tc>
      </w:tr>
      <w:tr w:rsidR="00B4562D" w:rsidRPr="00E65146" w:rsidTr="00C522F2">
        <w:trPr>
          <w:trHeight w:val="1020"/>
        </w:trPr>
        <w:tc>
          <w:tcPr>
            <w:tcW w:w="1080" w:type="dxa"/>
            <w:tcBorders>
              <w:top w:val="nil"/>
              <w:left w:val="single" w:sz="4" w:space="0" w:color="000000"/>
              <w:bottom w:val="single" w:sz="4" w:space="0" w:color="000000"/>
              <w:right w:val="single" w:sz="4" w:space="0" w:color="000000"/>
            </w:tcBorders>
            <w:shd w:val="clear" w:color="auto" w:fill="auto"/>
            <w:noWrap/>
            <w:hideMark/>
          </w:tcPr>
          <w:p w:rsidR="00B4562D" w:rsidRPr="00916F8A" w:rsidRDefault="00B4562D" w:rsidP="00B4562D">
            <w:pPr>
              <w:jc w:val="center"/>
              <w:rPr>
                <w:rFonts w:ascii="Arial" w:hAnsi="Arial" w:cs="Arial"/>
                <w:color w:val="000000"/>
                <w:sz w:val="19"/>
                <w:szCs w:val="19"/>
              </w:rPr>
            </w:pPr>
            <w:r w:rsidRPr="00916F8A">
              <w:rPr>
                <w:rFonts w:ascii="Arial" w:hAnsi="Arial" w:cs="Arial"/>
                <w:color w:val="000000"/>
                <w:sz w:val="19"/>
                <w:szCs w:val="19"/>
              </w:rPr>
              <w:t>3.7</w:t>
            </w:r>
          </w:p>
        </w:tc>
        <w:tc>
          <w:tcPr>
            <w:tcW w:w="3795" w:type="dxa"/>
            <w:tcBorders>
              <w:top w:val="nil"/>
              <w:left w:val="nil"/>
              <w:bottom w:val="single" w:sz="4" w:space="0" w:color="000000"/>
              <w:right w:val="single" w:sz="4" w:space="0" w:color="000000"/>
            </w:tcBorders>
            <w:shd w:val="clear" w:color="auto" w:fill="auto"/>
            <w:hideMark/>
          </w:tcPr>
          <w:p w:rsidR="00B4562D" w:rsidRPr="00916F8A" w:rsidRDefault="00B4562D" w:rsidP="00B4562D">
            <w:pPr>
              <w:rPr>
                <w:rFonts w:ascii="Arial" w:hAnsi="Arial" w:cs="Arial"/>
                <w:color w:val="000000"/>
                <w:sz w:val="19"/>
                <w:szCs w:val="19"/>
              </w:rPr>
            </w:pPr>
            <w:r w:rsidRPr="00916F8A">
              <w:rPr>
                <w:rFonts w:ascii="Arial" w:hAnsi="Arial" w:cs="Arial"/>
                <w:color w:val="000000"/>
                <w:sz w:val="19"/>
                <w:szCs w:val="19"/>
              </w:rPr>
              <w:t>A national training plan has been submitted</w:t>
            </w:r>
            <w:r w:rsidRPr="00916F8A">
              <w:rPr>
                <w:rFonts w:ascii="Arial" w:hAnsi="Arial" w:cs="Arial"/>
                <w:color w:val="000000"/>
                <w:sz w:val="19"/>
                <w:szCs w:val="19"/>
              </w:rPr>
              <w:br/>
              <w:t>to the Minister of Health for training provincial staff involved in health professional certification.</w:t>
            </w:r>
          </w:p>
        </w:tc>
        <w:tc>
          <w:tcPr>
            <w:tcW w:w="5940" w:type="dxa"/>
            <w:tcBorders>
              <w:top w:val="nil"/>
              <w:left w:val="nil"/>
              <w:bottom w:val="single" w:sz="4" w:space="0" w:color="000000"/>
              <w:right w:val="single" w:sz="4" w:space="0" w:color="000000"/>
            </w:tcBorders>
            <w:shd w:val="clear" w:color="auto" w:fill="auto"/>
            <w:hideMark/>
          </w:tcPr>
          <w:p w:rsidR="00B4562D" w:rsidRPr="00916F8A" w:rsidRDefault="00B4562D" w:rsidP="00B4562D">
            <w:pPr>
              <w:rPr>
                <w:rFonts w:ascii="Arial" w:hAnsi="Arial" w:cs="Arial"/>
                <w:color w:val="000000"/>
                <w:sz w:val="19"/>
                <w:szCs w:val="19"/>
              </w:rPr>
            </w:pPr>
            <w:r w:rsidRPr="00916F8A">
              <w:rPr>
                <w:rFonts w:ascii="Arial" w:hAnsi="Arial" w:cs="Arial"/>
                <w:color w:val="000000"/>
                <w:sz w:val="19"/>
                <w:szCs w:val="19"/>
              </w:rPr>
              <w:t>Vietnamese   and   English   translation   of   Plan</w:t>
            </w:r>
            <w:r w:rsidRPr="00916F8A">
              <w:rPr>
                <w:rFonts w:ascii="Arial" w:hAnsi="Arial" w:cs="Arial"/>
                <w:color w:val="000000"/>
                <w:sz w:val="19"/>
                <w:szCs w:val="19"/>
              </w:rPr>
              <w:br/>
              <w:t>1439/KH BYT for National Training on Health Professionals Licensing and Relicensing for the period 2013 to 2015 dated 28 December 2012, signed and sealed by Vice Minister Nguyen Thi Xuyen</w:t>
            </w:r>
          </w:p>
        </w:tc>
        <w:tc>
          <w:tcPr>
            <w:tcW w:w="3150" w:type="dxa"/>
            <w:tcBorders>
              <w:top w:val="nil"/>
              <w:left w:val="nil"/>
              <w:bottom w:val="single" w:sz="4" w:space="0" w:color="000000"/>
              <w:right w:val="single" w:sz="4" w:space="0" w:color="000000"/>
            </w:tcBorders>
            <w:shd w:val="clear" w:color="auto" w:fill="auto"/>
            <w:noWrap/>
            <w:hideMark/>
          </w:tcPr>
          <w:p w:rsidR="00B4562D" w:rsidRPr="00916F8A" w:rsidRDefault="00B4562D" w:rsidP="00B4562D">
            <w:pPr>
              <w:rPr>
                <w:rFonts w:ascii="Arial" w:hAnsi="Arial" w:cs="Arial"/>
                <w:color w:val="000000"/>
                <w:sz w:val="19"/>
                <w:szCs w:val="19"/>
              </w:rPr>
            </w:pPr>
            <w:r w:rsidRPr="00916F8A">
              <w:rPr>
                <w:rFonts w:ascii="Arial" w:hAnsi="Arial" w:cs="Arial"/>
                <w:color w:val="000000"/>
                <w:sz w:val="19"/>
                <w:szCs w:val="19"/>
              </w:rPr>
              <w:t>Completed.</w:t>
            </w:r>
          </w:p>
        </w:tc>
      </w:tr>
      <w:tr w:rsidR="00B4562D" w:rsidRPr="00E65146" w:rsidTr="00C522F2">
        <w:trPr>
          <w:trHeight w:val="1785"/>
        </w:trPr>
        <w:tc>
          <w:tcPr>
            <w:tcW w:w="1080" w:type="dxa"/>
            <w:tcBorders>
              <w:top w:val="nil"/>
              <w:left w:val="single" w:sz="4" w:space="0" w:color="000000"/>
              <w:bottom w:val="single" w:sz="4" w:space="0" w:color="000000"/>
              <w:right w:val="single" w:sz="4" w:space="0" w:color="000000"/>
            </w:tcBorders>
            <w:shd w:val="clear" w:color="auto" w:fill="auto"/>
            <w:noWrap/>
            <w:hideMark/>
          </w:tcPr>
          <w:p w:rsidR="00B4562D" w:rsidRPr="00916F8A" w:rsidRDefault="00B4562D" w:rsidP="00B4562D">
            <w:pPr>
              <w:jc w:val="center"/>
              <w:rPr>
                <w:rFonts w:ascii="Arial" w:hAnsi="Arial" w:cs="Arial"/>
                <w:color w:val="000000"/>
                <w:sz w:val="19"/>
                <w:szCs w:val="19"/>
              </w:rPr>
            </w:pPr>
            <w:r w:rsidRPr="00916F8A">
              <w:rPr>
                <w:rFonts w:ascii="Arial" w:hAnsi="Arial" w:cs="Arial"/>
                <w:color w:val="000000"/>
                <w:sz w:val="19"/>
                <w:szCs w:val="19"/>
              </w:rPr>
              <w:t>4</w:t>
            </w:r>
          </w:p>
        </w:tc>
        <w:tc>
          <w:tcPr>
            <w:tcW w:w="3795" w:type="dxa"/>
            <w:tcBorders>
              <w:top w:val="nil"/>
              <w:left w:val="nil"/>
              <w:bottom w:val="single" w:sz="4" w:space="0" w:color="000000"/>
              <w:right w:val="single" w:sz="4" w:space="0" w:color="000000"/>
            </w:tcBorders>
            <w:shd w:val="clear" w:color="auto" w:fill="auto"/>
            <w:hideMark/>
          </w:tcPr>
          <w:p w:rsidR="00B4562D" w:rsidRPr="00916F8A" w:rsidRDefault="00B4562D" w:rsidP="00B4562D">
            <w:pPr>
              <w:rPr>
                <w:rFonts w:ascii="Arial" w:hAnsi="Arial" w:cs="Arial"/>
                <w:color w:val="000000"/>
                <w:sz w:val="19"/>
                <w:szCs w:val="19"/>
              </w:rPr>
            </w:pPr>
            <w:r w:rsidRPr="00916F8A">
              <w:rPr>
                <w:rFonts w:ascii="Arial" w:hAnsi="Arial" w:cs="Arial"/>
                <w:color w:val="000000"/>
                <w:sz w:val="19"/>
                <w:szCs w:val="19"/>
              </w:rPr>
              <w:t>MOH has issued a guideline for the</w:t>
            </w:r>
            <w:r w:rsidRPr="00916F8A">
              <w:rPr>
                <w:rFonts w:ascii="Arial" w:hAnsi="Arial" w:cs="Arial"/>
                <w:color w:val="000000"/>
                <w:sz w:val="19"/>
                <w:szCs w:val="19"/>
              </w:rPr>
              <w:br/>
              <w:t>accreditation of pre-service and postgraduate health professional training programs within recognized educational institutions.</w:t>
            </w:r>
          </w:p>
        </w:tc>
        <w:tc>
          <w:tcPr>
            <w:tcW w:w="5940" w:type="dxa"/>
            <w:tcBorders>
              <w:top w:val="nil"/>
              <w:left w:val="nil"/>
              <w:bottom w:val="single" w:sz="4" w:space="0" w:color="000000"/>
              <w:right w:val="single" w:sz="4" w:space="0" w:color="000000"/>
            </w:tcBorders>
            <w:shd w:val="clear" w:color="auto" w:fill="auto"/>
            <w:hideMark/>
          </w:tcPr>
          <w:p w:rsidR="00B4562D" w:rsidRPr="00916F8A" w:rsidRDefault="00B4562D" w:rsidP="00B4562D">
            <w:pPr>
              <w:rPr>
                <w:rFonts w:ascii="Arial" w:hAnsi="Arial" w:cs="Arial"/>
                <w:color w:val="000000"/>
                <w:sz w:val="19"/>
                <w:szCs w:val="19"/>
              </w:rPr>
            </w:pPr>
            <w:r w:rsidRPr="00916F8A">
              <w:rPr>
                <w:rFonts w:ascii="Arial" w:hAnsi="Arial" w:cs="Arial"/>
                <w:color w:val="000000"/>
                <w:sz w:val="19"/>
                <w:szCs w:val="19"/>
              </w:rPr>
              <w:t>Vietnamese and English translation of guidelines</w:t>
            </w:r>
            <w:r w:rsidRPr="00916F8A">
              <w:rPr>
                <w:rFonts w:ascii="Arial" w:hAnsi="Arial" w:cs="Arial"/>
                <w:color w:val="000000"/>
                <w:sz w:val="19"/>
                <w:szCs w:val="19"/>
              </w:rPr>
              <w:br/>
              <w:t>for using and supplementing quality evaluation criteria at medical and nursing universities, signed and sealed by Nguyen Cong Khan, Director of Science Technology and Training Administration Vietnamese and English translation of Dispatch</w:t>
            </w:r>
            <w:r w:rsidRPr="00916F8A">
              <w:rPr>
                <w:rFonts w:ascii="Arial" w:hAnsi="Arial" w:cs="Arial"/>
                <w:color w:val="000000"/>
                <w:sz w:val="19"/>
                <w:szCs w:val="19"/>
              </w:rPr>
              <w:br/>
              <w:t>175/K2DT-SDH dated 10 April 2013 requesting medical and nursing units to use the guidelines, signed and sealed by Nguyen Cong Khan</w:t>
            </w:r>
          </w:p>
        </w:tc>
        <w:tc>
          <w:tcPr>
            <w:tcW w:w="3150" w:type="dxa"/>
            <w:tcBorders>
              <w:top w:val="nil"/>
              <w:left w:val="nil"/>
              <w:bottom w:val="single" w:sz="4" w:space="0" w:color="000000"/>
              <w:right w:val="single" w:sz="4" w:space="0" w:color="000000"/>
            </w:tcBorders>
            <w:shd w:val="clear" w:color="auto" w:fill="auto"/>
            <w:noWrap/>
            <w:hideMark/>
          </w:tcPr>
          <w:p w:rsidR="00B4562D" w:rsidRPr="00916F8A" w:rsidRDefault="00B4562D" w:rsidP="00B4562D">
            <w:pPr>
              <w:rPr>
                <w:rFonts w:ascii="Arial" w:hAnsi="Arial" w:cs="Arial"/>
                <w:color w:val="000000"/>
                <w:sz w:val="19"/>
                <w:szCs w:val="19"/>
              </w:rPr>
            </w:pPr>
            <w:r w:rsidRPr="00916F8A">
              <w:rPr>
                <w:rFonts w:ascii="Arial" w:hAnsi="Arial" w:cs="Arial"/>
                <w:color w:val="000000"/>
                <w:sz w:val="19"/>
                <w:szCs w:val="19"/>
              </w:rPr>
              <w:t>Completed.</w:t>
            </w:r>
          </w:p>
        </w:tc>
      </w:tr>
      <w:tr w:rsidR="00B4562D" w:rsidRPr="00E65146" w:rsidTr="00C522F2">
        <w:trPr>
          <w:trHeight w:val="1530"/>
        </w:trPr>
        <w:tc>
          <w:tcPr>
            <w:tcW w:w="1080" w:type="dxa"/>
            <w:tcBorders>
              <w:top w:val="nil"/>
              <w:left w:val="single" w:sz="4" w:space="0" w:color="000000"/>
              <w:bottom w:val="single" w:sz="4" w:space="0" w:color="000000"/>
              <w:right w:val="single" w:sz="4" w:space="0" w:color="000000"/>
            </w:tcBorders>
            <w:shd w:val="clear" w:color="auto" w:fill="auto"/>
            <w:noWrap/>
            <w:hideMark/>
          </w:tcPr>
          <w:p w:rsidR="00B4562D" w:rsidRPr="00916F8A" w:rsidRDefault="00B4562D" w:rsidP="00B4562D">
            <w:pPr>
              <w:jc w:val="center"/>
              <w:rPr>
                <w:rFonts w:ascii="Arial" w:hAnsi="Arial" w:cs="Arial"/>
                <w:color w:val="000000"/>
                <w:sz w:val="19"/>
                <w:szCs w:val="19"/>
              </w:rPr>
            </w:pPr>
            <w:r w:rsidRPr="00916F8A">
              <w:rPr>
                <w:rFonts w:ascii="Arial" w:hAnsi="Arial" w:cs="Arial"/>
                <w:color w:val="000000"/>
                <w:sz w:val="19"/>
                <w:szCs w:val="19"/>
              </w:rPr>
              <w:t>5</w:t>
            </w:r>
          </w:p>
        </w:tc>
        <w:tc>
          <w:tcPr>
            <w:tcW w:w="3795" w:type="dxa"/>
            <w:tcBorders>
              <w:top w:val="nil"/>
              <w:left w:val="nil"/>
              <w:bottom w:val="single" w:sz="4" w:space="0" w:color="000000"/>
              <w:right w:val="single" w:sz="4" w:space="0" w:color="000000"/>
            </w:tcBorders>
            <w:shd w:val="clear" w:color="auto" w:fill="auto"/>
            <w:hideMark/>
          </w:tcPr>
          <w:p w:rsidR="00B4562D" w:rsidRPr="00916F8A" w:rsidRDefault="00B4562D" w:rsidP="00B4562D">
            <w:pPr>
              <w:rPr>
                <w:rFonts w:ascii="Arial" w:hAnsi="Arial" w:cs="Arial"/>
                <w:color w:val="000000"/>
                <w:sz w:val="19"/>
                <w:szCs w:val="19"/>
              </w:rPr>
            </w:pPr>
            <w:r w:rsidRPr="00916F8A">
              <w:rPr>
                <w:rFonts w:ascii="Arial" w:hAnsi="Arial" w:cs="Arial"/>
                <w:color w:val="000000"/>
                <w:sz w:val="19"/>
                <w:szCs w:val="19"/>
              </w:rPr>
              <w:t>MOH has issued a regulation (an upgrade of</w:t>
            </w:r>
            <w:r w:rsidRPr="00916F8A">
              <w:rPr>
                <w:rFonts w:ascii="Arial" w:hAnsi="Arial" w:cs="Arial"/>
                <w:color w:val="000000"/>
                <w:sz w:val="19"/>
                <w:szCs w:val="19"/>
              </w:rPr>
              <w:br/>
              <w:t>Circular No. 07/2008/TT-BYT dated 28 May</w:t>
            </w:r>
            <w:r w:rsidRPr="00916F8A">
              <w:rPr>
                <w:rFonts w:ascii="Arial" w:hAnsi="Arial" w:cs="Arial"/>
                <w:color w:val="000000"/>
                <w:sz w:val="19"/>
                <w:szCs w:val="19"/>
              </w:rPr>
              <w:br/>
              <w:t>2008) on a system for accrediting continuing education courses, and a secretariat for implementing this system is established in MOH.</w:t>
            </w:r>
          </w:p>
        </w:tc>
        <w:tc>
          <w:tcPr>
            <w:tcW w:w="5940" w:type="dxa"/>
            <w:tcBorders>
              <w:top w:val="nil"/>
              <w:left w:val="nil"/>
              <w:bottom w:val="single" w:sz="4" w:space="0" w:color="000000"/>
              <w:right w:val="single" w:sz="4" w:space="0" w:color="000000"/>
            </w:tcBorders>
            <w:shd w:val="clear" w:color="auto" w:fill="auto"/>
            <w:hideMark/>
          </w:tcPr>
          <w:p w:rsidR="00B4562D" w:rsidRPr="00916F8A" w:rsidRDefault="00B4562D" w:rsidP="00B4562D">
            <w:pPr>
              <w:rPr>
                <w:rFonts w:ascii="Arial" w:hAnsi="Arial" w:cs="Arial"/>
                <w:color w:val="000000"/>
                <w:sz w:val="19"/>
                <w:szCs w:val="19"/>
              </w:rPr>
            </w:pPr>
            <w:r w:rsidRPr="00916F8A">
              <w:rPr>
                <w:rFonts w:ascii="Arial" w:hAnsi="Arial" w:cs="Arial"/>
                <w:color w:val="000000"/>
                <w:sz w:val="19"/>
                <w:szCs w:val="19"/>
              </w:rPr>
              <w:t>Vietnamese and English translation of Circular</w:t>
            </w:r>
            <w:r w:rsidRPr="00916F8A">
              <w:rPr>
                <w:rFonts w:ascii="Arial" w:hAnsi="Arial" w:cs="Arial"/>
                <w:color w:val="000000"/>
                <w:sz w:val="19"/>
                <w:szCs w:val="19"/>
              </w:rPr>
              <w:br/>
              <w:t>No. 22/2013 on guidance on continuing education in the health sector issued on 9 August 2013, signed and sealed by the Minister of Health (Chapter 3, Article 15 assigns responsibility for accreditation to MOH Technology and Training Administration, which has been actively working on accreditation as evidenced by agendas and notes of accreditation workshops.</w:t>
            </w:r>
          </w:p>
        </w:tc>
        <w:tc>
          <w:tcPr>
            <w:tcW w:w="3150" w:type="dxa"/>
            <w:tcBorders>
              <w:top w:val="nil"/>
              <w:left w:val="nil"/>
              <w:bottom w:val="single" w:sz="4" w:space="0" w:color="000000"/>
              <w:right w:val="single" w:sz="4" w:space="0" w:color="000000"/>
            </w:tcBorders>
            <w:shd w:val="clear" w:color="auto" w:fill="auto"/>
            <w:noWrap/>
            <w:hideMark/>
          </w:tcPr>
          <w:p w:rsidR="00B4562D" w:rsidRPr="00916F8A" w:rsidRDefault="00B4562D" w:rsidP="00B4562D">
            <w:pPr>
              <w:rPr>
                <w:rFonts w:ascii="Arial" w:hAnsi="Arial" w:cs="Arial"/>
                <w:color w:val="000000"/>
                <w:sz w:val="19"/>
                <w:szCs w:val="19"/>
              </w:rPr>
            </w:pPr>
            <w:r w:rsidRPr="00916F8A">
              <w:rPr>
                <w:rFonts w:ascii="Arial" w:hAnsi="Arial" w:cs="Arial"/>
                <w:color w:val="000000"/>
                <w:sz w:val="19"/>
                <w:szCs w:val="19"/>
              </w:rPr>
              <w:t>Completed.</w:t>
            </w:r>
          </w:p>
        </w:tc>
      </w:tr>
      <w:tr w:rsidR="00B4562D" w:rsidRPr="00E65146" w:rsidTr="00C522F2">
        <w:trPr>
          <w:trHeight w:val="1275"/>
        </w:trPr>
        <w:tc>
          <w:tcPr>
            <w:tcW w:w="1080" w:type="dxa"/>
            <w:tcBorders>
              <w:top w:val="nil"/>
              <w:left w:val="single" w:sz="4" w:space="0" w:color="000000"/>
              <w:bottom w:val="single" w:sz="4" w:space="0" w:color="000000"/>
              <w:right w:val="single" w:sz="4" w:space="0" w:color="000000"/>
            </w:tcBorders>
            <w:shd w:val="clear" w:color="auto" w:fill="auto"/>
            <w:noWrap/>
            <w:hideMark/>
          </w:tcPr>
          <w:p w:rsidR="00B4562D" w:rsidRPr="00916F8A" w:rsidRDefault="00B4562D" w:rsidP="00B4562D">
            <w:pPr>
              <w:jc w:val="center"/>
              <w:rPr>
                <w:rFonts w:ascii="Arial" w:hAnsi="Arial" w:cs="Arial"/>
                <w:color w:val="000000"/>
                <w:sz w:val="19"/>
                <w:szCs w:val="19"/>
              </w:rPr>
            </w:pPr>
            <w:r w:rsidRPr="00916F8A">
              <w:rPr>
                <w:rFonts w:ascii="Arial" w:hAnsi="Arial" w:cs="Arial"/>
                <w:color w:val="000000"/>
                <w:sz w:val="19"/>
                <w:szCs w:val="19"/>
              </w:rPr>
              <w:t>6</w:t>
            </w:r>
          </w:p>
        </w:tc>
        <w:tc>
          <w:tcPr>
            <w:tcW w:w="3795" w:type="dxa"/>
            <w:tcBorders>
              <w:top w:val="nil"/>
              <w:left w:val="nil"/>
              <w:bottom w:val="single" w:sz="4" w:space="0" w:color="000000"/>
              <w:right w:val="single" w:sz="4" w:space="0" w:color="000000"/>
            </w:tcBorders>
            <w:shd w:val="clear" w:color="auto" w:fill="auto"/>
            <w:hideMark/>
          </w:tcPr>
          <w:p w:rsidR="00B4562D" w:rsidRPr="00916F8A" w:rsidRDefault="00B4562D" w:rsidP="00B4562D">
            <w:pPr>
              <w:rPr>
                <w:rFonts w:ascii="Arial" w:hAnsi="Arial" w:cs="Arial"/>
                <w:color w:val="000000"/>
                <w:sz w:val="19"/>
                <w:szCs w:val="19"/>
              </w:rPr>
            </w:pPr>
            <w:r w:rsidRPr="00916F8A">
              <w:rPr>
                <w:rFonts w:ascii="Arial" w:hAnsi="Arial" w:cs="Arial"/>
                <w:color w:val="000000"/>
                <w:sz w:val="19"/>
                <w:szCs w:val="19"/>
              </w:rPr>
              <w:t>MOH has formally issued a set of minimum</w:t>
            </w:r>
            <w:r w:rsidRPr="00916F8A">
              <w:rPr>
                <w:rFonts w:ascii="Arial" w:hAnsi="Arial" w:cs="Arial"/>
                <w:color w:val="000000"/>
                <w:sz w:val="19"/>
                <w:szCs w:val="19"/>
              </w:rPr>
              <w:br/>
              <w:t>standards for equipment available in medical colleges based on courses provided and students enrolled.</w:t>
            </w:r>
          </w:p>
        </w:tc>
        <w:tc>
          <w:tcPr>
            <w:tcW w:w="5940" w:type="dxa"/>
            <w:tcBorders>
              <w:top w:val="nil"/>
              <w:left w:val="nil"/>
              <w:bottom w:val="single" w:sz="4" w:space="0" w:color="000000"/>
              <w:right w:val="single" w:sz="4" w:space="0" w:color="000000"/>
            </w:tcBorders>
            <w:shd w:val="clear" w:color="auto" w:fill="auto"/>
            <w:hideMark/>
          </w:tcPr>
          <w:p w:rsidR="00B4562D" w:rsidRPr="00916F8A" w:rsidRDefault="00B4562D" w:rsidP="00B4562D">
            <w:pPr>
              <w:rPr>
                <w:rFonts w:ascii="Arial" w:hAnsi="Arial" w:cs="Arial"/>
                <w:color w:val="000000"/>
                <w:sz w:val="19"/>
                <w:szCs w:val="19"/>
              </w:rPr>
            </w:pPr>
            <w:r w:rsidRPr="00916F8A">
              <w:rPr>
                <w:rFonts w:ascii="Arial" w:hAnsi="Arial" w:cs="Arial"/>
                <w:color w:val="000000"/>
                <w:sz w:val="19"/>
                <w:szCs w:val="19"/>
              </w:rPr>
              <w:t>Vietnamese and English translation of  Decision</w:t>
            </w:r>
            <w:r w:rsidRPr="00916F8A">
              <w:rPr>
                <w:rFonts w:ascii="Arial" w:hAnsi="Arial" w:cs="Arial"/>
                <w:color w:val="000000"/>
                <w:sz w:val="19"/>
                <w:szCs w:val="19"/>
              </w:rPr>
              <w:br/>
              <w:t>1239/QD-BYT  on  standards  for  equipment required for medical universities and colleges dated 15 April 2013, signed and sealed by the Minister of Health Nguyen Thi Kim Tien (including Vietnamese and English translation of equipment lists in Decision 1239)</w:t>
            </w:r>
          </w:p>
        </w:tc>
        <w:tc>
          <w:tcPr>
            <w:tcW w:w="3150" w:type="dxa"/>
            <w:tcBorders>
              <w:top w:val="nil"/>
              <w:left w:val="nil"/>
              <w:bottom w:val="single" w:sz="4" w:space="0" w:color="000000"/>
              <w:right w:val="single" w:sz="4" w:space="0" w:color="000000"/>
            </w:tcBorders>
            <w:shd w:val="clear" w:color="auto" w:fill="auto"/>
            <w:noWrap/>
            <w:hideMark/>
          </w:tcPr>
          <w:p w:rsidR="00B4562D" w:rsidRPr="00916F8A" w:rsidRDefault="00B4562D" w:rsidP="00B4562D">
            <w:pPr>
              <w:rPr>
                <w:rFonts w:ascii="Arial" w:hAnsi="Arial" w:cs="Arial"/>
                <w:color w:val="000000"/>
                <w:sz w:val="19"/>
                <w:szCs w:val="19"/>
              </w:rPr>
            </w:pPr>
            <w:r w:rsidRPr="00916F8A">
              <w:rPr>
                <w:rFonts w:ascii="Arial" w:hAnsi="Arial" w:cs="Arial"/>
                <w:color w:val="000000"/>
                <w:sz w:val="19"/>
                <w:szCs w:val="19"/>
              </w:rPr>
              <w:t>Completed.</w:t>
            </w:r>
          </w:p>
        </w:tc>
      </w:tr>
      <w:tr w:rsidR="00B4562D" w:rsidRPr="00E65146" w:rsidTr="00C522F2">
        <w:trPr>
          <w:trHeight w:val="2295"/>
        </w:trPr>
        <w:tc>
          <w:tcPr>
            <w:tcW w:w="1080" w:type="dxa"/>
            <w:tcBorders>
              <w:top w:val="nil"/>
              <w:left w:val="single" w:sz="4" w:space="0" w:color="000000"/>
              <w:bottom w:val="single" w:sz="4" w:space="0" w:color="000000"/>
              <w:right w:val="single" w:sz="4" w:space="0" w:color="000000"/>
            </w:tcBorders>
            <w:shd w:val="clear" w:color="auto" w:fill="auto"/>
            <w:noWrap/>
            <w:hideMark/>
          </w:tcPr>
          <w:p w:rsidR="00B4562D" w:rsidRPr="00916F8A" w:rsidRDefault="00B4562D" w:rsidP="00B4562D">
            <w:pPr>
              <w:jc w:val="center"/>
              <w:rPr>
                <w:rFonts w:ascii="Arial" w:hAnsi="Arial" w:cs="Arial"/>
                <w:color w:val="000000"/>
                <w:sz w:val="19"/>
                <w:szCs w:val="19"/>
              </w:rPr>
            </w:pPr>
            <w:r w:rsidRPr="00916F8A">
              <w:rPr>
                <w:rFonts w:ascii="Arial" w:hAnsi="Arial" w:cs="Arial"/>
                <w:color w:val="000000"/>
                <w:sz w:val="19"/>
                <w:szCs w:val="19"/>
              </w:rPr>
              <w:t>7</w:t>
            </w:r>
          </w:p>
        </w:tc>
        <w:tc>
          <w:tcPr>
            <w:tcW w:w="3795" w:type="dxa"/>
            <w:tcBorders>
              <w:top w:val="nil"/>
              <w:left w:val="nil"/>
              <w:bottom w:val="single" w:sz="4" w:space="0" w:color="000000"/>
              <w:right w:val="single" w:sz="4" w:space="0" w:color="000000"/>
            </w:tcBorders>
            <w:shd w:val="clear" w:color="auto" w:fill="auto"/>
            <w:hideMark/>
          </w:tcPr>
          <w:p w:rsidR="00B4562D" w:rsidRPr="00916F8A" w:rsidRDefault="00B4562D" w:rsidP="00B4562D">
            <w:pPr>
              <w:rPr>
                <w:rFonts w:ascii="Arial" w:hAnsi="Arial" w:cs="Arial"/>
                <w:color w:val="000000"/>
                <w:sz w:val="19"/>
                <w:szCs w:val="19"/>
              </w:rPr>
            </w:pPr>
            <w:r w:rsidRPr="00916F8A">
              <w:rPr>
                <w:rFonts w:ascii="Arial" w:hAnsi="Arial" w:cs="Arial"/>
                <w:color w:val="000000"/>
                <w:sz w:val="19"/>
                <w:szCs w:val="19"/>
              </w:rPr>
              <w:t>MOH has completed a policy review on the</w:t>
            </w:r>
            <w:r w:rsidRPr="00916F8A">
              <w:rPr>
                <w:rFonts w:ascii="Arial" w:hAnsi="Arial" w:cs="Arial"/>
                <w:color w:val="000000"/>
                <w:sz w:val="19"/>
                <w:szCs w:val="19"/>
              </w:rPr>
              <w:br/>
              <w:t>implementation of Circular No. 09/2008/TT- BYT dated 1 August 2009 and Decision</w:t>
            </w:r>
            <w:r w:rsidRPr="00916F8A">
              <w:rPr>
                <w:rFonts w:ascii="Arial" w:hAnsi="Arial" w:cs="Arial"/>
                <w:color w:val="000000"/>
                <w:sz w:val="19"/>
                <w:szCs w:val="19"/>
              </w:rPr>
              <w:br/>
              <w:t>1816/QD-BYT dated 26 May 2008, reporting on policy outcomes for improved service quality and recommendations on constraints and impact.</w:t>
            </w:r>
          </w:p>
        </w:tc>
        <w:tc>
          <w:tcPr>
            <w:tcW w:w="5940" w:type="dxa"/>
            <w:tcBorders>
              <w:top w:val="nil"/>
              <w:left w:val="nil"/>
              <w:bottom w:val="single" w:sz="4" w:space="0" w:color="000000"/>
              <w:right w:val="single" w:sz="4" w:space="0" w:color="000000"/>
            </w:tcBorders>
            <w:shd w:val="clear" w:color="auto" w:fill="auto"/>
            <w:hideMark/>
          </w:tcPr>
          <w:p w:rsidR="00B4562D" w:rsidRPr="00916F8A" w:rsidRDefault="00B4562D" w:rsidP="00B4562D">
            <w:pPr>
              <w:rPr>
                <w:rFonts w:ascii="Arial" w:hAnsi="Arial" w:cs="Arial"/>
                <w:color w:val="000000"/>
                <w:sz w:val="19"/>
                <w:szCs w:val="19"/>
              </w:rPr>
            </w:pPr>
            <w:r w:rsidRPr="00916F8A">
              <w:rPr>
                <w:rFonts w:ascii="Arial" w:hAnsi="Arial" w:cs="Arial"/>
                <w:color w:val="000000"/>
                <w:sz w:val="19"/>
                <w:szCs w:val="19"/>
              </w:rPr>
              <w:t>Vietnamese and English translation of a report</w:t>
            </w:r>
            <w:r w:rsidRPr="00916F8A">
              <w:rPr>
                <w:rFonts w:ascii="Arial" w:hAnsi="Arial" w:cs="Arial"/>
                <w:color w:val="000000"/>
                <w:sz w:val="19"/>
                <w:szCs w:val="19"/>
              </w:rPr>
              <w:br/>
              <w:t>assessing implementation of Circular No.</w:t>
            </w:r>
            <w:r w:rsidRPr="00916F8A">
              <w:rPr>
                <w:rFonts w:ascii="Arial" w:hAnsi="Arial" w:cs="Arial"/>
                <w:color w:val="000000"/>
                <w:sz w:val="19"/>
                <w:szCs w:val="19"/>
              </w:rPr>
              <w:br/>
              <w:t>09/2008/TT-BYT and impacts of this circular on health staff training institutions</w:t>
            </w:r>
            <w:r w:rsidRPr="00916F8A">
              <w:rPr>
                <w:rFonts w:ascii="Arial" w:hAnsi="Arial" w:cs="Arial"/>
                <w:color w:val="000000"/>
                <w:sz w:val="19"/>
                <w:szCs w:val="19"/>
              </w:rPr>
              <w:br/>
            </w:r>
            <w:r w:rsidRPr="00916F8A">
              <w:rPr>
                <w:rFonts w:ascii="Arial" w:hAnsi="Arial" w:cs="Arial"/>
                <w:color w:val="000000"/>
                <w:sz w:val="19"/>
                <w:szCs w:val="19"/>
              </w:rPr>
              <w:br/>
              <w:t>Vietnamese and  English translation of  a  report assessing outcomes of Decision 1816/QD-BYT on</w:t>
            </w:r>
            <w:r w:rsidRPr="00916F8A">
              <w:rPr>
                <w:rFonts w:ascii="Arial" w:hAnsi="Arial" w:cs="Arial"/>
                <w:color w:val="000000"/>
                <w:sz w:val="19"/>
                <w:szCs w:val="19"/>
              </w:rPr>
              <w:br/>
              <w:t>the rotation of medical specialists to lower-level hospitals in order to improve health services quality, as well as impacts of the project on reducing hospital overcrowding</w:t>
            </w:r>
          </w:p>
        </w:tc>
        <w:tc>
          <w:tcPr>
            <w:tcW w:w="3150" w:type="dxa"/>
            <w:tcBorders>
              <w:top w:val="nil"/>
              <w:left w:val="nil"/>
              <w:bottom w:val="single" w:sz="4" w:space="0" w:color="000000"/>
              <w:right w:val="single" w:sz="4" w:space="0" w:color="000000"/>
            </w:tcBorders>
            <w:shd w:val="clear" w:color="auto" w:fill="auto"/>
            <w:noWrap/>
            <w:hideMark/>
          </w:tcPr>
          <w:p w:rsidR="00B4562D" w:rsidRPr="00916F8A" w:rsidRDefault="00B4562D" w:rsidP="00B4562D">
            <w:pPr>
              <w:rPr>
                <w:rFonts w:ascii="Arial" w:hAnsi="Arial" w:cs="Arial"/>
                <w:color w:val="000000"/>
                <w:sz w:val="19"/>
                <w:szCs w:val="19"/>
              </w:rPr>
            </w:pPr>
            <w:r w:rsidRPr="00916F8A">
              <w:rPr>
                <w:rFonts w:ascii="Arial" w:hAnsi="Arial" w:cs="Arial"/>
                <w:color w:val="000000"/>
                <w:sz w:val="19"/>
                <w:szCs w:val="19"/>
              </w:rPr>
              <w:t>Completed.</w:t>
            </w:r>
          </w:p>
        </w:tc>
      </w:tr>
      <w:tr w:rsidR="00B4562D" w:rsidRPr="00E65146" w:rsidTr="00C522F2">
        <w:trPr>
          <w:trHeight w:val="1530"/>
        </w:trPr>
        <w:tc>
          <w:tcPr>
            <w:tcW w:w="1080" w:type="dxa"/>
            <w:tcBorders>
              <w:top w:val="nil"/>
              <w:left w:val="single" w:sz="4" w:space="0" w:color="000000"/>
              <w:bottom w:val="single" w:sz="4" w:space="0" w:color="000000"/>
              <w:right w:val="single" w:sz="4" w:space="0" w:color="000000"/>
            </w:tcBorders>
            <w:shd w:val="clear" w:color="auto" w:fill="auto"/>
            <w:noWrap/>
            <w:hideMark/>
          </w:tcPr>
          <w:p w:rsidR="00B4562D" w:rsidRPr="00916F8A" w:rsidRDefault="00B4562D" w:rsidP="00B4562D">
            <w:pPr>
              <w:jc w:val="center"/>
              <w:rPr>
                <w:rFonts w:ascii="Arial" w:hAnsi="Arial" w:cs="Arial"/>
                <w:color w:val="000000"/>
                <w:sz w:val="19"/>
                <w:szCs w:val="19"/>
              </w:rPr>
            </w:pPr>
            <w:r w:rsidRPr="00916F8A">
              <w:rPr>
                <w:rFonts w:ascii="Arial" w:hAnsi="Arial" w:cs="Arial"/>
                <w:color w:val="000000"/>
                <w:sz w:val="19"/>
                <w:szCs w:val="19"/>
              </w:rPr>
              <w:t>8</w:t>
            </w:r>
          </w:p>
        </w:tc>
        <w:tc>
          <w:tcPr>
            <w:tcW w:w="3795" w:type="dxa"/>
            <w:tcBorders>
              <w:top w:val="nil"/>
              <w:left w:val="nil"/>
              <w:bottom w:val="single" w:sz="4" w:space="0" w:color="000000"/>
              <w:right w:val="single" w:sz="4" w:space="0" w:color="000000"/>
            </w:tcBorders>
            <w:shd w:val="clear" w:color="auto" w:fill="auto"/>
            <w:hideMark/>
          </w:tcPr>
          <w:p w:rsidR="00B4562D" w:rsidRPr="00916F8A" w:rsidRDefault="00B4562D" w:rsidP="00B4562D">
            <w:pPr>
              <w:rPr>
                <w:rFonts w:ascii="Arial" w:hAnsi="Arial" w:cs="Arial"/>
                <w:color w:val="000000"/>
                <w:sz w:val="19"/>
                <w:szCs w:val="19"/>
              </w:rPr>
            </w:pPr>
            <w:r w:rsidRPr="00916F8A">
              <w:rPr>
                <w:rFonts w:ascii="Arial" w:hAnsi="Arial" w:cs="Arial"/>
                <w:color w:val="000000"/>
                <w:sz w:val="19"/>
                <w:szCs w:val="19"/>
              </w:rPr>
              <w:t>MOH has completed a policy impact review</w:t>
            </w:r>
            <w:r w:rsidRPr="00916F8A">
              <w:rPr>
                <w:rFonts w:ascii="Arial" w:hAnsi="Arial" w:cs="Arial"/>
                <w:color w:val="000000"/>
                <w:sz w:val="19"/>
                <w:szCs w:val="19"/>
              </w:rPr>
              <w:br/>
              <w:t>on increasing enrolment of ethnic minority students in health training, including the implementation of Decree 134/2008/ND-CP dated 14 November 2006 and Circular No.</w:t>
            </w:r>
            <w:r w:rsidRPr="00916F8A">
              <w:rPr>
                <w:rFonts w:ascii="Arial" w:hAnsi="Arial" w:cs="Arial"/>
                <w:color w:val="000000"/>
                <w:sz w:val="19"/>
                <w:szCs w:val="19"/>
              </w:rPr>
              <w:br/>
              <w:t>13/2008/TTLT-BGDDT-LDTBXH-BTC-BNV- UBDT dated 7 April 2008, with recommendations to address constraints.</w:t>
            </w:r>
          </w:p>
        </w:tc>
        <w:tc>
          <w:tcPr>
            <w:tcW w:w="5940" w:type="dxa"/>
            <w:tcBorders>
              <w:top w:val="nil"/>
              <w:left w:val="nil"/>
              <w:bottom w:val="single" w:sz="4" w:space="0" w:color="000000"/>
              <w:right w:val="single" w:sz="4" w:space="0" w:color="000000"/>
            </w:tcBorders>
            <w:shd w:val="clear" w:color="auto" w:fill="auto"/>
            <w:hideMark/>
          </w:tcPr>
          <w:p w:rsidR="00B4562D" w:rsidRPr="00916F8A" w:rsidRDefault="00B4562D" w:rsidP="00B4562D">
            <w:pPr>
              <w:rPr>
                <w:rFonts w:ascii="Arial" w:hAnsi="Arial" w:cs="Arial"/>
                <w:color w:val="000000"/>
                <w:sz w:val="19"/>
                <w:szCs w:val="19"/>
              </w:rPr>
            </w:pPr>
            <w:r w:rsidRPr="00916F8A">
              <w:rPr>
                <w:rFonts w:ascii="Arial" w:hAnsi="Arial" w:cs="Arial"/>
                <w:color w:val="000000"/>
                <w:sz w:val="19"/>
                <w:szCs w:val="19"/>
              </w:rPr>
              <w:t>Vietnamese and English translation of a report</w:t>
            </w:r>
            <w:r w:rsidRPr="00916F8A">
              <w:rPr>
                <w:rFonts w:ascii="Arial" w:hAnsi="Arial" w:cs="Arial"/>
                <w:color w:val="000000"/>
                <w:sz w:val="19"/>
                <w:szCs w:val="19"/>
              </w:rPr>
              <w:br/>
              <w:t>concerning direct recruitment education in 34 provinces in Viet Nam during 2007–2011, implementing Decree 134, and Decision 1544 by the government (Circular No. 13/2008 is not included in the title of the report, but it is referenced in the text.)</w:t>
            </w:r>
          </w:p>
        </w:tc>
        <w:tc>
          <w:tcPr>
            <w:tcW w:w="3150" w:type="dxa"/>
            <w:tcBorders>
              <w:top w:val="nil"/>
              <w:left w:val="nil"/>
              <w:bottom w:val="single" w:sz="4" w:space="0" w:color="000000"/>
              <w:right w:val="single" w:sz="4" w:space="0" w:color="000000"/>
            </w:tcBorders>
            <w:shd w:val="clear" w:color="auto" w:fill="auto"/>
            <w:noWrap/>
            <w:hideMark/>
          </w:tcPr>
          <w:p w:rsidR="00B4562D" w:rsidRPr="00916F8A" w:rsidRDefault="00B4562D" w:rsidP="00B4562D">
            <w:pPr>
              <w:rPr>
                <w:rFonts w:ascii="Arial" w:hAnsi="Arial" w:cs="Arial"/>
                <w:color w:val="000000"/>
                <w:sz w:val="19"/>
                <w:szCs w:val="19"/>
              </w:rPr>
            </w:pPr>
            <w:r w:rsidRPr="00916F8A">
              <w:rPr>
                <w:rFonts w:ascii="Arial" w:hAnsi="Arial" w:cs="Arial"/>
                <w:color w:val="000000"/>
                <w:sz w:val="19"/>
                <w:szCs w:val="19"/>
              </w:rPr>
              <w:t>Completed.</w:t>
            </w:r>
          </w:p>
        </w:tc>
      </w:tr>
      <w:tr w:rsidR="00B4562D" w:rsidRPr="00E65146" w:rsidTr="00C522F2">
        <w:trPr>
          <w:trHeight w:val="2925"/>
        </w:trPr>
        <w:tc>
          <w:tcPr>
            <w:tcW w:w="1080" w:type="dxa"/>
            <w:tcBorders>
              <w:top w:val="nil"/>
              <w:left w:val="single" w:sz="4" w:space="0" w:color="000000"/>
              <w:bottom w:val="single" w:sz="4" w:space="0" w:color="000000"/>
              <w:right w:val="single" w:sz="4" w:space="0" w:color="000000"/>
            </w:tcBorders>
            <w:shd w:val="clear" w:color="auto" w:fill="auto"/>
            <w:noWrap/>
            <w:hideMark/>
          </w:tcPr>
          <w:p w:rsidR="00B4562D" w:rsidRPr="00916F8A" w:rsidRDefault="00B4562D" w:rsidP="00B4562D">
            <w:pPr>
              <w:jc w:val="center"/>
              <w:rPr>
                <w:rFonts w:ascii="Arial" w:hAnsi="Arial" w:cs="Arial"/>
                <w:color w:val="000000"/>
                <w:sz w:val="19"/>
                <w:szCs w:val="19"/>
              </w:rPr>
            </w:pPr>
            <w:r w:rsidRPr="00916F8A">
              <w:rPr>
                <w:rFonts w:ascii="Arial" w:hAnsi="Arial" w:cs="Arial"/>
                <w:color w:val="000000"/>
                <w:sz w:val="19"/>
                <w:szCs w:val="19"/>
              </w:rPr>
              <w:t>9</w:t>
            </w:r>
          </w:p>
        </w:tc>
        <w:tc>
          <w:tcPr>
            <w:tcW w:w="3795" w:type="dxa"/>
            <w:tcBorders>
              <w:top w:val="nil"/>
              <w:left w:val="nil"/>
              <w:bottom w:val="single" w:sz="4" w:space="0" w:color="000000"/>
              <w:right w:val="single" w:sz="4" w:space="0" w:color="000000"/>
            </w:tcBorders>
            <w:shd w:val="clear" w:color="auto" w:fill="auto"/>
            <w:hideMark/>
          </w:tcPr>
          <w:p w:rsidR="00B4562D" w:rsidRPr="00916F8A" w:rsidRDefault="00B4562D" w:rsidP="00B4562D">
            <w:pPr>
              <w:rPr>
                <w:rFonts w:ascii="Arial" w:hAnsi="Arial" w:cs="Arial"/>
                <w:color w:val="000000"/>
                <w:sz w:val="19"/>
                <w:szCs w:val="19"/>
              </w:rPr>
            </w:pPr>
            <w:r w:rsidRPr="00916F8A">
              <w:rPr>
                <w:rFonts w:ascii="Arial" w:hAnsi="Arial" w:cs="Arial"/>
                <w:color w:val="000000"/>
                <w:sz w:val="19"/>
                <w:szCs w:val="19"/>
              </w:rPr>
              <w:t>Twenty care pathways have been developed,</w:t>
            </w:r>
            <w:r w:rsidRPr="00916F8A">
              <w:rPr>
                <w:rFonts w:ascii="Arial" w:hAnsi="Arial" w:cs="Arial"/>
                <w:color w:val="000000"/>
                <w:sz w:val="19"/>
                <w:szCs w:val="19"/>
              </w:rPr>
              <w:br/>
              <w:t>benchmarked, and costed in 6 hospitals, and at least 3 of such care pathways are for medical conditions that primarily affect women or are primary care focused and delivered.</w:t>
            </w:r>
          </w:p>
        </w:tc>
        <w:tc>
          <w:tcPr>
            <w:tcW w:w="5940" w:type="dxa"/>
            <w:tcBorders>
              <w:top w:val="nil"/>
              <w:left w:val="nil"/>
              <w:bottom w:val="single" w:sz="4" w:space="0" w:color="000000"/>
              <w:right w:val="single" w:sz="4" w:space="0" w:color="000000"/>
            </w:tcBorders>
            <w:shd w:val="clear" w:color="auto" w:fill="auto"/>
            <w:hideMark/>
          </w:tcPr>
          <w:p w:rsidR="00B4562D" w:rsidRPr="00916F8A" w:rsidRDefault="00B4562D" w:rsidP="00B4562D">
            <w:pPr>
              <w:rPr>
                <w:rFonts w:ascii="Arial" w:hAnsi="Arial" w:cs="Arial"/>
                <w:color w:val="000000"/>
                <w:sz w:val="19"/>
                <w:szCs w:val="19"/>
              </w:rPr>
            </w:pPr>
            <w:r w:rsidRPr="00916F8A">
              <w:rPr>
                <w:rFonts w:ascii="Arial" w:hAnsi="Arial" w:cs="Arial"/>
                <w:color w:val="000000"/>
                <w:sz w:val="19"/>
                <w:szCs w:val="19"/>
              </w:rPr>
              <w:t>Vietnamese and English translation of 26 clinical</w:t>
            </w:r>
            <w:r w:rsidRPr="00916F8A">
              <w:rPr>
                <w:rFonts w:ascii="Arial" w:hAnsi="Arial" w:cs="Arial"/>
                <w:color w:val="000000"/>
                <w:sz w:val="19"/>
                <w:szCs w:val="19"/>
              </w:rPr>
              <w:br/>
              <w:t>care pathways (including 6 for women)</w:t>
            </w:r>
            <w:r w:rsidRPr="00916F8A">
              <w:rPr>
                <w:rFonts w:ascii="Arial" w:hAnsi="Arial" w:cs="Arial"/>
                <w:color w:val="000000"/>
                <w:sz w:val="19"/>
                <w:szCs w:val="19"/>
              </w:rPr>
              <w:br/>
              <w:t>List of hospitals involved in the clinical care pathways study, including list of hospitals involved in pilot costing study (English only)</w:t>
            </w:r>
            <w:r w:rsidRPr="00916F8A">
              <w:rPr>
                <w:rFonts w:ascii="Arial" w:hAnsi="Arial" w:cs="Arial"/>
                <w:color w:val="000000"/>
                <w:sz w:val="19"/>
                <w:szCs w:val="19"/>
              </w:rPr>
              <w:br/>
            </w:r>
            <w:r w:rsidRPr="00916F8A">
              <w:rPr>
                <w:rFonts w:ascii="Arial" w:hAnsi="Arial" w:cs="Arial"/>
                <w:color w:val="000000"/>
                <w:sz w:val="19"/>
                <w:szCs w:val="19"/>
              </w:rPr>
              <w:br/>
              <w:t>Vietnamese and English translation of a report on a pilot study, with cost estimates of 26 care pathways and preliminary outcomes for 4 hospitals</w:t>
            </w:r>
          </w:p>
        </w:tc>
        <w:tc>
          <w:tcPr>
            <w:tcW w:w="3150" w:type="dxa"/>
            <w:tcBorders>
              <w:top w:val="nil"/>
              <w:left w:val="nil"/>
              <w:bottom w:val="single" w:sz="4" w:space="0" w:color="000000"/>
              <w:right w:val="single" w:sz="4" w:space="0" w:color="000000"/>
            </w:tcBorders>
            <w:shd w:val="clear" w:color="auto" w:fill="auto"/>
            <w:hideMark/>
          </w:tcPr>
          <w:p w:rsidR="00B4562D" w:rsidRPr="00916F8A" w:rsidRDefault="00B4562D" w:rsidP="00B4562D">
            <w:pPr>
              <w:rPr>
                <w:rFonts w:ascii="Arial" w:hAnsi="Arial" w:cs="Arial"/>
                <w:color w:val="000000"/>
                <w:sz w:val="19"/>
                <w:szCs w:val="19"/>
              </w:rPr>
            </w:pPr>
            <w:r w:rsidRPr="00916F8A">
              <w:rPr>
                <w:rFonts w:ascii="Arial" w:hAnsi="Arial" w:cs="Arial"/>
                <w:color w:val="000000"/>
                <w:sz w:val="19"/>
                <w:szCs w:val="19"/>
              </w:rPr>
              <w:t>Partly completed.</w:t>
            </w:r>
            <w:r w:rsidRPr="00916F8A">
              <w:rPr>
                <w:rFonts w:ascii="Arial" w:hAnsi="Arial" w:cs="Arial"/>
                <w:color w:val="000000"/>
                <w:sz w:val="19"/>
                <w:szCs w:val="19"/>
              </w:rPr>
              <w:br/>
              <w:t>MOH has drafted 26 clinical care pathways.  Pathways were benchmarked and costed in 4 hospitals, to be expanded to 34. MOH requests partial waiver of this commitment on grounds that substantial progress has been achieved and that the policy will be completed as part of ongoing project activities during the remaining project period.</w:t>
            </w:r>
          </w:p>
        </w:tc>
      </w:tr>
      <w:tr w:rsidR="00B4562D" w:rsidRPr="00E65146" w:rsidTr="00C522F2">
        <w:trPr>
          <w:trHeight w:val="2295"/>
        </w:trPr>
        <w:tc>
          <w:tcPr>
            <w:tcW w:w="1080" w:type="dxa"/>
            <w:tcBorders>
              <w:top w:val="nil"/>
              <w:left w:val="single" w:sz="4" w:space="0" w:color="000000"/>
              <w:bottom w:val="single" w:sz="4" w:space="0" w:color="000000"/>
              <w:right w:val="single" w:sz="4" w:space="0" w:color="000000"/>
            </w:tcBorders>
            <w:shd w:val="clear" w:color="auto" w:fill="auto"/>
            <w:noWrap/>
            <w:hideMark/>
          </w:tcPr>
          <w:p w:rsidR="00B4562D" w:rsidRPr="00916F8A" w:rsidRDefault="00B4562D" w:rsidP="00B4562D">
            <w:pPr>
              <w:jc w:val="center"/>
              <w:rPr>
                <w:rFonts w:ascii="Arial" w:hAnsi="Arial" w:cs="Arial"/>
                <w:color w:val="000000"/>
                <w:sz w:val="19"/>
                <w:szCs w:val="19"/>
              </w:rPr>
            </w:pPr>
            <w:r w:rsidRPr="00916F8A">
              <w:rPr>
                <w:rFonts w:ascii="Arial" w:hAnsi="Arial" w:cs="Arial"/>
                <w:color w:val="000000"/>
                <w:sz w:val="19"/>
                <w:szCs w:val="19"/>
              </w:rPr>
              <w:t>10</w:t>
            </w:r>
          </w:p>
        </w:tc>
        <w:tc>
          <w:tcPr>
            <w:tcW w:w="3795" w:type="dxa"/>
            <w:tcBorders>
              <w:top w:val="nil"/>
              <w:left w:val="nil"/>
              <w:bottom w:val="single" w:sz="4" w:space="0" w:color="000000"/>
              <w:right w:val="single" w:sz="4" w:space="0" w:color="000000"/>
            </w:tcBorders>
            <w:shd w:val="clear" w:color="auto" w:fill="auto"/>
            <w:hideMark/>
          </w:tcPr>
          <w:p w:rsidR="00B4562D" w:rsidRPr="00916F8A" w:rsidRDefault="00B4562D" w:rsidP="00B4562D">
            <w:pPr>
              <w:rPr>
                <w:rFonts w:ascii="Arial" w:hAnsi="Arial" w:cs="Arial"/>
                <w:color w:val="000000"/>
                <w:sz w:val="19"/>
                <w:szCs w:val="19"/>
              </w:rPr>
            </w:pPr>
            <w:r w:rsidRPr="00916F8A">
              <w:rPr>
                <w:rFonts w:ascii="Arial" w:hAnsi="Arial" w:cs="Arial"/>
                <w:color w:val="000000"/>
                <w:sz w:val="19"/>
                <w:szCs w:val="19"/>
              </w:rPr>
              <w:t>Guidelin</w:t>
            </w:r>
            <w:r w:rsidR="009F3F9A" w:rsidRPr="00916F8A">
              <w:rPr>
                <w:rFonts w:ascii="Arial" w:hAnsi="Arial" w:cs="Arial"/>
                <w:color w:val="000000"/>
                <w:sz w:val="19"/>
                <w:szCs w:val="19"/>
              </w:rPr>
              <w:t xml:space="preserve">es for management and financing </w:t>
            </w:r>
            <w:r w:rsidRPr="00916F8A">
              <w:rPr>
                <w:rFonts w:ascii="Arial" w:hAnsi="Arial" w:cs="Arial"/>
                <w:color w:val="000000"/>
                <w:sz w:val="19"/>
                <w:szCs w:val="19"/>
              </w:rPr>
              <w:t>reform associated with the introduction of case-based provider payment linked to care pathways have been submitted to MOH and the Minister of Finance of the Borrower.</w:t>
            </w:r>
          </w:p>
        </w:tc>
        <w:tc>
          <w:tcPr>
            <w:tcW w:w="5940" w:type="dxa"/>
            <w:tcBorders>
              <w:top w:val="nil"/>
              <w:left w:val="nil"/>
              <w:bottom w:val="single" w:sz="4" w:space="0" w:color="000000"/>
              <w:right w:val="single" w:sz="4" w:space="0" w:color="000000"/>
            </w:tcBorders>
            <w:shd w:val="clear" w:color="auto" w:fill="auto"/>
            <w:hideMark/>
          </w:tcPr>
          <w:p w:rsidR="00B4562D" w:rsidRPr="00916F8A" w:rsidRDefault="00B4562D" w:rsidP="00B4562D">
            <w:pPr>
              <w:rPr>
                <w:rFonts w:ascii="Arial" w:hAnsi="Arial" w:cs="Arial"/>
                <w:color w:val="000000"/>
                <w:sz w:val="19"/>
                <w:szCs w:val="19"/>
              </w:rPr>
            </w:pPr>
            <w:r w:rsidRPr="00916F8A">
              <w:rPr>
                <w:rFonts w:ascii="Arial" w:hAnsi="Arial" w:cs="Arial"/>
                <w:color w:val="000000"/>
                <w:sz w:val="19"/>
                <w:szCs w:val="19"/>
              </w:rPr>
              <w:t>Vietnamese and English translation of guidelines</w:t>
            </w:r>
            <w:r w:rsidRPr="00916F8A">
              <w:rPr>
                <w:rFonts w:ascii="Arial" w:hAnsi="Arial" w:cs="Arial"/>
                <w:color w:val="000000"/>
                <w:sz w:val="19"/>
                <w:szCs w:val="19"/>
              </w:rPr>
              <w:br/>
              <w:t>for case-based full-package payment</w:t>
            </w:r>
            <w:r w:rsidRPr="00916F8A">
              <w:rPr>
                <w:rFonts w:ascii="Arial" w:hAnsi="Arial" w:cs="Arial"/>
                <w:color w:val="000000"/>
                <w:sz w:val="19"/>
                <w:szCs w:val="19"/>
              </w:rPr>
              <w:br/>
              <w:t>Vietnamese and English translation of a standard submission document No. 31 dated 10 April 2013, signed by Pham Le Tuan, Director of the Department of Planning and Finance</w:t>
            </w:r>
            <w:r w:rsidRPr="00916F8A">
              <w:rPr>
                <w:rFonts w:ascii="Arial" w:hAnsi="Arial" w:cs="Arial"/>
                <w:color w:val="000000"/>
                <w:sz w:val="19"/>
                <w:szCs w:val="19"/>
              </w:rPr>
              <w:br/>
            </w:r>
            <w:r w:rsidRPr="00916F8A">
              <w:rPr>
                <w:rFonts w:ascii="Arial" w:hAnsi="Arial" w:cs="Arial"/>
                <w:color w:val="000000"/>
                <w:sz w:val="19"/>
                <w:szCs w:val="19"/>
              </w:rPr>
              <w:br/>
              <w:t>Vietnamese and English translation of a letter submitting the report to Viet Nam Social Security dated 11 April 2013, signed and sealed by Vice Minister Nguyen Thi Xuyen</w:t>
            </w:r>
          </w:p>
        </w:tc>
        <w:tc>
          <w:tcPr>
            <w:tcW w:w="3150" w:type="dxa"/>
            <w:tcBorders>
              <w:top w:val="nil"/>
              <w:left w:val="nil"/>
              <w:bottom w:val="single" w:sz="4" w:space="0" w:color="000000"/>
              <w:right w:val="single" w:sz="4" w:space="0" w:color="000000"/>
            </w:tcBorders>
            <w:shd w:val="clear" w:color="auto" w:fill="auto"/>
            <w:noWrap/>
            <w:hideMark/>
          </w:tcPr>
          <w:p w:rsidR="00B4562D" w:rsidRPr="00916F8A" w:rsidRDefault="00B4562D" w:rsidP="00B4562D">
            <w:pPr>
              <w:rPr>
                <w:rFonts w:ascii="Arial" w:hAnsi="Arial" w:cs="Arial"/>
                <w:color w:val="000000"/>
                <w:sz w:val="19"/>
                <w:szCs w:val="19"/>
              </w:rPr>
            </w:pPr>
            <w:r w:rsidRPr="00916F8A">
              <w:rPr>
                <w:rFonts w:ascii="Arial" w:hAnsi="Arial" w:cs="Arial"/>
                <w:color w:val="000000"/>
                <w:sz w:val="19"/>
                <w:szCs w:val="19"/>
              </w:rPr>
              <w:t>Completed.</w:t>
            </w:r>
          </w:p>
        </w:tc>
      </w:tr>
    </w:tbl>
    <w:p w:rsidR="004825A0" w:rsidRPr="00E65146" w:rsidRDefault="004825A0" w:rsidP="009E6616">
      <w:pPr>
        <w:tabs>
          <w:tab w:val="left" w:pos="1530"/>
        </w:tabs>
        <w:rPr>
          <w:rFonts w:ascii="Arial" w:hAnsi="Arial" w:cs="Arial"/>
        </w:rPr>
      </w:pPr>
    </w:p>
    <w:p w:rsidR="00B4562D" w:rsidRPr="002E25D3" w:rsidRDefault="005308E2" w:rsidP="002E25D3">
      <w:pPr>
        <w:tabs>
          <w:tab w:val="left" w:pos="1530"/>
        </w:tabs>
        <w:spacing w:before="120"/>
        <w:rPr>
          <w:rFonts w:ascii="Arial" w:hAnsi="Arial" w:cs="Arial"/>
          <w:sz w:val="18"/>
          <w:szCs w:val="18"/>
        </w:rPr>
        <w:sectPr w:rsidR="00B4562D" w:rsidRPr="002E25D3" w:rsidSect="00A327AF">
          <w:pgSz w:w="16838" w:h="11906" w:orient="landscape" w:code="9"/>
          <w:pgMar w:top="1440" w:right="1440" w:bottom="1440" w:left="1440" w:header="567" w:footer="431" w:gutter="0"/>
          <w:cols w:space="708"/>
          <w:docGrid w:linePitch="360"/>
        </w:sectPr>
      </w:pPr>
      <w:r w:rsidRPr="00C6560B">
        <w:rPr>
          <w:rFonts w:ascii="Arial" w:hAnsi="Arial" w:cs="Arial"/>
          <w:b/>
          <w:sz w:val="18"/>
          <w:szCs w:val="18"/>
        </w:rPr>
        <w:t>Source:</w:t>
      </w:r>
      <w:r w:rsidRPr="00C6560B">
        <w:rPr>
          <w:rFonts w:ascii="Arial" w:hAnsi="Arial" w:cs="Arial"/>
          <w:sz w:val="18"/>
          <w:szCs w:val="18"/>
        </w:rPr>
        <w:t xml:space="preserve"> </w:t>
      </w:r>
      <w:r w:rsidR="002E25D3">
        <w:rPr>
          <w:rFonts w:ascii="Arial" w:hAnsi="Arial" w:cs="Arial"/>
          <w:sz w:val="18"/>
          <w:szCs w:val="18"/>
        </w:rPr>
        <w:t xml:space="preserve">ADB. </w:t>
      </w:r>
      <w:r w:rsidR="002E25D3">
        <w:rPr>
          <w:rFonts w:ascii="Arial" w:hAnsi="Arial" w:cs="Arial"/>
          <w:i/>
          <w:sz w:val="18"/>
          <w:szCs w:val="18"/>
        </w:rPr>
        <w:t>Progress Report on Tranche Release: Health Human Resources Sector Development Program.</w:t>
      </w:r>
      <w:r w:rsidR="002E25D3">
        <w:rPr>
          <w:rFonts w:ascii="Arial" w:hAnsi="Arial" w:cs="Arial"/>
          <w:sz w:val="18"/>
          <w:szCs w:val="18"/>
        </w:rPr>
        <w:t xml:space="preserve"> November 2013</w:t>
      </w:r>
    </w:p>
    <w:p w:rsidR="009E6616" w:rsidRPr="00E65146" w:rsidRDefault="006C5C15" w:rsidP="00CA718F">
      <w:pPr>
        <w:pStyle w:val="ColorfulList-Accent11"/>
        <w:numPr>
          <w:ilvl w:val="0"/>
          <w:numId w:val="8"/>
        </w:numPr>
        <w:pBdr>
          <w:bottom w:val="single" w:sz="6" w:space="1" w:color="auto"/>
        </w:pBdr>
        <w:tabs>
          <w:tab w:val="left" w:pos="1530"/>
        </w:tabs>
        <w:outlineLvl w:val="0"/>
        <w:rPr>
          <w:rFonts w:ascii="Arial" w:hAnsi="Arial" w:cs="Arial"/>
          <w:b/>
          <w:sz w:val="28"/>
        </w:rPr>
      </w:pPr>
      <w:bookmarkStart w:id="99" w:name="_Toc423359357"/>
      <w:r w:rsidRPr="00E65146">
        <w:rPr>
          <w:rFonts w:ascii="Arial" w:hAnsi="Arial" w:cs="Arial"/>
          <w:b/>
          <w:color w:val="000000"/>
          <w:sz w:val="22"/>
          <w:szCs w:val="20"/>
        </w:rPr>
        <w:t>TRAINING OUTPUTS</w:t>
      </w:r>
      <w:bookmarkEnd w:id="99"/>
    </w:p>
    <w:p w:rsidR="006C5C15" w:rsidRPr="00E65146" w:rsidRDefault="006C5C15" w:rsidP="00797A39">
      <w:pPr>
        <w:tabs>
          <w:tab w:val="left" w:pos="1530"/>
        </w:tabs>
        <w:spacing w:before="240" w:after="120"/>
        <w:jc w:val="center"/>
        <w:rPr>
          <w:rFonts w:ascii="Arial" w:hAnsi="Arial" w:cs="Arial"/>
          <w:b/>
          <w:color w:val="000000"/>
        </w:rPr>
      </w:pPr>
      <w:r w:rsidRPr="00E65146">
        <w:rPr>
          <w:rFonts w:ascii="Arial" w:hAnsi="Arial" w:cs="Arial"/>
          <w:b/>
          <w:color w:val="000000"/>
        </w:rPr>
        <w:t>Table 4.1: Training outputs by gender and EM status against targets in the project training plan</w:t>
      </w:r>
      <w:r w:rsidR="005E106F">
        <w:rPr>
          <w:rFonts w:ascii="Arial" w:hAnsi="Arial" w:cs="Arial"/>
          <w:b/>
          <w:color w:val="000000"/>
        </w:rPr>
        <w:t xml:space="preserve"> </w:t>
      </w:r>
    </w:p>
    <w:tbl>
      <w:tblPr>
        <w:tblW w:w="8938" w:type="dxa"/>
        <w:jc w:val="center"/>
        <w:tblLook w:val="04A0" w:firstRow="1" w:lastRow="0" w:firstColumn="1" w:lastColumn="0" w:noHBand="0" w:noVBand="1"/>
      </w:tblPr>
      <w:tblGrid>
        <w:gridCol w:w="1506"/>
        <w:gridCol w:w="2559"/>
        <w:gridCol w:w="1039"/>
        <w:gridCol w:w="661"/>
        <w:gridCol w:w="617"/>
        <w:gridCol w:w="661"/>
        <w:gridCol w:w="617"/>
        <w:gridCol w:w="661"/>
        <w:gridCol w:w="617"/>
      </w:tblGrid>
      <w:tr w:rsidR="00616DD8" w:rsidRPr="00916F8A" w:rsidTr="00916F8A">
        <w:trPr>
          <w:trHeight w:val="510"/>
          <w:tblHeader/>
          <w:jc w:val="center"/>
        </w:trPr>
        <w:tc>
          <w:tcPr>
            <w:tcW w:w="15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b/>
                <w:bCs/>
                <w:color w:val="000000"/>
                <w:sz w:val="19"/>
                <w:szCs w:val="19"/>
              </w:rPr>
            </w:pPr>
            <w:bookmarkStart w:id="100" w:name="RANGE!A1:I29"/>
            <w:r w:rsidRPr="00916F8A">
              <w:rPr>
                <w:rFonts w:ascii="Arial" w:hAnsi="Arial" w:cs="Arial"/>
                <w:b/>
                <w:bCs/>
                <w:color w:val="000000"/>
                <w:sz w:val="19"/>
                <w:szCs w:val="19"/>
              </w:rPr>
              <w:t>Training Course</w:t>
            </w:r>
            <w:bookmarkEnd w:id="100"/>
          </w:p>
        </w:tc>
        <w:tc>
          <w:tcPr>
            <w:tcW w:w="2559" w:type="dxa"/>
            <w:tcBorders>
              <w:top w:val="single" w:sz="4" w:space="0" w:color="auto"/>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b/>
                <w:bCs/>
                <w:color w:val="000000"/>
                <w:sz w:val="19"/>
                <w:szCs w:val="19"/>
              </w:rPr>
            </w:pPr>
            <w:r w:rsidRPr="00916F8A">
              <w:rPr>
                <w:rFonts w:ascii="Arial" w:hAnsi="Arial" w:cs="Arial"/>
                <w:b/>
                <w:bCs/>
                <w:color w:val="000000"/>
                <w:sz w:val="19"/>
                <w:szCs w:val="19"/>
              </w:rPr>
              <w:t>Training Output</w:t>
            </w:r>
            <w:r w:rsidR="005E106F" w:rsidRPr="00916F8A">
              <w:rPr>
                <w:rFonts w:ascii="Arial" w:hAnsi="Arial" w:cs="Arial"/>
                <w:color w:val="000000"/>
                <w:sz w:val="19"/>
                <w:szCs w:val="19"/>
                <w:vertAlign w:val="superscript"/>
              </w:rPr>
              <w:t xml:space="preserve"> a</w:t>
            </w:r>
          </w:p>
        </w:tc>
        <w:tc>
          <w:tcPr>
            <w:tcW w:w="1039" w:type="dxa"/>
            <w:tcBorders>
              <w:top w:val="single" w:sz="4" w:space="0" w:color="auto"/>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b/>
                <w:bCs/>
                <w:sz w:val="19"/>
                <w:szCs w:val="19"/>
              </w:rPr>
            </w:pPr>
            <w:r w:rsidRPr="00916F8A">
              <w:rPr>
                <w:rFonts w:ascii="Arial" w:hAnsi="Arial" w:cs="Arial"/>
                <w:b/>
                <w:bCs/>
                <w:sz w:val="19"/>
                <w:szCs w:val="19"/>
              </w:rPr>
              <w:t>Total Trainees</w:t>
            </w:r>
          </w:p>
        </w:tc>
        <w:tc>
          <w:tcPr>
            <w:tcW w:w="1278" w:type="dxa"/>
            <w:gridSpan w:val="2"/>
            <w:tcBorders>
              <w:top w:val="single" w:sz="4" w:space="0" w:color="auto"/>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b/>
                <w:bCs/>
                <w:sz w:val="19"/>
                <w:szCs w:val="19"/>
              </w:rPr>
            </w:pPr>
            <w:r w:rsidRPr="00916F8A">
              <w:rPr>
                <w:rFonts w:ascii="Arial" w:hAnsi="Arial" w:cs="Arial"/>
                <w:b/>
                <w:bCs/>
                <w:sz w:val="19"/>
                <w:szCs w:val="19"/>
              </w:rPr>
              <w:t xml:space="preserve">Male </w:t>
            </w:r>
          </w:p>
        </w:tc>
        <w:tc>
          <w:tcPr>
            <w:tcW w:w="1278" w:type="dxa"/>
            <w:gridSpan w:val="2"/>
            <w:tcBorders>
              <w:top w:val="single" w:sz="4" w:space="0" w:color="auto"/>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b/>
                <w:bCs/>
                <w:sz w:val="19"/>
                <w:szCs w:val="19"/>
              </w:rPr>
            </w:pPr>
            <w:r w:rsidRPr="00916F8A">
              <w:rPr>
                <w:rFonts w:ascii="Arial" w:hAnsi="Arial" w:cs="Arial"/>
                <w:b/>
                <w:bCs/>
                <w:sz w:val="19"/>
                <w:szCs w:val="19"/>
              </w:rPr>
              <w:t>Female</w:t>
            </w:r>
          </w:p>
        </w:tc>
        <w:tc>
          <w:tcPr>
            <w:tcW w:w="1278" w:type="dxa"/>
            <w:gridSpan w:val="2"/>
            <w:tcBorders>
              <w:top w:val="single" w:sz="4" w:space="0" w:color="auto"/>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b/>
                <w:bCs/>
                <w:sz w:val="19"/>
                <w:szCs w:val="19"/>
              </w:rPr>
            </w:pPr>
            <w:r w:rsidRPr="00916F8A">
              <w:rPr>
                <w:rFonts w:ascii="Arial" w:hAnsi="Arial" w:cs="Arial"/>
                <w:b/>
                <w:bCs/>
                <w:sz w:val="19"/>
                <w:szCs w:val="19"/>
              </w:rPr>
              <w:t>Ethnic Minority</w:t>
            </w:r>
          </w:p>
        </w:tc>
      </w:tr>
      <w:tr w:rsidR="00616DD8" w:rsidRPr="00916F8A" w:rsidTr="00916F8A">
        <w:trPr>
          <w:trHeight w:val="255"/>
          <w:jc w:val="center"/>
        </w:trPr>
        <w:tc>
          <w:tcPr>
            <w:tcW w:w="8938"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616DD8" w:rsidRPr="00916F8A" w:rsidRDefault="00616DD8" w:rsidP="00616DD8">
            <w:pPr>
              <w:rPr>
                <w:rFonts w:ascii="Arial" w:hAnsi="Arial" w:cs="Arial"/>
                <w:b/>
                <w:bCs/>
                <w:color w:val="000000"/>
                <w:sz w:val="19"/>
                <w:szCs w:val="19"/>
              </w:rPr>
            </w:pPr>
            <w:r w:rsidRPr="00916F8A">
              <w:rPr>
                <w:rFonts w:ascii="Arial" w:hAnsi="Arial" w:cs="Arial"/>
                <w:b/>
                <w:bCs/>
                <w:color w:val="000000"/>
                <w:sz w:val="19"/>
                <w:szCs w:val="19"/>
              </w:rPr>
              <w:t>Component 1: Improved Planning and Management of Human Resources </w:t>
            </w:r>
          </w:p>
        </w:tc>
      </w:tr>
      <w:tr w:rsidR="00616DD8" w:rsidRPr="00916F8A" w:rsidTr="00916F8A">
        <w:trPr>
          <w:trHeight w:val="2040"/>
          <w:jc w:val="center"/>
        </w:trPr>
        <w:tc>
          <w:tcPr>
            <w:tcW w:w="1506" w:type="dxa"/>
            <w:tcBorders>
              <w:top w:val="nil"/>
              <w:left w:val="single" w:sz="4" w:space="0" w:color="auto"/>
              <w:bottom w:val="single" w:sz="4" w:space="0" w:color="auto"/>
              <w:right w:val="single" w:sz="4" w:space="0" w:color="auto"/>
            </w:tcBorders>
            <w:shd w:val="clear" w:color="000000" w:fill="FFFFFF"/>
            <w:vAlign w:val="center"/>
            <w:hideMark/>
          </w:tcPr>
          <w:p w:rsidR="00616DD8" w:rsidRPr="00916F8A" w:rsidRDefault="00616DD8" w:rsidP="00616DD8">
            <w:pPr>
              <w:rPr>
                <w:rFonts w:ascii="Arial" w:hAnsi="Arial" w:cs="Arial"/>
                <w:color w:val="000000"/>
                <w:sz w:val="19"/>
                <w:szCs w:val="19"/>
              </w:rPr>
            </w:pPr>
            <w:r w:rsidRPr="00916F8A">
              <w:rPr>
                <w:rFonts w:ascii="Arial" w:hAnsi="Arial" w:cs="Arial"/>
                <w:color w:val="000000"/>
                <w:sz w:val="19"/>
                <w:szCs w:val="19"/>
              </w:rPr>
              <w:t>International study tours for Coordination Committee and National Unit Staff</w:t>
            </w:r>
          </w:p>
        </w:tc>
        <w:tc>
          <w:tcPr>
            <w:tcW w:w="2559"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rPr>
                <w:rFonts w:ascii="Arial" w:hAnsi="Arial" w:cs="Arial"/>
                <w:color w:val="000000"/>
                <w:sz w:val="19"/>
                <w:szCs w:val="19"/>
              </w:rPr>
            </w:pPr>
            <w:r w:rsidRPr="00916F8A">
              <w:rPr>
                <w:rFonts w:ascii="Arial" w:hAnsi="Arial" w:cs="Arial"/>
                <w:color w:val="000000"/>
                <w:sz w:val="19"/>
                <w:szCs w:val="19"/>
              </w:rPr>
              <w:t>19 MOH Executives and specialist staff experiencing international HR planning, management, registration and licensing activities</w:t>
            </w:r>
          </w:p>
        </w:tc>
        <w:tc>
          <w:tcPr>
            <w:tcW w:w="1039"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64</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33</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52%</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31</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48%</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0</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0%</w:t>
            </w:r>
          </w:p>
        </w:tc>
      </w:tr>
      <w:tr w:rsidR="00616DD8" w:rsidRPr="00916F8A" w:rsidTr="00916F8A">
        <w:trPr>
          <w:trHeight w:val="1020"/>
          <w:jc w:val="center"/>
        </w:trPr>
        <w:tc>
          <w:tcPr>
            <w:tcW w:w="1506" w:type="dxa"/>
            <w:tcBorders>
              <w:top w:val="nil"/>
              <w:left w:val="single" w:sz="4" w:space="0" w:color="auto"/>
              <w:bottom w:val="single" w:sz="4" w:space="0" w:color="auto"/>
              <w:right w:val="single" w:sz="4" w:space="0" w:color="auto"/>
            </w:tcBorders>
            <w:shd w:val="clear" w:color="000000" w:fill="FFFFFF"/>
            <w:vAlign w:val="center"/>
            <w:hideMark/>
          </w:tcPr>
          <w:p w:rsidR="00616DD8" w:rsidRPr="00916F8A" w:rsidRDefault="00616DD8" w:rsidP="00616DD8">
            <w:pPr>
              <w:rPr>
                <w:rFonts w:ascii="Arial" w:hAnsi="Arial" w:cs="Arial"/>
                <w:color w:val="000000"/>
                <w:sz w:val="19"/>
                <w:szCs w:val="19"/>
              </w:rPr>
            </w:pPr>
            <w:r w:rsidRPr="00916F8A">
              <w:rPr>
                <w:rFonts w:ascii="Arial" w:hAnsi="Arial" w:cs="Arial"/>
                <w:color w:val="000000"/>
                <w:sz w:val="19"/>
                <w:szCs w:val="19"/>
              </w:rPr>
              <w:t>Masters or PhD for HHR Managers</w:t>
            </w:r>
          </w:p>
        </w:tc>
        <w:tc>
          <w:tcPr>
            <w:tcW w:w="2559"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rPr>
                <w:rFonts w:ascii="Arial" w:hAnsi="Arial" w:cs="Arial"/>
                <w:color w:val="000000"/>
                <w:sz w:val="19"/>
                <w:szCs w:val="19"/>
              </w:rPr>
            </w:pPr>
            <w:r w:rsidRPr="00916F8A">
              <w:rPr>
                <w:rFonts w:ascii="Arial" w:hAnsi="Arial" w:cs="Arial"/>
                <w:color w:val="000000"/>
                <w:sz w:val="19"/>
                <w:szCs w:val="19"/>
              </w:rPr>
              <w:t>18 health sector staff receiving post-graduate training in HR planning and policy development</w:t>
            </w:r>
          </w:p>
        </w:tc>
        <w:tc>
          <w:tcPr>
            <w:tcW w:w="1039"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44</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13</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30%</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31</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70%</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0</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0%</w:t>
            </w:r>
          </w:p>
        </w:tc>
      </w:tr>
      <w:tr w:rsidR="00616DD8" w:rsidRPr="00916F8A" w:rsidTr="00916F8A">
        <w:trPr>
          <w:trHeight w:val="765"/>
          <w:jc w:val="center"/>
        </w:trPr>
        <w:tc>
          <w:tcPr>
            <w:tcW w:w="1506" w:type="dxa"/>
            <w:tcBorders>
              <w:top w:val="nil"/>
              <w:left w:val="single" w:sz="4" w:space="0" w:color="auto"/>
              <w:bottom w:val="single" w:sz="4" w:space="0" w:color="auto"/>
              <w:right w:val="single" w:sz="4" w:space="0" w:color="auto"/>
            </w:tcBorders>
            <w:shd w:val="clear" w:color="000000" w:fill="FFFFFF"/>
            <w:vAlign w:val="center"/>
            <w:hideMark/>
          </w:tcPr>
          <w:p w:rsidR="00616DD8" w:rsidRPr="00916F8A" w:rsidRDefault="00616DD8" w:rsidP="00616DD8">
            <w:pPr>
              <w:rPr>
                <w:rFonts w:ascii="Arial" w:hAnsi="Arial" w:cs="Arial"/>
                <w:color w:val="000000"/>
                <w:sz w:val="19"/>
                <w:szCs w:val="19"/>
              </w:rPr>
            </w:pPr>
            <w:r w:rsidRPr="00916F8A">
              <w:rPr>
                <w:rFonts w:ascii="Arial" w:hAnsi="Arial" w:cs="Arial"/>
                <w:color w:val="000000"/>
                <w:sz w:val="19"/>
                <w:szCs w:val="19"/>
              </w:rPr>
              <w:t>HHR Planning and Policy Development</w:t>
            </w:r>
          </w:p>
        </w:tc>
        <w:tc>
          <w:tcPr>
            <w:tcW w:w="2559"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rPr>
                <w:rFonts w:ascii="Arial" w:hAnsi="Arial" w:cs="Arial"/>
                <w:color w:val="000000"/>
                <w:sz w:val="19"/>
                <w:szCs w:val="19"/>
              </w:rPr>
            </w:pPr>
            <w:r w:rsidRPr="00916F8A">
              <w:rPr>
                <w:rFonts w:ascii="Arial" w:hAnsi="Arial" w:cs="Arial"/>
                <w:color w:val="000000"/>
                <w:sz w:val="19"/>
                <w:szCs w:val="19"/>
              </w:rPr>
              <w:t>18 health sector staff receiving post-graduate training in HR management</w:t>
            </w:r>
          </w:p>
        </w:tc>
        <w:tc>
          <w:tcPr>
            <w:tcW w:w="1039"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8</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4</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50%</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4</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50%</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0</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0%</w:t>
            </w:r>
          </w:p>
        </w:tc>
      </w:tr>
      <w:tr w:rsidR="00616DD8" w:rsidRPr="00916F8A" w:rsidTr="00916F8A">
        <w:trPr>
          <w:trHeight w:val="1020"/>
          <w:jc w:val="center"/>
        </w:trPr>
        <w:tc>
          <w:tcPr>
            <w:tcW w:w="1506" w:type="dxa"/>
            <w:tcBorders>
              <w:top w:val="nil"/>
              <w:left w:val="single" w:sz="4" w:space="0" w:color="auto"/>
              <w:bottom w:val="single" w:sz="4" w:space="0" w:color="auto"/>
              <w:right w:val="single" w:sz="4" w:space="0" w:color="auto"/>
            </w:tcBorders>
            <w:shd w:val="clear" w:color="000000" w:fill="FFFFFF"/>
            <w:vAlign w:val="center"/>
            <w:hideMark/>
          </w:tcPr>
          <w:p w:rsidR="00616DD8" w:rsidRPr="00916F8A" w:rsidRDefault="00616DD8" w:rsidP="00616DD8">
            <w:pPr>
              <w:rPr>
                <w:rFonts w:ascii="Arial" w:hAnsi="Arial" w:cs="Arial"/>
                <w:color w:val="000000"/>
                <w:sz w:val="19"/>
                <w:szCs w:val="19"/>
              </w:rPr>
            </w:pPr>
            <w:r w:rsidRPr="00916F8A">
              <w:rPr>
                <w:rFonts w:ascii="Arial" w:hAnsi="Arial" w:cs="Arial"/>
                <w:color w:val="000000"/>
                <w:sz w:val="19"/>
                <w:szCs w:val="19"/>
              </w:rPr>
              <w:t>HR Training for provincial HR staff</w:t>
            </w:r>
          </w:p>
        </w:tc>
        <w:tc>
          <w:tcPr>
            <w:tcW w:w="2559"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rPr>
                <w:rFonts w:ascii="Arial" w:hAnsi="Arial" w:cs="Arial"/>
                <w:color w:val="000000"/>
                <w:sz w:val="19"/>
                <w:szCs w:val="19"/>
              </w:rPr>
            </w:pPr>
            <w:r w:rsidRPr="00916F8A">
              <w:rPr>
                <w:rFonts w:ascii="Arial" w:hAnsi="Arial" w:cs="Arial"/>
                <w:color w:val="000000"/>
                <w:sz w:val="19"/>
                <w:szCs w:val="19"/>
              </w:rPr>
              <w:t>750 provincial staff receiving short-term training in HR planning, management and advocacy</w:t>
            </w:r>
          </w:p>
        </w:tc>
        <w:tc>
          <w:tcPr>
            <w:tcW w:w="1039"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178</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91</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51%</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87</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49%</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0</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0%</w:t>
            </w:r>
          </w:p>
        </w:tc>
      </w:tr>
      <w:tr w:rsidR="00616DD8" w:rsidRPr="00916F8A" w:rsidTr="00916F8A">
        <w:trPr>
          <w:trHeight w:val="1020"/>
          <w:jc w:val="center"/>
        </w:trPr>
        <w:tc>
          <w:tcPr>
            <w:tcW w:w="1506" w:type="dxa"/>
            <w:tcBorders>
              <w:top w:val="nil"/>
              <w:left w:val="single" w:sz="4" w:space="0" w:color="auto"/>
              <w:bottom w:val="single" w:sz="4" w:space="0" w:color="auto"/>
              <w:right w:val="single" w:sz="4" w:space="0" w:color="auto"/>
            </w:tcBorders>
            <w:shd w:val="clear" w:color="000000" w:fill="FFFFFF"/>
            <w:vAlign w:val="center"/>
            <w:hideMark/>
          </w:tcPr>
          <w:p w:rsidR="00616DD8" w:rsidRPr="00916F8A" w:rsidRDefault="00616DD8" w:rsidP="00616DD8">
            <w:pPr>
              <w:rPr>
                <w:rFonts w:ascii="Arial" w:hAnsi="Arial" w:cs="Arial"/>
                <w:color w:val="000000"/>
                <w:sz w:val="19"/>
                <w:szCs w:val="19"/>
              </w:rPr>
            </w:pPr>
            <w:r w:rsidRPr="00916F8A">
              <w:rPr>
                <w:rFonts w:ascii="Arial" w:hAnsi="Arial" w:cs="Arial"/>
                <w:color w:val="000000"/>
                <w:sz w:val="19"/>
                <w:szCs w:val="19"/>
              </w:rPr>
              <w:t>Training for Registration System Staff</w:t>
            </w:r>
          </w:p>
        </w:tc>
        <w:tc>
          <w:tcPr>
            <w:tcW w:w="2559"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rPr>
                <w:rFonts w:ascii="Arial" w:hAnsi="Arial" w:cs="Arial"/>
                <w:color w:val="000000"/>
                <w:sz w:val="19"/>
                <w:szCs w:val="19"/>
              </w:rPr>
            </w:pPr>
            <w:r w:rsidRPr="00916F8A">
              <w:rPr>
                <w:rFonts w:ascii="Arial" w:hAnsi="Arial" w:cs="Arial"/>
                <w:color w:val="000000"/>
                <w:sz w:val="19"/>
                <w:szCs w:val="19"/>
              </w:rPr>
              <w:t>375 registration &amp; licensing staff trained in Registration, Licensing and Complaints processes</w:t>
            </w:r>
          </w:p>
        </w:tc>
        <w:tc>
          <w:tcPr>
            <w:tcW w:w="1039"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821</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531</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65%</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290</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35%</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0</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0%</w:t>
            </w:r>
          </w:p>
        </w:tc>
      </w:tr>
      <w:tr w:rsidR="00616DD8" w:rsidRPr="00916F8A" w:rsidTr="00916F8A">
        <w:trPr>
          <w:trHeight w:val="822"/>
          <w:jc w:val="center"/>
        </w:trPr>
        <w:tc>
          <w:tcPr>
            <w:tcW w:w="1506" w:type="dxa"/>
            <w:tcBorders>
              <w:top w:val="nil"/>
              <w:left w:val="single" w:sz="4" w:space="0" w:color="auto"/>
              <w:bottom w:val="single" w:sz="4" w:space="0" w:color="auto"/>
              <w:right w:val="single" w:sz="4" w:space="0" w:color="auto"/>
            </w:tcBorders>
            <w:shd w:val="clear" w:color="000000" w:fill="FFFFFF"/>
            <w:vAlign w:val="center"/>
            <w:hideMark/>
          </w:tcPr>
          <w:p w:rsidR="00616DD8" w:rsidRPr="00916F8A" w:rsidRDefault="00616DD8" w:rsidP="00616DD8">
            <w:pPr>
              <w:rPr>
                <w:rFonts w:ascii="Arial" w:hAnsi="Arial" w:cs="Arial"/>
                <w:color w:val="000000"/>
                <w:sz w:val="19"/>
                <w:szCs w:val="19"/>
              </w:rPr>
            </w:pPr>
            <w:r w:rsidRPr="00916F8A">
              <w:rPr>
                <w:rFonts w:ascii="Arial" w:hAnsi="Arial" w:cs="Arial"/>
                <w:color w:val="000000"/>
                <w:sz w:val="19"/>
                <w:szCs w:val="19"/>
              </w:rPr>
              <w:t>Training for key staff of hospitals in 63 provinces on registration</w:t>
            </w:r>
          </w:p>
        </w:tc>
        <w:tc>
          <w:tcPr>
            <w:tcW w:w="2559"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rPr>
                <w:rFonts w:ascii="Arial" w:hAnsi="Arial" w:cs="Arial"/>
                <w:color w:val="000000"/>
                <w:sz w:val="19"/>
                <w:szCs w:val="19"/>
              </w:rPr>
            </w:pPr>
            <w:r w:rsidRPr="00916F8A">
              <w:rPr>
                <w:rFonts w:ascii="Arial" w:hAnsi="Arial" w:cs="Arial"/>
                <w:color w:val="000000"/>
                <w:sz w:val="19"/>
                <w:szCs w:val="19"/>
              </w:rPr>
              <w:t>improve awareness of health practitioners</w:t>
            </w:r>
          </w:p>
        </w:tc>
        <w:tc>
          <w:tcPr>
            <w:tcW w:w="1039"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2446</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1267</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52%</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1179</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48%</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258</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11%</w:t>
            </w:r>
          </w:p>
        </w:tc>
      </w:tr>
      <w:tr w:rsidR="00616DD8" w:rsidRPr="00916F8A" w:rsidTr="00916F8A">
        <w:trPr>
          <w:trHeight w:val="900"/>
          <w:jc w:val="center"/>
        </w:trPr>
        <w:tc>
          <w:tcPr>
            <w:tcW w:w="1506" w:type="dxa"/>
            <w:tcBorders>
              <w:top w:val="nil"/>
              <w:left w:val="single" w:sz="4" w:space="0" w:color="auto"/>
              <w:bottom w:val="single" w:sz="4" w:space="0" w:color="auto"/>
              <w:right w:val="single" w:sz="4" w:space="0" w:color="auto"/>
            </w:tcBorders>
            <w:shd w:val="clear" w:color="000000" w:fill="FFFFFF"/>
            <w:vAlign w:val="center"/>
            <w:hideMark/>
          </w:tcPr>
          <w:p w:rsidR="00616DD8" w:rsidRPr="00916F8A" w:rsidRDefault="00616DD8" w:rsidP="00616DD8">
            <w:pPr>
              <w:rPr>
                <w:rFonts w:ascii="Arial" w:hAnsi="Arial" w:cs="Arial"/>
                <w:color w:val="000000"/>
                <w:sz w:val="19"/>
                <w:szCs w:val="19"/>
              </w:rPr>
            </w:pPr>
            <w:r w:rsidRPr="00916F8A">
              <w:rPr>
                <w:rFonts w:ascii="Arial" w:hAnsi="Arial" w:cs="Arial"/>
                <w:color w:val="000000"/>
                <w:sz w:val="19"/>
                <w:szCs w:val="19"/>
              </w:rPr>
              <w:t>English Lessons for PMU Staff</w:t>
            </w:r>
          </w:p>
        </w:tc>
        <w:tc>
          <w:tcPr>
            <w:tcW w:w="2559"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rPr>
                <w:rFonts w:ascii="Arial" w:hAnsi="Arial" w:cs="Arial"/>
                <w:color w:val="000000"/>
                <w:sz w:val="19"/>
                <w:szCs w:val="19"/>
              </w:rPr>
            </w:pPr>
            <w:r w:rsidRPr="00916F8A">
              <w:rPr>
                <w:rFonts w:ascii="Arial" w:hAnsi="Arial" w:cs="Arial"/>
                <w:color w:val="000000"/>
                <w:sz w:val="19"/>
                <w:szCs w:val="19"/>
              </w:rPr>
              <w:t>10 PMU staff members with improved English skills</w:t>
            </w:r>
          </w:p>
        </w:tc>
        <w:tc>
          <w:tcPr>
            <w:tcW w:w="1039"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10</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4</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40%</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6</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60%</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0</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0%</w:t>
            </w:r>
          </w:p>
        </w:tc>
      </w:tr>
      <w:tr w:rsidR="00616DD8" w:rsidRPr="00916F8A" w:rsidTr="00916F8A">
        <w:trPr>
          <w:trHeight w:val="1275"/>
          <w:jc w:val="center"/>
        </w:trPr>
        <w:tc>
          <w:tcPr>
            <w:tcW w:w="1506" w:type="dxa"/>
            <w:tcBorders>
              <w:top w:val="nil"/>
              <w:left w:val="single" w:sz="4" w:space="0" w:color="auto"/>
              <w:bottom w:val="single" w:sz="4" w:space="0" w:color="auto"/>
              <w:right w:val="single" w:sz="4" w:space="0" w:color="auto"/>
            </w:tcBorders>
            <w:shd w:val="clear" w:color="000000" w:fill="FFFFFF"/>
            <w:vAlign w:val="center"/>
            <w:hideMark/>
          </w:tcPr>
          <w:p w:rsidR="00616DD8" w:rsidRPr="00916F8A" w:rsidRDefault="00616DD8" w:rsidP="00616DD8">
            <w:pPr>
              <w:rPr>
                <w:rFonts w:ascii="Arial" w:hAnsi="Arial" w:cs="Arial"/>
                <w:color w:val="000000"/>
                <w:sz w:val="19"/>
                <w:szCs w:val="19"/>
              </w:rPr>
            </w:pPr>
            <w:r w:rsidRPr="00916F8A">
              <w:rPr>
                <w:rFonts w:ascii="Arial" w:hAnsi="Arial" w:cs="Arial"/>
                <w:color w:val="000000"/>
                <w:sz w:val="19"/>
                <w:szCs w:val="19"/>
              </w:rPr>
              <w:t>PIU Training for Bidding, Procurement, Disbursement, etc</w:t>
            </w:r>
          </w:p>
        </w:tc>
        <w:tc>
          <w:tcPr>
            <w:tcW w:w="2559"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rPr>
                <w:rFonts w:ascii="Arial" w:hAnsi="Arial" w:cs="Arial"/>
                <w:color w:val="000000"/>
                <w:sz w:val="19"/>
                <w:szCs w:val="19"/>
              </w:rPr>
            </w:pPr>
            <w:r w:rsidRPr="00916F8A">
              <w:rPr>
                <w:rFonts w:ascii="Arial" w:hAnsi="Arial" w:cs="Arial"/>
                <w:color w:val="000000"/>
                <w:sz w:val="19"/>
                <w:szCs w:val="19"/>
              </w:rPr>
              <w:t>24 PIU staff trained in Project Bidding, Procurement, Disbursement and Related Procedures</w:t>
            </w:r>
          </w:p>
        </w:tc>
        <w:tc>
          <w:tcPr>
            <w:tcW w:w="1039"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34</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17</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50%</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17</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50%</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0</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0%</w:t>
            </w:r>
          </w:p>
        </w:tc>
      </w:tr>
      <w:tr w:rsidR="00616DD8" w:rsidRPr="00916F8A" w:rsidTr="00916F8A">
        <w:trPr>
          <w:trHeight w:val="255"/>
          <w:jc w:val="center"/>
        </w:trPr>
        <w:tc>
          <w:tcPr>
            <w:tcW w:w="8938"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616DD8" w:rsidRPr="00916F8A" w:rsidRDefault="00616DD8" w:rsidP="00616DD8">
            <w:pPr>
              <w:rPr>
                <w:rFonts w:ascii="Arial" w:hAnsi="Arial" w:cs="Arial"/>
                <w:b/>
                <w:bCs/>
                <w:color w:val="000000"/>
                <w:sz w:val="19"/>
                <w:szCs w:val="19"/>
              </w:rPr>
            </w:pPr>
            <w:r w:rsidRPr="00916F8A">
              <w:rPr>
                <w:rFonts w:ascii="Arial" w:hAnsi="Arial" w:cs="Arial"/>
                <w:b/>
                <w:bCs/>
                <w:color w:val="000000"/>
                <w:sz w:val="19"/>
                <w:szCs w:val="19"/>
              </w:rPr>
              <w:t>Component 2: Strengthened Quality of Training of Human Resources </w:t>
            </w:r>
          </w:p>
        </w:tc>
      </w:tr>
      <w:tr w:rsidR="00616DD8" w:rsidRPr="00916F8A" w:rsidTr="00916F8A">
        <w:trPr>
          <w:trHeight w:val="1020"/>
          <w:jc w:val="center"/>
        </w:trPr>
        <w:tc>
          <w:tcPr>
            <w:tcW w:w="1506" w:type="dxa"/>
            <w:tcBorders>
              <w:top w:val="nil"/>
              <w:left w:val="single" w:sz="4" w:space="0" w:color="auto"/>
              <w:bottom w:val="single" w:sz="4" w:space="0" w:color="auto"/>
              <w:right w:val="single" w:sz="4" w:space="0" w:color="auto"/>
            </w:tcBorders>
            <w:shd w:val="clear" w:color="000000" w:fill="FFFFFF"/>
            <w:vAlign w:val="center"/>
            <w:hideMark/>
          </w:tcPr>
          <w:p w:rsidR="00616DD8" w:rsidRPr="00916F8A" w:rsidRDefault="00616DD8" w:rsidP="00616DD8">
            <w:pPr>
              <w:rPr>
                <w:rFonts w:ascii="Arial" w:hAnsi="Arial" w:cs="Arial"/>
                <w:color w:val="000000"/>
                <w:sz w:val="19"/>
                <w:szCs w:val="19"/>
              </w:rPr>
            </w:pPr>
            <w:r w:rsidRPr="00916F8A">
              <w:rPr>
                <w:rFonts w:ascii="Arial" w:hAnsi="Arial" w:cs="Arial"/>
                <w:color w:val="000000"/>
                <w:sz w:val="19"/>
                <w:szCs w:val="19"/>
              </w:rPr>
              <w:t xml:space="preserve">In-service training </w:t>
            </w:r>
          </w:p>
        </w:tc>
        <w:tc>
          <w:tcPr>
            <w:tcW w:w="2559"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rPr>
                <w:rFonts w:ascii="Arial" w:hAnsi="Arial" w:cs="Arial"/>
                <w:color w:val="000000"/>
                <w:sz w:val="19"/>
                <w:szCs w:val="19"/>
              </w:rPr>
            </w:pPr>
            <w:r w:rsidRPr="00916F8A">
              <w:rPr>
                <w:rFonts w:ascii="Arial" w:hAnsi="Arial" w:cs="Arial"/>
                <w:color w:val="000000"/>
                <w:sz w:val="19"/>
                <w:szCs w:val="19"/>
              </w:rPr>
              <w:t>825 teaching staff with improved basic-science &amp; pre-clinical skills labs training capacity</w:t>
            </w:r>
          </w:p>
        </w:tc>
        <w:tc>
          <w:tcPr>
            <w:tcW w:w="1039"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1191</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462</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39%</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729</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61%</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11</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1%</w:t>
            </w:r>
          </w:p>
        </w:tc>
      </w:tr>
      <w:tr w:rsidR="00616DD8" w:rsidRPr="00916F8A" w:rsidTr="00916F8A">
        <w:trPr>
          <w:trHeight w:val="510"/>
          <w:jc w:val="center"/>
        </w:trPr>
        <w:tc>
          <w:tcPr>
            <w:tcW w:w="1506" w:type="dxa"/>
            <w:tcBorders>
              <w:top w:val="nil"/>
              <w:left w:val="single" w:sz="4" w:space="0" w:color="auto"/>
              <w:bottom w:val="single" w:sz="4" w:space="0" w:color="auto"/>
              <w:right w:val="single" w:sz="4" w:space="0" w:color="auto"/>
            </w:tcBorders>
            <w:shd w:val="clear" w:color="000000" w:fill="FFFFFF"/>
            <w:vAlign w:val="center"/>
            <w:hideMark/>
          </w:tcPr>
          <w:p w:rsidR="00616DD8" w:rsidRPr="00916F8A" w:rsidRDefault="00616DD8" w:rsidP="00616DD8">
            <w:pPr>
              <w:rPr>
                <w:rFonts w:ascii="Arial" w:hAnsi="Arial" w:cs="Arial"/>
                <w:color w:val="000000"/>
                <w:sz w:val="19"/>
                <w:szCs w:val="19"/>
              </w:rPr>
            </w:pPr>
            <w:r w:rsidRPr="00916F8A">
              <w:rPr>
                <w:rFonts w:ascii="Arial" w:hAnsi="Arial" w:cs="Arial"/>
                <w:color w:val="000000"/>
                <w:sz w:val="19"/>
                <w:szCs w:val="19"/>
              </w:rPr>
              <w:t> </w:t>
            </w:r>
          </w:p>
        </w:tc>
        <w:tc>
          <w:tcPr>
            <w:tcW w:w="2559"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rPr>
                <w:rFonts w:ascii="Arial" w:hAnsi="Arial" w:cs="Arial"/>
                <w:color w:val="000000"/>
                <w:sz w:val="19"/>
                <w:szCs w:val="19"/>
              </w:rPr>
            </w:pPr>
            <w:r w:rsidRPr="00916F8A">
              <w:rPr>
                <w:rFonts w:ascii="Arial" w:hAnsi="Arial" w:cs="Arial"/>
                <w:color w:val="000000"/>
                <w:sz w:val="19"/>
                <w:szCs w:val="19"/>
              </w:rPr>
              <w:t xml:space="preserve">40 teachers training on competency-based learning </w:t>
            </w:r>
          </w:p>
        </w:tc>
        <w:tc>
          <w:tcPr>
            <w:tcW w:w="1039"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39</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18</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46%</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21</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54%</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0</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0%</w:t>
            </w:r>
          </w:p>
        </w:tc>
      </w:tr>
      <w:tr w:rsidR="00616DD8" w:rsidRPr="00916F8A" w:rsidTr="00916F8A">
        <w:trPr>
          <w:trHeight w:val="1275"/>
          <w:jc w:val="center"/>
        </w:trPr>
        <w:tc>
          <w:tcPr>
            <w:tcW w:w="1506" w:type="dxa"/>
            <w:tcBorders>
              <w:top w:val="nil"/>
              <w:left w:val="single" w:sz="4" w:space="0" w:color="auto"/>
              <w:bottom w:val="single" w:sz="4" w:space="0" w:color="auto"/>
              <w:right w:val="single" w:sz="4" w:space="0" w:color="auto"/>
            </w:tcBorders>
            <w:shd w:val="clear" w:color="000000" w:fill="FFFFFF"/>
            <w:vAlign w:val="center"/>
            <w:hideMark/>
          </w:tcPr>
          <w:p w:rsidR="00616DD8" w:rsidRPr="00916F8A" w:rsidRDefault="00616DD8" w:rsidP="00616DD8">
            <w:pPr>
              <w:rPr>
                <w:rFonts w:ascii="Arial" w:hAnsi="Arial" w:cs="Arial"/>
                <w:color w:val="000000"/>
                <w:sz w:val="19"/>
                <w:szCs w:val="19"/>
              </w:rPr>
            </w:pPr>
            <w:r w:rsidRPr="00916F8A">
              <w:rPr>
                <w:rFonts w:ascii="Arial" w:hAnsi="Arial" w:cs="Arial"/>
                <w:color w:val="000000"/>
                <w:sz w:val="19"/>
                <w:szCs w:val="19"/>
              </w:rPr>
              <w:t>In-service training of training facility managers</w:t>
            </w:r>
          </w:p>
        </w:tc>
        <w:tc>
          <w:tcPr>
            <w:tcW w:w="2559"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rPr>
                <w:rFonts w:ascii="Arial" w:hAnsi="Arial" w:cs="Arial"/>
                <w:color w:val="000000"/>
                <w:sz w:val="19"/>
                <w:szCs w:val="19"/>
              </w:rPr>
            </w:pPr>
            <w:r w:rsidRPr="00916F8A">
              <w:rPr>
                <w:rFonts w:ascii="Arial" w:hAnsi="Arial" w:cs="Arial"/>
                <w:color w:val="000000"/>
                <w:sz w:val="19"/>
                <w:szCs w:val="19"/>
              </w:rPr>
              <w:t>240 training facility managers with improved management skills</w:t>
            </w:r>
          </w:p>
        </w:tc>
        <w:tc>
          <w:tcPr>
            <w:tcW w:w="1039"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517</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259</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50%</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258</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50%</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3</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1%</w:t>
            </w:r>
          </w:p>
        </w:tc>
      </w:tr>
      <w:tr w:rsidR="00616DD8" w:rsidRPr="00916F8A" w:rsidTr="00916F8A">
        <w:trPr>
          <w:trHeight w:val="1275"/>
          <w:jc w:val="center"/>
        </w:trPr>
        <w:tc>
          <w:tcPr>
            <w:tcW w:w="1506" w:type="dxa"/>
            <w:tcBorders>
              <w:top w:val="nil"/>
              <w:left w:val="single" w:sz="4" w:space="0" w:color="auto"/>
              <w:bottom w:val="single" w:sz="4" w:space="0" w:color="auto"/>
              <w:right w:val="single" w:sz="4" w:space="0" w:color="auto"/>
            </w:tcBorders>
            <w:shd w:val="clear" w:color="000000" w:fill="FFFFFF"/>
            <w:vAlign w:val="center"/>
            <w:hideMark/>
          </w:tcPr>
          <w:p w:rsidR="00616DD8" w:rsidRPr="00916F8A" w:rsidRDefault="00616DD8" w:rsidP="00616DD8">
            <w:pPr>
              <w:rPr>
                <w:rFonts w:ascii="Arial" w:hAnsi="Arial" w:cs="Arial"/>
                <w:color w:val="000000"/>
                <w:sz w:val="19"/>
                <w:szCs w:val="19"/>
              </w:rPr>
            </w:pPr>
            <w:r w:rsidRPr="00916F8A">
              <w:rPr>
                <w:rFonts w:ascii="Arial" w:hAnsi="Arial" w:cs="Arial"/>
                <w:color w:val="000000"/>
                <w:sz w:val="19"/>
                <w:szCs w:val="19"/>
              </w:rPr>
              <w:t>Study Tours</w:t>
            </w:r>
          </w:p>
        </w:tc>
        <w:tc>
          <w:tcPr>
            <w:tcW w:w="2559"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rPr>
                <w:rFonts w:ascii="Arial" w:hAnsi="Arial" w:cs="Arial"/>
                <w:color w:val="000000"/>
                <w:sz w:val="19"/>
                <w:szCs w:val="19"/>
              </w:rPr>
            </w:pPr>
            <w:r w:rsidRPr="00916F8A">
              <w:rPr>
                <w:rFonts w:ascii="Arial" w:hAnsi="Arial" w:cs="Arial"/>
                <w:color w:val="000000"/>
                <w:sz w:val="19"/>
                <w:szCs w:val="19"/>
              </w:rPr>
              <w:t>168 University staff observing international/regional health professional training outside of their own facilities</w:t>
            </w:r>
          </w:p>
        </w:tc>
        <w:tc>
          <w:tcPr>
            <w:tcW w:w="1039"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135</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63</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47%</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72</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53%</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0</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0%</w:t>
            </w:r>
          </w:p>
        </w:tc>
      </w:tr>
      <w:tr w:rsidR="00616DD8" w:rsidRPr="00916F8A" w:rsidTr="00916F8A">
        <w:trPr>
          <w:trHeight w:val="2295"/>
          <w:jc w:val="center"/>
        </w:trPr>
        <w:tc>
          <w:tcPr>
            <w:tcW w:w="1506" w:type="dxa"/>
            <w:tcBorders>
              <w:top w:val="nil"/>
              <w:left w:val="single" w:sz="4" w:space="0" w:color="auto"/>
              <w:bottom w:val="single" w:sz="4" w:space="0" w:color="auto"/>
              <w:right w:val="single" w:sz="4" w:space="0" w:color="auto"/>
            </w:tcBorders>
            <w:shd w:val="clear" w:color="000000" w:fill="FFFFFF"/>
            <w:vAlign w:val="center"/>
            <w:hideMark/>
          </w:tcPr>
          <w:p w:rsidR="00616DD8" w:rsidRPr="00916F8A" w:rsidRDefault="00616DD8" w:rsidP="00616DD8">
            <w:pPr>
              <w:rPr>
                <w:rFonts w:ascii="Arial" w:hAnsi="Arial" w:cs="Arial"/>
                <w:color w:val="000000"/>
                <w:sz w:val="19"/>
                <w:szCs w:val="19"/>
              </w:rPr>
            </w:pPr>
            <w:r w:rsidRPr="00916F8A">
              <w:rPr>
                <w:rFonts w:ascii="Arial" w:hAnsi="Arial" w:cs="Arial"/>
                <w:color w:val="000000"/>
                <w:sz w:val="19"/>
                <w:szCs w:val="19"/>
              </w:rPr>
              <w:t xml:space="preserve">Teacher exchanges between Health Professional Training Institutions in </w:t>
            </w:r>
            <w:r w:rsidR="0028006A">
              <w:rPr>
                <w:rFonts w:ascii="Arial" w:hAnsi="Arial" w:cs="Arial"/>
                <w:color w:val="000000"/>
                <w:sz w:val="19"/>
                <w:szCs w:val="19"/>
              </w:rPr>
              <w:t>Viet Nam</w:t>
            </w:r>
            <w:r w:rsidRPr="00916F8A">
              <w:rPr>
                <w:rFonts w:ascii="Arial" w:hAnsi="Arial" w:cs="Arial"/>
                <w:color w:val="000000"/>
                <w:sz w:val="19"/>
                <w:szCs w:val="19"/>
              </w:rPr>
              <w:t xml:space="preserve"> (3 months)</w:t>
            </w:r>
          </w:p>
        </w:tc>
        <w:tc>
          <w:tcPr>
            <w:tcW w:w="2559"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rPr>
                <w:rFonts w:ascii="Arial" w:hAnsi="Arial" w:cs="Arial"/>
                <w:color w:val="000000"/>
                <w:sz w:val="19"/>
                <w:szCs w:val="19"/>
              </w:rPr>
            </w:pPr>
            <w:r w:rsidRPr="00916F8A">
              <w:rPr>
                <w:rFonts w:ascii="Arial" w:hAnsi="Arial" w:cs="Arial"/>
                <w:color w:val="000000"/>
                <w:sz w:val="19"/>
                <w:szCs w:val="19"/>
              </w:rPr>
              <w:t>90 health profession teachers experiencing teaching in facilities other than their own</w:t>
            </w:r>
          </w:p>
        </w:tc>
        <w:tc>
          <w:tcPr>
            <w:tcW w:w="1039"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253</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122</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48%</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131</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52%</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3</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1%</w:t>
            </w:r>
          </w:p>
        </w:tc>
      </w:tr>
      <w:tr w:rsidR="00616DD8" w:rsidRPr="00916F8A" w:rsidTr="00916F8A">
        <w:trPr>
          <w:trHeight w:val="1020"/>
          <w:jc w:val="center"/>
        </w:trPr>
        <w:tc>
          <w:tcPr>
            <w:tcW w:w="1506" w:type="dxa"/>
            <w:tcBorders>
              <w:top w:val="nil"/>
              <w:left w:val="single" w:sz="4" w:space="0" w:color="auto"/>
              <w:bottom w:val="single" w:sz="4" w:space="0" w:color="auto"/>
              <w:right w:val="single" w:sz="4" w:space="0" w:color="auto"/>
            </w:tcBorders>
            <w:shd w:val="clear" w:color="000000" w:fill="FFFFFF"/>
            <w:vAlign w:val="center"/>
            <w:hideMark/>
          </w:tcPr>
          <w:p w:rsidR="00616DD8" w:rsidRPr="00916F8A" w:rsidRDefault="00616DD8" w:rsidP="00616DD8">
            <w:pPr>
              <w:rPr>
                <w:rFonts w:ascii="Arial" w:hAnsi="Arial" w:cs="Arial"/>
                <w:color w:val="000000"/>
                <w:sz w:val="19"/>
                <w:szCs w:val="19"/>
              </w:rPr>
            </w:pPr>
            <w:r w:rsidRPr="00916F8A">
              <w:rPr>
                <w:rFonts w:ascii="Arial" w:hAnsi="Arial" w:cs="Arial"/>
                <w:color w:val="000000"/>
                <w:sz w:val="19"/>
                <w:szCs w:val="19"/>
              </w:rPr>
              <w:t>Post-graduate Scholarships and Fellowships</w:t>
            </w:r>
          </w:p>
        </w:tc>
        <w:tc>
          <w:tcPr>
            <w:tcW w:w="2559"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rPr>
                <w:rFonts w:ascii="Arial" w:hAnsi="Arial" w:cs="Arial"/>
                <w:color w:val="000000"/>
                <w:sz w:val="19"/>
                <w:szCs w:val="19"/>
              </w:rPr>
            </w:pPr>
            <w:r w:rsidRPr="00916F8A">
              <w:rPr>
                <w:rFonts w:ascii="Arial" w:hAnsi="Arial" w:cs="Arial"/>
                <w:color w:val="000000"/>
                <w:sz w:val="19"/>
                <w:szCs w:val="19"/>
              </w:rPr>
              <w:t>90 health profession teachers with improved teaching skills</w:t>
            </w:r>
          </w:p>
        </w:tc>
        <w:tc>
          <w:tcPr>
            <w:tcW w:w="1039"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112</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37</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33%</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75</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67%</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0</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0%</w:t>
            </w:r>
          </w:p>
        </w:tc>
      </w:tr>
      <w:tr w:rsidR="00616DD8" w:rsidRPr="00916F8A" w:rsidTr="00916F8A">
        <w:trPr>
          <w:trHeight w:val="1530"/>
          <w:jc w:val="center"/>
        </w:trPr>
        <w:tc>
          <w:tcPr>
            <w:tcW w:w="1506" w:type="dxa"/>
            <w:tcBorders>
              <w:top w:val="nil"/>
              <w:left w:val="single" w:sz="4" w:space="0" w:color="auto"/>
              <w:bottom w:val="single" w:sz="4" w:space="0" w:color="auto"/>
              <w:right w:val="single" w:sz="4" w:space="0" w:color="auto"/>
            </w:tcBorders>
            <w:shd w:val="clear" w:color="000000" w:fill="FFFFFF"/>
            <w:vAlign w:val="center"/>
            <w:hideMark/>
          </w:tcPr>
          <w:p w:rsidR="00616DD8" w:rsidRPr="00916F8A" w:rsidRDefault="00616DD8" w:rsidP="00616DD8">
            <w:pPr>
              <w:rPr>
                <w:rFonts w:ascii="Arial" w:hAnsi="Arial" w:cs="Arial"/>
                <w:color w:val="000000"/>
                <w:sz w:val="19"/>
                <w:szCs w:val="19"/>
              </w:rPr>
            </w:pPr>
            <w:r w:rsidRPr="00916F8A">
              <w:rPr>
                <w:rFonts w:ascii="Arial" w:hAnsi="Arial" w:cs="Arial"/>
                <w:color w:val="000000"/>
                <w:sz w:val="19"/>
                <w:szCs w:val="19"/>
              </w:rPr>
              <w:t>In-service training to strengthen practical training capacity</w:t>
            </w:r>
          </w:p>
        </w:tc>
        <w:tc>
          <w:tcPr>
            <w:tcW w:w="2559"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rPr>
                <w:rFonts w:ascii="Arial" w:hAnsi="Arial" w:cs="Arial"/>
                <w:color w:val="000000"/>
                <w:sz w:val="19"/>
                <w:szCs w:val="19"/>
              </w:rPr>
            </w:pPr>
            <w:r w:rsidRPr="00916F8A">
              <w:rPr>
                <w:rFonts w:ascii="Arial" w:hAnsi="Arial" w:cs="Arial"/>
                <w:color w:val="000000"/>
                <w:sz w:val="19"/>
                <w:szCs w:val="19"/>
              </w:rPr>
              <w:t>800 teachers / managers / clinicians with improved capacity to support practical training of students</w:t>
            </w:r>
          </w:p>
        </w:tc>
        <w:tc>
          <w:tcPr>
            <w:tcW w:w="1039"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1264</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519</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41%</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745</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59%</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7</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1%</w:t>
            </w:r>
          </w:p>
        </w:tc>
      </w:tr>
      <w:tr w:rsidR="00616DD8" w:rsidRPr="00916F8A" w:rsidTr="00916F8A">
        <w:trPr>
          <w:trHeight w:val="765"/>
          <w:jc w:val="center"/>
        </w:trPr>
        <w:tc>
          <w:tcPr>
            <w:tcW w:w="1506" w:type="dxa"/>
            <w:tcBorders>
              <w:top w:val="nil"/>
              <w:left w:val="single" w:sz="4" w:space="0" w:color="auto"/>
              <w:bottom w:val="single" w:sz="4" w:space="0" w:color="auto"/>
              <w:right w:val="single" w:sz="4" w:space="0" w:color="auto"/>
            </w:tcBorders>
            <w:shd w:val="clear" w:color="000000" w:fill="FFFFFF"/>
            <w:vAlign w:val="center"/>
            <w:hideMark/>
          </w:tcPr>
          <w:p w:rsidR="00616DD8" w:rsidRPr="00916F8A" w:rsidRDefault="00616DD8" w:rsidP="00616DD8">
            <w:pPr>
              <w:rPr>
                <w:rFonts w:ascii="Arial" w:hAnsi="Arial" w:cs="Arial"/>
                <w:color w:val="000000"/>
                <w:sz w:val="19"/>
                <w:szCs w:val="19"/>
              </w:rPr>
            </w:pPr>
            <w:r w:rsidRPr="00916F8A">
              <w:rPr>
                <w:rFonts w:ascii="Arial" w:hAnsi="Arial" w:cs="Arial"/>
                <w:color w:val="000000"/>
                <w:sz w:val="19"/>
                <w:szCs w:val="19"/>
              </w:rPr>
              <w:t> </w:t>
            </w:r>
          </w:p>
        </w:tc>
        <w:tc>
          <w:tcPr>
            <w:tcW w:w="2559"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rPr>
                <w:rFonts w:ascii="Arial" w:hAnsi="Arial" w:cs="Arial"/>
                <w:color w:val="000000"/>
                <w:sz w:val="19"/>
                <w:szCs w:val="19"/>
              </w:rPr>
            </w:pPr>
            <w:r w:rsidRPr="00916F8A">
              <w:rPr>
                <w:rFonts w:ascii="Arial" w:hAnsi="Arial" w:cs="Arial"/>
                <w:color w:val="000000"/>
                <w:sz w:val="19"/>
                <w:szCs w:val="19"/>
              </w:rPr>
              <w:t>40 teachers training on biosafety laboratories and laboratory quality assurance</w:t>
            </w:r>
          </w:p>
        </w:tc>
        <w:tc>
          <w:tcPr>
            <w:tcW w:w="1039"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69</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18</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26%</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51</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74%</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0</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0%</w:t>
            </w:r>
          </w:p>
        </w:tc>
      </w:tr>
      <w:tr w:rsidR="00616DD8" w:rsidRPr="00916F8A" w:rsidTr="00916F8A">
        <w:trPr>
          <w:trHeight w:val="2040"/>
          <w:jc w:val="center"/>
        </w:trPr>
        <w:tc>
          <w:tcPr>
            <w:tcW w:w="1506" w:type="dxa"/>
            <w:tcBorders>
              <w:top w:val="nil"/>
              <w:left w:val="single" w:sz="4" w:space="0" w:color="auto"/>
              <w:bottom w:val="single" w:sz="4" w:space="0" w:color="auto"/>
              <w:right w:val="single" w:sz="4" w:space="0" w:color="auto"/>
            </w:tcBorders>
            <w:shd w:val="clear" w:color="000000" w:fill="FFFFFF"/>
            <w:vAlign w:val="center"/>
            <w:hideMark/>
          </w:tcPr>
          <w:p w:rsidR="00616DD8" w:rsidRPr="00916F8A" w:rsidRDefault="00616DD8" w:rsidP="00616DD8">
            <w:pPr>
              <w:rPr>
                <w:rFonts w:ascii="Arial" w:hAnsi="Arial" w:cs="Arial"/>
                <w:color w:val="000000"/>
                <w:sz w:val="19"/>
                <w:szCs w:val="19"/>
              </w:rPr>
            </w:pPr>
            <w:r w:rsidRPr="00916F8A">
              <w:rPr>
                <w:rFonts w:ascii="Arial" w:hAnsi="Arial" w:cs="Arial"/>
                <w:color w:val="000000"/>
                <w:sz w:val="19"/>
                <w:szCs w:val="19"/>
              </w:rPr>
              <w:t>In-service Training to improve capacity of quality assurance in medical education</w:t>
            </w:r>
          </w:p>
        </w:tc>
        <w:tc>
          <w:tcPr>
            <w:tcW w:w="2559"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rPr>
                <w:rFonts w:ascii="Arial" w:hAnsi="Arial" w:cs="Arial"/>
                <w:color w:val="000000"/>
                <w:sz w:val="19"/>
                <w:szCs w:val="19"/>
              </w:rPr>
            </w:pPr>
            <w:r w:rsidRPr="00916F8A">
              <w:rPr>
                <w:rFonts w:ascii="Arial" w:hAnsi="Arial" w:cs="Arial"/>
                <w:color w:val="000000"/>
                <w:sz w:val="19"/>
                <w:szCs w:val="19"/>
              </w:rPr>
              <w:t>150 staff with improved supervision and curriculum evaluation skills</w:t>
            </w:r>
          </w:p>
        </w:tc>
        <w:tc>
          <w:tcPr>
            <w:tcW w:w="1039"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78</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45</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58%</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33</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42%</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0</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0%</w:t>
            </w:r>
          </w:p>
        </w:tc>
      </w:tr>
      <w:tr w:rsidR="00616DD8" w:rsidRPr="00916F8A" w:rsidTr="00916F8A">
        <w:trPr>
          <w:trHeight w:val="510"/>
          <w:jc w:val="center"/>
        </w:trPr>
        <w:tc>
          <w:tcPr>
            <w:tcW w:w="1506" w:type="dxa"/>
            <w:tcBorders>
              <w:top w:val="nil"/>
              <w:left w:val="single" w:sz="4" w:space="0" w:color="auto"/>
              <w:bottom w:val="single" w:sz="4" w:space="0" w:color="auto"/>
              <w:right w:val="single" w:sz="4" w:space="0" w:color="auto"/>
            </w:tcBorders>
            <w:shd w:val="clear" w:color="000000" w:fill="FFFFFF"/>
            <w:vAlign w:val="center"/>
            <w:hideMark/>
          </w:tcPr>
          <w:p w:rsidR="00616DD8" w:rsidRPr="00916F8A" w:rsidRDefault="00616DD8" w:rsidP="00616DD8">
            <w:pPr>
              <w:rPr>
                <w:rFonts w:ascii="Arial" w:hAnsi="Arial" w:cs="Arial"/>
                <w:color w:val="000000"/>
                <w:sz w:val="19"/>
                <w:szCs w:val="19"/>
              </w:rPr>
            </w:pPr>
            <w:r w:rsidRPr="00916F8A">
              <w:rPr>
                <w:rFonts w:ascii="Arial" w:hAnsi="Arial" w:cs="Arial"/>
                <w:color w:val="000000"/>
                <w:sz w:val="19"/>
                <w:szCs w:val="19"/>
              </w:rPr>
              <w:t> </w:t>
            </w:r>
          </w:p>
        </w:tc>
        <w:tc>
          <w:tcPr>
            <w:tcW w:w="2559"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rPr>
                <w:rFonts w:ascii="Arial" w:hAnsi="Arial" w:cs="Arial"/>
                <w:color w:val="000000"/>
                <w:sz w:val="19"/>
                <w:szCs w:val="19"/>
              </w:rPr>
            </w:pPr>
            <w:r w:rsidRPr="00916F8A">
              <w:rPr>
                <w:rFonts w:ascii="Arial" w:hAnsi="Arial" w:cs="Arial"/>
                <w:color w:val="000000"/>
                <w:sz w:val="19"/>
                <w:szCs w:val="19"/>
              </w:rPr>
              <w:t>Support training accreditors accrediting higher education</w:t>
            </w:r>
          </w:p>
        </w:tc>
        <w:tc>
          <w:tcPr>
            <w:tcW w:w="1039"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07</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04</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57%</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03</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43%</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0</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0%</w:t>
            </w:r>
          </w:p>
        </w:tc>
      </w:tr>
      <w:tr w:rsidR="00616DD8" w:rsidRPr="00916F8A" w:rsidTr="00916F8A">
        <w:trPr>
          <w:trHeight w:val="1020"/>
          <w:jc w:val="center"/>
        </w:trPr>
        <w:tc>
          <w:tcPr>
            <w:tcW w:w="1506" w:type="dxa"/>
            <w:tcBorders>
              <w:top w:val="nil"/>
              <w:left w:val="single" w:sz="4" w:space="0" w:color="auto"/>
              <w:bottom w:val="single" w:sz="4" w:space="0" w:color="auto"/>
              <w:right w:val="single" w:sz="4" w:space="0" w:color="auto"/>
            </w:tcBorders>
            <w:shd w:val="clear" w:color="000000" w:fill="FFFFFF"/>
            <w:vAlign w:val="center"/>
            <w:hideMark/>
          </w:tcPr>
          <w:p w:rsidR="00616DD8" w:rsidRPr="00916F8A" w:rsidRDefault="00616DD8" w:rsidP="00616DD8">
            <w:pPr>
              <w:rPr>
                <w:rFonts w:ascii="Arial" w:hAnsi="Arial" w:cs="Arial"/>
                <w:color w:val="000000"/>
                <w:sz w:val="19"/>
                <w:szCs w:val="19"/>
              </w:rPr>
            </w:pPr>
            <w:r w:rsidRPr="00916F8A">
              <w:rPr>
                <w:rFonts w:ascii="Arial" w:hAnsi="Arial" w:cs="Arial"/>
                <w:color w:val="000000"/>
                <w:sz w:val="19"/>
                <w:szCs w:val="19"/>
              </w:rPr>
              <w:t xml:space="preserve">Supplemental Scholarships for Ethnic Minority </w:t>
            </w:r>
          </w:p>
        </w:tc>
        <w:tc>
          <w:tcPr>
            <w:tcW w:w="2559"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rPr>
                <w:rFonts w:ascii="Arial" w:hAnsi="Arial" w:cs="Arial"/>
                <w:color w:val="000000"/>
                <w:sz w:val="19"/>
                <w:szCs w:val="19"/>
              </w:rPr>
            </w:pPr>
            <w:r w:rsidRPr="00916F8A">
              <w:rPr>
                <w:rFonts w:ascii="Arial" w:hAnsi="Arial" w:cs="Arial"/>
                <w:color w:val="000000"/>
                <w:sz w:val="19"/>
                <w:szCs w:val="19"/>
              </w:rPr>
              <w:t>3000 student from Ethnic Minority groups receiving Supplemental Scholarships</w:t>
            </w:r>
          </w:p>
        </w:tc>
        <w:tc>
          <w:tcPr>
            <w:tcW w:w="1039"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3000</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1980</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66%</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1020</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34%</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2280</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76%</w:t>
            </w:r>
          </w:p>
        </w:tc>
      </w:tr>
      <w:tr w:rsidR="00616DD8" w:rsidRPr="00916F8A" w:rsidTr="00916F8A">
        <w:trPr>
          <w:trHeight w:val="1020"/>
          <w:jc w:val="center"/>
        </w:trPr>
        <w:tc>
          <w:tcPr>
            <w:tcW w:w="1506" w:type="dxa"/>
            <w:tcBorders>
              <w:top w:val="nil"/>
              <w:left w:val="single" w:sz="4" w:space="0" w:color="auto"/>
              <w:bottom w:val="single" w:sz="4" w:space="0" w:color="auto"/>
              <w:right w:val="single" w:sz="4" w:space="0" w:color="auto"/>
            </w:tcBorders>
            <w:shd w:val="clear" w:color="000000" w:fill="FFFFFF"/>
            <w:vAlign w:val="center"/>
            <w:hideMark/>
          </w:tcPr>
          <w:p w:rsidR="00616DD8" w:rsidRPr="00916F8A" w:rsidRDefault="00616DD8" w:rsidP="00616DD8">
            <w:pPr>
              <w:rPr>
                <w:rFonts w:ascii="Arial" w:hAnsi="Arial" w:cs="Arial"/>
                <w:color w:val="000000"/>
                <w:sz w:val="19"/>
                <w:szCs w:val="19"/>
              </w:rPr>
            </w:pPr>
            <w:r w:rsidRPr="00916F8A">
              <w:rPr>
                <w:rFonts w:ascii="Arial" w:hAnsi="Arial" w:cs="Arial"/>
                <w:color w:val="000000"/>
                <w:sz w:val="19"/>
                <w:szCs w:val="19"/>
              </w:rPr>
              <w:t>Scholarships for  Remote Health Workers</w:t>
            </w:r>
          </w:p>
        </w:tc>
        <w:tc>
          <w:tcPr>
            <w:tcW w:w="2559"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rPr>
                <w:rFonts w:ascii="Arial" w:hAnsi="Arial" w:cs="Arial"/>
                <w:color w:val="000000"/>
                <w:sz w:val="19"/>
                <w:szCs w:val="19"/>
              </w:rPr>
            </w:pPr>
            <w:r w:rsidRPr="00916F8A">
              <w:rPr>
                <w:rFonts w:ascii="Arial" w:hAnsi="Arial" w:cs="Arial"/>
                <w:color w:val="000000"/>
                <w:sz w:val="19"/>
                <w:szCs w:val="19"/>
              </w:rPr>
              <w:t>160 people from Remote Areas with  specialized health professional qualifications</w:t>
            </w:r>
          </w:p>
        </w:tc>
        <w:tc>
          <w:tcPr>
            <w:tcW w:w="1039"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242</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170</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70%</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72</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30%</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51</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21%</w:t>
            </w:r>
          </w:p>
        </w:tc>
      </w:tr>
      <w:tr w:rsidR="00616DD8" w:rsidRPr="00916F8A" w:rsidTr="00916F8A">
        <w:trPr>
          <w:trHeight w:val="2445"/>
          <w:jc w:val="center"/>
        </w:trPr>
        <w:tc>
          <w:tcPr>
            <w:tcW w:w="1506" w:type="dxa"/>
            <w:tcBorders>
              <w:top w:val="nil"/>
              <w:left w:val="single" w:sz="4" w:space="0" w:color="auto"/>
              <w:bottom w:val="single" w:sz="4" w:space="0" w:color="auto"/>
              <w:right w:val="single" w:sz="4" w:space="0" w:color="auto"/>
            </w:tcBorders>
            <w:shd w:val="clear" w:color="000000" w:fill="FFFFFF"/>
            <w:vAlign w:val="center"/>
            <w:hideMark/>
          </w:tcPr>
          <w:p w:rsidR="00616DD8" w:rsidRPr="00916F8A" w:rsidRDefault="00616DD8" w:rsidP="00616DD8">
            <w:pPr>
              <w:rPr>
                <w:rFonts w:ascii="Arial" w:hAnsi="Arial" w:cs="Arial"/>
                <w:color w:val="000000"/>
                <w:sz w:val="19"/>
                <w:szCs w:val="19"/>
              </w:rPr>
            </w:pPr>
            <w:r w:rsidRPr="00916F8A">
              <w:rPr>
                <w:rFonts w:ascii="Arial" w:hAnsi="Arial" w:cs="Arial"/>
                <w:color w:val="000000"/>
                <w:sz w:val="19"/>
                <w:szCs w:val="19"/>
              </w:rPr>
              <w:t>In-service Training</w:t>
            </w:r>
          </w:p>
        </w:tc>
        <w:tc>
          <w:tcPr>
            <w:tcW w:w="2559"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rPr>
                <w:rFonts w:ascii="Arial" w:hAnsi="Arial" w:cs="Arial"/>
                <w:color w:val="000000"/>
                <w:sz w:val="19"/>
                <w:szCs w:val="19"/>
              </w:rPr>
            </w:pPr>
            <w:r w:rsidRPr="00916F8A">
              <w:rPr>
                <w:rFonts w:ascii="Arial" w:hAnsi="Arial" w:cs="Arial"/>
                <w:color w:val="000000"/>
                <w:sz w:val="19"/>
                <w:szCs w:val="19"/>
              </w:rPr>
              <w:t xml:space="preserve">960 remote teachers with improved Primary Health Care training skills and understanding of rotation requirements </w:t>
            </w:r>
          </w:p>
        </w:tc>
        <w:tc>
          <w:tcPr>
            <w:tcW w:w="1039"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2507</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1421</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57%</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1086</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43%</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644</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26%</w:t>
            </w:r>
          </w:p>
        </w:tc>
      </w:tr>
      <w:tr w:rsidR="00616DD8" w:rsidRPr="00916F8A" w:rsidTr="00916F8A">
        <w:trPr>
          <w:trHeight w:val="765"/>
          <w:jc w:val="center"/>
        </w:trPr>
        <w:tc>
          <w:tcPr>
            <w:tcW w:w="1506" w:type="dxa"/>
            <w:tcBorders>
              <w:top w:val="nil"/>
              <w:left w:val="single" w:sz="4" w:space="0" w:color="auto"/>
              <w:bottom w:val="single" w:sz="4" w:space="0" w:color="auto"/>
              <w:right w:val="single" w:sz="4" w:space="0" w:color="auto"/>
            </w:tcBorders>
            <w:shd w:val="clear" w:color="000000" w:fill="FFFFFF"/>
            <w:vAlign w:val="center"/>
            <w:hideMark/>
          </w:tcPr>
          <w:p w:rsidR="00616DD8" w:rsidRPr="00916F8A" w:rsidRDefault="00616DD8" w:rsidP="00616DD8">
            <w:pPr>
              <w:rPr>
                <w:rFonts w:ascii="Arial" w:hAnsi="Arial" w:cs="Arial"/>
                <w:color w:val="000000"/>
                <w:sz w:val="19"/>
                <w:szCs w:val="19"/>
              </w:rPr>
            </w:pPr>
            <w:r w:rsidRPr="00916F8A">
              <w:rPr>
                <w:rFonts w:ascii="Arial" w:hAnsi="Arial" w:cs="Arial"/>
                <w:color w:val="000000"/>
                <w:sz w:val="19"/>
                <w:szCs w:val="19"/>
              </w:rPr>
              <w:t>Training of rural health workers</w:t>
            </w:r>
          </w:p>
        </w:tc>
        <w:tc>
          <w:tcPr>
            <w:tcW w:w="2559"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rPr>
                <w:rFonts w:ascii="Arial" w:hAnsi="Arial" w:cs="Arial"/>
                <w:color w:val="000000"/>
                <w:sz w:val="19"/>
                <w:szCs w:val="19"/>
              </w:rPr>
            </w:pPr>
            <w:r w:rsidRPr="00916F8A">
              <w:rPr>
                <w:rFonts w:ascii="Arial" w:hAnsi="Arial" w:cs="Arial"/>
                <w:color w:val="000000"/>
                <w:sz w:val="19"/>
                <w:szCs w:val="19"/>
              </w:rPr>
              <w:t>5600 rural health workers with improved Primary Health Care skills</w:t>
            </w:r>
          </w:p>
        </w:tc>
        <w:tc>
          <w:tcPr>
            <w:tcW w:w="1039"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 xml:space="preserve">        948 </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 xml:space="preserve"> 414 </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44%</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 xml:space="preserve"> 534 </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56%</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 xml:space="preserve"> 188 </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20%</w:t>
            </w:r>
          </w:p>
        </w:tc>
      </w:tr>
      <w:tr w:rsidR="00616DD8" w:rsidRPr="00916F8A" w:rsidTr="00916F8A">
        <w:trPr>
          <w:trHeight w:val="255"/>
          <w:jc w:val="center"/>
        </w:trPr>
        <w:tc>
          <w:tcPr>
            <w:tcW w:w="8938"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616DD8" w:rsidRPr="00916F8A" w:rsidRDefault="00616DD8" w:rsidP="00616DD8">
            <w:pPr>
              <w:rPr>
                <w:rFonts w:ascii="Arial" w:hAnsi="Arial" w:cs="Arial"/>
                <w:b/>
                <w:bCs/>
                <w:color w:val="000000"/>
                <w:sz w:val="19"/>
                <w:szCs w:val="19"/>
              </w:rPr>
            </w:pPr>
            <w:r w:rsidRPr="00916F8A">
              <w:rPr>
                <w:rFonts w:ascii="Arial" w:hAnsi="Arial" w:cs="Arial"/>
                <w:b/>
                <w:bCs/>
                <w:color w:val="000000"/>
                <w:sz w:val="19"/>
                <w:szCs w:val="19"/>
              </w:rPr>
              <w:t>Component 3: Improved Management Systems in Health Service Delivery</w:t>
            </w:r>
          </w:p>
        </w:tc>
      </w:tr>
      <w:tr w:rsidR="00616DD8" w:rsidRPr="00916F8A" w:rsidTr="00916F8A">
        <w:trPr>
          <w:trHeight w:val="1302"/>
          <w:jc w:val="center"/>
        </w:trPr>
        <w:tc>
          <w:tcPr>
            <w:tcW w:w="1506" w:type="dxa"/>
            <w:tcBorders>
              <w:top w:val="nil"/>
              <w:left w:val="single" w:sz="4" w:space="0" w:color="auto"/>
              <w:bottom w:val="single" w:sz="4" w:space="0" w:color="auto"/>
              <w:right w:val="single" w:sz="4" w:space="0" w:color="auto"/>
            </w:tcBorders>
            <w:shd w:val="clear" w:color="000000" w:fill="FFFFFF"/>
            <w:vAlign w:val="center"/>
            <w:hideMark/>
          </w:tcPr>
          <w:p w:rsidR="00616DD8" w:rsidRPr="00916F8A" w:rsidRDefault="00616DD8" w:rsidP="00616DD8">
            <w:pPr>
              <w:rPr>
                <w:rFonts w:ascii="Arial" w:hAnsi="Arial" w:cs="Arial"/>
                <w:color w:val="000000"/>
                <w:sz w:val="19"/>
                <w:szCs w:val="19"/>
              </w:rPr>
            </w:pPr>
            <w:r w:rsidRPr="00916F8A">
              <w:rPr>
                <w:rFonts w:ascii="Arial" w:hAnsi="Arial" w:cs="Arial"/>
                <w:color w:val="000000"/>
                <w:sz w:val="19"/>
                <w:szCs w:val="19"/>
              </w:rPr>
              <w:t>Short-Term Training</w:t>
            </w:r>
          </w:p>
        </w:tc>
        <w:tc>
          <w:tcPr>
            <w:tcW w:w="2559"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rPr>
                <w:rFonts w:ascii="Arial" w:hAnsi="Arial" w:cs="Arial"/>
                <w:color w:val="000000"/>
                <w:sz w:val="19"/>
                <w:szCs w:val="19"/>
              </w:rPr>
            </w:pPr>
            <w:r w:rsidRPr="00916F8A">
              <w:rPr>
                <w:rFonts w:ascii="Arial" w:hAnsi="Arial" w:cs="Arial"/>
                <w:color w:val="000000"/>
                <w:sz w:val="19"/>
                <w:szCs w:val="19"/>
              </w:rPr>
              <w:t>40 people with practical understanding of clinical management and provider payment reforms</w:t>
            </w:r>
          </w:p>
        </w:tc>
        <w:tc>
          <w:tcPr>
            <w:tcW w:w="1039"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540</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276</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51%</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264</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49%</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32</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6%</w:t>
            </w:r>
          </w:p>
        </w:tc>
      </w:tr>
      <w:tr w:rsidR="00616DD8" w:rsidRPr="00916F8A" w:rsidTr="00916F8A">
        <w:trPr>
          <w:trHeight w:val="1785"/>
          <w:jc w:val="center"/>
        </w:trPr>
        <w:tc>
          <w:tcPr>
            <w:tcW w:w="1506" w:type="dxa"/>
            <w:tcBorders>
              <w:top w:val="nil"/>
              <w:left w:val="single" w:sz="4" w:space="0" w:color="auto"/>
              <w:bottom w:val="single" w:sz="4" w:space="0" w:color="auto"/>
              <w:right w:val="single" w:sz="4" w:space="0" w:color="auto"/>
            </w:tcBorders>
            <w:shd w:val="clear" w:color="000000" w:fill="FFFFFF"/>
            <w:vAlign w:val="center"/>
            <w:hideMark/>
          </w:tcPr>
          <w:p w:rsidR="00616DD8" w:rsidRPr="00916F8A" w:rsidRDefault="00616DD8" w:rsidP="00616DD8">
            <w:pPr>
              <w:rPr>
                <w:rFonts w:ascii="Arial" w:hAnsi="Arial" w:cs="Arial"/>
                <w:color w:val="000000"/>
                <w:sz w:val="19"/>
                <w:szCs w:val="19"/>
              </w:rPr>
            </w:pPr>
            <w:r w:rsidRPr="00916F8A">
              <w:rPr>
                <w:rFonts w:ascii="Arial" w:hAnsi="Arial" w:cs="Arial"/>
                <w:color w:val="000000"/>
                <w:sz w:val="19"/>
                <w:szCs w:val="19"/>
              </w:rPr>
              <w:t>International study tours for Coordination Committee and National Unit Staff</w:t>
            </w:r>
          </w:p>
        </w:tc>
        <w:tc>
          <w:tcPr>
            <w:tcW w:w="2559"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rPr>
                <w:rFonts w:ascii="Arial" w:hAnsi="Arial" w:cs="Arial"/>
                <w:color w:val="000000"/>
                <w:sz w:val="19"/>
                <w:szCs w:val="19"/>
              </w:rPr>
            </w:pPr>
            <w:r w:rsidRPr="00916F8A">
              <w:rPr>
                <w:rFonts w:ascii="Arial" w:hAnsi="Arial" w:cs="Arial"/>
                <w:color w:val="000000"/>
                <w:sz w:val="19"/>
                <w:szCs w:val="19"/>
              </w:rPr>
              <w:t>38 people experiencing international provider payment reforms</w:t>
            </w:r>
          </w:p>
        </w:tc>
        <w:tc>
          <w:tcPr>
            <w:tcW w:w="1039"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90</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56</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62%</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34</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38%</w:t>
            </w:r>
          </w:p>
        </w:tc>
        <w:tc>
          <w:tcPr>
            <w:tcW w:w="661"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0</w:t>
            </w:r>
          </w:p>
        </w:tc>
        <w:tc>
          <w:tcPr>
            <w:tcW w:w="617" w:type="dxa"/>
            <w:tcBorders>
              <w:top w:val="nil"/>
              <w:left w:val="nil"/>
              <w:bottom w:val="single" w:sz="4" w:space="0" w:color="auto"/>
              <w:right w:val="single" w:sz="4" w:space="0" w:color="auto"/>
            </w:tcBorders>
            <w:shd w:val="clear" w:color="000000" w:fill="FFFFFF"/>
            <w:vAlign w:val="center"/>
            <w:hideMark/>
          </w:tcPr>
          <w:p w:rsidR="00616DD8" w:rsidRPr="00916F8A" w:rsidRDefault="00616DD8" w:rsidP="00616DD8">
            <w:pPr>
              <w:jc w:val="center"/>
              <w:rPr>
                <w:rFonts w:ascii="Arial" w:hAnsi="Arial" w:cs="Arial"/>
                <w:sz w:val="19"/>
                <w:szCs w:val="19"/>
              </w:rPr>
            </w:pPr>
            <w:r w:rsidRPr="00916F8A">
              <w:rPr>
                <w:rFonts w:ascii="Arial" w:hAnsi="Arial" w:cs="Arial"/>
                <w:sz w:val="19"/>
                <w:szCs w:val="19"/>
              </w:rPr>
              <w:t>0%</w:t>
            </w:r>
          </w:p>
        </w:tc>
      </w:tr>
    </w:tbl>
    <w:p w:rsidR="00616DD8" w:rsidRPr="00E65146" w:rsidRDefault="00616DD8" w:rsidP="006C5C15">
      <w:pPr>
        <w:tabs>
          <w:tab w:val="left" w:pos="1530"/>
        </w:tabs>
        <w:rPr>
          <w:rFonts w:ascii="Arial" w:hAnsi="Arial" w:cs="Arial"/>
          <w:color w:val="000000"/>
        </w:rPr>
      </w:pPr>
    </w:p>
    <w:p w:rsidR="005E106F" w:rsidRPr="00C6560B" w:rsidRDefault="005E106F" w:rsidP="00185E36">
      <w:pPr>
        <w:tabs>
          <w:tab w:val="left" w:pos="1530"/>
        </w:tabs>
        <w:spacing w:before="120"/>
        <w:rPr>
          <w:rFonts w:ascii="Arial" w:hAnsi="Arial" w:cs="Arial"/>
          <w:sz w:val="18"/>
          <w:szCs w:val="18"/>
        </w:rPr>
      </w:pPr>
      <w:r w:rsidRPr="00C6560B">
        <w:rPr>
          <w:rFonts w:ascii="Arial" w:hAnsi="Arial" w:cs="Arial"/>
          <w:b/>
          <w:sz w:val="18"/>
          <w:szCs w:val="18"/>
        </w:rPr>
        <w:t>Source:</w:t>
      </w:r>
      <w:r w:rsidRPr="00C6560B">
        <w:rPr>
          <w:rFonts w:ascii="Arial" w:hAnsi="Arial" w:cs="Arial"/>
          <w:sz w:val="18"/>
          <w:szCs w:val="18"/>
        </w:rPr>
        <w:t xml:space="preserve"> HHRSDP </w:t>
      </w:r>
      <w:r>
        <w:rPr>
          <w:rFonts w:ascii="Arial" w:hAnsi="Arial" w:cs="Arial"/>
          <w:sz w:val="18"/>
          <w:szCs w:val="18"/>
        </w:rPr>
        <w:t>PMU</w:t>
      </w:r>
    </w:p>
    <w:p w:rsidR="005E106F" w:rsidRPr="00C6560B" w:rsidRDefault="005E106F" w:rsidP="00185E36">
      <w:pPr>
        <w:tabs>
          <w:tab w:val="left" w:pos="1530"/>
        </w:tabs>
        <w:spacing w:before="120"/>
        <w:rPr>
          <w:rFonts w:ascii="Arial" w:hAnsi="Arial" w:cs="Arial"/>
          <w:b/>
          <w:sz w:val="18"/>
          <w:szCs w:val="18"/>
        </w:rPr>
      </w:pPr>
      <w:r w:rsidRPr="00C6560B">
        <w:rPr>
          <w:rFonts w:ascii="Arial" w:hAnsi="Arial" w:cs="Arial"/>
          <w:b/>
          <w:sz w:val="18"/>
          <w:szCs w:val="18"/>
        </w:rPr>
        <w:t xml:space="preserve">Notes: </w:t>
      </w:r>
    </w:p>
    <w:p w:rsidR="005E106F" w:rsidRPr="00C6560B" w:rsidRDefault="005E106F" w:rsidP="00185E36">
      <w:pPr>
        <w:tabs>
          <w:tab w:val="left" w:pos="1530"/>
        </w:tabs>
        <w:spacing w:before="120"/>
        <w:rPr>
          <w:rFonts w:ascii="Arial" w:hAnsi="Arial" w:cs="Arial"/>
          <w:b/>
          <w:sz w:val="18"/>
          <w:szCs w:val="18"/>
        </w:rPr>
      </w:pPr>
      <w:r w:rsidRPr="00C6560B">
        <w:rPr>
          <w:rFonts w:ascii="Arial" w:hAnsi="Arial" w:cs="Arial"/>
          <w:color w:val="000000"/>
          <w:sz w:val="18"/>
          <w:szCs w:val="18"/>
          <w:vertAlign w:val="superscript"/>
        </w:rPr>
        <w:t>a</w:t>
      </w:r>
      <w:r w:rsidRPr="00C6560B">
        <w:rPr>
          <w:rFonts w:ascii="Arial" w:hAnsi="Arial" w:cs="Arial"/>
          <w:sz w:val="18"/>
          <w:szCs w:val="18"/>
        </w:rPr>
        <w:t xml:space="preserve"> </w:t>
      </w:r>
      <w:r>
        <w:rPr>
          <w:rFonts w:ascii="Arial" w:hAnsi="Arial" w:cs="Arial"/>
          <w:sz w:val="18"/>
          <w:szCs w:val="18"/>
        </w:rPr>
        <w:t>PAM</w:t>
      </w:r>
      <w:r w:rsidR="00304A9C">
        <w:rPr>
          <w:rFonts w:ascii="Arial" w:hAnsi="Arial" w:cs="Arial"/>
          <w:sz w:val="18"/>
          <w:szCs w:val="18"/>
        </w:rPr>
        <w:t xml:space="preserve"> </w:t>
      </w:r>
      <w:r w:rsidR="00304A9C" w:rsidRPr="00185E36">
        <w:rPr>
          <w:rFonts w:ascii="Arial" w:hAnsi="Arial" w:cs="Arial"/>
          <w:sz w:val="18"/>
          <w:szCs w:val="18"/>
        </w:rPr>
        <w:t>24 March 2015</w:t>
      </w:r>
    </w:p>
    <w:p w:rsidR="006C5C15" w:rsidRPr="00E65146" w:rsidRDefault="006C5C15" w:rsidP="006C5C15">
      <w:pPr>
        <w:tabs>
          <w:tab w:val="left" w:pos="1530"/>
        </w:tabs>
        <w:rPr>
          <w:rFonts w:ascii="Arial" w:hAnsi="Arial" w:cs="Arial"/>
          <w:color w:val="000000"/>
        </w:rPr>
      </w:pPr>
      <w:r w:rsidRPr="00E65146">
        <w:rPr>
          <w:rFonts w:ascii="Arial" w:hAnsi="Arial" w:cs="Arial"/>
          <w:color w:val="000000"/>
        </w:rPr>
        <w:br w:type="page"/>
      </w:r>
    </w:p>
    <w:p w:rsidR="006C5C15" w:rsidRPr="00E65146" w:rsidRDefault="006C5C15" w:rsidP="00CA718F">
      <w:pPr>
        <w:pStyle w:val="ColorfulList-Accent11"/>
        <w:numPr>
          <w:ilvl w:val="0"/>
          <w:numId w:val="8"/>
        </w:numPr>
        <w:pBdr>
          <w:bottom w:val="single" w:sz="6" w:space="1" w:color="auto"/>
        </w:pBdr>
        <w:tabs>
          <w:tab w:val="left" w:pos="1530"/>
        </w:tabs>
        <w:outlineLvl w:val="0"/>
        <w:rPr>
          <w:rFonts w:ascii="Arial" w:hAnsi="Arial" w:cs="Arial"/>
          <w:b/>
          <w:sz w:val="22"/>
        </w:rPr>
      </w:pPr>
      <w:bookmarkStart w:id="101" w:name="_Toc423359358"/>
      <w:r w:rsidRPr="00E65146">
        <w:rPr>
          <w:rFonts w:ascii="Arial" w:hAnsi="Arial" w:cs="Arial"/>
          <w:b/>
          <w:sz w:val="22"/>
        </w:rPr>
        <w:t>REGISTRATION AND LICENSING SYSTEM</w:t>
      </w:r>
      <w:bookmarkEnd w:id="101"/>
    </w:p>
    <w:p w:rsidR="006C5C15" w:rsidRPr="00E65146" w:rsidRDefault="006C5C15" w:rsidP="00797A39">
      <w:pPr>
        <w:spacing w:before="240" w:after="120"/>
        <w:jc w:val="center"/>
        <w:rPr>
          <w:rFonts w:ascii="Arial" w:hAnsi="Arial" w:cs="Arial"/>
          <w:b/>
        </w:rPr>
      </w:pPr>
      <w:r w:rsidRPr="00E65146">
        <w:rPr>
          <w:rFonts w:ascii="Arial" w:hAnsi="Arial" w:cs="Arial"/>
          <w:b/>
        </w:rPr>
        <w:t>Figure 5.1: Structure for the registration and licensing system at Central and Provincial levels</w:t>
      </w:r>
    </w:p>
    <w:p w:rsidR="006C5C15" w:rsidRPr="00E65146" w:rsidRDefault="0085067F" w:rsidP="00884761">
      <w:pPr>
        <w:spacing w:before="120" w:after="120"/>
        <w:jc w:val="both"/>
        <w:rPr>
          <w:rFonts w:ascii="Arial" w:hAnsi="Arial" w:cs="Arial"/>
          <w:b/>
          <w:sz w:val="26"/>
          <w:szCs w:val="26"/>
        </w:rPr>
      </w:pPr>
      <w:r>
        <w:rPr>
          <w:noProof/>
          <w:lang w:val="en-AU" w:eastAsia="en-AU"/>
        </w:rPr>
        <mc:AlternateContent>
          <mc:Choice Requires="wps">
            <w:drawing>
              <wp:anchor distT="0" distB="0" distL="114299" distR="114299" simplePos="0" relativeHeight="251657728" behindDoc="0" locked="0" layoutInCell="1" allowOverlap="1">
                <wp:simplePos x="0" y="0"/>
                <wp:positionH relativeFrom="column">
                  <wp:posOffset>4571999</wp:posOffset>
                </wp:positionH>
                <wp:positionV relativeFrom="paragraph">
                  <wp:posOffset>3913505</wp:posOffset>
                </wp:positionV>
                <wp:extent cx="0" cy="1089025"/>
                <wp:effectExtent l="76200" t="0" r="57150" b="5397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9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in,308.15pt" to="5in,3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">
                <v:stroke endarrow="block"/>
              </v:line>
            </w:pict>
          </mc:Fallback>
        </mc:AlternateContent>
      </w:r>
      <w:r>
        <w:rPr>
          <w:noProof/>
          <w:lang w:val="en-AU" w:eastAsia="en-AU"/>
        </w:rPr>
        <mc:AlternateContent>
          <mc:Choice Requires="wps">
            <w:drawing>
              <wp:anchor distT="4294967295" distB="4294967295" distL="114300" distR="114300" simplePos="0" relativeHeight="251658752" behindDoc="0" locked="0" layoutInCell="1" allowOverlap="1">
                <wp:simplePos x="0" y="0"/>
                <wp:positionH relativeFrom="column">
                  <wp:posOffset>1028700</wp:posOffset>
                </wp:positionH>
                <wp:positionV relativeFrom="paragraph">
                  <wp:posOffset>3698874</wp:posOffset>
                </wp:positionV>
                <wp:extent cx="1370965" cy="0"/>
                <wp:effectExtent l="38100" t="76200" r="19685" b="9525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096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6"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291.25pt" to="188.95pt,2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">
                <v:stroke startarrow="block" endarrow="block"/>
              </v:line>
            </w:pict>
          </mc:Fallback>
        </mc:AlternateContent>
      </w:r>
      <w:r>
        <w:rPr>
          <w:noProof/>
          <w:lang w:val="en-AU" w:eastAsia="en-AU"/>
        </w:rPr>
        <mc:AlternateContent>
          <mc:Choice Requires="wps">
            <w:drawing>
              <wp:anchor distT="4294967295" distB="4294967295" distL="114300" distR="114300" simplePos="0" relativeHeight="251660800" behindDoc="0" locked="0" layoutInCell="1" allowOverlap="1">
                <wp:simplePos x="0" y="0"/>
                <wp:positionH relativeFrom="column">
                  <wp:posOffset>3768725</wp:posOffset>
                </wp:positionH>
                <wp:positionV relativeFrom="paragraph">
                  <wp:posOffset>3698874</wp:posOffset>
                </wp:positionV>
                <wp:extent cx="231775" cy="0"/>
                <wp:effectExtent l="38100" t="76200" r="15875" b="952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7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6.75pt,291.25pt" to="315pt,2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">
                <v:stroke startarrow="block" endarrow="block"/>
              </v:line>
            </w:pict>
          </mc:Fallback>
        </mc:AlternateContent>
      </w:r>
      <w:r>
        <w:rPr>
          <w:noProof/>
          <w:lang w:val="en-AU" w:eastAsia="en-AU"/>
        </w:rPr>
        <mc:AlternateContent>
          <mc:Choice Requires="wps">
            <w:drawing>
              <wp:anchor distT="0" distB="0" distL="114300" distR="114300" simplePos="0" relativeHeight="251654656" behindDoc="0" locked="0" layoutInCell="1" allowOverlap="1">
                <wp:simplePos x="0" y="0"/>
                <wp:positionH relativeFrom="column">
                  <wp:posOffset>4001135</wp:posOffset>
                </wp:positionH>
                <wp:positionV relativeFrom="paragraph">
                  <wp:posOffset>3548380</wp:posOffset>
                </wp:positionV>
                <wp:extent cx="1257300" cy="342900"/>
                <wp:effectExtent l="0" t="0" r="19050" b="1905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B545F7" w:rsidRDefault="00B545F7" w:rsidP="006C5C15">
                            <w:pPr>
                              <w:rPr>
                                <w:sz w:val="16"/>
                                <w:szCs w:val="16"/>
                              </w:rPr>
                            </w:pPr>
                            <w:r>
                              <w:rPr>
                                <w:sz w:val="16"/>
                                <w:szCs w:val="16"/>
                              </w:rPr>
                              <w:t xml:space="preserve">EXAMINING PANEL </w:t>
                            </w:r>
                          </w:p>
                          <w:p w:rsidR="00B545F7" w:rsidRPr="00AC13E5" w:rsidRDefault="00B545F7" w:rsidP="006C5C15">
                            <w:pPr>
                              <w:rPr>
                                <w:sz w:val="16"/>
                                <w:szCs w:val="16"/>
                              </w:rPr>
                            </w:pPr>
                            <w:r>
                              <w:rPr>
                                <w:sz w:val="16"/>
                                <w:szCs w:val="16"/>
                              </w:rPr>
                              <w:t>DOH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left:0;text-align:left;margin-left:315.05pt;margin-top:279.4pt;width:99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">
                <v:textbox>
                  <w:txbxContent>
                    <w:p w:rsidR="00B545F7" w:rsidRDefault="00B545F7" w:rsidP="006C5C15">
                      <w:pPr>
                        <w:rPr>
                          <w:sz w:val="16"/>
                          <w:szCs w:val="16"/>
                        </w:rPr>
                      </w:pPr>
                      <w:r>
                        <w:rPr>
                          <w:sz w:val="16"/>
                          <w:szCs w:val="16"/>
                        </w:rPr>
                        <w:t xml:space="preserve">EXAMINING PANEL </w:t>
                      </w:r>
                    </w:p>
                    <w:p w:rsidR="00B545F7" w:rsidRPr="00AC13E5" w:rsidRDefault="00B545F7" w:rsidP="006C5C15">
                      <w:pPr>
                        <w:rPr>
                          <w:sz w:val="16"/>
                          <w:szCs w:val="16"/>
                        </w:rPr>
                      </w:pPr>
                      <w:r>
                        <w:rPr>
                          <w:sz w:val="16"/>
                          <w:szCs w:val="16"/>
                        </w:rPr>
                        <w:t>DOH</w:t>
                      </w:r>
                    </w:p>
                  </w:txbxContent>
                </v:textbox>
              </v:rect>
            </w:pict>
          </mc:Fallback>
        </mc:AlternateContent>
      </w:r>
      <w:r>
        <w:rPr>
          <w:noProof/>
          <w:lang w:val="en-AU" w:eastAsia="en-AU"/>
        </w:rPr>
        <mc:AlternateContent>
          <mc:Choice Requires="wps">
            <w:drawing>
              <wp:anchor distT="0" distB="0" distL="114300" distR="114300" simplePos="0" relativeHeight="251652608" behindDoc="0" locked="0" layoutInCell="1" allowOverlap="1">
                <wp:simplePos x="0" y="0"/>
                <wp:positionH relativeFrom="column">
                  <wp:posOffset>-3175</wp:posOffset>
                </wp:positionH>
                <wp:positionV relativeFrom="paragraph">
                  <wp:posOffset>3510280</wp:posOffset>
                </wp:positionV>
                <wp:extent cx="1012825" cy="457200"/>
                <wp:effectExtent l="0" t="0" r="15875" b="1905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2825" cy="457200"/>
                        </a:xfrm>
                        <a:prstGeom prst="rect">
                          <a:avLst/>
                        </a:prstGeom>
                        <a:solidFill>
                          <a:srgbClr val="FFFFFF"/>
                        </a:solidFill>
                        <a:ln w="9525">
                          <a:solidFill>
                            <a:srgbClr val="000000"/>
                          </a:solidFill>
                          <a:miter lim="800000"/>
                          <a:headEnd/>
                          <a:tailEnd/>
                        </a:ln>
                      </wps:spPr>
                      <wps:txbx>
                        <w:txbxContent>
                          <w:p w:rsidR="00B545F7" w:rsidRPr="00C457EF" w:rsidRDefault="00B545F7" w:rsidP="006C5C15">
                            <w:pPr>
                              <w:rPr>
                                <w:sz w:val="16"/>
                                <w:szCs w:val="16"/>
                              </w:rPr>
                            </w:pPr>
                            <w:r>
                              <w:rPr>
                                <w:sz w:val="16"/>
                                <w:szCs w:val="16"/>
                              </w:rPr>
                              <w:t xml:space="preserve">PROVINCIAL </w:t>
                            </w:r>
                            <w:r w:rsidRPr="00C457EF">
                              <w:rPr>
                                <w:sz w:val="16"/>
                                <w:szCs w:val="16"/>
                              </w:rPr>
                              <w:t>ADVISORY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7" style="position:absolute;left:0;text-align:left;margin-left:-.25pt;margin-top:276.4pt;width:79.75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">
                <v:textbox>
                  <w:txbxContent>
                    <w:p w:rsidR="00B545F7" w:rsidRPr="00C457EF" w:rsidRDefault="00B545F7" w:rsidP="006C5C15">
                      <w:pPr>
                        <w:rPr>
                          <w:sz w:val="16"/>
                          <w:szCs w:val="16"/>
                        </w:rPr>
                      </w:pPr>
                      <w:r>
                        <w:rPr>
                          <w:sz w:val="16"/>
                          <w:szCs w:val="16"/>
                        </w:rPr>
                        <w:t xml:space="preserve">PROVINCIAL </w:t>
                      </w:r>
                      <w:r w:rsidRPr="00C457EF">
                        <w:rPr>
                          <w:sz w:val="16"/>
                          <w:szCs w:val="16"/>
                        </w:rPr>
                        <w:t>ADVISORY COUNCIL</w:t>
                      </w:r>
                    </w:p>
                  </w:txbxContent>
                </v:textbox>
              </v:rect>
            </w:pict>
          </mc:Fallback>
        </mc:AlternateContent>
      </w:r>
      <w:r>
        <w:rPr>
          <w:noProof/>
          <w:lang w:val="en-AU" w:eastAsia="en-AU"/>
        </w:rPr>
        <mc:AlternateContent>
          <mc:Choice Requires="wps">
            <w:drawing>
              <wp:anchor distT="0" distB="0" distL="114299" distR="114299" simplePos="0" relativeHeight="251651584" behindDoc="0" locked="0" layoutInCell="1" allowOverlap="1">
                <wp:simplePos x="0" y="0"/>
                <wp:positionH relativeFrom="column">
                  <wp:posOffset>3093084</wp:posOffset>
                </wp:positionH>
                <wp:positionV relativeFrom="paragraph">
                  <wp:posOffset>3913505</wp:posOffset>
                </wp:positionV>
                <wp:extent cx="0" cy="461010"/>
                <wp:effectExtent l="76200" t="38100" r="57150" b="5334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101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5" o:spid="_x0000_s1026" style="position:absolute;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55pt,308.15pt" to="243.55pt,3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">
                <v:stroke startarrow="block" endarrow="block"/>
              </v:line>
            </w:pict>
          </mc:Fallback>
        </mc:AlternateContent>
      </w:r>
      <w:r>
        <w:rPr>
          <w:noProof/>
          <w:lang w:val="en-AU" w:eastAsia="en-AU"/>
        </w:rPr>
        <mc:AlternateContent>
          <mc:Choice Requires="wpc">
            <w:drawing>
              <wp:inline distT="0" distB="0" distL="0" distR="0">
                <wp:extent cx="5715000" cy="3829050"/>
                <wp:effectExtent l="9525" t="0" r="0" b="0"/>
                <wp:docPr id="20" name="Canvas 6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Rectangle 39"/>
                        <wps:cNvSpPr>
                          <a:spLocks noChangeArrowheads="1"/>
                        </wps:cNvSpPr>
                        <wps:spPr bwMode="auto">
                          <a:xfrm>
                            <a:off x="504825" y="233045"/>
                            <a:ext cx="5095875" cy="643255"/>
                          </a:xfrm>
                          <a:prstGeom prst="rect">
                            <a:avLst/>
                          </a:prstGeom>
                          <a:solidFill>
                            <a:srgbClr val="FFFFFF"/>
                          </a:solidFill>
                          <a:ln w="9525">
                            <a:solidFill>
                              <a:srgbClr val="000000"/>
                            </a:solidFill>
                            <a:miter lim="800000"/>
                            <a:headEnd/>
                            <a:tailEnd/>
                          </a:ln>
                        </wps:spPr>
                        <wps:txbx>
                          <w:txbxContent>
                            <w:p w:rsidR="00B545F7" w:rsidRPr="00AC13E5" w:rsidRDefault="00B545F7" w:rsidP="006C5C15">
                              <w:pPr>
                                <w:jc w:val="center"/>
                                <w:rPr>
                                  <w:b/>
                                </w:rPr>
                              </w:pPr>
                              <w:r>
                                <w:rPr>
                                  <w:b/>
                                </w:rPr>
                                <w:t>MANAGEMENT SYSTEM FOR LICENSURE OF HEALTH PROFESSIONALS AND OPERATING LICENSE</w:t>
                              </w:r>
                            </w:p>
                            <w:p w:rsidR="00B545F7" w:rsidRDefault="00B545F7" w:rsidP="006C5C15"/>
                          </w:txbxContent>
                        </wps:txbx>
                        <wps:bodyPr rot="0" vert="horz" wrap="square" lIns="91440" tIns="45720" rIns="91440" bIns="45720" anchor="t" anchorCtr="0" upright="1">
                          <a:noAutofit/>
                        </wps:bodyPr>
                      </wps:wsp>
                      <wps:wsp>
                        <wps:cNvPr id="2" name="Rectangle 40"/>
                        <wps:cNvSpPr>
                          <a:spLocks noChangeArrowheads="1"/>
                        </wps:cNvSpPr>
                        <wps:spPr bwMode="auto">
                          <a:xfrm>
                            <a:off x="2286000" y="971550"/>
                            <a:ext cx="1485900" cy="342900"/>
                          </a:xfrm>
                          <a:prstGeom prst="rect">
                            <a:avLst/>
                          </a:prstGeom>
                          <a:solidFill>
                            <a:srgbClr val="FFFFFF"/>
                          </a:solidFill>
                          <a:ln w="9525">
                            <a:solidFill>
                              <a:srgbClr val="000000"/>
                            </a:solidFill>
                            <a:miter lim="800000"/>
                            <a:headEnd/>
                            <a:tailEnd/>
                          </a:ln>
                        </wps:spPr>
                        <wps:txbx>
                          <w:txbxContent>
                            <w:p w:rsidR="00B545F7" w:rsidRPr="00EF6C17" w:rsidRDefault="00B545F7" w:rsidP="006C5C15">
                              <w:pPr>
                                <w:jc w:val="center"/>
                                <w:rPr>
                                  <w:b/>
                                  <w:sz w:val="16"/>
                                  <w:szCs w:val="16"/>
                                </w:rPr>
                              </w:pPr>
                              <w:r w:rsidRPr="00EF6C17">
                                <w:rPr>
                                  <w:b/>
                                  <w:sz w:val="16"/>
                                  <w:szCs w:val="16"/>
                                </w:rPr>
                                <w:t>MINISTRY OF HEALTH</w:t>
                              </w:r>
                            </w:p>
                          </w:txbxContent>
                        </wps:txbx>
                        <wps:bodyPr rot="0" vert="horz" wrap="square" lIns="91440" tIns="45720" rIns="91440" bIns="45720" anchor="t" anchorCtr="0" upright="1">
                          <a:noAutofit/>
                        </wps:bodyPr>
                      </wps:wsp>
                      <wps:wsp>
                        <wps:cNvPr id="3" name="Rectangle 41"/>
                        <wps:cNvSpPr>
                          <a:spLocks noChangeArrowheads="1"/>
                        </wps:cNvSpPr>
                        <wps:spPr bwMode="auto">
                          <a:xfrm>
                            <a:off x="2514600" y="2343150"/>
                            <a:ext cx="1219200" cy="447675"/>
                          </a:xfrm>
                          <a:prstGeom prst="rect">
                            <a:avLst/>
                          </a:prstGeom>
                          <a:solidFill>
                            <a:srgbClr val="FFFFFF"/>
                          </a:solidFill>
                          <a:ln w="9525">
                            <a:solidFill>
                              <a:srgbClr val="000000"/>
                            </a:solidFill>
                            <a:miter lim="800000"/>
                            <a:headEnd/>
                            <a:tailEnd/>
                          </a:ln>
                        </wps:spPr>
                        <wps:txbx>
                          <w:txbxContent>
                            <w:p w:rsidR="00B545F7" w:rsidRPr="00EF6C17" w:rsidRDefault="00B545F7" w:rsidP="00854BC7">
                              <w:pPr>
                                <w:jc w:val="center"/>
                                <w:rPr>
                                  <w:b/>
                                  <w:sz w:val="16"/>
                                  <w:szCs w:val="16"/>
                                </w:rPr>
                              </w:pPr>
                              <w:r>
                                <w:rPr>
                                  <w:b/>
                                  <w:sz w:val="16"/>
                                  <w:szCs w:val="16"/>
                                </w:rPr>
                                <w:t>DEPARTMENT OF HEALTH CARE MANAGEMENR</w:t>
                              </w:r>
                            </w:p>
                          </w:txbxContent>
                        </wps:txbx>
                        <wps:bodyPr rot="0" vert="horz" wrap="square" lIns="91440" tIns="45720" rIns="91440" bIns="45720" anchor="t" anchorCtr="0" upright="1">
                          <a:noAutofit/>
                        </wps:bodyPr>
                      </wps:wsp>
                      <wps:wsp>
                        <wps:cNvPr id="4" name="Rectangle 42"/>
                        <wps:cNvSpPr>
                          <a:spLocks noChangeArrowheads="1"/>
                        </wps:cNvSpPr>
                        <wps:spPr bwMode="auto">
                          <a:xfrm>
                            <a:off x="2400300" y="3472732"/>
                            <a:ext cx="1375686" cy="342900"/>
                          </a:xfrm>
                          <a:prstGeom prst="rect">
                            <a:avLst/>
                          </a:prstGeom>
                          <a:solidFill>
                            <a:srgbClr val="FFFFFF"/>
                          </a:solidFill>
                          <a:ln w="9525">
                            <a:solidFill>
                              <a:srgbClr val="000000"/>
                            </a:solidFill>
                            <a:miter lim="800000"/>
                            <a:headEnd/>
                            <a:tailEnd/>
                          </a:ln>
                        </wps:spPr>
                        <wps:txbx>
                          <w:txbxContent>
                            <w:p w:rsidR="00B545F7" w:rsidRPr="00EF6C17" w:rsidRDefault="00B545F7" w:rsidP="006C5C15">
                              <w:pPr>
                                <w:jc w:val="center"/>
                                <w:rPr>
                                  <w:b/>
                                  <w:sz w:val="16"/>
                                  <w:szCs w:val="16"/>
                                </w:rPr>
                              </w:pPr>
                              <w:r w:rsidRPr="00EF6C17">
                                <w:rPr>
                                  <w:b/>
                                  <w:sz w:val="16"/>
                                  <w:szCs w:val="16"/>
                                </w:rPr>
                                <w:t>DEPARTMENT OF HEALTH</w:t>
                              </w:r>
                            </w:p>
                          </w:txbxContent>
                        </wps:txbx>
                        <wps:bodyPr rot="0" vert="horz" wrap="square" lIns="91440" tIns="45720" rIns="91440" bIns="45720" anchor="t" anchorCtr="0" upright="1">
                          <a:noAutofit/>
                        </wps:bodyPr>
                      </wps:wsp>
                      <wps:wsp>
                        <wps:cNvPr id="5" name="Line 43"/>
                        <wps:cNvCnPr>
                          <a:cxnSpLocks noChangeShapeType="1"/>
                        </wps:cNvCnPr>
                        <wps:spPr bwMode="auto">
                          <a:xfrm>
                            <a:off x="3086100" y="1314450"/>
                            <a:ext cx="635" cy="10287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 name="Line 44"/>
                        <wps:cNvCnPr>
                          <a:cxnSpLocks noChangeShapeType="1"/>
                        </wps:cNvCnPr>
                        <wps:spPr bwMode="auto">
                          <a:xfrm>
                            <a:off x="3086735" y="2762250"/>
                            <a:ext cx="1270" cy="6858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 name="Rectangle 45"/>
                        <wps:cNvSpPr>
                          <a:spLocks noChangeArrowheads="1"/>
                        </wps:cNvSpPr>
                        <wps:spPr bwMode="auto">
                          <a:xfrm>
                            <a:off x="0" y="1215556"/>
                            <a:ext cx="800100" cy="457200"/>
                          </a:xfrm>
                          <a:prstGeom prst="rect">
                            <a:avLst/>
                          </a:prstGeom>
                          <a:solidFill>
                            <a:srgbClr val="FFFFFF"/>
                          </a:solidFill>
                          <a:ln w="9525">
                            <a:solidFill>
                              <a:srgbClr val="000000"/>
                            </a:solidFill>
                            <a:miter lim="800000"/>
                            <a:headEnd/>
                            <a:tailEnd/>
                          </a:ln>
                        </wps:spPr>
                        <wps:txbx>
                          <w:txbxContent>
                            <w:p w:rsidR="00B545F7" w:rsidRPr="00EF6C17" w:rsidRDefault="00B545F7" w:rsidP="006C5C15">
                              <w:pPr>
                                <w:rPr>
                                  <w:b/>
                                  <w:sz w:val="16"/>
                                  <w:szCs w:val="16"/>
                                </w:rPr>
                              </w:pPr>
                              <w:r w:rsidRPr="00EF6C17">
                                <w:rPr>
                                  <w:b/>
                                  <w:sz w:val="16"/>
                                  <w:szCs w:val="16"/>
                                </w:rPr>
                                <w:t>NATIONAL ADVISORY COUNCIL</w:t>
                              </w:r>
                            </w:p>
                          </w:txbxContent>
                        </wps:txbx>
                        <wps:bodyPr rot="0" vert="horz" wrap="square" lIns="91440" tIns="45720" rIns="91440" bIns="45720" anchor="t" anchorCtr="0" upright="1">
                          <a:noAutofit/>
                        </wps:bodyPr>
                      </wps:wsp>
                      <wps:wsp>
                        <wps:cNvPr id="8" name="Rectangle 46"/>
                        <wps:cNvSpPr>
                          <a:spLocks noChangeArrowheads="1"/>
                        </wps:cNvSpPr>
                        <wps:spPr bwMode="auto">
                          <a:xfrm>
                            <a:off x="1143000" y="1657350"/>
                            <a:ext cx="1257300" cy="457200"/>
                          </a:xfrm>
                          <a:prstGeom prst="rect">
                            <a:avLst/>
                          </a:prstGeom>
                          <a:solidFill>
                            <a:srgbClr val="FFFFFF"/>
                          </a:solidFill>
                          <a:ln w="9525">
                            <a:solidFill>
                              <a:srgbClr val="000000"/>
                            </a:solidFill>
                            <a:miter lim="800000"/>
                            <a:headEnd/>
                            <a:tailEnd/>
                          </a:ln>
                        </wps:spPr>
                        <wps:txbx>
                          <w:txbxContent>
                            <w:p w:rsidR="00B545F7" w:rsidRDefault="00B545F7" w:rsidP="006C5C15">
                              <w:pPr>
                                <w:rPr>
                                  <w:sz w:val="16"/>
                                  <w:szCs w:val="16"/>
                                </w:rPr>
                              </w:pPr>
                              <w:r>
                                <w:rPr>
                                  <w:sz w:val="16"/>
                                  <w:szCs w:val="16"/>
                                </w:rPr>
                                <w:t>SECRETARIAT FOR LICENSURE OF HP-</w:t>
                              </w:r>
                            </w:p>
                            <w:p w:rsidR="00B545F7" w:rsidRPr="00C457EF" w:rsidRDefault="00B545F7" w:rsidP="006C5C15">
                              <w:pPr>
                                <w:jc w:val="center"/>
                                <w:rPr>
                                  <w:sz w:val="16"/>
                                  <w:szCs w:val="16"/>
                                </w:rPr>
                              </w:pPr>
                              <w:r>
                                <w:rPr>
                                  <w:sz w:val="16"/>
                                  <w:szCs w:val="16"/>
                                </w:rPr>
                                <w:t>MOH</w:t>
                              </w:r>
                            </w:p>
                          </w:txbxContent>
                        </wps:txbx>
                        <wps:bodyPr rot="0" vert="horz" wrap="square" lIns="91440" tIns="45720" rIns="91440" bIns="45720" anchor="t" anchorCtr="0" upright="1">
                          <a:noAutofit/>
                        </wps:bodyPr>
                      </wps:wsp>
                      <wps:wsp>
                        <wps:cNvPr id="9" name="Rectangle 47"/>
                        <wps:cNvSpPr>
                          <a:spLocks noChangeArrowheads="1"/>
                        </wps:cNvSpPr>
                        <wps:spPr bwMode="auto">
                          <a:xfrm>
                            <a:off x="3771900" y="1657350"/>
                            <a:ext cx="1257300" cy="342900"/>
                          </a:xfrm>
                          <a:prstGeom prst="rect">
                            <a:avLst/>
                          </a:prstGeom>
                          <a:solidFill>
                            <a:srgbClr val="FFFFFF"/>
                          </a:solidFill>
                          <a:ln w="9525">
                            <a:solidFill>
                              <a:srgbClr val="000000"/>
                            </a:solidFill>
                            <a:miter lim="800000"/>
                            <a:headEnd/>
                            <a:tailEnd/>
                          </a:ln>
                        </wps:spPr>
                        <wps:txbx>
                          <w:txbxContent>
                            <w:p w:rsidR="00B545F7" w:rsidRPr="00EF6C17" w:rsidRDefault="00B545F7" w:rsidP="006C5C15">
                              <w:pPr>
                                <w:rPr>
                                  <w:b/>
                                  <w:sz w:val="16"/>
                                  <w:szCs w:val="16"/>
                                </w:rPr>
                              </w:pPr>
                              <w:r w:rsidRPr="00EF6C17">
                                <w:rPr>
                                  <w:b/>
                                  <w:sz w:val="16"/>
                                  <w:szCs w:val="16"/>
                                </w:rPr>
                                <w:t xml:space="preserve">EXAMINING PANEL </w:t>
                              </w:r>
                            </w:p>
                            <w:p w:rsidR="00B545F7" w:rsidRPr="00EF6C17" w:rsidRDefault="00B545F7" w:rsidP="006C5C15">
                              <w:pPr>
                                <w:rPr>
                                  <w:b/>
                                  <w:sz w:val="16"/>
                                  <w:szCs w:val="16"/>
                                </w:rPr>
                              </w:pPr>
                              <w:r>
                                <w:rPr>
                                  <w:b/>
                                  <w:sz w:val="16"/>
                                  <w:szCs w:val="16"/>
                                </w:rPr>
                                <w:t xml:space="preserve">            </w:t>
                              </w:r>
                              <w:r w:rsidRPr="00EF6C17">
                                <w:rPr>
                                  <w:b/>
                                  <w:sz w:val="16"/>
                                  <w:szCs w:val="16"/>
                                </w:rPr>
                                <w:t>MOH</w:t>
                              </w:r>
                            </w:p>
                          </w:txbxContent>
                        </wps:txbx>
                        <wps:bodyPr rot="0" vert="horz" wrap="square" lIns="91440" tIns="45720" rIns="91440" bIns="45720" anchor="t" anchorCtr="0" upright="1">
                          <a:noAutofit/>
                        </wps:bodyPr>
                      </wps:wsp>
                      <wps:wsp>
                        <wps:cNvPr id="10" name="Rectangle 48"/>
                        <wps:cNvSpPr>
                          <a:spLocks noChangeArrowheads="1"/>
                        </wps:cNvSpPr>
                        <wps:spPr bwMode="auto">
                          <a:xfrm>
                            <a:off x="1028700" y="2571750"/>
                            <a:ext cx="1257300" cy="571500"/>
                          </a:xfrm>
                          <a:prstGeom prst="rect">
                            <a:avLst/>
                          </a:prstGeom>
                          <a:solidFill>
                            <a:srgbClr val="FFFFFF"/>
                          </a:solidFill>
                          <a:ln w="9525">
                            <a:solidFill>
                              <a:srgbClr val="000000"/>
                            </a:solidFill>
                            <a:miter lim="800000"/>
                            <a:headEnd/>
                            <a:tailEnd/>
                          </a:ln>
                        </wps:spPr>
                        <wps:txbx>
                          <w:txbxContent>
                            <w:p w:rsidR="00B545F7" w:rsidRPr="00C457EF" w:rsidRDefault="00B545F7" w:rsidP="006C5C15">
                              <w:pPr>
                                <w:jc w:val="center"/>
                                <w:rPr>
                                  <w:sz w:val="16"/>
                                  <w:szCs w:val="16"/>
                                </w:rPr>
                              </w:pPr>
                              <w:r>
                                <w:rPr>
                                  <w:sz w:val="16"/>
                                  <w:szCs w:val="16"/>
                                </w:rPr>
                                <w:t>PRACTITIONERS AT PRIVATE HOSPITALS, HEALTH CARE FACILITIES</w:t>
                              </w:r>
                            </w:p>
                          </w:txbxContent>
                        </wps:txbx>
                        <wps:bodyPr rot="0" vert="horz" wrap="square" lIns="91440" tIns="45720" rIns="91440" bIns="45720" anchor="t" anchorCtr="0" upright="1">
                          <a:noAutofit/>
                        </wps:bodyPr>
                      </wps:wsp>
                      <wps:wsp>
                        <wps:cNvPr id="11" name="Rectangle 49"/>
                        <wps:cNvSpPr>
                          <a:spLocks noChangeArrowheads="1"/>
                        </wps:cNvSpPr>
                        <wps:spPr bwMode="auto">
                          <a:xfrm>
                            <a:off x="4000500" y="2571750"/>
                            <a:ext cx="1257300" cy="571500"/>
                          </a:xfrm>
                          <a:prstGeom prst="rect">
                            <a:avLst/>
                          </a:prstGeom>
                          <a:solidFill>
                            <a:srgbClr val="FFFFFF"/>
                          </a:solidFill>
                          <a:ln w="9525">
                            <a:solidFill>
                              <a:srgbClr val="000000"/>
                            </a:solidFill>
                            <a:miter lim="800000"/>
                            <a:headEnd/>
                            <a:tailEnd/>
                          </a:ln>
                        </wps:spPr>
                        <wps:txbx>
                          <w:txbxContent>
                            <w:p w:rsidR="00B545F7" w:rsidRDefault="00B545F7" w:rsidP="006C5C15">
                              <w:pPr>
                                <w:jc w:val="center"/>
                                <w:rPr>
                                  <w:sz w:val="16"/>
                                  <w:szCs w:val="16"/>
                                </w:rPr>
                              </w:pPr>
                              <w:r>
                                <w:rPr>
                                  <w:sz w:val="16"/>
                                  <w:szCs w:val="16"/>
                                </w:rPr>
                                <w:t>GOVERNMENTAL/</w:t>
                              </w:r>
                            </w:p>
                            <w:p w:rsidR="00B545F7" w:rsidRPr="00C457EF" w:rsidRDefault="00B545F7" w:rsidP="006C5C15">
                              <w:pPr>
                                <w:jc w:val="center"/>
                                <w:rPr>
                                  <w:sz w:val="16"/>
                                  <w:szCs w:val="16"/>
                                </w:rPr>
                              </w:pPr>
                              <w:r>
                                <w:rPr>
                                  <w:sz w:val="16"/>
                                  <w:szCs w:val="16"/>
                                </w:rPr>
                                <w:t>PRIVATE HOSPITALS, HEALTH CARE FACILITIES</w:t>
                              </w:r>
                            </w:p>
                          </w:txbxContent>
                        </wps:txbx>
                        <wps:bodyPr rot="0" vert="horz" wrap="square" lIns="91440" tIns="45720" rIns="91440" bIns="45720" anchor="t" anchorCtr="0" upright="1">
                          <a:noAutofit/>
                        </wps:bodyPr>
                      </wps:wsp>
                      <wps:wsp>
                        <wps:cNvPr id="12" name="Line 50"/>
                        <wps:cNvCnPr>
                          <a:cxnSpLocks noChangeShapeType="1"/>
                        </wps:cNvCnPr>
                        <wps:spPr bwMode="auto">
                          <a:xfrm>
                            <a:off x="800100" y="1543050"/>
                            <a:ext cx="228600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3" name="Line 51"/>
                        <wps:cNvCnPr>
                          <a:cxnSpLocks noChangeShapeType="1"/>
                        </wps:cNvCnPr>
                        <wps:spPr bwMode="auto">
                          <a:xfrm>
                            <a:off x="3086100" y="1771650"/>
                            <a:ext cx="68580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 name="Line 52"/>
                        <wps:cNvCnPr>
                          <a:cxnSpLocks noChangeShapeType="1"/>
                        </wps:cNvCnPr>
                        <wps:spPr bwMode="auto">
                          <a:xfrm>
                            <a:off x="2400300" y="1885950"/>
                            <a:ext cx="68580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 name="Line 53"/>
                        <wps:cNvCnPr>
                          <a:cxnSpLocks noChangeShapeType="1"/>
                        </wps:cNvCnPr>
                        <wps:spPr bwMode="auto">
                          <a:xfrm>
                            <a:off x="1714500" y="2114550"/>
                            <a:ext cx="0"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 name="Line 54"/>
                        <wps:cNvCnPr>
                          <a:cxnSpLocks noChangeShapeType="1"/>
                        </wps:cNvCnPr>
                        <wps:spPr bwMode="auto">
                          <a:xfrm>
                            <a:off x="4572000" y="200025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55"/>
                        <wps:cNvCnPr>
                          <a:cxnSpLocks noChangeShapeType="1"/>
                        </wps:cNvCnPr>
                        <wps:spPr bwMode="auto">
                          <a:xfrm>
                            <a:off x="800100" y="1543050"/>
                            <a:ext cx="342900"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 name="Line 56"/>
                        <wps:cNvCnPr>
                          <a:cxnSpLocks noChangeShapeType="1"/>
                        </wps:cNvCnPr>
                        <wps:spPr bwMode="auto">
                          <a:xfrm flipV="1">
                            <a:off x="2286000" y="2571750"/>
                            <a:ext cx="228600" cy="1143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 name="Line 57"/>
                        <wps:cNvCnPr>
                          <a:cxnSpLocks noChangeShapeType="1"/>
                        </wps:cNvCnPr>
                        <wps:spPr bwMode="auto">
                          <a:xfrm>
                            <a:off x="3086100" y="2000250"/>
                            <a:ext cx="1257300" cy="5715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64" o:spid="_x0000_s1028" editas="canvas" style="width:450pt;height:301.5pt;mso-position-horizontal-relative:char;mso-position-vertical-relative:line" coordsize="57150,3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7150;height:38290;visibility:visible;mso-wrap-style:square">
                  <v:fill o:detectmouseclick="t"/>
                  <v:path o:connecttype="none"/>
                </v:shape>
                <v:rect id="Rectangle 39" o:spid="_x0000_s1030" style="position:absolute;left:5048;top:2330;width:50959;height:6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B545F7" w:rsidRPr="00AC13E5" w:rsidRDefault="00B545F7" w:rsidP="006C5C15">
                        <w:pPr>
                          <w:jc w:val="center"/>
                          <w:rPr>
                            <w:b/>
                          </w:rPr>
                        </w:pPr>
                        <w:r>
                          <w:rPr>
                            <w:b/>
                          </w:rPr>
                          <w:t>MANAGEMENT SYSTEM FOR LICENSURE OF HEALTH PROFESSIONALS AND OPERATING LICENSE</w:t>
                        </w:r>
                      </w:p>
                      <w:p w:rsidR="00B545F7" w:rsidRDefault="00B545F7" w:rsidP="006C5C15"/>
                    </w:txbxContent>
                  </v:textbox>
                </v:rect>
                <v:rect id="Rectangle 40" o:spid="_x0000_s1031" style="position:absolute;left:22860;top:9715;width:1485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B545F7" w:rsidRPr="00EF6C17" w:rsidRDefault="00B545F7" w:rsidP="006C5C15">
                        <w:pPr>
                          <w:jc w:val="center"/>
                          <w:rPr>
                            <w:b/>
                            <w:sz w:val="16"/>
                            <w:szCs w:val="16"/>
                          </w:rPr>
                        </w:pPr>
                        <w:r w:rsidRPr="00EF6C17">
                          <w:rPr>
                            <w:b/>
                            <w:sz w:val="16"/>
                            <w:szCs w:val="16"/>
                          </w:rPr>
                          <w:t>MINISTRY OF HEALTH</w:t>
                        </w:r>
                      </w:p>
                    </w:txbxContent>
                  </v:textbox>
                </v:rect>
                <v:rect id="Rectangle 41" o:spid="_x0000_s1032" style="position:absolute;left:25146;top:23431;width:12192;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B545F7" w:rsidRPr="00EF6C17" w:rsidRDefault="00B545F7" w:rsidP="00854BC7">
                        <w:pPr>
                          <w:jc w:val="center"/>
                          <w:rPr>
                            <w:b/>
                            <w:sz w:val="16"/>
                            <w:szCs w:val="16"/>
                          </w:rPr>
                        </w:pPr>
                        <w:r>
                          <w:rPr>
                            <w:b/>
                            <w:sz w:val="16"/>
                            <w:szCs w:val="16"/>
                          </w:rPr>
                          <w:t>DEPARTMENT OF HEALTH CARE MANAGEMENR</w:t>
                        </w:r>
                      </w:p>
                    </w:txbxContent>
                  </v:textbox>
                </v:rect>
                <v:rect id="Rectangle 42" o:spid="_x0000_s1033" style="position:absolute;left:24003;top:34727;width:1375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B545F7" w:rsidRPr="00EF6C17" w:rsidRDefault="00B545F7" w:rsidP="006C5C15">
                        <w:pPr>
                          <w:jc w:val="center"/>
                          <w:rPr>
                            <w:b/>
                            <w:sz w:val="16"/>
                            <w:szCs w:val="16"/>
                          </w:rPr>
                        </w:pPr>
                        <w:r w:rsidRPr="00EF6C17">
                          <w:rPr>
                            <w:b/>
                            <w:sz w:val="16"/>
                            <w:szCs w:val="16"/>
                          </w:rPr>
                          <w:t>DEPARTMENT OF HEALTH</w:t>
                        </w:r>
                      </w:p>
                    </w:txbxContent>
                  </v:textbox>
                </v:rect>
                <v:line id="Line 43" o:spid="_x0000_s1034" style="position:absolute;visibility:visible;mso-wrap-style:square" from="30861,13144" to="30867,23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IpLsIAAADaAAAADwAAAGRycy9kb3ducmV2LnhtbESPQWvCQBSE7wX/w/KE3upGQSnRVUSw&#10;5CJFK56f2WcSzb6N2W027a93hUKPw8x8wyxWvalFR62rLCsYjxIQxLnVFRcKjl/bt3cQziNrrC2T&#10;gh9ysFoOXhaYaht4T93BFyJC2KWooPS+SaV0eUkG3cg2xNG72Nagj7ItpG4xRLip5SRJZtJgxXGh&#10;xIY2JeW3w7dRkITfD3mVWdV9Zrt7aM7hNLkHpV6H/XoOwlPv/8N/7UwrmMLzSrwB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LIpLsIAAADaAAAADwAAAAAAAAAAAAAA&#10;AAChAgAAZHJzL2Rvd25yZXYueG1sUEsFBgAAAAAEAAQA+QAAAJADAAAAAA==&#10;">
                  <v:stroke startarrow="block" endarrow="block"/>
                </v:line>
                <v:line id="Line 44" o:spid="_x0000_s1035" style="position:absolute;visibility:visible;mso-wrap-style:square" from="30867,27622" to="30880,34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C3WcMAAADaAAAADwAAAGRycy9kb3ducmV2LnhtbESPQWvCQBSE70L/w/IKvemmHkTSrEEK&#10;LblI0Yrn1+xrkpp9m2TXbOyv7woFj8PMfMNk+WRaMdLgGssKnhcJCOLS6oYrBcfPt/kahPPIGlvL&#10;pOBKDvLNwyzDVNvAexoPvhIRwi5FBbX3XSqlK2sy6Ba2I47etx0M+iiHSuoBQ4SbVi6TZCUNNhwX&#10;auzotabyfLgYBUn4fZc/smjGj2LXh+4rnJZ9UOrpcdq+gPA0+Xv4v11oBSu4XYk3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gt1nDAAAA2gAAAA8AAAAAAAAAAAAA&#10;AAAAoQIAAGRycy9kb3ducmV2LnhtbFBLBQYAAAAABAAEAPkAAACRAwAAAAA=&#10;">
                  <v:stroke startarrow="block" endarrow="block"/>
                </v:line>
                <v:rect id="Rectangle 45" o:spid="_x0000_s1036" style="position:absolute;top:12155;width:800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B545F7" w:rsidRPr="00EF6C17" w:rsidRDefault="00B545F7" w:rsidP="006C5C15">
                        <w:pPr>
                          <w:rPr>
                            <w:b/>
                            <w:sz w:val="16"/>
                            <w:szCs w:val="16"/>
                          </w:rPr>
                        </w:pPr>
                        <w:r w:rsidRPr="00EF6C17">
                          <w:rPr>
                            <w:b/>
                            <w:sz w:val="16"/>
                            <w:szCs w:val="16"/>
                          </w:rPr>
                          <w:t>NATIONAL ADVISORY COUNCIL</w:t>
                        </w:r>
                      </w:p>
                    </w:txbxContent>
                  </v:textbox>
                </v:rect>
                <v:rect id="Rectangle 46" o:spid="_x0000_s1037" style="position:absolute;left:11430;top:16573;width:1257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B545F7" w:rsidRDefault="00B545F7" w:rsidP="006C5C15">
                        <w:pPr>
                          <w:rPr>
                            <w:sz w:val="16"/>
                            <w:szCs w:val="16"/>
                          </w:rPr>
                        </w:pPr>
                        <w:r>
                          <w:rPr>
                            <w:sz w:val="16"/>
                            <w:szCs w:val="16"/>
                          </w:rPr>
                          <w:t>SECRETARIAT FOR LICENSURE OF HP-</w:t>
                        </w:r>
                      </w:p>
                      <w:p w:rsidR="00B545F7" w:rsidRPr="00C457EF" w:rsidRDefault="00B545F7" w:rsidP="006C5C15">
                        <w:pPr>
                          <w:jc w:val="center"/>
                          <w:rPr>
                            <w:sz w:val="16"/>
                            <w:szCs w:val="16"/>
                          </w:rPr>
                        </w:pPr>
                        <w:r>
                          <w:rPr>
                            <w:sz w:val="16"/>
                            <w:szCs w:val="16"/>
                          </w:rPr>
                          <w:t>MOH</w:t>
                        </w:r>
                      </w:p>
                    </w:txbxContent>
                  </v:textbox>
                </v:rect>
                <v:rect id="Rectangle 47" o:spid="_x0000_s1038" style="position:absolute;left:37719;top:16573;width:1257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B545F7" w:rsidRPr="00EF6C17" w:rsidRDefault="00B545F7" w:rsidP="006C5C15">
                        <w:pPr>
                          <w:rPr>
                            <w:b/>
                            <w:sz w:val="16"/>
                            <w:szCs w:val="16"/>
                          </w:rPr>
                        </w:pPr>
                        <w:r w:rsidRPr="00EF6C17">
                          <w:rPr>
                            <w:b/>
                            <w:sz w:val="16"/>
                            <w:szCs w:val="16"/>
                          </w:rPr>
                          <w:t xml:space="preserve">EXAMINING PANEL </w:t>
                        </w:r>
                      </w:p>
                      <w:p w:rsidR="00B545F7" w:rsidRPr="00EF6C17" w:rsidRDefault="00B545F7" w:rsidP="006C5C15">
                        <w:pPr>
                          <w:rPr>
                            <w:b/>
                            <w:sz w:val="16"/>
                            <w:szCs w:val="16"/>
                          </w:rPr>
                        </w:pPr>
                        <w:r>
                          <w:rPr>
                            <w:b/>
                            <w:sz w:val="16"/>
                            <w:szCs w:val="16"/>
                          </w:rPr>
                          <w:t xml:space="preserve">            </w:t>
                        </w:r>
                        <w:r w:rsidRPr="00EF6C17">
                          <w:rPr>
                            <w:b/>
                            <w:sz w:val="16"/>
                            <w:szCs w:val="16"/>
                          </w:rPr>
                          <w:t>MOH</w:t>
                        </w:r>
                      </w:p>
                    </w:txbxContent>
                  </v:textbox>
                </v:rect>
                <v:rect id="Rectangle 48" o:spid="_x0000_s1039" style="position:absolute;left:10287;top:25717;width:1257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B545F7" w:rsidRPr="00C457EF" w:rsidRDefault="00B545F7" w:rsidP="006C5C15">
                        <w:pPr>
                          <w:jc w:val="center"/>
                          <w:rPr>
                            <w:sz w:val="16"/>
                            <w:szCs w:val="16"/>
                          </w:rPr>
                        </w:pPr>
                        <w:r>
                          <w:rPr>
                            <w:sz w:val="16"/>
                            <w:szCs w:val="16"/>
                          </w:rPr>
                          <w:t>PRACTITIONERS AT PRIVATE HOSPITALS, HEALTH CARE FACILITIES</w:t>
                        </w:r>
                      </w:p>
                    </w:txbxContent>
                  </v:textbox>
                </v:rect>
                <v:rect id="Rectangle 49" o:spid="_x0000_s1040" style="position:absolute;left:40005;top:25717;width:1257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B545F7" w:rsidRDefault="00B545F7" w:rsidP="006C5C15">
                        <w:pPr>
                          <w:jc w:val="center"/>
                          <w:rPr>
                            <w:sz w:val="16"/>
                            <w:szCs w:val="16"/>
                          </w:rPr>
                        </w:pPr>
                        <w:r>
                          <w:rPr>
                            <w:sz w:val="16"/>
                            <w:szCs w:val="16"/>
                          </w:rPr>
                          <w:t>GOVERNMENTAL/</w:t>
                        </w:r>
                      </w:p>
                      <w:p w:rsidR="00B545F7" w:rsidRPr="00C457EF" w:rsidRDefault="00B545F7" w:rsidP="006C5C15">
                        <w:pPr>
                          <w:jc w:val="center"/>
                          <w:rPr>
                            <w:sz w:val="16"/>
                            <w:szCs w:val="16"/>
                          </w:rPr>
                        </w:pPr>
                        <w:r>
                          <w:rPr>
                            <w:sz w:val="16"/>
                            <w:szCs w:val="16"/>
                          </w:rPr>
                          <w:t>PRIVATE HOSPITALS, HEALTH CARE FACILITIES</w:t>
                        </w:r>
                      </w:p>
                    </w:txbxContent>
                  </v:textbox>
                </v:rect>
                <v:line id="Line 50" o:spid="_x0000_s1041" style="position:absolute;visibility:visible;mso-wrap-style:square" from="8001,15430" to="30861,15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6adsEAAADbAAAADwAAAGRycy9kb3ducmV2LnhtbERPTWvCQBC9F/wPywi91Y05FImuIoKS&#10;i0ht8TxmxySanY3ZNZv213eFQm/zeJ+zWA2mET11rrasYDpJQBAXVtdcKvj63L7NQDiPrLGxTAq+&#10;ycFqOXpZYKZt4A/qj74UMYRdhgoq79tMSldUZNBNbEscuYvtDPoIu1LqDkMMN41Mk+RdGqw5NlTY&#10;0qai4nZ8GAVJ+NnJq8zr/pDv76E9h1N6D0q9jof1HISnwf+L/9y5jvNTeP4SD5D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bpp2wQAAANsAAAAPAAAAAAAAAAAAAAAA&#10;AKECAABkcnMvZG93bnJldi54bWxQSwUGAAAAAAQABAD5AAAAjwMAAAAA&#10;">
                  <v:stroke startarrow="block" endarrow="block"/>
                </v:line>
                <v:line id="Line 51" o:spid="_x0000_s1042" style="position:absolute;visibility:visible;mso-wrap-style:square" from="30861,17716" to="37719,17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I/7cEAAADbAAAADwAAAGRycy9kb3ducmV2LnhtbERPTWvCQBC9F/wPywi91Y0KUqKriGDJ&#10;RYpWPI/ZMYlmZ2N2m037612h0Ns83ucsVr2pRUetqywrGI8SEMS51RUXCo5f27d3EM4ja6wtk4If&#10;crBaDl4WmGobeE/dwRcihrBLUUHpfZNK6fKSDLqRbYgjd7GtQR9hW0jdYojhppaTJJlJgxXHhhIb&#10;2pSU3w7fRkESfj/kVWZV95nt7qE5h9PkHpR6HfbrOQhPvf8X/7kzHedP4flLPE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Ij/twQAAANsAAAAPAAAAAAAAAAAAAAAA&#10;AKECAABkcnMvZG93bnJldi54bWxQSwUGAAAAAAQABAD5AAAAjwMAAAAA&#10;">
                  <v:stroke startarrow="block" endarrow="block"/>
                </v:line>
                <v:line id="Line 52" o:spid="_x0000_s1043" style="position:absolute;visibility:visible;mso-wrap-style:square" from="24003,18859" to="30861,1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unmcEAAADbAAAADwAAAGRycy9kb3ducmV2LnhtbERPTWvCQBC9F/wPywi91Y0iUqKriGDJ&#10;RYpWPI/ZMYlmZ2N2m037612h0Ns83ucsVr2pRUetqywrGI8SEMS51RUXCo5f27d3EM4ja6wtk4If&#10;crBaDl4WmGobeE/dwRcihrBLUUHpfZNK6fKSDLqRbYgjd7GtQR9hW0jdYojhppaTJJlJgxXHhhIb&#10;2pSU3w7fRkESfj/kVWZV95nt7qE5h9PkHpR6HfbrOQhPvf8X/7kzHedP4flLPE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y6eZwQAAANsAAAAPAAAAAAAAAAAAAAAA&#10;AKECAABkcnMvZG93bnJldi54bWxQSwUGAAAAAAQABAD5AAAAjwMAAAAA&#10;">
                  <v:stroke startarrow="block" endarrow="block"/>
                </v:line>
                <v:line id="Line 53" o:spid="_x0000_s1044" style="position:absolute;visibility:visible;mso-wrap-style:square" from="17145,21145" to="17145,2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cCAsEAAADbAAAADwAAAGRycy9kb3ducmV2LnhtbERPTWvCQBC9F/wPywi91Y2CUqKriGDJ&#10;RYpWPI/ZMYlmZ2N2m037612h0Ns83ucsVr2pRUetqywrGI8SEMS51RUXCo5f27d3EM4ja6wtk4If&#10;crBaDl4WmGobeE/dwRcihrBLUUHpfZNK6fKSDLqRbYgjd7GtQR9hW0jdYojhppaTJJlJgxXHhhIb&#10;2pSU3w7fRkESfj/kVWZV95nt7qE5h9PkHpR6HfbrOQhPvf8X/7kzHedP4flLPE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hwICwQAAANsAAAAPAAAAAAAAAAAAAAAA&#10;AKECAABkcnMvZG93bnJldi54bWxQSwUGAAAAAAQABAD5AAAAjwMAAAAA&#10;">
                  <v:stroke startarrow="block" endarrow="block"/>
                </v:line>
                <v:line id="Line 54" o:spid="_x0000_s1045" style="position:absolute;visibility:visible;mso-wrap-style:square" from="45720,20002" to="45720,2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55" o:spid="_x0000_s1046" style="position:absolute;visibility:visible;mso-wrap-style:square" from="8001,15430" to="11430,18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k57sEAAADbAAAADwAAAGRycy9kb3ducmV2LnhtbERPTWvCQBC9F/wPywi91Y0etERXEcGS&#10;ixSteB6zYxLNzsbsNpv217tCobd5vM9ZrHpTi45aV1lWMB4lIIhzqysuFBy/tm/vIJxH1lhbJgU/&#10;5GC1HLwsMNU28J66gy9EDGGXooLS+yaV0uUlGXQj2xBH7mJbgz7CtpC6xRDDTS0nSTKVBiuODSU2&#10;tCkpvx2+jYIk/H7Iq8yq7jPb3UNzDqfJPSj1OuzXcxCeev8v/nNnOs6fwfOXeI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GTnuwQAAANsAAAAPAAAAAAAAAAAAAAAA&#10;AKECAABkcnMvZG93bnJldi54bWxQSwUGAAAAAAQABAD5AAAAjwMAAAAA&#10;">
                  <v:stroke startarrow="block" endarrow="block"/>
                </v:line>
                <v:line id="Line 56" o:spid="_x0000_s1047" style="position:absolute;flip:y;visibility:visible;mso-wrap-style:square" from="22860,25717" to="25146,26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X1qMQAAADbAAAADwAAAGRycy9kb3ducmV2LnhtbESPQWvCQBCF70L/wzKFXqRuWqGE1FXa&#10;akDw0lh7H7JjEszOLtmtpv/eOQjeZnhv3vtmsRpdr840xM6zgZdZBoq49rbjxsDhp3zOQcWEbLH3&#10;TAb+KcJq+TBZYGH9hSs671OjJIRjgQbalEKhdaxbchhnPhCLdvSDwyTr0Gg74EXCXa9fs+xNO+xY&#10;GloM9NVSfdr/OQPT+WYdQp6XZbX23Xf43VSfu4MxT4/jxzuoRGO6m2/XWyv4Aiu/yAB6e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1fWoxAAAANsAAAAPAAAAAAAAAAAA&#10;AAAAAKECAABkcnMvZG93bnJldi54bWxQSwUGAAAAAAQABAD5AAAAkgMAAAAA&#10;">
                  <v:stroke startarrow="block" endarrow="block"/>
                </v:line>
                <v:line id="Line 57" o:spid="_x0000_s1048" style="position:absolute;visibility:visible;mso-wrap-style:square" from="30861,20002" to="43434,2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oIB8EAAADbAAAADwAAAGRycy9kb3ducmV2LnhtbERPTWvCQBC9F/wPywi91Y0exEZXEcGS&#10;ixSteB6zYxLNzsbsNpv217tCobd5vM9ZrHpTi45aV1lWMB4lIIhzqysuFBy/tm8zEM4ja6wtk4If&#10;crBaDl4WmGobeE/dwRcihrBLUUHpfZNK6fKSDLqRbYgjd7GtQR9hW0jdYojhppaTJJlKgxXHhhIb&#10;2pSU3w7fRkESfj/kVWZV95nt7qE5h9PkHpR6HfbrOQhPvf8X/7kzHee/w/OXeI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yggHwQAAANsAAAAPAAAAAAAAAAAAAAAA&#10;AKECAABkcnMvZG93bnJldi54bWxQSwUGAAAAAAQABAD5AAAAjwMAAAAA&#10;">
                  <v:stroke startarrow="block" endarrow="block"/>
                </v:line>
                <w10:anchorlock/>
              </v:group>
            </w:pict>
          </mc:Fallback>
        </mc:AlternateContent>
      </w:r>
    </w:p>
    <w:p w:rsidR="006C5C15" w:rsidRPr="00E65146" w:rsidRDefault="006C5C15" w:rsidP="006C5C15">
      <w:pPr>
        <w:spacing w:before="120" w:after="120"/>
        <w:ind w:firstLine="720"/>
        <w:jc w:val="both"/>
        <w:rPr>
          <w:rFonts w:ascii="Arial" w:hAnsi="Arial" w:cs="Arial"/>
          <w:b/>
          <w:i/>
          <w:sz w:val="26"/>
          <w:szCs w:val="26"/>
        </w:rPr>
      </w:pPr>
    </w:p>
    <w:p w:rsidR="006C5C15" w:rsidRPr="00E65146" w:rsidRDefault="0085067F" w:rsidP="006C5C15">
      <w:pPr>
        <w:spacing w:before="120" w:after="120"/>
        <w:ind w:firstLine="720"/>
        <w:jc w:val="both"/>
        <w:rPr>
          <w:rFonts w:ascii="Arial" w:hAnsi="Arial" w:cs="Arial"/>
          <w:b/>
          <w:i/>
          <w:sz w:val="26"/>
          <w:szCs w:val="26"/>
        </w:rPr>
      </w:pPr>
      <w:r>
        <w:rPr>
          <w:noProof/>
          <w:lang w:val="en-AU" w:eastAsia="en-AU"/>
        </w:rPr>
        <mc:AlternateContent>
          <mc:Choice Requires="wps">
            <w:drawing>
              <wp:anchor distT="0" distB="0" distL="114300" distR="114300" simplePos="0" relativeHeight="251653632" behindDoc="0" locked="0" layoutInCell="1" allowOverlap="1">
                <wp:simplePos x="0" y="0"/>
                <wp:positionH relativeFrom="column">
                  <wp:posOffset>883285</wp:posOffset>
                </wp:positionH>
                <wp:positionV relativeFrom="paragraph">
                  <wp:posOffset>99695</wp:posOffset>
                </wp:positionV>
                <wp:extent cx="1257300" cy="457200"/>
                <wp:effectExtent l="0" t="0" r="19050" b="1905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rsidR="00B545F7" w:rsidRDefault="00B545F7" w:rsidP="006C5C15">
                            <w:pPr>
                              <w:jc w:val="center"/>
                              <w:rPr>
                                <w:sz w:val="16"/>
                                <w:szCs w:val="16"/>
                              </w:rPr>
                            </w:pPr>
                            <w:r>
                              <w:rPr>
                                <w:sz w:val="16"/>
                                <w:szCs w:val="16"/>
                              </w:rPr>
                              <w:t>SECRETARIAT FOR ISSUING PC</w:t>
                            </w:r>
                          </w:p>
                          <w:p w:rsidR="00B545F7" w:rsidRPr="00C457EF" w:rsidRDefault="00B545F7" w:rsidP="006C5C15">
                            <w:pPr>
                              <w:jc w:val="center"/>
                              <w:rPr>
                                <w:sz w:val="16"/>
                                <w:szCs w:val="16"/>
                              </w:rPr>
                            </w:pPr>
                            <w:r>
                              <w:rPr>
                                <w:sz w:val="16"/>
                                <w:szCs w:val="16"/>
                              </w:rPr>
                              <w:t>DOH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49" style="position:absolute;left:0;text-align:left;margin-left:69.55pt;margin-top:7.85pt;width:99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">
                <v:textbox>
                  <w:txbxContent>
                    <w:p w:rsidR="00B545F7" w:rsidRDefault="00B545F7" w:rsidP="006C5C15">
                      <w:pPr>
                        <w:jc w:val="center"/>
                        <w:rPr>
                          <w:sz w:val="16"/>
                          <w:szCs w:val="16"/>
                        </w:rPr>
                      </w:pPr>
                      <w:r>
                        <w:rPr>
                          <w:sz w:val="16"/>
                          <w:szCs w:val="16"/>
                        </w:rPr>
                        <w:t>SECRETARIAT FOR ISSUING PC</w:t>
                      </w:r>
                    </w:p>
                    <w:p w:rsidR="00B545F7" w:rsidRPr="00C457EF" w:rsidRDefault="00B545F7" w:rsidP="006C5C15">
                      <w:pPr>
                        <w:jc w:val="center"/>
                        <w:rPr>
                          <w:sz w:val="16"/>
                          <w:szCs w:val="16"/>
                        </w:rPr>
                      </w:pPr>
                      <w:r>
                        <w:rPr>
                          <w:sz w:val="16"/>
                          <w:szCs w:val="16"/>
                        </w:rPr>
                        <w:t>DOH</w:t>
                      </w:r>
                    </w:p>
                  </w:txbxContent>
                </v:textbox>
              </v:rect>
            </w:pict>
          </mc:Fallback>
        </mc:AlternateContent>
      </w:r>
      <w:r>
        <w:rPr>
          <w:noProof/>
          <w:lang w:val="en-AU" w:eastAsia="en-AU"/>
        </w:rPr>
        <mc:AlternateContent>
          <mc:Choice Requires="wps">
            <w:drawing>
              <wp:anchor distT="0" distB="0" distL="114300" distR="114300" simplePos="0" relativeHeight="251650560" behindDoc="0" locked="0" layoutInCell="1" allowOverlap="1">
                <wp:simplePos x="0" y="0"/>
                <wp:positionH relativeFrom="column">
                  <wp:posOffset>2455545</wp:posOffset>
                </wp:positionH>
                <wp:positionV relativeFrom="paragraph">
                  <wp:posOffset>125730</wp:posOffset>
                </wp:positionV>
                <wp:extent cx="1257300" cy="342900"/>
                <wp:effectExtent l="0" t="0" r="19050" b="1905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B545F7" w:rsidRPr="00EF6C17" w:rsidRDefault="00B545F7" w:rsidP="006C5C15">
                            <w:pPr>
                              <w:rPr>
                                <w:b/>
                                <w:sz w:val="16"/>
                                <w:szCs w:val="16"/>
                              </w:rPr>
                            </w:pPr>
                            <w:r>
                              <w:rPr>
                                <w:b/>
                                <w:sz w:val="16"/>
                                <w:szCs w:val="16"/>
                              </w:rPr>
                              <w:t xml:space="preserve">HEALTH PROFESSIONAL </w:t>
                            </w:r>
                            <w:r w:rsidRPr="00EF6C17">
                              <w:rPr>
                                <w:b/>
                                <w:sz w:val="16"/>
                                <w:szCs w:val="16"/>
                              </w:rPr>
                              <w:t>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50" style="position:absolute;left:0;text-align:left;margin-left:193.35pt;margin-top:9.9pt;width:99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">
                <v:textbox>
                  <w:txbxContent>
                    <w:p w:rsidR="00B545F7" w:rsidRPr="00EF6C17" w:rsidRDefault="00B545F7" w:rsidP="006C5C15">
                      <w:pPr>
                        <w:rPr>
                          <w:b/>
                          <w:sz w:val="16"/>
                          <w:szCs w:val="16"/>
                        </w:rPr>
                      </w:pPr>
                      <w:r>
                        <w:rPr>
                          <w:b/>
                          <w:sz w:val="16"/>
                          <w:szCs w:val="16"/>
                        </w:rPr>
                        <w:t xml:space="preserve">HEALTH PROFESSIONAL </w:t>
                      </w:r>
                      <w:r w:rsidRPr="00EF6C17">
                        <w:rPr>
                          <w:b/>
                          <w:sz w:val="16"/>
                          <w:szCs w:val="16"/>
                        </w:rPr>
                        <w:t>MANAGEMENT</w:t>
                      </w:r>
                    </w:p>
                  </w:txbxContent>
                </v:textbox>
              </v:rect>
            </w:pict>
          </mc:Fallback>
        </mc:AlternateContent>
      </w:r>
    </w:p>
    <w:p w:rsidR="006C5C15" w:rsidRPr="00E65146" w:rsidRDefault="0085067F" w:rsidP="006C5C15">
      <w:pPr>
        <w:spacing w:before="120" w:after="120"/>
        <w:ind w:firstLine="720"/>
        <w:jc w:val="both"/>
        <w:rPr>
          <w:rFonts w:ascii="Arial" w:hAnsi="Arial" w:cs="Arial"/>
          <w:b/>
          <w:i/>
          <w:sz w:val="26"/>
          <w:szCs w:val="26"/>
        </w:rPr>
      </w:pPr>
      <w:r>
        <w:rPr>
          <w:noProof/>
          <w:lang w:val="en-AU" w:eastAsia="en-AU"/>
        </w:rPr>
        <mc:AlternateContent>
          <mc:Choice Requires="wps">
            <w:drawing>
              <wp:anchor distT="0" distB="0" distL="114300" distR="114300" simplePos="0" relativeHeight="251663872" behindDoc="0" locked="0" layoutInCell="1" allowOverlap="1">
                <wp:simplePos x="0" y="0"/>
                <wp:positionH relativeFrom="column">
                  <wp:posOffset>3133090</wp:posOffset>
                </wp:positionH>
                <wp:positionV relativeFrom="paragraph">
                  <wp:posOffset>250825</wp:posOffset>
                </wp:positionV>
                <wp:extent cx="581660" cy="572135"/>
                <wp:effectExtent l="38100" t="38100" r="66040" b="5651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660" cy="5721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pt,19.75pt" to="292.5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">
                <v:stroke startarrow="block" endarrow="block"/>
              </v:line>
            </w:pict>
          </mc:Fallback>
        </mc:AlternateContent>
      </w:r>
      <w:r>
        <w:rPr>
          <w:noProof/>
          <w:lang w:val="en-AU" w:eastAsia="en-AU"/>
        </w:rPr>
        <mc:AlternateContent>
          <mc:Choice Requires="wps">
            <w:drawing>
              <wp:anchor distT="0" distB="0" distL="114300" distR="114300" simplePos="0" relativeHeight="251662848" behindDoc="0" locked="0" layoutInCell="1" allowOverlap="1">
                <wp:simplePos x="0" y="0"/>
                <wp:positionH relativeFrom="column">
                  <wp:posOffset>2003425</wp:posOffset>
                </wp:positionH>
                <wp:positionV relativeFrom="paragraph">
                  <wp:posOffset>250825</wp:posOffset>
                </wp:positionV>
                <wp:extent cx="1089025" cy="572135"/>
                <wp:effectExtent l="38100" t="38100" r="53975" b="5651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9025" cy="5721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75pt,19.75pt" to="243.5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">
                <v:stroke startarrow="block" endarrow="block"/>
              </v:line>
            </w:pict>
          </mc:Fallback>
        </mc:AlternateContent>
      </w:r>
      <w:r>
        <w:rPr>
          <w:noProof/>
          <w:lang w:val="en-AU" w:eastAsia="en-AU"/>
        </w:rPr>
        <mc:AlternateContent>
          <mc:Choice Requires="wps">
            <w:drawing>
              <wp:anchor distT="4294967295" distB="4294967295" distL="114300" distR="114300" simplePos="0" relativeHeight="251659776" behindDoc="0" locked="0" layoutInCell="1" allowOverlap="1">
                <wp:simplePos x="0" y="0"/>
                <wp:positionH relativeFrom="column">
                  <wp:posOffset>2147570</wp:posOffset>
                </wp:positionH>
                <wp:positionV relativeFrom="paragraph">
                  <wp:posOffset>52704</wp:posOffset>
                </wp:positionV>
                <wp:extent cx="314325" cy="0"/>
                <wp:effectExtent l="38100" t="76200" r="28575" b="952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1pt,4.15pt" to="193.8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">
                <v:stroke startarrow="block" endarrow="block"/>
              </v:line>
            </w:pict>
          </mc:Fallback>
        </mc:AlternateContent>
      </w:r>
    </w:p>
    <w:p w:rsidR="006C5C15" w:rsidRPr="00E65146" w:rsidRDefault="0085067F" w:rsidP="006C5C15">
      <w:pPr>
        <w:spacing w:before="120" w:after="120"/>
        <w:ind w:firstLine="720"/>
        <w:jc w:val="both"/>
        <w:rPr>
          <w:rFonts w:ascii="Arial" w:hAnsi="Arial" w:cs="Arial"/>
          <w:b/>
          <w:i/>
          <w:sz w:val="26"/>
          <w:szCs w:val="26"/>
        </w:rPr>
      </w:pPr>
      <w:r>
        <w:rPr>
          <w:noProof/>
          <w:lang w:val="en-AU" w:eastAsia="en-AU"/>
        </w:rPr>
        <mc:AlternateContent>
          <mc:Choice Requires="wps">
            <w:drawing>
              <wp:anchor distT="0" distB="0" distL="114300" distR="114300" simplePos="0" relativeHeight="251656704" behindDoc="0" locked="0" layoutInCell="1" allowOverlap="1">
                <wp:simplePos x="0" y="0"/>
                <wp:positionH relativeFrom="column">
                  <wp:posOffset>3738245</wp:posOffset>
                </wp:positionH>
                <wp:positionV relativeFrom="paragraph">
                  <wp:posOffset>227330</wp:posOffset>
                </wp:positionV>
                <wp:extent cx="1600200" cy="571500"/>
                <wp:effectExtent l="0" t="0" r="19050" b="1905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B545F7" w:rsidRPr="00AC13E5" w:rsidRDefault="00B545F7" w:rsidP="006C5C15">
                            <w:pPr>
                              <w:rPr>
                                <w:sz w:val="16"/>
                                <w:szCs w:val="16"/>
                              </w:rPr>
                            </w:pPr>
                            <w:r>
                              <w:rPr>
                                <w:sz w:val="16"/>
                                <w:szCs w:val="16"/>
                              </w:rPr>
                              <w:t>GOVERNMENTAL/PRIVATE HEALTHCARE FACILITITES IN PROVINCE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51" style="position:absolute;left:0;text-align:left;margin-left:294.35pt;margin-top:17.9pt;width:126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">
                <v:textbox>
                  <w:txbxContent>
                    <w:p w:rsidR="00B545F7" w:rsidRPr="00AC13E5" w:rsidRDefault="00B545F7" w:rsidP="006C5C15">
                      <w:pPr>
                        <w:rPr>
                          <w:sz w:val="16"/>
                          <w:szCs w:val="16"/>
                        </w:rPr>
                      </w:pPr>
                      <w:r>
                        <w:rPr>
                          <w:sz w:val="16"/>
                          <w:szCs w:val="16"/>
                        </w:rPr>
                        <w:t>GOVERNMENTAL/PRIVATE HEALTHCARE FACILITITES IN PROVINCE</w:t>
                      </w:r>
                    </w:p>
                  </w:txbxContent>
                </v:textbox>
              </v:rect>
            </w:pict>
          </mc:Fallback>
        </mc:AlternateContent>
      </w:r>
      <w:r>
        <w:rPr>
          <w:noProof/>
          <w:lang w:val="en-AU" w:eastAsia="en-AU"/>
        </w:rPr>
        <mc:AlternateContent>
          <mc:Choice Requires="wps">
            <w:drawing>
              <wp:anchor distT="0" distB="0" distL="114300" distR="114300" simplePos="0" relativeHeight="251661824" behindDoc="0" locked="0" layoutInCell="1" allowOverlap="1">
                <wp:simplePos x="0" y="0"/>
                <wp:positionH relativeFrom="column">
                  <wp:posOffset>1503045</wp:posOffset>
                </wp:positionH>
                <wp:positionV relativeFrom="paragraph">
                  <wp:posOffset>63500</wp:posOffset>
                </wp:positionV>
                <wp:extent cx="5080" cy="332105"/>
                <wp:effectExtent l="76200" t="38100" r="71120" b="4889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3321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35pt,5pt" to="118.7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">
                <v:stroke startarrow="block" endarrow="block"/>
              </v:line>
            </w:pict>
          </mc:Fallback>
        </mc:AlternateContent>
      </w:r>
    </w:p>
    <w:p w:rsidR="00854BC7" w:rsidRPr="00E65146" w:rsidRDefault="0085067F" w:rsidP="006C5C15">
      <w:pPr>
        <w:spacing w:before="120" w:after="120"/>
        <w:ind w:firstLine="720"/>
        <w:jc w:val="both"/>
        <w:rPr>
          <w:rFonts w:ascii="Arial" w:hAnsi="Arial" w:cs="Arial"/>
          <w:b/>
          <w:i/>
          <w:sz w:val="26"/>
          <w:szCs w:val="26"/>
        </w:rPr>
      </w:pPr>
      <w:r>
        <w:rPr>
          <w:noProof/>
          <w:lang w:val="en-AU" w:eastAsia="en-AU"/>
        </w:rPr>
        <mc:AlternateContent>
          <mc:Choice Requires="wps">
            <w:drawing>
              <wp:anchor distT="0" distB="0" distL="114300" distR="114300" simplePos="0" relativeHeight="251655680" behindDoc="0" locked="0" layoutInCell="1" allowOverlap="1">
                <wp:simplePos x="0" y="0"/>
                <wp:positionH relativeFrom="column">
                  <wp:posOffset>1011555</wp:posOffset>
                </wp:positionH>
                <wp:positionV relativeFrom="paragraph">
                  <wp:posOffset>127635</wp:posOffset>
                </wp:positionV>
                <wp:extent cx="998220" cy="342900"/>
                <wp:effectExtent l="0" t="0" r="11430" b="1905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220" cy="342900"/>
                        </a:xfrm>
                        <a:prstGeom prst="rect">
                          <a:avLst/>
                        </a:prstGeom>
                        <a:solidFill>
                          <a:srgbClr val="FFFFFF"/>
                        </a:solidFill>
                        <a:ln w="9525">
                          <a:solidFill>
                            <a:srgbClr val="000000"/>
                          </a:solidFill>
                          <a:miter lim="800000"/>
                          <a:headEnd/>
                          <a:tailEnd/>
                        </a:ln>
                      </wps:spPr>
                      <wps:txbx>
                        <w:txbxContent>
                          <w:p w:rsidR="00B545F7" w:rsidRPr="00AC13E5" w:rsidRDefault="00B545F7" w:rsidP="006C5C15">
                            <w:pPr>
                              <w:rPr>
                                <w:sz w:val="16"/>
                                <w:szCs w:val="16"/>
                              </w:rPr>
                            </w:pPr>
                            <w:r>
                              <w:rPr>
                                <w:sz w:val="16"/>
                                <w:szCs w:val="16"/>
                              </w:rPr>
                              <w:t>PRACTITIONERS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52" style="position:absolute;left:0;text-align:left;margin-left:79.65pt;margin-top:10.05pt;width:78.6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">
                <v:textbox>
                  <w:txbxContent>
                    <w:p w:rsidR="00B545F7" w:rsidRPr="00AC13E5" w:rsidRDefault="00B545F7" w:rsidP="006C5C15">
                      <w:pPr>
                        <w:rPr>
                          <w:sz w:val="16"/>
                          <w:szCs w:val="16"/>
                        </w:rPr>
                      </w:pPr>
                      <w:r>
                        <w:rPr>
                          <w:sz w:val="16"/>
                          <w:szCs w:val="16"/>
                        </w:rPr>
                        <w:t>PRACTITIONERS</w:t>
                      </w:r>
                    </w:p>
                  </w:txbxContent>
                </v:textbox>
              </v:rect>
            </w:pict>
          </mc:Fallback>
        </mc:AlternateContent>
      </w:r>
    </w:p>
    <w:p w:rsidR="00854BC7" w:rsidRPr="00E65146" w:rsidRDefault="00854BC7" w:rsidP="006C5C15">
      <w:pPr>
        <w:spacing w:before="120" w:after="120"/>
        <w:ind w:firstLine="720"/>
        <w:jc w:val="both"/>
        <w:rPr>
          <w:rFonts w:ascii="Arial" w:hAnsi="Arial" w:cs="Arial"/>
          <w:b/>
          <w:i/>
          <w:sz w:val="26"/>
          <w:szCs w:val="26"/>
        </w:rPr>
      </w:pPr>
    </w:p>
    <w:p w:rsidR="006C5C15" w:rsidRPr="00E65146" w:rsidRDefault="006C5C15" w:rsidP="006C5C15">
      <w:pPr>
        <w:spacing w:before="120" w:after="120"/>
        <w:ind w:firstLine="720"/>
        <w:jc w:val="both"/>
        <w:rPr>
          <w:rFonts w:ascii="Arial" w:hAnsi="Arial" w:cs="Arial"/>
          <w:b/>
          <w:i/>
          <w:sz w:val="26"/>
          <w:szCs w:val="26"/>
        </w:rPr>
      </w:pPr>
    </w:p>
    <w:p w:rsidR="006C5C15" w:rsidRPr="00D87FFB" w:rsidRDefault="006C5C15" w:rsidP="006C5C15">
      <w:pPr>
        <w:ind w:right="-421"/>
        <w:rPr>
          <w:rFonts w:ascii="Arial" w:hAnsi="Arial" w:cs="Arial"/>
          <w:b/>
          <w:sz w:val="18"/>
          <w:szCs w:val="18"/>
        </w:rPr>
      </w:pPr>
      <w:r w:rsidRPr="00D87FFB">
        <w:rPr>
          <w:rFonts w:ascii="Arial" w:hAnsi="Arial" w:cs="Arial"/>
          <w:b/>
          <w:sz w:val="18"/>
          <w:szCs w:val="18"/>
        </w:rPr>
        <w:t xml:space="preserve">Source: </w:t>
      </w:r>
      <w:r w:rsidRPr="00D87FFB">
        <w:rPr>
          <w:rFonts w:ascii="Arial" w:hAnsi="Arial" w:cs="Arial"/>
          <w:sz w:val="18"/>
          <w:szCs w:val="18"/>
        </w:rPr>
        <w:t>Report on Act</w:t>
      </w:r>
      <w:r w:rsidR="00256818" w:rsidRPr="00D87FFB">
        <w:rPr>
          <w:rFonts w:ascii="Arial" w:hAnsi="Arial" w:cs="Arial"/>
          <w:sz w:val="18"/>
          <w:szCs w:val="18"/>
        </w:rPr>
        <w:t>i</w:t>
      </w:r>
      <w:r w:rsidRPr="00D87FFB">
        <w:rPr>
          <w:rFonts w:ascii="Arial" w:hAnsi="Arial" w:cs="Arial"/>
          <w:sz w:val="18"/>
          <w:szCs w:val="18"/>
        </w:rPr>
        <w:t>vities of the Licensure of Health Professionals Office (Component 1B); July 2013.</w:t>
      </w:r>
    </w:p>
    <w:p w:rsidR="006C5C15" w:rsidRPr="00E65146" w:rsidRDefault="006C5C15" w:rsidP="006C5C15">
      <w:pPr>
        <w:rPr>
          <w:rFonts w:ascii="Arial" w:hAnsi="Arial" w:cs="Arial"/>
          <w:b/>
        </w:rPr>
      </w:pPr>
    </w:p>
    <w:p w:rsidR="00DD35FB" w:rsidRPr="00E65146" w:rsidRDefault="00DD35FB" w:rsidP="006C5C15">
      <w:pPr>
        <w:tabs>
          <w:tab w:val="left" w:pos="1530"/>
        </w:tabs>
        <w:rPr>
          <w:rFonts w:ascii="Arial" w:hAnsi="Arial" w:cs="Arial"/>
          <w:sz w:val="22"/>
        </w:rPr>
      </w:pPr>
      <w:r w:rsidRPr="00E65146">
        <w:rPr>
          <w:rFonts w:ascii="Arial" w:hAnsi="Arial" w:cs="Arial"/>
          <w:sz w:val="22"/>
        </w:rPr>
        <w:br w:type="page"/>
      </w:r>
    </w:p>
    <w:p w:rsidR="007036D6" w:rsidRDefault="00DD35FB" w:rsidP="00DF3343">
      <w:pPr>
        <w:tabs>
          <w:tab w:val="left" w:pos="1530"/>
        </w:tabs>
        <w:spacing w:before="240" w:after="120"/>
        <w:jc w:val="center"/>
        <w:rPr>
          <w:rFonts w:ascii="Arial" w:hAnsi="Arial" w:cs="Arial"/>
          <w:b/>
        </w:rPr>
      </w:pPr>
      <w:r w:rsidRPr="00A330DD">
        <w:rPr>
          <w:rFonts w:ascii="Arial" w:hAnsi="Arial" w:cs="Arial"/>
          <w:b/>
        </w:rPr>
        <w:t xml:space="preserve">Table 5.1: </w:t>
      </w:r>
      <w:r w:rsidR="007036D6" w:rsidRPr="00A330DD">
        <w:rPr>
          <w:rFonts w:ascii="Arial" w:hAnsi="Arial" w:cs="Arial"/>
          <w:b/>
        </w:rPr>
        <w:t>Number of health practitioners registered by profession</w:t>
      </w:r>
      <w:r w:rsidR="001B44C7" w:rsidRPr="001B44C7">
        <w:rPr>
          <w:rFonts w:ascii="Arial" w:hAnsi="Arial" w:cs="Arial"/>
          <w:color w:val="000000"/>
          <w:vertAlign w:val="superscript"/>
        </w:rPr>
        <w:t xml:space="preserve"> </w:t>
      </w:r>
      <w:r w:rsidR="001B44C7" w:rsidRPr="00E65146">
        <w:rPr>
          <w:rFonts w:ascii="Arial" w:hAnsi="Arial" w:cs="Arial"/>
          <w:color w:val="000000"/>
          <w:vertAlign w:val="superscript"/>
        </w:rPr>
        <w:t>a</w:t>
      </w:r>
    </w:p>
    <w:p w:rsidR="007036D6" w:rsidRPr="007036D6" w:rsidRDefault="007036D6" w:rsidP="007036D6">
      <w:pPr>
        <w:spacing w:before="120" w:after="120"/>
        <w:rPr>
          <w:rFonts w:ascii="Arial" w:hAnsi="Arial" w:cs="Arial"/>
          <w:color w:val="000000"/>
          <w:lang w:val="en-AU"/>
        </w:rPr>
      </w:pPr>
    </w:p>
    <w:tbl>
      <w:tblPr>
        <w:tblW w:w="4805" w:type="dxa"/>
        <w:jc w:val="center"/>
        <w:tblLook w:val="04A0" w:firstRow="1" w:lastRow="0" w:firstColumn="1" w:lastColumn="0" w:noHBand="0" w:noVBand="1"/>
      </w:tblPr>
      <w:tblGrid>
        <w:gridCol w:w="3078"/>
        <w:gridCol w:w="977"/>
        <w:gridCol w:w="750"/>
      </w:tblGrid>
      <w:tr w:rsidR="00A330DD" w:rsidRPr="00A330DD" w:rsidTr="00185E36">
        <w:trPr>
          <w:trHeight w:val="280"/>
          <w:jc w:val="center"/>
        </w:trPr>
        <w:tc>
          <w:tcPr>
            <w:tcW w:w="3078" w:type="dxa"/>
            <w:tcBorders>
              <w:top w:val="single" w:sz="4" w:space="0" w:color="auto"/>
              <w:left w:val="nil"/>
              <w:bottom w:val="single" w:sz="4" w:space="0" w:color="auto"/>
              <w:right w:val="nil"/>
            </w:tcBorders>
            <w:shd w:val="clear" w:color="auto" w:fill="auto"/>
            <w:noWrap/>
            <w:vAlign w:val="bottom"/>
            <w:hideMark/>
          </w:tcPr>
          <w:p w:rsidR="00A330DD" w:rsidRPr="008E2F00" w:rsidRDefault="00A330DD" w:rsidP="00A330DD">
            <w:pPr>
              <w:jc w:val="center"/>
              <w:rPr>
                <w:rFonts w:ascii="Arial" w:hAnsi="Arial" w:cs="Arial"/>
                <w:b/>
                <w:bCs/>
                <w:color w:val="000000"/>
                <w:sz w:val="19"/>
                <w:szCs w:val="19"/>
                <w:lang w:val="en-AU" w:eastAsia="en-US"/>
              </w:rPr>
            </w:pPr>
            <w:r w:rsidRPr="008E2F00">
              <w:rPr>
                <w:rFonts w:ascii="Arial" w:hAnsi="Arial" w:cs="Arial"/>
                <w:b/>
                <w:bCs/>
                <w:color w:val="000000"/>
                <w:sz w:val="19"/>
                <w:szCs w:val="19"/>
                <w:lang w:val="en-AU" w:eastAsia="en-US"/>
              </w:rPr>
              <w:t>Practitioner Type</w:t>
            </w:r>
          </w:p>
        </w:tc>
        <w:tc>
          <w:tcPr>
            <w:tcW w:w="977" w:type="dxa"/>
            <w:tcBorders>
              <w:top w:val="single" w:sz="4" w:space="0" w:color="auto"/>
              <w:left w:val="nil"/>
              <w:bottom w:val="single" w:sz="4" w:space="0" w:color="auto"/>
              <w:right w:val="nil"/>
            </w:tcBorders>
            <w:shd w:val="clear" w:color="auto" w:fill="auto"/>
            <w:noWrap/>
            <w:vAlign w:val="bottom"/>
            <w:hideMark/>
          </w:tcPr>
          <w:p w:rsidR="00A330DD" w:rsidRPr="008E2F00" w:rsidRDefault="00A330DD" w:rsidP="00A330DD">
            <w:pPr>
              <w:jc w:val="center"/>
              <w:rPr>
                <w:rFonts w:ascii="Arial" w:hAnsi="Arial" w:cs="Arial"/>
                <w:b/>
                <w:bCs/>
                <w:color w:val="000000"/>
                <w:sz w:val="19"/>
                <w:szCs w:val="19"/>
                <w:lang w:val="en-AU" w:eastAsia="en-US"/>
              </w:rPr>
            </w:pPr>
            <w:r w:rsidRPr="008E2F00">
              <w:rPr>
                <w:rFonts w:ascii="Arial" w:hAnsi="Arial" w:cs="Arial"/>
                <w:b/>
                <w:bCs/>
                <w:color w:val="000000"/>
                <w:sz w:val="19"/>
                <w:szCs w:val="19"/>
                <w:lang w:val="en-AU" w:eastAsia="en-US"/>
              </w:rPr>
              <w:t>No.</w:t>
            </w:r>
          </w:p>
        </w:tc>
        <w:tc>
          <w:tcPr>
            <w:tcW w:w="750" w:type="dxa"/>
            <w:tcBorders>
              <w:top w:val="single" w:sz="4" w:space="0" w:color="auto"/>
              <w:left w:val="nil"/>
              <w:bottom w:val="single" w:sz="4" w:space="0" w:color="auto"/>
              <w:right w:val="nil"/>
            </w:tcBorders>
            <w:shd w:val="clear" w:color="auto" w:fill="auto"/>
            <w:noWrap/>
            <w:vAlign w:val="bottom"/>
            <w:hideMark/>
          </w:tcPr>
          <w:p w:rsidR="00A330DD" w:rsidRPr="008E2F00" w:rsidRDefault="00A330DD" w:rsidP="00A330DD">
            <w:pPr>
              <w:rPr>
                <w:rFonts w:ascii="Arial" w:hAnsi="Arial" w:cs="Arial"/>
                <w:color w:val="000000"/>
                <w:sz w:val="19"/>
                <w:szCs w:val="19"/>
                <w:lang w:val="en-AU" w:eastAsia="en-US"/>
              </w:rPr>
            </w:pPr>
            <w:r w:rsidRPr="008E2F00">
              <w:rPr>
                <w:rFonts w:ascii="Arial" w:hAnsi="Arial" w:cs="Arial"/>
                <w:color w:val="000000"/>
                <w:sz w:val="19"/>
                <w:szCs w:val="19"/>
                <w:lang w:val="en-AU" w:eastAsia="en-US"/>
              </w:rPr>
              <w:t> </w:t>
            </w:r>
          </w:p>
        </w:tc>
      </w:tr>
      <w:tr w:rsidR="00A330DD" w:rsidRPr="00A330DD" w:rsidTr="00185E36">
        <w:trPr>
          <w:trHeight w:val="280"/>
          <w:jc w:val="center"/>
        </w:trPr>
        <w:tc>
          <w:tcPr>
            <w:tcW w:w="3078" w:type="dxa"/>
            <w:tcBorders>
              <w:top w:val="nil"/>
              <w:left w:val="nil"/>
              <w:bottom w:val="nil"/>
              <w:right w:val="nil"/>
            </w:tcBorders>
            <w:shd w:val="clear" w:color="auto" w:fill="auto"/>
            <w:noWrap/>
            <w:vAlign w:val="bottom"/>
            <w:hideMark/>
          </w:tcPr>
          <w:p w:rsidR="00A330DD" w:rsidRPr="008E2F00" w:rsidRDefault="00A330DD" w:rsidP="00A330DD">
            <w:pPr>
              <w:rPr>
                <w:rFonts w:ascii="Arial" w:hAnsi="Arial" w:cs="Arial"/>
                <w:color w:val="000000"/>
                <w:sz w:val="19"/>
                <w:szCs w:val="19"/>
                <w:lang w:val="en-AU" w:eastAsia="en-US"/>
              </w:rPr>
            </w:pPr>
            <w:r w:rsidRPr="008E2F00">
              <w:rPr>
                <w:rFonts w:ascii="Arial" w:hAnsi="Arial" w:cs="Arial"/>
                <w:color w:val="000000"/>
                <w:sz w:val="19"/>
                <w:szCs w:val="19"/>
                <w:lang w:val="en-AU" w:eastAsia="en-US"/>
              </w:rPr>
              <w:t>Doctor</w:t>
            </w:r>
          </w:p>
        </w:tc>
        <w:tc>
          <w:tcPr>
            <w:tcW w:w="977" w:type="dxa"/>
            <w:tcBorders>
              <w:top w:val="nil"/>
              <w:left w:val="nil"/>
              <w:bottom w:val="nil"/>
              <w:right w:val="nil"/>
            </w:tcBorders>
            <w:shd w:val="clear" w:color="auto" w:fill="auto"/>
            <w:noWrap/>
            <w:vAlign w:val="bottom"/>
            <w:hideMark/>
          </w:tcPr>
          <w:p w:rsidR="00A330DD" w:rsidRPr="008E2F00" w:rsidRDefault="00A330DD" w:rsidP="00A330DD">
            <w:pPr>
              <w:jc w:val="right"/>
              <w:rPr>
                <w:rFonts w:ascii="Arial" w:hAnsi="Arial" w:cs="Arial"/>
                <w:color w:val="000000"/>
                <w:sz w:val="19"/>
                <w:szCs w:val="19"/>
                <w:lang w:val="en-AU" w:eastAsia="en-US"/>
              </w:rPr>
            </w:pPr>
            <w:r w:rsidRPr="008E2F00">
              <w:rPr>
                <w:rFonts w:ascii="Arial" w:hAnsi="Arial" w:cs="Arial"/>
                <w:color w:val="000000"/>
                <w:sz w:val="19"/>
                <w:szCs w:val="19"/>
                <w:lang w:val="en-AU" w:eastAsia="en-US"/>
              </w:rPr>
              <w:t>67,166</w:t>
            </w:r>
          </w:p>
        </w:tc>
        <w:tc>
          <w:tcPr>
            <w:tcW w:w="750" w:type="dxa"/>
            <w:tcBorders>
              <w:top w:val="nil"/>
              <w:left w:val="nil"/>
              <w:bottom w:val="nil"/>
              <w:right w:val="nil"/>
            </w:tcBorders>
            <w:shd w:val="clear" w:color="auto" w:fill="auto"/>
            <w:noWrap/>
            <w:vAlign w:val="bottom"/>
            <w:hideMark/>
          </w:tcPr>
          <w:p w:rsidR="00A330DD" w:rsidRPr="008E2F00" w:rsidRDefault="00A330DD" w:rsidP="00A330DD">
            <w:pPr>
              <w:rPr>
                <w:rFonts w:ascii="Arial" w:hAnsi="Arial" w:cs="Arial"/>
                <w:color w:val="000000"/>
                <w:sz w:val="19"/>
                <w:szCs w:val="19"/>
                <w:lang w:val="en-AU" w:eastAsia="en-US"/>
              </w:rPr>
            </w:pPr>
          </w:p>
        </w:tc>
      </w:tr>
      <w:tr w:rsidR="004E6284" w:rsidRPr="00A330DD" w:rsidTr="00716871">
        <w:trPr>
          <w:trHeight w:val="280"/>
          <w:jc w:val="center"/>
        </w:trPr>
        <w:tc>
          <w:tcPr>
            <w:tcW w:w="3078" w:type="dxa"/>
            <w:tcBorders>
              <w:top w:val="nil"/>
              <w:left w:val="nil"/>
              <w:bottom w:val="nil"/>
              <w:right w:val="nil"/>
            </w:tcBorders>
            <w:shd w:val="clear" w:color="auto" w:fill="auto"/>
            <w:noWrap/>
            <w:vAlign w:val="bottom"/>
          </w:tcPr>
          <w:p w:rsidR="004E6284" w:rsidRPr="008E2F00" w:rsidRDefault="004E6284" w:rsidP="00716871">
            <w:pPr>
              <w:rPr>
                <w:rFonts w:ascii="Arial" w:hAnsi="Arial" w:cs="Arial"/>
                <w:color w:val="000000"/>
                <w:sz w:val="19"/>
                <w:szCs w:val="19"/>
                <w:lang w:val="en-AU" w:eastAsia="en-US"/>
              </w:rPr>
            </w:pPr>
            <w:r w:rsidRPr="008E2F00">
              <w:rPr>
                <w:rFonts w:ascii="Arial" w:hAnsi="Arial" w:cs="Arial"/>
                <w:color w:val="000000"/>
                <w:sz w:val="19"/>
                <w:szCs w:val="19"/>
                <w:lang w:val="en-AU" w:eastAsia="en-US"/>
              </w:rPr>
              <w:t>(Doctor public facility)</w:t>
            </w:r>
          </w:p>
        </w:tc>
        <w:tc>
          <w:tcPr>
            <w:tcW w:w="977" w:type="dxa"/>
            <w:tcBorders>
              <w:top w:val="nil"/>
              <w:left w:val="nil"/>
              <w:bottom w:val="nil"/>
              <w:right w:val="nil"/>
            </w:tcBorders>
            <w:shd w:val="clear" w:color="auto" w:fill="auto"/>
            <w:noWrap/>
            <w:vAlign w:val="bottom"/>
          </w:tcPr>
          <w:p w:rsidR="004E6284" w:rsidRPr="008E2F00" w:rsidRDefault="004E6284" w:rsidP="00716871">
            <w:pPr>
              <w:jc w:val="right"/>
              <w:rPr>
                <w:rFonts w:ascii="Arial" w:hAnsi="Arial" w:cs="Arial"/>
                <w:color w:val="000000"/>
                <w:sz w:val="19"/>
                <w:szCs w:val="19"/>
                <w:lang w:val="en-AU" w:eastAsia="en-US"/>
              </w:rPr>
            </w:pPr>
            <w:r w:rsidRPr="008E2F00">
              <w:rPr>
                <w:rFonts w:ascii="Arial" w:hAnsi="Arial" w:cs="Arial"/>
                <w:color w:val="000000"/>
                <w:sz w:val="19"/>
                <w:szCs w:val="19"/>
                <w:lang w:val="en-AU" w:eastAsia="en-US"/>
              </w:rPr>
              <w:t>(54,785)</w:t>
            </w:r>
          </w:p>
        </w:tc>
        <w:tc>
          <w:tcPr>
            <w:tcW w:w="750" w:type="dxa"/>
            <w:tcBorders>
              <w:top w:val="nil"/>
              <w:left w:val="nil"/>
              <w:bottom w:val="nil"/>
              <w:right w:val="nil"/>
            </w:tcBorders>
            <w:shd w:val="clear" w:color="auto" w:fill="auto"/>
            <w:noWrap/>
            <w:vAlign w:val="bottom"/>
          </w:tcPr>
          <w:p w:rsidR="004E6284" w:rsidRPr="008E2F00" w:rsidRDefault="004E6284" w:rsidP="00716871">
            <w:pPr>
              <w:rPr>
                <w:rFonts w:ascii="Arial" w:hAnsi="Arial" w:cs="Arial"/>
                <w:color w:val="000000"/>
                <w:sz w:val="19"/>
                <w:szCs w:val="19"/>
                <w:lang w:val="en-AU" w:eastAsia="en-US"/>
              </w:rPr>
            </w:pPr>
          </w:p>
        </w:tc>
      </w:tr>
      <w:tr w:rsidR="00A330DD" w:rsidRPr="00A330DD" w:rsidTr="00185E36">
        <w:trPr>
          <w:trHeight w:val="280"/>
          <w:jc w:val="center"/>
        </w:trPr>
        <w:tc>
          <w:tcPr>
            <w:tcW w:w="3078" w:type="dxa"/>
            <w:tcBorders>
              <w:top w:val="nil"/>
              <w:left w:val="nil"/>
              <w:bottom w:val="nil"/>
              <w:right w:val="nil"/>
            </w:tcBorders>
            <w:shd w:val="clear" w:color="auto" w:fill="auto"/>
            <w:noWrap/>
            <w:vAlign w:val="bottom"/>
            <w:hideMark/>
          </w:tcPr>
          <w:p w:rsidR="00A330DD" w:rsidRPr="008E2F00" w:rsidRDefault="00A330DD" w:rsidP="00A330DD">
            <w:pPr>
              <w:rPr>
                <w:rFonts w:ascii="Arial" w:hAnsi="Arial" w:cs="Arial"/>
                <w:color w:val="000000"/>
                <w:sz w:val="19"/>
                <w:szCs w:val="19"/>
                <w:lang w:val="en-AU" w:eastAsia="en-US"/>
              </w:rPr>
            </w:pPr>
            <w:r w:rsidRPr="008E2F00">
              <w:rPr>
                <w:rFonts w:ascii="Arial" w:hAnsi="Arial" w:cs="Arial"/>
                <w:color w:val="000000"/>
                <w:sz w:val="19"/>
                <w:szCs w:val="19"/>
                <w:lang w:val="en-AU" w:eastAsia="en-US"/>
              </w:rPr>
              <w:t>Nurse</w:t>
            </w:r>
          </w:p>
        </w:tc>
        <w:tc>
          <w:tcPr>
            <w:tcW w:w="977" w:type="dxa"/>
            <w:tcBorders>
              <w:top w:val="nil"/>
              <w:left w:val="nil"/>
              <w:bottom w:val="nil"/>
              <w:right w:val="nil"/>
            </w:tcBorders>
            <w:shd w:val="clear" w:color="auto" w:fill="auto"/>
            <w:noWrap/>
            <w:vAlign w:val="bottom"/>
            <w:hideMark/>
          </w:tcPr>
          <w:p w:rsidR="00A330DD" w:rsidRPr="008E2F00" w:rsidRDefault="00A330DD" w:rsidP="00A330DD">
            <w:pPr>
              <w:jc w:val="right"/>
              <w:rPr>
                <w:rFonts w:ascii="Arial" w:hAnsi="Arial" w:cs="Arial"/>
                <w:color w:val="000000"/>
                <w:sz w:val="19"/>
                <w:szCs w:val="19"/>
                <w:lang w:val="en-AU" w:eastAsia="en-US"/>
              </w:rPr>
            </w:pPr>
            <w:r w:rsidRPr="008E2F00">
              <w:rPr>
                <w:rFonts w:ascii="Arial" w:hAnsi="Arial" w:cs="Arial"/>
                <w:color w:val="000000"/>
                <w:sz w:val="19"/>
                <w:szCs w:val="19"/>
                <w:lang w:val="en-AU" w:eastAsia="en-US"/>
              </w:rPr>
              <w:t>87,649</w:t>
            </w:r>
          </w:p>
        </w:tc>
        <w:tc>
          <w:tcPr>
            <w:tcW w:w="750" w:type="dxa"/>
            <w:tcBorders>
              <w:top w:val="nil"/>
              <w:left w:val="nil"/>
              <w:bottom w:val="nil"/>
              <w:right w:val="nil"/>
            </w:tcBorders>
            <w:shd w:val="clear" w:color="auto" w:fill="auto"/>
            <w:noWrap/>
            <w:vAlign w:val="bottom"/>
            <w:hideMark/>
          </w:tcPr>
          <w:p w:rsidR="00A330DD" w:rsidRPr="008E2F00" w:rsidRDefault="00A330DD" w:rsidP="00A330DD">
            <w:pPr>
              <w:rPr>
                <w:rFonts w:ascii="Arial" w:hAnsi="Arial" w:cs="Arial"/>
                <w:color w:val="000000"/>
                <w:sz w:val="19"/>
                <w:szCs w:val="19"/>
                <w:lang w:val="en-AU" w:eastAsia="en-US"/>
              </w:rPr>
            </w:pPr>
          </w:p>
        </w:tc>
      </w:tr>
      <w:tr w:rsidR="00A330DD" w:rsidRPr="00A330DD" w:rsidTr="00185E36">
        <w:trPr>
          <w:trHeight w:val="280"/>
          <w:jc w:val="center"/>
        </w:trPr>
        <w:tc>
          <w:tcPr>
            <w:tcW w:w="3078" w:type="dxa"/>
            <w:tcBorders>
              <w:top w:val="nil"/>
              <w:left w:val="nil"/>
              <w:bottom w:val="nil"/>
              <w:right w:val="nil"/>
            </w:tcBorders>
            <w:shd w:val="clear" w:color="auto" w:fill="auto"/>
            <w:noWrap/>
            <w:vAlign w:val="bottom"/>
            <w:hideMark/>
          </w:tcPr>
          <w:p w:rsidR="00A330DD" w:rsidRPr="008E2F00" w:rsidRDefault="00A330DD" w:rsidP="00A330DD">
            <w:pPr>
              <w:rPr>
                <w:rFonts w:ascii="Arial" w:hAnsi="Arial" w:cs="Arial"/>
                <w:color w:val="000000"/>
                <w:sz w:val="19"/>
                <w:szCs w:val="19"/>
                <w:lang w:val="en-AU" w:eastAsia="en-US"/>
              </w:rPr>
            </w:pPr>
            <w:r w:rsidRPr="008E2F00">
              <w:rPr>
                <w:rFonts w:ascii="Arial" w:hAnsi="Arial" w:cs="Arial"/>
                <w:color w:val="000000"/>
                <w:sz w:val="19"/>
                <w:szCs w:val="19"/>
                <w:lang w:val="en-AU" w:eastAsia="en-US"/>
              </w:rPr>
              <w:t>Birth Attendant</w:t>
            </w:r>
          </w:p>
        </w:tc>
        <w:tc>
          <w:tcPr>
            <w:tcW w:w="977" w:type="dxa"/>
            <w:tcBorders>
              <w:top w:val="nil"/>
              <w:left w:val="nil"/>
              <w:bottom w:val="nil"/>
              <w:right w:val="nil"/>
            </w:tcBorders>
            <w:shd w:val="clear" w:color="auto" w:fill="auto"/>
            <w:noWrap/>
            <w:vAlign w:val="bottom"/>
            <w:hideMark/>
          </w:tcPr>
          <w:p w:rsidR="00A330DD" w:rsidRPr="008E2F00" w:rsidRDefault="00A330DD" w:rsidP="00A330DD">
            <w:pPr>
              <w:jc w:val="right"/>
              <w:rPr>
                <w:rFonts w:ascii="Arial" w:hAnsi="Arial" w:cs="Arial"/>
                <w:color w:val="000000"/>
                <w:sz w:val="19"/>
                <w:szCs w:val="19"/>
                <w:lang w:val="en-AU" w:eastAsia="en-US"/>
              </w:rPr>
            </w:pPr>
            <w:r w:rsidRPr="008E2F00">
              <w:rPr>
                <w:rFonts w:ascii="Arial" w:hAnsi="Arial" w:cs="Arial"/>
                <w:color w:val="000000"/>
                <w:sz w:val="19"/>
                <w:szCs w:val="19"/>
                <w:lang w:val="en-AU" w:eastAsia="en-US"/>
              </w:rPr>
              <w:t>20,039</w:t>
            </w:r>
          </w:p>
        </w:tc>
        <w:tc>
          <w:tcPr>
            <w:tcW w:w="750" w:type="dxa"/>
            <w:tcBorders>
              <w:top w:val="nil"/>
              <w:left w:val="nil"/>
              <w:bottom w:val="nil"/>
              <w:right w:val="nil"/>
            </w:tcBorders>
            <w:shd w:val="clear" w:color="auto" w:fill="auto"/>
            <w:noWrap/>
            <w:vAlign w:val="bottom"/>
            <w:hideMark/>
          </w:tcPr>
          <w:p w:rsidR="00A330DD" w:rsidRPr="008E2F00" w:rsidRDefault="00A330DD" w:rsidP="00A330DD">
            <w:pPr>
              <w:rPr>
                <w:rFonts w:ascii="Arial" w:hAnsi="Arial" w:cs="Arial"/>
                <w:color w:val="000000"/>
                <w:sz w:val="19"/>
                <w:szCs w:val="19"/>
                <w:lang w:val="en-AU" w:eastAsia="en-US"/>
              </w:rPr>
            </w:pPr>
          </w:p>
        </w:tc>
      </w:tr>
      <w:tr w:rsidR="00A330DD" w:rsidRPr="00A330DD" w:rsidTr="00185E36">
        <w:trPr>
          <w:trHeight w:val="280"/>
          <w:jc w:val="center"/>
        </w:trPr>
        <w:tc>
          <w:tcPr>
            <w:tcW w:w="3078" w:type="dxa"/>
            <w:tcBorders>
              <w:top w:val="nil"/>
              <w:left w:val="nil"/>
              <w:bottom w:val="nil"/>
              <w:right w:val="nil"/>
            </w:tcBorders>
            <w:shd w:val="clear" w:color="auto" w:fill="auto"/>
            <w:noWrap/>
            <w:vAlign w:val="bottom"/>
            <w:hideMark/>
          </w:tcPr>
          <w:p w:rsidR="00A330DD" w:rsidRPr="008E2F00" w:rsidRDefault="00A330DD" w:rsidP="00A330DD">
            <w:pPr>
              <w:rPr>
                <w:rFonts w:ascii="Arial" w:hAnsi="Arial" w:cs="Arial"/>
                <w:color w:val="000000"/>
                <w:sz w:val="19"/>
                <w:szCs w:val="19"/>
                <w:lang w:val="en-AU" w:eastAsia="en-US"/>
              </w:rPr>
            </w:pPr>
            <w:r w:rsidRPr="008E2F00">
              <w:rPr>
                <w:rFonts w:ascii="Arial" w:hAnsi="Arial" w:cs="Arial"/>
                <w:color w:val="000000"/>
                <w:sz w:val="19"/>
                <w:szCs w:val="19"/>
                <w:lang w:val="en-AU" w:eastAsia="en-US"/>
              </w:rPr>
              <w:t>Technician</w:t>
            </w:r>
          </w:p>
        </w:tc>
        <w:tc>
          <w:tcPr>
            <w:tcW w:w="977" w:type="dxa"/>
            <w:tcBorders>
              <w:top w:val="nil"/>
              <w:left w:val="nil"/>
              <w:bottom w:val="nil"/>
              <w:right w:val="nil"/>
            </w:tcBorders>
            <w:shd w:val="clear" w:color="auto" w:fill="auto"/>
            <w:noWrap/>
            <w:vAlign w:val="bottom"/>
            <w:hideMark/>
          </w:tcPr>
          <w:p w:rsidR="00A330DD" w:rsidRPr="008E2F00" w:rsidRDefault="00A330DD" w:rsidP="00A330DD">
            <w:pPr>
              <w:jc w:val="right"/>
              <w:rPr>
                <w:rFonts w:ascii="Arial" w:hAnsi="Arial" w:cs="Arial"/>
                <w:color w:val="000000"/>
                <w:sz w:val="19"/>
                <w:szCs w:val="19"/>
                <w:lang w:val="en-AU" w:eastAsia="en-US"/>
              </w:rPr>
            </w:pPr>
            <w:r w:rsidRPr="008E2F00">
              <w:rPr>
                <w:rFonts w:ascii="Arial" w:hAnsi="Arial" w:cs="Arial"/>
                <w:color w:val="000000"/>
                <w:sz w:val="19"/>
                <w:szCs w:val="19"/>
                <w:lang w:val="en-AU" w:eastAsia="en-US"/>
              </w:rPr>
              <w:t>15,053</w:t>
            </w:r>
          </w:p>
        </w:tc>
        <w:tc>
          <w:tcPr>
            <w:tcW w:w="750" w:type="dxa"/>
            <w:tcBorders>
              <w:top w:val="nil"/>
              <w:left w:val="nil"/>
              <w:bottom w:val="nil"/>
              <w:right w:val="nil"/>
            </w:tcBorders>
            <w:shd w:val="clear" w:color="auto" w:fill="auto"/>
            <w:noWrap/>
            <w:vAlign w:val="bottom"/>
            <w:hideMark/>
          </w:tcPr>
          <w:p w:rsidR="00A330DD" w:rsidRPr="008E2F00" w:rsidRDefault="00A330DD" w:rsidP="00A330DD">
            <w:pPr>
              <w:rPr>
                <w:rFonts w:ascii="Arial" w:hAnsi="Arial" w:cs="Arial"/>
                <w:color w:val="000000"/>
                <w:sz w:val="19"/>
                <w:szCs w:val="19"/>
                <w:lang w:val="en-AU" w:eastAsia="en-US"/>
              </w:rPr>
            </w:pPr>
          </w:p>
        </w:tc>
      </w:tr>
      <w:tr w:rsidR="00A330DD" w:rsidRPr="00A330DD" w:rsidTr="00185E36">
        <w:trPr>
          <w:trHeight w:val="280"/>
          <w:jc w:val="center"/>
        </w:trPr>
        <w:tc>
          <w:tcPr>
            <w:tcW w:w="3078" w:type="dxa"/>
            <w:tcBorders>
              <w:top w:val="nil"/>
              <w:left w:val="nil"/>
              <w:bottom w:val="nil"/>
              <w:right w:val="nil"/>
            </w:tcBorders>
            <w:shd w:val="clear" w:color="auto" w:fill="auto"/>
            <w:noWrap/>
            <w:vAlign w:val="bottom"/>
            <w:hideMark/>
          </w:tcPr>
          <w:p w:rsidR="00A330DD" w:rsidRPr="008E2F00" w:rsidRDefault="00A330DD" w:rsidP="00A330DD">
            <w:pPr>
              <w:rPr>
                <w:rFonts w:ascii="Arial" w:hAnsi="Arial" w:cs="Arial"/>
                <w:color w:val="000000"/>
                <w:sz w:val="19"/>
                <w:szCs w:val="19"/>
                <w:lang w:val="en-AU" w:eastAsia="en-US"/>
              </w:rPr>
            </w:pPr>
            <w:r w:rsidRPr="008E2F00">
              <w:rPr>
                <w:rFonts w:ascii="Arial" w:hAnsi="Arial" w:cs="Arial"/>
                <w:color w:val="000000"/>
                <w:sz w:val="19"/>
                <w:szCs w:val="19"/>
                <w:lang w:val="en-AU" w:eastAsia="en-US"/>
              </w:rPr>
              <w:t>Assistant Doctor</w:t>
            </w:r>
          </w:p>
        </w:tc>
        <w:tc>
          <w:tcPr>
            <w:tcW w:w="977" w:type="dxa"/>
            <w:tcBorders>
              <w:top w:val="nil"/>
              <w:left w:val="nil"/>
              <w:bottom w:val="nil"/>
              <w:right w:val="nil"/>
            </w:tcBorders>
            <w:shd w:val="clear" w:color="auto" w:fill="auto"/>
            <w:noWrap/>
            <w:vAlign w:val="bottom"/>
            <w:hideMark/>
          </w:tcPr>
          <w:p w:rsidR="00A330DD" w:rsidRPr="008E2F00" w:rsidRDefault="00A330DD" w:rsidP="00A330DD">
            <w:pPr>
              <w:jc w:val="right"/>
              <w:rPr>
                <w:rFonts w:ascii="Arial" w:hAnsi="Arial" w:cs="Arial"/>
                <w:color w:val="000000"/>
                <w:sz w:val="19"/>
                <w:szCs w:val="19"/>
                <w:lang w:val="en-AU" w:eastAsia="en-US"/>
              </w:rPr>
            </w:pPr>
            <w:r w:rsidRPr="008E2F00">
              <w:rPr>
                <w:rFonts w:ascii="Arial" w:hAnsi="Arial" w:cs="Arial"/>
                <w:color w:val="000000"/>
                <w:sz w:val="19"/>
                <w:szCs w:val="19"/>
                <w:lang w:val="en-AU" w:eastAsia="en-US"/>
              </w:rPr>
              <w:t>35,280</w:t>
            </w:r>
          </w:p>
        </w:tc>
        <w:tc>
          <w:tcPr>
            <w:tcW w:w="750" w:type="dxa"/>
            <w:tcBorders>
              <w:top w:val="nil"/>
              <w:left w:val="nil"/>
              <w:bottom w:val="nil"/>
              <w:right w:val="nil"/>
            </w:tcBorders>
            <w:shd w:val="clear" w:color="auto" w:fill="auto"/>
            <w:noWrap/>
            <w:vAlign w:val="bottom"/>
            <w:hideMark/>
          </w:tcPr>
          <w:p w:rsidR="00A330DD" w:rsidRPr="008E2F00" w:rsidRDefault="00A330DD" w:rsidP="00A330DD">
            <w:pPr>
              <w:rPr>
                <w:rFonts w:ascii="Arial" w:hAnsi="Arial" w:cs="Arial"/>
                <w:color w:val="000000"/>
                <w:sz w:val="19"/>
                <w:szCs w:val="19"/>
                <w:lang w:val="en-AU" w:eastAsia="en-US"/>
              </w:rPr>
            </w:pPr>
          </w:p>
        </w:tc>
      </w:tr>
      <w:tr w:rsidR="00A330DD" w:rsidRPr="00A330DD" w:rsidTr="00185E36">
        <w:trPr>
          <w:trHeight w:val="280"/>
          <w:jc w:val="center"/>
        </w:trPr>
        <w:tc>
          <w:tcPr>
            <w:tcW w:w="3078" w:type="dxa"/>
            <w:tcBorders>
              <w:top w:val="nil"/>
              <w:left w:val="nil"/>
              <w:bottom w:val="nil"/>
              <w:right w:val="nil"/>
            </w:tcBorders>
            <w:shd w:val="clear" w:color="auto" w:fill="auto"/>
            <w:noWrap/>
            <w:vAlign w:val="bottom"/>
            <w:hideMark/>
          </w:tcPr>
          <w:p w:rsidR="00A330DD" w:rsidRPr="008E2F00" w:rsidRDefault="00A330DD" w:rsidP="00A330DD">
            <w:pPr>
              <w:rPr>
                <w:rFonts w:ascii="Arial" w:hAnsi="Arial" w:cs="Arial"/>
                <w:color w:val="000000"/>
                <w:sz w:val="19"/>
                <w:szCs w:val="19"/>
                <w:lang w:val="en-AU" w:eastAsia="en-US"/>
              </w:rPr>
            </w:pPr>
            <w:r w:rsidRPr="008E2F00">
              <w:rPr>
                <w:rFonts w:ascii="Arial" w:hAnsi="Arial" w:cs="Arial"/>
                <w:color w:val="000000"/>
                <w:sz w:val="19"/>
                <w:szCs w:val="19"/>
                <w:lang w:val="en-AU" w:eastAsia="en-US"/>
              </w:rPr>
              <w:t>Healer</w:t>
            </w:r>
          </w:p>
        </w:tc>
        <w:tc>
          <w:tcPr>
            <w:tcW w:w="977" w:type="dxa"/>
            <w:tcBorders>
              <w:top w:val="nil"/>
              <w:left w:val="nil"/>
              <w:bottom w:val="nil"/>
              <w:right w:val="nil"/>
            </w:tcBorders>
            <w:shd w:val="clear" w:color="auto" w:fill="auto"/>
            <w:noWrap/>
            <w:vAlign w:val="bottom"/>
            <w:hideMark/>
          </w:tcPr>
          <w:p w:rsidR="00A330DD" w:rsidRPr="008E2F00" w:rsidRDefault="00A330DD" w:rsidP="00A330DD">
            <w:pPr>
              <w:jc w:val="right"/>
              <w:rPr>
                <w:rFonts w:ascii="Arial" w:hAnsi="Arial" w:cs="Arial"/>
                <w:color w:val="000000"/>
                <w:sz w:val="19"/>
                <w:szCs w:val="19"/>
                <w:lang w:val="en-AU" w:eastAsia="en-US"/>
              </w:rPr>
            </w:pPr>
            <w:r w:rsidRPr="008E2F00">
              <w:rPr>
                <w:rFonts w:ascii="Arial" w:hAnsi="Arial" w:cs="Arial"/>
                <w:color w:val="000000"/>
                <w:sz w:val="19"/>
                <w:szCs w:val="19"/>
                <w:lang w:val="en-AU" w:eastAsia="en-US"/>
              </w:rPr>
              <w:t>286</w:t>
            </w:r>
          </w:p>
        </w:tc>
        <w:tc>
          <w:tcPr>
            <w:tcW w:w="750" w:type="dxa"/>
            <w:tcBorders>
              <w:top w:val="nil"/>
              <w:left w:val="nil"/>
              <w:bottom w:val="nil"/>
              <w:right w:val="nil"/>
            </w:tcBorders>
            <w:shd w:val="clear" w:color="auto" w:fill="auto"/>
            <w:noWrap/>
            <w:vAlign w:val="bottom"/>
            <w:hideMark/>
          </w:tcPr>
          <w:p w:rsidR="00A330DD" w:rsidRPr="008E2F00" w:rsidRDefault="00A330DD" w:rsidP="00A330DD">
            <w:pPr>
              <w:rPr>
                <w:rFonts w:ascii="Arial" w:hAnsi="Arial" w:cs="Arial"/>
                <w:color w:val="000000"/>
                <w:sz w:val="19"/>
                <w:szCs w:val="19"/>
                <w:lang w:val="en-AU" w:eastAsia="en-US"/>
              </w:rPr>
            </w:pPr>
          </w:p>
        </w:tc>
      </w:tr>
      <w:tr w:rsidR="00A330DD" w:rsidRPr="00A330DD" w:rsidTr="00185E36">
        <w:trPr>
          <w:trHeight w:val="280"/>
          <w:jc w:val="center"/>
        </w:trPr>
        <w:tc>
          <w:tcPr>
            <w:tcW w:w="3078" w:type="dxa"/>
            <w:tcBorders>
              <w:top w:val="nil"/>
              <w:left w:val="nil"/>
              <w:bottom w:val="nil"/>
              <w:right w:val="nil"/>
            </w:tcBorders>
            <w:shd w:val="clear" w:color="auto" w:fill="auto"/>
            <w:noWrap/>
            <w:vAlign w:val="bottom"/>
            <w:hideMark/>
          </w:tcPr>
          <w:p w:rsidR="00A330DD" w:rsidRPr="008E2F00" w:rsidRDefault="00A330DD" w:rsidP="00A330DD">
            <w:pPr>
              <w:rPr>
                <w:rFonts w:ascii="Arial" w:hAnsi="Arial" w:cs="Arial"/>
                <w:color w:val="000000"/>
                <w:sz w:val="19"/>
                <w:szCs w:val="19"/>
                <w:lang w:val="en-AU" w:eastAsia="en-US"/>
              </w:rPr>
            </w:pPr>
            <w:r w:rsidRPr="008E2F00">
              <w:rPr>
                <w:rFonts w:ascii="Arial" w:hAnsi="Arial" w:cs="Arial"/>
                <w:color w:val="000000"/>
                <w:sz w:val="19"/>
                <w:szCs w:val="19"/>
                <w:lang w:val="en-AU" w:eastAsia="en-US"/>
              </w:rPr>
              <w:t>Dentist</w:t>
            </w:r>
          </w:p>
        </w:tc>
        <w:tc>
          <w:tcPr>
            <w:tcW w:w="977" w:type="dxa"/>
            <w:tcBorders>
              <w:top w:val="nil"/>
              <w:left w:val="nil"/>
              <w:bottom w:val="nil"/>
              <w:right w:val="nil"/>
            </w:tcBorders>
            <w:shd w:val="clear" w:color="auto" w:fill="auto"/>
            <w:noWrap/>
            <w:vAlign w:val="bottom"/>
            <w:hideMark/>
          </w:tcPr>
          <w:p w:rsidR="00A330DD" w:rsidRPr="008E2F00" w:rsidRDefault="00A330DD" w:rsidP="00A330DD">
            <w:pPr>
              <w:jc w:val="right"/>
              <w:rPr>
                <w:rFonts w:ascii="Arial" w:hAnsi="Arial" w:cs="Arial"/>
                <w:color w:val="000000"/>
                <w:sz w:val="19"/>
                <w:szCs w:val="19"/>
                <w:lang w:val="en-AU" w:eastAsia="en-US"/>
              </w:rPr>
            </w:pPr>
            <w:r w:rsidRPr="008E2F00">
              <w:rPr>
                <w:rFonts w:ascii="Arial" w:hAnsi="Arial" w:cs="Arial"/>
                <w:color w:val="000000"/>
                <w:sz w:val="19"/>
                <w:szCs w:val="19"/>
                <w:lang w:val="en-AU" w:eastAsia="en-US"/>
              </w:rPr>
              <w:t>807</w:t>
            </w:r>
          </w:p>
        </w:tc>
        <w:tc>
          <w:tcPr>
            <w:tcW w:w="750" w:type="dxa"/>
            <w:tcBorders>
              <w:top w:val="nil"/>
              <w:left w:val="nil"/>
              <w:bottom w:val="nil"/>
              <w:right w:val="nil"/>
            </w:tcBorders>
            <w:shd w:val="clear" w:color="auto" w:fill="auto"/>
            <w:noWrap/>
            <w:vAlign w:val="bottom"/>
            <w:hideMark/>
          </w:tcPr>
          <w:p w:rsidR="00A330DD" w:rsidRPr="008E2F00" w:rsidRDefault="00A330DD" w:rsidP="00A330DD">
            <w:pPr>
              <w:rPr>
                <w:rFonts w:ascii="Arial" w:hAnsi="Arial" w:cs="Arial"/>
                <w:color w:val="000000"/>
                <w:sz w:val="19"/>
                <w:szCs w:val="19"/>
                <w:lang w:val="en-AU" w:eastAsia="en-US"/>
              </w:rPr>
            </w:pPr>
          </w:p>
        </w:tc>
      </w:tr>
      <w:tr w:rsidR="00A330DD" w:rsidRPr="00A330DD" w:rsidTr="00185E36">
        <w:trPr>
          <w:trHeight w:val="280"/>
          <w:jc w:val="center"/>
        </w:trPr>
        <w:tc>
          <w:tcPr>
            <w:tcW w:w="3078" w:type="dxa"/>
            <w:tcBorders>
              <w:top w:val="nil"/>
              <w:left w:val="nil"/>
              <w:bottom w:val="nil"/>
              <w:right w:val="nil"/>
            </w:tcBorders>
            <w:shd w:val="clear" w:color="auto" w:fill="auto"/>
            <w:noWrap/>
            <w:vAlign w:val="bottom"/>
            <w:hideMark/>
          </w:tcPr>
          <w:p w:rsidR="00A330DD" w:rsidRPr="008E2F00" w:rsidRDefault="00A330DD" w:rsidP="00A330DD">
            <w:pPr>
              <w:rPr>
                <w:rFonts w:ascii="Arial" w:hAnsi="Arial" w:cs="Arial"/>
                <w:color w:val="000000"/>
                <w:sz w:val="19"/>
                <w:szCs w:val="19"/>
                <w:lang w:val="en-AU" w:eastAsia="en-US"/>
              </w:rPr>
            </w:pPr>
            <w:r w:rsidRPr="008E2F00">
              <w:rPr>
                <w:rFonts w:ascii="Arial" w:hAnsi="Arial" w:cs="Arial"/>
                <w:color w:val="000000"/>
                <w:sz w:val="19"/>
                <w:szCs w:val="19"/>
                <w:lang w:val="en-AU" w:eastAsia="en-US"/>
              </w:rPr>
              <w:t>Traditional Medicine</w:t>
            </w:r>
          </w:p>
        </w:tc>
        <w:tc>
          <w:tcPr>
            <w:tcW w:w="977" w:type="dxa"/>
            <w:tcBorders>
              <w:top w:val="nil"/>
              <w:left w:val="nil"/>
              <w:bottom w:val="nil"/>
              <w:right w:val="nil"/>
            </w:tcBorders>
            <w:shd w:val="clear" w:color="auto" w:fill="auto"/>
            <w:noWrap/>
            <w:vAlign w:val="bottom"/>
            <w:hideMark/>
          </w:tcPr>
          <w:p w:rsidR="00A330DD" w:rsidRPr="008E2F00" w:rsidRDefault="00A330DD" w:rsidP="00A330DD">
            <w:pPr>
              <w:jc w:val="right"/>
              <w:rPr>
                <w:rFonts w:ascii="Arial" w:hAnsi="Arial" w:cs="Arial"/>
                <w:color w:val="000000"/>
                <w:sz w:val="19"/>
                <w:szCs w:val="19"/>
                <w:lang w:val="en-AU" w:eastAsia="en-US"/>
              </w:rPr>
            </w:pPr>
            <w:r w:rsidRPr="008E2F00">
              <w:rPr>
                <w:rFonts w:ascii="Arial" w:hAnsi="Arial" w:cs="Arial"/>
                <w:color w:val="000000"/>
                <w:sz w:val="19"/>
                <w:szCs w:val="19"/>
                <w:lang w:val="en-AU" w:eastAsia="en-US"/>
              </w:rPr>
              <w:t>3,659</w:t>
            </w:r>
          </w:p>
        </w:tc>
        <w:tc>
          <w:tcPr>
            <w:tcW w:w="750" w:type="dxa"/>
            <w:tcBorders>
              <w:top w:val="nil"/>
              <w:left w:val="nil"/>
              <w:bottom w:val="nil"/>
              <w:right w:val="nil"/>
            </w:tcBorders>
            <w:shd w:val="clear" w:color="auto" w:fill="auto"/>
            <w:noWrap/>
            <w:vAlign w:val="bottom"/>
            <w:hideMark/>
          </w:tcPr>
          <w:p w:rsidR="00A330DD" w:rsidRPr="008E2F00" w:rsidRDefault="00A330DD" w:rsidP="00A330DD">
            <w:pPr>
              <w:rPr>
                <w:rFonts w:ascii="Arial" w:hAnsi="Arial" w:cs="Arial"/>
                <w:color w:val="000000"/>
                <w:sz w:val="19"/>
                <w:szCs w:val="19"/>
                <w:lang w:val="en-AU" w:eastAsia="en-US"/>
              </w:rPr>
            </w:pPr>
          </w:p>
        </w:tc>
      </w:tr>
      <w:tr w:rsidR="00A330DD" w:rsidRPr="00A330DD" w:rsidTr="00185E36">
        <w:trPr>
          <w:trHeight w:val="280"/>
          <w:jc w:val="center"/>
        </w:trPr>
        <w:tc>
          <w:tcPr>
            <w:tcW w:w="3078" w:type="dxa"/>
            <w:tcBorders>
              <w:top w:val="nil"/>
              <w:left w:val="nil"/>
              <w:bottom w:val="nil"/>
              <w:right w:val="nil"/>
            </w:tcBorders>
            <w:shd w:val="clear" w:color="auto" w:fill="auto"/>
            <w:noWrap/>
            <w:vAlign w:val="bottom"/>
            <w:hideMark/>
          </w:tcPr>
          <w:p w:rsidR="00A330DD" w:rsidRPr="008E2F00" w:rsidRDefault="00A330DD" w:rsidP="00A330DD">
            <w:pPr>
              <w:jc w:val="right"/>
              <w:rPr>
                <w:rFonts w:ascii="Arial" w:hAnsi="Arial" w:cs="Arial"/>
                <w:b/>
                <w:bCs/>
                <w:color w:val="000000"/>
                <w:sz w:val="19"/>
                <w:szCs w:val="19"/>
                <w:lang w:val="en-AU" w:eastAsia="en-US"/>
              </w:rPr>
            </w:pPr>
            <w:r w:rsidRPr="008E2F00">
              <w:rPr>
                <w:rFonts w:ascii="Arial" w:hAnsi="Arial" w:cs="Arial"/>
                <w:b/>
                <w:bCs/>
                <w:color w:val="000000"/>
                <w:sz w:val="19"/>
                <w:szCs w:val="19"/>
                <w:lang w:val="en-AU" w:eastAsia="en-US"/>
              </w:rPr>
              <w:t>Total Registered</w:t>
            </w:r>
          </w:p>
        </w:tc>
        <w:tc>
          <w:tcPr>
            <w:tcW w:w="977" w:type="dxa"/>
            <w:tcBorders>
              <w:top w:val="nil"/>
              <w:left w:val="nil"/>
              <w:bottom w:val="nil"/>
              <w:right w:val="nil"/>
            </w:tcBorders>
            <w:shd w:val="clear" w:color="auto" w:fill="auto"/>
            <w:noWrap/>
            <w:vAlign w:val="bottom"/>
            <w:hideMark/>
          </w:tcPr>
          <w:p w:rsidR="00A330DD" w:rsidRPr="008E2F00" w:rsidRDefault="00A330DD" w:rsidP="00A330DD">
            <w:pPr>
              <w:jc w:val="right"/>
              <w:rPr>
                <w:rFonts w:ascii="Arial" w:hAnsi="Arial" w:cs="Arial"/>
                <w:b/>
                <w:bCs/>
                <w:color w:val="000000"/>
                <w:sz w:val="19"/>
                <w:szCs w:val="19"/>
                <w:lang w:val="en-AU" w:eastAsia="en-US"/>
              </w:rPr>
            </w:pPr>
            <w:r w:rsidRPr="008E2F00">
              <w:rPr>
                <w:rFonts w:ascii="Arial" w:hAnsi="Arial" w:cs="Arial"/>
                <w:b/>
                <w:bCs/>
                <w:color w:val="000000"/>
                <w:sz w:val="19"/>
                <w:szCs w:val="19"/>
                <w:lang w:val="en-AU" w:eastAsia="en-US"/>
              </w:rPr>
              <w:t>229,939</w:t>
            </w:r>
          </w:p>
        </w:tc>
        <w:tc>
          <w:tcPr>
            <w:tcW w:w="750" w:type="dxa"/>
            <w:tcBorders>
              <w:top w:val="nil"/>
              <w:left w:val="nil"/>
              <w:bottom w:val="nil"/>
              <w:right w:val="nil"/>
            </w:tcBorders>
            <w:shd w:val="clear" w:color="auto" w:fill="auto"/>
            <w:noWrap/>
            <w:vAlign w:val="bottom"/>
            <w:hideMark/>
          </w:tcPr>
          <w:p w:rsidR="00A330DD" w:rsidRPr="008E2F00" w:rsidRDefault="00A330DD" w:rsidP="00A330DD">
            <w:pPr>
              <w:rPr>
                <w:rFonts w:ascii="Arial" w:hAnsi="Arial" w:cs="Arial"/>
                <w:color w:val="000000"/>
                <w:sz w:val="19"/>
                <w:szCs w:val="19"/>
                <w:lang w:val="en-AU" w:eastAsia="en-US"/>
              </w:rPr>
            </w:pPr>
          </w:p>
        </w:tc>
      </w:tr>
      <w:tr w:rsidR="00A330DD" w:rsidRPr="00A330DD" w:rsidTr="00185E36">
        <w:trPr>
          <w:trHeight w:val="280"/>
          <w:jc w:val="center"/>
        </w:trPr>
        <w:tc>
          <w:tcPr>
            <w:tcW w:w="3078" w:type="dxa"/>
            <w:tcBorders>
              <w:top w:val="nil"/>
              <w:left w:val="nil"/>
              <w:bottom w:val="single" w:sz="4" w:space="0" w:color="auto"/>
              <w:right w:val="nil"/>
            </w:tcBorders>
            <w:shd w:val="clear" w:color="auto" w:fill="auto"/>
            <w:noWrap/>
            <w:vAlign w:val="bottom"/>
            <w:hideMark/>
          </w:tcPr>
          <w:p w:rsidR="00A330DD" w:rsidRPr="008E2F00" w:rsidRDefault="00A330DD" w:rsidP="00A330DD">
            <w:pPr>
              <w:rPr>
                <w:rFonts w:ascii="Arial" w:hAnsi="Arial" w:cs="Arial"/>
                <w:b/>
                <w:bCs/>
                <w:color w:val="000000"/>
                <w:sz w:val="19"/>
                <w:szCs w:val="19"/>
                <w:lang w:val="en-AU" w:eastAsia="en-US"/>
              </w:rPr>
            </w:pPr>
            <w:r w:rsidRPr="008E2F00">
              <w:rPr>
                <w:rFonts w:ascii="Arial" w:hAnsi="Arial" w:cs="Arial"/>
                <w:b/>
                <w:bCs/>
                <w:color w:val="000000"/>
                <w:sz w:val="19"/>
                <w:szCs w:val="19"/>
                <w:lang w:val="en-AU" w:eastAsia="en-US"/>
              </w:rPr>
              <w:t>Total Practitioners (estimate)</w:t>
            </w:r>
          </w:p>
        </w:tc>
        <w:tc>
          <w:tcPr>
            <w:tcW w:w="977" w:type="dxa"/>
            <w:tcBorders>
              <w:top w:val="nil"/>
              <w:left w:val="nil"/>
              <w:bottom w:val="single" w:sz="4" w:space="0" w:color="auto"/>
              <w:right w:val="nil"/>
            </w:tcBorders>
            <w:shd w:val="clear" w:color="auto" w:fill="auto"/>
            <w:noWrap/>
            <w:vAlign w:val="bottom"/>
            <w:hideMark/>
          </w:tcPr>
          <w:p w:rsidR="00A330DD" w:rsidRPr="008E2F00" w:rsidRDefault="00A330DD" w:rsidP="00A330DD">
            <w:pPr>
              <w:jc w:val="right"/>
              <w:rPr>
                <w:rFonts w:ascii="Arial" w:hAnsi="Arial" w:cs="Arial"/>
                <w:b/>
                <w:bCs/>
                <w:color w:val="000000"/>
                <w:sz w:val="19"/>
                <w:szCs w:val="19"/>
                <w:lang w:val="en-AU" w:eastAsia="en-US"/>
              </w:rPr>
            </w:pPr>
            <w:r w:rsidRPr="008E2F00">
              <w:rPr>
                <w:rFonts w:ascii="Arial" w:hAnsi="Arial" w:cs="Arial"/>
                <w:b/>
                <w:bCs/>
                <w:color w:val="000000"/>
                <w:sz w:val="19"/>
                <w:szCs w:val="19"/>
                <w:lang w:val="en-AU" w:eastAsia="en-US"/>
              </w:rPr>
              <w:t>251,342</w:t>
            </w:r>
          </w:p>
        </w:tc>
        <w:tc>
          <w:tcPr>
            <w:tcW w:w="750" w:type="dxa"/>
            <w:tcBorders>
              <w:top w:val="nil"/>
              <w:left w:val="nil"/>
              <w:bottom w:val="single" w:sz="4" w:space="0" w:color="auto"/>
              <w:right w:val="nil"/>
            </w:tcBorders>
            <w:shd w:val="clear" w:color="auto" w:fill="auto"/>
            <w:noWrap/>
            <w:vAlign w:val="bottom"/>
            <w:hideMark/>
          </w:tcPr>
          <w:p w:rsidR="00A330DD" w:rsidRPr="008E2F00" w:rsidRDefault="00A330DD" w:rsidP="00A330DD">
            <w:pPr>
              <w:jc w:val="right"/>
              <w:rPr>
                <w:rFonts w:ascii="Arial" w:hAnsi="Arial" w:cs="Arial"/>
                <w:b/>
                <w:bCs/>
                <w:color w:val="000000"/>
                <w:sz w:val="19"/>
                <w:szCs w:val="19"/>
                <w:lang w:val="en-AU" w:eastAsia="en-US"/>
              </w:rPr>
            </w:pPr>
            <w:r w:rsidRPr="008E2F00">
              <w:rPr>
                <w:rFonts w:ascii="Arial" w:hAnsi="Arial" w:cs="Arial"/>
                <w:b/>
                <w:bCs/>
                <w:color w:val="000000"/>
                <w:sz w:val="19"/>
                <w:szCs w:val="19"/>
                <w:lang w:val="en-AU" w:eastAsia="en-US"/>
              </w:rPr>
              <w:t>(91%)</w:t>
            </w:r>
          </w:p>
        </w:tc>
      </w:tr>
    </w:tbl>
    <w:p w:rsidR="007036D6" w:rsidRPr="00185E36" w:rsidRDefault="00256818" w:rsidP="00185E36">
      <w:pPr>
        <w:tabs>
          <w:tab w:val="left" w:pos="1530"/>
        </w:tabs>
        <w:spacing w:before="120"/>
        <w:ind w:left="2126"/>
        <w:rPr>
          <w:rFonts w:ascii="Arial" w:hAnsi="Arial" w:cs="Arial"/>
          <w:sz w:val="18"/>
          <w:szCs w:val="18"/>
        </w:rPr>
      </w:pPr>
      <w:r w:rsidRPr="00185E36">
        <w:rPr>
          <w:rFonts w:ascii="Arial" w:hAnsi="Arial" w:cs="Arial"/>
          <w:b/>
          <w:sz w:val="18"/>
          <w:szCs w:val="18"/>
        </w:rPr>
        <w:t>Source:</w:t>
      </w:r>
      <w:r w:rsidRPr="00185E36">
        <w:rPr>
          <w:rFonts w:ascii="Arial" w:hAnsi="Arial" w:cs="Arial"/>
          <w:sz w:val="18"/>
          <w:szCs w:val="18"/>
        </w:rPr>
        <w:t xml:space="preserve"> HHRSDP Component </w:t>
      </w:r>
      <w:r w:rsidR="00D113E1">
        <w:rPr>
          <w:rFonts w:ascii="Arial" w:hAnsi="Arial" w:cs="Arial"/>
          <w:sz w:val="18"/>
          <w:szCs w:val="18"/>
        </w:rPr>
        <w:t>1B</w:t>
      </w:r>
    </w:p>
    <w:p w:rsidR="001B44C7" w:rsidRPr="00185E36" w:rsidRDefault="001B44C7" w:rsidP="00185E36">
      <w:pPr>
        <w:tabs>
          <w:tab w:val="left" w:pos="1530"/>
        </w:tabs>
        <w:spacing w:before="120"/>
        <w:ind w:left="2126"/>
        <w:rPr>
          <w:rFonts w:ascii="Arial" w:hAnsi="Arial" w:cs="Arial"/>
          <w:b/>
          <w:sz w:val="18"/>
          <w:szCs w:val="18"/>
        </w:rPr>
      </w:pPr>
      <w:r w:rsidRPr="00185E36">
        <w:rPr>
          <w:rFonts w:ascii="Arial" w:hAnsi="Arial" w:cs="Arial"/>
          <w:b/>
          <w:sz w:val="18"/>
          <w:szCs w:val="18"/>
        </w:rPr>
        <w:t xml:space="preserve">Notes: </w:t>
      </w:r>
    </w:p>
    <w:p w:rsidR="001B44C7" w:rsidRPr="00185E36" w:rsidRDefault="001B44C7" w:rsidP="00185E36">
      <w:pPr>
        <w:tabs>
          <w:tab w:val="left" w:pos="1530"/>
        </w:tabs>
        <w:spacing w:before="120"/>
        <w:ind w:left="2126"/>
        <w:rPr>
          <w:rFonts w:ascii="Arial" w:hAnsi="Arial" w:cs="Arial"/>
          <w:b/>
          <w:sz w:val="18"/>
          <w:szCs w:val="18"/>
        </w:rPr>
      </w:pPr>
      <w:r w:rsidRPr="00185E36">
        <w:rPr>
          <w:rFonts w:ascii="Arial" w:hAnsi="Arial" w:cs="Arial"/>
          <w:color w:val="000000"/>
          <w:sz w:val="18"/>
          <w:szCs w:val="18"/>
          <w:vertAlign w:val="superscript"/>
        </w:rPr>
        <w:t>a</w:t>
      </w:r>
      <w:r w:rsidRPr="00185E36">
        <w:rPr>
          <w:rFonts w:ascii="Arial" w:hAnsi="Arial" w:cs="Arial"/>
          <w:sz w:val="18"/>
          <w:szCs w:val="18"/>
        </w:rPr>
        <w:t xml:space="preserve"> Data at 09 June 2009</w:t>
      </w:r>
    </w:p>
    <w:p w:rsidR="007036D6" w:rsidRDefault="007036D6" w:rsidP="00DF3343">
      <w:pPr>
        <w:tabs>
          <w:tab w:val="left" w:pos="1530"/>
        </w:tabs>
        <w:spacing w:before="240" w:after="120"/>
        <w:jc w:val="center"/>
        <w:rPr>
          <w:rFonts w:ascii="Arial" w:hAnsi="Arial" w:cs="Arial"/>
          <w:b/>
        </w:rPr>
      </w:pPr>
    </w:p>
    <w:p w:rsidR="009A79A2" w:rsidRPr="00E65146" w:rsidRDefault="009A79A2" w:rsidP="006C5C15">
      <w:pPr>
        <w:tabs>
          <w:tab w:val="left" w:pos="1530"/>
        </w:tabs>
        <w:rPr>
          <w:rFonts w:ascii="Arial" w:hAnsi="Arial" w:cs="Arial"/>
          <w:b/>
        </w:rPr>
        <w:sectPr w:rsidR="009A79A2" w:rsidRPr="00E65146" w:rsidSect="00A327AF">
          <w:pgSz w:w="11906" w:h="16838" w:code="9"/>
          <w:pgMar w:top="1440" w:right="1440" w:bottom="1440" w:left="1440" w:header="567" w:footer="431" w:gutter="0"/>
          <w:cols w:space="708"/>
          <w:docGrid w:linePitch="360"/>
        </w:sectPr>
      </w:pPr>
    </w:p>
    <w:p w:rsidR="00DD35FB" w:rsidRPr="00E65146" w:rsidRDefault="00CA4846" w:rsidP="00CA718F">
      <w:pPr>
        <w:pStyle w:val="ColorfulList-Accent11"/>
        <w:numPr>
          <w:ilvl w:val="0"/>
          <w:numId w:val="8"/>
        </w:numPr>
        <w:pBdr>
          <w:bottom w:val="single" w:sz="6" w:space="1" w:color="auto"/>
        </w:pBdr>
        <w:tabs>
          <w:tab w:val="left" w:pos="1530"/>
          <w:tab w:val="left" w:pos="1980"/>
        </w:tabs>
        <w:outlineLvl w:val="0"/>
        <w:rPr>
          <w:rFonts w:ascii="Arial" w:hAnsi="Arial" w:cs="Arial"/>
          <w:b/>
        </w:rPr>
      </w:pPr>
      <w:bookmarkStart w:id="102" w:name="_Toc423359359"/>
      <w:r>
        <w:rPr>
          <w:rFonts w:ascii="Arial" w:hAnsi="Arial" w:cs="Arial"/>
          <w:b/>
          <w:color w:val="000000"/>
          <w:sz w:val="22"/>
          <w:szCs w:val="20"/>
        </w:rPr>
        <w:t>FACILITY UPGRADE WORKS IN SEVENTEEN</w:t>
      </w:r>
      <w:r w:rsidR="00DD35FB" w:rsidRPr="00E65146">
        <w:rPr>
          <w:rFonts w:ascii="Arial" w:hAnsi="Arial" w:cs="Arial"/>
          <w:b/>
          <w:color w:val="000000"/>
          <w:sz w:val="22"/>
          <w:szCs w:val="20"/>
        </w:rPr>
        <w:t xml:space="preserve"> </w:t>
      </w:r>
      <w:r>
        <w:rPr>
          <w:rFonts w:ascii="Arial" w:hAnsi="Arial" w:cs="Arial"/>
          <w:b/>
          <w:color w:val="000000"/>
          <w:sz w:val="22"/>
          <w:szCs w:val="20"/>
        </w:rPr>
        <w:t>UNIVERSITIES</w:t>
      </w:r>
      <w:bookmarkEnd w:id="102"/>
    </w:p>
    <w:p w:rsidR="00DD35FB" w:rsidRPr="00E65146" w:rsidRDefault="00DD35FB" w:rsidP="00DF3343">
      <w:pPr>
        <w:spacing w:before="240" w:after="120"/>
        <w:jc w:val="center"/>
        <w:rPr>
          <w:rFonts w:ascii="Arial" w:hAnsi="Arial" w:cs="Arial"/>
          <w:b/>
          <w:color w:val="000000"/>
        </w:rPr>
      </w:pPr>
      <w:r w:rsidRPr="00E65146">
        <w:rPr>
          <w:rFonts w:ascii="Arial" w:hAnsi="Arial" w:cs="Arial"/>
          <w:b/>
          <w:color w:val="000000"/>
        </w:rPr>
        <w:t>Table 6.1: Description of works in 17 HPTF</w:t>
      </w:r>
    </w:p>
    <w:p w:rsidR="00DD35FB" w:rsidRPr="00E65146" w:rsidRDefault="00DD35FB" w:rsidP="00DD35FB">
      <w:pPr>
        <w:rPr>
          <w:rFonts w:ascii="Arial" w:hAnsi="Arial" w:cs="Arial"/>
          <w:b/>
          <w:color w:val="000000"/>
        </w:rPr>
      </w:pPr>
    </w:p>
    <w:tbl>
      <w:tblPr>
        <w:tblW w:w="13008" w:type="dxa"/>
        <w:jc w:val="center"/>
        <w:tblLayout w:type="fixed"/>
        <w:tblLook w:val="0000" w:firstRow="0" w:lastRow="0" w:firstColumn="0" w:lastColumn="0" w:noHBand="0" w:noVBand="0"/>
      </w:tblPr>
      <w:tblGrid>
        <w:gridCol w:w="5353"/>
        <w:gridCol w:w="7655"/>
      </w:tblGrid>
      <w:tr w:rsidR="00DD35FB" w:rsidRPr="00E65146" w:rsidTr="00095D13">
        <w:trPr>
          <w:trHeight w:val="315"/>
          <w:jc w:val="center"/>
        </w:trPr>
        <w:tc>
          <w:tcPr>
            <w:tcW w:w="5353" w:type="dxa"/>
            <w:tcBorders>
              <w:top w:val="single" w:sz="4" w:space="0" w:color="auto"/>
              <w:bottom w:val="single" w:sz="4" w:space="0" w:color="auto"/>
            </w:tcBorders>
          </w:tcPr>
          <w:p w:rsidR="00DD35FB" w:rsidRPr="00E65146" w:rsidRDefault="00DD35FB" w:rsidP="00095D13">
            <w:pPr>
              <w:jc w:val="center"/>
              <w:rPr>
                <w:rFonts w:ascii="Arial" w:hAnsi="Arial" w:cs="Arial"/>
                <w:b/>
                <w:color w:val="000000"/>
                <w:sz w:val="19"/>
                <w:szCs w:val="19"/>
              </w:rPr>
            </w:pPr>
            <w:r w:rsidRPr="00E65146">
              <w:rPr>
                <w:rFonts w:ascii="Arial" w:hAnsi="Arial" w:cs="Arial"/>
                <w:b/>
                <w:color w:val="000000"/>
                <w:sz w:val="19"/>
                <w:szCs w:val="19"/>
              </w:rPr>
              <w:t>Facility</w:t>
            </w:r>
          </w:p>
        </w:tc>
        <w:tc>
          <w:tcPr>
            <w:tcW w:w="7655" w:type="dxa"/>
            <w:tcBorders>
              <w:top w:val="single" w:sz="4" w:space="0" w:color="auto"/>
              <w:bottom w:val="single" w:sz="4" w:space="0" w:color="auto"/>
            </w:tcBorders>
          </w:tcPr>
          <w:p w:rsidR="00DD35FB" w:rsidRPr="00E65146" w:rsidRDefault="00DD35FB" w:rsidP="00095D13">
            <w:pPr>
              <w:jc w:val="center"/>
              <w:rPr>
                <w:rFonts w:ascii="Arial" w:hAnsi="Arial" w:cs="Arial"/>
                <w:b/>
                <w:bCs/>
                <w:color w:val="000000"/>
                <w:sz w:val="19"/>
                <w:szCs w:val="19"/>
              </w:rPr>
            </w:pPr>
            <w:r w:rsidRPr="00E65146">
              <w:rPr>
                <w:rFonts w:ascii="Arial" w:hAnsi="Arial" w:cs="Arial"/>
                <w:b/>
                <w:bCs/>
                <w:color w:val="000000"/>
                <w:sz w:val="19"/>
                <w:szCs w:val="19"/>
              </w:rPr>
              <w:t>Scope of Works</w:t>
            </w:r>
          </w:p>
        </w:tc>
      </w:tr>
      <w:tr w:rsidR="00DD35FB" w:rsidRPr="00E65146" w:rsidTr="00095D13">
        <w:trPr>
          <w:trHeight w:val="255"/>
          <w:jc w:val="center"/>
        </w:trPr>
        <w:tc>
          <w:tcPr>
            <w:tcW w:w="5353" w:type="dxa"/>
            <w:tcBorders>
              <w:top w:val="single" w:sz="4" w:space="0" w:color="auto"/>
            </w:tcBorders>
          </w:tcPr>
          <w:p w:rsidR="00DD35FB" w:rsidRPr="00E65146" w:rsidRDefault="00DD35FB" w:rsidP="00095D13">
            <w:pPr>
              <w:rPr>
                <w:rFonts w:ascii="Arial" w:hAnsi="Arial" w:cs="Arial"/>
                <w:color w:val="000000"/>
                <w:sz w:val="19"/>
                <w:szCs w:val="19"/>
              </w:rPr>
            </w:pPr>
            <w:r w:rsidRPr="00E65146">
              <w:rPr>
                <w:rFonts w:ascii="Arial" w:hAnsi="Arial" w:cs="Arial"/>
                <w:color w:val="000000"/>
                <w:sz w:val="19"/>
                <w:szCs w:val="19"/>
              </w:rPr>
              <w:t>Ha Noi Medical University</w:t>
            </w:r>
          </w:p>
        </w:tc>
        <w:tc>
          <w:tcPr>
            <w:tcW w:w="7655" w:type="dxa"/>
            <w:tcBorders>
              <w:top w:val="single" w:sz="4" w:space="0" w:color="auto"/>
            </w:tcBorders>
          </w:tcPr>
          <w:p w:rsidR="00DD35FB" w:rsidRPr="00E65146" w:rsidRDefault="00DD35FB" w:rsidP="00095D13">
            <w:pPr>
              <w:rPr>
                <w:rFonts w:ascii="Arial" w:hAnsi="Arial" w:cs="Arial"/>
                <w:bCs/>
                <w:color w:val="000000"/>
                <w:sz w:val="19"/>
                <w:szCs w:val="19"/>
              </w:rPr>
            </w:pPr>
            <w:r w:rsidRPr="00E65146">
              <w:rPr>
                <w:rFonts w:ascii="Arial" w:hAnsi="Arial" w:cs="Arial"/>
                <w:bCs/>
                <w:color w:val="000000"/>
                <w:sz w:val="19"/>
                <w:szCs w:val="19"/>
              </w:rPr>
              <w:t>Renovation of 01 lab</w:t>
            </w:r>
          </w:p>
        </w:tc>
      </w:tr>
      <w:tr w:rsidR="00DD35FB" w:rsidRPr="00E65146" w:rsidTr="00095D13">
        <w:trPr>
          <w:trHeight w:val="510"/>
          <w:jc w:val="center"/>
        </w:trPr>
        <w:tc>
          <w:tcPr>
            <w:tcW w:w="5353" w:type="dxa"/>
          </w:tcPr>
          <w:p w:rsidR="00DD35FB" w:rsidRPr="00E65146" w:rsidRDefault="00DD35FB" w:rsidP="00095D13">
            <w:pPr>
              <w:rPr>
                <w:rFonts w:ascii="Arial" w:hAnsi="Arial" w:cs="Arial"/>
                <w:color w:val="000000"/>
                <w:sz w:val="19"/>
                <w:szCs w:val="19"/>
              </w:rPr>
            </w:pPr>
            <w:r w:rsidRPr="00E65146">
              <w:rPr>
                <w:rFonts w:ascii="Arial" w:hAnsi="Arial" w:cs="Arial"/>
                <w:color w:val="000000"/>
                <w:sz w:val="19"/>
                <w:szCs w:val="19"/>
              </w:rPr>
              <w:t>Ha Noi University of Pharmacy</w:t>
            </w:r>
          </w:p>
        </w:tc>
        <w:tc>
          <w:tcPr>
            <w:tcW w:w="7655" w:type="dxa"/>
          </w:tcPr>
          <w:p w:rsidR="00DD35FB" w:rsidRPr="00E65146" w:rsidRDefault="00DD35FB" w:rsidP="00095D13">
            <w:pPr>
              <w:rPr>
                <w:rFonts w:ascii="Arial" w:hAnsi="Arial" w:cs="Arial"/>
                <w:color w:val="000000"/>
                <w:sz w:val="19"/>
                <w:szCs w:val="19"/>
              </w:rPr>
            </w:pPr>
            <w:r w:rsidRPr="00E65146">
              <w:rPr>
                <w:rFonts w:ascii="Arial" w:hAnsi="Arial" w:cs="Arial"/>
                <w:color w:val="000000"/>
                <w:sz w:val="19"/>
                <w:szCs w:val="19"/>
              </w:rPr>
              <w:t xml:space="preserve">Upgrading 03 labs for chemistry analysis </w:t>
            </w:r>
          </w:p>
        </w:tc>
      </w:tr>
      <w:tr w:rsidR="00DD35FB" w:rsidRPr="00E65146" w:rsidTr="00095D13">
        <w:trPr>
          <w:trHeight w:val="510"/>
          <w:jc w:val="center"/>
        </w:trPr>
        <w:tc>
          <w:tcPr>
            <w:tcW w:w="5353" w:type="dxa"/>
          </w:tcPr>
          <w:p w:rsidR="00DD35FB" w:rsidRPr="00E65146" w:rsidRDefault="00DD35FB" w:rsidP="00095D13">
            <w:pPr>
              <w:rPr>
                <w:rFonts w:ascii="Arial" w:hAnsi="Arial" w:cs="Arial"/>
                <w:color w:val="000000"/>
                <w:sz w:val="19"/>
                <w:szCs w:val="19"/>
              </w:rPr>
            </w:pPr>
            <w:r w:rsidRPr="00E65146">
              <w:rPr>
                <w:rFonts w:ascii="Arial" w:hAnsi="Arial" w:cs="Arial"/>
                <w:color w:val="000000"/>
                <w:sz w:val="19"/>
                <w:szCs w:val="19"/>
              </w:rPr>
              <w:t>Ha Noi School of Public Health</w:t>
            </w:r>
          </w:p>
        </w:tc>
        <w:tc>
          <w:tcPr>
            <w:tcW w:w="7655" w:type="dxa"/>
            <w:noWrap/>
          </w:tcPr>
          <w:p w:rsidR="00DD35FB" w:rsidRPr="00E65146" w:rsidRDefault="00DD35FB" w:rsidP="00095D13">
            <w:pPr>
              <w:rPr>
                <w:rFonts w:ascii="Arial" w:hAnsi="Arial" w:cs="Arial"/>
                <w:color w:val="000000"/>
                <w:sz w:val="19"/>
                <w:szCs w:val="19"/>
              </w:rPr>
            </w:pPr>
            <w:r w:rsidRPr="00E65146">
              <w:rPr>
                <w:rFonts w:ascii="Arial" w:hAnsi="Arial" w:cs="Arial"/>
                <w:bCs/>
                <w:color w:val="000000"/>
                <w:sz w:val="19"/>
                <w:szCs w:val="19"/>
              </w:rPr>
              <w:t>Upgrading 03 labs and  01  operation practice room</w:t>
            </w:r>
          </w:p>
        </w:tc>
      </w:tr>
      <w:tr w:rsidR="00DD35FB" w:rsidRPr="00E65146" w:rsidTr="00095D13">
        <w:trPr>
          <w:trHeight w:val="255"/>
          <w:jc w:val="center"/>
        </w:trPr>
        <w:tc>
          <w:tcPr>
            <w:tcW w:w="5353" w:type="dxa"/>
            <w:noWrap/>
          </w:tcPr>
          <w:p w:rsidR="00DD35FB" w:rsidRPr="00E65146" w:rsidRDefault="00DD35FB" w:rsidP="00095D13">
            <w:pPr>
              <w:rPr>
                <w:rFonts w:ascii="Arial" w:hAnsi="Arial" w:cs="Arial"/>
                <w:color w:val="000000"/>
                <w:sz w:val="19"/>
                <w:szCs w:val="19"/>
              </w:rPr>
            </w:pPr>
            <w:r w:rsidRPr="00E65146">
              <w:rPr>
                <w:rFonts w:ascii="Arial" w:hAnsi="Arial" w:cs="Arial"/>
                <w:color w:val="000000"/>
                <w:sz w:val="19"/>
                <w:szCs w:val="19"/>
              </w:rPr>
              <w:t>Viet Nam Academy of Traditional Medicine</w:t>
            </w:r>
          </w:p>
        </w:tc>
        <w:tc>
          <w:tcPr>
            <w:tcW w:w="7655" w:type="dxa"/>
            <w:noWrap/>
          </w:tcPr>
          <w:p w:rsidR="00DD35FB" w:rsidRPr="00E65146" w:rsidRDefault="00DD35FB" w:rsidP="00095D13">
            <w:pPr>
              <w:rPr>
                <w:rFonts w:ascii="Arial" w:hAnsi="Arial" w:cs="Arial"/>
                <w:bCs/>
                <w:color w:val="000000"/>
                <w:sz w:val="19"/>
                <w:szCs w:val="19"/>
              </w:rPr>
            </w:pPr>
            <w:r w:rsidRPr="00E65146">
              <w:rPr>
                <w:rFonts w:ascii="Arial" w:hAnsi="Arial" w:cs="Arial"/>
                <w:bCs/>
                <w:color w:val="000000"/>
                <w:sz w:val="19"/>
                <w:szCs w:val="19"/>
              </w:rPr>
              <w:t>Renovation of 06 labs and practice rooms</w:t>
            </w:r>
          </w:p>
        </w:tc>
      </w:tr>
      <w:tr w:rsidR="00DD35FB" w:rsidRPr="00E65146" w:rsidTr="00095D13">
        <w:trPr>
          <w:trHeight w:val="326"/>
          <w:jc w:val="center"/>
        </w:trPr>
        <w:tc>
          <w:tcPr>
            <w:tcW w:w="5353" w:type="dxa"/>
          </w:tcPr>
          <w:p w:rsidR="00DD35FB" w:rsidRPr="00E65146" w:rsidRDefault="00DD35FB" w:rsidP="00095D13">
            <w:pPr>
              <w:rPr>
                <w:rFonts w:ascii="Arial" w:hAnsi="Arial" w:cs="Arial"/>
                <w:color w:val="000000"/>
                <w:sz w:val="19"/>
                <w:szCs w:val="19"/>
              </w:rPr>
            </w:pPr>
            <w:r w:rsidRPr="00E65146">
              <w:rPr>
                <w:rFonts w:ascii="Arial" w:hAnsi="Arial" w:cs="Arial"/>
                <w:color w:val="000000"/>
                <w:sz w:val="19"/>
                <w:szCs w:val="19"/>
              </w:rPr>
              <w:t>Medical Equipment Technical Vocational College</w:t>
            </w:r>
          </w:p>
        </w:tc>
        <w:tc>
          <w:tcPr>
            <w:tcW w:w="7655" w:type="dxa"/>
          </w:tcPr>
          <w:p w:rsidR="00DD35FB" w:rsidRPr="00E65146" w:rsidRDefault="00DD35FB" w:rsidP="00095D13">
            <w:pPr>
              <w:rPr>
                <w:rFonts w:ascii="Arial" w:hAnsi="Arial" w:cs="Arial"/>
                <w:color w:val="000000"/>
                <w:sz w:val="19"/>
                <w:szCs w:val="19"/>
              </w:rPr>
            </w:pPr>
            <w:r w:rsidRPr="00E65146">
              <w:rPr>
                <w:rFonts w:ascii="Arial" w:hAnsi="Arial" w:cs="Arial"/>
                <w:color w:val="000000"/>
                <w:sz w:val="19"/>
                <w:szCs w:val="19"/>
              </w:rPr>
              <w:t>Renovation of 04 labs and practice rooms</w:t>
            </w:r>
          </w:p>
        </w:tc>
      </w:tr>
      <w:tr w:rsidR="00DD35FB" w:rsidRPr="00E65146" w:rsidTr="00095D13">
        <w:trPr>
          <w:trHeight w:val="404"/>
          <w:jc w:val="center"/>
        </w:trPr>
        <w:tc>
          <w:tcPr>
            <w:tcW w:w="5353" w:type="dxa"/>
          </w:tcPr>
          <w:p w:rsidR="00DD35FB" w:rsidRPr="00E65146" w:rsidRDefault="00DD35FB" w:rsidP="00095D13">
            <w:pPr>
              <w:rPr>
                <w:rFonts w:ascii="Arial" w:hAnsi="Arial" w:cs="Arial"/>
                <w:color w:val="000000"/>
                <w:sz w:val="19"/>
                <w:szCs w:val="19"/>
              </w:rPr>
            </w:pPr>
            <w:r w:rsidRPr="00E65146">
              <w:rPr>
                <w:rFonts w:ascii="Arial" w:hAnsi="Arial" w:cs="Arial"/>
                <w:color w:val="000000"/>
                <w:sz w:val="19"/>
                <w:szCs w:val="19"/>
              </w:rPr>
              <w:t>Hai Phong Medical University</w:t>
            </w:r>
          </w:p>
        </w:tc>
        <w:tc>
          <w:tcPr>
            <w:tcW w:w="7655" w:type="dxa"/>
          </w:tcPr>
          <w:p w:rsidR="00DD35FB" w:rsidRPr="00E65146" w:rsidRDefault="00DD35FB" w:rsidP="00095D13">
            <w:pPr>
              <w:rPr>
                <w:rFonts w:ascii="Arial" w:hAnsi="Arial" w:cs="Arial"/>
                <w:color w:val="000000"/>
                <w:sz w:val="19"/>
                <w:szCs w:val="19"/>
              </w:rPr>
            </w:pPr>
            <w:r w:rsidRPr="00E65146">
              <w:rPr>
                <w:rFonts w:ascii="Arial" w:hAnsi="Arial" w:cs="Arial"/>
                <w:color w:val="000000"/>
                <w:sz w:val="19"/>
                <w:szCs w:val="19"/>
              </w:rPr>
              <w:t xml:space="preserve">Upgrading 3 labs for public health, pharmacy and medical technics </w:t>
            </w:r>
          </w:p>
        </w:tc>
      </w:tr>
      <w:tr w:rsidR="00DD35FB" w:rsidRPr="00E65146" w:rsidTr="00095D13">
        <w:trPr>
          <w:trHeight w:val="510"/>
          <w:jc w:val="center"/>
        </w:trPr>
        <w:tc>
          <w:tcPr>
            <w:tcW w:w="5353" w:type="dxa"/>
          </w:tcPr>
          <w:p w:rsidR="00DD35FB" w:rsidRPr="00E65146" w:rsidRDefault="00DD35FB" w:rsidP="00095D13">
            <w:pPr>
              <w:rPr>
                <w:rFonts w:ascii="Arial" w:hAnsi="Arial" w:cs="Arial"/>
                <w:color w:val="000000"/>
                <w:sz w:val="19"/>
                <w:szCs w:val="19"/>
              </w:rPr>
            </w:pPr>
            <w:r w:rsidRPr="00E65146">
              <w:rPr>
                <w:rFonts w:ascii="Arial" w:hAnsi="Arial" w:cs="Arial"/>
                <w:color w:val="000000"/>
                <w:sz w:val="19"/>
                <w:szCs w:val="19"/>
              </w:rPr>
              <w:t>Hai Duong Medical Technical University</w:t>
            </w:r>
          </w:p>
        </w:tc>
        <w:tc>
          <w:tcPr>
            <w:tcW w:w="7655" w:type="dxa"/>
          </w:tcPr>
          <w:p w:rsidR="00DD35FB" w:rsidRPr="00E65146" w:rsidRDefault="00DD35FB" w:rsidP="00095D13">
            <w:pPr>
              <w:rPr>
                <w:rFonts w:ascii="Arial" w:hAnsi="Arial" w:cs="Arial"/>
                <w:color w:val="000000"/>
                <w:sz w:val="19"/>
                <w:szCs w:val="19"/>
              </w:rPr>
            </w:pPr>
            <w:r w:rsidRPr="00E65146">
              <w:rPr>
                <w:rFonts w:ascii="Arial" w:hAnsi="Arial" w:cs="Arial"/>
                <w:color w:val="000000"/>
                <w:sz w:val="19"/>
                <w:szCs w:val="19"/>
              </w:rPr>
              <w:t>Upgrading 11 labs for basic health</w:t>
            </w:r>
          </w:p>
        </w:tc>
      </w:tr>
      <w:tr w:rsidR="00DD35FB" w:rsidRPr="00E65146" w:rsidTr="00095D13">
        <w:trPr>
          <w:trHeight w:val="304"/>
          <w:jc w:val="center"/>
        </w:trPr>
        <w:tc>
          <w:tcPr>
            <w:tcW w:w="5353" w:type="dxa"/>
          </w:tcPr>
          <w:p w:rsidR="00DD35FB" w:rsidRPr="00E65146" w:rsidRDefault="00DD35FB" w:rsidP="00095D13">
            <w:pPr>
              <w:rPr>
                <w:rFonts w:ascii="Arial" w:hAnsi="Arial" w:cs="Arial"/>
                <w:color w:val="000000"/>
                <w:sz w:val="19"/>
                <w:szCs w:val="19"/>
              </w:rPr>
            </w:pPr>
            <w:r w:rsidRPr="00E65146">
              <w:rPr>
                <w:rFonts w:ascii="Arial" w:hAnsi="Arial" w:cs="Arial"/>
                <w:color w:val="000000"/>
                <w:sz w:val="19"/>
                <w:szCs w:val="19"/>
              </w:rPr>
              <w:t>Hai Duong Central College of Pharmacy</w:t>
            </w:r>
          </w:p>
        </w:tc>
        <w:tc>
          <w:tcPr>
            <w:tcW w:w="7655" w:type="dxa"/>
          </w:tcPr>
          <w:p w:rsidR="00DD35FB" w:rsidRPr="00E65146" w:rsidRDefault="00DD35FB" w:rsidP="00095D13">
            <w:pPr>
              <w:rPr>
                <w:rFonts w:ascii="Arial" w:hAnsi="Arial" w:cs="Arial"/>
                <w:color w:val="000000"/>
                <w:sz w:val="19"/>
                <w:szCs w:val="19"/>
              </w:rPr>
            </w:pPr>
            <w:r w:rsidRPr="00E65146">
              <w:rPr>
                <w:rFonts w:ascii="Arial" w:hAnsi="Arial" w:cs="Arial"/>
                <w:color w:val="000000"/>
                <w:sz w:val="19"/>
                <w:szCs w:val="19"/>
              </w:rPr>
              <w:t xml:space="preserve">Renovation of 2 farms for Chinese medicine,  upgrading 11 labs for various subjects </w:t>
            </w:r>
          </w:p>
        </w:tc>
      </w:tr>
      <w:tr w:rsidR="00DD35FB" w:rsidRPr="00E65146" w:rsidTr="00095D13">
        <w:trPr>
          <w:trHeight w:val="255"/>
          <w:jc w:val="center"/>
        </w:trPr>
        <w:tc>
          <w:tcPr>
            <w:tcW w:w="5353" w:type="dxa"/>
            <w:noWrap/>
          </w:tcPr>
          <w:p w:rsidR="00DD35FB" w:rsidRPr="00E65146" w:rsidRDefault="00DD35FB" w:rsidP="00095D13">
            <w:pPr>
              <w:rPr>
                <w:rFonts w:ascii="Arial" w:hAnsi="Arial" w:cs="Arial"/>
                <w:color w:val="000000"/>
                <w:sz w:val="19"/>
                <w:szCs w:val="19"/>
              </w:rPr>
            </w:pPr>
            <w:r w:rsidRPr="00E65146">
              <w:rPr>
                <w:rFonts w:ascii="Arial" w:hAnsi="Arial" w:cs="Arial"/>
                <w:color w:val="000000"/>
                <w:sz w:val="19"/>
                <w:szCs w:val="19"/>
              </w:rPr>
              <w:t>Thai Binh Medical University</w:t>
            </w:r>
          </w:p>
        </w:tc>
        <w:tc>
          <w:tcPr>
            <w:tcW w:w="7655" w:type="dxa"/>
            <w:noWrap/>
          </w:tcPr>
          <w:p w:rsidR="00DD35FB" w:rsidRPr="00E65146" w:rsidRDefault="00DD35FB" w:rsidP="00095D13">
            <w:pPr>
              <w:rPr>
                <w:rFonts w:ascii="Arial" w:hAnsi="Arial" w:cs="Arial"/>
                <w:bCs/>
                <w:color w:val="000000"/>
                <w:sz w:val="19"/>
                <w:szCs w:val="19"/>
              </w:rPr>
            </w:pPr>
            <w:r w:rsidRPr="00E65146">
              <w:rPr>
                <w:rFonts w:ascii="Arial" w:hAnsi="Arial" w:cs="Arial"/>
                <w:bCs/>
                <w:color w:val="000000"/>
                <w:sz w:val="19"/>
                <w:szCs w:val="19"/>
              </w:rPr>
              <w:t>Upgrading 16 labs for various subjects</w:t>
            </w:r>
          </w:p>
        </w:tc>
      </w:tr>
      <w:tr w:rsidR="00DD35FB" w:rsidRPr="00E65146" w:rsidTr="00095D13">
        <w:trPr>
          <w:trHeight w:val="372"/>
          <w:jc w:val="center"/>
        </w:trPr>
        <w:tc>
          <w:tcPr>
            <w:tcW w:w="5353" w:type="dxa"/>
          </w:tcPr>
          <w:p w:rsidR="00DD35FB" w:rsidRPr="00E65146" w:rsidRDefault="00DD35FB" w:rsidP="00095D13">
            <w:pPr>
              <w:rPr>
                <w:rFonts w:ascii="Arial" w:hAnsi="Arial" w:cs="Arial"/>
                <w:color w:val="000000"/>
                <w:sz w:val="19"/>
                <w:szCs w:val="19"/>
              </w:rPr>
            </w:pPr>
            <w:r w:rsidRPr="00E65146">
              <w:rPr>
                <w:rFonts w:ascii="Arial" w:hAnsi="Arial" w:cs="Arial"/>
                <w:color w:val="000000"/>
                <w:sz w:val="19"/>
                <w:szCs w:val="19"/>
              </w:rPr>
              <w:t>Thai Nguyen University of Medicine and Pharmacy</w:t>
            </w:r>
          </w:p>
        </w:tc>
        <w:tc>
          <w:tcPr>
            <w:tcW w:w="7655" w:type="dxa"/>
          </w:tcPr>
          <w:p w:rsidR="00DD35FB" w:rsidRPr="00E65146" w:rsidRDefault="00DD35FB" w:rsidP="00095D13">
            <w:pPr>
              <w:rPr>
                <w:rFonts w:ascii="Arial" w:hAnsi="Arial" w:cs="Arial"/>
                <w:color w:val="000000"/>
                <w:sz w:val="19"/>
                <w:szCs w:val="19"/>
              </w:rPr>
            </w:pPr>
            <w:r w:rsidRPr="00E65146">
              <w:rPr>
                <w:rFonts w:ascii="Arial" w:hAnsi="Arial" w:cs="Arial"/>
                <w:color w:val="000000"/>
                <w:sz w:val="19"/>
                <w:szCs w:val="19"/>
              </w:rPr>
              <w:t xml:space="preserve">Upgrading 06 labs for basic health subjects including a 3 floor building </w:t>
            </w:r>
          </w:p>
        </w:tc>
      </w:tr>
      <w:tr w:rsidR="00DD35FB" w:rsidRPr="00E65146" w:rsidTr="00095D13">
        <w:trPr>
          <w:trHeight w:val="423"/>
          <w:jc w:val="center"/>
        </w:trPr>
        <w:tc>
          <w:tcPr>
            <w:tcW w:w="5353" w:type="dxa"/>
          </w:tcPr>
          <w:p w:rsidR="00DD35FB" w:rsidRPr="00E65146" w:rsidRDefault="00DD35FB" w:rsidP="00095D13">
            <w:pPr>
              <w:rPr>
                <w:rFonts w:ascii="Arial" w:hAnsi="Arial" w:cs="Arial"/>
                <w:color w:val="000000"/>
                <w:sz w:val="19"/>
                <w:szCs w:val="19"/>
              </w:rPr>
            </w:pPr>
            <w:r w:rsidRPr="00E65146">
              <w:rPr>
                <w:rFonts w:ascii="Arial" w:hAnsi="Arial" w:cs="Arial"/>
                <w:color w:val="000000"/>
                <w:sz w:val="19"/>
                <w:szCs w:val="19"/>
              </w:rPr>
              <w:t>Nam Dinh University of Nursing</w:t>
            </w:r>
          </w:p>
        </w:tc>
        <w:tc>
          <w:tcPr>
            <w:tcW w:w="7655" w:type="dxa"/>
          </w:tcPr>
          <w:p w:rsidR="00DD35FB" w:rsidRPr="00E65146" w:rsidRDefault="00DD35FB" w:rsidP="00095D13">
            <w:pPr>
              <w:rPr>
                <w:rFonts w:ascii="Arial" w:hAnsi="Arial" w:cs="Arial"/>
                <w:color w:val="000000"/>
                <w:sz w:val="19"/>
                <w:szCs w:val="19"/>
              </w:rPr>
            </w:pPr>
            <w:r w:rsidRPr="00E65146">
              <w:rPr>
                <w:rFonts w:ascii="Arial" w:hAnsi="Arial" w:cs="Arial"/>
                <w:color w:val="000000"/>
                <w:sz w:val="19"/>
                <w:szCs w:val="19"/>
              </w:rPr>
              <w:t xml:space="preserve">Upgrading 15 nurse practice rooms and 04 labs for basic health </w:t>
            </w:r>
          </w:p>
        </w:tc>
      </w:tr>
      <w:tr w:rsidR="00DD35FB" w:rsidRPr="00E65146" w:rsidTr="00D87FFB">
        <w:trPr>
          <w:trHeight w:val="377"/>
          <w:jc w:val="center"/>
        </w:trPr>
        <w:tc>
          <w:tcPr>
            <w:tcW w:w="5353" w:type="dxa"/>
          </w:tcPr>
          <w:p w:rsidR="00DD35FB" w:rsidRPr="00E65146" w:rsidRDefault="00DD35FB" w:rsidP="00095D13">
            <w:pPr>
              <w:rPr>
                <w:rFonts w:ascii="Arial" w:hAnsi="Arial" w:cs="Arial"/>
                <w:color w:val="000000"/>
                <w:sz w:val="19"/>
                <w:szCs w:val="19"/>
              </w:rPr>
            </w:pPr>
            <w:r w:rsidRPr="00E65146">
              <w:rPr>
                <w:rFonts w:ascii="Arial" w:hAnsi="Arial" w:cs="Arial"/>
                <w:color w:val="000000"/>
                <w:sz w:val="19"/>
                <w:szCs w:val="19"/>
              </w:rPr>
              <w:t>Da Nang University of Medical Technology and Pharmacy</w:t>
            </w:r>
          </w:p>
        </w:tc>
        <w:tc>
          <w:tcPr>
            <w:tcW w:w="7655" w:type="dxa"/>
          </w:tcPr>
          <w:p w:rsidR="00DD35FB" w:rsidRPr="00E65146" w:rsidRDefault="00DD35FB" w:rsidP="00095D13">
            <w:pPr>
              <w:rPr>
                <w:rFonts w:ascii="Arial" w:hAnsi="Arial" w:cs="Arial"/>
                <w:color w:val="000000"/>
                <w:sz w:val="19"/>
                <w:szCs w:val="19"/>
              </w:rPr>
            </w:pPr>
            <w:r w:rsidRPr="00E65146">
              <w:rPr>
                <w:rFonts w:ascii="Arial" w:hAnsi="Arial" w:cs="Arial"/>
                <w:color w:val="000000"/>
                <w:sz w:val="19"/>
                <w:szCs w:val="19"/>
              </w:rPr>
              <w:t>Upgrading 11 practice rooms for various subjects</w:t>
            </w:r>
          </w:p>
        </w:tc>
      </w:tr>
      <w:tr w:rsidR="00DD35FB" w:rsidRPr="00E65146" w:rsidTr="00D87FFB">
        <w:trPr>
          <w:trHeight w:val="296"/>
          <w:jc w:val="center"/>
        </w:trPr>
        <w:tc>
          <w:tcPr>
            <w:tcW w:w="5353" w:type="dxa"/>
          </w:tcPr>
          <w:p w:rsidR="00DD35FB" w:rsidRPr="00E65146" w:rsidRDefault="00DD35FB" w:rsidP="00095D13">
            <w:pPr>
              <w:rPr>
                <w:rFonts w:ascii="Arial" w:hAnsi="Arial" w:cs="Arial"/>
                <w:color w:val="000000"/>
                <w:sz w:val="19"/>
                <w:szCs w:val="19"/>
              </w:rPr>
            </w:pPr>
            <w:r w:rsidRPr="00E65146">
              <w:rPr>
                <w:rFonts w:ascii="Arial" w:hAnsi="Arial" w:cs="Arial"/>
                <w:color w:val="000000"/>
                <w:sz w:val="19"/>
                <w:szCs w:val="19"/>
              </w:rPr>
              <w:t>Tay Nguyen University- Faculty of Medicine and Pharmacy</w:t>
            </w:r>
          </w:p>
        </w:tc>
        <w:tc>
          <w:tcPr>
            <w:tcW w:w="7655" w:type="dxa"/>
          </w:tcPr>
          <w:p w:rsidR="00DD35FB" w:rsidRPr="00E65146" w:rsidRDefault="00DD35FB" w:rsidP="00095D13">
            <w:pPr>
              <w:rPr>
                <w:rFonts w:ascii="Arial" w:hAnsi="Arial" w:cs="Arial"/>
                <w:color w:val="000000"/>
                <w:sz w:val="19"/>
                <w:szCs w:val="19"/>
              </w:rPr>
            </w:pPr>
            <w:r w:rsidRPr="00E65146">
              <w:rPr>
                <w:rFonts w:ascii="Arial" w:hAnsi="Arial" w:cs="Arial"/>
                <w:color w:val="000000"/>
                <w:sz w:val="19"/>
                <w:szCs w:val="19"/>
              </w:rPr>
              <w:t>Upgrading labs of block 4 and block 5 of the Medical Department.</w:t>
            </w:r>
          </w:p>
        </w:tc>
      </w:tr>
      <w:tr w:rsidR="00DD35FB" w:rsidRPr="00E65146" w:rsidTr="00095D13">
        <w:trPr>
          <w:trHeight w:val="305"/>
          <w:jc w:val="center"/>
        </w:trPr>
        <w:tc>
          <w:tcPr>
            <w:tcW w:w="5353" w:type="dxa"/>
          </w:tcPr>
          <w:p w:rsidR="00DD35FB" w:rsidRPr="00E65146" w:rsidRDefault="00DD35FB" w:rsidP="00095D13">
            <w:pPr>
              <w:rPr>
                <w:rFonts w:ascii="Arial" w:hAnsi="Arial" w:cs="Arial"/>
                <w:color w:val="000000"/>
                <w:sz w:val="19"/>
                <w:szCs w:val="19"/>
              </w:rPr>
            </w:pPr>
            <w:r w:rsidRPr="00E65146">
              <w:rPr>
                <w:rFonts w:ascii="Arial" w:hAnsi="Arial" w:cs="Arial"/>
                <w:color w:val="000000"/>
                <w:sz w:val="19"/>
                <w:szCs w:val="19"/>
              </w:rPr>
              <w:t>Vinh Medical University</w:t>
            </w:r>
          </w:p>
        </w:tc>
        <w:tc>
          <w:tcPr>
            <w:tcW w:w="7655" w:type="dxa"/>
          </w:tcPr>
          <w:p w:rsidR="00DD35FB" w:rsidRPr="00E65146" w:rsidRDefault="00DD35FB" w:rsidP="00095D13">
            <w:pPr>
              <w:rPr>
                <w:rFonts w:ascii="Arial" w:hAnsi="Arial" w:cs="Arial"/>
                <w:color w:val="000000"/>
                <w:sz w:val="19"/>
                <w:szCs w:val="19"/>
              </w:rPr>
            </w:pPr>
            <w:r w:rsidRPr="00E65146">
              <w:rPr>
                <w:rFonts w:ascii="Arial" w:hAnsi="Arial" w:cs="Arial"/>
                <w:color w:val="000000"/>
                <w:sz w:val="19"/>
                <w:szCs w:val="19"/>
              </w:rPr>
              <w:t>Renovation of 03 practice rooms</w:t>
            </w:r>
          </w:p>
        </w:tc>
      </w:tr>
      <w:tr w:rsidR="00DD35FB" w:rsidRPr="00E65146" w:rsidTr="00095D13">
        <w:trPr>
          <w:trHeight w:val="441"/>
          <w:jc w:val="center"/>
        </w:trPr>
        <w:tc>
          <w:tcPr>
            <w:tcW w:w="5353" w:type="dxa"/>
          </w:tcPr>
          <w:p w:rsidR="00DD35FB" w:rsidRPr="00E65146" w:rsidRDefault="00DD35FB" w:rsidP="00095D13">
            <w:pPr>
              <w:rPr>
                <w:rFonts w:ascii="Arial" w:hAnsi="Arial" w:cs="Arial"/>
                <w:color w:val="000000"/>
                <w:sz w:val="19"/>
                <w:szCs w:val="19"/>
              </w:rPr>
            </w:pPr>
            <w:r w:rsidRPr="00E65146">
              <w:rPr>
                <w:rFonts w:ascii="Arial" w:hAnsi="Arial" w:cs="Arial"/>
                <w:color w:val="000000"/>
                <w:sz w:val="19"/>
                <w:szCs w:val="19"/>
              </w:rPr>
              <w:t>Hue University of Medicine and Pharmacy</w:t>
            </w:r>
          </w:p>
        </w:tc>
        <w:tc>
          <w:tcPr>
            <w:tcW w:w="7655" w:type="dxa"/>
          </w:tcPr>
          <w:p w:rsidR="00DD35FB" w:rsidRPr="00E65146" w:rsidRDefault="00DD35FB" w:rsidP="00095D13">
            <w:pPr>
              <w:rPr>
                <w:rFonts w:ascii="Arial" w:hAnsi="Arial" w:cs="Arial"/>
                <w:color w:val="000000"/>
                <w:sz w:val="19"/>
                <w:szCs w:val="19"/>
              </w:rPr>
            </w:pPr>
            <w:r w:rsidRPr="00E65146">
              <w:rPr>
                <w:rFonts w:ascii="Arial" w:hAnsi="Arial" w:cs="Arial"/>
                <w:color w:val="000000"/>
                <w:sz w:val="19"/>
                <w:szCs w:val="19"/>
              </w:rPr>
              <w:t>Upgrading 03 labs and 03 practice rooms</w:t>
            </w:r>
          </w:p>
        </w:tc>
      </w:tr>
      <w:tr w:rsidR="00DD35FB" w:rsidRPr="00E65146" w:rsidTr="00095D13">
        <w:trPr>
          <w:trHeight w:val="419"/>
          <w:jc w:val="center"/>
        </w:trPr>
        <w:tc>
          <w:tcPr>
            <w:tcW w:w="5353" w:type="dxa"/>
          </w:tcPr>
          <w:p w:rsidR="00DD35FB" w:rsidRPr="00E65146" w:rsidRDefault="00DD35FB" w:rsidP="00095D13">
            <w:pPr>
              <w:rPr>
                <w:rFonts w:ascii="Arial" w:hAnsi="Arial" w:cs="Arial"/>
                <w:color w:val="000000"/>
                <w:sz w:val="19"/>
                <w:szCs w:val="19"/>
              </w:rPr>
            </w:pPr>
            <w:r w:rsidRPr="00E65146">
              <w:rPr>
                <w:rFonts w:ascii="Arial" w:hAnsi="Arial" w:cs="Arial"/>
                <w:color w:val="000000"/>
                <w:sz w:val="19"/>
                <w:szCs w:val="19"/>
              </w:rPr>
              <w:t>HCMC University of Medicine and Pharmacy</w:t>
            </w:r>
          </w:p>
        </w:tc>
        <w:tc>
          <w:tcPr>
            <w:tcW w:w="7655" w:type="dxa"/>
          </w:tcPr>
          <w:p w:rsidR="00DD35FB" w:rsidRPr="00E65146" w:rsidRDefault="00DD35FB" w:rsidP="00095D13">
            <w:pPr>
              <w:rPr>
                <w:rFonts w:ascii="Arial" w:hAnsi="Arial" w:cs="Arial"/>
                <w:color w:val="000000"/>
                <w:sz w:val="19"/>
                <w:szCs w:val="19"/>
              </w:rPr>
            </w:pPr>
            <w:r w:rsidRPr="00E65146">
              <w:rPr>
                <w:rFonts w:ascii="Arial" w:hAnsi="Arial" w:cs="Arial"/>
                <w:color w:val="000000"/>
                <w:sz w:val="19"/>
                <w:szCs w:val="19"/>
              </w:rPr>
              <w:t>Arrangement  of  professional tables for the Basic Health lab</w:t>
            </w:r>
          </w:p>
        </w:tc>
      </w:tr>
      <w:tr w:rsidR="00DD35FB" w:rsidRPr="00E65146" w:rsidTr="00095D13">
        <w:trPr>
          <w:trHeight w:val="315"/>
          <w:jc w:val="center"/>
        </w:trPr>
        <w:tc>
          <w:tcPr>
            <w:tcW w:w="5353" w:type="dxa"/>
            <w:tcBorders>
              <w:bottom w:val="single" w:sz="4" w:space="0" w:color="auto"/>
            </w:tcBorders>
          </w:tcPr>
          <w:p w:rsidR="00DD35FB" w:rsidRPr="00E65146" w:rsidRDefault="00DD35FB" w:rsidP="00095D13">
            <w:pPr>
              <w:rPr>
                <w:rFonts w:ascii="Arial" w:hAnsi="Arial" w:cs="Arial"/>
                <w:color w:val="000000"/>
                <w:sz w:val="19"/>
                <w:szCs w:val="19"/>
              </w:rPr>
            </w:pPr>
            <w:r w:rsidRPr="00E65146">
              <w:rPr>
                <w:rFonts w:ascii="Arial" w:hAnsi="Arial" w:cs="Arial"/>
                <w:color w:val="000000"/>
                <w:sz w:val="19"/>
                <w:szCs w:val="19"/>
              </w:rPr>
              <w:t>Can Tho University of Medicine and Pharmacy</w:t>
            </w:r>
          </w:p>
        </w:tc>
        <w:tc>
          <w:tcPr>
            <w:tcW w:w="7655" w:type="dxa"/>
            <w:tcBorders>
              <w:bottom w:val="single" w:sz="4" w:space="0" w:color="auto"/>
            </w:tcBorders>
          </w:tcPr>
          <w:p w:rsidR="00DD35FB" w:rsidRPr="00E65146" w:rsidRDefault="00DD35FB" w:rsidP="00095D13">
            <w:pPr>
              <w:rPr>
                <w:rFonts w:ascii="Arial" w:hAnsi="Arial" w:cs="Arial"/>
                <w:bCs/>
                <w:color w:val="000000"/>
                <w:sz w:val="19"/>
                <w:szCs w:val="19"/>
              </w:rPr>
            </w:pPr>
            <w:r w:rsidRPr="00E65146">
              <w:rPr>
                <w:rFonts w:ascii="Arial" w:hAnsi="Arial" w:cs="Arial"/>
                <w:bCs/>
                <w:color w:val="000000"/>
                <w:sz w:val="19"/>
                <w:szCs w:val="19"/>
              </w:rPr>
              <w:t>Upgrading 05 labs for basic health subjects</w:t>
            </w:r>
          </w:p>
        </w:tc>
      </w:tr>
    </w:tbl>
    <w:p w:rsidR="00D87FFB" w:rsidRDefault="00D87FFB" w:rsidP="00DD35FB">
      <w:pPr>
        <w:tabs>
          <w:tab w:val="left" w:pos="1530"/>
        </w:tabs>
        <w:rPr>
          <w:rFonts w:ascii="Arial" w:hAnsi="Arial" w:cs="Arial"/>
        </w:rPr>
      </w:pPr>
    </w:p>
    <w:p w:rsidR="00D87FFB" w:rsidRPr="00E65146" w:rsidRDefault="00D87FFB" w:rsidP="00D87FFB">
      <w:pPr>
        <w:tabs>
          <w:tab w:val="left" w:pos="1530"/>
        </w:tabs>
        <w:ind w:left="426"/>
        <w:rPr>
          <w:rFonts w:ascii="Arial" w:hAnsi="Arial" w:cs="Arial"/>
        </w:rPr>
        <w:sectPr w:rsidR="00D87FFB" w:rsidRPr="00E65146" w:rsidSect="00A327AF">
          <w:pgSz w:w="16838" w:h="11906" w:orient="landscape" w:code="9"/>
          <w:pgMar w:top="1440" w:right="1440" w:bottom="1440" w:left="1440" w:header="567" w:footer="431" w:gutter="0"/>
          <w:cols w:space="708"/>
          <w:docGrid w:linePitch="360"/>
        </w:sectPr>
      </w:pPr>
      <w:r w:rsidRPr="00C6560B">
        <w:rPr>
          <w:rFonts w:ascii="Arial" w:hAnsi="Arial" w:cs="Arial"/>
          <w:b/>
          <w:sz w:val="18"/>
          <w:szCs w:val="18"/>
        </w:rPr>
        <w:t>Source:</w:t>
      </w:r>
      <w:r w:rsidRPr="00C6560B">
        <w:rPr>
          <w:rFonts w:ascii="Arial" w:hAnsi="Arial" w:cs="Arial"/>
          <w:sz w:val="18"/>
          <w:szCs w:val="18"/>
        </w:rPr>
        <w:t xml:space="preserve"> </w:t>
      </w:r>
      <w:r>
        <w:rPr>
          <w:rFonts w:ascii="Arial" w:hAnsi="Arial" w:cs="Arial"/>
          <w:sz w:val="18"/>
          <w:szCs w:val="18"/>
        </w:rPr>
        <w:t>HHRSDP M&amp;E Consultants</w:t>
      </w:r>
    </w:p>
    <w:p w:rsidR="00F120CC" w:rsidRPr="00E65146" w:rsidRDefault="00642437" w:rsidP="00CA718F">
      <w:pPr>
        <w:pStyle w:val="ColorfulList-Accent11"/>
        <w:numPr>
          <w:ilvl w:val="0"/>
          <w:numId w:val="8"/>
        </w:numPr>
        <w:pBdr>
          <w:bottom w:val="single" w:sz="6" w:space="1" w:color="auto"/>
        </w:pBdr>
        <w:tabs>
          <w:tab w:val="left" w:pos="1530"/>
          <w:tab w:val="left" w:pos="1980"/>
        </w:tabs>
        <w:outlineLvl w:val="0"/>
        <w:rPr>
          <w:rFonts w:ascii="Arial" w:hAnsi="Arial" w:cs="Arial"/>
          <w:b/>
          <w:sz w:val="22"/>
          <w:szCs w:val="22"/>
        </w:rPr>
      </w:pPr>
      <w:bookmarkStart w:id="103" w:name="_Toc423359360"/>
      <w:r w:rsidRPr="00E65146">
        <w:rPr>
          <w:rFonts w:ascii="Arial" w:hAnsi="Arial" w:cs="Arial"/>
          <w:b/>
          <w:sz w:val="22"/>
          <w:szCs w:val="22"/>
        </w:rPr>
        <w:t>CARE PATHWAYS PILOT</w:t>
      </w:r>
      <w:bookmarkEnd w:id="103"/>
    </w:p>
    <w:p w:rsidR="00C316F9" w:rsidRPr="00E65146" w:rsidRDefault="00C316F9" w:rsidP="00DF3343">
      <w:pPr>
        <w:spacing w:before="240" w:after="120"/>
        <w:jc w:val="center"/>
        <w:rPr>
          <w:rFonts w:ascii="Arial" w:hAnsi="Arial" w:cs="Arial"/>
          <w:b/>
        </w:rPr>
      </w:pPr>
      <w:r w:rsidRPr="00E65146">
        <w:rPr>
          <w:rFonts w:ascii="Arial" w:hAnsi="Arial" w:cs="Arial"/>
          <w:b/>
        </w:rPr>
        <w:t>Table 7.1: Comparison of ALOS for patients treated and not treated with CPs</w:t>
      </w:r>
    </w:p>
    <w:tbl>
      <w:tblPr>
        <w:tblW w:w="9364" w:type="dxa"/>
        <w:tblInd w:w="93" w:type="dxa"/>
        <w:tblLook w:val="04A0" w:firstRow="1" w:lastRow="0" w:firstColumn="1" w:lastColumn="0" w:noHBand="0" w:noVBand="1"/>
      </w:tblPr>
      <w:tblGrid>
        <w:gridCol w:w="694"/>
        <w:gridCol w:w="4631"/>
        <w:gridCol w:w="884"/>
        <w:gridCol w:w="772"/>
        <w:gridCol w:w="661"/>
        <w:gridCol w:w="772"/>
        <w:gridCol w:w="950"/>
      </w:tblGrid>
      <w:tr w:rsidR="00FD7B81" w:rsidRPr="00E65146" w:rsidTr="00D113E1">
        <w:trPr>
          <w:trHeight w:val="528"/>
        </w:trPr>
        <w:tc>
          <w:tcPr>
            <w:tcW w:w="532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D7B81" w:rsidRPr="001655E2" w:rsidRDefault="00FD7B81" w:rsidP="00FD7B81">
            <w:pPr>
              <w:jc w:val="center"/>
              <w:rPr>
                <w:rFonts w:ascii="Arial" w:hAnsi="Arial" w:cs="Arial"/>
                <w:b/>
                <w:bCs/>
                <w:sz w:val="19"/>
                <w:szCs w:val="19"/>
              </w:rPr>
            </w:pPr>
            <w:bookmarkStart w:id="104" w:name="RANGE!A1:G35"/>
            <w:r w:rsidRPr="001655E2">
              <w:rPr>
                <w:rFonts w:ascii="Arial" w:hAnsi="Arial" w:cs="Arial"/>
                <w:b/>
                <w:bCs/>
                <w:sz w:val="19"/>
                <w:szCs w:val="19"/>
              </w:rPr>
              <w:t>Case Type-code and Description</w:t>
            </w:r>
            <w:bookmarkEnd w:id="104"/>
          </w:p>
        </w:tc>
        <w:tc>
          <w:tcPr>
            <w:tcW w:w="1656" w:type="dxa"/>
            <w:gridSpan w:val="2"/>
            <w:tcBorders>
              <w:top w:val="single" w:sz="4" w:space="0" w:color="auto"/>
              <w:left w:val="nil"/>
              <w:bottom w:val="single" w:sz="4" w:space="0" w:color="auto"/>
              <w:right w:val="single" w:sz="4" w:space="0" w:color="auto"/>
            </w:tcBorders>
            <w:shd w:val="clear" w:color="auto" w:fill="auto"/>
            <w:vAlign w:val="center"/>
            <w:hideMark/>
          </w:tcPr>
          <w:p w:rsidR="00FD7B81" w:rsidRPr="001655E2" w:rsidRDefault="00FD7B81" w:rsidP="00FD7B81">
            <w:pPr>
              <w:jc w:val="center"/>
              <w:rPr>
                <w:rFonts w:ascii="Arial" w:hAnsi="Arial" w:cs="Arial"/>
                <w:b/>
                <w:bCs/>
                <w:sz w:val="19"/>
                <w:szCs w:val="19"/>
              </w:rPr>
            </w:pPr>
            <w:r w:rsidRPr="001655E2">
              <w:rPr>
                <w:rFonts w:ascii="Arial" w:hAnsi="Arial" w:cs="Arial"/>
                <w:b/>
                <w:bCs/>
                <w:sz w:val="19"/>
                <w:szCs w:val="19"/>
              </w:rPr>
              <w:t>ALOS without CP</w:t>
            </w:r>
          </w:p>
        </w:tc>
        <w:tc>
          <w:tcPr>
            <w:tcW w:w="1433" w:type="dxa"/>
            <w:gridSpan w:val="2"/>
            <w:tcBorders>
              <w:top w:val="single" w:sz="4" w:space="0" w:color="auto"/>
              <w:left w:val="nil"/>
              <w:bottom w:val="single" w:sz="4" w:space="0" w:color="auto"/>
              <w:right w:val="single" w:sz="4" w:space="0" w:color="auto"/>
            </w:tcBorders>
            <w:shd w:val="clear" w:color="auto" w:fill="auto"/>
            <w:vAlign w:val="center"/>
            <w:hideMark/>
          </w:tcPr>
          <w:p w:rsidR="00FD7B81" w:rsidRPr="001655E2" w:rsidRDefault="00FD7B81" w:rsidP="00FD7B81">
            <w:pPr>
              <w:jc w:val="center"/>
              <w:rPr>
                <w:rFonts w:ascii="Arial" w:hAnsi="Arial" w:cs="Arial"/>
                <w:b/>
                <w:bCs/>
                <w:sz w:val="19"/>
                <w:szCs w:val="19"/>
              </w:rPr>
            </w:pPr>
            <w:r w:rsidRPr="001655E2">
              <w:rPr>
                <w:rFonts w:ascii="Arial" w:hAnsi="Arial" w:cs="Arial"/>
                <w:b/>
                <w:bCs/>
                <w:sz w:val="19"/>
                <w:szCs w:val="19"/>
              </w:rPr>
              <w:t>ALOS with CP</w:t>
            </w:r>
          </w:p>
        </w:tc>
        <w:tc>
          <w:tcPr>
            <w:tcW w:w="950" w:type="dxa"/>
            <w:tcBorders>
              <w:top w:val="single" w:sz="4" w:space="0" w:color="auto"/>
              <w:left w:val="nil"/>
              <w:bottom w:val="single" w:sz="4" w:space="0" w:color="auto"/>
              <w:right w:val="single" w:sz="4" w:space="0" w:color="auto"/>
            </w:tcBorders>
            <w:shd w:val="clear" w:color="auto" w:fill="auto"/>
            <w:vAlign w:val="center"/>
            <w:hideMark/>
          </w:tcPr>
          <w:p w:rsidR="00FD7B81" w:rsidRPr="001655E2" w:rsidRDefault="00FD7B81" w:rsidP="00FD7B81">
            <w:pPr>
              <w:jc w:val="center"/>
              <w:rPr>
                <w:rFonts w:ascii="Arial" w:hAnsi="Arial" w:cs="Arial"/>
                <w:b/>
                <w:bCs/>
                <w:sz w:val="19"/>
                <w:szCs w:val="19"/>
              </w:rPr>
            </w:pPr>
            <w:r w:rsidRPr="001655E2">
              <w:rPr>
                <w:rFonts w:ascii="Arial" w:hAnsi="Arial" w:cs="Arial"/>
                <w:b/>
                <w:bCs/>
                <w:sz w:val="19"/>
                <w:szCs w:val="19"/>
              </w:rPr>
              <w:t>Change</w:t>
            </w:r>
          </w:p>
        </w:tc>
      </w:tr>
      <w:tr w:rsidR="00FD7B81" w:rsidRPr="00E65146" w:rsidTr="00693D90">
        <w:trPr>
          <w:trHeight w:val="255"/>
        </w:trPr>
        <w:tc>
          <w:tcPr>
            <w:tcW w:w="5325" w:type="dxa"/>
            <w:gridSpan w:val="2"/>
            <w:vMerge/>
            <w:tcBorders>
              <w:top w:val="single" w:sz="4" w:space="0" w:color="auto"/>
              <w:left w:val="single" w:sz="4" w:space="0" w:color="auto"/>
              <w:bottom w:val="single" w:sz="4" w:space="0" w:color="000000"/>
              <w:right w:val="single" w:sz="4" w:space="0" w:color="000000"/>
            </w:tcBorders>
            <w:vAlign w:val="center"/>
            <w:hideMark/>
          </w:tcPr>
          <w:p w:rsidR="00FD7B81" w:rsidRPr="001655E2" w:rsidRDefault="00FD7B81" w:rsidP="00FD7B81">
            <w:pPr>
              <w:rPr>
                <w:rFonts w:ascii="Arial" w:hAnsi="Arial" w:cs="Arial"/>
                <w:b/>
                <w:bCs/>
                <w:sz w:val="19"/>
                <w:szCs w:val="19"/>
              </w:rPr>
            </w:pP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FD7B81" w:rsidRPr="001655E2" w:rsidRDefault="00FD7B81" w:rsidP="00FD7B81">
            <w:pPr>
              <w:jc w:val="center"/>
              <w:rPr>
                <w:rFonts w:ascii="Arial" w:hAnsi="Arial" w:cs="Arial"/>
                <w:b/>
                <w:bCs/>
                <w:sz w:val="19"/>
                <w:szCs w:val="19"/>
              </w:rPr>
            </w:pPr>
            <w:r w:rsidRPr="001655E2">
              <w:rPr>
                <w:rFonts w:ascii="Arial" w:hAnsi="Arial" w:cs="Arial"/>
                <w:b/>
                <w:bCs/>
                <w:sz w:val="19"/>
                <w:szCs w:val="19"/>
              </w:rPr>
              <w:t>N</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FD7B81" w:rsidRPr="001655E2" w:rsidRDefault="00FD7B81" w:rsidP="00FD7B81">
            <w:pPr>
              <w:jc w:val="center"/>
              <w:rPr>
                <w:rFonts w:ascii="Arial" w:hAnsi="Arial" w:cs="Arial"/>
                <w:b/>
                <w:bCs/>
                <w:sz w:val="19"/>
                <w:szCs w:val="19"/>
              </w:rPr>
            </w:pPr>
            <w:r w:rsidRPr="001655E2">
              <w:rPr>
                <w:rFonts w:ascii="Arial" w:hAnsi="Arial" w:cs="Arial"/>
                <w:b/>
                <w:bCs/>
                <w:sz w:val="19"/>
                <w:szCs w:val="19"/>
              </w:rPr>
              <w:t>ALOS</w:t>
            </w:r>
          </w:p>
        </w:tc>
        <w:tc>
          <w:tcPr>
            <w:tcW w:w="661"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center"/>
              <w:rPr>
                <w:rFonts w:ascii="Arial" w:hAnsi="Arial" w:cs="Arial"/>
                <w:b/>
                <w:bCs/>
                <w:sz w:val="19"/>
                <w:szCs w:val="19"/>
              </w:rPr>
            </w:pPr>
            <w:r w:rsidRPr="001655E2">
              <w:rPr>
                <w:rFonts w:ascii="Arial" w:hAnsi="Arial" w:cs="Arial"/>
                <w:b/>
                <w:bCs/>
                <w:sz w:val="19"/>
                <w:szCs w:val="19"/>
              </w:rPr>
              <w:t>N</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center"/>
              <w:rPr>
                <w:rFonts w:ascii="Arial" w:hAnsi="Arial" w:cs="Arial"/>
                <w:b/>
                <w:bCs/>
                <w:sz w:val="19"/>
                <w:szCs w:val="19"/>
              </w:rPr>
            </w:pPr>
            <w:r w:rsidRPr="001655E2">
              <w:rPr>
                <w:rFonts w:ascii="Arial" w:hAnsi="Arial" w:cs="Arial"/>
                <w:b/>
                <w:bCs/>
                <w:sz w:val="19"/>
                <w:szCs w:val="19"/>
              </w:rPr>
              <w:t>ALOS</w:t>
            </w:r>
          </w:p>
        </w:tc>
        <w:tc>
          <w:tcPr>
            <w:tcW w:w="950"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center"/>
              <w:rPr>
                <w:rFonts w:ascii="Arial" w:hAnsi="Arial" w:cs="Arial"/>
                <w:b/>
                <w:bCs/>
                <w:sz w:val="19"/>
                <w:szCs w:val="19"/>
              </w:rPr>
            </w:pPr>
            <w:r w:rsidRPr="001655E2">
              <w:rPr>
                <w:rFonts w:ascii="Arial" w:hAnsi="Arial" w:cs="Arial"/>
                <w:b/>
                <w:bCs/>
                <w:sz w:val="19"/>
                <w:szCs w:val="19"/>
              </w:rPr>
              <w:t>%</w:t>
            </w:r>
          </w:p>
        </w:tc>
      </w:tr>
      <w:tr w:rsidR="00FD7B81" w:rsidRPr="00E65146" w:rsidTr="00693D90">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1.1</w:t>
            </w:r>
          </w:p>
        </w:tc>
        <w:tc>
          <w:tcPr>
            <w:tcW w:w="4631" w:type="dxa"/>
            <w:tcBorders>
              <w:top w:val="nil"/>
              <w:left w:val="nil"/>
              <w:bottom w:val="single" w:sz="4" w:space="0" w:color="auto"/>
              <w:right w:val="single" w:sz="4" w:space="0" w:color="auto"/>
            </w:tcBorders>
            <w:shd w:val="clear" w:color="auto" w:fill="auto"/>
            <w:vAlign w:val="center"/>
            <w:hideMark/>
          </w:tcPr>
          <w:p w:rsidR="00FD7B81" w:rsidRPr="001655E2" w:rsidRDefault="00F70A4D" w:rsidP="00FD7B81">
            <w:pPr>
              <w:rPr>
                <w:rFonts w:ascii="Arial" w:hAnsi="Arial" w:cs="Arial"/>
                <w:sz w:val="19"/>
                <w:szCs w:val="19"/>
              </w:rPr>
            </w:pPr>
            <w:r w:rsidRPr="001655E2">
              <w:rPr>
                <w:rFonts w:ascii="Arial" w:hAnsi="Arial" w:cs="Arial"/>
                <w:sz w:val="19"/>
                <w:szCs w:val="19"/>
              </w:rPr>
              <w:t>Miscellaneous</w:t>
            </w:r>
            <w:r w:rsidR="00FD7B81" w:rsidRPr="001655E2">
              <w:rPr>
                <w:rFonts w:ascii="Arial" w:hAnsi="Arial" w:cs="Arial"/>
                <w:sz w:val="19"/>
                <w:szCs w:val="19"/>
              </w:rPr>
              <w:t xml:space="preserve"> digestive disorders age &gt; 9, no CC</w:t>
            </w:r>
          </w:p>
        </w:tc>
        <w:tc>
          <w:tcPr>
            <w:tcW w:w="884"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7</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10.86</w:t>
            </w:r>
          </w:p>
        </w:tc>
        <w:tc>
          <w:tcPr>
            <w:tcW w:w="661"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14</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3.64</w:t>
            </w:r>
          </w:p>
        </w:tc>
        <w:tc>
          <w:tcPr>
            <w:tcW w:w="950"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34%</w:t>
            </w:r>
          </w:p>
        </w:tc>
      </w:tr>
      <w:tr w:rsidR="00FD7B81" w:rsidRPr="00E65146" w:rsidTr="00693D90">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1.9</w:t>
            </w:r>
          </w:p>
        </w:tc>
        <w:tc>
          <w:tcPr>
            <w:tcW w:w="4631" w:type="dxa"/>
            <w:tcBorders>
              <w:top w:val="nil"/>
              <w:left w:val="nil"/>
              <w:bottom w:val="single" w:sz="4" w:space="0" w:color="auto"/>
              <w:right w:val="single" w:sz="4" w:space="0" w:color="auto"/>
            </w:tcBorders>
            <w:shd w:val="clear" w:color="auto" w:fill="auto"/>
            <w:vAlign w:val="center"/>
            <w:hideMark/>
          </w:tcPr>
          <w:p w:rsidR="00FD7B81" w:rsidRPr="001655E2" w:rsidRDefault="00F70A4D" w:rsidP="00FD7B81">
            <w:pPr>
              <w:rPr>
                <w:rFonts w:ascii="Arial" w:hAnsi="Arial" w:cs="Arial"/>
                <w:sz w:val="19"/>
                <w:szCs w:val="19"/>
              </w:rPr>
            </w:pPr>
            <w:r w:rsidRPr="001655E2">
              <w:rPr>
                <w:rFonts w:ascii="Arial" w:hAnsi="Arial" w:cs="Arial"/>
                <w:sz w:val="19"/>
                <w:szCs w:val="19"/>
              </w:rPr>
              <w:t>Esophagitis</w:t>
            </w:r>
            <w:r w:rsidR="00FD7B81" w:rsidRPr="001655E2">
              <w:rPr>
                <w:rFonts w:ascii="Arial" w:hAnsi="Arial" w:cs="Arial"/>
                <w:sz w:val="19"/>
                <w:szCs w:val="19"/>
              </w:rPr>
              <w:t>, gastritis and dyspepsia age &gt; 9, no CC</w:t>
            </w:r>
          </w:p>
        </w:tc>
        <w:tc>
          <w:tcPr>
            <w:tcW w:w="884"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19146</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3.47</w:t>
            </w:r>
          </w:p>
        </w:tc>
        <w:tc>
          <w:tcPr>
            <w:tcW w:w="661"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42</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3.38</w:t>
            </w:r>
          </w:p>
        </w:tc>
        <w:tc>
          <w:tcPr>
            <w:tcW w:w="950"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97%</w:t>
            </w:r>
          </w:p>
        </w:tc>
      </w:tr>
      <w:tr w:rsidR="00FD7B81" w:rsidRPr="00E65146" w:rsidTr="00693D90">
        <w:trPr>
          <w:trHeight w:val="49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2.0</w:t>
            </w:r>
          </w:p>
        </w:tc>
        <w:tc>
          <w:tcPr>
            <w:tcW w:w="4631" w:type="dxa"/>
            <w:tcBorders>
              <w:top w:val="nil"/>
              <w:left w:val="nil"/>
              <w:bottom w:val="single" w:sz="4" w:space="0" w:color="auto"/>
              <w:right w:val="single" w:sz="4" w:space="0" w:color="auto"/>
            </w:tcBorders>
            <w:shd w:val="clear" w:color="auto" w:fill="auto"/>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 xml:space="preserve">Nervous </w:t>
            </w:r>
            <w:r w:rsidR="00F70A4D" w:rsidRPr="001655E2">
              <w:rPr>
                <w:rFonts w:ascii="Arial" w:hAnsi="Arial" w:cs="Arial"/>
                <w:sz w:val="19"/>
                <w:szCs w:val="19"/>
              </w:rPr>
              <w:t>syst</w:t>
            </w:r>
            <w:r w:rsidR="00F70A4D">
              <w:rPr>
                <w:rFonts w:ascii="Arial" w:hAnsi="Arial" w:cs="Arial"/>
                <w:sz w:val="19"/>
                <w:szCs w:val="19"/>
              </w:rPr>
              <w:t>em</w:t>
            </w:r>
            <w:r w:rsidRPr="001655E2">
              <w:rPr>
                <w:rFonts w:ascii="Arial" w:hAnsi="Arial" w:cs="Arial"/>
                <w:sz w:val="19"/>
                <w:szCs w:val="19"/>
              </w:rPr>
              <w:t xml:space="preserve"> infection </w:t>
            </w:r>
            <w:r w:rsidR="00F70A4D" w:rsidRPr="001655E2">
              <w:rPr>
                <w:rFonts w:ascii="Arial" w:hAnsi="Arial" w:cs="Arial"/>
                <w:sz w:val="19"/>
                <w:szCs w:val="19"/>
              </w:rPr>
              <w:t>exc</w:t>
            </w:r>
            <w:r w:rsidR="00F70A4D">
              <w:rPr>
                <w:rFonts w:ascii="Arial" w:hAnsi="Arial" w:cs="Arial"/>
                <w:sz w:val="19"/>
                <w:szCs w:val="19"/>
              </w:rPr>
              <w:t>luding</w:t>
            </w:r>
            <w:r w:rsidRPr="001655E2">
              <w:rPr>
                <w:rFonts w:ascii="Arial" w:hAnsi="Arial" w:cs="Arial"/>
                <w:sz w:val="19"/>
                <w:szCs w:val="19"/>
              </w:rPr>
              <w:t xml:space="preserve"> viral meningitis, transferred, no CC</w:t>
            </w:r>
          </w:p>
        </w:tc>
        <w:tc>
          <w:tcPr>
            <w:tcW w:w="884"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102</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11.95</w:t>
            </w:r>
          </w:p>
        </w:tc>
        <w:tc>
          <w:tcPr>
            <w:tcW w:w="661"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NA</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NA</w:t>
            </w:r>
          </w:p>
        </w:tc>
        <w:tc>
          <w:tcPr>
            <w:tcW w:w="950"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NA</w:t>
            </w:r>
          </w:p>
        </w:tc>
      </w:tr>
      <w:tr w:rsidR="00FD7B81" w:rsidRPr="00E65146" w:rsidTr="00693D90">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3.0</w:t>
            </w:r>
          </w:p>
        </w:tc>
        <w:tc>
          <w:tcPr>
            <w:tcW w:w="4631" w:type="dxa"/>
            <w:tcBorders>
              <w:top w:val="nil"/>
              <w:left w:val="nil"/>
              <w:bottom w:val="single" w:sz="4" w:space="0" w:color="auto"/>
              <w:right w:val="single" w:sz="4" w:space="0" w:color="auto"/>
            </w:tcBorders>
            <w:shd w:val="clear" w:color="auto" w:fill="auto"/>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 xml:space="preserve">Dengue, adult, </w:t>
            </w:r>
            <w:r w:rsidR="00F70A4D">
              <w:rPr>
                <w:rFonts w:ascii="Arial" w:hAnsi="Arial" w:cs="Arial"/>
                <w:sz w:val="19"/>
                <w:szCs w:val="19"/>
              </w:rPr>
              <w:t>with</w:t>
            </w:r>
            <w:r w:rsidRPr="001655E2">
              <w:rPr>
                <w:rFonts w:ascii="Arial" w:hAnsi="Arial" w:cs="Arial"/>
                <w:sz w:val="19"/>
                <w:szCs w:val="19"/>
              </w:rPr>
              <w:t xml:space="preserve"> mild CC</w:t>
            </w:r>
          </w:p>
        </w:tc>
        <w:tc>
          <w:tcPr>
            <w:tcW w:w="884"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460</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5.57</w:t>
            </w:r>
          </w:p>
        </w:tc>
        <w:tc>
          <w:tcPr>
            <w:tcW w:w="661"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31</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7.16</w:t>
            </w:r>
          </w:p>
        </w:tc>
        <w:tc>
          <w:tcPr>
            <w:tcW w:w="950"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129%</w:t>
            </w:r>
          </w:p>
        </w:tc>
      </w:tr>
      <w:tr w:rsidR="00FD7B81" w:rsidRPr="00E65146" w:rsidTr="00693D90">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4.0</w:t>
            </w:r>
          </w:p>
        </w:tc>
        <w:tc>
          <w:tcPr>
            <w:tcW w:w="4631" w:type="dxa"/>
            <w:tcBorders>
              <w:top w:val="nil"/>
              <w:left w:val="nil"/>
              <w:bottom w:val="single" w:sz="4" w:space="0" w:color="auto"/>
              <w:right w:val="single" w:sz="4" w:space="0" w:color="auto"/>
            </w:tcBorders>
            <w:shd w:val="clear" w:color="auto" w:fill="auto"/>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 xml:space="preserve">Trĩ -Internal </w:t>
            </w:r>
            <w:r w:rsidR="00F70A4D" w:rsidRPr="001655E2">
              <w:rPr>
                <w:rFonts w:ascii="Arial" w:hAnsi="Arial" w:cs="Arial"/>
                <w:sz w:val="19"/>
                <w:szCs w:val="19"/>
              </w:rPr>
              <w:t>hemorrhoids</w:t>
            </w:r>
            <w:r w:rsidRPr="001655E2">
              <w:rPr>
                <w:rFonts w:ascii="Arial" w:hAnsi="Arial" w:cs="Arial"/>
                <w:sz w:val="19"/>
                <w:szCs w:val="19"/>
              </w:rPr>
              <w:t xml:space="preserve"> without complication</w:t>
            </w:r>
          </w:p>
        </w:tc>
        <w:tc>
          <w:tcPr>
            <w:tcW w:w="884"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3296</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6.86</w:t>
            </w:r>
          </w:p>
        </w:tc>
        <w:tc>
          <w:tcPr>
            <w:tcW w:w="661"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130</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3.85</w:t>
            </w:r>
          </w:p>
        </w:tc>
        <w:tc>
          <w:tcPr>
            <w:tcW w:w="950"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56%</w:t>
            </w:r>
          </w:p>
        </w:tc>
      </w:tr>
      <w:tr w:rsidR="00FD7B81" w:rsidRPr="00E65146" w:rsidTr="00693D90">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5.0</w:t>
            </w:r>
          </w:p>
        </w:tc>
        <w:tc>
          <w:tcPr>
            <w:tcW w:w="4631" w:type="dxa"/>
            <w:tcBorders>
              <w:top w:val="nil"/>
              <w:left w:val="nil"/>
              <w:bottom w:val="single" w:sz="4" w:space="0" w:color="auto"/>
              <w:right w:val="single" w:sz="4" w:space="0" w:color="auto"/>
            </w:tcBorders>
            <w:shd w:val="clear" w:color="auto" w:fill="auto"/>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 xml:space="preserve">Vaginal delivery </w:t>
            </w:r>
            <w:r w:rsidR="00F70A4D">
              <w:rPr>
                <w:rFonts w:ascii="Arial" w:hAnsi="Arial" w:cs="Arial"/>
                <w:sz w:val="19"/>
                <w:szCs w:val="19"/>
              </w:rPr>
              <w:t>without</w:t>
            </w:r>
            <w:r w:rsidRPr="001655E2">
              <w:rPr>
                <w:rFonts w:ascii="Arial" w:hAnsi="Arial" w:cs="Arial"/>
                <w:sz w:val="19"/>
                <w:szCs w:val="19"/>
              </w:rPr>
              <w:t xml:space="preserve"> complicating Dx</w:t>
            </w:r>
          </w:p>
        </w:tc>
        <w:tc>
          <w:tcPr>
            <w:tcW w:w="884"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32246</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3.29</w:t>
            </w:r>
          </w:p>
        </w:tc>
        <w:tc>
          <w:tcPr>
            <w:tcW w:w="661"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233</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3.17</w:t>
            </w:r>
          </w:p>
        </w:tc>
        <w:tc>
          <w:tcPr>
            <w:tcW w:w="950"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97%</w:t>
            </w:r>
          </w:p>
        </w:tc>
      </w:tr>
      <w:tr w:rsidR="00FD7B81" w:rsidRPr="00E65146" w:rsidTr="00693D90">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6.0</w:t>
            </w:r>
          </w:p>
        </w:tc>
        <w:tc>
          <w:tcPr>
            <w:tcW w:w="4631" w:type="dxa"/>
            <w:tcBorders>
              <w:top w:val="nil"/>
              <w:left w:val="nil"/>
              <w:bottom w:val="single" w:sz="4" w:space="0" w:color="auto"/>
              <w:right w:val="single" w:sz="4" w:space="0" w:color="auto"/>
            </w:tcBorders>
            <w:shd w:val="clear" w:color="auto" w:fill="auto"/>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 xml:space="preserve">Caesarean delivery </w:t>
            </w:r>
            <w:r w:rsidR="00F70A4D" w:rsidRPr="001655E2">
              <w:rPr>
                <w:rFonts w:ascii="Arial" w:hAnsi="Arial" w:cs="Arial"/>
                <w:sz w:val="19"/>
                <w:szCs w:val="19"/>
              </w:rPr>
              <w:t>without</w:t>
            </w:r>
            <w:r w:rsidRPr="001655E2">
              <w:rPr>
                <w:rFonts w:ascii="Arial" w:hAnsi="Arial" w:cs="Arial"/>
                <w:sz w:val="19"/>
                <w:szCs w:val="19"/>
              </w:rPr>
              <w:t xml:space="preserve"> complicating Dx</w:t>
            </w:r>
          </w:p>
        </w:tc>
        <w:tc>
          <w:tcPr>
            <w:tcW w:w="884"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26689</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5.95</w:t>
            </w:r>
          </w:p>
        </w:tc>
        <w:tc>
          <w:tcPr>
            <w:tcW w:w="661"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164</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6.59</w:t>
            </w:r>
          </w:p>
        </w:tc>
        <w:tc>
          <w:tcPr>
            <w:tcW w:w="950"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111%</w:t>
            </w:r>
          </w:p>
        </w:tc>
      </w:tr>
      <w:tr w:rsidR="00FD7B81" w:rsidRPr="00E65146" w:rsidTr="00693D90">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7.0</w:t>
            </w:r>
          </w:p>
        </w:tc>
        <w:tc>
          <w:tcPr>
            <w:tcW w:w="4631" w:type="dxa"/>
            <w:tcBorders>
              <w:top w:val="nil"/>
              <w:left w:val="nil"/>
              <w:bottom w:val="single" w:sz="4" w:space="0" w:color="auto"/>
              <w:right w:val="single" w:sz="4" w:space="0" w:color="auto"/>
            </w:tcBorders>
            <w:shd w:val="clear" w:color="auto" w:fill="auto"/>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Ovarian/adnexal malignancy, no CC</w:t>
            </w:r>
          </w:p>
        </w:tc>
        <w:tc>
          <w:tcPr>
            <w:tcW w:w="884"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317</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8.31</w:t>
            </w:r>
          </w:p>
        </w:tc>
        <w:tc>
          <w:tcPr>
            <w:tcW w:w="661"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NA</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NA</w:t>
            </w:r>
          </w:p>
        </w:tc>
        <w:tc>
          <w:tcPr>
            <w:tcW w:w="950"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NA</w:t>
            </w:r>
          </w:p>
        </w:tc>
      </w:tr>
      <w:tr w:rsidR="00FD7B81" w:rsidRPr="00E65146" w:rsidTr="00693D90">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8.0</w:t>
            </w:r>
          </w:p>
        </w:tc>
        <w:tc>
          <w:tcPr>
            <w:tcW w:w="4631" w:type="dxa"/>
            <w:tcBorders>
              <w:top w:val="nil"/>
              <w:left w:val="nil"/>
              <w:bottom w:val="single" w:sz="4" w:space="0" w:color="auto"/>
              <w:right w:val="single" w:sz="4" w:space="0" w:color="auto"/>
            </w:tcBorders>
            <w:shd w:val="clear" w:color="auto" w:fill="auto"/>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Non-malignant uterus disorders, no CC</w:t>
            </w:r>
          </w:p>
        </w:tc>
        <w:tc>
          <w:tcPr>
            <w:tcW w:w="884"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302</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8.02</w:t>
            </w:r>
          </w:p>
        </w:tc>
        <w:tc>
          <w:tcPr>
            <w:tcW w:w="661"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12</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7.33</w:t>
            </w:r>
          </w:p>
        </w:tc>
        <w:tc>
          <w:tcPr>
            <w:tcW w:w="950"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91%</w:t>
            </w:r>
          </w:p>
        </w:tc>
      </w:tr>
      <w:tr w:rsidR="00FD7B81" w:rsidRPr="00E65146" w:rsidTr="00693D90">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9.0</w:t>
            </w:r>
          </w:p>
        </w:tc>
        <w:tc>
          <w:tcPr>
            <w:tcW w:w="4631" w:type="dxa"/>
            <w:tcBorders>
              <w:top w:val="nil"/>
              <w:left w:val="nil"/>
              <w:bottom w:val="single" w:sz="4" w:space="0" w:color="auto"/>
              <w:right w:val="single" w:sz="4" w:space="0" w:color="auto"/>
            </w:tcBorders>
            <w:shd w:val="clear" w:color="auto" w:fill="auto"/>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 xml:space="preserve">Diabetes with complicated PDx, </w:t>
            </w:r>
            <w:r w:rsidR="00F70A4D">
              <w:rPr>
                <w:rFonts w:ascii="Arial" w:hAnsi="Arial" w:cs="Arial"/>
                <w:sz w:val="19"/>
                <w:szCs w:val="19"/>
              </w:rPr>
              <w:t>with</w:t>
            </w:r>
            <w:r w:rsidRPr="001655E2">
              <w:rPr>
                <w:rFonts w:ascii="Arial" w:hAnsi="Arial" w:cs="Arial"/>
                <w:sz w:val="19"/>
                <w:szCs w:val="19"/>
              </w:rPr>
              <w:t xml:space="preserve"> mod CC</w:t>
            </w:r>
          </w:p>
        </w:tc>
        <w:tc>
          <w:tcPr>
            <w:tcW w:w="884"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6733</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11.02</w:t>
            </w:r>
          </w:p>
        </w:tc>
        <w:tc>
          <w:tcPr>
            <w:tcW w:w="661"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494</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8.82</w:t>
            </w:r>
          </w:p>
        </w:tc>
        <w:tc>
          <w:tcPr>
            <w:tcW w:w="950"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80%</w:t>
            </w:r>
          </w:p>
        </w:tc>
      </w:tr>
      <w:tr w:rsidR="00FD7B81" w:rsidRPr="00E65146" w:rsidTr="00693D90">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10.0</w:t>
            </w:r>
          </w:p>
        </w:tc>
        <w:tc>
          <w:tcPr>
            <w:tcW w:w="4631" w:type="dxa"/>
            <w:tcBorders>
              <w:top w:val="nil"/>
              <w:left w:val="nil"/>
              <w:bottom w:val="single" w:sz="4" w:space="0" w:color="auto"/>
              <w:right w:val="single" w:sz="4" w:space="0" w:color="auto"/>
            </w:tcBorders>
            <w:shd w:val="clear" w:color="auto" w:fill="auto"/>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Appendectomy, no CC</w:t>
            </w:r>
          </w:p>
        </w:tc>
        <w:tc>
          <w:tcPr>
            <w:tcW w:w="884"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9510</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6.03</w:t>
            </w:r>
          </w:p>
        </w:tc>
        <w:tc>
          <w:tcPr>
            <w:tcW w:w="661"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131</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4.19</w:t>
            </w:r>
          </w:p>
        </w:tc>
        <w:tc>
          <w:tcPr>
            <w:tcW w:w="950"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69%</w:t>
            </w:r>
          </w:p>
        </w:tc>
      </w:tr>
      <w:tr w:rsidR="00FD7B81" w:rsidRPr="00E65146" w:rsidTr="00693D90">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11.0</w:t>
            </w:r>
          </w:p>
        </w:tc>
        <w:tc>
          <w:tcPr>
            <w:tcW w:w="4631" w:type="dxa"/>
            <w:tcBorders>
              <w:top w:val="nil"/>
              <w:left w:val="nil"/>
              <w:bottom w:val="single" w:sz="4" w:space="0" w:color="auto"/>
              <w:right w:val="single" w:sz="4" w:space="0" w:color="auto"/>
            </w:tcBorders>
            <w:shd w:val="clear" w:color="auto" w:fill="auto"/>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 xml:space="preserve">LOS 6 hours or less </w:t>
            </w:r>
            <w:r w:rsidR="00F70A4D">
              <w:rPr>
                <w:rFonts w:ascii="Arial" w:hAnsi="Arial" w:cs="Arial"/>
                <w:sz w:val="19"/>
                <w:szCs w:val="19"/>
              </w:rPr>
              <w:t>with</w:t>
            </w:r>
            <w:r w:rsidRPr="001655E2">
              <w:rPr>
                <w:rFonts w:ascii="Arial" w:hAnsi="Arial" w:cs="Arial"/>
                <w:sz w:val="19"/>
                <w:szCs w:val="19"/>
              </w:rPr>
              <w:t xml:space="preserve"> cataract proc, </w:t>
            </w:r>
            <w:r w:rsidR="00F70A4D">
              <w:rPr>
                <w:rFonts w:ascii="Arial" w:hAnsi="Arial" w:cs="Arial"/>
                <w:sz w:val="19"/>
                <w:szCs w:val="19"/>
              </w:rPr>
              <w:t>with</w:t>
            </w:r>
            <w:r w:rsidRPr="001655E2">
              <w:rPr>
                <w:rFonts w:ascii="Arial" w:hAnsi="Arial" w:cs="Arial"/>
                <w:sz w:val="19"/>
                <w:szCs w:val="19"/>
              </w:rPr>
              <w:t xml:space="preserve"> or </w:t>
            </w:r>
            <w:r w:rsidR="00F70A4D" w:rsidRPr="001655E2">
              <w:rPr>
                <w:rFonts w:ascii="Arial" w:hAnsi="Arial" w:cs="Arial"/>
                <w:sz w:val="19"/>
                <w:szCs w:val="19"/>
              </w:rPr>
              <w:t>without</w:t>
            </w:r>
            <w:r w:rsidRPr="001655E2">
              <w:rPr>
                <w:rFonts w:ascii="Arial" w:hAnsi="Arial" w:cs="Arial"/>
                <w:sz w:val="19"/>
                <w:szCs w:val="19"/>
              </w:rPr>
              <w:t xml:space="preserve"> CC</w:t>
            </w:r>
          </w:p>
        </w:tc>
        <w:tc>
          <w:tcPr>
            <w:tcW w:w="884"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1663</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5.21</w:t>
            </w:r>
          </w:p>
        </w:tc>
        <w:tc>
          <w:tcPr>
            <w:tcW w:w="661"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282</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4.46</w:t>
            </w:r>
          </w:p>
        </w:tc>
        <w:tc>
          <w:tcPr>
            <w:tcW w:w="950"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86%</w:t>
            </w:r>
          </w:p>
        </w:tc>
      </w:tr>
      <w:tr w:rsidR="00FD7B81" w:rsidRPr="00E65146" w:rsidTr="00693D90">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12.0</w:t>
            </w:r>
          </w:p>
        </w:tc>
        <w:tc>
          <w:tcPr>
            <w:tcW w:w="4631" w:type="dxa"/>
            <w:tcBorders>
              <w:top w:val="nil"/>
              <w:left w:val="nil"/>
              <w:bottom w:val="single" w:sz="4" w:space="0" w:color="auto"/>
              <w:right w:val="single" w:sz="4" w:space="0" w:color="auto"/>
            </w:tcBorders>
            <w:shd w:val="clear" w:color="auto" w:fill="auto"/>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Hypertension, no CC</w:t>
            </w:r>
          </w:p>
        </w:tc>
        <w:tc>
          <w:tcPr>
            <w:tcW w:w="884"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46634</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7.20</w:t>
            </w:r>
          </w:p>
        </w:tc>
        <w:tc>
          <w:tcPr>
            <w:tcW w:w="661"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1207</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6.07</w:t>
            </w:r>
          </w:p>
        </w:tc>
        <w:tc>
          <w:tcPr>
            <w:tcW w:w="950"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84%</w:t>
            </w:r>
          </w:p>
        </w:tc>
      </w:tr>
      <w:tr w:rsidR="00FD7B81" w:rsidRPr="00E65146" w:rsidTr="00693D90">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13.0</w:t>
            </w:r>
          </w:p>
        </w:tc>
        <w:tc>
          <w:tcPr>
            <w:tcW w:w="4631" w:type="dxa"/>
            <w:tcBorders>
              <w:top w:val="nil"/>
              <w:left w:val="nil"/>
              <w:bottom w:val="single" w:sz="4" w:space="0" w:color="auto"/>
              <w:right w:val="single" w:sz="4" w:space="0" w:color="auto"/>
            </w:tcBorders>
            <w:shd w:val="clear" w:color="auto" w:fill="auto"/>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Coronary atherosclerosis, no CC</w:t>
            </w:r>
          </w:p>
        </w:tc>
        <w:tc>
          <w:tcPr>
            <w:tcW w:w="884"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11939</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7.22</w:t>
            </w:r>
          </w:p>
        </w:tc>
        <w:tc>
          <w:tcPr>
            <w:tcW w:w="661"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142</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5.42</w:t>
            </w:r>
          </w:p>
        </w:tc>
        <w:tc>
          <w:tcPr>
            <w:tcW w:w="950"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75%</w:t>
            </w:r>
          </w:p>
        </w:tc>
      </w:tr>
      <w:tr w:rsidR="00FD7B81" w:rsidRPr="00E65146" w:rsidTr="00693D90">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14.0</w:t>
            </w:r>
          </w:p>
        </w:tc>
        <w:tc>
          <w:tcPr>
            <w:tcW w:w="4631" w:type="dxa"/>
            <w:tcBorders>
              <w:top w:val="nil"/>
              <w:left w:val="nil"/>
              <w:bottom w:val="single" w:sz="4" w:space="0" w:color="auto"/>
              <w:right w:val="single" w:sz="4" w:space="0" w:color="auto"/>
            </w:tcBorders>
            <w:shd w:val="clear" w:color="auto" w:fill="auto"/>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Stroke</w:t>
            </w:r>
          </w:p>
        </w:tc>
        <w:tc>
          <w:tcPr>
            <w:tcW w:w="884"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621</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7.77</w:t>
            </w:r>
          </w:p>
        </w:tc>
        <w:tc>
          <w:tcPr>
            <w:tcW w:w="661"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2</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9.50</w:t>
            </w:r>
          </w:p>
        </w:tc>
        <w:tc>
          <w:tcPr>
            <w:tcW w:w="950"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122%</w:t>
            </w:r>
          </w:p>
        </w:tc>
      </w:tr>
      <w:tr w:rsidR="00FD7B81" w:rsidRPr="00E65146" w:rsidTr="00693D90">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15.0</w:t>
            </w:r>
          </w:p>
        </w:tc>
        <w:tc>
          <w:tcPr>
            <w:tcW w:w="4631"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 xml:space="preserve">Heart failure and shock, </w:t>
            </w:r>
            <w:r w:rsidR="00F70A4D">
              <w:rPr>
                <w:rFonts w:ascii="Arial" w:hAnsi="Arial" w:cs="Arial"/>
                <w:sz w:val="19"/>
                <w:szCs w:val="19"/>
              </w:rPr>
              <w:t>with</w:t>
            </w:r>
            <w:r w:rsidRPr="001655E2">
              <w:rPr>
                <w:rFonts w:ascii="Arial" w:hAnsi="Arial" w:cs="Arial"/>
                <w:sz w:val="19"/>
                <w:szCs w:val="19"/>
              </w:rPr>
              <w:t xml:space="preserve"> mild CC</w:t>
            </w:r>
          </w:p>
        </w:tc>
        <w:tc>
          <w:tcPr>
            <w:tcW w:w="884"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99</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9.10</w:t>
            </w:r>
          </w:p>
        </w:tc>
        <w:tc>
          <w:tcPr>
            <w:tcW w:w="661"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31</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8.64</w:t>
            </w:r>
          </w:p>
        </w:tc>
        <w:tc>
          <w:tcPr>
            <w:tcW w:w="950"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95%</w:t>
            </w:r>
          </w:p>
        </w:tc>
      </w:tr>
      <w:tr w:rsidR="00FD7B81" w:rsidRPr="00E65146" w:rsidTr="00693D90">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16.0</w:t>
            </w:r>
          </w:p>
        </w:tc>
        <w:tc>
          <w:tcPr>
            <w:tcW w:w="4631" w:type="dxa"/>
            <w:tcBorders>
              <w:top w:val="nil"/>
              <w:left w:val="nil"/>
              <w:bottom w:val="single" w:sz="4" w:space="0" w:color="auto"/>
              <w:right w:val="single" w:sz="4" w:space="0" w:color="auto"/>
            </w:tcBorders>
            <w:shd w:val="clear" w:color="auto" w:fill="auto"/>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Tonsillectomy &amp; adenoidectomy, no CC</w:t>
            </w:r>
          </w:p>
        </w:tc>
        <w:tc>
          <w:tcPr>
            <w:tcW w:w="884"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10766</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5.34</w:t>
            </w:r>
          </w:p>
        </w:tc>
        <w:tc>
          <w:tcPr>
            <w:tcW w:w="661"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42</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4.86</w:t>
            </w:r>
          </w:p>
        </w:tc>
        <w:tc>
          <w:tcPr>
            <w:tcW w:w="950"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91%</w:t>
            </w:r>
          </w:p>
        </w:tc>
      </w:tr>
      <w:tr w:rsidR="00FD7B81" w:rsidRPr="00E65146" w:rsidTr="00693D90">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17.1</w:t>
            </w:r>
          </w:p>
        </w:tc>
        <w:tc>
          <w:tcPr>
            <w:tcW w:w="4631" w:type="dxa"/>
            <w:tcBorders>
              <w:top w:val="nil"/>
              <w:left w:val="nil"/>
              <w:bottom w:val="single" w:sz="4" w:space="0" w:color="auto"/>
              <w:right w:val="single" w:sz="4" w:space="0" w:color="auto"/>
            </w:tcBorders>
            <w:shd w:val="clear" w:color="auto" w:fill="auto"/>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 xml:space="preserve">Chronic obstructive pulmonary disease, </w:t>
            </w:r>
            <w:r w:rsidR="00F70A4D">
              <w:rPr>
                <w:rFonts w:ascii="Arial" w:hAnsi="Arial" w:cs="Arial"/>
                <w:sz w:val="19"/>
                <w:szCs w:val="19"/>
              </w:rPr>
              <w:t>with</w:t>
            </w:r>
            <w:r w:rsidRPr="001655E2">
              <w:rPr>
                <w:rFonts w:ascii="Arial" w:hAnsi="Arial" w:cs="Arial"/>
                <w:sz w:val="19"/>
                <w:szCs w:val="19"/>
              </w:rPr>
              <w:t xml:space="preserve"> mod CC</w:t>
            </w:r>
          </w:p>
        </w:tc>
        <w:tc>
          <w:tcPr>
            <w:tcW w:w="884"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6868</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8.29</w:t>
            </w:r>
          </w:p>
        </w:tc>
        <w:tc>
          <w:tcPr>
            <w:tcW w:w="661"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341</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7.92</w:t>
            </w:r>
          </w:p>
        </w:tc>
        <w:tc>
          <w:tcPr>
            <w:tcW w:w="950"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96%</w:t>
            </w:r>
          </w:p>
        </w:tc>
      </w:tr>
      <w:tr w:rsidR="00FD7B81" w:rsidRPr="00E65146" w:rsidTr="00693D90">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17.4</w:t>
            </w:r>
          </w:p>
        </w:tc>
        <w:tc>
          <w:tcPr>
            <w:tcW w:w="4631" w:type="dxa"/>
            <w:tcBorders>
              <w:top w:val="nil"/>
              <w:left w:val="nil"/>
              <w:bottom w:val="single" w:sz="4" w:space="0" w:color="auto"/>
              <w:right w:val="single" w:sz="4" w:space="0" w:color="auto"/>
            </w:tcBorders>
            <w:shd w:val="clear" w:color="auto" w:fill="auto"/>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 xml:space="preserve">Chronic obstructive pulmonary disease, </w:t>
            </w:r>
            <w:r w:rsidR="00F70A4D">
              <w:rPr>
                <w:rFonts w:ascii="Arial" w:hAnsi="Arial" w:cs="Arial"/>
                <w:sz w:val="19"/>
                <w:szCs w:val="19"/>
              </w:rPr>
              <w:t>with</w:t>
            </w:r>
            <w:r w:rsidRPr="001655E2">
              <w:rPr>
                <w:rFonts w:ascii="Arial" w:hAnsi="Arial" w:cs="Arial"/>
                <w:sz w:val="19"/>
                <w:szCs w:val="19"/>
              </w:rPr>
              <w:t xml:space="preserve"> mod CC</w:t>
            </w:r>
          </w:p>
        </w:tc>
        <w:tc>
          <w:tcPr>
            <w:tcW w:w="884"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10725</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8.83</w:t>
            </w:r>
          </w:p>
        </w:tc>
        <w:tc>
          <w:tcPr>
            <w:tcW w:w="661"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129</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5.63</w:t>
            </w:r>
          </w:p>
        </w:tc>
        <w:tc>
          <w:tcPr>
            <w:tcW w:w="950"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64%</w:t>
            </w:r>
          </w:p>
        </w:tc>
      </w:tr>
      <w:tr w:rsidR="00FD7B81" w:rsidRPr="00E65146" w:rsidTr="00693D90">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18.0</w:t>
            </w:r>
          </w:p>
        </w:tc>
        <w:tc>
          <w:tcPr>
            <w:tcW w:w="4631" w:type="dxa"/>
            <w:tcBorders>
              <w:top w:val="nil"/>
              <w:left w:val="nil"/>
              <w:bottom w:val="single" w:sz="4" w:space="0" w:color="auto"/>
              <w:right w:val="single" w:sz="4" w:space="0" w:color="auto"/>
            </w:tcBorders>
            <w:shd w:val="clear" w:color="auto" w:fill="auto"/>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 xml:space="preserve">Bronchitis and asthma, </w:t>
            </w:r>
            <w:r w:rsidR="00F70A4D">
              <w:rPr>
                <w:rFonts w:ascii="Arial" w:hAnsi="Arial" w:cs="Arial"/>
                <w:sz w:val="19"/>
                <w:szCs w:val="19"/>
              </w:rPr>
              <w:t>with</w:t>
            </w:r>
            <w:r w:rsidRPr="001655E2">
              <w:rPr>
                <w:rFonts w:ascii="Arial" w:hAnsi="Arial" w:cs="Arial"/>
                <w:sz w:val="19"/>
                <w:szCs w:val="19"/>
              </w:rPr>
              <w:t xml:space="preserve"> mild CC</w:t>
            </w:r>
          </w:p>
        </w:tc>
        <w:tc>
          <w:tcPr>
            <w:tcW w:w="884"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6461</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7.47</w:t>
            </w:r>
          </w:p>
        </w:tc>
        <w:tc>
          <w:tcPr>
            <w:tcW w:w="661"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260</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6.25</w:t>
            </w:r>
          </w:p>
        </w:tc>
        <w:tc>
          <w:tcPr>
            <w:tcW w:w="950"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84%</w:t>
            </w:r>
          </w:p>
        </w:tc>
      </w:tr>
      <w:tr w:rsidR="00FD7B81" w:rsidRPr="00E65146" w:rsidTr="00693D90">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19.0</w:t>
            </w:r>
          </w:p>
        </w:tc>
        <w:tc>
          <w:tcPr>
            <w:tcW w:w="4631" w:type="dxa"/>
            <w:tcBorders>
              <w:top w:val="nil"/>
              <w:left w:val="nil"/>
              <w:bottom w:val="single" w:sz="4" w:space="0" w:color="auto"/>
              <w:right w:val="single" w:sz="4" w:space="0" w:color="auto"/>
            </w:tcBorders>
            <w:shd w:val="clear" w:color="auto" w:fill="auto"/>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 xml:space="preserve">Other digestive system diagnoses, not transferred, </w:t>
            </w:r>
            <w:r w:rsidR="00F70A4D">
              <w:rPr>
                <w:rFonts w:ascii="Arial" w:hAnsi="Arial" w:cs="Arial"/>
                <w:sz w:val="19"/>
                <w:szCs w:val="19"/>
              </w:rPr>
              <w:t>with</w:t>
            </w:r>
            <w:r w:rsidRPr="001655E2">
              <w:rPr>
                <w:rFonts w:ascii="Arial" w:hAnsi="Arial" w:cs="Arial"/>
                <w:sz w:val="19"/>
                <w:szCs w:val="19"/>
              </w:rPr>
              <w:t xml:space="preserve"> severe CC</w:t>
            </w:r>
          </w:p>
        </w:tc>
        <w:tc>
          <w:tcPr>
            <w:tcW w:w="884"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2478</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7.31</w:t>
            </w:r>
          </w:p>
        </w:tc>
        <w:tc>
          <w:tcPr>
            <w:tcW w:w="661"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58</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7.29</w:t>
            </w:r>
          </w:p>
        </w:tc>
        <w:tc>
          <w:tcPr>
            <w:tcW w:w="950"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100%</w:t>
            </w:r>
          </w:p>
        </w:tc>
      </w:tr>
      <w:tr w:rsidR="00FD7B81" w:rsidRPr="00E65146" w:rsidTr="00693D90">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20.0</w:t>
            </w:r>
          </w:p>
        </w:tc>
        <w:tc>
          <w:tcPr>
            <w:tcW w:w="4631" w:type="dxa"/>
            <w:tcBorders>
              <w:top w:val="nil"/>
              <w:left w:val="nil"/>
              <w:bottom w:val="single" w:sz="4" w:space="0" w:color="auto"/>
              <w:right w:val="single" w:sz="4" w:space="0" w:color="auto"/>
            </w:tcBorders>
            <w:shd w:val="clear" w:color="auto" w:fill="auto"/>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 xml:space="preserve">Disorders of pancreas, except malignancy, </w:t>
            </w:r>
            <w:r w:rsidR="00F70A4D">
              <w:rPr>
                <w:rFonts w:ascii="Arial" w:hAnsi="Arial" w:cs="Arial"/>
                <w:sz w:val="19"/>
                <w:szCs w:val="19"/>
              </w:rPr>
              <w:t>with</w:t>
            </w:r>
            <w:r w:rsidRPr="001655E2">
              <w:rPr>
                <w:rFonts w:ascii="Arial" w:hAnsi="Arial" w:cs="Arial"/>
                <w:sz w:val="19"/>
                <w:szCs w:val="19"/>
              </w:rPr>
              <w:t xml:space="preserve"> mild CC</w:t>
            </w:r>
          </w:p>
        </w:tc>
        <w:tc>
          <w:tcPr>
            <w:tcW w:w="884"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2029</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7.96</w:t>
            </w:r>
          </w:p>
        </w:tc>
        <w:tc>
          <w:tcPr>
            <w:tcW w:w="661"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NA</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NA</w:t>
            </w:r>
          </w:p>
        </w:tc>
        <w:tc>
          <w:tcPr>
            <w:tcW w:w="950"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NA</w:t>
            </w:r>
          </w:p>
        </w:tc>
      </w:tr>
      <w:tr w:rsidR="00FD7B81" w:rsidRPr="00E65146" w:rsidTr="00693D90">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21.0</w:t>
            </w:r>
          </w:p>
        </w:tc>
        <w:tc>
          <w:tcPr>
            <w:tcW w:w="4631" w:type="dxa"/>
            <w:tcBorders>
              <w:top w:val="nil"/>
              <w:left w:val="nil"/>
              <w:bottom w:val="single" w:sz="4" w:space="0" w:color="auto"/>
              <w:right w:val="single" w:sz="4" w:space="0" w:color="auto"/>
            </w:tcBorders>
            <w:shd w:val="clear" w:color="auto" w:fill="auto"/>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Disorder of biliary tract, no CC</w:t>
            </w:r>
          </w:p>
        </w:tc>
        <w:tc>
          <w:tcPr>
            <w:tcW w:w="884"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4516</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8.18</w:t>
            </w:r>
          </w:p>
        </w:tc>
        <w:tc>
          <w:tcPr>
            <w:tcW w:w="661"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93</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10.10</w:t>
            </w:r>
          </w:p>
        </w:tc>
        <w:tc>
          <w:tcPr>
            <w:tcW w:w="950"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123%</w:t>
            </w:r>
          </w:p>
        </w:tc>
      </w:tr>
      <w:tr w:rsidR="00FD7B81" w:rsidRPr="00E65146" w:rsidTr="00693D90">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22.0</w:t>
            </w:r>
          </w:p>
        </w:tc>
        <w:tc>
          <w:tcPr>
            <w:tcW w:w="4631" w:type="dxa"/>
            <w:tcBorders>
              <w:top w:val="nil"/>
              <w:left w:val="nil"/>
              <w:bottom w:val="single" w:sz="4" w:space="0" w:color="auto"/>
              <w:right w:val="single" w:sz="4" w:space="0" w:color="auto"/>
            </w:tcBorders>
            <w:shd w:val="clear" w:color="auto" w:fill="auto"/>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Gãy xương ở cẳng tay, bàn tay, bàn chân, tuổi &gt;17, no CC</w:t>
            </w:r>
          </w:p>
        </w:tc>
        <w:tc>
          <w:tcPr>
            <w:tcW w:w="884"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1978</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6.40</w:t>
            </w:r>
          </w:p>
        </w:tc>
        <w:tc>
          <w:tcPr>
            <w:tcW w:w="661"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30</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8.20</w:t>
            </w:r>
          </w:p>
        </w:tc>
        <w:tc>
          <w:tcPr>
            <w:tcW w:w="950"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128%</w:t>
            </w:r>
          </w:p>
        </w:tc>
      </w:tr>
      <w:tr w:rsidR="00FD7B81" w:rsidRPr="00E65146" w:rsidTr="00693D90">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23.0</w:t>
            </w:r>
          </w:p>
        </w:tc>
        <w:tc>
          <w:tcPr>
            <w:tcW w:w="4631" w:type="dxa"/>
            <w:tcBorders>
              <w:top w:val="nil"/>
              <w:left w:val="nil"/>
              <w:bottom w:val="single" w:sz="4" w:space="0" w:color="auto"/>
              <w:right w:val="single" w:sz="4" w:space="0" w:color="auto"/>
            </w:tcBorders>
            <w:shd w:val="clear" w:color="auto" w:fill="auto"/>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 xml:space="preserve">Epidural </w:t>
            </w:r>
            <w:r w:rsidR="00F70A4D" w:rsidRPr="001655E2">
              <w:rPr>
                <w:rFonts w:ascii="Arial" w:hAnsi="Arial" w:cs="Arial"/>
                <w:sz w:val="19"/>
                <w:szCs w:val="19"/>
              </w:rPr>
              <w:t>hemorrhage</w:t>
            </w:r>
          </w:p>
        </w:tc>
        <w:tc>
          <w:tcPr>
            <w:tcW w:w="884"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NA</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NA</w:t>
            </w:r>
          </w:p>
        </w:tc>
        <w:tc>
          <w:tcPr>
            <w:tcW w:w="661"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NA</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NA</w:t>
            </w:r>
          </w:p>
        </w:tc>
        <w:tc>
          <w:tcPr>
            <w:tcW w:w="950"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NA</w:t>
            </w:r>
          </w:p>
        </w:tc>
      </w:tr>
      <w:tr w:rsidR="00FD7B81" w:rsidRPr="00E65146" w:rsidTr="00693D90">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24.0</w:t>
            </w:r>
          </w:p>
        </w:tc>
        <w:tc>
          <w:tcPr>
            <w:tcW w:w="4631" w:type="dxa"/>
            <w:tcBorders>
              <w:top w:val="nil"/>
              <w:left w:val="nil"/>
              <w:bottom w:val="single" w:sz="4" w:space="0" w:color="auto"/>
              <w:right w:val="single" w:sz="4" w:space="0" w:color="auto"/>
            </w:tcBorders>
            <w:shd w:val="clear" w:color="auto" w:fill="auto"/>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 xml:space="preserve">Fx, spr, str &amp; disl of up arm&amp; low leg age &gt;17, </w:t>
            </w:r>
            <w:r w:rsidR="00F70A4D">
              <w:rPr>
                <w:rFonts w:ascii="Arial" w:hAnsi="Arial" w:cs="Arial"/>
                <w:sz w:val="19"/>
                <w:szCs w:val="19"/>
              </w:rPr>
              <w:t>with</w:t>
            </w:r>
            <w:r w:rsidRPr="001655E2">
              <w:rPr>
                <w:rFonts w:ascii="Arial" w:hAnsi="Arial" w:cs="Arial"/>
                <w:sz w:val="19"/>
                <w:szCs w:val="19"/>
              </w:rPr>
              <w:t xml:space="preserve"> mild CC</w:t>
            </w:r>
          </w:p>
        </w:tc>
        <w:tc>
          <w:tcPr>
            <w:tcW w:w="884"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679</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7.97</w:t>
            </w:r>
          </w:p>
        </w:tc>
        <w:tc>
          <w:tcPr>
            <w:tcW w:w="661"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32</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11.66</w:t>
            </w:r>
          </w:p>
        </w:tc>
        <w:tc>
          <w:tcPr>
            <w:tcW w:w="950"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146%</w:t>
            </w:r>
          </w:p>
        </w:tc>
      </w:tr>
      <w:tr w:rsidR="00FD7B81" w:rsidRPr="00E65146" w:rsidTr="00693D90">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25.0</w:t>
            </w:r>
          </w:p>
        </w:tc>
        <w:tc>
          <w:tcPr>
            <w:tcW w:w="4631" w:type="dxa"/>
            <w:tcBorders>
              <w:top w:val="nil"/>
              <w:left w:val="nil"/>
              <w:bottom w:val="single" w:sz="4" w:space="0" w:color="auto"/>
              <w:right w:val="single" w:sz="4" w:space="0" w:color="auto"/>
            </w:tcBorders>
            <w:shd w:val="clear" w:color="auto" w:fill="auto"/>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Complicated peptic ulcer, no CC</w:t>
            </w:r>
          </w:p>
        </w:tc>
        <w:tc>
          <w:tcPr>
            <w:tcW w:w="884"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1722</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6.67</w:t>
            </w:r>
          </w:p>
        </w:tc>
        <w:tc>
          <w:tcPr>
            <w:tcW w:w="661"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NA</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NA</w:t>
            </w:r>
          </w:p>
        </w:tc>
        <w:tc>
          <w:tcPr>
            <w:tcW w:w="950"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NA</w:t>
            </w:r>
          </w:p>
        </w:tc>
      </w:tr>
      <w:tr w:rsidR="00FD7B81" w:rsidRPr="00E65146" w:rsidTr="00693D90">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26.0</w:t>
            </w:r>
          </w:p>
        </w:tc>
        <w:tc>
          <w:tcPr>
            <w:tcW w:w="4631" w:type="dxa"/>
            <w:tcBorders>
              <w:top w:val="nil"/>
              <w:left w:val="nil"/>
              <w:bottom w:val="single" w:sz="4" w:space="0" w:color="auto"/>
              <w:right w:val="single" w:sz="4" w:space="0" w:color="auto"/>
            </w:tcBorders>
            <w:shd w:val="clear" w:color="auto" w:fill="auto"/>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Transurethral prostatectomy, no CC</w:t>
            </w:r>
          </w:p>
        </w:tc>
        <w:tc>
          <w:tcPr>
            <w:tcW w:w="884"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2127</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8.85</w:t>
            </w:r>
          </w:p>
        </w:tc>
        <w:tc>
          <w:tcPr>
            <w:tcW w:w="661"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30</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7.23</w:t>
            </w:r>
          </w:p>
        </w:tc>
        <w:tc>
          <w:tcPr>
            <w:tcW w:w="950"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82%</w:t>
            </w:r>
          </w:p>
        </w:tc>
      </w:tr>
      <w:tr w:rsidR="00FD7B81" w:rsidRPr="00E65146" w:rsidTr="00693D90">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27.0</w:t>
            </w:r>
          </w:p>
        </w:tc>
        <w:tc>
          <w:tcPr>
            <w:tcW w:w="4631" w:type="dxa"/>
            <w:tcBorders>
              <w:top w:val="nil"/>
              <w:left w:val="nil"/>
              <w:bottom w:val="single" w:sz="4" w:space="0" w:color="auto"/>
              <w:right w:val="single" w:sz="4" w:space="0" w:color="auto"/>
            </w:tcBorders>
            <w:shd w:val="clear" w:color="auto" w:fill="auto"/>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Non-malignant breast disorders, no CC</w:t>
            </w:r>
          </w:p>
        </w:tc>
        <w:tc>
          <w:tcPr>
            <w:tcW w:w="884"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611</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8.05</w:t>
            </w:r>
          </w:p>
        </w:tc>
        <w:tc>
          <w:tcPr>
            <w:tcW w:w="661"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NA</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NA</w:t>
            </w:r>
          </w:p>
        </w:tc>
        <w:tc>
          <w:tcPr>
            <w:tcW w:w="950"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NA</w:t>
            </w:r>
          </w:p>
        </w:tc>
      </w:tr>
      <w:tr w:rsidR="00FD7B81" w:rsidRPr="00E65146" w:rsidTr="00693D90">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28.0</w:t>
            </w:r>
          </w:p>
        </w:tc>
        <w:tc>
          <w:tcPr>
            <w:tcW w:w="4631" w:type="dxa"/>
            <w:tcBorders>
              <w:top w:val="nil"/>
              <w:left w:val="nil"/>
              <w:bottom w:val="single" w:sz="4" w:space="0" w:color="auto"/>
              <w:right w:val="single" w:sz="4" w:space="0" w:color="auto"/>
            </w:tcBorders>
            <w:shd w:val="clear" w:color="auto" w:fill="auto"/>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Hydatidiform mole</w:t>
            </w:r>
          </w:p>
        </w:tc>
        <w:tc>
          <w:tcPr>
            <w:tcW w:w="884"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33</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9.19</w:t>
            </w:r>
          </w:p>
        </w:tc>
        <w:tc>
          <w:tcPr>
            <w:tcW w:w="661"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7</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5.86</w:t>
            </w:r>
          </w:p>
        </w:tc>
        <w:tc>
          <w:tcPr>
            <w:tcW w:w="950"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64%</w:t>
            </w:r>
          </w:p>
        </w:tc>
      </w:tr>
      <w:tr w:rsidR="00FD7B81" w:rsidRPr="00E65146" w:rsidTr="00693D90">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29.0</w:t>
            </w:r>
          </w:p>
        </w:tc>
        <w:tc>
          <w:tcPr>
            <w:tcW w:w="4631" w:type="dxa"/>
            <w:tcBorders>
              <w:top w:val="nil"/>
              <w:left w:val="nil"/>
              <w:bottom w:val="single" w:sz="4" w:space="0" w:color="auto"/>
              <w:right w:val="single" w:sz="4" w:space="0" w:color="auto"/>
            </w:tcBorders>
            <w:shd w:val="clear" w:color="auto" w:fill="auto"/>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Ectopic pregnancy</w:t>
            </w:r>
          </w:p>
        </w:tc>
        <w:tc>
          <w:tcPr>
            <w:tcW w:w="884"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829</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6.53</w:t>
            </w:r>
          </w:p>
        </w:tc>
        <w:tc>
          <w:tcPr>
            <w:tcW w:w="661"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46</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6.78</w:t>
            </w:r>
          </w:p>
        </w:tc>
        <w:tc>
          <w:tcPr>
            <w:tcW w:w="950"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104%</w:t>
            </w:r>
          </w:p>
        </w:tc>
      </w:tr>
      <w:tr w:rsidR="00FD7B81" w:rsidRPr="00E65146" w:rsidTr="00693D90">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30.0</w:t>
            </w:r>
          </w:p>
        </w:tc>
        <w:tc>
          <w:tcPr>
            <w:tcW w:w="4631" w:type="dxa"/>
            <w:tcBorders>
              <w:top w:val="nil"/>
              <w:left w:val="nil"/>
              <w:bottom w:val="single" w:sz="4" w:space="0" w:color="auto"/>
              <w:right w:val="single" w:sz="4" w:space="0" w:color="auto"/>
            </w:tcBorders>
            <w:shd w:val="clear" w:color="auto" w:fill="auto"/>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Endocrine disorders, no CC</w:t>
            </w:r>
          </w:p>
        </w:tc>
        <w:tc>
          <w:tcPr>
            <w:tcW w:w="884"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2133</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8.04</w:t>
            </w:r>
          </w:p>
        </w:tc>
        <w:tc>
          <w:tcPr>
            <w:tcW w:w="661"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NA</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NA</w:t>
            </w:r>
          </w:p>
        </w:tc>
        <w:tc>
          <w:tcPr>
            <w:tcW w:w="950"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sz w:val="19"/>
                <w:szCs w:val="19"/>
              </w:rPr>
            </w:pPr>
            <w:r w:rsidRPr="001655E2">
              <w:rPr>
                <w:rFonts w:ascii="Arial" w:hAnsi="Arial" w:cs="Arial"/>
                <w:sz w:val="19"/>
                <w:szCs w:val="19"/>
              </w:rPr>
              <w:t>NA</w:t>
            </w:r>
          </w:p>
        </w:tc>
      </w:tr>
      <w:tr w:rsidR="00FD7B81" w:rsidRPr="00E65146" w:rsidTr="00D113E1">
        <w:trPr>
          <w:trHeight w:val="335"/>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FD7B81" w:rsidRPr="001655E2" w:rsidRDefault="00FD7B81" w:rsidP="00FD7B81">
            <w:pPr>
              <w:rPr>
                <w:rFonts w:ascii="Arial" w:hAnsi="Arial" w:cs="Arial"/>
                <w:b/>
                <w:bCs/>
                <w:sz w:val="19"/>
                <w:szCs w:val="19"/>
              </w:rPr>
            </w:pPr>
            <w:r w:rsidRPr="001655E2">
              <w:rPr>
                <w:rFonts w:ascii="Arial" w:hAnsi="Arial" w:cs="Arial"/>
                <w:b/>
                <w:bCs/>
                <w:sz w:val="19"/>
                <w:szCs w:val="19"/>
              </w:rPr>
              <w:t>Total</w:t>
            </w:r>
          </w:p>
        </w:tc>
        <w:tc>
          <w:tcPr>
            <w:tcW w:w="4631"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rPr>
                <w:rFonts w:ascii="Arial" w:hAnsi="Arial" w:cs="Arial"/>
                <w:sz w:val="19"/>
                <w:szCs w:val="19"/>
              </w:rPr>
            </w:pPr>
            <w:r w:rsidRPr="001655E2">
              <w:rPr>
                <w:rFonts w:ascii="Arial" w:hAnsi="Arial" w:cs="Arial"/>
                <w:sz w:val="19"/>
                <w:szCs w:val="19"/>
              </w:rPr>
              <w:t> </w:t>
            </w:r>
          </w:p>
        </w:tc>
        <w:tc>
          <w:tcPr>
            <w:tcW w:w="884"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b/>
                <w:bCs/>
                <w:sz w:val="19"/>
                <w:szCs w:val="19"/>
              </w:rPr>
            </w:pPr>
            <w:r w:rsidRPr="001655E2">
              <w:rPr>
                <w:rFonts w:ascii="Arial" w:hAnsi="Arial" w:cs="Arial"/>
                <w:b/>
                <w:bCs/>
                <w:sz w:val="19"/>
                <w:szCs w:val="19"/>
              </w:rPr>
              <w:t>213720</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b/>
                <w:bCs/>
                <w:sz w:val="19"/>
                <w:szCs w:val="19"/>
              </w:rPr>
            </w:pPr>
            <w:r w:rsidRPr="001655E2">
              <w:rPr>
                <w:rFonts w:ascii="Arial" w:hAnsi="Arial" w:cs="Arial"/>
                <w:b/>
                <w:bCs/>
                <w:sz w:val="19"/>
                <w:szCs w:val="19"/>
              </w:rPr>
              <w:t>6.25</w:t>
            </w:r>
          </w:p>
        </w:tc>
        <w:tc>
          <w:tcPr>
            <w:tcW w:w="661"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b/>
                <w:bCs/>
                <w:sz w:val="19"/>
                <w:szCs w:val="19"/>
              </w:rPr>
            </w:pPr>
            <w:r w:rsidRPr="001655E2">
              <w:rPr>
                <w:rFonts w:ascii="Arial" w:hAnsi="Arial" w:cs="Arial"/>
                <w:b/>
                <w:bCs/>
                <w:sz w:val="19"/>
                <w:szCs w:val="19"/>
              </w:rPr>
              <w:t>NA</w:t>
            </w:r>
          </w:p>
        </w:tc>
        <w:tc>
          <w:tcPr>
            <w:tcW w:w="772"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b/>
                <w:bCs/>
                <w:sz w:val="19"/>
                <w:szCs w:val="19"/>
              </w:rPr>
            </w:pPr>
            <w:r w:rsidRPr="001655E2">
              <w:rPr>
                <w:rFonts w:ascii="Arial" w:hAnsi="Arial" w:cs="Arial"/>
                <w:b/>
                <w:bCs/>
                <w:sz w:val="19"/>
                <w:szCs w:val="19"/>
              </w:rPr>
              <w:t>NA</w:t>
            </w:r>
          </w:p>
        </w:tc>
        <w:tc>
          <w:tcPr>
            <w:tcW w:w="950" w:type="dxa"/>
            <w:tcBorders>
              <w:top w:val="nil"/>
              <w:left w:val="nil"/>
              <w:bottom w:val="single" w:sz="4" w:space="0" w:color="auto"/>
              <w:right w:val="single" w:sz="4" w:space="0" w:color="auto"/>
            </w:tcBorders>
            <w:shd w:val="clear" w:color="auto" w:fill="auto"/>
            <w:noWrap/>
            <w:vAlign w:val="center"/>
            <w:hideMark/>
          </w:tcPr>
          <w:p w:rsidR="00FD7B81" w:rsidRPr="001655E2" w:rsidRDefault="00FD7B81" w:rsidP="00FD7B81">
            <w:pPr>
              <w:jc w:val="right"/>
              <w:rPr>
                <w:rFonts w:ascii="Arial" w:hAnsi="Arial" w:cs="Arial"/>
                <w:b/>
                <w:bCs/>
                <w:sz w:val="19"/>
                <w:szCs w:val="19"/>
              </w:rPr>
            </w:pPr>
            <w:r w:rsidRPr="001655E2">
              <w:rPr>
                <w:rFonts w:ascii="Arial" w:hAnsi="Arial" w:cs="Arial"/>
                <w:b/>
                <w:bCs/>
                <w:sz w:val="19"/>
                <w:szCs w:val="19"/>
              </w:rPr>
              <w:t>92%</w:t>
            </w:r>
          </w:p>
        </w:tc>
      </w:tr>
    </w:tbl>
    <w:p w:rsidR="00D113E1" w:rsidRPr="00D113E1" w:rsidRDefault="00D113E1" w:rsidP="00117998">
      <w:pPr>
        <w:rPr>
          <w:rFonts w:ascii="Arial" w:hAnsi="Arial" w:cs="Arial"/>
          <w:b/>
          <w:sz w:val="12"/>
          <w:szCs w:val="12"/>
        </w:rPr>
      </w:pPr>
    </w:p>
    <w:p w:rsidR="00F70A4D" w:rsidRPr="00D113E1" w:rsidRDefault="00D113E1" w:rsidP="00117998">
      <w:pPr>
        <w:rPr>
          <w:rFonts w:ascii="Arial" w:hAnsi="Arial" w:cs="Arial"/>
          <w:sz w:val="18"/>
          <w:szCs w:val="18"/>
        </w:rPr>
      </w:pPr>
      <w:r w:rsidRPr="00D113E1">
        <w:rPr>
          <w:rFonts w:ascii="Arial" w:hAnsi="Arial" w:cs="Arial"/>
          <w:b/>
          <w:sz w:val="18"/>
          <w:szCs w:val="18"/>
        </w:rPr>
        <w:t>Source:</w:t>
      </w:r>
      <w:r w:rsidRPr="00D113E1">
        <w:rPr>
          <w:rFonts w:ascii="Arial" w:hAnsi="Arial" w:cs="Arial"/>
          <w:sz w:val="18"/>
          <w:szCs w:val="18"/>
        </w:rPr>
        <w:t xml:space="preserve"> HHRSDP, Component 3</w:t>
      </w:r>
    </w:p>
    <w:p w:rsidR="00F70A4D" w:rsidRDefault="00F70A4D" w:rsidP="00117998">
      <w:pPr>
        <w:rPr>
          <w:rFonts w:ascii="Arial" w:hAnsi="Arial" w:cs="Arial"/>
          <w:b/>
        </w:rPr>
      </w:pPr>
    </w:p>
    <w:p w:rsidR="00C316F9" w:rsidRDefault="00C316F9" w:rsidP="00117998">
      <w:pPr>
        <w:rPr>
          <w:rFonts w:ascii="Arial" w:hAnsi="Arial" w:cs="Arial"/>
          <w:b/>
        </w:rPr>
      </w:pPr>
      <w:r w:rsidRPr="00E65146">
        <w:rPr>
          <w:rFonts w:ascii="Arial" w:hAnsi="Arial" w:cs="Arial"/>
          <w:b/>
        </w:rPr>
        <w:t xml:space="preserve">Table 7.2: </w:t>
      </w:r>
      <w:r w:rsidR="00117998" w:rsidRPr="00E65146">
        <w:rPr>
          <w:rFonts w:ascii="Arial" w:hAnsi="Arial" w:cs="Arial"/>
          <w:b/>
        </w:rPr>
        <w:t>Comparison of average treatment costs for patients treated and not treated with CPs</w:t>
      </w:r>
    </w:p>
    <w:p w:rsidR="00F70A4D" w:rsidRPr="00E65146" w:rsidRDefault="00F70A4D" w:rsidP="00117998">
      <w:pPr>
        <w:rPr>
          <w:rFonts w:ascii="Arial" w:hAnsi="Arial" w:cs="Arial"/>
          <w:b/>
        </w:rPr>
      </w:pPr>
    </w:p>
    <w:tbl>
      <w:tblPr>
        <w:tblW w:w="9117" w:type="dxa"/>
        <w:tblInd w:w="93" w:type="dxa"/>
        <w:tblLook w:val="04A0" w:firstRow="1" w:lastRow="0" w:firstColumn="1" w:lastColumn="0" w:noHBand="0" w:noVBand="1"/>
      </w:tblPr>
      <w:tblGrid>
        <w:gridCol w:w="694"/>
        <w:gridCol w:w="5261"/>
        <w:gridCol w:w="1106"/>
        <w:gridCol w:w="1106"/>
        <w:gridCol w:w="950"/>
      </w:tblGrid>
      <w:tr w:rsidR="00117998" w:rsidRPr="00E65146" w:rsidTr="00117998">
        <w:trPr>
          <w:trHeight w:val="795"/>
        </w:trPr>
        <w:tc>
          <w:tcPr>
            <w:tcW w:w="59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17998" w:rsidRDefault="00117998" w:rsidP="00117998">
            <w:pPr>
              <w:jc w:val="center"/>
              <w:rPr>
                <w:rFonts w:ascii="Arial" w:hAnsi="Arial" w:cs="Arial"/>
                <w:b/>
                <w:bCs/>
                <w:sz w:val="19"/>
                <w:szCs w:val="19"/>
              </w:rPr>
            </w:pPr>
            <w:bookmarkStart w:id="105" w:name="RANGE!A1:E35"/>
            <w:r w:rsidRPr="00F70A4D">
              <w:rPr>
                <w:rFonts w:ascii="Arial" w:hAnsi="Arial" w:cs="Arial"/>
                <w:b/>
                <w:bCs/>
                <w:sz w:val="19"/>
                <w:szCs w:val="19"/>
              </w:rPr>
              <w:t>Case Type-code and Description</w:t>
            </w:r>
            <w:bookmarkEnd w:id="105"/>
          </w:p>
          <w:p w:rsidR="00F70A4D" w:rsidRPr="00F70A4D" w:rsidRDefault="00F70A4D" w:rsidP="00117998">
            <w:pPr>
              <w:jc w:val="center"/>
              <w:rPr>
                <w:rFonts w:ascii="Arial" w:hAnsi="Arial" w:cs="Arial"/>
                <w:b/>
                <w:bCs/>
                <w:sz w:val="19"/>
                <w:szCs w:val="19"/>
              </w:rPr>
            </w:pP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117998" w:rsidRPr="00F70A4D" w:rsidRDefault="00117998" w:rsidP="00117998">
            <w:pPr>
              <w:jc w:val="center"/>
              <w:rPr>
                <w:rFonts w:ascii="Arial" w:hAnsi="Arial" w:cs="Arial"/>
                <w:b/>
                <w:bCs/>
                <w:sz w:val="19"/>
                <w:szCs w:val="19"/>
              </w:rPr>
            </w:pPr>
            <w:r w:rsidRPr="00F70A4D">
              <w:rPr>
                <w:rFonts w:ascii="Arial" w:hAnsi="Arial" w:cs="Arial"/>
                <w:b/>
                <w:bCs/>
                <w:sz w:val="19"/>
                <w:szCs w:val="19"/>
              </w:rPr>
              <w:t>ACOST without CP</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117998" w:rsidRPr="00F70A4D" w:rsidRDefault="00117998" w:rsidP="00117998">
            <w:pPr>
              <w:jc w:val="center"/>
              <w:rPr>
                <w:rFonts w:ascii="Arial" w:hAnsi="Arial" w:cs="Arial"/>
                <w:b/>
                <w:bCs/>
                <w:sz w:val="19"/>
                <w:szCs w:val="19"/>
              </w:rPr>
            </w:pPr>
            <w:r w:rsidRPr="00F70A4D">
              <w:rPr>
                <w:rFonts w:ascii="Arial" w:hAnsi="Arial" w:cs="Arial"/>
                <w:b/>
                <w:bCs/>
                <w:sz w:val="19"/>
                <w:szCs w:val="19"/>
              </w:rPr>
              <w:t>ACOST withCP</w:t>
            </w:r>
          </w:p>
        </w:tc>
        <w:tc>
          <w:tcPr>
            <w:tcW w:w="950" w:type="dxa"/>
            <w:tcBorders>
              <w:top w:val="single" w:sz="4" w:space="0" w:color="auto"/>
              <w:left w:val="nil"/>
              <w:bottom w:val="single" w:sz="4" w:space="0" w:color="auto"/>
              <w:right w:val="single" w:sz="4" w:space="0" w:color="auto"/>
            </w:tcBorders>
            <w:shd w:val="clear" w:color="auto" w:fill="auto"/>
            <w:vAlign w:val="center"/>
            <w:hideMark/>
          </w:tcPr>
          <w:p w:rsidR="00117998" w:rsidRPr="00F70A4D" w:rsidRDefault="00117998" w:rsidP="00117998">
            <w:pPr>
              <w:jc w:val="center"/>
              <w:rPr>
                <w:rFonts w:ascii="Arial" w:hAnsi="Arial" w:cs="Arial"/>
                <w:b/>
                <w:bCs/>
                <w:sz w:val="19"/>
                <w:szCs w:val="19"/>
              </w:rPr>
            </w:pPr>
            <w:r w:rsidRPr="00F70A4D">
              <w:rPr>
                <w:rFonts w:ascii="Arial" w:hAnsi="Arial" w:cs="Arial"/>
                <w:b/>
                <w:bCs/>
                <w:sz w:val="19"/>
                <w:szCs w:val="19"/>
              </w:rPr>
              <w:t>% Change</w:t>
            </w:r>
          </w:p>
        </w:tc>
      </w:tr>
      <w:tr w:rsidR="00117998" w:rsidRPr="00E65146" w:rsidTr="00117998">
        <w:trPr>
          <w:trHeight w:val="255"/>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117998" w:rsidRPr="00F70A4D" w:rsidRDefault="00117998" w:rsidP="00117998">
            <w:pPr>
              <w:jc w:val="center"/>
              <w:rPr>
                <w:rFonts w:ascii="Arial" w:hAnsi="Arial" w:cs="Arial"/>
                <w:b/>
                <w:bCs/>
                <w:sz w:val="19"/>
                <w:szCs w:val="19"/>
              </w:rPr>
            </w:pPr>
            <w:r w:rsidRPr="00F70A4D">
              <w:rPr>
                <w:rFonts w:ascii="Arial" w:hAnsi="Arial" w:cs="Arial"/>
                <w:b/>
                <w:bCs/>
                <w:sz w:val="19"/>
                <w:szCs w:val="19"/>
              </w:rPr>
              <w:t> </w:t>
            </w:r>
          </w:p>
        </w:tc>
        <w:tc>
          <w:tcPr>
            <w:tcW w:w="5261" w:type="dxa"/>
            <w:tcBorders>
              <w:top w:val="nil"/>
              <w:left w:val="nil"/>
              <w:bottom w:val="single" w:sz="4" w:space="0" w:color="auto"/>
              <w:right w:val="single" w:sz="4" w:space="0" w:color="auto"/>
            </w:tcBorders>
            <w:shd w:val="clear" w:color="auto" w:fill="auto"/>
            <w:noWrap/>
            <w:vAlign w:val="center"/>
            <w:hideMark/>
          </w:tcPr>
          <w:p w:rsidR="00117998" w:rsidRPr="00F70A4D" w:rsidRDefault="00117998" w:rsidP="00117998">
            <w:pPr>
              <w:jc w:val="center"/>
              <w:rPr>
                <w:rFonts w:ascii="Arial" w:hAnsi="Arial" w:cs="Arial"/>
                <w:b/>
                <w:bCs/>
                <w:sz w:val="19"/>
                <w:szCs w:val="19"/>
              </w:rPr>
            </w:pPr>
            <w:r w:rsidRPr="00F70A4D">
              <w:rPr>
                <w:rFonts w:ascii="Arial" w:hAnsi="Arial" w:cs="Arial"/>
                <w:b/>
                <w:bCs/>
                <w:sz w:val="19"/>
                <w:szCs w:val="19"/>
              </w:rPr>
              <w:t> </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117998" w:rsidRPr="00F70A4D" w:rsidRDefault="00117998" w:rsidP="00117998">
            <w:pPr>
              <w:jc w:val="center"/>
              <w:rPr>
                <w:rFonts w:ascii="Arial" w:hAnsi="Arial" w:cs="Arial"/>
                <w:b/>
                <w:bCs/>
                <w:sz w:val="19"/>
                <w:szCs w:val="19"/>
              </w:rPr>
            </w:pPr>
            <w:r w:rsidRPr="00F70A4D">
              <w:rPr>
                <w:rFonts w:ascii="Arial" w:hAnsi="Arial" w:cs="Arial"/>
                <w:b/>
                <w:bCs/>
                <w:sz w:val="19"/>
                <w:szCs w:val="19"/>
              </w:rPr>
              <w:t>ACOST</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117998" w:rsidRPr="00F70A4D" w:rsidRDefault="00117998" w:rsidP="00117998">
            <w:pPr>
              <w:jc w:val="center"/>
              <w:rPr>
                <w:rFonts w:ascii="Arial" w:hAnsi="Arial" w:cs="Arial"/>
                <w:b/>
                <w:bCs/>
                <w:sz w:val="19"/>
                <w:szCs w:val="19"/>
              </w:rPr>
            </w:pPr>
            <w:r w:rsidRPr="00F70A4D">
              <w:rPr>
                <w:rFonts w:ascii="Arial" w:hAnsi="Arial" w:cs="Arial"/>
                <w:b/>
                <w:bCs/>
                <w:sz w:val="19"/>
                <w:szCs w:val="19"/>
              </w:rPr>
              <w:t>ACOST</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117998" w:rsidRPr="00F70A4D" w:rsidRDefault="00117998" w:rsidP="00117998">
            <w:pPr>
              <w:jc w:val="center"/>
              <w:rPr>
                <w:rFonts w:ascii="Arial" w:hAnsi="Arial" w:cs="Arial"/>
                <w:b/>
                <w:bCs/>
                <w:sz w:val="19"/>
                <w:szCs w:val="19"/>
              </w:rPr>
            </w:pPr>
            <w:r w:rsidRPr="00F70A4D">
              <w:rPr>
                <w:rFonts w:ascii="Arial" w:hAnsi="Arial" w:cs="Arial"/>
                <w:b/>
                <w:bCs/>
                <w:sz w:val="19"/>
                <w:szCs w:val="19"/>
              </w:rPr>
              <w:t>%</w:t>
            </w:r>
          </w:p>
        </w:tc>
      </w:tr>
      <w:tr w:rsidR="00F70A4D" w:rsidRPr="00E65146" w:rsidTr="00117998">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70A4D" w:rsidRPr="00F70A4D" w:rsidRDefault="00F70A4D" w:rsidP="00117998">
            <w:pPr>
              <w:rPr>
                <w:rFonts w:ascii="Arial" w:hAnsi="Arial" w:cs="Arial"/>
                <w:sz w:val="19"/>
                <w:szCs w:val="19"/>
              </w:rPr>
            </w:pPr>
            <w:r w:rsidRPr="00F70A4D">
              <w:rPr>
                <w:rFonts w:ascii="Arial" w:hAnsi="Arial" w:cs="Arial"/>
                <w:sz w:val="19"/>
                <w:szCs w:val="19"/>
              </w:rPr>
              <w:t>1.1</w:t>
            </w:r>
          </w:p>
        </w:tc>
        <w:tc>
          <w:tcPr>
            <w:tcW w:w="5261" w:type="dxa"/>
            <w:tcBorders>
              <w:top w:val="nil"/>
              <w:left w:val="nil"/>
              <w:bottom w:val="single" w:sz="4" w:space="0" w:color="auto"/>
              <w:right w:val="single" w:sz="4" w:space="0" w:color="auto"/>
            </w:tcBorders>
            <w:shd w:val="clear" w:color="auto" w:fill="auto"/>
            <w:vAlign w:val="center"/>
            <w:hideMark/>
          </w:tcPr>
          <w:p w:rsidR="00F70A4D" w:rsidRPr="00F70A4D" w:rsidRDefault="00F70A4D" w:rsidP="00117998">
            <w:pPr>
              <w:rPr>
                <w:rFonts w:ascii="Arial" w:hAnsi="Arial" w:cs="Arial"/>
                <w:sz w:val="19"/>
                <w:szCs w:val="19"/>
              </w:rPr>
            </w:pPr>
            <w:r w:rsidRPr="001655E2">
              <w:rPr>
                <w:rFonts w:ascii="Arial" w:hAnsi="Arial" w:cs="Arial"/>
                <w:sz w:val="19"/>
                <w:szCs w:val="19"/>
              </w:rPr>
              <w:t>Miscellaneous digestive disorders age &gt; 9, no CC</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4,430,371</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2,015,761</w:t>
            </w:r>
          </w:p>
        </w:tc>
        <w:tc>
          <w:tcPr>
            <w:tcW w:w="950"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45%</w:t>
            </w:r>
          </w:p>
        </w:tc>
      </w:tr>
      <w:tr w:rsidR="00F70A4D" w:rsidRPr="00E65146" w:rsidTr="00117998">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70A4D" w:rsidRPr="00F70A4D" w:rsidRDefault="00F70A4D" w:rsidP="00117998">
            <w:pPr>
              <w:rPr>
                <w:rFonts w:ascii="Arial" w:hAnsi="Arial" w:cs="Arial"/>
                <w:sz w:val="19"/>
                <w:szCs w:val="19"/>
              </w:rPr>
            </w:pPr>
            <w:r w:rsidRPr="00F70A4D">
              <w:rPr>
                <w:rFonts w:ascii="Arial" w:hAnsi="Arial" w:cs="Arial"/>
                <w:sz w:val="19"/>
                <w:szCs w:val="19"/>
              </w:rPr>
              <w:t>1.9</w:t>
            </w:r>
          </w:p>
        </w:tc>
        <w:tc>
          <w:tcPr>
            <w:tcW w:w="5261" w:type="dxa"/>
            <w:tcBorders>
              <w:top w:val="nil"/>
              <w:left w:val="nil"/>
              <w:bottom w:val="single" w:sz="4" w:space="0" w:color="auto"/>
              <w:right w:val="single" w:sz="4" w:space="0" w:color="auto"/>
            </w:tcBorders>
            <w:shd w:val="clear" w:color="auto" w:fill="auto"/>
            <w:vAlign w:val="center"/>
            <w:hideMark/>
          </w:tcPr>
          <w:p w:rsidR="00F70A4D" w:rsidRPr="00F70A4D" w:rsidRDefault="00F70A4D" w:rsidP="00117998">
            <w:pPr>
              <w:rPr>
                <w:rFonts w:ascii="Arial" w:hAnsi="Arial" w:cs="Arial"/>
                <w:sz w:val="19"/>
                <w:szCs w:val="19"/>
              </w:rPr>
            </w:pPr>
            <w:r w:rsidRPr="001655E2">
              <w:rPr>
                <w:rFonts w:ascii="Arial" w:hAnsi="Arial" w:cs="Arial"/>
                <w:sz w:val="19"/>
                <w:szCs w:val="19"/>
              </w:rPr>
              <w:t>Esophagitis, gastritis and dyspepsia age &gt; 9, no CC</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756,524</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507,143</w:t>
            </w:r>
          </w:p>
        </w:tc>
        <w:tc>
          <w:tcPr>
            <w:tcW w:w="950"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67%</w:t>
            </w:r>
          </w:p>
        </w:tc>
      </w:tr>
      <w:tr w:rsidR="00F70A4D" w:rsidRPr="00E65146" w:rsidTr="00117998">
        <w:trPr>
          <w:trHeight w:val="49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70A4D" w:rsidRPr="00F70A4D" w:rsidRDefault="00F70A4D" w:rsidP="00117998">
            <w:pPr>
              <w:rPr>
                <w:rFonts w:ascii="Arial" w:hAnsi="Arial" w:cs="Arial"/>
                <w:sz w:val="19"/>
                <w:szCs w:val="19"/>
              </w:rPr>
            </w:pPr>
            <w:r w:rsidRPr="00F70A4D">
              <w:rPr>
                <w:rFonts w:ascii="Arial" w:hAnsi="Arial" w:cs="Arial"/>
                <w:sz w:val="19"/>
                <w:szCs w:val="19"/>
              </w:rPr>
              <w:t>2.0</w:t>
            </w:r>
          </w:p>
        </w:tc>
        <w:tc>
          <w:tcPr>
            <w:tcW w:w="5261" w:type="dxa"/>
            <w:tcBorders>
              <w:top w:val="nil"/>
              <w:left w:val="nil"/>
              <w:bottom w:val="single" w:sz="4" w:space="0" w:color="auto"/>
              <w:right w:val="single" w:sz="4" w:space="0" w:color="auto"/>
            </w:tcBorders>
            <w:shd w:val="clear" w:color="auto" w:fill="auto"/>
            <w:vAlign w:val="center"/>
            <w:hideMark/>
          </w:tcPr>
          <w:p w:rsidR="00F70A4D" w:rsidRPr="00F70A4D" w:rsidRDefault="00F70A4D" w:rsidP="00117998">
            <w:pPr>
              <w:rPr>
                <w:rFonts w:ascii="Arial" w:hAnsi="Arial" w:cs="Arial"/>
                <w:sz w:val="19"/>
                <w:szCs w:val="19"/>
              </w:rPr>
            </w:pPr>
            <w:r w:rsidRPr="001655E2">
              <w:rPr>
                <w:rFonts w:ascii="Arial" w:hAnsi="Arial" w:cs="Arial"/>
                <w:sz w:val="19"/>
                <w:szCs w:val="19"/>
              </w:rPr>
              <w:t>Nervous syst</w:t>
            </w:r>
            <w:r>
              <w:rPr>
                <w:rFonts w:ascii="Arial" w:hAnsi="Arial" w:cs="Arial"/>
                <w:sz w:val="19"/>
                <w:szCs w:val="19"/>
              </w:rPr>
              <w:t>em</w:t>
            </w:r>
            <w:r w:rsidRPr="001655E2">
              <w:rPr>
                <w:rFonts w:ascii="Arial" w:hAnsi="Arial" w:cs="Arial"/>
                <w:sz w:val="19"/>
                <w:szCs w:val="19"/>
              </w:rPr>
              <w:t xml:space="preserve"> infection exc</w:t>
            </w:r>
            <w:r>
              <w:rPr>
                <w:rFonts w:ascii="Arial" w:hAnsi="Arial" w:cs="Arial"/>
                <w:sz w:val="19"/>
                <w:szCs w:val="19"/>
              </w:rPr>
              <w:t>luding</w:t>
            </w:r>
            <w:r w:rsidRPr="001655E2">
              <w:rPr>
                <w:rFonts w:ascii="Arial" w:hAnsi="Arial" w:cs="Arial"/>
                <w:sz w:val="19"/>
                <w:szCs w:val="19"/>
              </w:rPr>
              <w:t xml:space="preserve"> viral meningitis, transferred, no CC</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2,336,546</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NA</w:t>
            </w:r>
          </w:p>
        </w:tc>
        <w:tc>
          <w:tcPr>
            <w:tcW w:w="950"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NA</w:t>
            </w:r>
          </w:p>
        </w:tc>
      </w:tr>
      <w:tr w:rsidR="00F70A4D" w:rsidRPr="00E65146" w:rsidTr="00117998">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70A4D" w:rsidRPr="00F70A4D" w:rsidRDefault="00F70A4D" w:rsidP="00117998">
            <w:pPr>
              <w:rPr>
                <w:rFonts w:ascii="Arial" w:hAnsi="Arial" w:cs="Arial"/>
                <w:sz w:val="19"/>
                <w:szCs w:val="19"/>
              </w:rPr>
            </w:pPr>
            <w:r w:rsidRPr="00F70A4D">
              <w:rPr>
                <w:rFonts w:ascii="Arial" w:hAnsi="Arial" w:cs="Arial"/>
                <w:sz w:val="19"/>
                <w:szCs w:val="19"/>
              </w:rPr>
              <w:t>3.0</w:t>
            </w:r>
          </w:p>
        </w:tc>
        <w:tc>
          <w:tcPr>
            <w:tcW w:w="5261" w:type="dxa"/>
            <w:tcBorders>
              <w:top w:val="nil"/>
              <w:left w:val="nil"/>
              <w:bottom w:val="single" w:sz="4" w:space="0" w:color="auto"/>
              <w:right w:val="single" w:sz="4" w:space="0" w:color="auto"/>
            </w:tcBorders>
            <w:shd w:val="clear" w:color="auto" w:fill="auto"/>
            <w:vAlign w:val="center"/>
            <w:hideMark/>
          </w:tcPr>
          <w:p w:rsidR="00F70A4D" w:rsidRPr="00F70A4D" w:rsidRDefault="00F70A4D" w:rsidP="00117998">
            <w:pPr>
              <w:rPr>
                <w:rFonts w:ascii="Arial" w:hAnsi="Arial" w:cs="Arial"/>
                <w:sz w:val="19"/>
                <w:szCs w:val="19"/>
              </w:rPr>
            </w:pPr>
            <w:r w:rsidRPr="001655E2">
              <w:rPr>
                <w:rFonts w:ascii="Arial" w:hAnsi="Arial" w:cs="Arial"/>
                <w:sz w:val="19"/>
                <w:szCs w:val="19"/>
              </w:rPr>
              <w:t xml:space="preserve">Dengue, adult, </w:t>
            </w:r>
            <w:r>
              <w:rPr>
                <w:rFonts w:ascii="Arial" w:hAnsi="Arial" w:cs="Arial"/>
                <w:sz w:val="19"/>
                <w:szCs w:val="19"/>
              </w:rPr>
              <w:t>with</w:t>
            </w:r>
            <w:r w:rsidRPr="001655E2">
              <w:rPr>
                <w:rFonts w:ascii="Arial" w:hAnsi="Arial" w:cs="Arial"/>
                <w:sz w:val="19"/>
                <w:szCs w:val="19"/>
              </w:rPr>
              <w:t xml:space="preserve"> mild CC</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2,131,585</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1,758,645</w:t>
            </w:r>
          </w:p>
        </w:tc>
        <w:tc>
          <w:tcPr>
            <w:tcW w:w="950"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83%</w:t>
            </w:r>
          </w:p>
        </w:tc>
      </w:tr>
      <w:tr w:rsidR="00F70A4D" w:rsidRPr="00E65146" w:rsidTr="00117998">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70A4D" w:rsidRPr="00F70A4D" w:rsidRDefault="00F70A4D" w:rsidP="00117998">
            <w:pPr>
              <w:rPr>
                <w:rFonts w:ascii="Arial" w:hAnsi="Arial" w:cs="Arial"/>
                <w:sz w:val="19"/>
                <w:szCs w:val="19"/>
              </w:rPr>
            </w:pPr>
            <w:r w:rsidRPr="00F70A4D">
              <w:rPr>
                <w:rFonts w:ascii="Arial" w:hAnsi="Arial" w:cs="Arial"/>
                <w:sz w:val="19"/>
                <w:szCs w:val="19"/>
              </w:rPr>
              <w:t>4.0</w:t>
            </w:r>
          </w:p>
        </w:tc>
        <w:tc>
          <w:tcPr>
            <w:tcW w:w="5261" w:type="dxa"/>
            <w:tcBorders>
              <w:top w:val="nil"/>
              <w:left w:val="nil"/>
              <w:bottom w:val="single" w:sz="4" w:space="0" w:color="auto"/>
              <w:right w:val="single" w:sz="4" w:space="0" w:color="auto"/>
            </w:tcBorders>
            <w:shd w:val="clear" w:color="auto" w:fill="auto"/>
            <w:vAlign w:val="center"/>
            <w:hideMark/>
          </w:tcPr>
          <w:p w:rsidR="00F70A4D" w:rsidRPr="00F70A4D" w:rsidRDefault="00F70A4D" w:rsidP="00117998">
            <w:pPr>
              <w:rPr>
                <w:rFonts w:ascii="Arial" w:hAnsi="Arial" w:cs="Arial"/>
                <w:sz w:val="19"/>
                <w:szCs w:val="19"/>
              </w:rPr>
            </w:pPr>
            <w:r w:rsidRPr="001655E2">
              <w:rPr>
                <w:rFonts w:ascii="Arial" w:hAnsi="Arial" w:cs="Arial"/>
                <w:sz w:val="19"/>
                <w:szCs w:val="19"/>
              </w:rPr>
              <w:t>Trĩ -Internal hemorrhoids without complication</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2,115,209</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623,637</w:t>
            </w:r>
          </w:p>
        </w:tc>
        <w:tc>
          <w:tcPr>
            <w:tcW w:w="950"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29%</w:t>
            </w:r>
          </w:p>
        </w:tc>
      </w:tr>
      <w:tr w:rsidR="00F70A4D" w:rsidRPr="00E65146" w:rsidTr="00117998">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70A4D" w:rsidRPr="00F70A4D" w:rsidRDefault="00F70A4D" w:rsidP="00117998">
            <w:pPr>
              <w:rPr>
                <w:rFonts w:ascii="Arial" w:hAnsi="Arial" w:cs="Arial"/>
                <w:sz w:val="19"/>
                <w:szCs w:val="19"/>
              </w:rPr>
            </w:pPr>
            <w:r w:rsidRPr="00F70A4D">
              <w:rPr>
                <w:rFonts w:ascii="Arial" w:hAnsi="Arial" w:cs="Arial"/>
                <w:sz w:val="19"/>
                <w:szCs w:val="19"/>
              </w:rPr>
              <w:t>5.0</w:t>
            </w:r>
          </w:p>
        </w:tc>
        <w:tc>
          <w:tcPr>
            <w:tcW w:w="5261" w:type="dxa"/>
            <w:tcBorders>
              <w:top w:val="nil"/>
              <w:left w:val="nil"/>
              <w:bottom w:val="single" w:sz="4" w:space="0" w:color="auto"/>
              <w:right w:val="single" w:sz="4" w:space="0" w:color="auto"/>
            </w:tcBorders>
            <w:shd w:val="clear" w:color="auto" w:fill="auto"/>
            <w:vAlign w:val="center"/>
            <w:hideMark/>
          </w:tcPr>
          <w:p w:rsidR="00F70A4D" w:rsidRPr="00F70A4D" w:rsidRDefault="00F70A4D" w:rsidP="00117998">
            <w:pPr>
              <w:rPr>
                <w:rFonts w:ascii="Arial" w:hAnsi="Arial" w:cs="Arial"/>
                <w:sz w:val="19"/>
                <w:szCs w:val="19"/>
              </w:rPr>
            </w:pPr>
            <w:r w:rsidRPr="001655E2">
              <w:rPr>
                <w:rFonts w:ascii="Arial" w:hAnsi="Arial" w:cs="Arial"/>
                <w:sz w:val="19"/>
                <w:szCs w:val="19"/>
              </w:rPr>
              <w:t xml:space="preserve">Vaginal delivery </w:t>
            </w:r>
            <w:r>
              <w:rPr>
                <w:rFonts w:ascii="Arial" w:hAnsi="Arial" w:cs="Arial"/>
                <w:sz w:val="19"/>
                <w:szCs w:val="19"/>
              </w:rPr>
              <w:t>without</w:t>
            </w:r>
            <w:r w:rsidRPr="001655E2">
              <w:rPr>
                <w:rFonts w:ascii="Arial" w:hAnsi="Arial" w:cs="Arial"/>
                <w:sz w:val="19"/>
                <w:szCs w:val="19"/>
              </w:rPr>
              <w:t xml:space="preserve"> complicating Dx</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732,262</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378,123</w:t>
            </w:r>
          </w:p>
        </w:tc>
        <w:tc>
          <w:tcPr>
            <w:tcW w:w="950"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52%</w:t>
            </w:r>
          </w:p>
        </w:tc>
      </w:tr>
      <w:tr w:rsidR="00F70A4D" w:rsidRPr="00E65146" w:rsidTr="00117998">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70A4D" w:rsidRPr="00F70A4D" w:rsidRDefault="00F70A4D" w:rsidP="00117998">
            <w:pPr>
              <w:rPr>
                <w:rFonts w:ascii="Arial" w:hAnsi="Arial" w:cs="Arial"/>
                <w:sz w:val="19"/>
                <w:szCs w:val="19"/>
              </w:rPr>
            </w:pPr>
            <w:r w:rsidRPr="00F70A4D">
              <w:rPr>
                <w:rFonts w:ascii="Arial" w:hAnsi="Arial" w:cs="Arial"/>
                <w:sz w:val="19"/>
                <w:szCs w:val="19"/>
              </w:rPr>
              <w:t>6.0</w:t>
            </w:r>
          </w:p>
        </w:tc>
        <w:tc>
          <w:tcPr>
            <w:tcW w:w="5261" w:type="dxa"/>
            <w:tcBorders>
              <w:top w:val="nil"/>
              <w:left w:val="nil"/>
              <w:bottom w:val="single" w:sz="4" w:space="0" w:color="auto"/>
              <w:right w:val="single" w:sz="4" w:space="0" w:color="auto"/>
            </w:tcBorders>
            <w:shd w:val="clear" w:color="auto" w:fill="auto"/>
            <w:vAlign w:val="center"/>
            <w:hideMark/>
          </w:tcPr>
          <w:p w:rsidR="00F70A4D" w:rsidRPr="00F70A4D" w:rsidRDefault="00F70A4D" w:rsidP="00117998">
            <w:pPr>
              <w:rPr>
                <w:rFonts w:ascii="Arial" w:hAnsi="Arial" w:cs="Arial"/>
                <w:sz w:val="19"/>
                <w:szCs w:val="19"/>
              </w:rPr>
            </w:pPr>
            <w:r w:rsidRPr="001655E2">
              <w:rPr>
                <w:rFonts w:ascii="Arial" w:hAnsi="Arial" w:cs="Arial"/>
                <w:sz w:val="19"/>
                <w:szCs w:val="19"/>
              </w:rPr>
              <w:t>Caesarean delivery without complicating Dx</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1,770,802</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2,664,394</w:t>
            </w:r>
          </w:p>
        </w:tc>
        <w:tc>
          <w:tcPr>
            <w:tcW w:w="950"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150%</w:t>
            </w:r>
          </w:p>
        </w:tc>
      </w:tr>
      <w:tr w:rsidR="00F70A4D" w:rsidRPr="00E65146" w:rsidTr="00117998">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70A4D" w:rsidRPr="00F70A4D" w:rsidRDefault="00F70A4D" w:rsidP="00117998">
            <w:pPr>
              <w:rPr>
                <w:rFonts w:ascii="Arial" w:hAnsi="Arial" w:cs="Arial"/>
                <w:sz w:val="19"/>
                <w:szCs w:val="19"/>
              </w:rPr>
            </w:pPr>
            <w:r w:rsidRPr="00F70A4D">
              <w:rPr>
                <w:rFonts w:ascii="Arial" w:hAnsi="Arial" w:cs="Arial"/>
                <w:sz w:val="19"/>
                <w:szCs w:val="19"/>
              </w:rPr>
              <w:t>7.0</w:t>
            </w:r>
          </w:p>
        </w:tc>
        <w:tc>
          <w:tcPr>
            <w:tcW w:w="5261" w:type="dxa"/>
            <w:tcBorders>
              <w:top w:val="nil"/>
              <w:left w:val="nil"/>
              <w:bottom w:val="single" w:sz="4" w:space="0" w:color="auto"/>
              <w:right w:val="single" w:sz="4" w:space="0" w:color="auto"/>
            </w:tcBorders>
            <w:shd w:val="clear" w:color="auto" w:fill="auto"/>
            <w:vAlign w:val="center"/>
            <w:hideMark/>
          </w:tcPr>
          <w:p w:rsidR="00F70A4D" w:rsidRPr="00F70A4D" w:rsidRDefault="00F70A4D" w:rsidP="00117998">
            <w:pPr>
              <w:rPr>
                <w:rFonts w:ascii="Arial" w:hAnsi="Arial" w:cs="Arial"/>
                <w:sz w:val="19"/>
                <w:szCs w:val="19"/>
              </w:rPr>
            </w:pPr>
            <w:r w:rsidRPr="001655E2">
              <w:rPr>
                <w:rFonts w:ascii="Arial" w:hAnsi="Arial" w:cs="Arial"/>
                <w:sz w:val="19"/>
                <w:szCs w:val="19"/>
              </w:rPr>
              <w:t>Ovarian/adnexal malignancy, no CC</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3,435,609</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NA</w:t>
            </w:r>
          </w:p>
        </w:tc>
        <w:tc>
          <w:tcPr>
            <w:tcW w:w="950"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NA</w:t>
            </w:r>
          </w:p>
        </w:tc>
      </w:tr>
      <w:tr w:rsidR="00F70A4D" w:rsidRPr="00E65146" w:rsidTr="00117998">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70A4D" w:rsidRPr="00F70A4D" w:rsidRDefault="00F70A4D" w:rsidP="00117998">
            <w:pPr>
              <w:rPr>
                <w:rFonts w:ascii="Arial" w:hAnsi="Arial" w:cs="Arial"/>
                <w:sz w:val="19"/>
                <w:szCs w:val="19"/>
              </w:rPr>
            </w:pPr>
            <w:r w:rsidRPr="00F70A4D">
              <w:rPr>
                <w:rFonts w:ascii="Arial" w:hAnsi="Arial" w:cs="Arial"/>
                <w:sz w:val="19"/>
                <w:szCs w:val="19"/>
              </w:rPr>
              <w:t>8.0</w:t>
            </w:r>
          </w:p>
        </w:tc>
        <w:tc>
          <w:tcPr>
            <w:tcW w:w="5261" w:type="dxa"/>
            <w:tcBorders>
              <w:top w:val="nil"/>
              <w:left w:val="nil"/>
              <w:bottom w:val="single" w:sz="4" w:space="0" w:color="auto"/>
              <w:right w:val="single" w:sz="4" w:space="0" w:color="auto"/>
            </w:tcBorders>
            <w:shd w:val="clear" w:color="auto" w:fill="auto"/>
            <w:vAlign w:val="center"/>
            <w:hideMark/>
          </w:tcPr>
          <w:p w:rsidR="00F70A4D" w:rsidRPr="00F70A4D" w:rsidRDefault="00F70A4D" w:rsidP="00117998">
            <w:pPr>
              <w:rPr>
                <w:rFonts w:ascii="Arial" w:hAnsi="Arial" w:cs="Arial"/>
                <w:sz w:val="19"/>
                <w:szCs w:val="19"/>
              </w:rPr>
            </w:pPr>
            <w:r w:rsidRPr="001655E2">
              <w:rPr>
                <w:rFonts w:ascii="Arial" w:hAnsi="Arial" w:cs="Arial"/>
                <w:sz w:val="19"/>
                <w:szCs w:val="19"/>
              </w:rPr>
              <w:t>Non-malignant uterus disorders, no CC</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2,659,659</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1,021,008</w:t>
            </w:r>
          </w:p>
        </w:tc>
        <w:tc>
          <w:tcPr>
            <w:tcW w:w="950"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38%</w:t>
            </w:r>
          </w:p>
        </w:tc>
      </w:tr>
      <w:tr w:rsidR="00F70A4D" w:rsidRPr="00E65146" w:rsidTr="00117998">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70A4D" w:rsidRPr="00F70A4D" w:rsidRDefault="00F70A4D" w:rsidP="00117998">
            <w:pPr>
              <w:rPr>
                <w:rFonts w:ascii="Arial" w:hAnsi="Arial" w:cs="Arial"/>
                <w:sz w:val="19"/>
                <w:szCs w:val="19"/>
              </w:rPr>
            </w:pPr>
            <w:r w:rsidRPr="00F70A4D">
              <w:rPr>
                <w:rFonts w:ascii="Arial" w:hAnsi="Arial" w:cs="Arial"/>
                <w:sz w:val="19"/>
                <w:szCs w:val="19"/>
              </w:rPr>
              <w:t>9.0</w:t>
            </w:r>
          </w:p>
        </w:tc>
        <w:tc>
          <w:tcPr>
            <w:tcW w:w="5261" w:type="dxa"/>
            <w:tcBorders>
              <w:top w:val="nil"/>
              <w:left w:val="nil"/>
              <w:bottom w:val="single" w:sz="4" w:space="0" w:color="auto"/>
              <w:right w:val="single" w:sz="4" w:space="0" w:color="auto"/>
            </w:tcBorders>
            <w:shd w:val="clear" w:color="auto" w:fill="auto"/>
            <w:vAlign w:val="center"/>
            <w:hideMark/>
          </w:tcPr>
          <w:p w:rsidR="00F70A4D" w:rsidRPr="00F70A4D" w:rsidRDefault="00F70A4D" w:rsidP="00117998">
            <w:pPr>
              <w:rPr>
                <w:rFonts w:ascii="Arial" w:hAnsi="Arial" w:cs="Arial"/>
                <w:sz w:val="19"/>
                <w:szCs w:val="19"/>
              </w:rPr>
            </w:pPr>
            <w:r w:rsidRPr="001655E2">
              <w:rPr>
                <w:rFonts w:ascii="Arial" w:hAnsi="Arial" w:cs="Arial"/>
                <w:sz w:val="19"/>
                <w:szCs w:val="19"/>
              </w:rPr>
              <w:t xml:space="preserve">Diabetes with complicated PDx, </w:t>
            </w:r>
            <w:r>
              <w:rPr>
                <w:rFonts w:ascii="Arial" w:hAnsi="Arial" w:cs="Arial"/>
                <w:sz w:val="19"/>
                <w:szCs w:val="19"/>
              </w:rPr>
              <w:t>with</w:t>
            </w:r>
            <w:r w:rsidRPr="001655E2">
              <w:rPr>
                <w:rFonts w:ascii="Arial" w:hAnsi="Arial" w:cs="Arial"/>
                <w:sz w:val="19"/>
                <w:szCs w:val="19"/>
              </w:rPr>
              <w:t xml:space="preserve"> mod CC</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3,257,040</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1,709,912</w:t>
            </w:r>
          </w:p>
        </w:tc>
        <w:tc>
          <w:tcPr>
            <w:tcW w:w="950"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52%</w:t>
            </w:r>
          </w:p>
        </w:tc>
      </w:tr>
      <w:tr w:rsidR="00F70A4D" w:rsidRPr="00E65146" w:rsidTr="00117998">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70A4D" w:rsidRPr="00F70A4D" w:rsidRDefault="00F70A4D" w:rsidP="00117998">
            <w:pPr>
              <w:rPr>
                <w:rFonts w:ascii="Arial" w:hAnsi="Arial" w:cs="Arial"/>
                <w:sz w:val="19"/>
                <w:szCs w:val="19"/>
              </w:rPr>
            </w:pPr>
            <w:r w:rsidRPr="00F70A4D">
              <w:rPr>
                <w:rFonts w:ascii="Arial" w:hAnsi="Arial" w:cs="Arial"/>
                <w:sz w:val="19"/>
                <w:szCs w:val="19"/>
              </w:rPr>
              <w:t>10.0</w:t>
            </w:r>
          </w:p>
        </w:tc>
        <w:tc>
          <w:tcPr>
            <w:tcW w:w="5261" w:type="dxa"/>
            <w:tcBorders>
              <w:top w:val="nil"/>
              <w:left w:val="nil"/>
              <w:bottom w:val="single" w:sz="4" w:space="0" w:color="auto"/>
              <w:right w:val="single" w:sz="4" w:space="0" w:color="auto"/>
            </w:tcBorders>
            <w:shd w:val="clear" w:color="auto" w:fill="auto"/>
            <w:vAlign w:val="center"/>
            <w:hideMark/>
          </w:tcPr>
          <w:p w:rsidR="00F70A4D" w:rsidRPr="00F70A4D" w:rsidRDefault="00F70A4D" w:rsidP="00117998">
            <w:pPr>
              <w:rPr>
                <w:rFonts w:ascii="Arial" w:hAnsi="Arial" w:cs="Arial"/>
                <w:sz w:val="19"/>
                <w:szCs w:val="19"/>
              </w:rPr>
            </w:pPr>
            <w:r w:rsidRPr="001655E2">
              <w:rPr>
                <w:rFonts w:ascii="Arial" w:hAnsi="Arial" w:cs="Arial"/>
                <w:sz w:val="19"/>
                <w:szCs w:val="19"/>
              </w:rPr>
              <w:t>Appendectomy, no CC</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2,146,154</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697,444</w:t>
            </w:r>
          </w:p>
        </w:tc>
        <w:tc>
          <w:tcPr>
            <w:tcW w:w="950"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32%</w:t>
            </w:r>
          </w:p>
        </w:tc>
      </w:tr>
      <w:tr w:rsidR="00F70A4D" w:rsidRPr="00E65146" w:rsidTr="00117998">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70A4D" w:rsidRPr="00F70A4D" w:rsidRDefault="00F70A4D" w:rsidP="00117998">
            <w:pPr>
              <w:rPr>
                <w:rFonts w:ascii="Arial" w:hAnsi="Arial" w:cs="Arial"/>
                <w:sz w:val="19"/>
                <w:szCs w:val="19"/>
              </w:rPr>
            </w:pPr>
            <w:r w:rsidRPr="00F70A4D">
              <w:rPr>
                <w:rFonts w:ascii="Arial" w:hAnsi="Arial" w:cs="Arial"/>
                <w:sz w:val="19"/>
                <w:szCs w:val="19"/>
              </w:rPr>
              <w:t>11.0</w:t>
            </w:r>
          </w:p>
        </w:tc>
        <w:tc>
          <w:tcPr>
            <w:tcW w:w="5261" w:type="dxa"/>
            <w:tcBorders>
              <w:top w:val="nil"/>
              <w:left w:val="nil"/>
              <w:bottom w:val="single" w:sz="4" w:space="0" w:color="auto"/>
              <w:right w:val="single" w:sz="4" w:space="0" w:color="auto"/>
            </w:tcBorders>
            <w:shd w:val="clear" w:color="auto" w:fill="auto"/>
            <w:vAlign w:val="center"/>
            <w:hideMark/>
          </w:tcPr>
          <w:p w:rsidR="00F70A4D" w:rsidRPr="00F70A4D" w:rsidRDefault="00F70A4D" w:rsidP="00117998">
            <w:pPr>
              <w:rPr>
                <w:rFonts w:ascii="Arial" w:hAnsi="Arial" w:cs="Arial"/>
                <w:sz w:val="19"/>
                <w:szCs w:val="19"/>
              </w:rPr>
            </w:pPr>
            <w:r w:rsidRPr="001655E2">
              <w:rPr>
                <w:rFonts w:ascii="Arial" w:hAnsi="Arial" w:cs="Arial"/>
                <w:sz w:val="19"/>
                <w:szCs w:val="19"/>
              </w:rPr>
              <w:t xml:space="preserve">LOS 6 hours or less </w:t>
            </w:r>
            <w:r>
              <w:rPr>
                <w:rFonts w:ascii="Arial" w:hAnsi="Arial" w:cs="Arial"/>
                <w:sz w:val="19"/>
                <w:szCs w:val="19"/>
              </w:rPr>
              <w:t>with</w:t>
            </w:r>
            <w:r w:rsidRPr="001655E2">
              <w:rPr>
                <w:rFonts w:ascii="Arial" w:hAnsi="Arial" w:cs="Arial"/>
                <w:sz w:val="19"/>
                <w:szCs w:val="19"/>
              </w:rPr>
              <w:t xml:space="preserve"> cataract proc, </w:t>
            </w:r>
            <w:r>
              <w:rPr>
                <w:rFonts w:ascii="Arial" w:hAnsi="Arial" w:cs="Arial"/>
                <w:sz w:val="19"/>
                <w:szCs w:val="19"/>
              </w:rPr>
              <w:t>with</w:t>
            </w:r>
            <w:r w:rsidRPr="001655E2">
              <w:rPr>
                <w:rFonts w:ascii="Arial" w:hAnsi="Arial" w:cs="Arial"/>
                <w:sz w:val="19"/>
                <w:szCs w:val="19"/>
              </w:rPr>
              <w:t xml:space="preserve"> or without CC</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3,517,019</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1,929,927</w:t>
            </w:r>
          </w:p>
        </w:tc>
        <w:tc>
          <w:tcPr>
            <w:tcW w:w="950"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55%</w:t>
            </w:r>
          </w:p>
        </w:tc>
      </w:tr>
      <w:tr w:rsidR="00F70A4D" w:rsidRPr="00E65146" w:rsidTr="00117998">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70A4D" w:rsidRPr="00F70A4D" w:rsidRDefault="00F70A4D" w:rsidP="00117998">
            <w:pPr>
              <w:rPr>
                <w:rFonts w:ascii="Arial" w:hAnsi="Arial" w:cs="Arial"/>
                <w:sz w:val="19"/>
                <w:szCs w:val="19"/>
              </w:rPr>
            </w:pPr>
            <w:r w:rsidRPr="00F70A4D">
              <w:rPr>
                <w:rFonts w:ascii="Arial" w:hAnsi="Arial" w:cs="Arial"/>
                <w:sz w:val="19"/>
                <w:szCs w:val="19"/>
              </w:rPr>
              <w:t>12.0</w:t>
            </w:r>
          </w:p>
        </w:tc>
        <w:tc>
          <w:tcPr>
            <w:tcW w:w="5261" w:type="dxa"/>
            <w:tcBorders>
              <w:top w:val="nil"/>
              <w:left w:val="nil"/>
              <w:bottom w:val="single" w:sz="4" w:space="0" w:color="auto"/>
              <w:right w:val="single" w:sz="4" w:space="0" w:color="auto"/>
            </w:tcBorders>
            <w:shd w:val="clear" w:color="auto" w:fill="auto"/>
            <w:vAlign w:val="center"/>
            <w:hideMark/>
          </w:tcPr>
          <w:p w:rsidR="00F70A4D" w:rsidRPr="00F70A4D" w:rsidRDefault="00F70A4D" w:rsidP="00117998">
            <w:pPr>
              <w:rPr>
                <w:rFonts w:ascii="Arial" w:hAnsi="Arial" w:cs="Arial"/>
                <w:sz w:val="19"/>
                <w:szCs w:val="19"/>
              </w:rPr>
            </w:pPr>
            <w:r w:rsidRPr="001655E2">
              <w:rPr>
                <w:rFonts w:ascii="Arial" w:hAnsi="Arial" w:cs="Arial"/>
                <w:sz w:val="19"/>
                <w:szCs w:val="19"/>
              </w:rPr>
              <w:t>Hypertension, no CC</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1,704,780</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1,290,225</w:t>
            </w:r>
          </w:p>
        </w:tc>
        <w:tc>
          <w:tcPr>
            <w:tcW w:w="950"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76%</w:t>
            </w:r>
          </w:p>
        </w:tc>
      </w:tr>
      <w:tr w:rsidR="00F70A4D" w:rsidRPr="00E65146" w:rsidTr="00117998">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70A4D" w:rsidRPr="00F70A4D" w:rsidRDefault="00F70A4D" w:rsidP="00117998">
            <w:pPr>
              <w:rPr>
                <w:rFonts w:ascii="Arial" w:hAnsi="Arial" w:cs="Arial"/>
                <w:sz w:val="19"/>
                <w:szCs w:val="19"/>
              </w:rPr>
            </w:pPr>
            <w:r w:rsidRPr="00F70A4D">
              <w:rPr>
                <w:rFonts w:ascii="Arial" w:hAnsi="Arial" w:cs="Arial"/>
                <w:sz w:val="19"/>
                <w:szCs w:val="19"/>
              </w:rPr>
              <w:t>13.0</w:t>
            </w:r>
          </w:p>
        </w:tc>
        <w:tc>
          <w:tcPr>
            <w:tcW w:w="5261" w:type="dxa"/>
            <w:tcBorders>
              <w:top w:val="nil"/>
              <w:left w:val="nil"/>
              <w:bottom w:val="single" w:sz="4" w:space="0" w:color="auto"/>
              <w:right w:val="single" w:sz="4" w:space="0" w:color="auto"/>
            </w:tcBorders>
            <w:shd w:val="clear" w:color="auto" w:fill="auto"/>
            <w:vAlign w:val="center"/>
            <w:hideMark/>
          </w:tcPr>
          <w:p w:rsidR="00F70A4D" w:rsidRPr="00F70A4D" w:rsidRDefault="00F70A4D" w:rsidP="00117998">
            <w:pPr>
              <w:rPr>
                <w:rFonts w:ascii="Arial" w:hAnsi="Arial" w:cs="Arial"/>
                <w:sz w:val="19"/>
                <w:szCs w:val="19"/>
              </w:rPr>
            </w:pPr>
            <w:r w:rsidRPr="001655E2">
              <w:rPr>
                <w:rFonts w:ascii="Arial" w:hAnsi="Arial" w:cs="Arial"/>
                <w:sz w:val="19"/>
                <w:szCs w:val="19"/>
              </w:rPr>
              <w:t>Coronary atherosclerosis, no CC</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1,533,322</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661,976</w:t>
            </w:r>
          </w:p>
        </w:tc>
        <w:tc>
          <w:tcPr>
            <w:tcW w:w="950"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43%</w:t>
            </w:r>
          </w:p>
        </w:tc>
      </w:tr>
      <w:tr w:rsidR="00F70A4D" w:rsidRPr="00E65146" w:rsidTr="00117998">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70A4D" w:rsidRPr="00F70A4D" w:rsidRDefault="00F70A4D" w:rsidP="00117998">
            <w:pPr>
              <w:rPr>
                <w:rFonts w:ascii="Arial" w:hAnsi="Arial" w:cs="Arial"/>
                <w:sz w:val="19"/>
                <w:szCs w:val="19"/>
              </w:rPr>
            </w:pPr>
            <w:r w:rsidRPr="00F70A4D">
              <w:rPr>
                <w:rFonts w:ascii="Arial" w:hAnsi="Arial" w:cs="Arial"/>
                <w:sz w:val="19"/>
                <w:szCs w:val="19"/>
              </w:rPr>
              <w:t>14.0</w:t>
            </w:r>
          </w:p>
        </w:tc>
        <w:tc>
          <w:tcPr>
            <w:tcW w:w="5261" w:type="dxa"/>
            <w:tcBorders>
              <w:top w:val="nil"/>
              <w:left w:val="nil"/>
              <w:bottom w:val="single" w:sz="4" w:space="0" w:color="auto"/>
              <w:right w:val="single" w:sz="4" w:space="0" w:color="auto"/>
            </w:tcBorders>
            <w:shd w:val="clear" w:color="auto" w:fill="auto"/>
            <w:vAlign w:val="center"/>
            <w:hideMark/>
          </w:tcPr>
          <w:p w:rsidR="00F70A4D" w:rsidRPr="00F70A4D" w:rsidRDefault="00F70A4D" w:rsidP="00117998">
            <w:pPr>
              <w:rPr>
                <w:rFonts w:ascii="Arial" w:hAnsi="Arial" w:cs="Arial"/>
                <w:sz w:val="19"/>
                <w:szCs w:val="19"/>
              </w:rPr>
            </w:pPr>
            <w:r w:rsidRPr="001655E2">
              <w:rPr>
                <w:rFonts w:ascii="Arial" w:hAnsi="Arial" w:cs="Arial"/>
                <w:sz w:val="19"/>
                <w:szCs w:val="19"/>
              </w:rPr>
              <w:t>Stroke</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6,821,302</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1,275,364</w:t>
            </w:r>
          </w:p>
        </w:tc>
        <w:tc>
          <w:tcPr>
            <w:tcW w:w="950"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19%</w:t>
            </w:r>
          </w:p>
        </w:tc>
      </w:tr>
      <w:tr w:rsidR="00F70A4D" w:rsidRPr="00E65146" w:rsidTr="00117998">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70A4D" w:rsidRPr="00F70A4D" w:rsidRDefault="00F70A4D" w:rsidP="00117998">
            <w:pPr>
              <w:rPr>
                <w:rFonts w:ascii="Arial" w:hAnsi="Arial" w:cs="Arial"/>
                <w:sz w:val="19"/>
                <w:szCs w:val="19"/>
              </w:rPr>
            </w:pPr>
            <w:r w:rsidRPr="00F70A4D">
              <w:rPr>
                <w:rFonts w:ascii="Arial" w:hAnsi="Arial" w:cs="Arial"/>
                <w:sz w:val="19"/>
                <w:szCs w:val="19"/>
              </w:rPr>
              <w:t>15.0</w:t>
            </w:r>
          </w:p>
        </w:tc>
        <w:tc>
          <w:tcPr>
            <w:tcW w:w="5261"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rPr>
                <w:rFonts w:ascii="Arial" w:hAnsi="Arial" w:cs="Arial"/>
                <w:sz w:val="19"/>
                <w:szCs w:val="19"/>
              </w:rPr>
            </w:pPr>
            <w:r w:rsidRPr="001655E2">
              <w:rPr>
                <w:rFonts w:ascii="Arial" w:hAnsi="Arial" w:cs="Arial"/>
                <w:sz w:val="19"/>
                <w:szCs w:val="19"/>
              </w:rPr>
              <w:t xml:space="preserve">Heart failure and shock, </w:t>
            </w:r>
            <w:r>
              <w:rPr>
                <w:rFonts w:ascii="Arial" w:hAnsi="Arial" w:cs="Arial"/>
                <w:sz w:val="19"/>
                <w:szCs w:val="19"/>
              </w:rPr>
              <w:t>with</w:t>
            </w:r>
            <w:r w:rsidRPr="001655E2">
              <w:rPr>
                <w:rFonts w:ascii="Arial" w:hAnsi="Arial" w:cs="Arial"/>
                <w:sz w:val="19"/>
                <w:szCs w:val="19"/>
              </w:rPr>
              <w:t xml:space="preserve"> mild CC</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2,530,048</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2,612,428</w:t>
            </w:r>
          </w:p>
        </w:tc>
        <w:tc>
          <w:tcPr>
            <w:tcW w:w="950"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103%</w:t>
            </w:r>
          </w:p>
        </w:tc>
      </w:tr>
      <w:tr w:rsidR="00F70A4D" w:rsidRPr="00E65146" w:rsidTr="00117998">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70A4D" w:rsidRPr="00F70A4D" w:rsidRDefault="00F70A4D" w:rsidP="00117998">
            <w:pPr>
              <w:rPr>
                <w:rFonts w:ascii="Arial" w:hAnsi="Arial" w:cs="Arial"/>
                <w:sz w:val="19"/>
                <w:szCs w:val="19"/>
              </w:rPr>
            </w:pPr>
            <w:r w:rsidRPr="00F70A4D">
              <w:rPr>
                <w:rFonts w:ascii="Arial" w:hAnsi="Arial" w:cs="Arial"/>
                <w:sz w:val="19"/>
                <w:szCs w:val="19"/>
              </w:rPr>
              <w:t>16.0</w:t>
            </w:r>
          </w:p>
        </w:tc>
        <w:tc>
          <w:tcPr>
            <w:tcW w:w="5261" w:type="dxa"/>
            <w:tcBorders>
              <w:top w:val="nil"/>
              <w:left w:val="nil"/>
              <w:bottom w:val="single" w:sz="4" w:space="0" w:color="auto"/>
              <w:right w:val="single" w:sz="4" w:space="0" w:color="auto"/>
            </w:tcBorders>
            <w:shd w:val="clear" w:color="auto" w:fill="auto"/>
            <w:vAlign w:val="center"/>
            <w:hideMark/>
          </w:tcPr>
          <w:p w:rsidR="00F70A4D" w:rsidRPr="00F70A4D" w:rsidRDefault="00F70A4D" w:rsidP="00117998">
            <w:pPr>
              <w:rPr>
                <w:rFonts w:ascii="Arial" w:hAnsi="Arial" w:cs="Arial"/>
                <w:sz w:val="19"/>
                <w:szCs w:val="19"/>
              </w:rPr>
            </w:pPr>
            <w:r w:rsidRPr="001655E2">
              <w:rPr>
                <w:rFonts w:ascii="Arial" w:hAnsi="Arial" w:cs="Arial"/>
                <w:sz w:val="19"/>
                <w:szCs w:val="19"/>
              </w:rPr>
              <w:t>Tonsillectomy &amp; adenoidectomy, no CC</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977,468</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728,571</w:t>
            </w:r>
          </w:p>
        </w:tc>
        <w:tc>
          <w:tcPr>
            <w:tcW w:w="950"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75%</w:t>
            </w:r>
          </w:p>
        </w:tc>
      </w:tr>
      <w:tr w:rsidR="00F70A4D" w:rsidRPr="00E65146" w:rsidTr="00117998">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70A4D" w:rsidRPr="00F70A4D" w:rsidRDefault="00F70A4D" w:rsidP="00117998">
            <w:pPr>
              <w:rPr>
                <w:rFonts w:ascii="Arial" w:hAnsi="Arial" w:cs="Arial"/>
                <w:sz w:val="19"/>
                <w:szCs w:val="19"/>
              </w:rPr>
            </w:pPr>
            <w:r w:rsidRPr="00F70A4D">
              <w:rPr>
                <w:rFonts w:ascii="Arial" w:hAnsi="Arial" w:cs="Arial"/>
                <w:sz w:val="19"/>
                <w:szCs w:val="19"/>
              </w:rPr>
              <w:t>17.1</w:t>
            </w:r>
          </w:p>
        </w:tc>
        <w:tc>
          <w:tcPr>
            <w:tcW w:w="5261" w:type="dxa"/>
            <w:tcBorders>
              <w:top w:val="nil"/>
              <w:left w:val="nil"/>
              <w:bottom w:val="single" w:sz="4" w:space="0" w:color="auto"/>
              <w:right w:val="single" w:sz="4" w:space="0" w:color="auto"/>
            </w:tcBorders>
            <w:shd w:val="clear" w:color="auto" w:fill="auto"/>
            <w:vAlign w:val="center"/>
            <w:hideMark/>
          </w:tcPr>
          <w:p w:rsidR="00F70A4D" w:rsidRPr="00F70A4D" w:rsidRDefault="00F70A4D" w:rsidP="00117998">
            <w:pPr>
              <w:rPr>
                <w:rFonts w:ascii="Arial" w:hAnsi="Arial" w:cs="Arial"/>
                <w:sz w:val="19"/>
                <w:szCs w:val="19"/>
              </w:rPr>
            </w:pPr>
            <w:r w:rsidRPr="001655E2">
              <w:rPr>
                <w:rFonts w:ascii="Arial" w:hAnsi="Arial" w:cs="Arial"/>
                <w:sz w:val="19"/>
                <w:szCs w:val="19"/>
              </w:rPr>
              <w:t xml:space="preserve">Chronic obstructive pulmonary disease, </w:t>
            </w:r>
            <w:r>
              <w:rPr>
                <w:rFonts w:ascii="Arial" w:hAnsi="Arial" w:cs="Arial"/>
                <w:sz w:val="19"/>
                <w:szCs w:val="19"/>
              </w:rPr>
              <w:t>with</w:t>
            </w:r>
            <w:r w:rsidRPr="001655E2">
              <w:rPr>
                <w:rFonts w:ascii="Arial" w:hAnsi="Arial" w:cs="Arial"/>
                <w:sz w:val="19"/>
                <w:szCs w:val="19"/>
              </w:rPr>
              <w:t xml:space="preserve"> mod CC</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3,157,555</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2,523,752</w:t>
            </w:r>
          </w:p>
        </w:tc>
        <w:tc>
          <w:tcPr>
            <w:tcW w:w="950"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80%</w:t>
            </w:r>
          </w:p>
        </w:tc>
      </w:tr>
      <w:tr w:rsidR="00F70A4D" w:rsidRPr="00E65146" w:rsidTr="00117998">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70A4D" w:rsidRPr="00F70A4D" w:rsidRDefault="00F70A4D" w:rsidP="00117998">
            <w:pPr>
              <w:rPr>
                <w:rFonts w:ascii="Arial" w:hAnsi="Arial" w:cs="Arial"/>
                <w:sz w:val="19"/>
                <w:szCs w:val="19"/>
              </w:rPr>
            </w:pPr>
            <w:r w:rsidRPr="00F70A4D">
              <w:rPr>
                <w:rFonts w:ascii="Arial" w:hAnsi="Arial" w:cs="Arial"/>
                <w:sz w:val="19"/>
                <w:szCs w:val="19"/>
              </w:rPr>
              <w:t>17.4</w:t>
            </w:r>
          </w:p>
        </w:tc>
        <w:tc>
          <w:tcPr>
            <w:tcW w:w="5261" w:type="dxa"/>
            <w:tcBorders>
              <w:top w:val="nil"/>
              <w:left w:val="nil"/>
              <w:bottom w:val="single" w:sz="4" w:space="0" w:color="auto"/>
              <w:right w:val="single" w:sz="4" w:space="0" w:color="auto"/>
            </w:tcBorders>
            <w:shd w:val="clear" w:color="auto" w:fill="auto"/>
            <w:vAlign w:val="center"/>
            <w:hideMark/>
          </w:tcPr>
          <w:p w:rsidR="00F70A4D" w:rsidRPr="00F70A4D" w:rsidRDefault="00F70A4D" w:rsidP="00117998">
            <w:pPr>
              <w:rPr>
                <w:rFonts w:ascii="Arial" w:hAnsi="Arial" w:cs="Arial"/>
                <w:sz w:val="19"/>
                <w:szCs w:val="19"/>
              </w:rPr>
            </w:pPr>
            <w:r w:rsidRPr="001655E2">
              <w:rPr>
                <w:rFonts w:ascii="Arial" w:hAnsi="Arial" w:cs="Arial"/>
                <w:sz w:val="19"/>
                <w:szCs w:val="19"/>
              </w:rPr>
              <w:t xml:space="preserve">Chronic obstructive pulmonary disease, </w:t>
            </w:r>
            <w:r>
              <w:rPr>
                <w:rFonts w:ascii="Arial" w:hAnsi="Arial" w:cs="Arial"/>
                <w:sz w:val="19"/>
                <w:szCs w:val="19"/>
              </w:rPr>
              <w:t>with</w:t>
            </w:r>
            <w:r w:rsidRPr="001655E2">
              <w:rPr>
                <w:rFonts w:ascii="Arial" w:hAnsi="Arial" w:cs="Arial"/>
                <w:sz w:val="19"/>
                <w:szCs w:val="19"/>
              </w:rPr>
              <w:t xml:space="preserve"> mod CC</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3,296,902</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844,280</w:t>
            </w:r>
          </w:p>
        </w:tc>
        <w:tc>
          <w:tcPr>
            <w:tcW w:w="950"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26%</w:t>
            </w:r>
          </w:p>
        </w:tc>
      </w:tr>
      <w:tr w:rsidR="00F70A4D" w:rsidRPr="00E65146" w:rsidTr="00117998">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70A4D" w:rsidRPr="00F70A4D" w:rsidRDefault="00F70A4D" w:rsidP="00117998">
            <w:pPr>
              <w:rPr>
                <w:rFonts w:ascii="Arial" w:hAnsi="Arial" w:cs="Arial"/>
                <w:sz w:val="19"/>
                <w:szCs w:val="19"/>
              </w:rPr>
            </w:pPr>
            <w:r w:rsidRPr="00F70A4D">
              <w:rPr>
                <w:rFonts w:ascii="Arial" w:hAnsi="Arial" w:cs="Arial"/>
                <w:sz w:val="19"/>
                <w:szCs w:val="19"/>
              </w:rPr>
              <w:t>18.0</w:t>
            </w:r>
          </w:p>
        </w:tc>
        <w:tc>
          <w:tcPr>
            <w:tcW w:w="5261" w:type="dxa"/>
            <w:tcBorders>
              <w:top w:val="nil"/>
              <w:left w:val="nil"/>
              <w:bottom w:val="single" w:sz="4" w:space="0" w:color="auto"/>
              <w:right w:val="single" w:sz="4" w:space="0" w:color="auto"/>
            </w:tcBorders>
            <w:shd w:val="clear" w:color="auto" w:fill="auto"/>
            <w:vAlign w:val="center"/>
            <w:hideMark/>
          </w:tcPr>
          <w:p w:rsidR="00F70A4D" w:rsidRPr="00F70A4D" w:rsidRDefault="00F70A4D" w:rsidP="00117998">
            <w:pPr>
              <w:rPr>
                <w:rFonts w:ascii="Arial" w:hAnsi="Arial" w:cs="Arial"/>
                <w:sz w:val="19"/>
                <w:szCs w:val="19"/>
              </w:rPr>
            </w:pPr>
            <w:r w:rsidRPr="001655E2">
              <w:rPr>
                <w:rFonts w:ascii="Arial" w:hAnsi="Arial" w:cs="Arial"/>
                <w:sz w:val="19"/>
                <w:szCs w:val="19"/>
              </w:rPr>
              <w:t xml:space="preserve">Bronchitis and asthma, </w:t>
            </w:r>
            <w:r>
              <w:rPr>
                <w:rFonts w:ascii="Arial" w:hAnsi="Arial" w:cs="Arial"/>
                <w:sz w:val="19"/>
                <w:szCs w:val="19"/>
              </w:rPr>
              <w:t>with</w:t>
            </w:r>
            <w:r w:rsidRPr="001655E2">
              <w:rPr>
                <w:rFonts w:ascii="Arial" w:hAnsi="Arial" w:cs="Arial"/>
                <w:sz w:val="19"/>
                <w:szCs w:val="19"/>
              </w:rPr>
              <w:t xml:space="preserve"> mild CC</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2,187,724</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1,290,467</w:t>
            </w:r>
          </w:p>
        </w:tc>
        <w:tc>
          <w:tcPr>
            <w:tcW w:w="950"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59%</w:t>
            </w:r>
          </w:p>
        </w:tc>
      </w:tr>
      <w:tr w:rsidR="00F70A4D" w:rsidRPr="00E65146" w:rsidTr="00117998">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70A4D" w:rsidRPr="00F70A4D" w:rsidRDefault="00F70A4D" w:rsidP="00117998">
            <w:pPr>
              <w:rPr>
                <w:rFonts w:ascii="Arial" w:hAnsi="Arial" w:cs="Arial"/>
                <w:sz w:val="19"/>
                <w:szCs w:val="19"/>
              </w:rPr>
            </w:pPr>
            <w:r w:rsidRPr="00F70A4D">
              <w:rPr>
                <w:rFonts w:ascii="Arial" w:hAnsi="Arial" w:cs="Arial"/>
                <w:sz w:val="19"/>
                <w:szCs w:val="19"/>
              </w:rPr>
              <w:t>19.0</w:t>
            </w:r>
          </w:p>
        </w:tc>
        <w:tc>
          <w:tcPr>
            <w:tcW w:w="5261" w:type="dxa"/>
            <w:tcBorders>
              <w:top w:val="nil"/>
              <w:left w:val="nil"/>
              <w:bottom w:val="single" w:sz="4" w:space="0" w:color="auto"/>
              <w:right w:val="single" w:sz="4" w:space="0" w:color="auto"/>
            </w:tcBorders>
            <w:shd w:val="clear" w:color="auto" w:fill="auto"/>
            <w:vAlign w:val="center"/>
            <w:hideMark/>
          </w:tcPr>
          <w:p w:rsidR="00F70A4D" w:rsidRPr="00F70A4D" w:rsidRDefault="00F70A4D" w:rsidP="00117998">
            <w:pPr>
              <w:rPr>
                <w:rFonts w:ascii="Arial" w:hAnsi="Arial" w:cs="Arial"/>
                <w:sz w:val="19"/>
                <w:szCs w:val="19"/>
              </w:rPr>
            </w:pPr>
            <w:r w:rsidRPr="001655E2">
              <w:rPr>
                <w:rFonts w:ascii="Arial" w:hAnsi="Arial" w:cs="Arial"/>
                <w:sz w:val="19"/>
                <w:szCs w:val="19"/>
              </w:rPr>
              <w:t xml:space="preserve">Other digestive system diagnoses, not transferred, </w:t>
            </w:r>
            <w:r>
              <w:rPr>
                <w:rFonts w:ascii="Arial" w:hAnsi="Arial" w:cs="Arial"/>
                <w:sz w:val="19"/>
                <w:szCs w:val="19"/>
              </w:rPr>
              <w:t>with</w:t>
            </w:r>
            <w:r w:rsidRPr="001655E2">
              <w:rPr>
                <w:rFonts w:ascii="Arial" w:hAnsi="Arial" w:cs="Arial"/>
                <w:sz w:val="19"/>
                <w:szCs w:val="19"/>
              </w:rPr>
              <w:t xml:space="preserve"> severe CC</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2,165,594</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1,932,724</w:t>
            </w:r>
          </w:p>
        </w:tc>
        <w:tc>
          <w:tcPr>
            <w:tcW w:w="950"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89%</w:t>
            </w:r>
          </w:p>
        </w:tc>
      </w:tr>
      <w:tr w:rsidR="00F70A4D" w:rsidRPr="00E65146" w:rsidTr="00117998">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70A4D" w:rsidRPr="00F70A4D" w:rsidRDefault="00F70A4D" w:rsidP="00117998">
            <w:pPr>
              <w:rPr>
                <w:rFonts w:ascii="Arial" w:hAnsi="Arial" w:cs="Arial"/>
                <w:sz w:val="19"/>
                <w:szCs w:val="19"/>
              </w:rPr>
            </w:pPr>
            <w:r w:rsidRPr="00F70A4D">
              <w:rPr>
                <w:rFonts w:ascii="Arial" w:hAnsi="Arial" w:cs="Arial"/>
                <w:sz w:val="19"/>
                <w:szCs w:val="19"/>
              </w:rPr>
              <w:t>20.0</w:t>
            </w:r>
          </w:p>
        </w:tc>
        <w:tc>
          <w:tcPr>
            <w:tcW w:w="5261" w:type="dxa"/>
            <w:tcBorders>
              <w:top w:val="nil"/>
              <w:left w:val="nil"/>
              <w:bottom w:val="single" w:sz="4" w:space="0" w:color="auto"/>
              <w:right w:val="single" w:sz="4" w:space="0" w:color="auto"/>
            </w:tcBorders>
            <w:shd w:val="clear" w:color="auto" w:fill="auto"/>
            <w:vAlign w:val="center"/>
            <w:hideMark/>
          </w:tcPr>
          <w:p w:rsidR="00F70A4D" w:rsidRPr="00F70A4D" w:rsidRDefault="00F70A4D" w:rsidP="00117998">
            <w:pPr>
              <w:rPr>
                <w:rFonts w:ascii="Arial" w:hAnsi="Arial" w:cs="Arial"/>
                <w:sz w:val="19"/>
                <w:szCs w:val="19"/>
              </w:rPr>
            </w:pPr>
            <w:r w:rsidRPr="001655E2">
              <w:rPr>
                <w:rFonts w:ascii="Arial" w:hAnsi="Arial" w:cs="Arial"/>
                <w:sz w:val="19"/>
                <w:szCs w:val="19"/>
              </w:rPr>
              <w:t xml:space="preserve">Disorders of pancreas, except malignancy, </w:t>
            </w:r>
            <w:r>
              <w:rPr>
                <w:rFonts w:ascii="Arial" w:hAnsi="Arial" w:cs="Arial"/>
                <w:sz w:val="19"/>
                <w:szCs w:val="19"/>
              </w:rPr>
              <w:t>with</w:t>
            </w:r>
            <w:r w:rsidRPr="001655E2">
              <w:rPr>
                <w:rFonts w:ascii="Arial" w:hAnsi="Arial" w:cs="Arial"/>
                <w:sz w:val="19"/>
                <w:szCs w:val="19"/>
              </w:rPr>
              <w:t xml:space="preserve"> mild CC</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2,212,156</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NA</w:t>
            </w:r>
          </w:p>
        </w:tc>
        <w:tc>
          <w:tcPr>
            <w:tcW w:w="950"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NA</w:t>
            </w:r>
          </w:p>
        </w:tc>
      </w:tr>
      <w:tr w:rsidR="00F70A4D" w:rsidRPr="00E65146" w:rsidTr="00117998">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70A4D" w:rsidRPr="00F70A4D" w:rsidRDefault="00F70A4D" w:rsidP="00117998">
            <w:pPr>
              <w:rPr>
                <w:rFonts w:ascii="Arial" w:hAnsi="Arial" w:cs="Arial"/>
                <w:sz w:val="19"/>
                <w:szCs w:val="19"/>
              </w:rPr>
            </w:pPr>
            <w:r w:rsidRPr="00F70A4D">
              <w:rPr>
                <w:rFonts w:ascii="Arial" w:hAnsi="Arial" w:cs="Arial"/>
                <w:sz w:val="19"/>
                <w:szCs w:val="19"/>
              </w:rPr>
              <w:t>21.0</w:t>
            </w:r>
          </w:p>
        </w:tc>
        <w:tc>
          <w:tcPr>
            <w:tcW w:w="5261" w:type="dxa"/>
            <w:tcBorders>
              <w:top w:val="nil"/>
              <w:left w:val="nil"/>
              <w:bottom w:val="single" w:sz="4" w:space="0" w:color="auto"/>
              <w:right w:val="single" w:sz="4" w:space="0" w:color="auto"/>
            </w:tcBorders>
            <w:shd w:val="clear" w:color="auto" w:fill="auto"/>
            <w:vAlign w:val="center"/>
            <w:hideMark/>
          </w:tcPr>
          <w:p w:rsidR="00F70A4D" w:rsidRPr="00F70A4D" w:rsidRDefault="00F70A4D" w:rsidP="00117998">
            <w:pPr>
              <w:rPr>
                <w:rFonts w:ascii="Arial" w:hAnsi="Arial" w:cs="Arial"/>
                <w:sz w:val="19"/>
                <w:szCs w:val="19"/>
              </w:rPr>
            </w:pPr>
            <w:r w:rsidRPr="001655E2">
              <w:rPr>
                <w:rFonts w:ascii="Arial" w:hAnsi="Arial" w:cs="Arial"/>
                <w:sz w:val="19"/>
                <w:szCs w:val="19"/>
              </w:rPr>
              <w:t>Disorder of biliary tract, no CC</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3,031,362</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4,045,411</w:t>
            </w:r>
          </w:p>
        </w:tc>
        <w:tc>
          <w:tcPr>
            <w:tcW w:w="950"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133%</w:t>
            </w:r>
          </w:p>
        </w:tc>
      </w:tr>
      <w:tr w:rsidR="00F70A4D" w:rsidRPr="00E65146" w:rsidTr="00117998">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70A4D" w:rsidRPr="00F70A4D" w:rsidRDefault="00F70A4D" w:rsidP="00117998">
            <w:pPr>
              <w:rPr>
                <w:rFonts w:ascii="Arial" w:hAnsi="Arial" w:cs="Arial"/>
                <w:sz w:val="19"/>
                <w:szCs w:val="19"/>
              </w:rPr>
            </w:pPr>
            <w:r w:rsidRPr="00F70A4D">
              <w:rPr>
                <w:rFonts w:ascii="Arial" w:hAnsi="Arial" w:cs="Arial"/>
                <w:sz w:val="19"/>
                <w:szCs w:val="19"/>
              </w:rPr>
              <w:t>22.0</w:t>
            </w:r>
          </w:p>
        </w:tc>
        <w:tc>
          <w:tcPr>
            <w:tcW w:w="5261" w:type="dxa"/>
            <w:tcBorders>
              <w:top w:val="nil"/>
              <w:left w:val="nil"/>
              <w:bottom w:val="single" w:sz="4" w:space="0" w:color="auto"/>
              <w:right w:val="single" w:sz="4" w:space="0" w:color="auto"/>
            </w:tcBorders>
            <w:shd w:val="clear" w:color="auto" w:fill="auto"/>
            <w:vAlign w:val="center"/>
            <w:hideMark/>
          </w:tcPr>
          <w:p w:rsidR="00F70A4D" w:rsidRPr="00F70A4D" w:rsidRDefault="00F70A4D" w:rsidP="00117998">
            <w:pPr>
              <w:rPr>
                <w:rFonts w:ascii="Arial" w:hAnsi="Arial" w:cs="Arial"/>
                <w:sz w:val="19"/>
                <w:szCs w:val="19"/>
              </w:rPr>
            </w:pPr>
            <w:r w:rsidRPr="001655E2">
              <w:rPr>
                <w:rFonts w:ascii="Arial" w:hAnsi="Arial" w:cs="Arial"/>
                <w:sz w:val="19"/>
                <w:szCs w:val="19"/>
              </w:rPr>
              <w:t>Gãy xương ở cẳng tay, bàn tay, bàn chân, tuổi &gt;17, no CC</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1,434,700</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1,379,352</w:t>
            </w:r>
          </w:p>
        </w:tc>
        <w:tc>
          <w:tcPr>
            <w:tcW w:w="950"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96%</w:t>
            </w:r>
          </w:p>
        </w:tc>
      </w:tr>
      <w:tr w:rsidR="00F70A4D" w:rsidRPr="00E65146" w:rsidTr="00117998">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70A4D" w:rsidRPr="00F70A4D" w:rsidRDefault="00F70A4D" w:rsidP="00117998">
            <w:pPr>
              <w:rPr>
                <w:rFonts w:ascii="Arial" w:hAnsi="Arial" w:cs="Arial"/>
                <w:sz w:val="19"/>
                <w:szCs w:val="19"/>
              </w:rPr>
            </w:pPr>
            <w:r w:rsidRPr="00F70A4D">
              <w:rPr>
                <w:rFonts w:ascii="Arial" w:hAnsi="Arial" w:cs="Arial"/>
                <w:sz w:val="19"/>
                <w:szCs w:val="19"/>
              </w:rPr>
              <w:t>23.0</w:t>
            </w:r>
          </w:p>
        </w:tc>
        <w:tc>
          <w:tcPr>
            <w:tcW w:w="5261" w:type="dxa"/>
            <w:tcBorders>
              <w:top w:val="nil"/>
              <w:left w:val="nil"/>
              <w:bottom w:val="single" w:sz="4" w:space="0" w:color="auto"/>
              <w:right w:val="single" w:sz="4" w:space="0" w:color="auto"/>
            </w:tcBorders>
            <w:shd w:val="clear" w:color="auto" w:fill="auto"/>
            <w:vAlign w:val="center"/>
            <w:hideMark/>
          </w:tcPr>
          <w:p w:rsidR="00F70A4D" w:rsidRPr="00F70A4D" w:rsidRDefault="00F70A4D" w:rsidP="00117998">
            <w:pPr>
              <w:rPr>
                <w:rFonts w:ascii="Arial" w:hAnsi="Arial" w:cs="Arial"/>
                <w:sz w:val="19"/>
                <w:szCs w:val="19"/>
              </w:rPr>
            </w:pPr>
            <w:r w:rsidRPr="001655E2">
              <w:rPr>
                <w:rFonts w:ascii="Arial" w:hAnsi="Arial" w:cs="Arial"/>
                <w:sz w:val="19"/>
                <w:szCs w:val="19"/>
              </w:rPr>
              <w:t>Epidural hemorrhage</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NA</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NA</w:t>
            </w:r>
          </w:p>
        </w:tc>
        <w:tc>
          <w:tcPr>
            <w:tcW w:w="950"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NA</w:t>
            </w:r>
          </w:p>
        </w:tc>
      </w:tr>
      <w:tr w:rsidR="00F70A4D" w:rsidRPr="00E65146" w:rsidTr="00117998">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70A4D" w:rsidRPr="00F70A4D" w:rsidRDefault="00F70A4D" w:rsidP="00117998">
            <w:pPr>
              <w:rPr>
                <w:rFonts w:ascii="Arial" w:hAnsi="Arial" w:cs="Arial"/>
                <w:sz w:val="19"/>
                <w:szCs w:val="19"/>
              </w:rPr>
            </w:pPr>
            <w:r w:rsidRPr="00F70A4D">
              <w:rPr>
                <w:rFonts w:ascii="Arial" w:hAnsi="Arial" w:cs="Arial"/>
                <w:sz w:val="19"/>
                <w:szCs w:val="19"/>
              </w:rPr>
              <w:t>24.0</w:t>
            </w:r>
          </w:p>
        </w:tc>
        <w:tc>
          <w:tcPr>
            <w:tcW w:w="5261" w:type="dxa"/>
            <w:tcBorders>
              <w:top w:val="nil"/>
              <w:left w:val="nil"/>
              <w:bottom w:val="single" w:sz="4" w:space="0" w:color="auto"/>
              <w:right w:val="single" w:sz="4" w:space="0" w:color="auto"/>
            </w:tcBorders>
            <w:shd w:val="clear" w:color="auto" w:fill="auto"/>
            <w:vAlign w:val="center"/>
            <w:hideMark/>
          </w:tcPr>
          <w:p w:rsidR="00F70A4D" w:rsidRPr="00F70A4D" w:rsidRDefault="00F70A4D" w:rsidP="00117998">
            <w:pPr>
              <w:rPr>
                <w:rFonts w:ascii="Arial" w:hAnsi="Arial" w:cs="Arial"/>
                <w:sz w:val="19"/>
                <w:szCs w:val="19"/>
              </w:rPr>
            </w:pPr>
            <w:r w:rsidRPr="001655E2">
              <w:rPr>
                <w:rFonts w:ascii="Arial" w:hAnsi="Arial" w:cs="Arial"/>
                <w:sz w:val="19"/>
                <w:szCs w:val="19"/>
              </w:rPr>
              <w:t xml:space="preserve">Fx, spr, str &amp; disl of up arm&amp; low leg age &gt;17, </w:t>
            </w:r>
            <w:r>
              <w:rPr>
                <w:rFonts w:ascii="Arial" w:hAnsi="Arial" w:cs="Arial"/>
                <w:sz w:val="19"/>
                <w:szCs w:val="19"/>
              </w:rPr>
              <w:t>with</w:t>
            </w:r>
            <w:r w:rsidRPr="001655E2">
              <w:rPr>
                <w:rFonts w:ascii="Arial" w:hAnsi="Arial" w:cs="Arial"/>
                <w:sz w:val="19"/>
                <w:szCs w:val="19"/>
              </w:rPr>
              <w:t xml:space="preserve"> mild CC</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NA</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NA</w:t>
            </w:r>
          </w:p>
        </w:tc>
        <w:tc>
          <w:tcPr>
            <w:tcW w:w="950"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NA</w:t>
            </w:r>
          </w:p>
        </w:tc>
      </w:tr>
      <w:tr w:rsidR="00F70A4D" w:rsidRPr="00E65146" w:rsidTr="00117998">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70A4D" w:rsidRPr="00F70A4D" w:rsidRDefault="00F70A4D" w:rsidP="00117998">
            <w:pPr>
              <w:rPr>
                <w:rFonts w:ascii="Arial" w:hAnsi="Arial" w:cs="Arial"/>
                <w:sz w:val="19"/>
                <w:szCs w:val="19"/>
              </w:rPr>
            </w:pPr>
            <w:r w:rsidRPr="00F70A4D">
              <w:rPr>
                <w:rFonts w:ascii="Arial" w:hAnsi="Arial" w:cs="Arial"/>
                <w:sz w:val="19"/>
                <w:szCs w:val="19"/>
              </w:rPr>
              <w:t>25.0</w:t>
            </w:r>
          </w:p>
        </w:tc>
        <w:tc>
          <w:tcPr>
            <w:tcW w:w="5261" w:type="dxa"/>
            <w:tcBorders>
              <w:top w:val="nil"/>
              <w:left w:val="nil"/>
              <w:bottom w:val="single" w:sz="4" w:space="0" w:color="auto"/>
              <w:right w:val="single" w:sz="4" w:space="0" w:color="auto"/>
            </w:tcBorders>
            <w:shd w:val="clear" w:color="auto" w:fill="auto"/>
            <w:vAlign w:val="center"/>
            <w:hideMark/>
          </w:tcPr>
          <w:p w:rsidR="00F70A4D" w:rsidRPr="00F70A4D" w:rsidRDefault="00F70A4D" w:rsidP="00117998">
            <w:pPr>
              <w:rPr>
                <w:rFonts w:ascii="Arial" w:hAnsi="Arial" w:cs="Arial"/>
                <w:sz w:val="19"/>
                <w:szCs w:val="19"/>
              </w:rPr>
            </w:pPr>
            <w:r w:rsidRPr="001655E2">
              <w:rPr>
                <w:rFonts w:ascii="Arial" w:hAnsi="Arial" w:cs="Arial"/>
                <w:sz w:val="19"/>
                <w:szCs w:val="19"/>
              </w:rPr>
              <w:t>Complicated peptic ulcer, no CC</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2,441,559</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NA</w:t>
            </w:r>
          </w:p>
        </w:tc>
        <w:tc>
          <w:tcPr>
            <w:tcW w:w="950"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NA</w:t>
            </w:r>
          </w:p>
        </w:tc>
      </w:tr>
      <w:tr w:rsidR="00F70A4D" w:rsidRPr="00E65146" w:rsidTr="00117998">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70A4D" w:rsidRPr="00F70A4D" w:rsidRDefault="00F70A4D" w:rsidP="00117998">
            <w:pPr>
              <w:rPr>
                <w:rFonts w:ascii="Arial" w:hAnsi="Arial" w:cs="Arial"/>
                <w:sz w:val="19"/>
                <w:szCs w:val="19"/>
              </w:rPr>
            </w:pPr>
            <w:r w:rsidRPr="00F70A4D">
              <w:rPr>
                <w:rFonts w:ascii="Arial" w:hAnsi="Arial" w:cs="Arial"/>
                <w:sz w:val="19"/>
                <w:szCs w:val="19"/>
              </w:rPr>
              <w:t>26.0</w:t>
            </w:r>
          </w:p>
        </w:tc>
        <w:tc>
          <w:tcPr>
            <w:tcW w:w="5261" w:type="dxa"/>
            <w:tcBorders>
              <w:top w:val="nil"/>
              <w:left w:val="nil"/>
              <w:bottom w:val="single" w:sz="4" w:space="0" w:color="auto"/>
              <w:right w:val="single" w:sz="4" w:space="0" w:color="auto"/>
            </w:tcBorders>
            <w:shd w:val="clear" w:color="auto" w:fill="auto"/>
            <w:vAlign w:val="center"/>
            <w:hideMark/>
          </w:tcPr>
          <w:p w:rsidR="00F70A4D" w:rsidRPr="00F70A4D" w:rsidRDefault="00F70A4D" w:rsidP="00117998">
            <w:pPr>
              <w:rPr>
                <w:rFonts w:ascii="Arial" w:hAnsi="Arial" w:cs="Arial"/>
                <w:sz w:val="19"/>
                <w:szCs w:val="19"/>
              </w:rPr>
            </w:pPr>
            <w:r w:rsidRPr="001655E2">
              <w:rPr>
                <w:rFonts w:ascii="Arial" w:hAnsi="Arial" w:cs="Arial"/>
                <w:sz w:val="19"/>
                <w:szCs w:val="19"/>
              </w:rPr>
              <w:t>Transurethral prostatectomy, no CC</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3,994,649</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4,998,944</w:t>
            </w:r>
          </w:p>
        </w:tc>
        <w:tc>
          <w:tcPr>
            <w:tcW w:w="950"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125%</w:t>
            </w:r>
          </w:p>
        </w:tc>
      </w:tr>
      <w:tr w:rsidR="00F70A4D" w:rsidRPr="00E65146" w:rsidTr="00117998">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70A4D" w:rsidRPr="00F70A4D" w:rsidRDefault="00F70A4D" w:rsidP="00117998">
            <w:pPr>
              <w:rPr>
                <w:rFonts w:ascii="Arial" w:hAnsi="Arial" w:cs="Arial"/>
                <w:sz w:val="19"/>
                <w:szCs w:val="19"/>
              </w:rPr>
            </w:pPr>
            <w:r w:rsidRPr="00F70A4D">
              <w:rPr>
                <w:rFonts w:ascii="Arial" w:hAnsi="Arial" w:cs="Arial"/>
                <w:sz w:val="19"/>
                <w:szCs w:val="19"/>
              </w:rPr>
              <w:t>27.0</w:t>
            </w:r>
          </w:p>
        </w:tc>
        <w:tc>
          <w:tcPr>
            <w:tcW w:w="5261" w:type="dxa"/>
            <w:tcBorders>
              <w:top w:val="nil"/>
              <w:left w:val="nil"/>
              <w:bottom w:val="single" w:sz="4" w:space="0" w:color="auto"/>
              <w:right w:val="single" w:sz="4" w:space="0" w:color="auto"/>
            </w:tcBorders>
            <w:shd w:val="clear" w:color="auto" w:fill="auto"/>
            <w:vAlign w:val="center"/>
            <w:hideMark/>
          </w:tcPr>
          <w:p w:rsidR="00F70A4D" w:rsidRPr="00F70A4D" w:rsidRDefault="00F70A4D" w:rsidP="00117998">
            <w:pPr>
              <w:rPr>
                <w:rFonts w:ascii="Arial" w:hAnsi="Arial" w:cs="Arial"/>
                <w:sz w:val="19"/>
                <w:szCs w:val="19"/>
              </w:rPr>
            </w:pPr>
            <w:r w:rsidRPr="001655E2">
              <w:rPr>
                <w:rFonts w:ascii="Arial" w:hAnsi="Arial" w:cs="Arial"/>
                <w:sz w:val="19"/>
                <w:szCs w:val="19"/>
              </w:rPr>
              <w:t>Non-malignant breast disorders, no CC</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1,776,991</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NA</w:t>
            </w:r>
          </w:p>
        </w:tc>
        <w:tc>
          <w:tcPr>
            <w:tcW w:w="950"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NA</w:t>
            </w:r>
          </w:p>
        </w:tc>
      </w:tr>
      <w:tr w:rsidR="00F70A4D" w:rsidRPr="00E65146" w:rsidTr="00117998">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70A4D" w:rsidRPr="00F70A4D" w:rsidRDefault="00F70A4D" w:rsidP="00117998">
            <w:pPr>
              <w:rPr>
                <w:rFonts w:ascii="Arial" w:hAnsi="Arial" w:cs="Arial"/>
                <w:sz w:val="19"/>
                <w:szCs w:val="19"/>
              </w:rPr>
            </w:pPr>
            <w:r w:rsidRPr="00F70A4D">
              <w:rPr>
                <w:rFonts w:ascii="Arial" w:hAnsi="Arial" w:cs="Arial"/>
                <w:sz w:val="19"/>
                <w:szCs w:val="19"/>
              </w:rPr>
              <w:t>28.0</w:t>
            </w:r>
          </w:p>
        </w:tc>
        <w:tc>
          <w:tcPr>
            <w:tcW w:w="5261" w:type="dxa"/>
            <w:tcBorders>
              <w:top w:val="nil"/>
              <w:left w:val="nil"/>
              <w:bottom w:val="single" w:sz="4" w:space="0" w:color="auto"/>
              <w:right w:val="single" w:sz="4" w:space="0" w:color="auto"/>
            </w:tcBorders>
            <w:shd w:val="clear" w:color="auto" w:fill="auto"/>
            <w:vAlign w:val="center"/>
            <w:hideMark/>
          </w:tcPr>
          <w:p w:rsidR="00F70A4D" w:rsidRPr="00F70A4D" w:rsidRDefault="00F70A4D" w:rsidP="00117998">
            <w:pPr>
              <w:rPr>
                <w:rFonts w:ascii="Arial" w:hAnsi="Arial" w:cs="Arial"/>
                <w:sz w:val="19"/>
                <w:szCs w:val="19"/>
              </w:rPr>
            </w:pPr>
            <w:r w:rsidRPr="001655E2">
              <w:rPr>
                <w:rFonts w:ascii="Arial" w:hAnsi="Arial" w:cs="Arial"/>
                <w:sz w:val="19"/>
                <w:szCs w:val="19"/>
              </w:rPr>
              <w:t>Hydatidiform mole</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2,235,711</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786,592</w:t>
            </w:r>
          </w:p>
        </w:tc>
        <w:tc>
          <w:tcPr>
            <w:tcW w:w="950"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35%</w:t>
            </w:r>
          </w:p>
        </w:tc>
      </w:tr>
      <w:tr w:rsidR="00F70A4D" w:rsidRPr="00E65146" w:rsidTr="00117998">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70A4D" w:rsidRPr="00F70A4D" w:rsidRDefault="00F70A4D" w:rsidP="00117998">
            <w:pPr>
              <w:rPr>
                <w:rFonts w:ascii="Arial" w:hAnsi="Arial" w:cs="Arial"/>
                <w:sz w:val="19"/>
                <w:szCs w:val="19"/>
              </w:rPr>
            </w:pPr>
            <w:r w:rsidRPr="00F70A4D">
              <w:rPr>
                <w:rFonts w:ascii="Arial" w:hAnsi="Arial" w:cs="Arial"/>
                <w:sz w:val="19"/>
                <w:szCs w:val="19"/>
              </w:rPr>
              <w:t>29.0</w:t>
            </w:r>
          </w:p>
        </w:tc>
        <w:tc>
          <w:tcPr>
            <w:tcW w:w="5261" w:type="dxa"/>
            <w:tcBorders>
              <w:top w:val="nil"/>
              <w:left w:val="nil"/>
              <w:bottom w:val="single" w:sz="4" w:space="0" w:color="auto"/>
              <w:right w:val="single" w:sz="4" w:space="0" w:color="auto"/>
            </w:tcBorders>
            <w:shd w:val="clear" w:color="auto" w:fill="auto"/>
            <w:vAlign w:val="center"/>
            <w:hideMark/>
          </w:tcPr>
          <w:p w:rsidR="00F70A4D" w:rsidRPr="00F70A4D" w:rsidRDefault="00F70A4D" w:rsidP="00117998">
            <w:pPr>
              <w:rPr>
                <w:rFonts w:ascii="Arial" w:hAnsi="Arial" w:cs="Arial"/>
                <w:sz w:val="19"/>
                <w:szCs w:val="19"/>
              </w:rPr>
            </w:pPr>
            <w:r w:rsidRPr="001655E2">
              <w:rPr>
                <w:rFonts w:ascii="Arial" w:hAnsi="Arial" w:cs="Arial"/>
                <w:sz w:val="19"/>
                <w:szCs w:val="19"/>
              </w:rPr>
              <w:t>Ectopic pregnancy</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2,038,563</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907,289</w:t>
            </w:r>
          </w:p>
        </w:tc>
        <w:tc>
          <w:tcPr>
            <w:tcW w:w="950"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45%</w:t>
            </w:r>
          </w:p>
        </w:tc>
      </w:tr>
      <w:tr w:rsidR="00F70A4D" w:rsidRPr="00E65146" w:rsidTr="00117998">
        <w:trPr>
          <w:trHeight w:val="3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F70A4D" w:rsidRPr="00F70A4D" w:rsidRDefault="00F70A4D" w:rsidP="00117998">
            <w:pPr>
              <w:rPr>
                <w:rFonts w:ascii="Arial" w:hAnsi="Arial" w:cs="Arial"/>
                <w:sz w:val="19"/>
                <w:szCs w:val="19"/>
              </w:rPr>
            </w:pPr>
            <w:r w:rsidRPr="00F70A4D">
              <w:rPr>
                <w:rFonts w:ascii="Arial" w:hAnsi="Arial" w:cs="Arial"/>
                <w:sz w:val="19"/>
                <w:szCs w:val="19"/>
              </w:rPr>
              <w:t>30.0</w:t>
            </w:r>
          </w:p>
        </w:tc>
        <w:tc>
          <w:tcPr>
            <w:tcW w:w="5261" w:type="dxa"/>
            <w:tcBorders>
              <w:top w:val="nil"/>
              <w:left w:val="nil"/>
              <w:bottom w:val="single" w:sz="4" w:space="0" w:color="auto"/>
              <w:right w:val="single" w:sz="4" w:space="0" w:color="auto"/>
            </w:tcBorders>
            <w:shd w:val="clear" w:color="auto" w:fill="auto"/>
            <w:vAlign w:val="center"/>
            <w:hideMark/>
          </w:tcPr>
          <w:p w:rsidR="00F70A4D" w:rsidRPr="00F70A4D" w:rsidRDefault="00F70A4D" w:rsidP="00117998">
            <w:pPr>
              <w:rPr>
                <w:rFonts w:ascii="Arial" w:hAnsi="Arial" w:cs="Arial"/>
                <w:sz w:val="19"/>
                <w:szCs w:val="19"/>
              </w:rPr>
            </w:pPr>
            <w:r w:rsidRPr="001655E2">
              <w:rPr>
                <w:rFonts w:ascii="Arial" w:hAnsi="Arial" w:cs="Arial"/>
                <w:sz w:val="19"/>
                <w:szCs w:val="19"/>
              </w:rPr>
              <w:t>Endocrine disorders, no CC</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2,154,881</w:t>
            </w:r>
          </w:p>
        </w:tc>
        <w:tc>
          <w:tcPr>
            <w:tcW w:w="1106"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NA</w:t>
            </w:r>
          </w:p>
        </w:tc>
        <w:tc>
          <w:tcPr>
            <w:tcW w:w="950" w:type="dxa"/>
            <w:tcBorders>
              <w:top w:val="nil"/>
              <w:left w:val="nil"/>
              <w:bottom w:val="single" w:sz="4" w:space="0" w:color="auto"/>
              <w:right w:val="single" w:sz="4" w:space="0" w:color="auto"/>
            </w:tcBorders>
            <w:shd w:val="clear" w:color="auto" w:fill="auto"/>
            <w:noWrap/>
            <w:vAlign w:val="center"/>
            <w:hideMark/>
          </w:tcPr>
          <w:p w:rsidR="00F70A4D" w:rsidRPr="00F70A4D" w:rsidRDefault="00F70A4D" w:rsidP="00117998">
            <w:pPr>
              <w:jc w:val="right"/>
              <w:rPr>
                <w:rFonts w:ascii="Arial" w:hAnsi="Arial" w:cs="Arial"/>
                <w:sz w:val="19"/>
                <w:szCs w:val="19"/>
              </w:rPr>
            </w:pPr>
            <w:r w:rsidRPr="00F70A4D">
              <w:rPr>
                <w:rFonts w:ascii="Arial" w:hAnsi="Arial" w:cs="Arial"/>
                <w:sz w:val="19"/>
                <w:szCs w:val="19"/>
              </w:rPr>
              <w:t>NA</w:t>
            </w:r>
          </w:p>
        </w:tc>
      </w:tr>
      <w:tr w:rsidR="00117998" w:rsidRPr="00E65146" w:rsidTr="00117998">
        <w:trPr>
          <w:trHeight w:val="51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117998" w:rsidRPr="00F70A4D" w:rsidRDefault="00117998" w:rsidP="00117998">
            <w:pPr>
              <w:rPr>
                <w:rFonts w:ascii="Arial" w:hAnsi="Arial" w:cs="Arial"/>
                <w:b/>
                <w:bCs/>
                <w:sz w:val="19"/>
                <w:szCs w:val="19"/>
              </w:rPr>
            </w:pPr>
            <w:r w:rsidRPr="00F70A4D">
              <w:rPr>
                <w:rFonts w:ascii="Arial" w:hAnsi="Arial" w:cs="Arial"/>
                <w:b/>
                <w:bCs/>
                <w:sz w:val="19"/>
                <w:szCs w:val="19"/>
              </w:rPr>
              <w:t>Total</w:t>
            </w:r>
          </w:p>
        </w:tc>
        <w:tc>
          <w:tcPr>
            <w:tcW w:w="5261" w:type="dxa"/>
            <w:tcBorders>
              <w:top w:val="nil"/>
              <w:left w:val="nil"/>
              <w:bottom w:val="single" w:sz="4" w:space="0" w:color="auto"/>
              <w:right w:val="single" w:sz="4" w:space="0" w:color="auto"/>
            </w:tcBorders>
            <w:shd w:val="clear" w:color="auto" w:fill="auto"/>
            <w:noWrap/>
            <w:vAlign w:val="center"/>
            <w:hideMark/>
          </w:tcPr>
          <w:p w:rsidR="00117998" w:rsidRPr="00F70A4D" w:rsidRDefault="00117998" w:rsidP="00117998">
            <w:pPr>
              <w:rPr>
                <w:rFonts w:ascii="Arial" w:hAnsi="Arial" w:cs="Arial"/>
                <w:sz w:val="19"/>
                <w:szCs w:val="19"/>
              </w:rPr>
            </w:pPr>
            <w:r w:rsidRPr="00F70A4D">
              <w:rPr>
                <w:rFonts w:ascii="Arial" w:hAnsi="Arial" w:cs="Arial"/>
                <w:sz w:val="19"/>
                <w:szCs w:val="19"/>
              </w:rPr>
              <w:t> </w:t>
            </w:r>
          </w:p>
        </w:tc>
        <w:tc>
          <w:tcPr>
            <w:tcW w:w="1106" w:type="dxa"/>
            <w:tcBorders>
              <w:top w:val="nil"/>
              <w:left w:val="nil"/>
              <w:bottom w:val="single" w:sz="4" w:space="0" w:color="auto"/>
              <w:right w:val="single" w:sz="4" w:space="0" w:color="auto"/>
            </w:tcBorders>
            <w:shd w:val="clear" w:color="auto" w:fill="auto"/>
            <w:noWrap/>
            <w:vAlign w:val="center"/>
            <w:hideMark/>
          </w:tcPr>
          <w:p w:rsidR="00117998" w:rsidRPr="00F70A4D" w:rsidRDefault="00117998" w:rsidP="00117998">
            <w:pPr>
              <w:jc w:val="right"/>
              <w:rPr>
                <w:rFonts w:ascii="Arial" w:hAnsi="Arial" w:cs="Arial"/>
                <w:b/>
                <w:bCs/>
                <w:sz w:val="19"/>
                <w:szCs w:val="19"/>
              </w:rPr>
            </w:pPr>
            <w:r w:rsidRPr="00F70A4D">
              <w:rPr>
                <w:rFonts w:ascii="Arial" w:hAnsi="Arial" w:cs="Arial"/>
                <w:b/>
                <w:bCs/>
                <w:sz w:val="19"/>
                <w:szCs w:val="19"/>
              </w:rPr>
              <w:t>1,758,604</w:t>
            </w:r>
          </w:p>
        </w:tc>
        <w:tc>
          <w:tcPr>
            <w:tcW w:w="1106" w:type="dxa"/>
            <w:tcBorders>
              <w:top w:val="nil"/>
              <w:left w:val="nil"/>
              <w:bottom w:val="single" w:sz="4" w:space="0" w:color="auto"/>
              <w:right w:val="single" w:sz="4" w:space="0" w:color="auto"/>
            </w:tcBorders>
            <w:shd w:val="clear" w:color="auto" w:fill="auto"/>
            <w:noWrap/>
            <w:vAlign w:val="center"/>
            <w:hideMark/>
          </w:tcPr>
          <w:p w:rsidR="00117998" w:rsidRPr="00F70A4D" w:rsidRDefault="00117998" w:rsidP="00117998">
            <w:pPr>
              <w:jc w:val="right"/>
              <w:rPr>
                <w:rFonts w:ascii="Arial" w:hAnsi="Arial" w:cs="Arial"/>
                <w:b/>
                <w:bCs/>
                <w:sz w:val="19"/>
                <w:szCs w:val="19"/>
              </w:rPr>
            </w:pPr>
            <w:r w:rsidRPr="00F70A4D">
              <w:rPr>
                <w:rFonts w:ascii="Arial" w:hAnsi="Arial" w:cs="Arial"/>
                <w:b/>
                <w:bCs/>
                <w:sz w:val="19"/>
                <w:szCs w:val="19"/>
              </w:rPr>
              <w:t>1,569,784</w:t>
            </w:r>
          </w:p>
        </w:tc>
        <w:tc>
          <w:tcPr>
            <w:tcW w:w="950" w:type="dxa"/>
            <w:tcBorders>
              <w:top w:val="nil"/>
              <w:left w:val="nil"/>
              <w:bottom w:val="single" w:sz="4" w:space="0" w:color="auto"/>
              <w:right w:val="single" w:sz="4" w:space="0" w:color="auto"/>
            </w:tcBorders>
            <w:shd w:val="clear" w:color="auto" w:fill="auto"/>
            <w:noWrap/>
            <w:vAlign w:val="center"/>
            <w:hideMark/>
          </w:tcPr>
          <w:p w:rsidR="00117998" w:rsidRPr="00F70A4D" w:rsidRDefault="00117998" w:rsidP="00117998">
            <w:pPr>
              <w:jc w:val="right"/>
              <w:rPr>
                <w:rFonts w:ascii="Arial" w:hAnsi="Arial" w:cs="Arial"/>
                <w:b/>
                <w:bCs/>
                <w:sz w:val="19"/>
                <w:szCs w:val="19"/>
              </w:rPr>
            </w:pPr>
            <w:r w:rsidRPr="00F70A4D">
              <w:rPr>
                <w:rFonts w:ascii="Arial" w:hAnsi="Arial" w:cs="Arial"/>
                <w:b/>
                <w:bCs/>
                <w:sz w:val="19"/>
                <w:szCs w:val="19"/>
              </w:rPr>
              <w:t>67%</w:t>
            </w:r>
          </w:p>
        </w:tc>
      </w:tr>
    </w:tbl>
    <w:p w:rsidR="00D113E1" w:rsidRPr="00D113E1" w:rsidRDefault="00D113E1" w:rsidP="00D113E1">
      <w:pPr>
        <w:rPr>
          <w:rFonts w:ascii="Arial" w:hAnsi="Arial" w:cs="Arial"/>
          <w:b/>
          <w:sz w:val="12"/>
          <w:szCs w:val="12"/>
        </w:rPr>
      </w:pPr>
    </w:p>
    <w:p w:rsidR="00D113E1" w:rsidRPr="00D113E1" w:rsidRDefault="00D113E1" w:rsidP="00D113E1">
      <w:pPr>
        <w:rPr>
          <w:rFonts w:ascii="Arial" w:hAnsi="Arial" w:cs="Arial"/>
          <w:sz w:val="18"/>
          <w:szCs w:val="18"/>
        </w:rPr>
      </w:pPr>
      <w:r w:rsidRPr="00D113E1">
        <w:rPr>
          <w:rFonts w:ascii="Arial" w:hAnsi="Arial" w:cs="Arial"/>
          <w:b/>
          <w:sz w:val="18"/>
          <w:szCs w:val="18"/>
        </w:rPr>
        <w:t>Source:</w:t>
      </w:r>
      <w:r w:rsidRPr="00D113E1">
        <w:rPr>
          <w:rFonts w:ascii="Arial" w:hAnsi="Arial" w:cs="Arial"/>
          <w:sz w:val="18"/>
          <w:szCs w:val="18"/>
        </w:rPr>
        <w:t xml:space="preserve"> HHRSDP, Component 3</w:t>
      </w:r>
    </w:p>
    <w:p w:rsidR="00117998" w:rsidRPr="00E65146" w:rsidRDefault="00117998" w:rsidP="00C316F9">
      <w:pPr>
        <w:rPr>
          <w:rFonts w:ascii="Arial" w:hAnsi="Arial" w:cs="Arial"/>
          <w:b/>
        </w:rPr>
      </w:pPr>
    </w:p>
    <w:p w:rsidR="000F1EB0" w:rsidRPr="00E65146" w:rsidRDefault="000F1EB0" w:rsidP="000F1EB0">
      <w:pPr>
        <w:tabs>
          <w:tab w:val="left" w:pos="1980"/>
        </w:tabs>
        <w:rPr>
          <w:rFonts w:ascii="Arial" w:hAnsi="Arial" w:cs="Arial"/>
          <w:sz w:val="22"/>
          <w:szCs w:val="22"/>
        </w:rPr>
      </w:pPr>
    </w:p>
    <w:p w:rsidR="00A21BB4" w:rsidRPr="00E65146" w:rsidRDefault="00A21BB4" w:rsidP="000F1EB0">
      <w:pPr>
        <w:tabs>
          <w:tab w:val="left" w:pos="1980"/>
        </w:tabs>
        <w:rPr>
          <w:rFonts w:ascii="Arial" w:hAnsi="Arial" w:cs="Arial"/>
          <w:sz w:val="22"/>
          <w:szCs w:val="22"/>
        </w:rPr>
        <w:sectPr w:rsidR="00A21BB4" w:rsidRPr="00E65146" w:rsidSect="00A327AF">
          <w:pgSz w:w="11906" w:h="16838" w:code="9"/>
          <w:pgMar w:top="1440" w:right="1440" w:bottom="1440" w:left="1440" w:header="567" w:footer="431" w:gutter="0"/>
          <w:cols w:space="708"/>
          <w:docGrid w:linePitch="360"/>
        </w:sectPr>
      </w:pPr>
    </w:p>
    <w:p w:rsidR="00642437" w:rsidRPr="00E65146" w:rsidRDefault="00642437" w:rsidP="00CA718F">
      <w:pPr>
        <w:pStyle w:val="ColorfulList-Accent11"/>
        <w:numPr>
          <w:ilvl w:val="0"/>
          <w:numId w:val="8"/>
        </w:numPr>
        <w:pBdr>
          <w:bottom w:val="single" w:sz="6" w:space="1" w:color="auto"/>
        </w:pBdr>
        <w:tabs>
          <w:tab w:val="left" w:pos="1980"/>
        </w:tabs>
        <w:outlineLvl w:val="0"/>
        <w:rPr>
          <w:rFonts w:ascii="Arial" w:hAnsi="Arial" w:cs="Arial"/>
          <w:b/>
          <w:sz w:val="22"/>
          <w:szCs w:val="22"/>
        </w:rPr>
      </w:pPr>
      <w:bookmarkStart w:id="106" w:name="_Toc423359361"/>
      <w:r w:rsidRPr="00E65146">
        <w:rPr>
          <w:rFonts w:ascii="Arial" w:hAnsi="Arial" w:cs="Arial"/>
          <w:b/>
          <w:sz w:val="22"/>
          <w:szCs w:val="22"/>
        </w:rPr>
        <w:t>EQUIPMENT PROCUREMENT</w:t>
      </w:r>
      <w:bookmarkEnd w:id="106"/>
    </w:p>
    <w:p w:rsidR="00117998" w:rsidRPr="00E65146" w:rsidRDefault="00117998" w:rsidP="00693D90">
      <w:pPr>
        <w:spacing w:before="240" w:after="120"/>
        <w:jc w:val="center"/>
        <w:rPr>
          <w:rFonts w:ascii="Arial" w:hAnsi="Arial" w:cs="Arial"/>
          <w:b/>
        </w:rPr>
      </w:pPr>
      <w:r w:rsidRPr="00E65146">
        <w:rPr>
          <w:rFonts w:ascii="Arial" w:hAnsi="Arial" w:cs="Arial"/>
          <w:b/>
        </w:rPr>
        <w:t>Table 8.1: Phase one equipment allocation for 9 HPTF</w:t>
      </w:r>
    </w:p>
    <w:tbl>
      <w:tblPr>
        <w:tblW w:w="13976" w:type="dxa"/>
        <w:tblInd w:w="93" w:type="dxa"/>
        <w:tblLook w:val="04A0" w:firstRow="1" w:lastRow="0" w:firstColumn="1" w:lastColumn="0" w:noHBand="0" w:noVBand="1"/>
      </w:tblPr>
      <w:tblGrid>
        <w:gridCol w:w="1005"/>
        <w:gridCol w:w="4680"/>
        <w:gridCol w:w="820"/>
        <w:gridCol w:w="892"/>
        <w:gridCol w:w="820"/>
        <w:gridCol w:w="839"/>
        <w:gridCol w:w="820"/>
        <w:gridCol w:w="820"/>
        <w:gridCol w:w="820"/>
        <w:gridCol w:w="820"/>
        <w:gridCol w:w="820"/>
        <w:gridCol w:w="820"/>
      </w:tblGrid>
      <w:tr w:rsidR="006360AF" w:rsidRPr="00E65146" w:rsidTr="00C522F2">
        <w:trPr>
          <w:trHeight w:val="795"/>
          <w:tblHeader/>
        </w:trPr>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60AF" w:rsidRDefault="006360AF" w:rsidP="006360AF">
            <w:pPr>
              <w:jc w:val="center"/>
              <w:rPr>
                <w:rFonts w:ascii="Arial" w:hAnsi="Arial" w:cs="Arial"/>
                <w:b/>
                <w:bCs/>
                <w:sz w:val="19"/>
                <w:szCs w:val="19"/>
              </w:rPr>
            </w:pPr>
            <w:bookmarkStart w:id="107" w:name="RANGE!A1:L129"/>
            <w:r w:rsidRPr="001C6067">
              <w:rPr>
                <w:rFonts w:ascii="Arial" w:hAnsi="Arial" w:cs="Arial"/>
                <w:b/>
                <w:bCs/>
                <w:sz w:val="19"/>
                <w:szCs w:val="19"/>
              </w:rPr>
              <w:t>No.</w:t>
            </w:r>
            <w:bookmarkEnd w:id="107"/>
          </w:p>
          <w:p w:rsidR="001C6067" w:rsidRPr="001C6067" w:rsidRDefault="001C6067" w:rsidP="006360AF">
            <w:pPr>
              <w:jc w:val="center"/>
              <w:rPr>
                <w:rFonts w:ascii="Arial" w:hAnsi="Arial" w:cs="Arial"/>
                <w:b/>
                <w:bCs/>
                <w:sz w:val="19"/>
                <w:szCs w:val="19"/>
              </w:rPr>
            </w:pPr>
          </w:p>
        </w:tc>
        <w:tc>
          <w:tcPr>
            <w:tcW w:w="4680" w:type="dxa"/>
            <w:tcBorders>
              <w:top w:val="single" w:sz="4" w:space="0" w:color="auto"/>
              <w:left w:val="nil"/>
              <w:bottom w:val="single" w:sz="4" w:space="0" w:color="auto"/>
              <w:right w:val="single" w:sz="4" w:space="0" w:color="auto"/>
            </w:tcBorders>
            <w:shd w:val="clear" w:color="000000" w:fill="FFFFFF"/>
            <w:vAlign w:val="center"/>
            <w:hideMark/>
          </w:tcPr>
          <w:p w:rsidR="006360AF" w:rsidRPr="001C6067" w:rsidRDefault="006360AF" w:rsidP="006360AF">
            <w:pPr>
              <w:rPr>
                <w:rFonts w:ascii="Arial" w:hAnsi="Arial" w:cs="Arial"/>
                <w:b/>
                <w:bCs/>
                <w:sz w:val="19"/>
                <w:szCs w:val="19"/>
              </w:rPr>
            </w:pPr>
            <w:r w:rsidRPr="001C6067">
              <w:rPr>
                <w:rFonts w:ascii="Arial" w:hAnsi="Arial" w:cs="Arial"/>
                <w:b/>
                <w:bCs/>
                <w:sz w:val="19"/>
                <w:szCs w:val="19"/>
              </w:rPr>
              <w:t>Description</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Nam Định</w:t>
            </w:r>
          </w:p>
        </w:tc>
        <w:tc>
          <w:tcPr>
            <w:tcW w:w="892" w:type="dxa"/>
            <w:tcBorders>
              <w:top w:val="single" w:sz="4" w:space="0" w:color="auto"/>
              <w:left w:val="nil"/>
              <w:bottom w:val="single" w:sz="4" w:space="0" w:color="auto"/>
              <w:right w:val="single" w:sz="4" w:space="0" w:color="auto"/>
            </w:tcBorders>
            <w:shd w:val="clear" w:color="000000" w:fill="FFFFFF"/>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Hai Dương</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Thai Binh</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Hai Phong</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Đa Nang</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rsidR="006360AF" w:rsidRPr="001C6067" w:rsidRDefault="00C05C3D" w:rsidP="006360AF">
            <w:pPr>
              <w:jc w:val="center"/>
              <w:rPr>
                <w:rFonts w:ascii="Arial" w:hAnsi="Arial" w:cs="Arial"/>
                <w:b/>
                <w:bCs/>
                <w:sz w:val="19"/>
                <w:szCs w:val="19"/>
              </w:rPr>
            </w:pPr>
            <w:hyperlink r:id="rId15" w:history="1">
              <w:r w:rsidR="006360AF" w:rsidRPr="001C6067">
                <w:rPr>
                  <w:rFonts w:ascii="Arial" w:hAnsi="Arial" w:cs="Arial"/>
                  <w:b/>
                  <w:bCs/>
                  <w:sz w:val="19"/>
                  <w:szCs w:val="19"/>
                </w:rPr>
                <w:t>Hồ Chí Minh</w:t>
              </w:r>
            </w:hyperlink>
          </w:p>
        </w:tc>
        <w:tc>
          <w:tcPr>
            <w:tcW w:w="820" w:type="dxa"/>
            <w:tcBorders>
              <w:top w:val="single" w:sz="4" w:space="0" w:color="auto"/>
              <w:left w:val="nil"/>
              <w:bottom w:val="single" w:sz="4" w:space="0" w:color="auto"/>
              <w:right w:val="single" w:sz="4" w:space="0" w:color="auto"/>
            </w:tcBorders>
            <w:shd w:val="clear" w:color="000000" w:fill="FFFFFF"/>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Cần Thơ</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 xml:space="preserve">Y Hà nội </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 xml:space="preserve">Dược </w:t>
            </w:r>
            <w:r w:rsidRPr="001C6067">
              <w:rPr>
                <w:rFonts w:ascii="Arial" w:hAnsi="Arial" w:cs="Arial"/>
                <w:b/>
                <w:bCs/>
                <w:sz w:val="19"/>
                <w:szCs w:val="19"/>
              </w:rPr>
              <w:br/>
              <w:t xml:space="preserve">Hà nội </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Total</w:t>
            </w:r>
          </w:p>
        </w:tc>
      </w:tr>
      <w:tr w:rsidR="006360AF" w:rsidRPr="00E65146" w:rsidTr="00C522F2">
        <w:trPr>
          <w:trHeight w:val="619"/>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EQ 02</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b/>
                <w:bCs/>
                <w:sz w:val="19"/>
                <w:szCs w:val="19"/>
              </w:rPr>
            </w:pPr>
            <w:r w:rsidRPr="001C6067">
              <w:rPr>
                <w:rFonts w:ascii="Arial" w:hAnsi="Arial" w:cs="Arial"/>
                <w:b/>
                <w:bCs/>
                <w:sz w:val="19"/>
                <w:szCs w:val="19"/>
              </w:rPr>
              <w:t xml:space="preserve">ECG  EEG  spirometer  </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 </w:t>
            </w:r>
          </w:p>
        </w:tc>
        <w:tc>
          <w:tcPr>
            <w:tcW w:w="892" w:type="dxa"/>
            <w:tcBorders>
              <w:top w:val="single" w:sz="4" w:space="0" w:color="auto"/>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 </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 </w:t>
            </w:r>
          </w:p>
        </w:tc>
        <w:tc>
          <w:tcPr>
            <w:tcW w:w="839" w:type="dxa"/>
            <w:tcBorders>
              <w:top w:val="single" w:sz="4" w:space="0" w:color="auto"/>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 </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 </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 </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 </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 </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 </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 xml:space="preserve"> </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ECG 6 channels</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single" w:sz="4" w:space="0" w:color="auto"/>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single" w:sz="4" w:space="0" w:color="auto"/>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3</w:t>
            </w:r>
          </w:p>
        </w:tc>
      </w:tr>
      <w:tr w:rsidR="006360AF" w:rsidRPr="00E65146" w:rsidTr="00C522F2">
        <w:trPr>
          <w:trHeight w:val="379"/>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EEG computed video</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2</w:t>
            </w:r>
          </w:p>
        </w:tc>
      </w:tr>
      <w:tr w:rsidR="006360AF" w:rsidRPr="00E65146" w:rsidTr="00C522F2">
        <w:trPr>
          <w:trHeight w:val="43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3</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Spirometer</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2</w:t>
            </w:r>
          </w:p>
        </w:tc>
      </w:tr>
      <w:tr w:rsidR="006360AF" w:rsidRPr="00E65146" w:rsidTr="00C522F2">
        <w:trPr>
          <w:trHeight w:val="799"/>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4</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Electromyography (Evoked potential measuring System)</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1</w:t>
            </w:r>
          </w:p>
        </w:tc>
      </w:tr>
      <w:tr w:rsidR="006360AF" w:rsidRPr="00E65146" w:rsidTr="00C522F2">
        <w:trPr>
          <w:trHeight w:val="37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5</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Ambulatory blood pressure monitoring</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1</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6</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Defibrillator</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2</w:t>
            </w:r>
          </w:p>
        </w:tc>
      </w:tr>
      <w:tr w:rsidR="006360AF" w:rsidRPr="00E65146" w:rsidTr="00C522F2">
        <w:trPr>
          <w:trHeight w:val="409"/>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7</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ELISA system</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7</w:t>
            </w:r>
          </w:p>
        </w:tc>
      </w:tr>
      <w:tr w:rsidR="006360AF" w:rsidRPr="00E65146" w:rsidTr="00C522F2">
        <w:trPr>
          <w:trHeight w:val="390"/>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8</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Auto ELISA system</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1</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9</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Kymograph</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5</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5</w:t>
            </w:r>
          </w:p>
        </w:tc>
      </w:tr>
      <w:tr w:rsidR="006360AF" w:rsidRPr="00E65146" w:rsidTr="00C522F2">
        <w:trPr>
          <w:trHeight w:val="439"/>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EQ 03</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b/>
                <w:bCs/>
                <w:sz w:val="19"/>
                <w:szCs w:val="19"/>
              </w:rPr>
            </w:pPr>
            <w:r w:rsidRPr="001C6067">
              <w:rPr>
                <w:rFonts w:ascii="Arial" w:hAnsi="Arial" w:cs="Arial"/>
                <w:b/>
                <w:bCs/>
                <w:sz w:val="19"/>
                <w:szCs w:val="19"/>
              </w:rPr>
              <w:t>Human Anatomy 3D software</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 xml:space="preserve"> </w:t>
            </w:r>
          </w:p>
        </w:tc>
      </w:tr>
      <w:tr w:rsidR="006360AF" w:rsidRPr="00E65146" w:rsidTr="00C522F2">
        <w:trPr>
          <w:trHeight w:val="540"/>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Human Anatomy 3D software</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4</w:t>
            </w:r>
          </w:p>
        </w:tc>
      </w:tr>
      <w:tr w:rsidR="006360AF" w:rsidRPr="00E65146" w:rsidTr="00C522F2">
        <w:trPr>
          <w:trHeight w:val="510"/>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Human Anatomy 3D software for self study</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2</w:t>
            </w:r>
          </w:p>
        </w:tc>
      </w:tr>
      <w:tr w:rsidR="006360AF" w:rsidRPr="00E65146" w:rsidTr="00C522F2">
        <w:trPr>
          <w:trHeight w:val="589"/>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3</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Laparoscope Surgery training simulator</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1</w:t>
            </w:r>
          </w:p>
        </w:tc>
      </w:tr>
      <w:tr w:rsidR="006360AF" w:rsidRPr="00E65146" w:rsidTr="00C522F2">
        <w:trPr>
          <w:trHeight w:val="660"/>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EQ 04</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b/>
                <w:bCs/>
                <w:sz w:val="19"/>
                <w:szCs w:val="19"/>
              </w:rPr>
            </w:pPr>
            <w:r w:rsidRPr="001C6067">
              <w:rPr>
                <w:rFonts w:ascii="Arial" w:hAnsi="Arial" w:cs="Arial"/>
                <w:b/>
                <w:bCs/>
                <w:sz w:val="19"/>
                <w:szCs w:val="19"/>
              </w:rPr>
              <w:t>Centrifuges and basic laboratory Instrument</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 xml:space="preserve"> </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Bench top Centrifuge, hectic</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3</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7</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Bench top Centrifuge</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7</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9</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3</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High Speed Centrifuge</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1</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4</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Spindow Centrifuge</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4</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6</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5</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Refrigerated Centrifuge eppendorft tube</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3</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6</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Refrigerated Centrifuge high speed</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1</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7</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Centrifuge for eppendorft tube</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1</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8</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Refrigerated Centrifuge</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2</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9</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vacuum centrifuge</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2</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10</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Water Bath</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14</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3</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21</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11</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Water Bath shaking</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6</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7</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12</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Ultrasonic washing bath</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4</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9</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13</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Horizontal shaker</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3</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14</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Pipette Aids</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4</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4</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15</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8 channels micropipette</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1</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16</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pH meter</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9</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5</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3</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7</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28</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17</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Vortex shaker</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6</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8</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18</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Thermo Mixer</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4</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6</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19</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Magnetic stirrer with hot plate</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6</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35</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6</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51</w:t>
            </w:r>
          </w:p>
        </w:tc>
      </w:tr>
      <w:tr w:rsidR="006360AF" w:rsidRPr="00E65146" w:rsidTr="00C522F2">
        <w:trPr>
          <w:trHeight w:val="52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EQ05</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b/>
                <w:bCs/>
                <w:sz w:val="19"/>
                <w:szCs w:val="19"/>
              </w:rPr>
            </w:pPr>
            <w:r w:rsidRPr="001C6067">
              <w:rPr>
                <w:rFonts w:ascii="Arial" w:hAnsi="Arial" w:cs="Arial"/>
                <w:b/>
                <w:bCs/>
                <w:sz w:val="19"/>
                <w:szCs w:val="19"/>
              </w:rPr>
              <w:t>Sterilization, bio safety cabinet</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 xml:space="preserve"> </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Bio Clean Bench Class 2</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3</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6</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Clean Bench</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4</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3</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3</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11</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3</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Hood Laminar</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4</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3</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3</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12</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4</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PCR reaction cabinets</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3</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5</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 xml:space="preserve">Anaerobic incubator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1</w:t>
            </w:r>
          </w:p>
        </w:tc>
      </w:tr>
      <w:tr w:rsidR="006360AF" w:rsidRPr="00E65146" w:rsidTr="00C522F2">
        <w:trPr>
          <w:trHeight w:val="510"/>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6</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rPr>
                <w:rFonts w:ascii="Arial" w:hAnsi="Arial" w:cs="Arial"/>
                <w:sz w:val="19"/>
                <w:szCs w:val="19"/>
              </w:rPr>
            </w:pPr>
            <w:r w:rsidRPr="001C6067">
              <w:rPr>
                <w:rFonts w:ascii="Arial" w:hAnsi="Arial" w:cs="Arial"/>
                <w:sz w:val="19"/>
                <w:szCs w:val="19"/>
              </w:rPr>
              <w:t>Temperature and environmental chambers level 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1</w:t>
            </w:r>
          </w:p>
        </w:tc>
      </w:tr>
      <w:tr w:rsidR="006360AF" w:rsidRPr="00E65146" w:rsidTr="00C522F2">
        <w:trPr>
          <w:trHeight w:val="634"/>
        </w:trPr>
        <w:tc>
          <w:tcPr>
            <w:tcW w:w="1005" w:type="dxa"/>
            <w:tcBorders>
              <w:top w:val="nil"/>
              <w:left w:val="single" w:sz="4" w:space="0" w:color="auto"/>
              <w:bottom w:val="single" w:sz="4" w:space="0" w:color="auto"/>
              <w:right w:val="single" w:sz="4" w:space="0" w:color="auto"/>
            </w:tcBorders>
            <w:shd w:val="clear" w:color="000000" w:fill="FFFFFF"/>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7</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rPr>
                <w:rFonts w:ascii="Arial" w:hAnsi="Arial" w:cs="Arial"/>
                <w:sz w:val="19"/>
                <w:szCs w:val="19"/>
              </w:rPr>
            </w:pPr>
            <w:r w:rsidRPr="001C6067">
              <w:rPr>
                <w:rFonts w:ascii="Arial" w:hAnsi="Arial" w:cs="Arial"/>
                <w:sz w:val="19"/>
                <w:szCs w:val="19"/>
              </w:rPr>
              <w:t>Temperature and environmental chambers level 2</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1</w:t>
            </w:r>
          </w:p>
        </w:tc>
      </w:tr>
      <w:tr w:rsidR="006360AF" w:rsidRPr="00E65146" w:rsidTr="00C522F2">
        <w:trPr>
          <w:trHeight w:val="510"/>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EQ06</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b/>
                <w:bCs/>
                <w:sz w:val="19"/>
                <w:szCs w:val="19"/>
              </w:rPr>
            </w:pPr>
            <w:r w:rsidRPr="001C6067">
              <w:rPr>
                <w:rFonts w:ascii="Arial" w:hAnsi="Arial" w:cs="Arial"/>
                <w:b/>
                <w:bCs/>
                <w:sz w:val="19"/>
                <w:szCs w:val="19"/>
              </w:rPr>
              <w:t>Deep freezers Low temperature, incubator, autoclave</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 xml:space="preserve"> </w:t>
            </w:r>
          </w:p>
        </w:tc>
      </w:tr>
      <w:tr w:rsidR="006360AF" w:rsidRPr="00E65146" w:rsidTr="00C522F2">
        <w:trPr>
          <w:trHeight w:val="769"/>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rPr>
                <w:rFonts w:ascii="Arial" w:hAnsi="Arial" w:cs="Arial"/>
                <w:sz w:val="19"/>
                <w:szCs w:val="19"/>
              </w:rPr>
            </w:pPr>
            <w:r w:rsidRPr="001C6067">
              <w:rPr>
                <w:rFonts w:ascii="Arial" w:hAnsi="Arial" w:cs="Arial"/>
                <w:sz w:val="19"/>
                <w:szCs w:val="19"/>
              </w:rPr>
              <w:t>Deep Freezers Low temp -86</w:t>
            </w:r>
            <w:r w:rsidRPr="001C6067">
              <w:rPr>
                <w:rFonts w:ascii="Arial" w:hAnsi="Arial" w:cs="Arial"/>
                <w:sz w:val="19"/>
                <w:szCs w:val="19"/>
                <w:vertAlign w:val="superscript"/>
              </w:rPr>
              <w:t>o</w:t>
            </w:r>
            <w:r w:rsidRPr="001C6067">
              <w:rPr>
                <w:rFonts w:ascii="Arial" w:hAnsi="Arial" w:cs="Arial"/>
                <w:sz w:val="19"/>
                <w:szCs w:val="19"/>
              </w:rPr>
              <w:t xml:space="preserve"> C, approximate 500 liters, chest type</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2</w:t>
            </w:r>
          </w:p>
        </w:tc>
      </w:tr>
      <w:tr w:rsidR="006360AF" w:rsidRPr="00E65146" w:rsidTr="00C522F2">
        <w:trPr>
          <w:trHeight w:val="67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rPr>
                <w:rFonts w:ascii="Arial" w:hAnsi="Arial" w:cs="Arial"/>
                <w:sz w:val="19"/>
                <w:szCs w:val="19"/>
              </w:rPr>
            </w:pPr>
            <w:r w:rsidRPr="001C6067">
              <w:rPr>
                <w:rFonts w:ascii="Arial" w:hAnsi="Arial" w:cs="Arial"/>
                <w:sz w:val="19"/>
                <w:szCs w:val="19"/>
              </w:rPr>
              <w:t>Deep Freezers Low temp - 86</w:t>
            </w:r>
            <w:r w:rsidRPr="001C6067">
              <w:rPr>
                <w:rFonts w:ascii="Arial" w:hAnsi="Arial" w:cs="Arial"/>
                <w:sz w:val="19"/>
                <w:szCs w:val="19"/>
                <w:vertAlign w:val="superscript"/>
              </w:rPr>
              <w:t>o</w:t>
            </w:r>
            <w:r w:rsidRPr="001C6067">
              <w:rPr>
                <w:rFonts w:ascii="Arial" w:hAnsi="Arial" w:cs="Arial"/>
                <w:sz w:val="19"/>
                <w:szCs w:val="19"/>
              </w:rPr>
              <w:t xml:space="preserve"> C, approximate 300 liters, chest type</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3</w:t>
            </w:r>
          </w:p>
        </w:tc>
      </w:tr>
      <w:tr w:rsidR="006360AF" w:rsidRPr="00E65146" w:rsidTr="00C522F2">
        <w:trPr>
          <w:trHeight w:val="754"/>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3</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rPr>
                <w:rFonts w:ascii="Arial" w:hAnsi="Arial" w:cs="Arial"/>
                <w:sz w:val="19"/>
                <w:szCs w:val="19"/>
              </w:rPr>
            </w:pPr>
            <w:r w:rsidRPr="001C6067">
              <w:rPr>
                <w:rFonts w:ascii="Arial" w:hAnsi="Arial" w:cs="Arial"/>
                <w:sz w:val="19"/>
                <w:szCs w:val="19"/>
              </w:rPr>
              <w:t>Deep Freezers Low temp - 86</w:t>
            </w:r>
            <w:r w:rsidRPr="001C6067">
              <w:rPr>
                <w:rFonts w:ascii="Arial" w:hAnsi="Arial" w:cs="Arial"/>
                <w:sz w:val="19"/>
                <w:szCs w:val="19"/>
                <w:vertAlign w:val="superscript"/>
              </w:rPr>
              <w:t>o</w:t>
            </w:r>
            <w:r w:rsidRPr="001C6067">
              <w:rPr>
                <w:rFonts w:ascii="Arial" w:hAnsi="Arial" w:cs="Arial"/>
                <w:sz w:val="19"/>
                <w:szCs w:val="19"/>
              </w:rPr>
              <w:t xml:space="preserve"> C, approximate 300 liters, upright type</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3</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4</w:t>
            </w:r>
          </w:p>
        </w:tc>
      </w:tr>
      <w:tr w:rsidR="006360AF" w:rsidRPr="00E65146" w:rsidTr="00C522F2">
        <w:trPr>
          <w:trHeight w:val="694"/>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4</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rPr>
                <w:rFonts w:ascii="Arial" w:hAnsi="Arial" w:cs="Arial"/>
                <w:sz w:val="19"/>
                <w:szCs w:val="19"/>
              </w:rPr>
            </w:pPr>
            <w:r w:rsidRPr="001C6067">
              <w:rPr>
                <w:rFonts w:ascii="Arial" w:hAnsi="Arial" w:cs="Arial"/>
                <w:sz w:val="19"/>
                <w:szCs w:val="19"/>
              </w:rPr>
              <w:t>Deep Freezers Low temp - 30</w:t>
            </w:r>
            <w:r w:rsidRPr="001C6067">
              <w:rPr>
                <w:rFonts w:ascii="Arial" w:hAnsi="Arial" w:cs="Arial"/>
                <w:sz w:val="19"/>
                <w:szCs w:val="19"/>
                <w:vertAlign w:val="superscript"/>
              </w:rPr>
              <w:t xml:space="preserve">o </w:t>
            </w:r>
            <w:r w:rsidRPr="001C6067">
              <w:rPr>
                <w:rFonts w:ascii="Arial" w:hAnsi="Arial" w:cs="Arial"/>
                <w:sz w:val="19"/>
                <w:szCs w:val="19"/>
              </w:rPr>
              <w:t>C, approximate 300 liters, upright type</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6</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6</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5</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rPr>
                <w:rFonts w:ascii="Arial" w:hAnsi="Arial" w:cs="Arial"/>
                <w:sz w:val="19"/>
                <w:szCs w:val="19"/>
              </w:rPr>
            </w:pPr>
            <w:r w:rsidRPr="001C6067">
              <w:rPr>
                <w:rFonts w:ascii="Arial" w:hAnsi="Arial" w:cs="Arial"/>
                <w:sz w:val="19"/>
                <w:szCs w:val="19"/>
              </w:rPr>
              <w:t>Refrigerator blood bank</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1</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6</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rPr>
                <w:rFonts w:ascii="Arial" w:hAnsi="Arial" w:cs="Arial"/>
                <w:sz w:val="19"/>
                <w:szCs w:val="19"/>
              </w:rPr>
            </w:pPr>
            <w:r w:rsidRPr="001C6067">
              <w:rPr>
                <w:rFonts w:ascii="Arial" w:hAnsi="Arial" w:cs="Arial"/>
                <w:sz w:val="19"/>
                <w:szCs w:val="19"/>
              </w:rPr>
              <w:t>Fridge</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4</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14</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19</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7</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rPr>
                <w:rFonts w:ascii="Arial" w:hAnsi="Arial" w:cs="Arial"/>
                <w:sz w:val="19"/>
                <w:szCs w:val="19"/>
              </w:rPr>
            </w:pPr>
            <w:r w:rsidRPr="001C6067">
              <w:rPr>
                <w:rFonts w:ascii="Arial" w:hAnsi="Arial" w:cs="Arial"/>
                <w:sz w:val="19"/>
                <w:szCs w:val="19"/>
              </w:rPr>
              <w:t>Refrigerators laboratory</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3</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8</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rPr>
                <w:rFonts w:ascii="Arial" w:hAnsi="Arial" w:cs="Arial"/>
                <w:sz w:val="19"/>
                <w:szCs w:val="19"/>
              </w:rPr>
            </w:pPr>
            <w:r w:rsidRPr="001C6067">
              <w:rPr>
                <w:rFonts w:ascii="Arial" w:hAnsi="Arial" w:cs="Arial"/>
                <w:sz w:val="19"/>
                <w:szCs w:val="19"/>
              </w:rPr>
              <w:t>Autoclaves 100l</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1</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9</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rPr>
                <w:rFonts w:ascii="Arial" w:hAnsi="Arial" w:cs="Arial"/>
                <w:sz w:val="19"/>
                <w:szCs w:val="19"/>
              </w:rPr>
            </w:pPr>
            <w:r w:rsidRPr="001C6067">
              <w:rPr>
                <w:rFonts w:ascii="Arial" w:hAnsi="Arial" w:cs="Arial"/>
                <w:sz w:val="19"/>
                <w:szCs w:val="19"/>
              </w:rPr>
              <w:t>Autoclaves  50l</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3</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5</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12</w:t>
            </w:r>
          </w:p>
        </w:tc>
      </w:tr>
      <w:tr w:rsidR="006360AF" w:rsidRPr="00E65146" w:rsidTr="00C522F2">
        <w:trPr>
          <w:trHeight w:val="510"/>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10</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rPr>
                <w:rFonts w:ascii="Arial" w:hAnsi="Arial" w:cs="Arial"/>
                <w:sz w:val="19"/>
                <w:szCs w:val="19"/>
              </w:rPr>
            </w:pPr>
            <w:r w:rsidRPr="001C6067">
              <w:rPr>
                <w:rFonts w:ascii="Arial" w:hAnsi="Arial" w:cs="Arial"/>
                <w:sz w:val="19"/>
                <w:szCs w:val="19"/>
              </w:rPr>
              <w:t xml:space="preserve">Autoclaves Bench top (Odonto-Stomatology)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4</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4</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11</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rPr>
                <w:rFonts w:ascii="Arial" w:hAnsi="Arial" w:cs="Arial"/>
                <w:sz w:val="19"/>
                <w:szCs w:val="19"/>
              </w:rPr>
            </w:pPr>
            <w:r w:rsidRPr="001C6067">
              <w:rPr>
                <w:rFonts w:ascii="Arial" w:hAnsi="Arial" w:cs="Arial"/>
                <w:sz w:val="19"/>
                <w:szCs w:val="19"/>
              </w:rPr>
              <w:t>Drying Oven, 250</w:t>
            </w:r>
            <w:r w:rsidRPr="001C6067">
              <w:rPr>
                <w:rFonts w:ascii="Arial" w:hAnsi="Arial" w:cs="Arial"/>
                <w:sz w:val="19"/>
                <w:szCs w:val="19"/>
                <w:vertAlign w:val="superscript"/>
              </w:rPr>
              <w:t xml:space="preserve">o </w:t>
            </w:r>
            <w:r w:rsidRPr="001C6067">
              <w:rPr>
                <w:rFonts w:ascii="Arial" w:hAnsi="Arial" w:cs="Arial"/>
                <w:sz w:val="19"/>
                <w:szCs w:val="19"/>
              </w:rPr>
              <w:t>C, approx 150 liters</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3</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5</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12</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12</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rPr>
                <w:rFonts w:ascii="Arial" w:hAnsi="Arial" w:cs="Arial"/>
                <w:sz w:val="19"/>
                <w:szCs w:val="19"/>
              </w:rPr>
            </w:pPr>
            <w:r w:rsidRPr="001C6067">
              <w:rPr>
                <w:rFonts w:ascii="Arial" w:hAnsi="Arial" w:cs="Arial"/>
                <w:sz w:val="19"/>
                <w:szCs w:val="19"/>
              </w:rPr>
              <w:t>CO</w:t>
            </w:r>
            <w:r w:rsidRPr="001C6067">
              <w:rPr>
                <w:rFonts w:ascii="Arial" w:hAnsi="Arial" w:cs="Arial"/>
                <w:sz w:val="19"/>
                <w:szCs w:val="19"/>
                <w:vertAlign w:val="subscript"/>
              </w:rPr>
              <w:t>2</w:t>
            </w:r>
            <w:r w:rsidRPr="001C6067">
              <w:rPr>
                <w:rFonts w:ascii="Arial" w:hAnsi="Arial" w:cs="Arial"/>
                <w:sz w:val="19"/>
                <w:szCs w:val="19"/>
              </w:rPr>
              <w:t xml:space="preserve"> incubator</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7</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13</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rPr>
                <w:rFonts w:ascii="Arial" w:hAnsi="Arial" w:cs="Arial"/>
                <w:sz w:val="19"/>
                <w:szCs w:val="19"/>
              </w:rPr>
            </w:pPr>
            <w:r w:rsidRPr="001C6067">
              <w:rPr>
                <w:rFonts w:ascii="Arial" w:hAnsi="Arial" w:cs="Arial"/>
                <w:sz w:val="19"/>
                <w:szCs w:val="19"/>
              </w:rPr>
              <w:t>Shaking Incubator</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3</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3</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6</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14</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rPr>
                <w:rFonts w:ascii="Arial" w:hAnsi="Arial" w:cs="Arial"/>
                <w:sz w:val="19"/>
                <w:szCs w:val="19"/>
              </w:rPr>
            </w:pPr>
            <w:r w:rsidRPr="001C6067">
              <w:rPr>
                <w:rFonts w:ascii="Arial" w:hAnsi="Arial" w:cs="Arial"/>
                <w:sz w:val="19"/>
                <w:szCs w:val="19"/>
              </w:rPr>
              <w:t>Incubator</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7</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11</w:t>
            </w:r>
          </w:p>
        </w:tc>
      </w:tr>
      <w:tr w:rsidR="006360AF" w:rsidRPr="00E65146" w:rsidTr="00C522F2">
        <w:trPr>
          <w:trHeight w:val="540"/>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EQ07</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b/>
                <w:bCs/>
                <w:sz w:val="19"/>
                <w:szCs w:val="19"/>
              </w:rPr>
            </w:pPr>
            <w:r w:rsidRPr="001C6067">
              <w:rPr>
                <w:rFonts w:ascii="Arial" w:hAnsi="Arial" w:cs="Arial"/>
                <w:b/>
                <w:bCs/>
                <w:sz w:val="19"/>
                <w:szCs w:val="19"/>
              </w:rPr>
              <w:t>Office equipment</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 xml:space="preserve"> </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Laser Printers</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14</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25</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29</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68</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Color Printers</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3</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6</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10</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19</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3</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Photocopy Machine</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3</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5</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4</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UPS equipment 1KVA</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20</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22</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5</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UPS equipment 3KVA</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5</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3</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10</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6</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UPS equipment 5KVA</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1</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7</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Lap tops</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10</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14</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10</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20</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54</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8</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Scanner</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3</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6</w:t>
            </w:r>
          </w:p>
        </w:tc>
      </w:tr>
      <w:tr w:rsidR="006360AF" w:rsidRPr="00E65146" w:rsidTr="00C522F2">
        <w:trPr>
          <w:trHeight w:val="255"/>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9</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Professional Scanner for test scoring</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2</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10</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A3 high speed printer</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1</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11</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Projector ≥ 3000 Ansi lumens</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8</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3</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28</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xml:space="preserve">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41</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12</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Projector ≥ 3500 Ansi lumens</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7</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40</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47</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13</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Dehumidifier</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4</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24</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30</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14</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Air conditioner 18000 BTU</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15</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28</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43</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15</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Air conditioner 12000 BTU</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4</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4</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16</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Furniture (Desk and Chairs type 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200</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200</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17</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Furniture (Table and Chairs type 2)</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60</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70</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130</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18</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Server</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4</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19</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LAN accessories for 5 room x 50 PC</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6</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8</w:t>
            </w:r>
          </w:p>
        </w:tc>
      </w:tr>
      <w:tr w:rsidR="006360AF" w:rsidRPr="00E65146" w:rsidTr="00C522F2">
        <w:trPr>
          <w:trHeight w:val="510"/>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D113E1" w:rsidP="006360AF">
            <w:pPr>
              <w:jc w:val="center"/>
              <w:rPr>
                <w:rFonts w:ascii="Arial" w:hAnsi="Arial" w:cs="Arial"/>
                <w:b/>
                <w:bCs/>
                <w:sz w:val="19"/>
                <w:szCs w:val="19"/>
              </w:rPr>
            </w:pPr>
            <w:r>
              <w:rPr>
                <w:rFonts w:ascii="Arial" w:hAnsi="Arial" w:cs="Arial"/>
                <w:b/>
                <w:bCs/>
                <w:sz w:val="19"/>
                <w:szCs w:val="19"/>
              </w:rPr>
              <w:t>EQ</w:t>
            </w:r>
            <w:r w:rsidR="006360AF" w:rsidRPr="001C6067">
              <w:rPr>
                <w:rFonts w:ascii="Arial" w:hAnsi="Arial" w:cs="Arial"/>
                <w:b/>
                <w:bCs/>
                <w:sz w:val="19"/>
                <w:szCs w:val="19"/>
              </w:rPr>
              <w:t>08</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b/>
                <w:bCs/>
                <w:sz w:val="19"/>
                <w:szCs w:val="19"/>
              </w:rPr>
            </w:pPr>
            <w:r w:rsidRPr="001C6067">
              <w:rPr>
                <w:rFonts w:ascii="Arial" w:hAnsi="Arial" w:cs="Arial"/>
                <w:b/>
                <w:bCs/>
                <w:sz w:val="19"/>
                <w:szCs w:val="19"/>
              </w:rPr>
              <w:t>Computer sets and Server and LAN Accessories</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 xml:space="preserve"> </w:t>
            </w:r>
          </w:p>
        </w:tc>
      </w:tr>
      <w:tr w:rsidR="006360AF" w:rsidRPr="00E65146" w:rsidTr="00C522F2">
        <w:trPr>
          <w:trHeight w:val="49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Personal Computers</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69</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123</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420</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150</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762</w:t>
            </w:r>
          </w:p>
        </w:tc>
      </w:tr>
      <w:tr w:rsidR="006360AF" w:rsidRPr="00E65146" w:rsidTr="00C522F2">
        <w:trPr>
          <w:trHeight w:val="43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Personal Computers (All in one)</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200</w:t>
            </w:r>
          </w:p>
        </w:tc>
        <w:tc>
          <w:tcPr>
            <w:tcW w:w="82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200</w:t>
            </w:r>
          </w:p>
        </w:tc>
      </w:tr>
      <w:tr w:rsidR="006360AF" w:rsidRPr="00E65146" w:rsidTr="00C522F2">
        <w:trPr>
          <w:trHeight w:val="510"/>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EQ09</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b/>
                <w:bCs/>
                <w:sz w:val="19"/>
                <w:szCs w:val="19"/>
              </w:rPr>
            </w:pPr>
            <w:r w:rsidRPr="001C6067">
              <w:rPr>
                <w:rFonts w:ascii="Arial" w:hAnsi="Arial" w:cs="Arial"/>
                <w:b/>
                <w:bCs/>
                <w:sz w:val="19"/>
                <w:szCs w:val="19"/>
              </w:rPr>
              <w:t>Microscopes Binocular and Microscopes for Research</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 xml:space="preserve"> </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Microscopes binocular for Students</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20</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52</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72</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Microscopes binocular for Teacher</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10</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11</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3</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 xml:space="preserve">Microscopes with camera to TV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4</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6</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4</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3</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20</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4</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Microscopes stereo zoom</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3</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5</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12</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5</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Microscopes stereo with Camera</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1</w:t>
            </w:r>
          </w:p>
        </w:tc>
      </w:tr>
      <w:tr w:rsidR="006360AF" w:rsidRPr="00E65146" w:rsidTr="00C522F2">
        <w:trPr>
          <w:trHeight w:val="619"/>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6</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Microscopes stereo with heat plate</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1</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7</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Microscopes Inverted Fluorescence</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1</w:t>
            </w:r>
          </w:p>
        </w:tc>
      </w:tr>
      <w:tr w:rsidR="006360AF" w:rsidRPr="00E65146" w:rsidTr="00C522F2">
        <w:trPr>
          <w:trHeight w:val="67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8</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Microscopes Fluorescence with camera</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2</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9</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Microscopes 5 observers</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3</w:t>
            </w:r>
          </w:p>
        </w:tc>
      </w:tr>
      <w:tr w:rsidR="006360AF" w:rsidRPr="00E65146" w:rsidTr="00C522F2">
        <w:trPr>
          <w:trHeight w:val="49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EQ10</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b/>
                <w:bCs/>
                <w:sz w:val="19"/>
                <w:szCs w:val="19"/>
              </w:rPr>
            </w:pPr>
            <w:r w:rsidRPr="001C6067">
              <w:rPr>
                <w:rFonts w:ascii="Arial" w:hAnsi="Arial" w:cs="Arial"/>
                <w:b/>
                <w:bCs/>
                <w:sz w:val="19"/>
                <w:szCs w:val="19"/>
              </w:rPr>
              <w:t>Other Laboratory Instrument</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 xml:space="preserve"> </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ADN/protein spectrophotometer</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3</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7</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UV VIS spectrophotometer</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4</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9</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3</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Cryostam Microtome</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4</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4</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Microtome</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3</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6</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5</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vacuum drying oven</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2</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6</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Vacuum rotary evaporator 1 (5l)</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3</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3</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8</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Freeze Dryer for medical lab</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3</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10</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Microwave oven</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3</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11</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Suction unit</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3</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12</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Orbital shaker</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6</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6</w:t>
            </w:r>
          </w:p>
        </w:tc>
      </w:tr>
      <w:tr w:rsidR="006360AF" w:rsidRPr="00E65146" w:rsidTr="00C522F2">
        <w:trPr>
          <w:trHeight w:val="450"/>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13</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Ice flack Maker</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3</w:t>
            </w:r>
          </w:p>
        </w:tc>
      </w:tr>
      <w:tr w:rsidR="006360AF" w:rsidRPr="00E65146" w:rsidTr="00C522F2">
        <w:trPr>
          <w:trHeight w:val="510"/>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14</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rPr>
                <w:rFonts w:ascii="Arial" w:hAnsi="Arial" w:cs="Arial"/>
                <w:sz w:val="19"/>
                <w:szCs w:val="19"/>
              </w:rPr>
            </w:pPr>
            <w:r w:rsidRPr="001C6067">
              <w:rPr>
                <w:rFonts w:ascii="Arial" w:hAnsi="Arial" w:cs="Arial"/>
                <w:sz w:val="19"/>
                <w:szCs w:val="19"/>
              </w:rPr>
              <w:t>Variable volume 1 channel micropipettes</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10</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18</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9</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22</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59</w:t>
            </w:r>
          </w:p>
        </w:tc>
      </w:tr>
      <w:tr w:rsidR="006360AF" w:rsidRPr="00E65146" w:rsidTr="00C522F2">
        <w:trPr>
          <w:trHeight w:val="420"/>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15</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Homogenizer</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3</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16</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Muffle Furnaces</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3</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4</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17</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Redistilled Water Apparatus</w:t>
            </w:r>
          </w:p>
        </w:tc>
        <w:tc>
          <w:tcPr>
            <w:tcW w:w="820" w:type="dxa"/>
            <w:tcBorders>
              <w:top w:val="nil"/>
              <w:left w:val="nil"/>
              <w:bottom w:val="single" w:sz="4" w:space="0" w:color="auto"/>
              <w:right w:val="single" w:sz="4" w:space="0" w:color="auto"/>
            </w:tcBorders>
            <w:shd w:val="clear" w:color="000000" w:fill="FFFFFF"/>
            <w:noWrap/>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92" w:type="dxa"/>
            <w:tcBorders>
              <w:top w:val="nil"/>
              <w:left w:val="nil"/>
              <w:bottom w:val="single" w:sz="4" w:space="0" w:color="auto"/>
              <w:right w:val="single" w:sz="4" w:space="0" w:color="auto"/>
            </w:tcBorders>
            <w:shd w:val="clear" w:color="000000" w:fill="FFFFFF"/>
            <w:noWrap/>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3</w:t>
            </w:r>
          </w:p>
        </w:tc>
        <w:tc>
          <w:tcPr>
            <w:tcW w:w="820" w:type="dxa"/>
            <w:tcBorders>
              <w:top w:val="nil"/>
              <w:left w:val="nil"/>
              <w:bottom w:val="single" w:sz="4" w:space="0" w:color="auto"/>
              <w:right w:val="single" w:sz="4" w:space="0" w:color="auto"/>
            </w:tcBorders>
            <w:shd w:val="clear" w:color="000000" w:fill="FFFFFF"/>
            <w:noWrap/>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820" w:type="dxa"/>
            <w:tcBorders>
              <w:top w:val="nil"/>
              <w:left w:val="nil"/>
              <w:bottom w:val="single" w:sz="4" w:space="0" w:color="auto"/>
              <w:right w:val="single" w:sz="4" w:space="0" w:color="auto"/>
            </w:tcBorders>
            <w:shd w:val="clear" w:color="000000" w:fill="FFFFFF"/>
            <w:noWrap/>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3</w:t>
            </w:r>
          </w:p>
        </w:tc>
        <w:tc>
          <w:tcPr>
            <w:tcW w:w="820" w:type="dxa"/>
            <w:tcBorders>
              <w:top w:val="nil"/>
              <w:left w:val="nil"/>
              <w:bottom w:val="single" w:sz="4" w:space="0" w:color="auto"/>
              <w:right w:val="single" w:sz="4" w:space="0" w:color="auto"/>
            </w:tcBorders>
            <w:shd w:val="clear" w:color="000000" w:fill="FFFFFF"/>
            <w:noWrap/>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9</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18</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Ultra pure water purification</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5</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19</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Distilled Water Apparatus</w:t>
            </w:r>
          </w:p>
        </w:tc>
        <w:tc>
          <w:tcPr>
            <w:tcW w:w="820" w:type="dxa"/>
            <w:tcBorders>
              <w:top w:val="nil"/>
              <w:left w:val="nil"/>
              <w:bottom w:val="single" w:sz="4" w:space="0" w:color="auto"/>
              <w:right w:val="single" w:sz="4" w:space="0" w:color="auto"/>
            </w:tcBorders>
            <w:shd w:val="clear" w:color="000000" w:fill="FFFFFF"/>
            <w:noWrap/>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4</w:t>
            </w:r>
          </w:p>
        </w:tc>
        <w:tc>
          <w:tcPr>
            <w:tcW w:w="839" w:type="dxa"/>
            <w:tcBorders>
              <w:top w:val="nil"/>
              <w:left w:val="nil"/>
              <w:bottom w:val="single" w:sz="4" w:space="0" w:color="auto"/>
              <w:right w:val="single" w:sz="4" w:space="0" w:color="auto"/>
            </w:tcBorders>
            <w:shd w:val="clear" w:color="000000" w:fill="FFFFFF"/>
            <w:noWrap/>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3</w:t>
            </w:r>
          </w:p>
        </w:tc>
        <w:tc>
          <w:tcPr>
            <w:tcW w:w="820" w:type="dxa"/>
            <w:tcBorders>
              <w:top w:val="nil"/>
              <w:left w:val="nil"/>
              <w:bottom w:val="single" w:sz="4" w:space="0" w:color="auto"/>
              <w:right w:val="single" w:sz="4" w:space="0" w:color="auto"/>
            </w:tcBorders>
            <w:shd w:val="clear" w:color="000000" w:fill="FFFFFF"/>
            <w:noWrap/>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8</w:t>
            </w:r>
          </w:p>
        </w:tc>
      </w:tr>
      <w:tr w:rsidR="006360AF" w:rsidRPr="00E65146" w:rsidTr="00C522F2">
        <w:trPr>
          <w:trHeight w:val="720"/>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EQ11</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b/>
                <w:bCs/>
                <w:sz w:val="19"/>
                <w:szCs w:val="19"/>
              </w:rPr>
            </w:pPr>
            <w:r w:rsidRPr="001C6067">
              <w:rPr>
                <w:rFonts w:ascii="Arial" w:hAnsi="Arial" w:cs="Arial"/>
                <w:b/>
                <w:bCs/>
                <w:sz w:val="19"/>
                <w:szCs w:val="19"/>
              </w:rPr>
              <w:t>System of Kariotyping by FISH and Bimolecular Instruments</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 xml:space="preserve"> </w:t>
            </w:r>
          </w:p>
        </w:tc>
      </w:tr>
      <w:tr w:rsidR="006360AF" w:rsidRPr="00E65146" w:rsidTr="00C522F2">
        <w:trPr>
          <w:trHeight w:val="1009"/>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Automatic System of Kariotyping by FISH and metaphor search</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1</w:t>
            </w:r>
          </w:p>
        </w:tc>
      </w:tr>
      <w:tr w:rsidR="006360AF" w:rsidRPr="00E65146" w:rsidTr="00C522F2">
        <w:trPr>
          <w:trHeight w:val="720"/>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rPr>
                <w:rFonts w:ascii="Arial" w:hAnsi="Arial" w:cs="Arial"/>
                <w:sz w:val="19"/>
                <w:szCs w:val="19"/>
              </w:rPr>
            </w:pPr>
            <w:r w:rsidRPr="001C6067">
              <w:rPr>
                <w:rFonts w:ascii="Arial" w:hAnsi="Arial" w:cs="Arial"/>
                <w:sz w:val="19"/>
                <w:szCs w:val="19"/>
              </w:rPr>
              <w:t xml:space="preserve">Semi Automatic System of Kariotyping by FISH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2</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3</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PCR thermal Cycler</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4</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4</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PCR real time</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3</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5</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Electrophoreses vertical</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4</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6</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Electrophoreses horizontal</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2</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4</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4</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10</w:t>
            </w:r>
          </w:p>
        </w:tc>
      </w:tr>
      <w:tr w:rsidR="006360AF" w:rsidRPr="00E65146" w:rsidTr="00D113E1">
        <w:trPr>
          <w:trHeight w:val="495"/>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7</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rPr>
                <w:rFonts w:ascii="Arial" w:hAnsi="Arial" w:cs="Arial"/>
                <w:sz w:val="19"/>
                <w:szCs w:val="19"/>
              </w:rPr>
            </w:pPr>
            <w:r w:rsidRPr="001C6067">
              <w:rPr>
                <w:rFonts w:ascii="Arial" w:hAnsi="Arial" w:cs="Arial"/>
                <w:sz w:val="19"/>
                <w:szCs w:val="19"/>
              </w:rPr>
              <w:t>Gel doc and analysis System, Fluoresce</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1</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8</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Gel doc and analysis System</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3</w:t>
            </w:r>
          </w:p>
        </w:tc>
      </w:tr>
      <w:tr w:rsidR="006360AF" w:rsidRPr="00E65146" w:rsidTr="00C522F2">
        <w:trPr>
          <w:trHeight w:val="402"/>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9</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UV Transilluminators</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3</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4</w:t>
            </w:r>
          </w:p>
        </w:tc>
      </w:tr>
      <w:tr w:rsidR="006360AF" w:rsidRPr="00E65146" w:rsidTr="00D113E1">
        <w:trPr>
          <w:trHeight w:val="301"/>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10</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Electrophoreses protein</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3</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3</w:t>
            </w:r>
          </w:p>
        </w:tc>
      </w:tr>
      <w:tr w:rsidR="006360AF" w:rsidRPr="00E65146" w:rsidTr="00D113E1">
        <w:trPr>
          <w:trHeight w:val="418"/>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11</w:t>
            </w:r>
          </w:p>
        </w:tc>
        <w:tc>
          <w:tcPr>
            <w:tcW w:w="4680" w:type="dxa"/>
            <w:tcBorders>
              <w:top w:val="nil"/>
              <w:left w:val="nil"/>
              <w:bottom w:val="single" w:sz="4" w:space="0" w:color="auto"/>
              <w:right w:val="single" w:sz="4" w:space="0" w:color="auto"/>
            </w:tcBorders>
            <w:shd w:val="clear" w:color="000000" w:fill="FFFFFF"/>
            <w:vAlign w:val="center"/>
            <w:hideMark/>
          </w:tcPr>
          <w:p w:rsidR="006360AF" w:rsidRPr="001C6067" w:rsidRDefault="006360AF" w:rsidP="006360AF">
            <w:pPr>
              <w:jc w:val="both"/>
              <w:rPr>
                <w:rFonts w:ascii="Arial" w:hAnsi="Arial" w:cs="Arial"/>
                <w:sz w:val="19"/>
                <w:szCs w:val="19"/>
              </w:rPr>
            </w:pPr>
            <w:r w:rsidRPr="001C6067">
              <w:rPr>
                <w:rFonts w:ascii="Arial" w:hAnsi="Arial" w:cs="Arial"/>
                <w:sz w:val="19"/>
                <w:szCs w:val="19"/>
              </w:rPr>
              <w:t>Electrophoreses electro</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sz w:val="19"/>
                <w:szCs w:val="19"/>
              </w:rPr>
            </w:pPr>
            <w:r w:rsidRPr="001C6067">
              <w:rPr>
                <w:rFonts w:ascii="Arial" w:hAnsi="Arial" w:cs="Arial"/>
                <w:sz w:val="19"/>
                <w:szCs w:val="19"/>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6360AF" w:rsidRPr="001C6067" w:rsidRDefault="006360AF" w:rsidP="006360AF">
            <w:pPr>
              <w:jc w:val="center"/>
              <w:rPr>
                <w:rFonts w:ascii="Arial" w:hAnsi="Arial" w:cs="Arial"/>
                <w:b/>
                <w:bCs/>
                <w:sz w:val="19"/>
                <w:szCs w:val="19"/>
              </w:rPr>
            </w:pPr>
            <w:r w:rsidRPr="001C6067">
              <w:rPr>
                <w:rFonts w:ascii="Arial" w:hAnsi="Arial" w:cs="Arial"/>
                <w:b/>
                <w:bCs/>
                <w:sz w:val="19"/>
                <w:szCs w:val="19"/>
              </w:rPr>
              <w:t>1</w:t>
            </w:r>
          </w:p>
        </w:tc>
      </w:tr>
    </w:tbl>
    <w:p w:rsidR="00D113E1" w:rsidRPr="00D113E1" w:rsidRDefault="00D113E1" w:rsidP="00D113E1">
      <w:pPr>
        <w:rPr>
          <w:rFonts w:ascii="Arial" w:hAnsi="Arial" w:cs="Arial"/>
          <w:b/>
          <w:sz w:val="12"/>
          <w:szCs w:val="12"/>
        </w:rPr>
      </w:pPr>
    </w:p>
    <w:p w:rsidR="00D113E1" w:rsidRPr="00D113E1" w:rsidRDefault="00D113E1" w:rsidP="00D113E1">
      <w:pPr>
        <w:rPr>
          <w:rFonts w:ascii="Arial" w:hAnsi="Arial" w:cs="Arial"/>
          <w:sz w:val="18"/>
          <w:szCs w:val="18"/>
        </w:rPr>
      </w:pPr>
      <w:r w:rsidRPr="00D113E1">
        <w:rPr>
          <w:rFonts w:ascii="Arial" w:hAnsi="Arial" w:cs="Arial"/>
          <w:b/>
          <w:sz w:val="18"/>
          <w:szCs w:val="18"/>
        </w:rPr>
        <w:t>Source:</w:t>
      </w:r>
      <w:r w:rsidRPr="00D113E1">
        <w:rPr>
          <w:rFonts w:ascii="Arial" w:hAnsi="Arial" w:cs="Arial"/>
          <w:sz w:val="18"/>
          <w:szCs w:val="18"/>
        </w:rPr>
        <w:t xml:space="preserve"> HHRSDP, </w:t>
      </w:r>
      <w:r>
        <w:rPr>
          <w:rFonts w:ascii="Arial" w:hAnsi="Arial" w:cs="Arial"/>
          <w:sz w:val="18"/>
          <w:szCs w:val="18"/>
        </w:rPr>
        <w:t>Procurement Unit</w:t>
      </w:r>
    </w:p>
    <w:p w:rsidR="00117998" w:rsidRDefault="00117998" w:rsidP="00701CBA">
      <w:pPr>
        <w:jc w:val="center"/>
        <w:rPr>
          <w:rFonts w:ascii="Arial" w:hAnsi="Arial" w:cs="Arial"/>
          <w:b/>
        </w:rPr>
      </w:pPr>
      <w:r w:rsidRPr="00E65146">
        <w:rPr>
          <w:rFonts w:ascii="Arial" w:hAnsi="Arial" w:cs="Arial"/>
          <w:b/>
        </w:rPr>
        <w:t>Table 8.2: Phase two equipment allocation for 9 HPTF</w:t>
      </w:r>
    </w:p>
    <w:p w:rsidR="00D113E1" w:rsidRPr="00E65146" w:rsidRDefault="00D113E1" w:rsidP="00701CBA">
      <w:pPr>
        <w:jc w:val="center"/>
        <w:rPr>
          <w:rFonts w:ascii="Arial" w:hAnsi="Arial" w:cs="Arial"/>
          <w:b/>
        </w:rPr>
      </w:pPr>
    </w:p>
    <w:tbl>
      <w:tblPr>
        <w:tblW w:w="13928" w:type="dxa"/>
        <w:tblInd w:w="93" w:type="dxa"/>
        <w:tblLook w:val="04A0" w:firstRow="1" w:lastRow="0" w:firstColumn="1" w:lastColumn="0" w:noHBand="0" w:noVBand="1"/>
      </w:tblPr>
      <w:tblGrid>
        <w:gridCol w:w="728"/>
        <w:gridCol w:w="3697"/>
        <w:gridCol w:w="819"/>
        <w:gridCol w:w="892"/>
        <w:gridCol w:w="819"/>
        <w:gridCol w:w="839"/>
        <w:gridCol w:w="819"/>
        <w:gridCol w:w="819"/>
        <w:gridCol w:w="819"/>
        <w:gridCol w:w="818"/>
        <w:gridCol w:w="892"/>
        <w:gridCol w:w="939"/>
        <w:gridCol w:w="1028"/>
      </w:tblGrid>
      <w:tr w:rsidR="00930E7D" w:rsidRPr="00E65146" w:rsidTr="00C522F2">
        <w:trPr>
          <w:trHeight w:val="795"/>
          <w:tblHeader/>
        </w:trPr>
        <w:tc>
          <w:tcPr>
            <w:tcW w:w="7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bookmarkStart w:id="108" w:name="RANGE!A1:M161"/>
            <w:r w:rsidRPr="001C6067">
              <w:rPr>
                <w:rFonts w:ascii="Arial" w:hAnsi="Arial" w:cs="Arial"/>
                <w:b/>
                <w:bCs/>
                <w:sz w:val="19"/>
                <w:szCs w:val="19"/>
              </w:rPr>
              <w:t>No.</w:t>
            </w:r>
            <w:bookmarkEnd w:id="108"/>
          </w:p>
        </w:tc>
        <w:tc>
          <w:tcPr>
            <w:tcW w:w="3697" w:type="dxa"/>
            <w:tcBorders>
              <w:top w:val="single" w:sz="4" w:space="0" w:color="auto"/>
              <w:left w:val="nil"/>
              <w:bottom w:val="single" w:sz="4" w:space="0" w:color="auto"/>
              <w:right w:val="single" w:sz="4" w:space="0" w:color="auto"/>
            </w:tcBorders>
            <w:shd w:val="clear" w:color="000000" w:fill="FFFFFF"/>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Lot description</w:t>
            </w:r>
          </w:p>
        </w:tc>
        <w:tc>
          <w:tcPr>
            <w:tcW w:w="819" w:type="dxa"/>
            <w:tcBorders>
              <w:top w:val="single" w:sz="4" w:space="0" w:color="auto"/>
              <w:left w:val="nil"/>
              <w:bottom w:val="single" w:sz="4" w:space="0" w:color="auto"/>
              <w:right w:val="single" w:sz="4" w:space="0" w:color="auto"/>
            </w:tcBorders>
            <w:shd w:val="clear" w:color="000000" w:fill="FFFFFF"/>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Nam Định</w:t>
            </w:r>
          </w:p>
        </w:tc>
        <w:tc>
          <w:tcPr>
            <w:tcW w:w="892" w:type="dxa"/>
            <w:tcBorders>
              <w:top w:val="single" w:sz="4" w:space="0" w:color="auto"/>
              <w:left w:val="nil"/>
              <w:bottom w:val="single" w:sz="4" w:space="0" w:color="auto"/>
              <w:right w:val="single" w:sz="4" w:space="0" w:color="auto"/>
            </w:tcBorders>
            <w:shd w:val="clear" w:color="000000" w:fill="FFFFFF"/>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Hai Dương</w:t>
            </w:r>
          </w:p>
        </w:tc>
        <w:tc>
          <w:tcPr>
            <w:tcW w:w="819" w:type="dxa"/>
            <w:tcBorders>
              <w:top w:val="single" w:sz="4" w:space="0" w:color="auto"/>
              <w:left w:val="nil"/>
              <w:bottom w:val="single" w:sz="4" w:space="0" w:color="auto"/>
              <w:right w:val="single" w:sz="4" w:space="0" w:color="auto"/>
            </w:tcBorders>
            <w:shd w:val="clear" w:color="000000" w:fill="FFFFFF"/>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Thai Binh</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Hai Phong</w:t>
            </w:r>
          </w:p>
        </w:tc>
        <w:tc>
          <w:tcPr>
            <w:tcW w:w="819" w:type="dxa"/>
            <w:tcBorders>
              <w:top w:val="single" w:sz="4" w:space="0" w:color="auto"/>
              <w:left w:val="nil"/>
              <w:bottom w:val="single" w:sz="4" w:space="0" w:color="auto"/>
              <w:right w:val="single" w:sz="4" w:space="0" w:color="auto"/>
            </w:tcBorders>
            <w:shd w:val="clear" w:color="000000" w:fill="FFFFFF"/>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Đa Nang</w:t>
            </w:r>
          </w:p>
        </w:tc>
        <w:tc>
          <w:tcPr>
            <w:tcW w:w="819" w:type="dxa"/>
            <w:tcBorders>
              <w:top w:val="single" w:sz="4" w:space="0" w:color="auto"/>
              <w:left w:val="nil"/>
              <w:bottom w:val="single" w:sz="4" w:space="0" w:color="auto"/>
              <w:right w:val="single" w:sz="4" w:space="0" w:color="auto"/>
            </w:tcBorders>
            <w:shd w:val="clear" w:color="000000" w:fill="FFFFFF"/>
            <w:vAlign w:val="center"/>
            <w:hideMark/>
          </w:tcPr>
          <w:p w:rsidR="00930E7D" w:rsidRPr="001C6067" w:rsidRDefault="00C05C3D" w:rsidP="00930E7D">
            <w:pPr>
              <w:jc w:val="center"/>
              <w:rPr>
                <w:rFonts w:ascii="Arial" w:hAnsi="Arial" w:cs="Arial"/>
                <w:b/>
                <w:bCs/>
                <w:sz w:val="19"/>
                <w:szCs w:val="19"/>
              </w:rPr>
            </w:pPr>
            <w:hyperlink r:id="rId16" w:history="1">
              <w:r w:rsidR="00930E7D" w:rsidRPr="001C6067">
                <w:rPr>
                  <w:rFonts w:ascii="Arial" w:hAnsi="Arial" w:cs="Arial"/>
                  <w:b/>
                  <w:bCs/>
                  <w:sz w:val="19"/>
                  <w:szCs w:val="19"/>
                </w:rPr>
                <w:t>Hồ Chí Minh</w:t>
              </w:r>
            </w:hyperlink>
          </w:p>
        </w:tc>
        <w:tc>
          <w:tcPr>
            <w:tcW w:w="819" w:type="dxa"/>
            <w:tcBorders>
              <w:top w:val="single" w:sz="4" w:space="0" w:color="auto"/>
              <w:left w:val="nil"/>
              <w:bottom w:val="single" w:sz="4" w:space="0" w:color="auto"/>
              <w:right w:val="single" w:sz="4" w:space="0" w:color="auto"/>
            </w:tcBorders>
            <w:shd w:val="clear" w:color="000000" w:fill="FFFFFF"/>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Cần Thơ</w:t>
            </w:r>
          </w:p>
        </w:tc>
        <w:tc>
          <w:tcPr>
            <w:tcW w:w="818" w:type="dxa"/>
            <w:tcBorders>
              <w:top w:val="single" w:sz="4" w:space="0" w:color="auto"/>
              <w:left w:val="nil"/>
              <w:bottom w:val="single" w:sz="4" w:space="0" w:color="auto"/>
              <w:right w:val="single" w:sz="4" w:space="0" w:color="auto"/>
            </w:tcBorders>
            <w:shd w:val="clear" w:color="000000" w:fill="FFFFFF"/>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Hà nội (Y)</w:t>
            </w:r>
          </w:p>
        </w:tc>
        <w:tc>
          <w:tcPr>
            <w:tcW w:w="892" w:type="dxa"/>
            <w:tcBorders>
              <w:top w:val="single" w:sz="4" w:space="0" w:color="auto"/>
              <w:left w:val="nil"/>
              <w:bottom w:val="single" w:sz="4" w:space="0" w:color="auto"/>
              <w:right w:val="single" w:sz="4" w:space="0" w:color="auto"/>
            </w:tcBorders>
            <w:shd w:val="clear" w:color="000000" w:fill="FFFFFF"/>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Hà nội (Dược)</w:t>
            </w:r>
          </w:p>
        </w:tc>
        <w:tc>
          <w:tcPr>
            <w:tcW w:w="939" w:type="dxa"/>
            <w:tcBorders>
              <w:top w:val="single" w:sz="4" w:space="0" w:color="auto"/>
              <w:left w:val="nil"/>
              <w:bottom w:val="nil"/>
              <w:right w:val="single" w:sz="4" w:space="0" w:color="auto"/>
            </w:tcBorders>
            <w:shd w:val="clear" w:color="000000" w:fill="FFFFFF"/>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Unit price</w:t>
            </w:r>
            <w:r w:rsidRPr="001C6067">
              <w:rPr>
                <w:rFonts w:ascii="Arial" w:hAnsi="Arial" w:cs="Arial"/>
                <w:b/>
                <w:bCs/>
                <w:sz w:val="19"/>
                <w:szCs w:val="19"/>
              </w:rPr>
              <w:br/>
              <w:t xml:space="preserve">(USD) </w:t>
            </w:r>
          </w:p>
        </w:tc>
        <w:tc>
          <w:tcPr>
            <w:tcW w:w="1028" w:type="dxa"/>
            <w:tcBorders>
              <w:top w:val="single" w:sz="4" w:space="0" w:color="auto"/>
              <w:left w:val="nil"/>
              <w:bottom w:val="nil"/>
              <w:right w:val="single" w:sz="4" w:space="0" w:color="auto"/>
            </w:tcBorders>
            <w:shd w:val="clear" w:color="000000" w:fill="FFFFFF"/>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Quantity</w:t>
            </w:r>
          </w:p>
        </w:tc>
      </w:tr>
      <w:tr w:rsidR="00930E7D" w:rsidRPr="00E65146" w:rsidTr="00C522F2">
        <w:trPr>
          <w:trHeight w:val="679"/>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EQ12</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b/>
                <w:bCs/>
                <w:sz w:val="19"/>
                <w:szCs w:val="19"/>
              </w:rPr>
            </w:pPr>
            <w:r w:rsidRPr="001C6067">
              <w:rPr>
                <w:rFonts w:ascii="Arial" w:hAnsi="Arial" w:cs="Arial"/>
                <w:b/>
                <w:bCs/>
                <w:sz w:val="19"/>
                <w:szCs w:val="19"/>
              </w:rPr>
              <w:t xml:space="preserve"> Pharmacology, Biophysics Practice Equipment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 </w:t>
            </w:r>
          </w:p>
        </w:tc>
        <w:tc>
          <w:tcPr>
            <w:tcW w:w="93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b/>
                <w:bCs/>
                <w:sz w:val="19"/>
                <w:szCs w:val="19"/>
              </w:rPr>
            </w:pPr>
            <w:r w:rsidRPr="001C6067">
              <w:rPr>
                <w:rFonts w:ascii="Arial" w:hAnsi="Arial" w:cs="Arial"/>
                <w:b/>
                <w:bCs/>
                <w:sz w:val="19"/>
                <w:szCs w:val="19"/>
              </w:rPr>
              <w:t> </w:t>
            </w:r>
          </w:p>
        </w:tc>
        <w:tc>
          <w:tcPr>
            <w:tcW w:w="1028"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 </w:t>
            </w:r>
          </w:p>
        </w:tc>
      </w:tr>
      <w:tr w:rsidR="00930E7D" w:rsidRPr="00E65146" w:rsidTr="00C522F2">
        <w:trPr>
          <w:trHeight w:val="405"/>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3697" w:type="dxa"/>
            <w:tcBorders>
              <w:top w:val="single" w:sz="4" w:space="0" w:color="auto"/>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Isometric Force Transducers</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3,500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05"/>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X-ray Test Unit</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05"/>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3</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Acoustic Doppler Shift Test Unit</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2</w:t>
            </w:r>
          </w:p>
        </w:tc>
      </w:tr>
      <w:tr w:rsidR="00930E7D" w:rsidRPr="00E65146" w:rsidTr="00C522F2">
        <w:trPr>
          <w:trHeight w:val="405"/>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4</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Eye testing Unit</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2</w:t>
            </w:r>
          </w:p>
        </w:tc>
      </w:tr>
      <w:tr w:rsidR="00930E7D" w:rsidRPr="00E65146" w:rsidTr="00C522F2">
        <w:trPr>
          <w:trHeight w:val="679"/>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5</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Audiometry Testing Unit</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05"/>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6</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Radioactivity Experiment Unit</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2</w:t>
            </w:r>
          </w:p>
        </w:tc>
      </w:tr>
      <w:tr w:rsidR="00930E7D" w:rsidRPr="00E65146" w:rsidTr="00C522F2">
        <w:trPr>
          <w:trHeight w:val="405"/>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7</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 xml:space="preserve">Ultrasonic wave absorption tester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2</w:t>
            </w:r>
          </w:p>
        </w:tc>
      </w:tr>
      <w:tr w:rsidR="00930E7D" w:rsidRPr="00E65146" w:rsidTr="00C522F2">
        <w:trPr>
          <w:trHeight w:val="51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8</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 xml:space="preserve">Multimedia Physiology Teaching system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2</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9</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 xml:space="preserve">Physiology and Pharmacology teaching, researching equipment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10</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Binocular Microscope</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2</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11</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 xml:space="preserve">Volumetric Karl Fischer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2</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12</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Automatic Titration</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3</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13</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 xml:space="preserve">Analgesia Meter with dragging needles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14</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Incapacitation Analgesia Meter IR-Halogen</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15</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Activity Cage</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3</w:t>
            </w:r>
          </w:p>
        </w:tc>
      </w:tr>
      <w:tr w:rsidR="00930E7D" w:rsidRPr="00E65146" w:rsidTr="00C522F2">
        <w:trPr>
          <w:trHeight w:val="405"/>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16</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Blood Pressure Monitor and ECG mice</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2</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17</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Tensiometer (surface tension)</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2</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18</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Analgesic meter on animal’s paw</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19</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UV-VIS Spectrophotometer</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20</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 xml:space="preserve">Spectrophotometer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2</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21</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Convulsion Meter</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589"/>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22</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Plethysmo meter on animal’s paw</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3</w:t>
            </w:r>
          </w:p>
        </w:tc>
      </w:tr>
      <w:tr w:rsidR="00930E7D" w:rsidRPr="00E65146" w:rsidTr="00C522F2">
        <w:trPr>
          <w:trHeight w:val="48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23</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Metabolism Recording Cage</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43,000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73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24</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Conditioned Stimulus Recording Cage</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4,500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3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25</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 xml:space="preserve">Benchtop Centrifuge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0</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18,500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2</w:t>
            </w:r>
          </w:p>
        </w:tc>
      </w:tr>
      <w:tr w:rsidR="00930E7D" w:rsidRPr="00E65146" w:rsidTr="00C522F2">
        <w:trPr>
          <w:trHeight w:val="42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26</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High Speed Refrigerator Centrifuge</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9,000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2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27</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 xml:space="preserve">UV-VIS Spectrophotometer dual Beam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14,000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2</w:t>
            </w:r>
          </w:p>
        </w:tc>
      </w:tr>
      <w:tr w:rsidR="00930E7D" w:rsidRPr="00E65146" w:rsidTr="00C522F2">
        <w:trPr>
          <w:trHeight w:val="42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28</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 xml:space="preserve">Digital Ovulation Thermometer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7,000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2</w:t>
            </w:r>
          </w:p>
        </w:tc>
      </w:tr>
      <w:tr w:rsidR="00930E7D" w:rsidRPr="00E65146" w:rsidTr="00C522F2">
        <w:trPr>
          <w:trHeight w:val="690"/>
        </w:trPr>
        <w:tc>
          <w:tcPr>
            <w:tcW w:w="7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29</w:t>
            </w:r>
          </w:p>
        </w:tc>
        <w:tc>
          <w:tcPr>
            <w:tcW w:w="3697" w:type="dxa"/>
            <w:tcBorders>
              <w:top w:val="single" w:sz="4" w:space="0" w:color="auto"/>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bookmarkStart w:id="109" w:name="RANGE!B31"/>
            <w:r w:rsidRPr="001C6067">
              <w:rPr>
                <w:rFonts w:ascii="Arial" w:hAnsi="Arial" w:cs="Arial"/>
                <w:sz w:val="19"/>
                <w:szCs w:val="19"/>
              </w:rPr>
              <w:t>Rota-Rod Treadmill for mouse</w:t>
            </w:r>
            <w:bookmarkEnd w:id="109"/>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8"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58,000</w:t>
            </w:r>
          </w:p>
        </w:tc>
        <w:tc>
          <w:tcPr>
            <w:tcW w:w="1028"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2</w:t>
            </w:r>
          </w:p>
        </w:tc>
      </w:tr>
      <w:tr w:rsidR="00930E7D" w:rsidRPr="00E65146" w:rsidTr="00C522F2">
        <w:trPr>
          <w:trHeight w:val="405"/>
        </w:trPr>
        <w:tc>
          <w:tcPr>
            <w:tcW w:w="7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EQ13</w:t>
            </w:r>
          </w:p>
        </w:tc>
        <w:tc>
          <w:tcPr>
            <w:tcW w:w="3697" w:type="dxa"/>
            <w:tcBorders>
              <w:top w:val="single" w:sz="4" w:space="0" w:color="auto"/>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b/>
                <w:bCs/>
                <w:sz w:val="19"/>
                <w:szCs w:val="19"/>
              </w:rPr>
            </w:pPr>
            <w:r w:rsidRPr="001C6067">
              <w:rPr>
                <w:rFonts w:ascii="Arial" w:hAnsi="Arial" w:cs="Arial"/>
                <w:b/>
                <w:bCs/>
                <w:sz w:val="19"/>
                <w:szCs w:val="19"/>
              </w:rPr>
              <w:t xml:space="preserve"> Pathology Practice Equipment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b/>
                <w:bCs/>
                <w:sz w:val="19"/>
                <w:szCs w:val="19"/>
              </w:rPr>
            </w:pPr>
            <w:r w:rsidRPr="001C6067">
              <w:rPr>
                <w:rFonts w:ascii="Arial" w:hAnsi="Arial" w:cs="Arial"/>
                <w:b/>
                <w:bCs/>
                <w:sz w:val="19"/>
                <w:szCs w:val="19"/>
              </w:rPr>
              <w:t> </w:t>
            </w:r>
          </w:p>
        </w:tc>
        <w:tc>
          <w:tcPr>
            <w:tcW w:w="1028"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 </w:t>
            </w:r>
          </w:p>
        </w:tc>
      </w:tr>
      <w:tr w:rsidR="00930E7D" w:rsidRPr="00E65146" w:rsidTr="00C522F2">
        <w:trPr>
          <w:trHeight w:val="469"/>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Slide warmer</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2,500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6</w:t>
            </w:r>
          </w:p>
        </w:tc>
      </w:tr>
      <w:tr w:rsidR="00930E7D" w:rsidRPr="00E65146" w:rsidTr="00C522F2">
        <w:trPr>
          <w:trHeight w:val="705"/>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Medical Sample Mix and Micro Test System with audio, video recorder (Grossing Table)</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5,000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67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3</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Medical Sample Mix and Micro Test system (Grossing Table)</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7,000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67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4</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Post mortuary instrument set (forensic medicine)</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2,500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2</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5</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Stained Specimens Drying Shelf</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10</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8,500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10</w:t>
            </w:r>
          </w:p>
        </w:tc>
      </w:tr>
      <w:tr w:rsidR="00930E7D" w:rsidRPr="00E65146" w:rsidTr="00C522F2">
        <w:trPr>
          <w:trHeight w:val="679"/>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6</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 xml:space="preserve">Microscope with Camera integrated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20,000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379"/>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7</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Paraffin Embedding System 2 blocks</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4,500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2</w:t>
            </w:r>
          </w:p>
        </w:tc>
      </w:tr>
      <w:tr w:rsidR="00930E7D" w:rsidRPr="00E65146" w:rsidTr="00C522F2">
        <w:trPr>
          <w:trHeight w:val="379"/>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8</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Paraffin Embedding System 4 blocks</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10,000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379"/>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9</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Specimen Storage System 2 blocks</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32,000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3</w:t>
            </w:r>
          </w:p>
        </w:tc>
      </w:tr>
      <w:tr w:rsidR="00930E7D" w:rsidRPr="00E65146" w:rsidTr="00C522F2">
        <w:trPr>
          <w:trHeight w:val="379"/>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10</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Specimen Storage System 4 blocks</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2,000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11</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Mobile Samples Fridge</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3,000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2</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12</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Specimens Box, upright type</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100</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3,000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100</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13</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Specimen Container (chest type)</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50</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2,000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50</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14</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 xml:space="preserve">Plastic  Specimen Folding Container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50</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50</w:t>
            </w:r>
          </w:p>
        </w:tc>
      </w:tr>
      <w:tr w:rsidR="00930E7D" w:rsidRPr="00E65146" w:rsidTr="00C522F2">
        <w:trPr>
          <w:trHeight w:val="48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15</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Microscope with Micromanipulation</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709"/>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16</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Microscope used in Otorhinolaryngology with Camera integrated in microscope</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17</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 xml:space="preserve">Binocular Microscope </w:t>
            </w:r>
            <w:r w:rsidRPr="00185E36">
              <w:rPr>
                <w:rFonts w:ascii="Arial" w:hAnsi="Arial" w:cs="Arial"/>
                <w:sz w:val="19"/>
                <w:szCs w:val="19"/>
              </w:rPr>
              <w:t>for research</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18</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 xml:space="preserve">Bone Sawing Machine with Vacuum Packager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19</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Hybridizer for Molecular Pathology (FISH/CISH)</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800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6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20</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Automatic Slide staining machine</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700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2</w:t>
            </w:r>
          </w:p>
        </w:tc>
      </w:tr>
      <w:tr w:rsidR="00930E7D" w:rsidRPr="00E65146" w:rsidTr="00C522F2">
        <w:trPr>
          <w:trHeight w:val="69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21</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Tissue Processor with Vacuum Packager</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1,200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22</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Paraffin embedding station</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500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2</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23</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Paraffin incubator  56° C</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3,000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24</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Bone processor for histology bank</w:t>
            </w:r>
          </w:p>
        </w:tc>
        <w:tc>
          <w:tcPr>
            <w:tcW w:w="819" w:type="dxa"/>
            <w:tcBorders>
              <w:top w:val="nil"/>
              <w:left w:val="nil"/>
              <w:bottom w:val="nil"/>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nil"/>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nil"/>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nil"/>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nil"/>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nil"/>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nil"/>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nil"/>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92" w:type="dxa"/>
            <w:tcBorders>
              <w:top w:val="nil"/>
              <w:left w:val="nil"/>
              <w:bottom w:val="nil"/>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nil"/>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1,200</w:t>
            </w:r>
          </w:p>
        </w:tc>
        <w:tc>
          <w:tcPr>
            <w:tcW w:w="1028" w:type="dxa"/>
            <w:tcBorders>
              <w:top w:val="nil"/>
              <w:left w:val="nil"/>
              <w:bottom w:val="nil"/>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645"/>
        </w:trPr>
        <w:tc>
          <w:tcPr>
            <w:tcW w:w="7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EQ14</w:t>
            </w:r>
          </w:p>
        </w:tc>
        <w:tc>
          <w:tcPr>
            <w:tcW w:w="3697" w:type="dxa"/>
            <w:tcBorders>
              <w:top w:val="nil"/>
              <w:left w:val="nil"/>
              <w:bottom w:val="nil"/>
              <w:right w:val="single" w:sz="4" w:space="0" w:color="auto"/>
            </w:tcBorders>
            <w:shd w:val="clear" w:color="000000" w:fill="FFFFFF"/>
            <w:vAlign w:val="center"/>
            <w:hideMark/>
          </w:tcPr>
          <w:p w:rsidR="00930E7D" w:rsidRPr="001C6067" w:rsidRDefault="00930E7D" w:rsidP="00930E7D">
            <w:pPr>
              <w:rPr>
                <w:rFonts w:ascii="Arial" w:hAnsi="Arial" w:cs="Arial"/>
                <w:b/>
                <w:bCs/>
                <w:sz w:val="19"/>
                <w:szCs w:val="19"/>
              </w:rPr>
            </w:pPr>
            <w:r w:rsidRPr="001C6067">
              <w:rPr>
                <w:rFonts w:ascii="Arial" w:hAnsi="Arial" w:cs="Arial"/>
                <w:b/>
                <w:bCs/>
                <w:sz w:val="19"/>
                <w:szCs w:val="19"/>
              </w:rPr>
              <w:t xml:space="preserve"> Odonto-Stomatology Practice Equipment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b/>
                <w:bCs/>
                <w:sz w:val="19"/>
                <w:szCs w:val="19"/>
              </w:rPr>
            </w:pPr>
            <w:r w:rsidRPr="001C6067">
              <w:rPr>
                <w:rFonts w:ascii="Arial" w:hAnsi="Arial" w:cs="Arial"/>
                <w:b/>
                <w:bCs/>
                <w:sz w:val="19"/>
                <w:szCs w:val="19"/>
              </w:rPr>
              <w:t> </w:t>
            </w:r>
          </w:p>
        </w:tc>
        <w:tc>
          <w:tcPr>
            <w:tcW w:w="1028"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 </w:t>
            </w:r>
          </w:p>
        </w:tc>
      </w:tr>
      <w:tr w:rsidR="00930E7D" w:rsidRPr="00E65146" w:rsidTr="00C522F2">
        <w:trPr>
          <w:trHeight w:val="69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3697" w:type="dxa"/>
            <w:tcBorders>
              <w:top w:val="single" w:sz="4" w:space="0" w:color="auto"/>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Dental unit</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15</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16,000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15</w:t>
            </w:r>
          </w:p>
        </w:tc>
      </w:tr>
      <w:tr w:rsidR="00930E7D" w:rsidRPr="00E65146" w:rsidTr="00C522F2">
        <w:trPr>
          <w:trHeight w:val="43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Digital Panoramic X-ray machine</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11,000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2</w:t>
            </w:r>
          </w:p>
        </w:tc>
      </w:tr>
      <w:tr w:rsidR="00930E7D" w:rsidRPr="00E65146" w:rsidTr="00C522F2">
        <w:trPr>
          <w:trHeight w:val="43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3</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Dental Vibrato</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5</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8,500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5</w:t>
            </w:r>
          </w:p>
        </w:tc>
      </w:tr>
      <w:tr w:rsidR="00930E7D" w:rsidRPr="00E65146" w:rsidTr="00C522F2">
        <w:trPr>
          <w:trHeight w:val="43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4</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Model trimmer</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4</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5,500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4</w:t>
            </w:r>
          </w:p>
        </w:tc>
      </w:tr>
      <w:tr w:rsidR="00930E7D" w:rsidRPr="00E65146" w:rsidTr="00C522F2">
        <w:trPr>
          <w:trHeight w:val="43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5</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 xml:space="preserve">Dental Air Compressor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3</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35,000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3</w:t>
            </w:r>
          </w:p>
        </w:tc>
      </w:tr>
      <w:tr w:rsidR="00930E7D" w:rsidRPr="00E65146" w:rsidTr="00C522F2">
        <w:trPr>
          <w:trHeight w:val="432"/>
        </w:trPr>
        <w:tc>
          <w:tcPr>
            <w:tcW w:w="7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6</w:t>
            </w:r>
          </w:p>
        </w:tc>
        <w:tc>
          <w:tcPr>
            <w:tcW w:w="3697" w:type="dxa"/>
            <w:tcBorders>
              <w:top w:val="single" w:sz="4" w:space="0" w:color="auto"/>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X-ray dental</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w:t>
            </w:r>
          </w:p>
        </w:tc>
        <w:tc>
          <w:tcPr>
            <w:tcW w:w="818"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2</w:t>
            </w:r>
          </w:p>
        </w:tc>
      </w:tr>
      <w:tr w:rsidR="00930E7D" w:rsidRPr="00E65146" w:rsidTr="00C522F2">
        <w:trPr>
          <w:trHeight w:val="780"/>
        </w:trPr>
        <w:tc>
          <w:tcPr>
            <w:tcW w:w="7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EQ15</w:t>
            </w:r>
          </w:p>
        </w:tc>
        <w:tc>
          <w:tcPr>
            <w:tcW w:w="3697" w:type="dxa"/>
            <w:tcBorders>
              <w:top w:val="single" w:sz="4" w:space="0" w:color="auto"/>
              <w:left w:val="nil"/>
              <w:bottom w:val="nil"/>
              <w:right w:val="single" w:sz="4" w:space="0" w:color="auto"/>
            </w:tcBorders>
            <w:shd w:val="clear" w:color="000000" w:fill="FFFFFF"/>
            <w:vAlign w:val="center"/>
            <w:hideMark/>
          </w:tcPr>
          <w:p w:rsidR="00930E7D" w:rsidRPr="001C6067" w:rsidRDefault="00930E7D" w:rsidP="00930E7D">
            <w:pPr>
              <w:rPr>
                <w:rFonts w:ascii="Arial" w:hAnsi="Arial" w:cs="Arial"/>
                <w:b/>
                <w:bCs/>
                <w:sz w:val="19"/>
                <w:szCs w:val="19"/>
              </w:rPr>
            </w:pPr>
            <w:r w:rsidRPr="001C6067">
              <w:rPr>
                <w:rFonts w:ascii="Arial" w:hAnsi="Arial" w:cs="Arial"/>
                <w:b/>
                <w:bCs/>
                <w:sz w:val="19"/>
                <w:szCs w:val="19"/>
              </w:rPr>
              <w:t xml:space="preserve"> Biochemistry, Immune Laboratory Equipment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b/>
                <w:bCs/>
                <w:sz w:val="19"/>
                <w:szCs w:val="19"/>
              </w:rPr>
            </w:pPr>
            <w:r w:rsidRPr="001C6067">
              <w:rPr>
                <w:rFonts w:ascii="Arial" w:hAnsi="Arial" w:cs="Arial"/>
                <w:b/>
                <w:bCs/>
                <w:sz w:val="19"/>
                <w:szCs w:val="19"/>
              </w:rPr>
              <w:t> </w:t>
            </w:r>
          </w:p>
        </w:tc>
        <w:tc>
          <w:tcPr>
            <w:tcW w:w="1028"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 </w:t>
            </w:r>
          </w:p>
        </w:tc>
      </w:tr>
      <w:tr w:rsidR="00930E7D" w:rsidRPr="00E65146" w:rsidTr="00C522F2">
        <w:trPr>
          <w:trHeight w:val="7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3697" w:type="dxa"/>
            <w:tcBorders>
              <w:top w:val="single" w:sz="4" w:space="0" w:color="auto"/>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Automatic biochemistry analyzer 300 test/ hour</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20,000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705"/>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Automatic Immune - Biochemical Analyzer 800/200 test/hour</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14,800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2</w:t>
            </w:r>
          </w:p>
        </w:tc>
      </w:tr>
      <w:tr w:rsidR="00930E7D" w:rsidRPr="00E65146" w:rsidTr="00C522F2">
        <w:trPr>
          <w:trHeight w:val="72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3</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Automatic immune assay analyzer 100 tests/hour</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nil"/>
              <w:right w:val="nil"/>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11,000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73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4</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Automatic Immune - Biochemical Analyzer 800/100 test/hour</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3,200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75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5</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Automatic immune assay analyzer 200 tests/hour</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9" w:type="dxa"/>
            <w:tcBorders>
              <w:top w:val="nil"/>
              <w:left w:val="nil"/>
              <w:bottom w:val="nil"/>
              <w:right w:val="nil"/>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8,000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540"/>
        </w:trPr>
        <w:tc>
          <w:tcPr>
            <w:tcW w:w="7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EQ16</w:t>
            </w:r>
          </w:p>
        </w:tc>
        <w:tc>
          <w:tcPr>
            <w:tcW w:w="3697" w:type="dxa"/>
            <w:tcBorders>
              <w:top w:val="single" w:sz="4" w:space="0" w:color="auto"/>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b/>
                <w:bCs/>
                <w:sz w:val="19"/>
                <w:szCs w:val="19"/>
              </w:rPr>
            </w:pPr>
            <w:r w:rsidRPr="001C6067">
              <w:rPr>
                <w:rFonts w:ascii="Arial" w:hAnsi="Arial" w:cs="Arial"/>
                <w:b/>
                <w:bCs/>
                <w:sz w:val="19"/>
                <w:szCs w:val="19"/>
              </w:rPr>
              <w:t xml:space="preserve"> Pharmacy Lab Equipment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b/>
                <w:bCs/>
                <w:sz w:val="19"/>
                <w:szCs w:val="19"/>
              </w:rPr>
            </w:pPr>
            <w:r w:rsidRPr="001C6067">
              <w:rPr>
                <w:rFonts w:ascii="Arial" w:hAnsi="Arial" w:cs="Arial"/>
                <w:b/>
                <w:bCs/>
                <w:sz w:val="19"/>
                <w:szCs w:val="19"/>
              </w:rPr>
              <w:t> </w:t>
            </w:r>
          </w:p>
        </w:tc>
        <w:tc>
          <w:tcPr>
            <w:tcW w:w="1028"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 </w:t>
            </w:r>
          </w:p>
        </w:tc>
      </w:tr>
      <w:tr w:rsidR="00930E7D" w:rsidRPr="00E65146" w:rsidTr="00C522F2">
        <w:trPr>
          <w:trHeight w:val="46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6 Position Solvent Extraction System</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350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2</w:t>
            </w:r>
          </w:p>
        </w:tc>
      </w:tr>
      <w:tr w:rsidR="00930E7D" w:rsidRPr="00E65146" w:rsidTr="00C522F2">
        <w:trPr>
          <w:trHeight w:val="46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Heating mantle 250 ml</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4</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700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4</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3</w:t>
            </w:r>
          </w:p>
        </w:tc>
        <w:tc>
          <w:tcPr>
            <w:tcW w:w="3697" w:type="dxa"/>
            <w:tcBorders>
              <w:top w:val="nil"/>
              <w:left w:val="nil"/>
              <w:bottom w:val="single" w:sz="4" w:space="0" w:color="auto"/>
              <w:right w:val="single" w:sz="4" w:space="0" w:color="auto"/>
            </w:tcBorders>
            <w:shd w:val="clear" w:color="000000" w:fill="FFFFFF"/>
            <w:hideMark/>
          </w:tcPr>
          <w:p w:rsidR="00930E7D" w:rsidRPr="001C6067" w:rsidRDefault="00930E7D" w:rsidP="00930E7D">
            <w:pPr>
              <w:rPr>
                <w:rFonts w:ascii="Arial" w:hAnsi="Arial" w:cs="Arial"/>
                <w:sz w:val="19"/>
                <w:szCs w:val="19"/>
              </w:rPr>
            </w:pPr>
            <w:r w:rsidRPr="001C6067">
              <w:rPr>
                <w:rFonts w:ascii="Arial" w:hAnsi="Arial" w:cs="Arial"/>
                <w:sz w:val="19"/>
                <w:szCs w:val="19"/>
              </w:rPr>
              <w:t>Heating mantle 50 ml</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4</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4,000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4</w:t>
            </w:r>
          </w:p>
        </w:tc>
      </w:tr>
      <w:tr w:rsidR="00930E7D" w:rsidRPr="00E65146" w:rsidTr="00C522F2">
        <w:trPr>
          <w:trHeight w:val="49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4</w:t>
            </w:r>
          </w:p>
        </w:tc>
        <w:tc>
          <w:tcPr>
            <w:tcW w:w="3697" w:type="dxa"/>
            <w:tcBorders>
              <w:top w:val="nil"/>
              <w:left w:val="nil"/>
              <w:bottom w:val="single" w:sz="4" w:space="0" w:color="auto"/>
              <w:right w:val="single" w:sz="4" w:space="0" w:color="auto"/>
            </w:tcBorders>
            <w:shd w:val="clear" w:color="000000" w:fill="FFFFFF"/>
            <w:hideMark/>
          </w:tcPr>
          <w:p w:rsidR="00930E7D" w:rsidRPr="001C6067" w:rsidRDefault="00930E7D" w:rsidP="00930E7D">
            <w:pPr>
              <w:rPr>
                <w:rFonts w:ascii="Arial" w:hAnsi="Arial" w:cs="Arial"/>
                <w:sz w:val="19"/>
                <w:szCs w:val="19"/>
              </w:rPr>
            </w:pPr>
            <w:r w:rsidRPr="001C6067">
              <w:rPr>
                <w:rFonts w:ascii="Arial" w:hAnsi="Arial" w:cs="Arial"/>
                <w:sz w:val="19"/>
                <w:szCs w:val="19"/>
              </w:rPr>
              <w:t>Heating mantle 500 ml</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4</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100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4</w:t>
            </w:r>
          </w:p>
        </w:tc>
      </w:tr>
      <w:tr w:rsidR="00930E7D" w:rsidRPr="00E65146" w:rsidTr="00C522F2">
        <w:trPr>
          <w:trHeight w:val="43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5</w:t>
            </w:r>
          </w:p>
        </w:tc>
        <w:tc>
          <w:tcPr>
            <w:tcW w:w="3697" w:type="dxa"/>
            <w:tcBorders>
              <w:top w:val="nil"/>
              <w:left w:val="nil"/>
              <w:bottom w:val="single" w:sz="4" w:space="0" w:color="auto"/>
              <w:right w:val="single" w:sz="4" w:space="0" w:color="auto"/>
            </w:tcBorders>
            <w:shd w:val="clear" w:color="000000" w:fill="FFFFFF"/>
            <w:hideMark/>
          </w:tcPr>
          <w:p w:rsidR="00930E7D" w:rsidRPr="001C6067" w:rsidRDefault="00930E7D" w:rsidP="00930E7D">
            <w:pPr>
              <w:rPr>
                <w:rFonts w:ascii="Arial" w:hAnsi="Arial" w:cs="Arial"/>
                <w:sz w:val="19"/>
                <w:szCs w:val="19"/>
              </w:rPr>
            </w:pPr>
            <w:r w:rsidRPr="001C6067">
              <w:rPr>
                <w:rFonts w:ascii="Arial" w:hAnsi="Arial" w:cs="Arial"/>
                <w:sz w:val="19"/>
                <w:szCs w:val="19"/>
              </w:rPr>
              <w:t>Automated sample handling system</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250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39"/>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6</w:t>
            </w:r>
          </w:p>
        </w:tc>
        <w:tc>
          <w:tcPr>
            <w:tcW w:w="3697" w:type="dxa"/>
            <w:tcBorders>
              <w:top w:val="nil"/>
              <w:left w:val="nil"/>
              <w:bottom w:val="single" w:sz="4" w:space="0" w:color="auto"/>
              <w:right w:val="single" w:sz="4" w:space="0" w:color="auto"/>
            </w:tcBorders>
            <w:shd w:val="clear" w:color="000000" w:fill="FFFFFF"/>
            <w:hideMark/>
          </w:tcPr>
          <w:p w:rsidR="00930E7D" w:rsidRPr="001C6067" w:rsidRDefault="00930E7D" w:rsidP="00930E7D">
            <w:pPr>
              <w:rPr>
                <w:rFonts w:ascii="Arial" w:hAnsi="Arial" w:cs="Arial"/>
                <w:sz w:val="19"/>
                <w:szCs w:val="19"/>
              </w:rPr>
            </w:pPr>
            <w:r w:rsidRPr="001C6067">
              <w:rPr>
                <w:rFonts w:ascii="Arial" w:hAnsi="Arial" w:cs="Arial"/>
                <w:sz w:val="19"/>
                <w:szCs w:val="19"/>
              </w:rPr>
              <w:t>Air Filter</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2,500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63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7</w:t>
            </w:r>
          </w:p>
        </w:tc>
        <w:tc>
          <w:tcPr>
            <w:tcW w:w="3697" w:type="dxa"/>
            <w:tcBorders>
              <w:top w:val="nil"/>
              <w:left w:val="nil"/>
              <w:bottom w:val="single" w:sz="4" w:space="0" w:color="auto"/>
              <w:right w:val="single" w:sz="4" w:space="0" w:color="auto"/>
            </w:tcBorders>
            <w:shd w:val="clear" w:color="000000" w:fill="FFFFFF"/>
            <w:hideMark/>
          </w:tcPr>
          <w:p w:rsidR="00930E7D" w:rsidRPr="001C6067" w:rsidRDefault="00930E7D" w:rsidP="00930E7D">
            <w:pPr>
              <w:rPr>
                <w:rFonts w:ascii="Arial" w:hAnsi="Arial" w:cs="Arial"/>
                <w:sz w:val="19"/>
                <w:szCs w:val="19"/>
              </w:rPr>
            </w:pPr>
            <w:r w:rsidRPr="001C6067">
              <w:rPr>
                <w:rFonts w:ascii="Arial" w:hAnsi="Arial" w:cs="Arial"/>
                <w:sz w:val="19"/>
                <w:szCs w:val="19"/>
              </w:rPr>
              <w:t>Integrated system of swaying mixer, granulator low capacity power</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1,200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8</w:t>
            </w:r>
          </w:p>
        </w:tc>
        <w:tc>
          <w:tcPr>
            <w:tcW w:w="3697" w:type="dxa"/>
            <w:tcBorders>
              <w:top w:val="nil"/>
              <w:left w:val="nil"/>
              <w:bottom w:val="single" w:sz="4" w:space="0" w:color="auto"/>
              <w:right w:val="single" w:sz="4" w:space="0" w:color="auto"/>
            </w:tcBorders>
            <w:shd w:val="clear" w:color="000000" w:fill="FFFFFF"/>
            <w:hideMark/>
          </w:tcPr>
          <w:p w:rsidR="00930E7D" w:rsidRPr="001C6067" w:rsidRDefault="00930E7D" w:rsidP="00930E7D">
            <w:pPr>
              <w:rPr>
                <w:rFonts w:ascii="Arial" w:hAnsi="Arial" w:cs="Arial"/>
                <w:sz w:val="19"/>
                <w:szCs w:val="19"/>
              </w:rPr>
            </w:pPr>
            <w:r w:rsidRPr="001C6067">
              <w:rPr>
                <w:rFonts w:ascii="Arial" w:hAnsi="Arial" w:cs="Arial"/>
                <w:sz w:val="19"/>
                <w:szCs w:val="19"/>
              </w:rPr>
              <w:t>Film coating machine</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400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9</w:t>
            </w:r>
          </w:p>
        </w:tc>
        <w:tc>
          <w:tcPr>
            <w:tcW w:w="3697" w:type="dxa"/>
            <w:tcBorders>
              <w:top w:val="nil"/>
              <w:left w:val="nil"/>
              <w:bottom w:val="single" w:sz="4" w:space="0" w:color="auto"/>
              <w:right w:val="single" w:sz="4" w:space="0" w:color="auto"/>
            </w:tcBorders>
            <w:shd w:val="clear" w:color="000000" w:fill="FFFFFF"/>
            <w:hideMark/>
          </w:tcPr>
          <w:p w:rsidR="00930E7D" w:rsidRPr="001C6067" w:rsidRDefault="00930E7D" w:rsidP="00930E7D">
            <w:pPr>
              <w:rPr>
                <w:rFonts w:ascii="Arial" w:hAnsi="Arial" w:cs="Arial"/>
                <w:sz w:val="19"/>
                <w:szCs w:val="19"/>
              </w:rPr>
            </w:pPr>
            <w:r w:rsidRPr="001C6067">
              <w:rPr>
                <w:rFonts w:ascii="Arial" w:hAnsi="Arial" w:cs="Arial"/>
                <w:sz w:val="19"/>
                <w:szCs w:val="19"/>
              </w:rPr>
              <w:t>Automatic Film Coating Machine</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1,200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10</w:t>
            </w:r>
          </w:p>
        </w:tc>
        <w:tc>
          <w:tcPr>
            <w:tcW w:w="3697" w:type="dxa"/>
            <w:tcBorders>
              <w:top w:val="nil"/>
              <w:left w:val="nil"/>
              <w:bottom w:val="single" w:sz="4" w:space="0" w:color="auto"/>
              <w:right w:val="single" w:sz="4" w:space="0" w:color="auto"/>
            </w:tcBorders>
            <w:shd w:val="clear" w:color="000000" w:fill="FFFFFF"/>
            <w:hideMark/>
          </w:tcPr>
          <w:p w:rsidR="00930E7D" w:rsidRPr="001C6067" w:rsidRDefault="00930E7D" w:rsidP="00930E7D">
            <w:pPr>
              <w:rPr>
                <w:rFonts w:ascii="Arial" w:hAnsi="Arial" w:cs="Arial"/>
                <w:sz w:val="19"/>
                <w:szCs w:val="19"/>
              </w:rPr>
            </w:pPr>
            <w:r w:rsidRPr="001C6067">
              <w:rPr>
                <w:rFonts w:ascii="Arial" w:hAnsi="Arial" w:cs="Arial"/>
                <w:sz w:val="19"/>
                <w:szCs w:val="19"/>
              </w:rPr>
              <w:t>Tablet press</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7,000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11</w:t>
            </w:r>
          </w:p>
        </w:tc>
        <w:tc>
          <w:tcPr>
            <w:tcW w:w="3697" w:type="dxa"/>
            <w:tcBorders>
              <w:top w:val="nil"/>
              <w:left w:val="nil"/>
              <w:bottom w:val="single" w:sz="4" w:space="0" w:color="auto"/>
              <w:right w:val="single" w:sz="4" w:space="0" w:color="auto"/>
            </w:tcBorders>
            <w:shd w:val="clear" w:color="000000" w:fill="FFFFFF"/>
            <w:hideMark/>
          </w:tcPr>
          <w:p w:rsidR="00930E7D" w:rsidRPr="001C6067" w:rsidRDefault="00930E7D" w:rsidP="00930E7D">
            <w:pPr>
              <w:rPr>
                <w:rFonts w:ascii="Arial" w:hAnsi="Arial" w:cs="Arial"/>
                <w:sz w:val="19"/>
                <w:szCs w:val="19"/>
              </w:rPr>
            </w:pPr>
            <w:r w:rsidRPr="001C6067">
              <w:rPr>
                <w:rFonts w:ascii="Arial" w:hAnsi="Arial" w:cs="Arial"/>
                <w:sz w:val="19"/>
                <w:szCs w:val="19"/>
              </w:rPr>
              <w:t>Herbal Pill Making Machine</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12</w:t>
            </w:r>
          </w:p>
        </w:tc>
        <w:tc>
          <w:tcPr>
            <w:tcW w:w="3697" w:type="dxa"/>
            <w:tcBorders>
              <w:top w:val="nil"/>
              <w:left w:val="nil"/>
              <w:bottom w:val="single" w:sz="4" w:space="0" w:color="auto"/>
              <w:right w:val="single" w:sz="4" w:space="0" w:color="auto"/>
            </w:tcBorders>
            <w:shd w:val="clear" w:color="000000" w:fill="FFFFFF"/>
            <w:hideMark/>
          </w:tcPr>
          <w:p w:rsidR="00930E7D" w:rsidRPr="001C6067" w:rsidRDefault="00930E7D" w:rsidP="00930E7D">
            <w:pPr>
              <w:rPr>
                <w:rFonts w:ascii="Arial" w:hAnsi="Arial" w:cs="Arial"/>
                <w:sz w:val="19"/>
                <w:szCs w:val="19"/>
              </w:rPr>
            </w:pPr>
            <w:r w:rsidRPr="001C6067">
              <w:rPr>
                <w:rFonts w:ascii="Arial" w:hAnsi="Arial" w:cs="Arial"/>
                <w:sz w:val="19"/>
                <w:szCs w:val="19"/>
              </w:rPr>
              <w:t>Tablet pressing machine, small size</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13</w:t>
            </w:r>
          </w:p>
        </w:tc>
        <w:tc>
          <w:tcPr>
            <w:tcW w:w="3697" w:type="dxa"/>
            <w:tcBorders>
              <w:top w:val="nil"/>
              <w:left w:val="nil"/>
              <w:bottom w:val="single" w:sz="4" w:space="0" w:color="auto"/>
              <w:right w:val="single" w:sz="4" w:space="0" w:color="auto"/>
            </w:tcBorders>
            <w:shd w:val="clear" w:color="000000" w:fill="FFFFFF"/>
            <w:hideMark/>
          </w:tcPr>
          <w:p w:rsidR="00930E7D" w:rsidRPr="001C6067" w:rsidRDefault="00930E7D" w:rsidP="00930E7D">
            <w:pPr>
              <w:rPr>
                <w:rFonts w:ascii="Arial" w:hAnsi="Arial" w:cs="Arial"/>
                <w:sz w:val="19"/>
                <w:szCs w:val="19"/>
              </w:rPr>
            </w:pPr>
            <w:r w:rsidRPr="001C6067">
              <w:rPr>
                <w:rFonts w:ascii="Arial" w:hAnsi="Arial" w:cs="Arial"/>
                <w:sz w:val="19"/>
                <w:szCs w:val="19"/>
              </w:rPr>
              <w:t>Reverse osmosis RO machine</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255"/>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14</w:t>
            </w:r>
          </w:p>
        </w:tc>
        <w:tc>
          <w:tcPr>
            <w:tcW w:w="3697" w:type="dxa"/>
            <w:tcBorders>
              <w:top w:val="nil"/>
              <w:left w:val="nil"/>
              <w:bottom w:val="single" w:sz="4" w:space="0" w:color="auto"/>
              <w:right w:val="single" w:sz="4" w:space="0" w:color="auto"/>
            </w:tcBorders>
            <w:shd w:val="clear" w:color="000000" w:fill="FFFFFF"/>
            <w:hideMark/>
          </w:tcPr>
          <w:p w:rsidR="00930E7D" w:rsidRPr="001C6067" w:rsidRDefault="00930E7D" w:rsidP="00930E7D">
            <w:pPr>
              <w:rPr>
                <w:rFonts w:ascii="Arial" w:hAnsi="Arial" w:cs="Arial"/>
                <w:sz w:val="19"/>
                <w:szCs w:val="19"/>
              </w:rPr>
            </w:pPr>
            <w:r w:rsidRPr="001C6067">
              <w:rPr>
                <w:rFonts w:ascii="Arial" w:hAnsi="Arial" w:cs="Arial"/>
                <w:sz w:val="19"/>
                <w:szCs w:val="19"/>
              </w:rPr>
              <w:t>Nano Homogenizer, 3 stators</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15</w:t>
            </w:r>
          </w:p>
        </w:tc>
        <w:tc>
          <w:tcPr>
            <w:tcW w:w="3697" w:type="dxa"/>
            <w:tcBorders>
              <w:top w:val="nil"/>
              <w:left w:val="nil"/>
              <w:bottom w:val="single" w:sz="4" w:space="0" w:color="auto"/>
              <w:right w:val="single" w:sz="4" w:space="0" w:color="auto"/>
            </w:tcBorders>
            <w:shd w:val="clear" w:color="000000" w:fill="FFFFFF"/>
            <w:hideMark/>
          </w:tcPr>
          <w:p w:rsidR="00930E7D" w:rsidRPr="001C6067" w:rsidRDefault="00930E7D" w:rsidP="00930E7D">
            <w:pPr>
              <w:rPr>
                <w:rFonts w:ascii="Arial" w:hAnsi="Arial" w:cs="Arial"/>
                <w:sz w:val="19"/>
                <w:szCs w:val="19"/>
              </w:rPr>
            </w:pPr>
            <w:r w:rsidRPr="001C6067">
              <w:rPr>
                <w:rFonts w:ascii="Arial" w:hAnsi="Arial" w:cs="Arial"/>
                <w:sz w:val="19"/>
                <w:szCs w:val="19"/>
              </w:rPr>
              <w:t>Powder packing machine</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16</w:t>
            </w:r>
          </w:p>
        </w:tc>
        <w:tc>
          <w:tcPr>
            <w:tcW w:w="3697" w:type="dxa"/>
            <w:tcBorders>
              <w:top w:val="nil"/>
              <w:left w:val="nil"/>
              <w:bottom w:val="single" w:sz="4" w:space="0" w:color="auto"/>
              <w:right w:val="single" w:sz="4" w:space="0" w:color="auto"/>
            </w:tcBorders>
            <w:shd w:val="clear" w:color="000000" w:fill="FFFFFF"/>
            <w:hideMark/>
          </w:tcPr>
          <w:p w:rsidR="00930E7D" w:rsidRPr="001C6067" w:rsidRDefault="00930E7D" w:rsidP="00930E7D">
            <w:pPr>
              <w:rPr>
                <w:rFonts w:ascii="Arial" w:hAnsi="Arial" w:cs="Arial"/>
                <w:sz w:val="19"/>
                <w:szCs w:val="19"/>
              </w:rPr>
            </w:pPr>
            <w:r w:rsidRPr="001C6067">
              <w:rPr>
                <w:rFonts w:ascii="Arial" w:hAnsi="Arial" w:cs="Arial"/>
                <w:sz w:val="19"/>
                <w:szCs w:val="19"/>
              </w:rPr>
              <w:t>Capsule filling machine</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17</w:t>
            </w:r>
          </w:p>
        </w:tc>
        <w:tc>
          <w:tcPr>
            <w:tcW w:w="3697" w:type="dxa"/>
            <w:tcBorders>
              <w:top w:val="nil"/>
              <w:left w:val="nil"/>
              <w:bottom w:val="single" w:sz="4" w:space="0" w:color="auto"/>
              <w:right w:val="single" w:sz="4" w:space="0" w:color="auto"/>
            </w:tcBorders>
            <w:shd w:val="clear" w:color="000000" w:fill="FFFFFF"/>
            <w:hideMark/>
          </w:tcPr>
          <w:p w:rsidR="00930E7D" w:rsidRPr="001C6067" w:rsidRDefault="00930E7D" w:rsidP="00930E7D">
            <w:pPr>
              <w:rPr>
                <w:rFonts w:ascii="Arial" w:hAnsi="Arial" w:cs="Arial"/>
                <w:sz w:val="19"/>
                <w:szCs w:val="19"/>
              </w:rPr>
            </w:pPr>
            <w:r w:rsidRPr="001C6067">
              <w:rPr>
                <w:rFonts w:ascii="Arial" w:hAnsi="Arial" w:cs="Arial"/>
                <w:sz w:val="19"/>
                <w:szCs w:val="19"/>
              </w:rPr>
              <w:t>Fraction collector</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18</w:t>
            </w:r>
          </w:p>
        </w:tc>
        <w:tc>
          <w:tcPr>
            <w:tcW w:w="3697" w:type="dxa"/>
            <w:tcBorders>
              <w:top w:val="nil"/>
              <w:left w:val="nil"/>
              <w:bottom w:val="single" w:sz="4" w:space="0" w:color="auto"/>
              <w:right w:val="single" w:sz="4" w:space="0" w:color="auto"/>
            </w:tcBorders>
            <w:shd w:val="clear" w:color="000000" w:fill="FFFFFF"/>
            <w:hideMark/>
          </w:tcPr>
          <w:p w:rsidR="00930E7D" w:rsidRPr="001C6067" w:rsidRDefault="00930E7D" w:rsidP="00930E7D">
            <w:pPr>
              <w:rPr>
                <w:rFonts w:ascii="Arial" w:hAnsi="Arial" w:cs="Arial"/>
                <w:sz w:val="19"/>
                <w:szCs w:val="19"/>
              </w:rPr>
            </w:pPr>
            <w:r w:rsidRPr="001C6067">
              <w:rPr>
                <w:rFonts w:ascii="Arial" w:hAnsi="Arial" w:cs="Arial"/>
                <w:sz w:val="19"/>
                <w:szCs w:val="19"/>
              </w:rPr>
              <w:t>Vacuum suction machine</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19</w:t>
            </w:r>
          </w:p>
        </w:tc>
        <w:tc>
          <w:tcPr>
            <w:tcW w:w="3697" w:type="dxa"/>
            <w:tcBorders>
              <w:top w:val="nil"/>
              <w:left w:val="nil"/>
              <w:bottom w:val="single" w:sz="4" w:space="0" w:color="auto"/>
              <w:right w:val="single" w:sz="4" w:space="0" w:color="auto"/>
            </w:tcBorders>
            <w:shd w:val="clear" w:color="000000" w:fill="FFFFFF"/>
            <w:hideMark/>
          </w:tcPr>
          <w:p w:rsidR="00930E7D" w:rsidRPr="001C6067" w:rsidRDefault="00930E7D" w:rsidP="00930E7D">
            <w:pPr>
              <w:rPr>
                <w:rFonts w:ascii="Arial" w:hAnsi="Arial" w:cs="Arial"/>
                <w:sz w:val="19"/>
                <w:szCs w:val="19"/>
              </w:rPr>
            </w:pPr>
            <w:r w:rsidRPr="001C6067">
              <w:rPr>
                <w:rFonts w:ascii="Arial" w:hAnsi="Arial" w:cs="Arial"/>
                <w:sz w:val="19"/>
                <w:szCs w:val="19"/>
              </w:rPr>
              <w:t>Antimicrobial and Sterilizing Equipment</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20</w:t>
            </w:r>
          </w:p>
        </w:tc>
        <w:tc>
          <w:tcPr>
            <w:tcW w:w="3697" w:type="dxa"/>
            <w:tcBorders>
              <w:top w:val="nil"/>
              <w:left w:val="nil"/>
              <w:bottom w:val="single" w:sz="4" w:space="0" w:color="auto"/>
              <w:right w:val="single" w:sz="4" w:space="0" w:color="auto"/>
            </w:tcBorders>
            <w:shd w:val="clear" w:color="000000" w:fill="FFFFFF"/>
            <w:hideMark/>
          </w:tcPr>
          <w:p w:rsidR="00930E7D" w:rsidRPr="001C6067" w:rsidRDefault="00930E7D" w:rsidP="00930E7D">
            <w:pPr>
              <w:rPr>
                <w:rFonts w:ascii="Arial" w:hAnsi="Arial" w:cs="Arial"/>
                <w:sz w:val="19"/>
                <w:szCs w:val="19"/>
              </w:rPr>
            </w:pPr>
            <w:r w:rsidRPr="001C6067">
              <w:rPr>
                <w:rFonts w:ascii="Arial" w:hAnsi="Arial" w:cs="Arial"/>
                <w:sz w:val="19"/>
                <w:szCs w:val="19"/>
              </w:rPr>
              <w:t>High speed stirrers</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21</w:t>
            </w:r>
          </w:p>
        </w:tc>
        <w:tc>
          <w:tcPr>
            <w:tcW w:w="3697" w:type="dxa"/>
            <w:tcBorders>
              <w:top w:val="nil"/>
              <w:left w:val="nil"/>
              <w:bottom w:val="single" w:sz="4" w:space="0" w:color="auto"/>
              <w:right w:val="single" w:sz="4" w:space="0" w:color="auto"/>
            </w:tcBorders>
            <w:shd w:val="clear" w:color="000000" w:fill="FFFFFF"/>
            <w:hideMark/>
          </w:tcPr>
          <w:p w:rsidR="00930E7D" w:rsidRPr="001C6067" w:rsidRDefault="00930E7D" w:rsidP="00930E7D">
            <w:pPr>
              <w:rPr>
                <w:rFonts w:ascii="Arial" w:hAnsi="Arial" w:cs="Arial"/>
                <w:sz w:val="19"/>
                <w:szCs w:val="19"/>
              </w:rPr>
            </w:pPr>
            <w:r w:rsidRPr="001C6067">
              <w:rPr>
                <w:rFonts w:ascii="Arial" w:hAnsi="Arial" w:cs="Arial"/>
                <w:sz w:val="19"/>
                <w:szCs w:val="19"/>
              </w:rPr>
              <w:t>Laser particle size analyzer</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2</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22</w:t>
            </w:r>
          </w:p>
        </w:tc>
        <w:tc>
          <w:tcPr>
            <w:tcW w:w="3697" w:type="dxa"/>
            <w:tcBorders>
              <w:top w:val="nil"/>
              <w:left w:val="nil"/>
              <w:bottom w:val="single" w:sz="4" w:space="0" w:color="auto"/>
              <w:right w:val="single" w:sz="4" w:space="0" w:color="auto"/>
            </w:tcBorders>
            <w:shd w:val="clear" w:color="000000" w:fill="FFFFFF"/>
            <w:hideMark/>
          </w:tcPr>
          <w:p w:rsidR="00930E7D" w:rsidRPr="001C6067" w:rsidRDefault="00930E7D" w:rsidP="00930E7D">
            <w:pPr>
              <w:rPr>
                <w:rFonts w:ascii="Arial" w:hAnsi="Arial" w:cs="Arial"/>
                <w:sz w:val="19"/>
                <w:szCs w:val="19"/>
              </w:rPr>
            </w:pPr>
            <w:r w:rsidRPr="001C6067">
              <w:rPr>
                <w:rFonts w:ascii="Arial" w:hAnsi="Arial" w:cs="Arial"/>
                <w:sz w:val="19"/>
                <w:szCs w:val="19"/>
              </w:rPr>
              <w:t>Fluid bed and coating machine</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23</w:t>
            </w:r>
          </w:p>
        </w:tc>
        <w:tc>
          <w:tcPr>
            <w:tcW w:w="3697" w:type="dxa"/>
            <w:tcBorders>
              <w:top w:val="nil"/>
              <w:left w:val="nil"/>
              <w:bottom w:val="single" w:sz="4" w:space="0" w:color="auto"/>
              <w:right w:val="single" w:sz="4" w:space="0" w:color="auto"/>
            </w:tcBorders>
            <w:shd w:val="clear" w:color="000000" w:fill="FFFFFF"/>
            <w:hideMark/>
          </w:tcPr>
          <w:p w:rsidR="00930E7D" w:rsidRPr="001C6067" w:rsidRDefault="00930E7D" w:rsidP="00930E7D">
            <w:pPr>
              <w:rPr>
                <w:rFonts w:ascii="Arial" w:hAnsi="Arial" w:cs="Arial"/>
                <w:sz w:val="19"/>
                <w:szCs w:val="19"/>
              </w:rPr>
            </w:pPr>
            <w:r w:rsidRPr="001C6067">
              <w:rPr>
                <w:rFonts w:ascii="Arial" w:hAnsi="Arial" w:cs="Arial"/>
                <w:sz w:val="19"/>
                <w:szCs w:val="19"/>
              </w:rPr>
              <w:t>Soft capsule moulding machine</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24</w:t>
            </w:r>
          </w:p>
        </w:tc>
        <w:tc>
          <w:tcPr>
            <w:tcW w:w="3697" w:type="dxa"/>
            <w:tcBorders>
              <w:top w:val="nil"/>
              <w:left w:val="nil"/>
              <w:bottom w:val="single" w:sz="4" w:space="0" w:color="auto"/>
              <w:right w:val="single" w:sz="4" w:space="0" w:color="auto"/>
            </w:tcBorders>
            <w:shd w:val="clear" w:color="000000" w:fill="FFFFFF"/>
            <w:hideMark/>
          </w:tcPr>
          <w:p w:rsidR="00930E7D" w:rsidRPr="001C6067" w:rsidRDefault="00930E7D" w:rsidP="00930E7D">
            <w:pPr>
              <w:rPr>
                <w:rFonts w:ascii="Arial" w:hAnsi="Arial" w:cs="Arial"/>
                <w:sz w:val="19"/>
                <w:szCs w:val="19"/>
              </w:rPr>
            </w:pPr>
            <w:r w:rsidRPr="001C6067">
              <w:rPr>
                <w:rFonts w:ascii="Arial" w:hAnsi="Arial" w:cs="Arial"/>
                <w:sz w:val="19"/>
                <w:szCs w:val="19"/>
              </w:rPr>
              <w:t>Dissolution test apparatus</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25</w:t>
            </w:r>
          </w:p>
        </w:tc>
        <w:tc>
          <w:tcPr>
            <w:tcW w:w="3697" w:type="dxa"/>
            <w:tcBorders>
              <w:top w:val="nil"/>
              <w:left w:val="nil"/>
              <w:bottom w:val="single" w:sz="4" w:space="0" w:color="auto"/>
              <w:right w:val="single" w:sz="4" w:space="0" w:color="auto"/>
            </w:tcBorders>
            <w:shd w:val="clear" w:color="000000" w:fill="FFFFFF"/>
            <w:hideMark/>
          </w:tcPr>
          <w:p w:rsidR="00930E7D" w:rsidRPr="001C6067" w:rsidRDefault="00930E7D" w:rsidP="00930E7D">
            <w:pPr>
              <w:rPr>
                <w:rFonts w:ascii="Arial" w:hAnsi="Arial" w:cs="Arial"/>
                <w:sz w:val="19"/>
                <w:szCs w:val="19"/>
              </w:rPr>
            </w:pPr>
            <w:r w:rsidRPr="001C6067">
              <w:rPr>
                <w:rFonts w:ascii="Arial" w:hAnsi="Arial" w:cs="Arial"/>
                <w:sz w:val="19"/>
                <w:szCs w:val="19"/>
              </w:rPr>
              <w:t>Efficient Wet Mix and Granulator</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2</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26</w:t>
            </w:r>
          </w:p>
        </w:tc>
        <w:tc>
          <w:tcPr>
            <w:tcW w:w="3697" w:type="dxa"/>
            <w:tcBorders>
              <w:top w:val="nil"/>
              <w:left w:val="nil"/>
              <w:bottom w:val="single" w:sz="4" w:space="0" w:color="auto"/>
              <w:right w:val="single" w:sz="4" w:space="0" w:color="auto"/>
            </w:tcBorders>
            <w:shd w:val="clear" w:color="000000" w:fill="FFFFFF"/>
            <w:hideMark/>
          </w:tcPr>
          <w:p w:rsidR="00930E7D" w:rsidRPr="001C6067" w:rsidRDefault="00930E7D" w:rsidP="00930E7D">
            <w:pPr>
              <w:rPr>
                <w:rFonts w:ascii="Arial" w:hAnsi="Arial" w:cs="Arial"/>
                <w:sz w:val="19"/>
                <w:szCs w:val="19"/>
              </w:rPr>
            </w:pPr>
            <w:r w:rsidRPr="001C6067">
              <w:rPr>
                <w:rFonts w:ascii="Arial" w:hAnsi="Arial" w:cs="Arial"/>
                <w:sz w:val="19"/>
                <w:szCs w:val="19"/>
              </w:rPr>
              <w:t>Coloid Mill</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27</w:t>
            </w:r>
          </w:p>
        </w:tc>
        <w:tc>
          <w:tcPr>
            <w:tcW w:w="3697" w:type="dxa"/>
            <w:tcBorders>
              <w:top w:val="nil"/>
              <w:left w:val="nil"/>
              <w:bottom w:val="single" w:sz="4" w:space="0" w:color="auto"/>
              <w:right w:val="single" w:sz="4" w:space="0" w:color="auto"/>
            </w:tcBorders>
            <w:shd w:val="clear" w:color="000000" w:fill="FFFFFF"/>
            <w:hideMark/>
          </w:tcPr>
          <w:p w:rsidR="00930E7D" w:rsidRPr="001C6067" w:rsidRDefault="00930E7D" w:rsidP="00930E7D">
            <w:pPr>
              <w:rPr>
                <w:rFonts w:ascii="Arial" w:hAnsi="Arial" w:cs="Arial"/>
                <w:sz w:val="19"/>
                <w:szCs w:val="19"/>
              </w:rPr>
            </w:pPr>
            <w:r w:rsidRPr="001C6067">
              <w:rPr>
                <w:rFonts w:ascii="Arial" w:hAnsi="Arial" w:cs="Arial"/>
                <w:sz w:val="19"/>
                <w:szCs w:val="19"/>
              </w:rPr>
              <w:t>Fermentation Equipment</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8,000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28</w:t>
            </w:r>
          </w:p>
        </w:tc>
        <w:tc>
          <w:tcPr>
            <w:tcW w:w="3697" w:type="dxa"/>
            <w:tcBorders>
              <w:top w:val="nil"/>
              <w:left w:val="nil"/>
              <w:bottom w:val="single" w:sz="4" w:space="0" w:color="auto"/>
              <w:right w:val="single" w:sz="4" w:space="0" w:color="auto"/>
            </w:tcBorders>
            <w:shd w:val="clear" w:color="000000" w:fill="FFFFFF"/>
            <w:hideMark/>
          </w:tcPr>
          <w:p w:rsidR="00930E7D" w:rsidRPr="001C6067" w:rsidRDefault="00930E7D" w:rsidP="00930E7D">
            <w:pPr>
              <w:rPr>
                <w:rFonts w:ascii="Arial" w:hAnsi="Arial" w:cs="Arial"/>
                <w:sz w:val="19"/>
                <w:szCs w:val="19"/>
              </w:rPr>
            </w:pPr>
            <w:r w:rsidRPr="001C6067">
              <w:rPr>
                <w:rFonts w:ascii="Arial" w:hAnsi="Arial" w:cs="Arial"/>
                <w:sz w:val="19"/>
                <w:szCs w:val="19"/>
              </w:rPr>
              <w:t>Punch tablet press</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2,000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29</w:t>
            </w:r>
          </w:p>
        </w:tc>
        <w:tc>
          <w:tcPr>
            <w:tcW w:w="3697" w:type="dxa"/>
            <w:tcBorders>
              <w:top w:val="nil"/>
              <w:left w:val="nil"/>
              <w:bottom w:val="single" w:sz="4" w:space="0" w:color="auto"/>
              <w:right w:val="single" w:sz="4" w:space="0" w:color="auto"/>
            </w:tcBorders>
            <w:shd w:val="clear" w:color="000000" w:fill="FFFFFF"/>
            <w:hideMark/>
          </w:tcPr>
          <w:p w:rsidR="00930E7D" w:rsidRPr="001C6067" w:rsidRDefault="00930E7D" w:rsidP="00930E7D">
            <w:pPr>
              <w:rPr>
                <w:rFonts w:ascii="Arial" w:hAnsi="Arial" w:cs="Arial"/>
                <w:sz w:val="19"/>
                <w:szCs w:val="19"/>
              </w:rPr>
            </w:pPr>
            <w:r w:rsidRPr="001C6067">
              <w:rPr>
                <w:rFonts w:ascii="Arial" w:hAnsi="Arial" w:cs="Arial"/>
                <w:sz w:val="19"/>
                <w:szCs w:val="19"/>
              </w:rPr>
              <w:t>BET absorption meter</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2,500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30</w:t>
            </w:r>
          </w:p>
        </w:tc>
        <w:tc>
          <w:tcPr>
            <w:tcW w:w="3697" w:type="dxa"/>
            <w:tcBorders>
              <w:top w:val="nil"/>
              <w:left w:val="nil"/>
              <w:bottom w:val="single" w:sz="4" w:space="0" w:color="auto"/>
              <w:right w:val="single" w:sz="4" w:space="0" w:color="auto"/>
            </w:tcBorders>
            <w:shd w:val="clear" w:color="000000" w:fill="FFFFFF"/>
            <w:hideMark/>
          </w:tcPr>
          <w:p w:rsidR="00930E7D" w:rsidRPr="001C6067" w:rsidRDefault="00930E7D" w:rsidP="00930E7D">
            <w:pPr>
              <w:rPr>
                <w:rFonts w:ascii="Arial" w:hAnsi="Arial" w:cs="Arial"/>
                <w:sz w:val="19"/>
                <w:szCs w:val="19"/>
              </w:rPr>
            </w:pPr>
            <w:r w:rsidRPr="001C6067">
              <w:rPr>
                <w:rFonts w:ascii="Arial" w:hAnsi="Arial" w:cs="Arial"/>
                <w:sz w:val="19"/>
                <w:szCs w:val="19"/>
              </w:rPr>
              <w:t>Dielectric constant meter</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300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31</w:t>
            </w:r>
          </w:p>
        </w:tc>
        <w:tc>
          <w:tcPr>
            <w:tcW w:w="3697" w:type="dxa"/>
            <w:tcBorders>
              <w:top w:val="nil"/>
              <w:left w:val="nil"/>
              <w:bottom w:val="single" w:sz="4" w:space="0" w:color="auto"/>
              <w:right w:val="single" w:sz="4" w:space="0" w:color="auto"/>
            </w:tcBorders>
            <w:shd w:val="clear" w:color="000000" w:fill="FFFFFF"/>
            <w:hideMark/>
          </w:tcPr>
          <w:p w:rsidR="00930E7D" w:rsidRPr="001C6067" w:rsidRDefault="00930E7D" w:rsidP="00930E7D">
            <w:pPr>
              <w:rPr>
                <w:rFonts w:ascii="Arial" w:hAnsi="Arial" w:cs="Arial"/>
                <w:sz w:val="19"/>
                <w:szCs w:val="19"/>
              </w:rPr>
            </w:pPr>
            <w:r w:rsidRPr="001C6067">
              <w:rPr>
                <w:rFonts w:ascii="Arial" w:hAnsi="Arial" w:cs="Arial"/>
                <w:sz w:val="19"/>
                <w:szCs w:val="19"/>
              </w:rPr>
              <w:t>Rheometer</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1,100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32</w:t>
            </w:r>
          </w:p>
        </w:tc>
        <w:tc>
          <w:tcPr>
            <w:tcW w:w="3697" w:type="dxa"/>
            <w:tcBorders>
              <w:top w:val="nil"/>
              <w:left w:val="nil"/>
              <w:bottom w:val="single" w:sz="4" w:space="0" w:color="auto"/>
              <w:right w:val="single" w:sz="4" w:space="0" w:color="auto"/>
            </w:tcBorders>
            <w:shd w:val="clear" w:color="000000" w:fill="FFFFFF"/>
            <w:hideMark/>
          </w:tcPr>
          <w:p w:rsidR="00930E7D" w:rsidRPr="001C6067" w:rsidRDefault="00930E7D" w:rsidP="00930E7D">
            <w:pPr>
              <w:rPr>
                <w:rFonts w:ascii="Arial" w:hAnsi="Arial" w:cs="Arial"/>
                <w:sz w:val="19"/>
                <w:szCs w:val="19"/>
              </w:rPr>
            </w:pPr>
            <w:r w:rsidRPr="001C6067">
              <w:rPr>
                <w:rFonts w:ascii="Arial" w:hAnsi="Arial" w:cs="Arial"/>
                <w:sz w:val="19"/>
                <w:szCs w:val="19"/>
              </w:rPr>
              <w:t>High pressure homogenizing</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800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33</w:t>
            </w:r>
          </w:p>
        </w:tc>
        <w:tc>
          <w:tcPr>
            <w:tcW w:w="3697" w:type="dxa"/>
            <w:tcBorders>
              <w:top w:val="nil"/>
              <w:left w:val="nil"/>
              <w:bottom w:val="single" w:sz="4" w:space="0" w:color="auto"/>
              <w:right w:val="single" w:sz="4" w:space="0" w:color="auto"/>
            </w:tcBorders>
            <w:shd w:val="clear" w:color="000000" w:fill="FFFFFF"/>
            <w:hideMark/>
          </w:tcPr>
          <w:p w:rsidR="00930E7D" w:rsidRPr="001C6067" w:rsidRDefault="00930E7D" w:rsidP="00930E7D">
            <w:pPr>
              <w:rPr>
                <w:rFonts w:ascii="Arial" w:hAnsi="Arial" w:cs="Arial"/>
                <w:sz w:val="19"/>
                <w:szCs w:val="19"/>
              </w:rPr>
            </w:pPr>
            <w:r w:rsidRPr="001C6067">
              <w:rPr>
                <w:rFonts w:ascii="Arial" w:hAnsi="Arial" w:cs="Arial"/>
                <w:sz w:val="19"/>
                <w:szCs w:val="19"/>
              </w:rPr>
              <w:t>Fluid bed granulator/ coater</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120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34</w:t>
            </w:r>
          </w:p>
        </w:tc>
        <w:tc>
          <w:tcPr>
            <w:tcW w:w="3697" w:type="dxa"/>
            <w:tcBorders>
              <w:top w:val="nil"/>
              <w:left w:val="nil"/>
              <w:bottom w:val="nil"/>
              <w:right w:val="single" w:sz="4" w:space="0" w:color="auto"/>
            </w:tcBorders>
            <w:shd w:val="clear" w:color="000000" w:fill="FFFFFF"/>
            <w:hideMark/>
          </w:tcPr>
          <w:p w:rsidR="00930E7D" w:rsidRPr="001C6067" w:rsidRDefault="00930E7D" w:rsidP="00930E7D">
            <w:pPr>
              <w:rPr>
                <w:rFonts w:ascii="Arial" w:hAnsi="Arial" w:cs="Arial"/>
                <w:sz w:val="19"/>
                <w:szCs w:val="19"/>
              </w:rPr>
            </w:pPr>
            <w:r w:rsidRPr="001C6067">
              <w:rPr>
                <w:rFonts w:ascii="Arial" w:hAnsi="Arial" w:cs="Arial"/>
                <w:sz w:val="19"/>
                <w:szCs w:val="19"/>
              </w:rPr>
              <w:t>Incubator</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4,500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510"/>
        </w:trPr>
        <w:tc>
          <w:tcPr>
            <w:tcW w:w="7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EQ17</w:t>
            </w:r>
          </w:p>
        </w:tc>
        <w:tc>
          <w:tcPr>
            <w:tcW w:w="3697" w:type="dxa"/>
            <w:tcBorders>
              <w:top w:val="single" w:sz="4" w:space="0" w:color="auto"/>
              <w:left w:val="nil"/>
              <w:bottom w:val="single" w:sz="4" w:space="0" w:color="auto"/>
              <w:right w:val="single" w:sz="4" w:space="0" w:color="auto"/>
            </w:tcBorders>
            <w:shd w:val="clear" w:color="000000" w:fill="FFFFFF"/>
            <w:vAlign w:val="center"/>
            <w:hideMark/>
          </w:tcPr>
          <w:p w:rsidR="00930E7D" w:rsidRPr="001C6067" w:rsidRDefault="00930E7D" w:rsidP="00930E7D">
            <w:pPr>
              <w:jc w:val="both"/>
              <w:rPr>
                <w:rFonts w:ascii="Arial" w:hAnsi="Arial" w:cs="Arial"/>
                <w:b/>
                <w:bCs/>
                <w:sz w:val="19"/>
                <w:szCs w:val="19"/>
              </w:rPr>
            </w:pPr>
            <w:r w:rsidRPr="001C6067">
              <w:rPr>
                <w:rFonts w:ascii="Arial" w:hAnsi="Arial" w:cs="Arial"/>
                <w:b/>
                <w:bCs/>
                <w:sz w:val="19"/>
                <w:szCs w:val="19"/>
              </w:rPr>
              <w:t xml:space="preserve">Genetics and Histology Laboratory Equipment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b/>
                <w:bCs/>
                <w:sz w:val="19"/>
                <w:szCs w:val="19"/>
              </w:rPr>
            </w:pPr>
            <w:r w:rsidRPr="001C6067">
              <w:rPr>
                <w:rFonts w:ascii="Arial" w:hAnsi="Arial" w:cs="Arial"/>
                <w:b/>
                <w:bCs/>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 </w:t>
            </w:r>
          </w:p>
        </w:tc>
      </w:tr>
      <w:tr w:rsidR="00930E7D" w:rsidRPr="00E65146" w:rsidTr="00C522F2">
        <w:trPr>
          <w:trHeight w:val="73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Nitrogen Liquid Container with accessories</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600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2</w:t>
            </w:r>
          </w:p>
        </w:tc>
      </w:tr>
      <w:tr w:rsidR="00930E7D" w:rsidRPr="00E65146" w:rsidTr="00C522F2">
        <w:trPr>
          <w:trHeight w:val="49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Thermo forma freezer</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9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3</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Vertical Electrophoresis System (mini)</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72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4</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Horizontal Electrophoresis System (maxi) and Power</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73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5</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Horizontal Electrophoresis System (mini)</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2</w:t>
            </w:r>
          </w:p>
        </w:tc>
      </w:tr>
      <w:tr w:rsidR="00930E7D" w:rsidRPr="00E65146" w:rsidTr="00C522F2">
        <w:trPr>
          <w:trHeight w:val="49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6</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Sperm Counting chamber</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9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7</w:t>
            </w:r>
          </w:p>
        </w:tc>
        <w:tc>
          <w:tcPr>
            <w:tcW w:w="3697" w:type="dxa"/>
            <w:tcBorders>
              <w:top w:val="single" w:sz="4" w:space="0" w:color="auto"/>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DNA Sequencing</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2</w:t>
            </w:r>
          </w:p>
        </w:tc>
      </w:tr>
      <w:tr w:rsidR="00930E7D" w:rsidRPr="00E65146" w:rsidTr="00C522F2">
        <w:trPr>
          <w:trHeight w:val="49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8</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Hybridization oven</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9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9</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Automated Blood Culture System</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9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10</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Electroporation System + curvet</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9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11</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Horizontal Shakers</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9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12</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Clean air filter</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2</w:t>
            </w:r>
          </w:p>
        </w:tc>
      </w:tr>
      <w:tr w:rsidR="00930E7D" w:rsidRPr="00E65146" w:rsidTr="00C522F2">
        <w:trPr>
          <w:trHeight w:val="49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13</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Sperm analyzer</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9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14</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Ovule injection</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9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15</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8 doors CO</w:t>
            </w:r>
            <w:r w:rsidRPr="001C6067">
              <w:rPr>
                <w:rFonts w:ascii="Arial" w:hAnsi="Arial" w:cs="Arial"/>
                <w:sz w:val="19"/>
                <w:szCs w:val="19"/>
                <w:vertAlign w:val="subscript"/>
              </w:rPr>
              <w:t>2</w:t>
            </w:r>
            <w:r w:rsidRPr="001C6067">
              <w:rPr>
                <w:rFonts w:ascii="Arial" w:hAnsi="Arial" w:cs="Arial"/>
                <w:sz w:val="19"/>
                <w:szCs w:val="19"/>
              </w:rPr>
              <w:t xml:space="preserve"> Incubator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255"/>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EQ18</w:t>
            </w:r>
          </w:p>
        </w:tc>
        <w:tc>
          <w:tcPr>
            <w:tcW w:w="3697" w:type="dxa"/>
            <w:tcBorders>
              <w:top w:val="nil"/>
              <w:left w:val="nil"/>
              <w:bottom w:val="single" w:sz="4" w:space="0" w:color="auto"/>
              <w:right w:val="nil"/>
            </w:tcBorders>
            <w:shd w:val="clear" w:color="000000" w:fill="FFFFFF"/>
            <w:vAlign w:val="center"/>
            <w:hideMark/>
          </w:tcPr>
          <w:p w:rsidR="00930E7D" w:rsidRPr="001C6067" w:rsidRDefault="00930E7D" w:rsidP="00930E7D">
            <w:pPr>
              <w:jc w:val="both"/>
              <w:rPr>
                <w:rFonts w:ascii="Arial" w:hAnsi="Arial" w:cs="Arial"/>
                <w:b/>
                <w:bCs/>
                <w:sz w:val="19"/>
                <w:szCs w:val="19"/>
              </w:rPr>
            </w:pPr>
            <w:r w:rsidRPr="001C6067">
              <w:rPr>
                <w:rFonts w:ascii="Arial" w:hAnsi="Arial" w:cs="Arial"/>
                <w:b/>
                <w:bCs/>
                <w:sz w:val="19"/>
                <w:szCs w:val="19"/>
              </w:rPr>
              <w:t>LCMSMS/ ESI/APCI System</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b/>
                <w:bCs/>
                <w:sz w:val="19"/>
                <w:szCs w:val="19"/>
              </w:rPr>
            </w:pPr>
            <w:r w:rsidRPr="001C6067">
              <w:rPr>
                <w:rFonts w:ascii="Arial" w:hAnsi="Arial" w:cs="Arial"/>
                <w:b/>
                <w:bCs/>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 </w:t>
            </w:r>
          </w:p>
        </w:tc>
      </w:tr>
      <w:tr w:rsidR="00930E7D" w:rsidRPr="00E65146" w:rsidTr="00C522F2">
        <w:trPr>
          <w:trHeight w:val="454"/>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3697" w:type="dxa"/>
            <w:tcBorders>
              <w:top w:val="single" w:sz="4" w:space="0" w:color="auto"/>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LCMSMS/ ESI/APCI SYSTEM</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2,000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2</w:t>
            </w:r>
          </w:p>
        </w:tc>
      </w:tr>
      <w:tr w:rsidR="00930E7D" w:rsidRPr="00E65146" w:rsidTr="00C522F2">
        <w:trPr>
          <w:trHeight w:val="454"/>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INFRARED SPECTROMETER</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3,000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54"/>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3</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Thin Layer Chromatography System</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15,000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54"/>
        </w:trPr>
        <w:tc>
          <w:tcPr>
            <w:tcW w:w="7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4</w:t>
            </w:r>
          </w:p>
        </w:tc>
        <w:tc>
          <w:tcPr>
            <w:tcW w:w="3697" w:type="dxa"/>
            <w:tcBorders>
              <w:top w:val="single" w:sz="4" w:space="0" w:color="auto"/>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GAS Chromatography (GC/FID)</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8"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3,000</w:t>
            </w:r>
          </w:p>
        </w:tc>
        <w:tc>
          <w:tcPr>
            <w:tcW w:w="1028"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739"/>
        </w:trPr>
        <w:tc>
          <w:tcPr>
            <w:tcW w:w="7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EQ19</w:t>
            </w:r>
          </w:p>
        </w:tc>
        <w:tc>
          <w:tcPr>
            <w:tcW w:w="3697" w:type="dxa"/>
            <w:tcBorders>
              <w:top w:val="single" w:sz="4" w:space="0" w:color="auto"/>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b/>
                <w:bCs/>
                <w:sz w:val="19"/>
                <w:szCs w:val="19"/>
              </w:rPr>
            </w:pPr>
            <w:r w:rsidRPr="001C6067">
              <w:rPr>
                <w:rFonts w:ascii="Arial" w:hAnsi="Arial" w:cs="Arial"/>
                <w:b/>
                <w:bCs/>
                <w:sz w:val="19"/>
                <w:szCs w:val="19"/>
              </w:rPr>
              <w:t xml:space="preserve"> HPLC Laboratory Equipment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b/>
                <w:bCs/>
                <w:sz w:val="19"/>
                <w:szCs w:val="19"/>
              </w:rPr>
            </w:pPr>
            <w:r w:rsidRPr="001C6067">
              <w:rPr>
                <w:rFonts w:ascii="Arial" w:hAnsi="Arial" w:cs="Arial"/>
                <w:b/>
                <w:bCs/>
                <w:sz w:val="19"/>
                <w:szCs w:val="19"/>
              </w:rPr>
              <w:t> </w:t>
            </w:r>
          </w:p>
        </w:tc>
        <w:tc>
          <w:tcPr>
            <w:tcW w:w="1028"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 </w:t>
            </w:r>
          </w:p>
        </w:tc>
      </w:tr>
      <w:tr w:rsidR="00930E7D" w:rsidRPr="00E65146" w:rsidTr="00C522F2">
        <w:trPr>
          <w:trHeight w:val="705"/>
        </w:trPr>
        <w:tc>
          <w:tcPr>
            <w:tcW w:w="7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3697" w:type="dxa"/>
            <w:tcBorders>
              <w:top w:val="single" w:sz="4" w:space="0" w:color="auto"/>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Liquid Chromatography with Triple Quadruple Mass Spectrometer</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8"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15,000</w:t>
            </w:r>
          </w:p>
        </w:tc>
        <w:tc>
          <w:tcPr>
            <w:tcW w:w="1028"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739"/>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High performance pressure liquid chromatography-HPLC</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8,500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3</w:t>
            </w:r>
          </w:p>
        </w:tc>
      </w:tr>
      <w:tr w:rsidR="00930E7D" w:rsidRPr="00E65146" w:rsidTr="00C522F2">
        <w:trPr>
          <w:trHeight w:val="97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3</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Ultra Performance Liquid Chromatography system -UPLC (UHPLC)</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38,000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679"/>
        </w:trPr>
        <w:tc>
          <w:tcPr>
            <w:tcW w:w="7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EQ20</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b/>
                <w:bCs/>
                <w:sz w:val="19"/>
                <w:szCs w:val="19"/>
              </w:rPr>
            </w:pPr>
            <w:r w:rsidRPr="001C6067">
              <w:rPr>
                <w:rFonts w:ascii="Arial" w:hAnsi="Arial" w:cs="Arial"/>
                <w:b/>
                <w:bCs/>
                <w:sz w:val="19"/>
                <w:szCs w:val="19"/>
              </w:rPr>
              <w:t xml:space="preserve"> Experiment Desk Interior Lab Equipment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b/>
                <w:bCs/>
                <w:sz w:val="19"/>
                <w:szCs w:val="19"/>
              </w:rPr>
            </w:pPr>
            <w:r w:rsidRPr="001C6067">
              <w:rPr>
                <w:rFonts w:ascii="Arial" w:hAnsi="Arial" w:cs="Arial"/>
                <w:b/>
                <w:bCs/>
                <w:sz w:val="19"/>
                <w:szCs w:val="19"/>
              </w:rPr>
              <w:t> </w:t>
            </w:r>
          </w:p>
        </w:tc>
        <w:tc>
          <w:tcPr>
            <w:tcW w:w="1028"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 </w:t>
            </w:r>
          </w:p>
        </w:tc>
      </w:tr>
      <w:tr w:rsidR="00930E7D" w:rsidRPr="00E65146" w:rsidTr="00C522F2">
        <w:trPr>
          <w:trHeight w:val="469"/>
        </w:trPr>
        <w:tc>
          <w:tcPr>
            <w:tcW w:w="7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Wall bench with reagent rack</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5</w:t>
            </w:r>
          </w:p>
        </w:tc>
        <w:tc>
          <w:tcPr>
            <w:tcW w:w="818"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260,000</w:t>
            </w:r>
          </w:p>
        </w:tc>
        <w:tc>
          <w:tcPr>
            <w:tcW w:w="1028"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5</w:t>
            </w:r>
          </w:p>
        </w:tc>
      </w:tr>
      <w:tr w:rsidR="00930E7D" w:rsidRPr="00E65146" w:rsidTr="00C522F2">
        <w:trPr>
          <w:trHeight w:val="469"/>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Wall bench without reagent rack 4,8m</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5</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5</w:t>
            </w:r>
          </w:p>
        </w:tc>
      </w:tr>
      <w:tr w:rsidR="00930E7D" w:rsidRPr="00E65146" w:rsidTr="00C522F2">
        <w:trPr>
          <w:trHeight w:val="469"/>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3</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Wall bench without reagent rack 6,6 m</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6</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6</w:t>
            </w:r>
          </w:p>
        </w:tc>
      </w:tr>
      <w:tr w:rsidR="00930E7D" w:rsidRPr="00E65146" w:rsidTr="00C522F2">
        <w:trPr>
          <w:trHeight w:val="679"/>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4</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Chemistry table with hood and water tap and sink</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24</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24</w:t>
            </w:r>
          </w:p>
        </w:tc>
      </w:tr>
      <w:tr w:rsidR="00930E7D" w:rsidRPr="00E65146" w:rsidTr="00C522F2">
        <w:trPr>
          <w:trHeight w:val="469"/>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5</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Island bench with water tap and sink</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6</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6</w:t>
            </w:r>
          </w:p>
        </w:tc>
      </w:tr>
      <w:tr w:rsidR="00930E7D" w:rsidRPr="00E65146" w:rsidTr="00C522F2">
        <w:trPr>
          <w:trHeight w:val="469"/>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6</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 xml:space="preserve">Island bench without water tap and sink with  reagent rack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6</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6</w:t>
            </w:r>
          </w:p>
        </w:tc>
      </w:tr>
      <w:tr w:rsidR="00930E7D" w:rsidRPr="00E65146" w:rsidTr="00C522F2">
        <w:trPr>
          <w:trHeight w:val="679"/>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7</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Island bench without water tap and sink without reagent rack</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11</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11</w:t>
            </w:r>
          </w:p>
        </w:tc>
      </w:tr>
      <w:tr w:rsidR="00930E7D" w:rsidRPr="00E65146" w:rsidTr="00C522F2">
        <w:trPr>
          <w:trHeight w:val="469"/>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8</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Diagnostic and Quality control table</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5</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5</w:t>
            </w:r>
          </w:p>
        </w:tc>
      </w:tr>
      <w:tr w:rsidR="00930E7D" w:rsidRPr="00E65146" w:rsidTr="00C522F2">
        <w:trPr>
          <w:trHeight w:val="469"/>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9</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Chair for lecture theater</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500</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500</w:t>
            </w:r>
          </w:p>
        </w:tc>
      </w:tr>
      <w:tr w:rsidR="00930E7D" w:rsidRPr="00E65146" w:rsidTr="00C522F2">
        <w:trPr>
          <w:trHeight w:val="469"/>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10</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SUS lab rotary stool</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500</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500</w:t>
            </w:r>
          </w:p>
        </w:tc>
      </w:tr>
      <w:tr w:rsidR="00930E7D" w:rsidRPr="00E65146" w:rsidTr="00C522F2">
        <w:trPr>
          <w:trHeight w:val="469"/>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11</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Microscope storage cabinet</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10</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120,000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10</w:t>
            </w:r>
          </w:p>
        </w:tc>
      </w:tr>
      <w:tr w:rsidR="00930E7D" w:rsidRPr="00E65146" w:rsidTr="00C522F2">
        <w:trPr>
          <w:trHeight w:val="72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12</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 xml:space="preserve">Wall bench 6,9m with water sink and tap, Adjustable Pegboard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4</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15,000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4</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13</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Wall bench 3,6m</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6</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75,000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6</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14</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Wall bench 1,8m</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5</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3,000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5</w:t>
            </w:r>
          </w:p>
        </w:tc>
      </w:tr>
      <w:tr w:rsidR="00930E7D" w:rsidRPr="00E65146" w:rsidTr="00C522F2">
        <w:trPr>
          <w:trHeight w:val="73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15</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 xml:space="preserve">Wall bench 1,2m with water sink and tap, Adjustable Pegboard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4</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3,000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4</w:t>
            </w:r>
          </w:p>
        </w:tc>
      </w:tr>
      <w:tr w:rsidR="00930E7D" w:rsidRPr="00E65146" w:rsidTr="00C522F2">
        <w:trPr>
          <w:trHeight w:val="51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16</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Undertable cabinet, type: two drawers and two doors</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10</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35,000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10</w:t>
            </w:r>
          </w:p>
        </w:tc>
      </w:tr>
      <w:tr w:rsidR="00930E7D" w:rsidRPr="00E65146" w:rsidTr="00C522F2">
        <w:trPr>
          <w:trHeight w:val="51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17</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Undertable cabinet, type: a drawer and a door</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10</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18,000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10</w:t>
            </w:r>
          </w:p>
        </w:tc>
      </w:tr>
      <w:tr w:rsidR="00930E7D" w:rsidRPr="00E65146" w:rsidTr="00C522F2">
        <w:trPr>
          <w:trHeight w:val="45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18</w:t>
            </w:r>
          </w:p>
        </w:tc>
        <w:tc>
          <w:tcPr>
            <w:tcW w:w="3697" w:type="dxa"/>
            <w:tcBorders>
              <w:top w:val="nil"/>
              <w:left w:val="nil"/>
              <w:bottom w:val="nil"/>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Book Shelf</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20</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2,500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20</w:t>
            </w:r>
          </w:p>
        </w:tc>
      </w:tr>
      <w:tr w:rsidR="00930E7D" w:rsidRPr="00E65146" w:rsidTr="00C522F2">
        <w:trPr>
          <w:trHeight w:val="649"/>
        </w:trPr>
        <w:tc>
          <w:tcPr>
            <w:tcW w:w="7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EQ21</w:t>
            </w:r>
          </w:p>
        </w:tc>
        <w:tc>
          <w:tcPr>
            <w:tcW w:w="3697" w:type="dxa"/>
            <w:tcBorders>
              <w:top w:val="single" w:sz="4" w:space="0" w:color="auto"/>
              <w:left w:val="nil"/>
              <w:bottom w:val="single" w:sz="4" w:space="0" w:color="auto"/>
              <w:right w:val="single" w:sz="4" w:space="0" w:color="auto"/>
            </w:tcBorders>
            <w:shd w:val="clear" w:color="000000" w:fill="FFFFFF"/>
            <w:vAlign w:val="bottom"/>
            <w:hideMark/>
          </w:tcPr>
          <w:p w:rsidR="00930E7D" w:rsidRPr="001C6067" w:rsidRDefault="00930E7D" w:rsidP="00930E7D">
            <w:pPr>
              <w:rPr>
                <w:rFonts w:ascii="Arial" w:hAnsi="Arial" w:cs="Arial"/>
                <w:b/>
                <w:bCs/>
                <w:sz w:val="19"/>
                <w:szCs w:val="19"/>
              </w:rPr>
            </w:pPr>
            <w:r w:rsidRPr="001C6067">
              <w:rPr>
                <w:rFonts w:ascii="Arial" w:hAnsi="Arial" w:cs="Arial"/>
                <w:b/>
                <w:bCs/>
                <w:sz w:val="19"/>
                <w:szCs w:val="19"/>
              </w:rPr>
              <w:t xml:space="preserve"> Haematology Lab and Histology Equipment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b/>
                <w:bCs/>
                <w:sz w:val="19"/>
                <w:szCs w:val="19"/>
              </w:rPr>
            </w:pPr>
            <w:r w:rsidRPr="001C6067">
              <w:rPr>
                <w:rFonts w:ascii="Arial" w:hAnsi="Arial" w:cs="Arial"/>
                <w:b/>
                <w:bCs/>
                <w:sz w:val="19"/>
                <w:szCs w:val="19"/>
              </w:rPr>
              <w:t> </w:t>
            </w:r>
          </w:p>
        </w:tc>
        <w:tc>
          <w:tcPr>
            <w:tcW w:w="1028" w:type="dxa"/>
            <w:tcBorders>
              <w:top w:val="single" w:sz="4" w:space="0" w:color="auto"/>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 </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Seitz filter</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260,000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Automatic Colony counter</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120,000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3</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Machine for identification of bacteria</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15,000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4</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Flow Cytometer</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75,000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0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5</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Fully automated coagulation analyzer</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3,000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99"/>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6</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Digital Orbital Shakers</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3,000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99"/>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7</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Electrolyte Analyzer</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35,000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99"/>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8</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 xml:space="preserve">Automatic urine analyzer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18,000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C522F2">
        <w:trPr>
          <w:trHeight w:val="499"/>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9</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Automatic urine analyzer 10 parameters</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2,500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4</w:t>
            </w:r>
          </w:p>
        </w:tc>
      </w:tr>
      <w:tr w:rsidR="00930E7D" w:rsidRPr="00E65146" w:rsidTr="00D113E1">
        <w:trPr>
          <w:trHeight w:val="444"/>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10</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Haematology Analyzer ≥ 42 parameters</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D113E1">
        <w:trPr>
          <w:trHeight w:val="352"/>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11</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Haematology Analyzer ≥ 26 parameters</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15,000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1</w:t>
            </w:r>
          </w:p>
        </w:tc>
      </w:tr>
      <w:tr w:rsidR="00930E7D" w:rsidRPr="00E65146" w:rsidTr="00D113E1">
        <w:trPr>
          <w:trHeight w:val="417"/>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12</w:t>
            </w:r>
          </w:p>
        </w:tc>
        <w:tc>
          <w:tcPr>
            <w:tcW w:w="3697" w:type="dxa"/>
            <w:tcBorders>
              <w:top w:val="nil"/>
              <w:left w:val="nil"/>
              <w:bottom w:val="single" w:sz="4" w:space="0" w:color="auto"/>
              <w:right w:val="single" w:sz="4" w:space="0" w:color="auto"/>
            </w:tcBorders>
            <w:shd w:val="clear" w:color="000000" w:fill="FFFFFF"/>
            <w:vAlign w:val="center"/>
            <w:hideMark/>
          </w:tcPr>
          <w:p w:rsidR="00930E7D" w:rsidRPr="001C6067" w:rsidRDefault="00930E7D" w:rsidP="00930E7D">
            <w:pPr>
              <w:rPr>
                <w:rFonts w:ascii="Arial" w:hAnsi="Arial" w:cs="Arial"/>
                <w:sz w:val="19"/>
                <w:szCs w:val="19"/>
              </w:rPr>
            </w:pPr>
            <w:r w:rsidRPr="001C6067">
              <w:rPr>
                <w:rFonts w:ascii="Arial" w:hAnsi="Arial" w:cs="Arial"/>
                <w:sz w:val="19"/>
                <w:szCs w:val="19"/>
              </w:rPr>
              <w:t>Semi-Automated Biochemical Analyzer</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81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1</w:t>
            </w:r>
          </w:p>
        </w:tc>
        <w:tc>
          <w:tcPr>
            <w:tcW w:w="81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2</w:t>
            </w:r>
          </w:p>
        </w:tc>
        <w:tc>
          <w:tcPr>
            <w:tcW w:w="892"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sz w:val="19"/>
                <w:szCs w:val="19"/>
              </w:rPr>
            </w:pPr>
            <w:r w:rsidRPr="001C6067">
              <w:rPr>
                <w:rFonts w:ascii="Arial" w:hAnsi="Arial" w:cs="Arial"/>
                <w:sz w:val="19"/>
                <w:szCs w:val="19"/>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right"/>
              <w:rPr>
                <w:rFonts w:ascii="Arial" w:hAnsi="Arial" w:cs="Arial"/>
                <w:sz w:val="19"/>
                <w:szCs w:val="19"/>
              </w:rPr>
            </w:pPr>
            <w:r w:rsidRPr="001C6067">
              <w:rPr>
                <w:rFonts w:ascii="Arial" w:hAnsi="Arial" w:cs="Arial"/>
                <w:sz w:val="19"/>
                <w:szCs w:val="19"/>
              </w:rPr>
              <w:t>4,000</w:t>
            </w:r>
          </w:p>
        </w:tc>
        <w:tc>
          <w:tcPr>
            <w:tcW w:w="1028" w:type="dxa"/>
            <w:tcBorders>
              <w:top w:val="nil"/>
              <w:left w:val="nil"/>
              <w:bottom w:val="single" w:sz="4" w:space="0" w:color="auto"/>
              <w:right w:val="single" w:sz="4" w:space="0" w:color="auto"/>
            </w:tcBorders>
            <w:shd w:val="clear" w:color="000000" w:fill="FFFFFF"/>
            <w:noWrap/>
            <w:vAlign w:val="center"/>
            <w:hideMark/>
          </w:tcPr>
          <w:p w:rsidR="00930E7D" w:rsidRPr="001C6067" w:rsidRDefault="00930E7D" w:rsidP="00930E7D">
            <w:pPr>
              <w:jc w:val="center"/>
              <w:rPr>
                <w:rFonts w:ascii="Arial" w:hAnsi="Arial" w:cs="Arial"/>
                <w:b/>
                <w:bCs/>
                <w:sz w:val="19"/>
                <w:szCs w:val="19"/>
              </w:rPr>
            </w:pPr>
            <w:r w:rsidRPr="001C6067">
              <w:rPr>
                <w:rFonts w:ascii="Arial" w:hAnsi="Arial" w:cs="Arial"/>
                <w:b/>
                <w:bCs/>
                <w:sz w:val="19"/>
                <w:szCs w:val="19"/>
              </w:rPr>
              <w:t>4</w:t>
            </w:r>
          </w:p>
        </w:tc>
      </w:tr>
    </w:tbl>
    <w:p w:rsidR="00D113E1" w:rsidRPr="00D113E1" w:rsidRDefault="00D113E1" w:rsidP="00D113E1">
      <w:pPr>
        <w:rPr>
          <w:rFonts w:ascii="Arial" w:hAnsi="Arial" w:cs="Arial"/>
          <w:b/>
          <w:sz w:val="12"/>
          <w:szCs w:val="12"/>
        </w:rPr>
      </w:pPr>
    </w:p>
    <w:p w:rsidR="00D113E1" w:rsidRPr="00D113E1" w:rsidRDefault="00D113E1" w:rsidP="00D113E1">
      <w:pPr>
        <w:rPr>
          <w:rFonts w:ascii="Arial" w:hAnsi="Arial" w:cs="Arial"/>
          <w:sz w:val="18"/>
          <w:szCs w:val="18"/>
        </w:rPr>
      </w:pPr>
      <w:r w:rsidRPr="00D113E1">
        <w:rPr>
          <w:rFonts w:ascii="Arial" w:hAnsi="Arial" w:cs="Arial"/>
          <w:b/>
          <w:sz w:val="18"/>
          <w:szCs w:val="18"/>
        </w:rPr>
        <w:t>Source:</w:t>
      </w:r>
      <w:r w:rsidRPr="00D113E1">
        <w:rPr>
          <w:rFonts w:ascii="Arial" w:hAnsi="Arial" w:cs="Arial"/>
          <w:sz w:val="18"/>
          <w:szCs w:val="18"/>
        </w:rPr>
        <w:t xml:space="preserve"> HHRSDP, </w:t>
      </w:r>
      <w:r>
        <w:rPr>
          <w:rFonts w:ascii="Arial" w:hAnsi="Arial" w:cs="Arial"/>
          <w:sz w:val="18"/>
          <w:szCs w:val="18"/>
        </w:rPr>
        <w:t>Procurement Unit</w:t>
      </w:r>
    </w:p>
    <w:p w:rsidR="000E5C73" w:rsidRPr="00E65146" w:rsidRDefault="000E5C73" w:rsidP="00117998">
      <w:pPr>
        <w:rPr>
          <w:rFonts w:ascii="Arial" w:hAnsi="Arial" w:cs="Arial"/>
          <w:b/>
        </w:rPr>
      </w:pPr>
      <w:r w:rsidRPr="00E65146">
        <w:rPr>
          <w:rFonts w:ascii="Arial" w:hAnsi="Arial" w:cs="Arial"/>
          <w:b/>
        </w:rPr>
        <w:br w:type="page"/>
      </w:r>
    </w:p>
    <w:p w:rsidR="00117998" w:rsidRPr="00E65146" w:rsidRDefault="00117998" w:rsidP="00701CBA">
      <w:pPr>
        <w:spacing w:before="240" w:after="120"/>
        <w:jc w:val="center"/>
        <w:rPr>
          <w:rFonts w:ascii="Arial" w:hAnsi="Arial" w:cs="Arial"/>
          <w:b/>
        </w:rPr>
      </w:pPr>
      <w:r w:rsidRPr="00E65146">
        <w:rPr>
          <w:rFonts w:ascii="Arial" w:hAnsi="Arial" w:cs="Arial"/>
          <w:b/>
        </w:rPr>
        <w:t>Table 8.3: Phase three equipment allocation for 9 HPTF</w:t>
      </w:r>
    </w:p>
    <w:tbl>
      <w:tblPr>
        <w:tblW w:w="13956" w:type="dxa"/>
        <w:tblInd w:w="93" w:type="dxa"/>
        <w:tblLook w:val="04A0" w:firstRow="1" w:lastRow="0" w:firstColumn="1" w:lastColumn="0" w:noHBand="0" w:noVBand="1"/>
      </w:tblPr>
      <w:tblGrid>
        <w:gridCol w:w="760"/>
        <w:gridCol w:w="4565"/>
        <w:gridCol w:w="740"/>
        <w:gridCol w:w="892"/>
        <w:gridCol w:w="740"/>
        <w:gridCol w:w="839"/>
        <w:gridCol w:w="740"/>
        <w:gridCol w:w="740"/>
        <w:gridCol w:w="740"/>
        <w:gridCol w:w="740"/>
        <w:gridCol w:w="892"/>
        <w:gridCol w:w="828"/>
        <w:gridCol w:w="740"/>
      </w:tblGrid>
      <w:tr w:rsidR="004772A2" w:rsidRPr="00E65146" w:rsidTr="004772A2">
        <w:trPr>
          <w:trHeight w:val="795"/>
          <w:tblHeader/>
        </w:trPr>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bookmarkStart w:id="110" w:name="RANGE!A1:M273"/>
            <w:r w:rsidRPr="00723829">
              <w:rPr>
                <w:rFonts w:ascii="Arial" w:hAnsi="Arial" w:cs="Arial"/>
                <w:b/>
                <w:bCs/>
                <w:sz w:val="19"/>
                <w:szCs w:val="19"/>
              </w:rPr>
              <w:t>No.</w:t>
            </w:r>
            <w:bookmarkEnd w:id="110"/>
          </w:p>
        </w:tc>
        <w:tc>
          <w:tcPr>
            <w:tcW w:w="4565" w:type="dxa"/>
            <w:tcBorders>
              <w:top w:val="single" w:sz="4" w:space="0" w:color="auto"/>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b/>
                <w:bCs/>
                <w:sz w:val="19"/>
                <w:szCs w:val="19"/>
              </w:rPr>
            </w:pPr>
            <w:r w:rsidRPr="00723829">
              <w:rPr>
                <w:rFonts w:ascii="Arial" w:hAnsi="Arial" w:cs="Arial"/>
                <w:b/>
                <w:bCs/>
                <w:sz w:val="19"/>
                <w:szCs w:val="19"/>
              </w:rPr>
              <w:t>Description</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Nam Định</w:t>
            </w:r>
          </w:p>
        </w:tc>
        <w:tc>
          <w:tcPr>
            <w:tcW w:w="892" w:type="dxa"/>
            <w:tcBorders>
              <w:top w:val="single" w:sz="4" w:space="0" w:color="auto"/>
              <w:left w:val="nil"/>
              <w:bottom w:val="single" w:sz="4" w:space="0" w:color="auto"/>
              <w:right w:val="single" w:sz="4" w:space="0" w:color="auto"/>
            </w:tcBorders>
            <w:shd w:val="clear" w:color="000000" w:fill="FFFFFF"/>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Hải Dương</w:t>
            </w:r>
          </w:p>
        </w:tc>
        <w:tc>
          <w:tcPr>
            <w:tcW w:w="740" w:type="dxa"/>
            <w:tcBorders>
              <w:top w:val="single" w:sz="4" w:space="0" w:color="auto"/>
              <w:left w:val="nil"/>
              <w:bottom w:val="single" w:sz="4" w:space="0" w:color="auto"/>
              <w:right w:val="single" w:sz="4" w:space="0" w:color="auto"/>
            </w:tcBorders>
            <w:shd w:val="clear" w:color="000000" w:fill="FFFFFF"/>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Thái Bình</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Hải Phòng</w:t>
            </w:r>
          </w:p>
        </w:tc>
        <w:tc>
          <w:tcPr>
            <w:tcW w:w="740" w:type="dxa"/>
            <w:tcBorders>
              <w:top w:val="single" w:sz="4" w:space="0" w:color="auto"/>
              <w:left w:val="nil"/>
              <w:bottom w:val="single" w:sz="4" w:space="0" w:color="auto"/>
              <w:right w:val="single" w:sz="4" w:space="0" w:color="auto"/>
            </w:tcBorders>
            <w:shd w:val="clear" w:color="000000" w:fill="FFFFFF"/>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Đà Nẵng</w:t>
            </w:r>
          </w:p>
        </w:tc>
        <w:tc>
          <w:tcPr>
            <w:tcW w:w="740" w:type="dxa"/>
            <w:tcBorders>
              <w:top w:val="single" w:sz="4" w:space="0" w:color="auto"/>
              <w:left w:val="nil"/>
              <w:bottom w:val="single" w:sz="4" w:space="0" w:color="auto"/>
              <w:right w:val="single" w:sz="4" w:space="0" w:color="auto"/>
            </w:tcBorders>
            <w:shd w:val="clear" w:color="000000" w:fill="FFFFFF"/>
            <w:vAlign w:val="center"/>
            <w:hideMark/>
          </w:tcPr>
          <w:p w:rsidR="004772A2" w:rsidRPr="00723829" w:rsidRDefault="00C05C3D" w:rsidP="004772A2">
            <w:pPr>
              <w:jc w:val="center"/>
              <w:rPr>
                <w:rFonts w:ascii="Arial" w:hAnsi="Arial" w:cs="Arial"/>
                <w:b/>
                <w:bCs/>
                <w:sz w:val="19"/>
                <w:szCs w:val="19"/>
              </w:rPr>
            </w:pPr>
            <w:hyperlink r:id="rId17" w:history="1">
              <w:r w:rsidR="004772A2" w:rsidRPr="00723829">
                <w:rPr>
                  <w:rFonts w:ascii="Arial" w:hAnsi="Arial" w:cs="Arial"/>
                  <w:b/>
                  <w:bCs/>
                  <w:sz w:val="19"/>
                  <w:szCs w:val="19"/>
                </w:rPr>
                <w:t>Hồ Chí Minh</w:t>
              </w:r>
            </w:hyperlink>
          </w:p>
        </w:tc>
        <w:tc>
          <w:tcPr>
            <w:tcW w:w="740" w:type="dxa"/>
            <w:tcBorders>
              <w:top w:val="single" w:sz="4" w:space="0" w:color="auto"/>
              <w:left w:val="nil"/>
              <w:bottom w:val="single" w:sz="4" w:space="0" w:color="auto"/>
              <w:right w:val="single" w:sz="4" w:space="0" w:color="auto"/>
            </w:tcBorders>
            <w:shd w:val="clear" w:color="000000" w:fill="FFFFFF"/>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Cần Thơ</w:t>
            </w:r>
          </w:p>
        </w:tc>
        <w:tc>
          <w:tcPr>
            <w:tcW w:w="740" w:type="dxa"/>
            <w:tcBorders>
              <w:top w:val="single" w:sz="4" w:space="0" w:color="auto"/>
              <w:left w:val="nil"/>
              <w:bottom w:val="single" w:sz="4" w:space="0" w:color="auto"/>
              <w:right w:val="single" w:sz="4" w:space="0" w:color="auto"/>
            </w:tcBorders>
            <w:shd w:val="clear" w:color="000000" w:fill="FFFFFF"/>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Hà nội (Y)</w:t>
            </w:r>
          </w:p>
        </w:tc>
        <w:tc>
          <w:tcPr>
            <w:tcW w:w="892" w:type="dxa"/>
            <w:tcBorders>
              <w:top w:val="single" w:sz="4" w:space="0" w:color="auto"/>
              <w:left w:val="nil"/>
              <w:bottom w:val="single" w:sz="4" w:space="0" w:color="auto"/>
              <w:right w:val="single" w:sz="4" w:space="0" w:color="auto"/>
            </w:tcBorders>
            <w:shd w:val="clear" w:color="000000" w:fill="FFFFFF"/>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Hà nội (Dược)</w:t>
            </w:r>
          </w:p>
        </w:tc>
        <w:tc>
          <w:tcPr>
            <w:tcW w:w="828" w:type="dxa"/>
            <w:tcBorders>
              <w:top w:val="single" w:sz="4" w:space="0" w:color="auto"/>
              <w:left w:val="nil"/>
              <w:bottom w:val="nil"/>
              <w:right w:val="single" w:sz="4" w:space="0" w:color="auto"/>
            </w:tcBorders>
            <w:shd w:val="clear" w:color="000000" w:fill="FFFFFF"/>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Unit price</w:t>
            </w:r>
            <w:r w:rsidRPr="00723829">
              <w:rPr>
                <w:rFonts w:ascii="Arial" w:hAnsi="Arial" w:cs="Arial"/>
                <w:b/>
                <w:bCs/>
                <w:sz w:val="19"/>
                <w:szCs w:val="19"/>
              </w:rPr>
              <w:br/>
              <w:t xml:space="preserve">(USD) </w:t>
            </w:r>
          </w:p>
        </w:tc>
        <w:tc>
          <w:tcPr>
            <w:tcW w:w="740" w:type="dxa"/>
            <w:tcBorders>
              <w:top w:val="single" w:sz="4" w:space="0" w:color="auto"/>
              <w:left w:val="nil"/>
              <w:bottom w:val="nil"/>
              <w:right w:val="single" w:sz="4" w:space="0" w:color="auto"/>
            </w:tcBorders>
            <w:shd w:val="clear" w:color="000000" w:fill="FFFFFF"/>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Total</w:t>
            </w:r>
          </w:p>
        </w:tc>
      </w:tr>
      <w:tr w:rsidR="004772A2" w:rsidRPr="00E65146" w:rsidTr="004772A2">
        <w:trPr>
          <w:trHeight w:val="315"/>
        </w:trPr>
        <w:tc>
          <w:tcPr>
            <w:tcW w:w="760" w:type="dxa"/>
            <w:tcBorders>
              <w:top w:val="nil"/>
              <w:left w:val="single" w:sz="4" w:space="0" w:color="auto"/>
              <w:bottom w:val="nil"/>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EQ 22</w:t>
            </w:r>
          </w:p>
        </w:tc>
        <w:tc>
          <w:tcPr>
            <w:tcW w:w="4565" w:type="dxa"/>
            <w:tcBorders>
              <w:top w:val="nil"/>
              <w:left w:val="nil"/>
              <w:bottom w:val="nil"/>
              <w:right w:val="single" w:sz="4" w:space="0" w:color="auto"/>
            </w:tcBorders>
            <w:shd w:val="clear" w:color="000000" w:fill="FFFFFF"/>
            <w:vAlign w:val="center"/>
            <w:hideMark/>
          </w:tcPr>
          <w:p w:rsidR="004772A2" w:rsidRPr="00723829" w:rsidRDefault="004772A2" w:rsidP="004772A2">
            <w:pPr>
              <w:rPr>
                <w:rFonts w:ascii="Arial" w:hAnsi="Arial" w:cs="Arial"/>
                <w:b/>
                <w:bCs/>
                <w:sz w:val="19"/>
                <w:szCs w:val="19"/>
              </w:rPr>
            </w:pPr>
            <w:r w:rsidRPr="00723829">
              <w:rPr>
                <w:rFonts w:ascii="Arial" w:hAnsi="Arial" w:cs="Arial"/>
                <w:b/>
                <w:bCs/>
                <w:sz w:val="19"/>
                <w:szCs w:val="19"/>
              </w:rPr>
              <w:t xml:space="preserve"> Practice Equipment for Odonto Lab </w:t>
            </w:r>
          </w:p>
        </w:tc>
        <w:tc>
          <w:tcPr>
            <w:tcW w:w="740" w:type="dxa"/>
            <w:tcBorders>
              <w:top w:val="nil"/>
              <w:left w:val="nil"/>
              <w:bottom w:val="nil"/>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892" w:type="dxa"/>
            <w:tcBorders>
              <w:top w:val="nil"/>
              <w:left w:val="nil"/>
              <w:bottom w:val="nil"/>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740" w:type="dxa"/>
            <w:tcBorders>
              <w:top w:val="nil"/>
              <w:left w:val="nil"/>
              <w:bottom w:val="nil"/>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839" w:type="dxa"/>
            <w:tcBorders>
              <w:top w:val="nil"/>
              <w:left w:val="nil"/>
              <w:bottom w:val="nil"/>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740" w:type="dxa"/>
            <w:tcBorders>
              <w:top w:val="nil"/>
              <w:left w:val="nil"/>
              <w:bottom w:val="nil"/>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740" w:type="dxa"/>
            <w:tcBorders>
              <w:top w:val="nil"/>
              <w:left w:val="nil"/>
              <w:bottom w:val="nil"/>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740" w:type="dxa"/>
            <w:tcBorders>
              <w:top w:val="nil"/>
              <w:left w:val="nil"/>
              <w:bottom w:val="nil"/>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740" w:type="dxa"/>
            <w:tcBorders>
              <w:top w:val="nil"/>
              <w:left w:val="nil"/>
              <w:bottom w:val="nil"/>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892" w:type="dxa"/>
            <w:tcBorders>
              <w:top w:val="nil"/>
              <w:left w:val="nil"/>
              <w:bottom w:val="nil"/>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828" w:type="dxa"/>
            <w:tcBorders>
              <w:top w:val="single" w:sz="4" w:space="0" w:color="auto"/>
              <w:left w:val="nil"/>
              <w:bottom w:val="nil"/>
              <w:right w:val="single" w:sz="4" w:space="0" w:color="auto"/>
            </w:tcBorders>
            <w:shd w:val="clear" w:color="000000" w:fill="FFFFFF"/>
            <w:noWrap/>
            <w:vAlign w:val="center"/>
            <w:hideMark/>
          </w:tcPr>
          <w:p w:rsidR="004772A2" w:rsidRPr="00723829" w:rsidRDefault="004772A2" w:rsidP="004772A2">
            <w:pPr>
              <w:jc w:val="right"/>
              <w:rPr>
                <w:rFonts w:ascii="Arial" w:hAnsi="Arial" w:cs="Arial"/>
                <w:b/>
                <w:bCs/>
                <w:sz w:val="19"/>
                <w:szCs w:val="19"/>
              </w:rPr>
            </w:pPr>
            <w:r w:rsidRPr="00723829">
              <w:rPr>
                <w:rFonts w:ascii="Arial" w:hAnsi="Arial" w:cs="Arial"/>
                <w:b/>
                <w:bCs/>
                <w:sz w:val="19"/>
                <w:szCs w:val="19"/>
              </w:rPr>
              <w:t> </w:t>
            </w:r>
          </w:p>
        </w:tc>
        <w:tc>
          <w:tcPr>
            <w:tcW w:w="740" w:type="dxa"/>
            <w:tcBorders>
              <w:top w:val="single" w:sz="4" w:space="0" w:color="auto"/>
              <w:left w:val="nil"/>
              <w:bottom w:val="nil"/>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319</w:t>
            </w:r>
          </w:p>
        </w:tc>
      </w:tr>
      <w:tr w:rsidR="004772A2" w:rsidRPr="00E65146" w:rsidTr="004772A2">
        <w:trPr>
          <w:trHeight w:val="402"/>
        </w:trPr>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4565" w:type="dxa"/>
            <w:tcBorders>
              <w:top w:val="single" w:sz="4" w:space="0" w:color="auto"/>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Manual press</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single" w:sz="4" w:space="0" w:color="auto"/>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single" w:sz="4" w:space="0" w:color="auto"/>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3,500</w:t>
            </w:r>
          </w:p>
        </w:tc>
        <w:tc>
          <w:tcPr>
            <w:tcW w:w="740" w:type="dxa"/>
            <w:tcBorders>
              <w:top w:val="single" w:sz="4" w:space="0" w:color="auto"/>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2</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jc w:val="both"/>
              <w:rPr>
                <w:rFonts w:ascii="Arial" w:hAnsi="Arial" w:cs="Arial"/>
                <w:sz w:val="19"/>
                <w:szCs w:val="19"/>
              </w:rPr>
            </w:pPr>
            <w:r w:rsidRPr="00723829">
              <w:rPr>
                <w:rFonts w:ascii="Arial" w:hAnsi="Arial" w:cs="Arial"/>
                <w:sz w:val="19"/>
                <w:szCs w:val="19"/>
              </w:rPr>
              <w:t>Compress</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40</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40</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3</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jc w:val="both"/>
              <w:rPr>
                <w:rFonts w:ascii="Arial" w:hAnsi="Arial" w:cs="Arial"/>
                <w:sz w:val="19"/>
                <w:szCs w:val="19"/>
              </w:rPr>
            </w:pPr>
            <w:r w:rsidRPr="00723829">
              <w:rPr>
                <w:rFonts w:ascii="Arial" w:hAnsi="Arial" w:cs="Arial"/>
                <w:sz w:val="19"/>
                <w:szCs w:val="19"/>
              </w:rPr>
              <w:t>Pneumatic chisel</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2</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jc w:val="both"/>
              <w:rPr>
                <w:rFonts w:ascii="Arial" w:hAnsi="Arial" w:cs="Arial"/>
                <w:sz w:val="19"/>
                <w:szCs w:val="19"/>
              </w:rPr>
            </w:pPr>
            <w:r w:rsidRPr="00723829">
              <w:rPr>
                <w:rFonts w:ascii="Arial" w:hAnsi="Arial" w:cs="Arial"/>
                <w:sz w:val="19"/>
                <w:szCs w:val="19"/>
              </w:rPr>
              <w:t>Polish lathe</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4</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5</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jc w:val="both"/>
              <w:rPr>
                <w:rFonts w:ascii="Arial" w:hAnsi="Arial" w:cs="Arial"/>
                <w:sz w:val="19"/>
                <w:szCs w:val="19"/>
              </w:rPr>
            </w:pPr>
            <w:r w:rsidRPr="00723829">
              <w:rPr>
                <w:rFonts w:ascii="Arial" w:hAnsi="Arial" w:cs="Arial"/>
                <w:sz w:val="19"/>
                <w:szCs w:val="19"/>
              </w:rPr>
              <w:t>Electropolisher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2</w:t>
            </w:r>
          </w:p>
        </w:tc>
      </w:tr>
      <w:tr w:rsidR="004772A2" w:rsidRPr="00E65146" w:rsidTr="004772A2">
        <w:trPr>
          <w:trHeight w:val="55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6</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jc w:val="both"/>
              <w:rPr>
                <w:rFonts w:ascii="Arial" w:hAnsi="Arial" w:cs="Arial"/>
                <w:sz w:val="19"/>
                <w:szCs w:val="19"/>
              </w:rPr>
            </w:pPr>
            <w:r w:rsidRPr="00723829">
              <w:rPr>
                <w:rFonts w:ascii="Arial" w:hAnsi="Arial" w:cs="Arial"/>
                <w:sz w:val="19"/>
                <w:szCs w:val="19"/>
              </w:rPr>
              <w:t>High frequency induction casting machine</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7</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jc w:val="both"/>
              <w:rPr>
                <w:rFonts w:ascii="Arial" w:hAnsi="Arial" w:cs="Arial"/>
                <w:sz w:val="19"/>
                <w:szCs w:val="19"/>
              </w:rPr>
            </w:pPr>
            <w:r w:rsidRPr="00723829">
              <w:rPr>
                <w:rFonts w:ascii="Arial" w:hAnsi="Arial" w:cs="Arial"/>
                <w:sz w:val="19"/>
                <w:szCs w:val="19"/>
              </w:rPr>
              <w:t>Laser pin setter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8</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jc w:val="both"/>
              <w:rPr>
                <w:rFonts w:ascii="Arial" w:hAnsi="Arial" w:cs="Arial"/>
                <w:sz w:val="19"/>
                <w:szCs w:val="19"/>
              </w:rPr>
            </w:pPr>
            <w:r w:rsidRPr="00723829">
              <w:rPr>
                <w:rFonts w:ascii="Arial" w:hAnsi="Arial" w:cs="Arial"/>
                <w:sz w:val="19"/>
                <w:szCs w:val="19"/>
              </w:rPr>
              <w:t>High speed alloy grinder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20</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20</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9</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jc w:val="both"/>
              <w:rPr>
                <w:rFonts w:ascii="Arial" w:hAnsi="Arial" w:cs="Arial"/>
                <w:sz w:val="19"/>
                <w:szCs w:val="19"/>
              </w:rPr>
            </w:pPr>
            <w:r w:rsidRPr="00723829">
              <w:rPr>
                <w:rFonts w:ascii="Arial" w:hAnsi="Arial" w:cs="Arial"/>
                <w:sz w:val="19"/>
                <w:szCs w:val="19"/>
              </w:rPr>
              <w:t>Model trimmer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3</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3</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10</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jc w:val="both"/>
              <w:rPr>
                <w:rFonts w:ascii="Arial" w:hAnsi="Arial" w:cs="Arial"/>
                <w:sz w:val="19"/>
                <w:szCs w:val="19"/>
              </w:rPr>
            </w:pPr>
            <w:r w:rsidRPr="00723829">
              <w:rPr>
                <w:rFonts w:ascii="Arial" w:hAnsi="Arial" w:cs="Arial"/>
                <w:sz w:val="19"/>
                <w:szCs w:val="19"/>
              </w:rPr>
              <w:t>Dental unit with simulator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25</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25</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11</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jc w:val="both"/>
              <w:rPr>
                <w:rFonts w:ascii="Arial" w:hAnsi="Arial" w:cs="Arial"/>
                <w:sz w:val="19"/>
                <w:szCs w:val="19"/>
              </w:rPr>
            </w:pPr>
            <w:r w:rsidRPr="00723829">
              <w:rPr>
                <w:rFonts w:ascii="Arial" w:hAnsi="Arial" w:cs="Arial"/>
                <w:sz w:val="19"/>
                <w:szCs w:val="19"/>
              </w:rPr>
              <w:t>Sand blaster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2</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12</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jc w:val="both"/>
              <w:rPr>
                <w:rFonts w:ascii="Arial" w:hAnsi="Arial" w:cs="Arial"/>
                <w:sz w:val="19"/>
                <w:szCs w:val="19"/>
              </w:rPr>
            </w:pPr>
            <w:r w:rsidRPr="00723829">
              <w:rPr>
                <w:rFonts w:ascii="Arial" w:hAnsi="Arial" w:cs="Arial"/>
                <w:sz w:val="19"/>
                <w:szCs w:val="19"/>
              </w:rPr>
              <w:t>Vacuum mixer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2</w:t>
            </w:r>
          </w:p>
        </w:tc>
      </w:tr>
      <w:tr w:rsidR="004772A2" w:rsidRPr="00E65146" w:rsidTr="004772A2">
        <w:trPr>
          <w:trHeight w:val="6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13</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jc w:val="both"/>
              <w:rPr>
                <w:rFonts w:ascii="Arial" w:hAnsi="Arial" w:cs="Arial"/>
                <w:sz w:val="19"/>
                <w:szCs w:val="19"/>
              </w:rPr>
            </w:pPr>
            <w:r w:rsidRPr="00723829">
              <w:rPr>
                <w:rFonts w:ascii="Arial" w:hAnsi="Arial" w:cs="Arial"/>
                <w:sz w:val="19"/>
                <w:szCs w:val="19"/>
              </w:rPr>
              <w:t>Micromotor max speed 50.000 rpm</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35</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35</w:t>
            </w:r>
          </w:p>
        </w:tc>
      </w:tr>
      <w:tr w:rsidR="004772A2" w:rsidRPr="00E65146" w:rsidTr="004772A2">
        <w:trPr>
          <w:trHeight w:val="6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14</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jc w:val="both"/>
              <w:rPr>
                <w:rFonts w:ascii="Arial" w:hAnsi="Arial" w:cs="Arial"/>
                <w:sz w:val="19"/>
                <w:szCs w:val="19"/>
              </w:rPr>
            </w:pPr>
            <w:r w:rsidRPr="00723829">
              <w:rPr>
                <w:rFonts w:ascii="Arial" w:hAnsi="Arial" w:cs="Arial"/>
                <w:sz w:val="19"/>
                <w:szCs w:val="19"/>
              </w:rPr>
              <w:t>Micromotor max speed 35.000 rpm</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80</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80</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15</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jc w:val="both"/>
              <w:rPr>
                <w:rFonts w:ascii="Arial" w:hAnsi="Arial" w:cs="Arial"/>
                <w:sz w:val="19"/>
                <w:szCs w:val="19"/>
              </w:rPr>
            </w:pPr>
            <w:r w:rsidRPr="00723829">
              <w:rPr>
                <w:rFonts w:ascii="Arial" w:hAnsi="Arial" w:cs="Arial"/>
                <w:sz w:val="19"/>
                <w:szCs w:val="19"/>
              </w:rPr>
              <w:t>Surveyor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15</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15</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16</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jc w:val="both"/>
              <w:rPr>
                <w:rFonts w:ascii="Arial" w:hAnsi="Arial" w:cs="Arial"/>
                <w:sz w:val="19"/>
                <w:szCs w:val="19"/>
              </w:rPr>
            </w:pPr>
            <w:r w:rsidRPr="00723829">
              <w:rPr>
                <w:rFonts w:ascii="Arial" w:hAnsi="Arial" w:cs="Arial"/>
                <w:sz w:val="19"/>
                <w:szCs w:val="19"/>
              </w:rPr>
              <w:t>Flask</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80</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80</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17</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jc w:val="both"/>
              <w:rPr>
                <w:rFonts w:ascii="Arial" w:hAnsi="Arial" w:cs="Arial"/>
                <w:sz w:val="19"/>
                <w:szCs w:val="19"/>
              </w:rPr>
            </w:pPr>
            <w:r w:rsidRPr="00723829">
              <w:rPr>
                <w:rFonts w:ascii="Arial" w:hAnsi="Arial" w:cs="Arial"/>
                <w:sz w:val="19"/>
                <w:szCs w:val="19"/>
              </w:rPr>
              <w:t>Air/water pressure curing un</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2</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18</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jc w:val="both"/>
              <w:rPr>
                <w:rFonts w:ascii="Arial" w:hAnsi="Arial" w:cs="Arial"/>
                <w:sz w:val="19"/>
                <w:szCs w:val="19"/>
              </w:rPr>
            </w:pPr>
            <w:r w:rsidRPr="00723829">
              <w:rPr>
                <w:rFonts w:ascii="Arial" w:hAnsi="Arial" w:cs="Arial"/>
                <w:sz w:val="19"/>
                <w:szCs w:val="19"/>
              </w:rPr>
              <w:t xml:space="preserve">Dental Air Compressor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3</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3</w:t>
            </w:r>
          </w:p>
        </w:tc>
      </w:tr>
      <w:tr w:rsidR="004772A2" w:rsidRPr="00E65146" w:rsidTr="004772A2">
        <w:trPr>
          <w:trHeight w:val="315"/>
        </w:trPr>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EQ23</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b/>
                <w:bCs/>
                <w:sz w:val="19"/>
                <w:szCs w:val="19"/>
              </w:rPr>
            </w:pPr>
            <w:r w:rsidRPr="00723829">
              <w:rPr>
                <w:rFonts w:ascii="Arial" w:hAnsi="Arial" w:cs="Arial"/>
                <w:b/>
                <w:bCs/>
                <w:sz w:val="19"/>
                <w:szCs w:val="19"/>
              </w:rPr>
              <w:t xml:space="preserve"> Nursing skill Model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b/>
                <w:bCs/>
                <w:sz w:val="19"/>
                <w:szCs w:val="19"/>
              </w:rPr>
            </w:pPr>
            <w:r w:rsidRPr="00723829">
              <w:rPr>
                <w:rFonts w:ascii="Arial" w:hAnsi="Arial" w:cs="Arial"/>
                <w:b/>
                <w:bCs/>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318</w:t>
            </w:r>
          </w:p>
        </w:tc>
      </w:tr>
      <w:tr w:rsidR="004772A2" w:rsidRPr="00E65146" w:rsidTr="004772A2">
        <w:trPr>
          <w:trHeight w:val="69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 xml:space="preserve">Traning unit for Intesive care unit and critical care skill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2,500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87"/>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Upper and Lower Stump Bandaging Simulators</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3</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5,000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3</w:t>
            </w:r>
          </w:p>
        </w:tc>
      </w:tr>
      <w:tr w:rsidR="004772A2" w:rsidRPr="00E65146" w:rsidTr="004772A2">
        <w:trPr>
          <w:trHeight w:val="34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3</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One Year Injection Training Arm Model</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7,000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409"/>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Five Year Injection Training Arm Model</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2,500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5</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Infant CRiSis Manikin</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8,500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499"/>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6</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Blue Neonatal Simulator with SmartSkin Technology</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20,000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94"/>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7</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The patient simulation manikin with accessories</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4,500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8</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 xml:space="preserve">Diagnostic Peritoneal Lavage Trainer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10,000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9</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 xml:space="preserve">Heart Catheterization Simulator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32,000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2</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10</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Pneumothorax Training Manikin</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2,000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3</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11</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Pediatric Lumbar Puncture Simulator</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3,000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6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12</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 xml:space="preserve">Auscultation Manikin with  Amplifier/Speaker  System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3,000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2</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13</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Uterus Model</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6</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2,000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6</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14</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Airway Management Trainer Head</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5</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5</w:t>
            </w:r>
          </w:p>
        </w:tc>
      </w:tr>
      <w:tr w:rsidR="004772A2" w:rsidRPr="00E65146" w:rsidTr="004772A2">
        <w:trPr>
          <w:trHeight w:val="6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15</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Adult Airway Management Trainer with Stand</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4</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16</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Airway Trainer 1 year</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17</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Airway Trainer 5 year</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64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18</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 xml:space="preserve">Child Airway Management Trainer with stand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3</w:t>
            </w:r>
          </w:p>
        </w:tc>
      </w:tr>
      <w:tr w:rsidR="004772A2" w:rsidRPr="00E65146" w:rsidTr="004772A2">
        <w:trPr>
          <w:trHeight w:val="37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19</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Airway Trainer Newborn</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800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20</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 xml:space="preserve">Childbirth simulator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700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21</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 xml:space="preserve">OB simulator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1,200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409"/>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22</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Male and Female Genital Models</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23</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Manikin with Memory and Printer</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69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24</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CPR Manikin with Electronics</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2</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25</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Condom Training Model</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26</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Female Condom Model</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27</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Testicular Exam Simulator</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6</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6</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28</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Clinical Male Pelvic Trainer</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2</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29</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Pelvic Examination Simulator</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30</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 xml:space="preserve">Gynecologic Simulator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409"/>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31</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Palpation Module for Leopol Maneuvers</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4</w:t>
            </w:r>
          </w:p>
        </w:tc>
      </w:tr>
      <w:tr w:rsidR="004772A2" w:rsidRPr="00E65146" w:rsidTr="004772A2">
        <w:trPr>
          <w:trHeight w:val="31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32</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The Virtual Reality Vaginal Exam Model</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51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33</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Inspection and palpation of breast cancer traning model</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34</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Suture Kit</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2</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35</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Arterial Puncture Arm</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447"/>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36</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 xml:space="preserve">Cricothyrotomy Simulator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2</w:t>
            </w:r>
          </w:p>
        </w:tc>
      </w:tr>
      <w:tr w:rsidR="004772A2" w:rsidRPr="00E65146" w:rsidTr="004772A2">
        <w:trPr>
          <w:trHeight w:val="51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37</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Heart and Lung Sounds Simulators (1-5 years old)</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2</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38</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Patient Care Simulator</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51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39</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Human Embryo and fetus development (1 - 9 months)</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1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40</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NG Tube and Trach Skills Simulator</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2</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41</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Rectal Examination Model</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5</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42</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External cephalic version model (ECV)</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75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43</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 xml:space="preserve">Torso, Adult Airway Management Trainer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4</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44</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Bandaging Simulator</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45</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Suture Practice Arm</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3</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46</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 xml:space="preserve">Male Catheterization Model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5</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47</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 xml:space="preserve">Female Catheterization Model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6</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48</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Simulator, 1 year</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49</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Simulator, 5 years</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50</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 xml:space="preserve">Newborn simulator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1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51</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Episiotomy &amp; Perineal Laceration Trainer</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4</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52</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Acupuncture Training Model</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2</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53</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Advanced GERi Manikin</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2</w:t>
            </w:r>
          </w:p>
        </w:tc>
      </w:tr>
      <w:tr w:rsidR="004772A2" w:rsidRPr="00E65146" w:rsidTr="004772A2">
        <w:trPr>
          <w:trHeight w:val="6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54</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Basic KERi Manikin</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2</w:t>
            </w:r>
          </w:p>
        </w:tc>
      </w:tr>
      <w:tr w:rsidR="004772A2" w:rsidRPr="00E65146" w:rsidTr="004772A2">
        <w:trPr>
          <w:trHeight w:val="64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55</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CRiSis Manikins with defibrillation</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56</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Gynaecological Examination Simulator</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2</w:t>
            </w:r>
          </w:p>
        </w:tc>
      </w:tr>
      <w:tr w:rsidR="004772A2" w:rsidRPr="00E65146" w:rsidTr="004772A2">
        <w:trPr>
          <w:trHeight w:val="64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57</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 GYN Trainer (4 sets)</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58</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 Nasogastric Tube Feeding Model</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59</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Enema Administration Simulator</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0</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6</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60</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Intramuscular injection simulator</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61</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Spinal Injection Simulator</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87"/>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62</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Venipuncture and Injection Training Arms with accessories</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5</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6</w:t>
            </w:r>
          </w:p>
        </w:tc>
      </w:tr>
      <w:tr w:rsidR="004772A2" w:rsidRPr="00E65146" w:rsidTr="004772A2">
        <w:trPr>
          <w:trHeight w:val="349"/>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63</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Intramuscular Injection Simulator</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4</w:t>
            </w:r>
          </w:p>
        </w:tc>
      </w:tr>
      <w:tr w:rsidR="004772A2" w:rsidRPr="00E65146" w:rsidTr="004772A2">
        <w:trPr>
          <w:trHeight w:val="37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64</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Intravenous Injection Training Arm</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8</w:t>
            </w:r>
          </w:p>
        </w:tc>
      </w:tr>
      <w:tr w:rsidR="004772A2" w:rsidRPr="00E65146" w:rsidTr="004772A2">
        <w:trPr>
          <w:trHeight w:val="31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65</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Pediatric Injection Training Arm</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49"/>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66</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Intradermal Injection Simulator</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5</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5</w:t>
            </w:r>
          </w:p>
        </w:tc>
      </w:tr>
      <w:tr w:rsidR="004772A2" w:rsidRPr="00E65146" w:rsidTr="004772A2">
        <w:trPr>
          <w:trHeight w:val="67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67</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Pediatric Care Simulator, 1 and 5 year</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1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68</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Accupuncture model</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3,000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2</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69</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Infant Endotrachea Intubation Model</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4</w:t>
            </w:r>
          </w:p>
        </w:tc>
      </w:tr>
      <w:tr w:rsidR="004772A2" w:rsidRPr="00E65146" w:rsidTr="004772A2">
        <w:trPr>
          <w:trHeight w:val="37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70</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5 teeth model, 8 x real size</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2</w:t>
            </w:r>
          </w:p>
        </w:tc>
      </w:tr>
      <w:tr w:rsidR="004772A2" w:rsidRPr="00E65146" w:rsidTr="004772A2">
        <w:trPr>
          <w:trHeight w:val="31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71</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Torso with Head and Open Back, 20 parts</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4</w:t>
            </w:r>
          </w:p>
        </w:tc>
      </w:tr>
      <w:tr w:rsidR="004772A2" w:rsidRPr="00E65146" w:rsidTr="004772A2">
        <w:trPr>
          <w:trHeight w:val="72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72</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Torso with Head and Interchangeable Male and Female Genitalia (20 parts)</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4</w:t>
            </w:r>
          </w:p>
        </w:tc>
      </w:tr>
      <w:tr w:rsidR="004772A2" w:rsidRPr="00E65146" w:rsidTr="004772A2">
        <w:trPr>
          <w:trHeight w:val="709"/>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73</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Human Muscular Skeleton</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4</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74</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Urinary Organs, 4 parts</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4</w:t>
            </w:r>
          </w:p>
        </w:tc>
      </w:tr>
      <w:tr w:rsidR="004772A2" w:rsidRPr="00E65146" w:rsidTr="004772A2">
        <w:trPr>
          <w:trHeight w:val="31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75</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Functional Model of Larynx, 2.5 x life size</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2</w:t>
            </w:r>
          </w:p>
        </w:tc>
      </w:tr>
      <w:tr w:rsidR="004772A2" w:rsidRPr="00E65146" w:rsidTr="004772A2">
        <w:trPr>
          <w:trHeight w:val="469"/>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76</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Right Kidney Model</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4</w:t>
            </w:r>
          </w:p>
        </w:tc>
      </w:tr>
      <w:tr w:rsidR="004772A2" w:rsidRPr="00E65146" w:rsidTr="004772A2">
        <w:trPr>
          <w:trHeight w:val="43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77</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Bronchial Tree</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4</w:t>
            </w:r>
          </w:p>
        </w:tc>
      </w:tr>
      <w:tr w:rsidR="004772A2" w:rsidRPr="00E65146" w:rsidTr="004772A2">
        <w:trPr>
          <w:trHeight w:val="43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78</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Stomach Model, 2 parts</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4</w:t>
            </w:r>
          </w:p>
        </w:tc>
      </w:tr>
      <w:tr w:rsidR="004772A2" w:rsidRPr="00E65146" w:rsidTr="004772A2">
        <w:trPr>
          <w:trHeight w:val="43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79</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Torso with Head and Neck, 19 parts</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4</w:t>
            </w:r>
          </w:p>
        </w:tc>
      </w:tr>
      <w:tr w:rsidR="004772A2" w:rsidRPr="00E65146" w:rsidTr="004772A2">
        <w:trPr>
          <w:trHeight w:val="42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80</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Thoracic Spinal Column</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8</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8</w:t>
            </w:r>
          </w:p>
        </w:tc>
      </w:tr>
      <w:tr w:rsidR="004772A2" w:rsidRPr="00E65146" w:rsidTr="004772A2">
        <w:trPr>
          <w:trHeight w:val="42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81</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Liver Model</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12</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3,000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12</w:t>
            </w:r>
          </w:p>
        </w:tc>
      </w:tr>
      <w:tr w:rsidR="004772A2" w:rsidRPr="00E65146" w:rsidTr="004772A2">
        <w:trPr>
          <w:trHeight w:val="42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82</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 xml:space="preserve">Rear Organs of the Upper Abdomen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12</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3,000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12</w:t>
            </w:r>
          </w:p>
        </w:tc>
      </w:tr>
      <w:tr w:rsidR="004772A2" w:rsidRPr="00E65146" w:rsidTr="004772A2">
        <w:trPr>
          <w:trHeight w:val="42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83</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Functional Hip Joint</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3,000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4</w:t>
            </w:r>
          </w:p>
        </w:tc>
      </w:tr>
      <w:tr w:rsidR="004772A2" w:rsidRPr="00E65146" w:rsidTr="004772A2">
        <w:trPr>
          <w:trHeight w:val="42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84</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Functional Elbow Joint</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3,000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4</w:t>
            </w:r>
          </w:p>
        </w:tc>
      </w:tr>
      <w:tr w:rsidR="004772A2" w:rsidRPr="00E65146" w:rsidTr="004772A2">
        <w:trPr>
          <w:trHeight w:val="42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85</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Functional Shoulder Joint</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3,000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4</w:t>
            </w:r>
          </w:p>
        </w:tc>
      </w:tr>
      <w:tr w:rsidR="004772A2" w:rsidRPr="00E65146" w:rsidTr="004772A2">
        <w:trPr>
          <w:trHeight w:val="51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86</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Labyrinth with Ossicles and Tympanic Membrane, 3 parts, 4x life size</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3,000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4</w:t>
            </w:r>
          </w:p>
        </w:tc>
      </w:tr>
      <w:tr w:rsidR="004772A2" w:rsidRPr="00E65146" w:rsidTr="004772A2">
        <w:trPr>
          <w:trHeight w:val="31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87</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 xml:space="preserve">Brain  with Arteries, 9 parts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8</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3,000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8</w:t>
            </w:r>
          </w:p>
        </w:tc>
      </w:tr>
      <w:tr w:rsidR="004772A2" w:rsidRPr="00E65146" w:rsidTr="004772A2">
        <w:trPr>
          <w:trHeight w:val="31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88</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Brain Model, 15 parts</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8</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3,000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8</w:t>
            </w:r>
          </w:p>
        </w:tc>
      </w:tr>
      <w:tr w:rsidR="004772A2" w:rsidRPr="00E65146" w:rsidTr="004772A2">
        <w:trPr>
          <w:trHeight w:val="31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89</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Brain Model, 4 parts</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3,000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4</w:t>
            </w:r>
          </w:p>
        </w:tc>
      </w:tr>
      <w:tr w:rsidR="004772A2" w:rsidRPr="00E65146" w:rsidTr="004772A2">
        <w:trPr>
          <w:trHeight w:val="31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90</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Eye with Part of Orbit, 9 parts, 3x life size</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3,000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2</w:t>
            </w:r>
          </w:p>
        </w:tc>
      </w:tr>
      <w:tr w:rsidR="004772A2" w:rsidRPr="00E65146" w:rsidTr="004772A2">
        <w:trPr>
          <w:trHeight w:val="31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91</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Artificial Human Skull, 2 parts</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3,000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4</w:t>
            </w:r>
          </w:p>
        </w:tc>
      </w:tr>
      <w:tr w:rsidR="004772A2" w:rsidRPr="00E65146" w:rsidTr="004772A2">
        <w:trPr>
          <w:trHeight w:val="31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92</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Artificial Human Skull, 14 parts</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3,000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4</w:t>
            </w:r>
          </w:p>
        </w:tc>
      </w:tr>
      <w:tr w:rsidR="004772A2" w:rsidRPr="00E65146" w:rsidTr="004772A2">
        <w:trPr>
          <w:trHeight w:val="31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93</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Artificial Human Skull, 3 parts</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3,000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4</w:t>
            </w:r>
          </w:p>
        </w:tc>
      </w:tr>
      <w:tr w:rsidR="004772A2" w:rsidRPr="00E65146" w:rsidTr="004772A2">
        <w:trPr>
          <w:trHeight w:val="6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94</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Ear Model, 6 parts, 3X life size</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3,000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2</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95</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Larynx and Trachea, 2 parts</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3,000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4</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96</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Larynx Model, 2 parts</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3,000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4</w:t>
            </w:r>
          </w:p>
        </w:tc>
      </w:tr>
      <w:tr w:rsidR="004772A2" w:rsidRPr="00E65146" w:rsidTr="004772A2">
        <w:trPr>
          <w:trHeight w:val="687"/>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97</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Median Section of the Male Pelvis, 4 parts</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7</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3,000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7</w:t>
            </w:r>
          </w:p>
        </w:tc>
      </w:tr>
      <w:tr w:rsidR="004772A2" w:rsidRPr="00E65146" w:rsidTr="004772A2">
        <w:trPr>
          <w:trHeight w:val="6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98</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Median Section of the Female Pelvis, 2 parts</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8</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3,000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8</w:t>
            </w:r>
          </w:p>
        </w:tc>
      </w:tr>
      <w:tr w:rsidR="004772A2" w:rsidRPr="00E65146" w:rsidTr="004772A2">
        <w:trPr>
          <w:trHeight w:val="649"/>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99</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Median and Frontal Section of the Head</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3,000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8</w:t>
            </w:r>
          </w:p>
        </w:tc>
      </w:tr>
      <w:tr w:rsidR="004772A2" w:rsidRPr="00E65146" w:rsidTr="004772A2">
        <w:trPr>
          <w:trHeight w:val="97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100</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Anatomical Sectional Model of the Head (combined with corresponding MR-Figures)</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3,000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4</w:t>
            </w:r>
          </w:p>
        </w:tc>
      </w:tr>
      <w:tr w:rsidR="004772A2" w:rsidRPr="00E65146" w:rsidTr="004772A2">
        <w:trPr>
          <w:trHeight w:val="409"/>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101</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Benchtop Heart, Lung Model, 2 parts</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3,000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2</w:t>
            </w:r>
          </w:p>
        </w:tc>
      </w:tr>
      <w:tr w:rsidR="004772A2" w:rsidRPr="00E65146" w:rsidTr="004772A2">
        <w:trPr>
          <w:trHeight w:val="31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102</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Heart model, 2 parts, 3/4 life size</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3,000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4</w:t>
            </w:r>
          </w:p>
        </w:tc>
      </w:tr>
      <w:tr w:rsidR="004772A2" w:rsidRPr="00E65146" w:rsidTr="004772A2">
        <w:trPr>
          <w:trHeight w:val="67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103</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Human Anatomy 3D simulator</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3,000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7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EQ 24</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b/>
                <w:bCs/>
                <w:sz w:val="19"/>
                <w:szCs w:val="19"/>
              </w:rPr>
            </w:pPr>
            <w:r w:rsidRPr="00723829">
              <w:rPr>
                <w:rFonts w:ascii="Arial" w:hAnsi="Arial" w:cs="Arial"/>
                <w:b/>
                <w:bCs/>
                <w:sz w:val="19"/>
                <w:szCs w:val="19"/>
              </w:rPr>
              <w:t xml:space="preserve"> Pre-Clinic Practice Equipment of Function Examine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b/>
                <w:bCs/>
                <w:sz w:val="19"/>
                <w:szCs w:val="19"/>
              </w:rPr>
            </w:pPr>
            <w:r w:rsidRPr="00723829">
              <w:rPr>
                <w:rFonts w:ascii="Arial" w:hAnsi="Arial" w:cs="Arial"/>
                <w:b/>
                <w:bCs/>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21</w:t>
            </w:r>
          </w:p>
        </w:tc>
      </w:tr>
      <w:tr w:rsidR="004772A2" w:rsidRPr="00E65146" w:rsidTr="004772A2">
        <w:trPr>
          <w:trHeight w:val="315"/>
        </w:trPr>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4565" w:type="dxa"/>
            <w:tcBorders>
              <w:top w:val="single" w:sz="4" w:space="0" w:color="auto"/>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Portable Doppler Ultrasound, 3 probes</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single" w:sz="4" w:space="0" w:color="auto"/>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single" w:sz="4" w:space="0" w:color="auto"/>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16,000</w:t>
            </w:r>
          </w:p>
        </w:tc>
        <w:tc>
          <w:tcPr>
            <w:tcW w:w="740" w:type="dxa"/>
            <w:tcBorders>
              <w:top w:val="single" w:sz="4" w:space="0" w:color="auto"/>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Spirometer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11,000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3</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Portable transcranial doppler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8,500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Bone density analyzer X-ray (DEXA)</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5,500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5</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Tympanometer, Middle Ear Analyzer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0</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35,000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6</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ACOUSTIC RHINOMETRY</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4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7</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Clinical Audiometer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2</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8</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 xml:space="preserve">Vocal Stimulation Master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20,000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7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9</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Gastroendoscopy (2 gastric, 1 colon)</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14,800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10</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Doppler Ultrasound 4 D, 4 probe</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11,000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11</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Stroboscope Machine</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3,200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6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12</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Dental Drill Bits and Shaper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8,000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13</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Middle Ear Micro Instruments</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94"/>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14</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Micro Instrumnets for Larynx - holder support</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350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15</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Cabin IAC Mini 250</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700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16</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Hematocrit centrifuge</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4,000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17</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Vacutainer® Venous Blood Collection</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100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18</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C13 Urea Breath Test</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250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19</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ENT endoscope 250W</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2,500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7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20</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 xml:space="preserve">ENT Endoscope Light Halogen Twin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1,200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720"/>
        </w:trPr>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EQ 25</w:t>
            </w:r>
          </w:p>
        </w:tc>
        <w:tc>
          <w:tcPr>
            <w:tcW w:w="4565" w:type="dxa"/>
            <w:tcBorders>
              <w:top w:val="single" w:sz="4" w:space="0" w:color="auto"/>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b/>
                <w:bCs/>
                <w:sz w:val="19"/>
                <w:szCs w:val="19"/>
              </w:rPr>
            </w:pPr>
            <w:r w:rsidRPr="00723829">
              <w:rPr>
                <w:rFonts w:ascii="Arial" w:hAnsi="Arial" w:cs="Arial"/>
                <w:b/>
                <w:bCs/>
                <w:sz w:val="19"/>
                <w:szCs w:val="19"/>
              </w:rPr>
              <w:t xml:space="preserve"> Practice Equipment of Traditional Medicine </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892" w:type="dxa"/>
            <w:tcBorders>
              <w:top w:val="single" w:sz="4" w:space="0" w:color="auto"/>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839" w:type="dxa"/>
            <w:tcBorders>
              <w:top w:val="single" w:sz="4" w:space="0" w:color="auto"/>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8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b/>
                <w:bCs/>
                <w:sz w:val="19"/>
                <w:szCs w:val="19"/>
              </w:rPr>
            </w:pPr>
            <w:r w:rsidRPr="00723829">
              <w:rPr>
                <w:rFonts w:ascii="Arial" w:hAnsi="Arial" w:cs="Arial"/>
                <w:b/>
                <w:bCs/>
                <w:sz w:val="19"/>
                <w:szCs w:val="19"/>
              </w:rPr>
              <w:t>400</w:t>
            </w:r>
          </w:p>
        </w:tc>
        <w:tc>
          <w:tcPr>
            <w:tcW w:w="740" w:type="dxa"/>
            <w:tcBorders>
              <w:top w:val="single" w:sz="4" w:space="0" w:color="auto"/>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36</w:t>
            </w:r>
          </w:p>
        </w:tc>
      </w:tr>
      <w:tr w:rsidR="004772A2" w:rsidRPr="00E65146" w:rsidTr="004772A2">
        <w:trPr>
          <w:trHeight w:val="660"/>
        </w:trPr>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4565" w:type="dxa"/>
            <w:tcBorders>
              <w:top w:val="single" w:sz="4" w:space="0" w:color="auto"/>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Hemaplegia Recovery Instrument</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single" w:sz="4" w:space="0" w:color="auto"/>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single" w:sz="4" w:space="0" w:color="auto"/>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8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1,200</w:t>
            </w:r>
          </w:p>
        </w:tc>
        <w:tc>
          <w:tcPr>
            <w:tcW w:w="740" w:type="dxa"/>
            <w:tcBorders>
              <w:top w:val="single" w:sz="4" w:space="0" w:color="auto"/>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2</w:t>
            </w:r>
          </w:p>
        </w:tc>
      </w:tr>
      <w:tr w:rsidR="004772A2" w:rsidRPr="00E65146" w:rsidTr="004772A2">
        <w:trPr>
          <w:trHeight w:val="37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Single-effect Concentrator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7,000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7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3</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Multipurpose exercising System</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2</w:t>
            </w:r>
          </w:p>
        </w:tc>
      </w:tr>
      <w:tr w:rsidR="004772A2" w:rsidRPr="00E65146" w:rsidTr="004772A2">
        <w:trPr>
          <w:trHeight w:val="6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Sterilisant Liquid Making System</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1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5</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Electrotherapy unit</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2</w:t>
            </w:r>
          </w:p>
        </w:tc>
      </w:tr>
      <w:tr w:rsidR="004772A2" w:rsidRPr="00E65146" w:rsidTr="004772A2">
        <w:trPr>
          <w:trHeight w:val="31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6</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Multi-Frequency Ultrasound</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27"/>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7</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Shortwave therapy unit</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2</w:t>
            </w:r>
          </w:p>
        </w:tc>
      </w:tr>
      <w:tr w:rsidR="004772A2" w:rsidRPr="00E65146" w:rsidTr="004772A2">
        <w:trPr>
          <w:trHeight w:val="327"/>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8</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Soothe Arthrosis pain</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2</w:t>
            </w:r>
          </w:p>
        </w:tc>
      </w:tr>
      <w:tr w:rsidR="004772A2" w:rsidRPr="00E65146" w:rsidTr="004772A2">
        <w:trPr>
          <w:trHeight w:val="327"/>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9</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Spinal Bending Ruler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27"/>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10</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Disintegration Tester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27"/>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11</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Bottle Sealing Machine</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27"/>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12</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 xml:space="preserve">Herb Decoction Packing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27"/>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13</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Spinal Stretch Device</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1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14</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Electric traction system for neck, chest, back</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1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15</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Back and Neck Spine stretch equipment</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2</w:t>
            </w:r>
          </w:p>
        </w:tc>
      </w:tr>
      <w:tr w:rsidR="004772A2" w:rsidRPr="00E65146" w:rsidTr="004772A2">
        <w:trPr>
          <w:trHeight w:val="51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16</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Automatic Decocting Mixing and Packing Machine, 3 pots</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2</w:t>
            </w:r>
          </w:p>
        </w:tc>
      </w:tr>
      <w:tr w:rsidR="004772A2" w:rsidRPr="00E65146" w:rsidTr="004772A2">
        <w:trPr>
          <w:trHeight w:val="31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17</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Medicine herb decoct-extractor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1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18</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3 horizontal axes Herbal Pill Making Machine</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1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19</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Ultrasound therapy unit</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8,000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2</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20</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Oscillating Granulator Machine</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2,000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21</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Fumigation treatment machine (part)</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2,500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2</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22</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Fumigation treatment machine (body)</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300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2</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23</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Extruder - spheronizer system</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1,100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7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24</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 xml:space="preserve">Pulsed and Continuous Shortwave Unit with 2 holding arms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800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4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25</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Fractional CO2 Unixel RF</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120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42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26</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Animal cage system for experiment</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4,500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687"/>
        </w:trPr>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EQ 26</w:t>
            </w:r>
          </w:p>
        </w:tc>
        <w:tc>
          <w:tcPr>
            <w:tcW w:w="4565" w:type="dxa"/>
            <w:tcBorders>
              <w:top w:val="single" w:sz="4" w:space="0" w:color="auto"/>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b/>
                <w:bCs/>
                <w:sz w:val="19"/>
                <w:szCs w:val="19"/>
              </w:rPr>
            </w:pPr>
            <w:r w:rsidRPr="00723829">
              <w:rPr>
                <w:rFonts w:ascii="Arial" w:hAnsi="Arial" w:cs="Arial"/>
                <w:b/>
                <w:bCs/>
                <w:sz w:val="19"/>
                <w:szCs w:val="19"/>
              </w:rPr>
              <w:t xml:space="preserve"> Pre-Clinic Practice Equipment of Surgery and Treatment  </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892" w:type="dxa"/>
            <w:tcBorders>
              <w:top w:val="single" w:sz="4" w:space="0" w:color="auto"/>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839" w:type="dxa"/>
            <w:tcBorders>
              <w:top w:val="single" w:sz="4" w:space="0" w:color="auto"/>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8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b/>
                <w:bCs/>
                <w:sz w:val="19"/>
                <w:szCs w:val="19"/>
              </w:rPr>
            </w:pPr>
            <w:r w:rsidRPr="00723829">
              <w:rPr>
                <w:rFonts w:ascii="Arial" w:hAnsi="Arial" w:cs="Arial"/>
                <w:b/>
                <w:bCs/>
                <w:sz w:val="19"/>
                <w:szCs w:val="19"/>
              </w:rPr>
              <w:t> </w:t>
            </w:r>
          </w:p>
        </w:tc>
        <w:tc>
          <w:tcPr>
            <w:tcW w:w="740" w:type="dxa"/>
            <w:tcBorders>
              <w:top w:val="single" w:sz="4" w:space="0" w:color="auto"/>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32</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Operating table</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Automatic Syringe Pump</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4</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3</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Automatic Infusion pump</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3</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Surgical scrub station</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5</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HF Electro surgical unit</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6</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Infant phototherapy lamp (LED)</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2</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7</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Endotracheotomy instrument set</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2</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8</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Operating light with 2 bulbs</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9</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 xml:space="preserve"> Laparoscope System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10</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Newborn incubator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2</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11</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Enteral Feeding Pump</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2</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12</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Anesthesia apparatus with ventilator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13</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Infant Warmer  (newborn Incubator)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2</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14</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Stable Instantaneous FHR (Fetal Heart Rate)</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15</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Disinfection Solution Spraying Apparatus</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16</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Oxygen concentrator 5l/m</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2</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17</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Fetal Actocardiograph 2 function</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18</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Ventilator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19</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Bedside monitor with 5 parameters</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20</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Bedside monitor with 6 parameters</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21</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Bedside monitor with 7 parameters</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720"/>
        </w:trPr>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EQ 27</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b/>
                <w:bCs/>
                <w:sz w:val="19"/>
                <w:szCs w:val="19"/>
              </w:rPr>
            </w:pPr>
            <w:r w:rsidRPr="00723829">
              <w:rPr>
                <w:rFonts w:ascii="Arial" w:hAnsi="Arial" w:cs="Arial"/>
                <w:b/>
                <w:bCs/>
                <w:sz w:val="19"/>
                <w:szCs w:val="19"/>
              </w:rPr>
              <w:t xml:space="preserve"> Environmental Analysis Lab Equipment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b/>
                <w:bCs/>
                <w:sz w:val="19"/>
                <w:szCs w:val="19"/>
              </w:rPr>
            </w:pPr>
            <w:r w:rsidRPr="00723829">
              <w:rPr>
                <w:rFonts w:ascii="Arial" w:hAnsi="Arial" w:cs="Arial"/>
                <w:b/>
                <w:bCs/>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56</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Hygro-Thermometer Psychrometer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Aqua Tester kit</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3</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Microbiological Analyzing Set</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Meter Kit with BOD Probe</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5</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Meter Kit with pH Electrode</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6</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Dust Monitor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7</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Soil Analzer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8</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Hand Press Dynamometer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3</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3</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9</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Portable Ambient Dust Meter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2</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10</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Colony Counter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11</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Circulating Temperature Adjuster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1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12</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Thermo Raido Meter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3</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13</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Personal Dust Meter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2</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14</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Mass Particle Counter/Dust Monitor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15</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Electromagnetic Meter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16</w:t>
            </w:r>
          </w:p>
        </w:tc>
        <w:tc>
          <w:tcPr>
            <w:tcW w:w="4565" w:type="dxa"/>
            <w:tcBorders>
              <w:top w:val="nil"/>
              <w:left w:val="nil"/>
              <w:bottom w:val="single" w:sz="4" w:space="0" w:color="auto"/>
              <w:right w:val="nil"/>
            </w:tcBorders>
            <w:shd w:val="clear" w:color="000000" w:fill="FFFFFF"/>
            <w:noWrap/>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Vibration Meter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17</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Gas Sample Drawing Monitor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18</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Fat Analyzer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19</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Sound level meter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2</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20</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Radioactive Meter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21</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Visual Acuity Meter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22</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 xml:space="preserve">Heat block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23</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Amiang Dust Collector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3</w:t>
            </w:r>
          </w:p>
        </w:tc>
      </w:tr>
      <w:tr w:rsidR="004772A2" w:rsidRPr="00E65146" w:rsidTr="004772A2">
        <w:trPr>
          <w:trHeight w:val="64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24</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Cotton Dust Collector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3</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25</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Air sampler collector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63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26</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Low speed air collector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3</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3</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27</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 xml:space="preserve"> BOD analyzer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3</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28</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Complete Water Quality Lab</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3</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29</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COD analyzer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2</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30</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Automated Pour Plate Application</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31</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Integrating Sound Level Meter with Real Time Frequency Analysis</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32</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Energy Value Analyzer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2</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33</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Real time vibration Analyzer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34</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Martin anthropometric measurement</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4</w:t>
            </w:r>
          </w:p>
        </w:tc>
      </w:tr>
      <w:tr w:rsidR="004772A2" w:rsidRPr="00E65146" w:rsidTr="004772A2">
        <w:trPr>
          <w:trHeight w:val="67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EQ 28</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b/>
                <w:bCs/>
                <w:sz w:val="19"/>
                <w:szCs w:val="19"/>
              </w:rPr>
            </w:pPr>
            <w:r w:rsidRPr="00723829">
              <w:rPr>
                <w:rFonts w:ascii="Arial" w:hAnsi="Arial" w:cs="Arial"/>
                <w:b/>
                <w:bCs/>
                <w:sz w:val="19"/>
                <w:szCs w:val="19"/>
              </w:rPr>
              <w:t xml:space="preserve"> Practic Laboratory Equipment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b/>
                <w:bCs/>
                <w:sz w:val="19"/>
                <w:szCs w:val="19"/>
              </w:rPr>
            </w:pPr>
            <w:r w:rsidRPr="00723829">
              <w:rPr>
                <w:rFonts w:ascii="Arial" w:hAnsi="Arial" w:cs="Arial"/>
                <w:b/>
                <w:bCs/>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75</w:t>
            </w:r>
          </w:p>
        </w:tc>
      </w:tr>
      <w:tr w:rsidR="004772A2" w:rsidRPr="00E65146" w:rsidTr="004772A2">
        <w:trPr>
          <w:trHeight w:val="31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Water Bath</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7</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7</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Technical Balances 10-1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3</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Technical Balances 10-2</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14</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14</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Analytical Balances 10-4</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19</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19</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5</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Analytical Balances 10-5</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6</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Infrared Moisture Analyzer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7</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Gel Transimulator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3</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3</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8</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UV-Transimulator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9</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double water destilation aparatus</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3</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3</w:t>
            </w:r>
          </w:p>
        </w:tc>
      </w:tr>
      <w:tr w:rsidR="004772A2" w:rsidRPr="00E65146" w:rsidTr="004772A2">
        <w:trPr>
          <w:trHeight w:val="70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10</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Vacuum Rotary Evaporator 5lit</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11</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Turbidity Colorimeter/Photometer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12</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Viscometer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13</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pH meter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14</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Ultrasonic homogenizer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3</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15</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Magnetic Stirre</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2</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16</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Thermo mixer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17</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Vortex Mixer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18</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Ultrasonic cleaner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19</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Homogenizer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20</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Dry block Heater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21</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Vortex shaker 1 sample</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22</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Incubator</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2</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23</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 xml:space="preserve">Fridge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4</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24</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Drying oven</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3</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3</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25</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Vacuum Drying oven</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26</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Vacuum pump</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27</w:t>
            </w:r>
          </w:p>
        </w:tc>
        <w:tc>
          <w:tcPr>
            <w:tcW w:w="4565" w:type="dxa"/>
            <w:tcBorders>
              <w:top w:val="nil"/>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Power source</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w:t>
            </w:r>
          </w:p>
        </w:tc>
      </w:tr>
      <w:tr w:rsidR="004772A2" w:rsidRPr="00E65146" w:rsidTr="004772A2">
        <w:trPr>
          <w:trHeight w:val="492"/>
        </w:trPr>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xml:space="preserve">EQ 29 </w:t>
            </w:r>
          </w:p>
        </w:tc>
        <w:tc>
          <w:tcPr>
            <w:tcW w:w="4565" w:type="dxa"/>
            <w:tcBorders>
              <w:top w:val="single" w:sz="4" w:space="0" w:color="auto"/>
              <w:left w:val="nil"/>
              <w:bottom w:val="single" w:sz="4" w:space="0" w:color="auto"/>
              <w:right w:val="nil"/>
            </w:tcBorders>
            <w:shd w:val="clear" w:color="000000" w:fill="FFFFFF"/>
            <w:vAlign w:val="center"/>
            <w:hideMark/>
          </w:tcPr>
          <w:p w:rsidR="004772A2" w:rsidRPr="00723829" w:rsidRDefault="004772A2" w:rsidP="004772A2">
            <w:pPr>
              <w:rPr>
                <w:rFonts w:ascii="Arial" w:hAnsi="Arial" w:cs="Arial"/>
                <w:b/>
                <w:bCs/>
                <w:sz w:val="19"/>
                <w:szCs w:val="19"/>
              </w:rPr>
            </w:pPr>
            <w:r w:rsidRPr="00723829">
              <w:rPr>
                <w:rFonts w:ascii="Arial" w:hAnsi="Arial" w:cs="Arial"/>
                <w:b/>
                <w:bCs/>
                <w:sz w:val="19"/>
                <w:szCs w:val="19"/>
              </w:rPr>
              <w:t xml:space="preserve"> Equipment of Lecture Hall </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892" w:type="dxa"/>
            <w:tcBorders>
              <w:top w:val="single" w:sz="4" w:space="0" w:color="auto"/>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839" w:type="dxa"/>
            <w:tcBorders>
              <w:top w:val="single" w:sz="4" w:space="0" w:color="auto"/>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8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 </w:t>
            </w:r>
          </w:p>
        </w:tc>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b/>
                <w:bCs/>
                <w:sz w:val="19"/>
                <w:szCs w:val="19"/>
              </w:rPr>
            </w:pPr>
            <w:r w:rsidRPr="00723829">
              <w:rPr>
                <w:rFonts w:ascii="Arial" w:hAnsi="Arial" w:cs="Arial"/>
                <w:b/>
                <w:bCs/>
                <w:sz w:val="19"/>
                <w:szCs w:val="19"/>
              </w:rPr>
              <w:t> </w:t>
            </w:r>
          </w:p>
        </w:tc>
        <w:tc>
          <w:tcPr>
            <w:tcW w:w="740" w:type="dxa"/>
            <w:tcBorders>
              <w:top w:val="single" w:sz="4" w:space="0" w:color="auto"/>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b/>
                <w:bCs/>
                <w:sz w:val="19"/>
                <w:szCs w:val="19"/>
              </w:rPr>
            </w:pPr>
            <w:r w:rsidRPr="00723829">
              <w:rPr>
                <w:rFonts w:ascii="Arial" w:hAnsi="Arial" w:cs="Arial"/>
                <w:b/>
                <w:bCs/>
                <w:sz w:val="19"/>
                <w:szCs w:val="19"/>
              </w:rPr>
              <w:t>107</w:t>
            </w:r>
          </w:p>
        </w:tc>
      </w:tr>
      <w:tr w:rsidR="004772A2" w:rsidRPr="00E65146" w:rsidTr="004772A2">
        <w:trPr>
          <w:trHeight w:val="360"/>
        </w:trPr>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4565" w:type="dxa"/>
            <w:tcBorders>
              <w:top w:val="single" w:sz="4" w:space="0" w:color="auto"/>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Common Barcode Reader</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Barcode Printer</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r>
      <w:tr w:rsidR="004772A2" w:rsidRPr="00E65146" w:rsidTr="004772A2">
        <w:trPr>
          <w:trHeight w:val="6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3</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Audio System for lecture room</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6</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6</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4</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High speed printer</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5</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TV LCD 40", display notice</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6</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Cammera System</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7</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Interaction board</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8</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LAB for foreign language teaching (32 students)</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9</w:t>
            </w:r>
          </w:p>
        </w:tc>
        <w:tc>
          <w:tcPr>
            <w:tcW w:w="4565" w:type="dxa"/>
            <w:tcBorders>
              <w:top w:val="nil"/>
              <w:left w:val="nil"/>
              <w:bottom w:val="single" w:sz="4" w:space="0" w:color="auto"/>
              <w:right w:val="single" w:sz="4" w:space="0" w:color="auto"/>
            </w:tcBorders>
            <w:shd w:val="clear" w:color="000000" w:fill="FFFFFF"/>
            <w:vAlign w:val="bottom"/>
            <w:hideMark/>
          </w:tcPr>
          <w:p w:rsidR="004772A2" w:rsidRPr="00723829" w:rsidRDefault="004772A2" w:rsidP="004772A2">
            <w:pPr>
              <w:rPr>
                <w:rFonts w:ascii="Arial" w:hAnsi="Arial" w:cs="Arial"/>
                <w:sz w:val="19"/>
                <w:szCs w:val="19"/>
              </w:rPr>
            </w:pPr>
            <w:r w:rsidRPr="00723829">
              <w:rPr>
                <w:rFonts w:ascii="Arial" w:hAnsi="Arial" w:cs="Arial"/>
                <w:sz w:val="19"/>
                <w:szCs w:val="19"/>
              </w:rPr>
              <w:t>Monitor LED 90"</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10</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Desktop computer</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35</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35</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70</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11</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Laptop</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12</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12</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12</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Projector</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3</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3</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13</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Dehumidifier</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14</w:t>
            </w:r>
          </w:p>
        </w:tc>
        <w:tc>
          <w:tcPr>
            <w:tcW w:w="4565" w:type="dxa"/>
            <w:tcBorders>
              <w:top w:val="nil"/>
              <w:left w:val="nil"/>
              <w:bottom w:val="single" w:sz="4" w:space="0" w:color="auto"/>
              <w:right w:val="single" w:sz="4" w:space="0" w:color="auto"/>
            </w:tcBorders>
            <w:shd w:val="clear" w:color="000000" w:fill="FFFFFF"/>
            <w:vAlign w:val="center"/>
            <w:hideMark/>
          </w:tcPr>
          <w:p w:rsidR="004772A2" w:rsidRPr="00723829" w:rsidRDefault="004772A2" w:rsidP="004772A2">
            <w:pPr>
              <w:rPr>
                <w:rFonts w:ascii="Arial" w:hAnsi="Arial" w:cs="Arial"/>
                <w:sz w:val="19"/>
                <w:szCs w:val="19"/>
              </w:rPr>
            </w:pPr>
            <w:r w:rsidRPr="00723829">
              <w:rPr>
                <w:rFonts w:ascii="Arial" w:hAnsi="Arial" w:cs="Arial"/>
                <w:sz w:val="19"/>
                <w:szCs w:val="19"/>
              </w:rPr>
              <w:t>Scanner</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2</w:t>
            </w:r>
          </w:p>
        </w:tc>
      </w:tr>
      <w:tr w:rsidR="004772A2" w:rsidRPr="00E65146" w:rsidTr="004772A2">
        <w:trPr>
          <w:trHeight w:val="3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15</w:t>
            </w:r>
          </w:p>
        </w:tc>
        <w:tc>
          <w:tcPr>
            <w:tcW w:w="4565" w:type="dxa"/>
            <w:tcBorders>
              <w:top w:val="nil"/>
              <w:left w:val="nil"/>
              <w:bottom w:val="single" w:sz="4" w:space="0" w:color="auto"/>
              <w:right w:val="single" w:sz="4" w:space="0" w:color="auto"/>
            </w:tcBorders>
            <w:shd w:val="clear" w:color="000000" w:fill="FFFFFF"/>
            <w:vAlign w:val="bottom"/>
            <w:hideMark/>
          </w:tcPr>
          <w:p w:rsidR="004772A2" w:rsidRPr="00723829" w:rsidRDefault="004772A2" w:rsidP="004772A2">
            <w:pPr>
              <w:rPr>
                <w:rFonts w:ascii="Arial" w:hAnsi="Arial" w:cs="Arial"/>
                <w:sz w:val="19"/>
                <w:szCs w:val="19"/>
              </w:rPr>
            </w:pPr>
            <w:r w:rsidRPr="00723829">
              <w:rPr>
                <w:rFonts w:ascii="Arial" w:hAnsi="Arial" w:cs="Arial"/>
                <w:sz w:val="19"/>
                <w:szCs w:val="19"/>
              </w:rPr>
              <w:t>Laser printer</w:t>
            </w:r>
          </w:p>
        </w:tc>
        <w:tc>
          <w:tcPr>
            <w:tcW w:w="740"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nil"/>
              <w:bottom w:val="single" w:sz="4" w:space="0" w:color="auto"/>
              <w:right w:val="nil"/>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3</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 </w:t>
            </w:r>
          </w:p>
        </w:tc>
        <w:tc>
          <w:tcPr>
            <w:tcW w:w="828" w:type="dxa"/>
            <w:tcBorders>
              <w:top w:val="nil"/>
              <w:left w:val="single" w:sz="4" w:space="0" w:color="auto"/>
              <w:bottom w:val="single" w:sz="4" w:space="0" w:color="auto"/>
              <w:right w:val="single" w:sz="4" w:space="0" w:color="auto"/>
            </w:tcBorders>
            <w:shd w:val="clear" w:color="000000" w:fill="FFFFFF"/>
            <w:noWrap/>
            <w:vAlign w:val="center"/>
            <w:hideMark/>
          </w:tcPr>
          <w:p w:rsidR="004772A2" w:rsidRPr="00723829" w:rsidRDefault="004772A2" w:rsidP="004772A2">
            <w:pPr>
              <w:jc w:val="right"/>
              <w:rPr>
                <w:rFonts w:ascii="Arial" w:hAnsi="Arial" w:cs="Arial"/>
                <w:sz w:val="19"/>
                <w:szCs w:val="19"/>
              </w:rPr>
            </w:pPr>
            <w:r w:rsidRPr="00723829">
              <w:rPr>
                <w:rFonts w:ascii="Arial" w:hAnsi="Arial" w:cs="Arial"/>
                <w:sz w:val="19"/>
                <w:szCs w:val="19"/>
              </w:rPr>
              <w:t> </w:t>
            </w:r>
          </w:p>
        </w:tc>
        <w:tc>
          <w:tcPr>
            <w:tcW w:w="740" w:type="dxa"/>
            <w:tcBorders>
              <w:top w:val="nil"/>
              <w:left w:val="single" w:sz="4" w:space="0" w:color="auto"/>
              <w:bottom w:val="single" w:sz="4" w:space="0" w:color="auto"/>
              <w:right w:val="single" w:sz="4" w:space="0" w:color="auto"/>
            </w:tcBorders>
            <w:shd w:val="clear" w:color="000000" w:fill="FFFFFF"/>
            <w:noWrap/>
            <w:vAlign w:val="bottom"/>
            <w:hideMark/>
          </w:tcPr>
          <w:p w:rsidR="004772A2" w:rsidRPr="00723829" w:rsidRDefault="004772A2" w:rsidP="004772A2">
            <w:pPr>
              <w:jc w:val="center"/>
              <w:rPr>
                <w:rFonts w:ascii="Arial" w:hAnsi="Arial" w:cs="Arial"/>
                <w:sz w:val="19"/>
                <w:szCs w:val="19"/>
              </w:rPr>
            </w:pPr>
            <w:r w:rsidRPr="00723829">
              <w:rPr>
                <w:rFonts w:ascii="Arial" w:hAnsi="Arial" w:cs="Arial"/>
                <w:sz w:val="19"/>
                <w:szCs w:val="19"/>
              </w:rPr>
              <w:t>3</w:t>
            </w:r>
          </w:p>
        </w:tc>
      </w:tr>
    </w:tbl>
    <w:p w:rsidR="008B5109" w:rsidRPr="00E65146" w:rsidRDefault="008B5109" w:rsidP="008B5109">
      <w:pPr>
        <w:rPr>
          <w:rFonts w:ascii="Arial" w:hAnsi="Arial" w:cs="Arial"/>
          <w:b/>
        </w:rPr>
      </w:pPr>
    </w:p>
    <w:p w:rsidR="00D113E1" w:rsidRPr="00D113E1" w:rsidRDefault="00D113E1" w:rsidP="00D113E1">
      <w:pPr>
        <w:rPr>
          <w:rFonts w:ascii="Arial" w:hAnsi="Arial" w:cs="Arial"/>
          <w:b/>
          <w:sz w:val="12"/>
          <w:szCs w:val="12"/>
        </w:rPr>
      </w:pPr>
    </w:p>
    <w:p w:rsidR="00D113E1" w:rsidRPr="00D113E1" w:rsidRDefault="00D113E1" w:rsidP="00D113E1">
      <w:pPr>
        <w:rPr>
          <w:rFonts w:ascii="Arial" w:hAnsi="Arial" w:cs="Arial"/>
          <w:sz w:val="18"/>
          <w:szCs w:val="18"/>
        </w:rPr>
      </w:pPr>
      <w:r w:rsidRPr="00D113E1">
        <w:rPr>
          <w:rFonts w:ascii="Arial" w:hAnsi="Arial" w:cs="Arial"/>
          <w:b/>
          <w:sz w:val="18"/>
          <w:szCs w:val="18"/>
        </w:rPr>
        <w:t>Source:</w:t>
      </w:r>
      <w:r w:rsidRPr="00D113E1">
        <w:rPr>
          <w:rFonts w:ascii="Arial" w:hAnsi="Arial" w:cs="Arial"/>
          <w:sz w:val="18"/>
          <w:szCs w:val="18"/>
        </w:rPr>
        <w:t xml:space="preserve"> HHRSDP, </w:t>
      </w:r>
      <w:r>
        <w:rPr>
          <w:rFonts w:ascii="Arial" w:hAnsi="Arial" w:cs="Arial"/>
          <w:sz w:val="18"/>
          <w:szCs w:val="18"/>
        </w:rPr>
        <w:t>Procurement Unit</w:t>
      </w:r>
    </w:p>
    <w:p w:rsidR="00F451AD" w:rsidRPr="00E65146" w:rsidRDefault="00F451AD" w:rsidP="008B5109">
      <w:pPr>
        <w:rPr>
          <w:rFonts w:ascii="Arial" w:hAnsi="Arial" w:cs="Arial"/>
          <w:b/>
        </w:rPr>
      </w:pPr>
      <w:r w:rsidRPr="00E65146">
        <w:rPr>
          <w:rFonts w:ascii="Arial" w:hAnsi="Arial" w:cs="Arial"/>
          <w:b/>
        </w:rPr>
        <w:br w:type="page"/>
      </w:r>
    </w:p>
    <w:p w:rsidR="00642437" w:rsidRPr="00E65146" w:rsidRDefault="00642437" w:rsidP="00CA718F">
      <w:pPr>
        <w:pStyle w:val="ColorfulList-Accent11"/>
        <w:numPr>
          <w:ilvl w:val="0"/>
          <w:numId w:val="8"/>
        </w:numPr>
        <w:pBdr>
          <w:bottom w:val="single" w:sz="6" w:space="1" w:color="auto"/>
        </w:pBdr>
        <w:tabs>
          <w:tab w:val="left" w:pos="1980"/>
        </w:tabs>
        <w:outlineLvl w:val="0"/>
        <w:rPr>
          <w:rFonts w:ascii="Arial" w:hAnsi="Arial" w:cs="Arial"/>
          <w:b/>
          <w:sz w:val="22"/>
          <w:szCs w:val="22"/>
        </w:rPr>
      </w:pPr>
      <w:bookmarkStart w:id="111" w:name="_Toc423359362"/>
      <w:r w:rsidRPr="00E65146">
        <w:rPr>
          <w:rFonts w:ascii="Arial" w:hAnsi="Arial" w:cs="Arial"/>
          <w:b/>
          <w:color w:val="000000"/>
          <w:sz w:val="22"/>
          <w:szCs w:val="22"/>
        </w:rPr>
        <w:t>COST DATA</w:t>
      </w:r>
      <w:bookmarkEnd w:id="111"/>
    </w:p>
    <w:p w:rsidR="004772A2" w:rsidRPr="00E65146" w:rsidRDefault="004772A2" w:rsidP="00701CBA">
      <w:pPr>
        <w:spacing w:before="240" w:after="120"/>
        <w:jc w:val="center"/>
        <w:rPr>
          <w:rFonts w:ascii="Arial" w:hAnsi="Arial" w:cs="Arial"/>
          <w:b/>
          <w:color w:val="000000"/>
        </w:rPr>
      </w:pPr>
      <w:r w:rsidRPr="00E65146">
        <w:rPr>
          <w:rFonts w:ascii="Arial" w:hAnsi="Arial" w:cs="Arial"/>
          <w:b/>
          <w:color w:val="000000"/>
        </w:rPr>
        <w:t>Table 9.1: Allocation of Loan and Grant Funds – Original (PAM 2011)  and at June 30 2015 ($m)</w:t>
      </w:r>
    </w:p>
    <w:tbl>
      <w:tblPr>
        <w:tblW w:w="13939" w:type="dxa"/>
        <w:tblInd w:w="93" w:type="dxa"/>
        <w:tblLook w:val="04A0" w:firstRow="1" w:lastRow="0" w:firstColumn="1" w:lastColumn="0" w:noHBand="0" w:noVBand="1"/>
      </w:tblPr>
      <w:tblGrid>
        <w:gridCol w:w="2715"/>
        <w:gridCol w:w="795"/>
        <w:gridCol w:w="939"/>
        <w:gridCol w:w="1072"/>
        <w:gridCol w:w="795"/>
        <w:gridCol w:w="939"/>
        <w:gridCol w:w="1072"/>
        <w:gridCol w:w="795"/>
        <w:gridCol w:w="939"/>
        <w:gridCol w:w="1072"/>
        <w:gridCol w:w="795"/>
        <w:gridCol w:w="939"/>
        <w:gridCol w:w="1072"/>
      </w:tblGrid>
      <w:tr w:rsidR="00F451AD" w:rsidRPr="00E65146" w:rsidTr="00B85A2E">
        <w:trPr>
          <w:trHeight w:val="255"/>
        </w:trPr>
        <w:tc>
          <w:tcPr>
            <w:tcW w:w="2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1AD" w:rsidRPr="00B85A2E" w:rsidRDefault="00F451AD" w:rsidP="00F451AD">
            <w:pPr>
              <w:jc w:val="center"/>
              <w:rPr>
                <w:rFonts w:ascii="Arial" w:hAnsi="Arial" w:cs="Arial"/>
                <w:b/>
                <w:bCs/>
                <w:color w:val="000000"/>
                <w:sz w:val="19"/>
                <w:szCs w:val="19"/>
              </w:rPr>
            </w:pPr>
            <w:r w:rsidRPr="00B85A2E">
              <w:rPr>
                <w:rFonts w:ascii="Arial" w:hAnsi="Arial" w:cs="Arial"/>
                <w:b/>
                <w:bCs/>
                <w:color w:val="000000"/>
                <w:sz w:val="19"/>
                <w:szCs w:val="19"/>
              </w:rPr>
              <w:t>Item</w:t>
            </w:r>
          </w:p>
        </w:tc>
        <w:tc>
          <w:tcPr>
            <w:tcW w:w="2806" w:type="dxa"/>
            <w:gridSpan w:val="3"/>
            <w:tcBorders>
              <w:top w:val="single" w:sz="4" w:space="0" w:color="auto"/>
              <w:left w:val="nil"/>
              <w:bottom w:val="single" w:sz="4" w:space="0" w:color="auto"/>
              <w:right w:val="single" w:sz="4" w:space="0" w:color="auto"/>
            </w:tcBorders>
            <w:shd w:val="clear" w:color="auto" w:fill="auto"/>
            <w:noWrap/>
            <w:vAlign w:val="center"/>
            <w:hideMark/>
          </w:tcPr>
          <w:p w:rsidR="00F451AD" w:rsidRPr="00B85A2E" w:rsidRDefault="00F451AD" w:rsidP="00F451AD">
            <w:pPr>
              <w:jc w:val="center"/>
              <w:rPr>
                <w:rFonts w:ascii="Arial" w:hAnsi="Arial" w:cs="Arial"/>
                <w:b/>
                <w:bCs/>
                <w:color w:val="000000"/>
                <w:sz w:val="19"/>
                <w:szCs w:val="19"/>
              </w:rPr>
            </w:pPr>
            <w:r w:rsidRPr="00B85A2E">
              <w:rPr>
                <w:rFonts w:ascii="Arial" w:hAnsi="Arial" w:cs="Arial"/>
                <w:b/>
                <w:bCs/>
                <w:color w:val="000000"/>
                <w:sz w:val="19"/>
                <w:szCs w:val="19"/>
              </w:rPr>
              <w:t xml:space="preserve">ADB Loan Allocation </w:t>
            </w:r>
          </w:p>
        </w:tc>
        <w:tc>
          <w:tcPr>
            <w:tcW w:w="2806" w:type="dxa"/>
            <w:gridSpan w:val="3"/>
            <w:tcBorders>
              <w:top w:val="single" w:sz="4" w:space="0" w:color="auto"/>
              <w:left w:val="nil"/>
              <w:bottom w:val="single" w:sz="4" w:space="0" w:color="auto"/>
              <w:right w:val="single" w:sz="4" w:space="0" w:color="auto"/>
            </w:tcBorders>
            <w:shd w:val="clear" w:color="auto" w:fill="auto"/>
            <w:noWrap/>
            <w:vAlign w:val="center"/>
            <w:hideMark/>
          </w:tcPr>
          <w:p w:rsidR="00F451AD" w:rsidRPr="00B85A2E" w:rsidRDefault="00F451AD" w:rsidP="00F451AD">
            <w:pPr>
              <w:jc w:val="center"/>
              <w:rPr>
                <w:rFonts w:ascii="Arial" w:hAnsi="Arial" w:cs="Arial"/>
                <w:b/>
                <w:bCs/>
                <w:color w:val="000000"/>
                <w:sz w:val="19"/>
                <w:szCs w:val="19"/>
              </w:rPr>
            </w:pPr>
            <w:r w:rsidRPr="00B85A2E">
              <w:rPr>
                <w:rFonts w:ascii="Arial" w:hAnsi="Arial" w:cs="Arial"/>
                <w:b/>
                <w:bCs/>
                <w:color w:val="000000"/>
                <w:sz w:val="19"/>
                <w:szCs w:val="19"/>
              </w:rPr>
              <w:t xml:space="preserve">Grant – DFAT Allocation </w:t>
            </w:r>
          </w:p>
        </w:tc>
        <w:tc>
          <w:tcPr>
            <w:tcW w:w="2806" w:type="dxa"/>
            <w:gridSpan w:val="3"/>
            <w:tcBorders>
              <w:top w:val="single" w:sz="4" w:space="0" w:color="auto"/>
              <w:left w:val="nil"/>
              <w:bottom w:val="single" w:sz="4" w:space="0" w:color="auto"/>
              <w:right w:val="single" w:sz="4" w:space="0" w:color="auto"/>
            </w:tcBorders>
            <w:shd w:val="clear" w:color="auto" w:fill="auto"/>
            <w:noWrap/>
            <w:vAlign w:val="center"/>
            <w:hideMark/>
          </w:tcPr>
          <w:p w:rsidR="00F451AD" w:rsidRPr="00B85A2E" w:rsidRDefault="00F451AD" w:rsidP="00F451AD">
            <w:pPr>
              <w:jc w:val="center"/>
              <w:rPr>
                <w:rFonts w:ascii="Arial" w:hAnsi="Arial" w:cs="Arial"/>
                <w:b/>
                <w:bCs/>
                <w:color w:val="000000"/>
                <w:sz w:val="19"/>
                <w:szCs w:val="19"/>
              </w:rPr>
            </w:pPr>
            <w:r w:rsidRPr="00B85A2E">
              <w:rPr>
                <w:rFonts w:ascii="Arial" w:hAnsi="Arial" w:cs="Arial"/>
                <w:b/>
                <w:bCs/>
                <w:color w:val="000000"/>
                <w:sz w:val="19"/>
                <w:szCs w:val="19"/>
              </w:rPr>
              <w:t xml:space="preserve">GOV  Allocation </w:t>
            </w:r>
          </w:p>
        </w:tc>
        <w:tc>
          <w:tcPr>
            <w:tcW w:w="2806" w:type="dxa"/>
            <w:gridSpan w:val="3"/>
            <w:tcBorders>
              <w:top w:val="single" w:sz="4" w:space="0" w:color="auto"/>
              <w:left w:val="nil"/>
              <w:bottom w:val="single" w:sz="4" w:space="0" w:color="auto"/>
              <w:right w:val="single" w:sz="4" w:space="0" w:color="auto"/>
            </w:tcBorders>
            <w:shd w:val="clear" w:color="auto" w:fill="auto"/>
            <w:noWrap/>
            <w:vAlign w:val="center"/>
            <w:hideMark/>
          </w:tcPr>
          <w:p w:rsidR="00F451AD" w:rsidRPr="00B85A2E" w:rsidRDefault="00F451AD" w:rsidP="00F451AD">
            <w:pPr>
              <w:jc w:val="center"/>
              <w:rPr>
                <w:rFonts w:ascii="Arial" w:hAnsi="Arial" w:cs="Arial"/>
                <w:b/>
                <w:bCs/>
                <w:color w:val="000000"/>
                <w:sz w:val="19"/>
                <w:szCs w:val="19"/>
              </w:rPr>
            </w:pPr>
            <w:r w:rsidRPr="00B85A2E">
              <w:rPr>
                <w:rFonts w:ascii="Arial" w:hAnsi="Arial" w:cs="Arial"/>
                <w:b/>
                <w:bCs/>
                <w:color w:val="000000"/>
                <w:sz w:val="19"/>
                <w:szCs w:val="19"/>
              </w:rPr>
              <w:t>TOTAL</w:t>
            </w:r>
          </w:p>
        </w:tc>
      </w:tr>
      <w:tr w:rsidR="00F451AD" w:rsidRPr="00E65146" w:rsidTr="00B85A2E">
        <w:trPr>
          <w:trHeight w:val="555"/>
        </w:trPr>
        <w:tc>
          <w:tcPr>
            <w:tcW w:w="27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51AD" w:rsidRPr="00B85A2E" w:rsidRDefault="00F451AD" w:rsidP="00F451AD">
            <w:pPr>
              <w:rPr>
                <w:rFonts w:ascii="Arial" w:hAnsi="Arial" w:cs="Arial"/>
                <w:b/>
                <w:bCs/>
                <w:color w:val="000000"/>
                <w:sz w:val="19"/>
                <w:szCs w:val="19"/>
              </w:rPr>
            </w:pPr>
          </w:p>
        </w:tc>
        <w:tc>
          <w:tcPr>
            <w:tcW w:w="795" w:type="dxa"/>
            <w:tcBorders>
              <w:top w:val="nil"/>
              <w:left w:val="nil"/>
              <w:bottom w:val="single" w:sz="4" w:space="0" w:color="auto"/>
              <w:right w:val="single" w:sz="4" w:space="0" w:color="auto"/>
            </w:tcBorders>
            <w:shd w:val="clear" w:color="auto" w:fill="auto"/>
            <w:vAlign w:val="center"/>
            <w:hideMark/>
          </w:tcPr>
          <w:p w:rsidR="00F451AD" w:rsidRPr="00B85A2E" w:rsidRDefault="00F451AD" w:rsidP="00F451AD">
            <w:pPr>
              <w:jc w:val="center"/>
              <w:rPr>
                <w:rFonts w:ascii="Arial" w:hAnsi="Arial" w:cs="Arial"/>
                <w:b/>
                <w:bCs/>
                <w:color w:val="000000"/>
                <w:sz w:val="19"/>
                <w:szCs w:val="19"/>
              </w:rPr>
            </w:pPr>
            <w:r w:rsidRPr="00B85A2E">
              <w:rPr>
                <w:rFonts w:ascii="Arial" w:hAnsi="Arial" w:cs="Arial"/>
                <w:b/>
                <w:bCs/>
                <w:color w:val="000000"/>
                <w:sz w:val="19"/>
                <w:szCs w:val="19"/>
              </w:rPr>
              <w:t>PAM (2011)</w:t>
            </w:r>
          </w:p>
        </w:tc>
        <w:tc>
          <w:tcPr>
            <w:tcW w:w="939" w:type="dxa"/>
            <w:tcBorders>
              <w:top w:val="nil"/>
              <w:left w:val="nil"/>
              <w:bottom w:val="single" w:sz="4" w:space="0" w:color="auto"/>
              <w:right w:val="single" w:sz="4" w:space="0" w:color="auto"/>
            </w:tcBorders>
            <w:shd w:val="clear" w:color="auto" w:fill="auto"/>
            <w:vAlign w:val="center"/>
            <w:hideMark/>
          </w:tcPr>
          <w:p w:rsidR="00F451AD" w:rsidRPr="00B85A2E" w:rsidRDefault="00F451AD" w:rsidP="00F451AD">
            <w:pPr>
              <w:jc w:val="center"/>
              <w:rPr>
                <w:rFonts w:ascii="Arial" w:hAnsi="Arial" w:cs="Arial"/>
                <w:b/>
                <w:bCs/>
                <w:color w:val="000000"/>
                <w:sz w:val="19"/>
                <w:szCs w:val="19"/>
              </w:rPr>
            </w:pPr>
            <w:r w:rsidRPr="00B85A2E">
              <w:rPr>
                <w:rFonts w:ascii="Arial" w:hAnsi="Arial" w:cs="Arial"/>
                <w:b/>
                <w:bCs/>
                <w:color w:val="000000"/>
                <w:sz w:val="19"/>
                <w:szCs w:val="19"/>
              </w:rPr>
              <w:t xml:space="preserve">Current </w:t>
            </w:r>
          </w:p>
        </w:tc>
        <w:tc>
          <w:tcPr>
            <w:tcW w:w="1072" w:type="dxa"/>
            <w:tcBorders>
              <w:top w:val="nil"/>
              <w:left w:val="nil"/>
              <w:bottom w:val="single" w:sz="4" w:space="0" w:color="auto"/>
              <w:right w:val="single" w:sz="4" w:space="0" w:color="auto"/>
            </w:tcBorders>
            <w:shd w:val="clear" w:color="auto" w:fill="auto"/>
            <w:vAlign w:val="center"/>
            <w:hideMark/>
          </w:tcPr>
          <w:p w:rsidR="00F451AD" w:rsidRPr="00B85A2E" w:rsidRDefault="00F451AD" w:rsidP="00F451AD">
            <w:pPr>
              <w:jc w:val="center"/>
              <w:rPr>
                <w:rFonts w:ascii="Arial" w:hAnsi="Arial" w:cs="Arial"/>
                <w:b/>
                <w:bCs/>
                <w:color w:val="000000"/>
                <w:sz w:val="19"/>
                <w:szCs w:val="19"/>
              </w:rPr>
            </w:pPr>
            <w:r w:rsidRPr="00B85A2E">
              <w:rPr>
                <w:rFonts w:ascii="Arial" w:hAnsi="Arial" w:cs="Arial"/>
                <w:b/>
                <w:bCs/>
                <w:color w:val="000000"/>
                <w:sz w:val="19"/>
                <w:szCs w:val="19"/>
              </w:rPr>
              <w:t>% Variation</w:t>
            </w:r>
          </w:p>
        </w:tc>
        <w:tc>
          <w:tcPr>
            <w:tcW w:w="795" w:type="dxa"/>
            <w:tcBorders>
              <w:top w:val="nil"/>
              <w:left w:val="nil"/>
              <w:bottom w:val="single" w:sz="4" w:space="0" w:color="auto"/>
              <w:right w:val="single" w:sz="4" w:space="0" w:color="auto"/>
            </w:tcBorders>
            <w:shd w:val="clear" w:color="auto" w:fill="auto"/>
            <w:vAlign w:val="center"/>
            <w:hideMark/>
          </w:tcPr>
          <w:p w:rsidR="00F451AD" w:rsidRPr="00B85A2E" w:rsidRDefault="00F451AD" w:rsidP="00F451AD">
            <w:pPr>
              <w:jc w:val="center"/>
              <w:rPr>
                <w:rFonts w:ascii="Arial" w:hAnsi="Arial" w:cs="Arial"/>
                <w:b/>
                <w:bCs/>
                <w:color w:val="000000"/>
                <w:sz w:val="19"/>
                <w:szCs w:val="19"/>
              </w:rPr>
            </w:pPr>
            <w:r w:rsidRPr="00B85A2E">
              <w:rPr>
                <w:rFonts w:ascii="Arial" w:hAnsi="Arial" w:cs="Arial"/>
                <w:b/>
                <w:bCs/>
                <w:color w:val="000000"/>
                <w:sz w:val="19"/>
                <w:szCs w:val="19"/>
              </w:rPr>
              <w:t>PAM (2011)</w:t>
            </w:r>
          </w:p>
        </w:tc>
        <w:tc>
          <w:tcPr>
            <w:tcW w:w="939" w:type="dxa"/>
            <w:tcBorders>
              <w:top w:val="nil"/>
              <w:left w:val="nil"/>
              <w:bottom w:val="single" w:sz="4" w:space="0" w:color="auto"/>
              <w:right w:val="single" w:sz="4" w:space="0" w:color="auto"/>
            </w:tcBorders>
            <w:shd w:val="clear" w:color="auto" w:fill="auto"/>
            <w:vAlign w:val="center"/>
            <w:hideMark/>
          </w:tcPr>
          <w:p w:rsidR="00F451AD" w:rsidRPr="00B85A2E" w:rsidRDefault="00F451AD" w:rsidP="00F451AD">
            <w:pPr>
              <w:jc w:val="center"/>
              <w:rPr>
                <w:rFonts w:ascii="Arial" w:hAnsi="Arial" w:cs="Arial"/>
                <w:b/>
                <w:bCs/>
                <w:color w:val="000000"/>
                <w:sz w:val="19"/>
                <w:szCs w:val="19"/>
              </w:rPr>
            </w:pPr>
            <w:r w:rsidRPr="00B85A2E">
              <w:rPr>
                <w:rFonts w:ascii="Arial" w:hAnsi="Arial" w:cs="Arial"/>
                <w:b/>
                <w:bCs/>
                <w:color w:val="000000"/>
                <w:sz w:val="19"/>
                <w:szCs w:val="19"/>
              </w:rPr>
              <w:t xml:space="preserve">Current </w:t>
            </w:r>
          </w:p>
        </w:tc>
        <w:tc>
          <w:tcPr>
            <w:tcW w:w="1072" w:type="dxa"/>
            <w:tcBorders>
              <w:top w:val="nil"/>
              <w:left w:val="nil"/>
              <w:bottom w:val="single" w:sz="4" w:space="0" w:color="auto"/>
              <w:right w:val="single" w:sz="4" w:space="0" w:color="auto"/>
            </w:tcBorders>
            <w:shd w:val="clear" w:color="auto" w:fill="auto"/>
            <w:vAlign w:val="center"/>
            <w:hideMark/>
          </w:tcPr>
          <w:p w:rsidR="00F451AD" w:rsidRPr="00B85A2E" w:rsidRDefault="00F451AD" w:rsidP="00F451AD">
            <w:pPr>
              <w:jc w:val="center"/>
              <w:rPr>
                <w:rFonts w:ascii="Arial" w:hAnsi="Arial" w:cs="Arial"/>
                <w:b/>
                <w:bCs/>
                <w:color w:val="000000"/>
                <w:sz w:val="19"/>
                <w:szCs w:val="19"/>
              </w:rPr>
            </w:pPr>
            <w:r w:rsidRPr="00B85A2E">
              <w:rPr>
                <w:rFonts w:ascii="Arial" w:hAnsi="Arial" w:cs="Arial"/>
                <w:b/>
                <w:bCs/>
                <w:color w:val="000000"/>
                <w:sz w:val="19"/>
                <w:szCs w:val="19"/>
              </w:rPr>
              <w:t>% Variation</w:t>
            </w:r>
          </w:p>
        </w:tc>
        <w:tc>
          <w:tcPr>
            <w:tcW w:w="795" w:type="dxa"/>
            <w:tcBorders>
              <w:top w:val="nil"/>
              <w:left w:val="nil"/>
              <w:bottom w:val="single" w:sz="4" w:space="0" w:color="auto"/>
              <w:right w:val="single" w:sz="4" w:space="0" w:color="auto"/>
            </w:tcBorders>
            <w:shd w:val="clear" w:color="auto" w:fill="auto"/>
            <w:vAlign w:val="center"/>
            <w:hideMark/>
          </w:tcPr>
          <w:p w:rsidR="00F451AD" w:rsidRPr="00B85A2E" w:rsidRDefault="00F451AD" w:rsidP="00F451AD">
            <w:pPr>
              <w:jc w:val="center"/>
              <w:rPr>
                <w:rFonts w:ascii="Arial" w:hAnsi="Arial" w:cs="Arial"/>
                <w:b/>
                <w:bCs/>
                <w:color w:val="000000"/>
                <w:sz w:val="19"/>
                <w:szCs w:val="19"/>
              </w:rPr>
            </w:pPr>
            <w:r w:rsidRPr="00B85A2E">
              <w:rPr>
                <w:rFonts w:ascii="Arial" w:hAnsi="Arial" w:cs="Arial"/>
                <w:b/>
                <w:bCs/>
                <w:color w:val="000000"/>
                <w:sz w:val="19"/>
                <w:szCs w:val="19"/>
              </w:rPr>
              <w:t>PAM (2011)</w:t>
            </w:r>
          </w:p>
        </w:tc>
        <w:tc>
          <w:tcPr>
            <w:tcW w:w="939" w:type="dxa"/>
            <w:tcBorders>
              <w:top w:val="nil"/>
              <w:left w:val="nil"/>
              <w:bottom w:val="single" w:sz="4" w:space="0" w:color="auto"/>
              <w:right w:val="single" w:sz="4" w:space="0" w:color="auto"/>
            </w:tcBorders>
            <w:shd w:val="clear" w:color="auto" w:fill="auto"/>
            <w:vAlign w:val="center"/>
            <w:hideMark/>
          </w:tcPr>
          <w:p w:rsidR="00F451AD" w:rsidRPr="00B85A2E" w:rsidRDefault="00F451AD" w:rsidP="00F451AD">
            <w:pPr>
              <w:jc w:val="center"/>
              <w:rPr>
                <w:rFonts w:ascii="Arial" w:hAnsi="Arial" w:cs="Arial"/>
                <w:b/>
                <w:bCs/>
                <w:color w:val="000000"/>
                <w:sz w:val="19"/>
                <w:szCs w:val="19"/>
              </w:rPr>
            </w:pPr>
            <w:r w:rsidRPr="00B85A2E">
              <w:rPr>
                <w:rFonts w:ascii="Arial" w:hAnsi="Arial" w:cs="Arial"/>
                <w:b/>
                <w:bCs/>
                <w:color w:val="000000"/>
                <w:sz w:val="19"/>
                <w:szCs w:val="19"/>
              </w:rPr>
              <w:t>Current</w:t>
            </w:r>
          </w:p>
        </w:tc>
        <w:tc>
          <w:tcPr>
            <w:tcW w:w="1072" w:type="dxa"/>
            <w:tcBorders>
              <w:top w:val="nil"/>
              <w:left w:val="nil"/>
              <w:bottom w:val="single" w:sz="4" w:space="0" w:color="auto"/>
              <w:right w:val="single" w:sz="4" w:space="0" w:color="auto"/>
            </w:tcBorders>
            <w:shd w:val="clear" w:color="auto" w:fill="auto"/>
            <w:vAlign w:val="center"/>
            <w:hideMark/>
          </w:tcPr>
          <w:p w:rsidR="00F451AD" w:rsidRPr="00B85A2E" w:rsidRDefault="00F451AD" w:rsidP="00F451AD">
            <w:pPr>
              <w:jc w:val="center"/>
              <w:rPr>
                <w:rFonts w:ascii="Arial" w:hAnsi="Arial" w:cs="Arial"/>
                <w:b/>
                <w:bCs/>
                <w:color w:val="000000"/>
                <w:sz w:val="19"/>
                <w:szCs w:val="19"/>
              </w:rPr>
            </w:pPr>
            <w:r w:rsidRPr="00B85A2E">
              <w:rPr>
                <w:rFonts w:ascii="Arial" w:hAnsi="Arial" w:cs="Arial"/>
                <w:b/>
                <w:bCs/>
                <w:color w:val="000000"/>
                <w:sz w:val="19"/>
                <w:szCs w:val="19"/>
              </w:rPr>
              <w:t>% Variation</w:t>
            </w:r>
          </w:p>
        </w:tc>
        <w:tc>
          <w:tcPr>
            <w:tcW w:w="795" w:type="dxa"/>
            <w:tcBorders>
              <w:top w:val="nil"/>
              <w:left w:val="nil"/>
              <w:bottom w:val="single" w:sz="4" w:space="0" w:color="auto"/>
              <w:right w:val="single" w:sz="4" w:space="0" w:color="auto"/>
            </w:tcBorders>
            <w:shd w:val="clear" w:color="auto" w:fill="auto"/>
            <w:vAlign w:val="center"/>
            <w:hideMark/>
          </w:tcPr>
          <w:p w:rsidR="00F451AD" w:rsidRPr="00B85A2E" w:rsidRDefault="00F451AD" w:rsidP="00F451AD">
            <w:pPr>
              <w:jc w:val="center"/>
              <w:rPr>
                <w:rFonts w:ascii="Arial" w:hAnsi="Arial" w:cs="Arial"/>
                <w:b/>
                <w:bCs/>
                <w:color w:val="000000"/>
                <w:sz w:val="19"/>
                <w:szCs w:val="19"/>
              </w:rPr>
            </w:pPr>
            <w:r w:rsidRPr="00B85A2E">
              <w:rPr>
                <w:rFonts w:ascii="Arial" w:hAnsi="Arial" w:cs="Arial"/>
                <w:b/>
                <w:bCs/>
                <w:color w:val="000000"/>
                <w:sz w:val="19"/>
                <w:szCs w:val="19"/>
              </w:rPr>
              <w:t>PAM (2011)</w:t>
            </w:r>
          </w:p>
        </w:tc>
        <w:tc>
          <w:tcPr>
            <w:tcW w:w="939" w:type="dxa"/>
            <w:tcBorders>
              <w:top w:val="nil"/>
              <w:left w:val="nil"/>
              <w:bottom w:val="single" w:sz="4" w:space="0" w:color="auto"/>
              <w:right w:val="single" w:sz="4" w:space="0" w:color="auto"/>
            </w:tcBorders>
            <w:shd w:val="clear" w:color="auto" w:fill="auto"/>
            <w:vAlign w:val="center"/>
            <w:hideMark/>
          </w:tcPr>
          <w:p w:rsidR="00F451AD" w:rsidRPr="00B85A2E" w:rsidRDefault="00F451AD" w:rsidP="00F451AD">
            <w:pPr>
              <w:jc w:val="center"/>
              <w:rPr>
                <w:rFonts w:ascii="Arial" w:hAnsi="Arial" w:cs="Arial"/>
                <w:b/>
                <w:bCs/>
                <w:color w:val="000000"/>
                <w:sz w:val="19"/>
                <w:szCs w:val="19"/>
              </w:rPr>
            </w:pPr>
            <w:r w:rsidRPr="00B85A2E">
              <w:rPr>
                <w:rFonts w:ascii="Arial" w:hAnsi="Arial" w:cs="Arial"/>
                <w:b/>
                <w:bCs/>
                <w:color w:val="000000"/>
                <w:sz w:val="19"/>
                <w:szCs w:val="19"/>
              </w:rPr>
              <w:t>Current</w:t>
            </w:r>
          </w:p>
        </w:tc>
        <w:tc>
          <w:tcPr>
            <w:tcW w:w="1072" w:type="dxa"/>
            <w:tcBorders>
              <w:top w:val="nil"/>
              <w:left w:val="nil"/>
              <w:bottom w:val="single" w:sz="4" w:space="0" w:color="auto"/>
              <w:right w:val="single" w:sz="4" w:space="0" w:color="auto"/>
            </w:tcBorders>
            <w:shd w:val="clear" w:color="auto" w:fill="auto"/>
            <w:vAlign w:val="center"/>
            <w:hideMark/>
          </w:tcPr>
          <w:p w:rsidR="00F451AD" w:rsidRPr="00B85A2E" w:rsidRDefault="00F451AD" w:rsidP="00F451AD">
            <w:pPr>
              <w:jc w:val="center"/>
              <w:rPr>
                <w:rFonts w:ascii="Arial" w:hAnsi="Arial" w:cs="Arial"/>
                <w:b/>
                <w:bCs/>
                <w:color w:val="000000"/>
                <w:sz w:val="19"/>
                <w:szCs w:val="19"/>
              </w:rPr>
            </w:pPr>
            <w:r w:rsidRPr="00B85A2E">
              <w:rPr>
                <w:rFonts w:ascii="Arial" w:hAnsi="Arial" w:cs="Arial"/>
                <w:b/>
                <w:bCs/>
                <w:color w:val="000000"/>
                <w:sz w:val="19"/>
                <w:szCs w:val="19"/>
              </w:rPr>
              <w:t>% Variation</w:t>
            </w:r>
          </w:p>
        </w:tc>
      </w:tr>
      <w:tr w:rsidR="00F451AD" w:rsidRPr="00E65146" w:rsidTr="00F451AD">
        <w:trPr>
          <w:trHeight w:val="255"/>
        </w:trPr>
        <w:tc>
          <w:tcPr>
            <w:tcW w:w="2715" w:type="dxa"/>
            <w:tcBorders>
              <w:top w:val="nil"/>
              <w:left w:val="single" w:sz="4" w:space="0" w:color="auto"/>
              <w:bottom w:val="single" w:sz="4" w:space="0" w:color="auto"/>
              <w:right w:val="single" w:sz="4" w:space="0" w:color="auto"/>
            </w:tcBorders>
            <w:shd w:val="clear" w:color="auto" w:fill="auto"/>
            <w:vAlign w:val="bottom"/>
            <w:hideMark/>
          </w:tcPr>
          <w:p w:rsidR="00F451AD" w:rsidRPr="00B85A2E" w:rsidRDefault="00F451AD" w:rsidP="00F451AD">
            <w:pPr>
              <w:rPr>
                <w:rFonts w:ascii="Arial" w:hAnsi="Arial" w:cs="Arial"/>
                <w:color w:val="000000"/>
                <w:sz w:val="19"/>
                <w:szCs w:val="19"/>
              </w:rPr>
            </w:pPr>
            <w:r w:rsidRPr="00B85A2E">
              <w:rPr>
                <w:rFonts w:ascii="Arial" w:hAnsi="Arial" w:cs="Arial"/>
                <w:color w:val="000000"/>
                <w:sz w:val="19"/>
                <w:szCs w:val="19"/>
              </w:rPr>
              <w:t>1. Work</w:t>
            </w:r>
          </w:p>
        </w:tc>
        <w:tc>
          <w:tcPr>
            <w:tcW w:w="795"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1.10</w:t>
            </w:r>
          </w:p>
        </w:tc>
        <w:tc>
          <w:tcPr>
            <w:tcW w:w="939"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1.09</w:t>
            </w:r>
          </w:p>
        </w:tc>
        <w:tc>
          <w:tcPr>
            <w:tcW w:w="1072"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-0.6%</w:t>
            </w:r>
          </w:p>
        </w:tc>
        <w:tc>
          <w:tcPr>
            <w:tcW w:w="795"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rPr>
                <w:rFonts w:ascii="Arial" w:hAnsi="Arial" w:cs="Arial"/>
                <w:color w:val="000000"/>
                <w:sz w:val="19"/>
                <w:szCs w:val="19"/>
              </w:rPr>
            </w:pPr>
            <w:r w:rsidRPr="00B85A2E">
              <w:rPr>
                <w:rFonts w:ascii="Arial" w:hAnsi="Arial" w:cs="Arial"/>
                <w:color w:val="000000"/>
                <w:sz w:val="19"/>
                <w:szCs w:val="19"/>
              </w:rPr>
              <w:t> </w:t>
            </w:r>
          </w:p>
        </w:tc>
        <w:tc>
          <w:tcPr>
            <w:tcW w:w="939"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rPr>
                <w:rFonts w:ascii="Arial" w:hAnsi="Arial" w:cs="Arial"/>
                <w:color w:val="000000"/>
                <w:sz w:val="19"/>
                <w:szCs w:val="19"/>
              </w:rPr>
            </w:pPr>
            <w:r w:rsidRPr="00B85A2E">
              <w:rPr>
                <w:rFonts w:ascii="Arial" w:hAnsi="Arial" w:cs="Arial"/>
                <w:color w:val="000000"/>
                <w:sz w:val="19"/>
                <w:szCs w:val="19"/>
              </w:rPr>
              <w:t> </w:t>
            </w:r>
          </w:p>
        </w:tc>
        <w:tc>
          <w:tcPr>
            <w:tcW w:w="1072"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rPr>
                <w:rFonts w:ascii="Arial" w:hAnsi="Arial" w:cs="Arial"/>
                <w:color w:val="000000"/>
                <w:sz w:val="19"/>
                <w:szCs w:val="19"/>
              </w:rPr>
            </w:pPr>
            <w:r w:rsidRPr="00B85A2E">
              <w:rPr>
                <w:rFonts w:ascii="Arial" w:hAnsi="Arial" w:cs="Arial"/>
                <w:color w:val="000000"/>
                <w:sz w:val="19"/>
                <w:szCs w:val="19"/>
              </w:rPr>
              <w:t> </w:t>
            </w:r>
          </w:p>
        </w:tc>
        <w:tc>
          <w:tcPr>
            <w:tcW w:w="795"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0.12</w:t>
            </w:r>
          </w:p>
        </w:tc>
        <w:tc>
          <w:tcPr>
            <w:tcW w:w="939"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0.12</w:t>
            </w:r>
          </w:p>
        </w:tc>
        <w:tc>
          <w:tcPr>
            <w:tcW w:w="1072"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1.3%</w:t>
            </w:r>
          </w:p>
        </w:tc>
        <w:tc>
          <w:tcPr>
            <w:tcW w:w="795"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1.22</w:t>
            </w:r>
          </w:p>
        </w:tc>
        <w:tc>
          <w:tcPr>
            <w:tcW w:w="939"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1.22</w:t>
            </w:r>
          </w:p>
        </w:tc>
        <w:tc>
          <w:tcPr>
            <w:tcW w:w="1072"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-0.4%</w:t>
            </w:r>
          </w:p>
        </w:tc>
      </w:tr>
      <w:tr w:rsidR="00F451AD" w:rsidRPr="00E65146" w:rsidTr="00F451AD">
        <w:trPr>
          <w:trHeight w:val="255"/>
        </w:trPr>
        <w:tc>
          <w:tcPr>
            <w:tcW w:w="2715" w:type="dxa"/>
            <w:tcBorders>
              <w:top w:val="nil"/>
              <w:left w:val="single" w:sz="4" w:space="0" w:color="auto"/>
              <w:bottom w:val="single" w:sz="4" w:space="0" w:color="auto"/>
              <w:right w:val="single" w:sz="4" w:space="0" w:color="auto"/>
            </w:tcBorders>
            <w:shd w:val="clear" w:color="auto" w:fill="auto"/>
            <w:vAlign w:val="bottom"/>
            <w:hideMark/>
          </w:tcPr>
          <w:p w:rsidR="00F451AD" w:rsidRPr="00B85A2E" w:rsidRDefault="00F451AD" w:rsidP="00F451AD">
            <w:pPr>
              <w:rPr>
                <w:rFonts w:ascii="Arial" w:hAnsi="Arial" w:cs="Arial"/>
                <w:color w:val="000000"/>
                <w:sz w:val="19"/>
                <w:szCs w:val="19"/>
              </w:rPr>
            </w:pPr>
            <w:r w:rsidRPr="00B85A2E">
              <w:rPr>
                <w:rFonts w:ascii="Arial" w:hAnsi="Arial" w:cs="Arial"/>
                <w:color w:val="000000"/>
                <w:sz w:val="19"/>
                <w:szCs w:val="19"/>
              </w:rPr>
              <w:t>2. Equipment</w:t>
            </w:r>
          </w:p>
        </w:tc>
        <w:tc>
          <w:tcPr>
            <w:tcW w:w="795"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16.24</w:t>
            </w:r>
          </w:p>
        </w:tc>
        <w:tc>
          <w:tcPr>
            <w:tcW w:w="939"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16.14</w:t>
            </w:r>
          </w:p>
        </w:tc>
        <w:tc>
          <w:tcPr>
            <w:tcW w:w="1072"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-0.6%</w:t>
            </w:r>
          </w:p>
        </w:tc>
        <w:tc>
          <w:tcPr>
            <w:tcW w:w="795"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0.05</w:t>
            </w:r>
          </w:p>
        </w:tc>
        <w:tc>
          <w:tcPr>
            <w:tcW w:w="939"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2.85</w:t>
            </w:r>
          </w:p>
        </w:tc>
        <w:tc>
          <w:tcPr>
            <w:tcW w:w="1072"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5600.0%</w:t>
            </w:r>
          </w:p>
        </w:tc>
        <w:tc>
          <w:tcPr>
            <w:tcW w:w="795"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1.81</w:t>
            </w:r>
          </w:p>
        </w:tc>
        <w:tc>
          <w:tcPr>
            <w:tcW w:w="939"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1.81</w:t>
            </w:r>
          </w:p>
        </w:tc>
        <w:tc>
          <w:tcPr>
            <w:tcW w:w="1072"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0.2%</w:t>
            </w:r>
          </w:p>
        </w:tc>
        <w:tc>
          <w:tcPr>
            <w:tcW w:w="795"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18.10</w:t>
            </w:r>
          </w:p>
        </w:tc>
        <w:tc>
          <w:tcPr>
            <w:tcW w:w="939"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20.81</w:t>
            </w:r>
          </w:p>
        </w:tc>
        <w:tc>
          <w:tcPr>
            <w:tcW w:w="1072"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14.9%</w:t>
            </w:r>
          </w:p>
        </w:tc>
      </w:tr>
      <w:tr w:rsidR="00F451AD" w:rsidRPr="00E65146" w:rsidTr="00F451AD">
        <w:trPr>
          <w:trHeight w:val="255"/>
        </w:trPr>
        <w:tc>
          <w:tcPr>
            <w:tcW w:w="2715" w:type="dxa"/>
            <w:tcBorders>
              <w:top w:val="nil"/>
              <w:left w:val="single" w:sz="4" w:space="0" w:color="auto"/>
              <w:bottom w:val="single" w:sz="4" w:space="0" w:color="auto"/>
              <w:right w:val="single" w:sz="4" w:space="0" w:color="auto"/>
            </w:tcBorders>
            <w:shd w:val="clear" w:color="auto" w:fill="auto"/>
            <w:vAlign w:val="bottom"/>
            <w:hideMark/>
          </w:tcPr>
          <w:p w:rsidR="00F451AD" w:rsidRPr="00B85A2E" w:rsidRDefault="00F451AD" w:rsidP="00F451AD">
            <w:pPr>
              <w:rPr>
                <w:rFonts w:ascii="Arial" w:hAnsi="Arial" w:cs="Arial"/>
                <w:color w:val="000000"/>
                <w:sz w:val="19"/>
                <w:szCs w:val="19"/>
              </w:rPr>
            </w:pPr>
            <w:r w:rsidRPr="00B85A2E">
              <w:rPr>
                <w:rFonts w:ascii="Arial" w:hAnsi="Arial" w:cs="Arial"/>
                <w:color w:val="000000"/>
                <w:sz w:val="19"/>
                <w:szCs w:val="19"/>
              </w:rPr>
              <w:t>3. Workshops and Studies</w:t>
            </w:r>
          </w:p>
        </w:tc>
        <w:tc>
          <w:tcPr>
            <w:tcW w:w="795"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3.29</w:t>
            </w:r>
          </w:p>
        </w:tc>
        <w:tc>
          <w:tcPr>
            <w:tcW w:w="939"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3.29</w:t>
            </w:r>
          </w:p>
        </w:tc>
        <w:tc>
          <w:tcPr>
            <w:tcW w:w="1072"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0.0%</w:t>
            </w:r>
          </w:p>
        </w:tc>
        <w:tc>
          <w:tcPr>
            <w:tcW w:w="795"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rPr>
                <w:rFonts w:ascii="Arial" w:hAnsi="Arial" w:cs="Arial"/>
                <w:color w:val="000000"/>
                <w:sz w:val="19"/>
                <w:szCs w:val="19"/>
              </w:rPr>
            </w:pPr>
            <w:r w:rsidRPr="00B85A2E">
              <w:rPr>
                <w:rFonts w:ascii="Arial" w:hAnsi="Arial" w:cs="Arial"/>
                <w:color w:val="000000"/>
                <w:sz w:val="19"/>
                <w:szCs w:val="19"/>
              </w:rPr>
              <w:t> </w:t>
            </w:r>
          </w:p>
        </w:tc>
        <w:tc>
          <w:tcPr>
            <w:tcW w:w="939"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rPr>
                <w:rFonts w:ascii="Arial" w:hAnsi="Arial" w:cs="Arial"/>
                <w:color w:val="000000"/>
                <w:sz w:val="19"/>
                <w:szCs w:val="19"/>
              </w:rPr>
            </w:pPr>
            <w:r w:rsidRPr="00B85A2E">
              <w:rPr>
                <w:rFonts w:ascii="Arial" w:hAnsi="Arial" w:cs="Arial"/>
                <w:color w:val="000000"/>
                <w:sz w:val="19"/>
                <w:szCs w:val="19"/>
              </w:rPr>
              <w:t> </w:t>
            </w:r>
          </w:p>
        </w:tc>
        <w:tc>
          <w:tcPr>
            <w:tcW w:w="1072"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rPr>
                <w:rFonts w:ascii="Arial" w:hAnsi="Arial" w:cs="Arial"/>
                <w:color w:val="000000"/>
                <w:sz w:val="19"/>
                <w:szCs w:val="19"/>
              </w:rPr>
            </w:pPr>
            <w:r w:rsidRPr="00B85A2E">
              <w:rPr>
                <w:rFonts w:ascii="Arial" w:hAnsi="Arial" w:cs="Arial"/>
                <w:color w:val="000000"/>
                <w:sz w:val="19"/>
                <w:szCs w:val="19"/>
              </w:rPr>
              <w:t> </w:t>
            </w:r>
          </w:p>
        </w:tc>
        <w:tc>
          <w:tcPr>
            <w:tcW w:w="795"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0.31</w:t>
            </w:r>
          </w:p>
        </w:tc>
        <w:tc>
          <w:tcPr>
            <w:tcW w:w="939"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0.29</w:t>
            </w:r>
          </w:p>
        </w:tc>
        <w:tc>
          <w:tcPr>
            <w:tcW w:w="1072"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-6.7%</w:t>
            </w:r>
          </w:p>
        </w:tc>
        <w:tc>
          <w:tcPr>
            <w:tcW w:w="795"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3.60</w:t>
            </w:r>
          </w:p>
        </w:tc>
        <w:tc>
          <w:tcPr>
            <w:tcW w:w="939"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3.58</w:t>
            </w:r>
          </w:p>
        </w:tc>
        <w:tc>
          <w:tcPr>
            <w:tcW w:w="1072"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-0.6%</w:t>
            </w:r>
          </w:p>
        </w:tc>
      </w:tr>
      <w:tr w:rsidR="00F451AD" w:rsidRPr="00E65146" w:rsidTr="00F451AD">
        <w:trPr>
          <w:trHeight w:val="255"/>
        </w:trPr>
        <w:tc>
          <w:tcPr>
            <w:tcW w:w="2715" w:type="dxa"/>
            <w:tcBorders>
              <w:top w:val="nil"/>
              <w:left w:val="single" w:sz="4" w:space="0" w:color="auto"/>
              <w:bottom w:val="single" w:sz="4" w:space="0" w:color="auto"/>
              <w:right w:val="single" w:sz="4" w:space="0" w:color="auto"/>
            </w:tcBorders>
            <w:shd w:val="clear" w:color="auto" w:fill="auto"/>
            <w:vAlign w:val="bottom"/>
            <w:hideMark/>
          </w:tcPr>
          <w:p w:rsidR="00F451AD" w:rsidRPr="00B85A2E" w:rsidRDefault="00F451AD" w:rsidP="00F451AD">
            <w:pPr>
              <w:rPr>
                <w:rFonts w:ascii="Arial" w:hAnsi="Arial" w:cs="Arial"/>
                <w:color w:val="000000"/>
                <w:sz w:val="19"/>
                <w:szCs w:val="19"/>
              </w:rPr>
            </w:pPr>
            <w:r w:rsidRPr="00B85A2E">
              <w:rPr>
                <w:rFonts w:ascii="Arial" w:hAnsi="Arial" w:cs="Arial"/>
                <w:color w:val="000000"/>
                <w:sz w:val="19"/>
                <w:szCs w:val="19"/>
              </w:rPr>
              <w:t>4. Education and Training</w:t>
            </w:r>
          </w:p>
        </w:tc>
        <w:tc>
          <w:tcPr>
            <w:tcW w:w="795"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5.40</w:t>
            </w:r>
          </w:p>
        </w:tc>
        <w:tc>
          <w:tcPr>
            <w:tcW w:w="939"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4.69</w:t>
            </w:r>
          </w:p>
        </w:tc>
        <w:tc>
          <w:tcPr>
            <w:tcW w:w="1072"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-13.1%</w:t>
            </w:r>
          </w:p>
        </w:tc>
        <w:tc>
          <w:tcPr>
            <w:tcW w:w="795"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rPr>
                <w:rFonts w:ascii="Arial" w:hAnsi="Arial" w:cs="Arial"/>
                <w:color w:val="000000"/>
                <w:sz w:val="19"/>
                <w:szCs w:val="19"/>
              </w:rPr>
            </w:pPr>
            <w:r w:rsidRPr="00B85A2E">
              <w:rPr>
                <w:rFonts w:ascii="Arial" w:hAnsi="Arial" w:cs="Arial"/>
                <w:color w:val="000000"/>
                <w:sz w:val="19"/>
                <w:szCs w:val="19"/>
              </w:rPr>
              <w:t> </w:t>
            </w:r>
          </w:p>
        </w:tc>
        <w:tc>
          <w:tcPr>
            <w:tcW w:w="939"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rPr>
                <w:rFonts w:ascii="Arial" w:hAnsi="Arial" w:cs="Arial"/>
                <w:color w:val="000000"/>
                <w:sz w:val="19"/>
                <w:szCs w:val="19"/>
              </w:rPr>
            </w:pPr>
            <w:r w:rsidRPr="00B85A2E">
              <w:rPr>
                <w:rFonts w:ascii="Arial" w:hAnsi="Arial" w:cs="Arial"/>
                <w:color w:val="000000"/>
                <w:sz w:val="19"/>
                <w:szCs w:val="19"/>
              </w:rPr>
              <w:t> </w:t>
            </w:r>
          </w:p>
        </w:tc>
        <w:tc>
          <w:tcPr>
            <w:tcW w:w="1072"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rPr>
                <w:rFonts w:ascii="Arial" w:hAnsi="Arial" w:cs="Arial"/>
                <w:color w:val="000000"/>
                <w:sz w:val="19"/>
                <w:szCs w:val="19"/>
              </w:rPr>
            </w:pPr>
            <w:r w:rsidRPr="00B85A2E">
              <w:rPr>
                <w:rFonts w:ascii="Arial" w:hAnsi="Arial" w:cs="Arial"/>
                <w:color w:val="000000"/>
                <w:sz w:val="19"/>
                <w:szCs w:val="19"/>
              </w:rPr>
              <w:t> </w:t>
            </w:r>
          </w:p>
        </w:tc>
        <w:tc>
          <w:tcPr>
            <w:tcW w:w="795"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0.54</w:t>
            </w:r>
          </w:p>
        </w:tc>
        <w:tc>
          <w:tcPr>
            <w:tcW w:w="939"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0.34</w:t>
            </w:r>
          </w:p>
        </w:tc>
        <w:tc>
          <w:tcPr>
            <w:tcW w:w="1072"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-37.7%</w:t>
            </w:r>
          </w:p>
        </w:tc>
        <w:tc>
          <w:tcPr>
            <w:tcW w:w="795"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5.94</w:t>
            </w:r>
          </w:p>
        </w:tc>
        <w:tc>
          <w:tcPr>
            <w:tcW w:w="939"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5.03</w:t>
            </w:r>
          </w:p>
        </w:tc>
        <w:tc>
          <w:tcPr>
            <w:tcW w:w="1072"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-15.4%</w:t>
            </w:r>
          </w:p>
        </w:tc>
      </w:tr>
      <w:tr w:rsidR="00F451AD" w:rsidRPr="00E65146" w:rsidTr="00F451AD">
        <w:trPr>
          <w:trHeight w:val="255"/>
        </w:trPr>
        <w:tc>
          <w:tcPr>
            <w:tcW w:w="2715" w:type="dxa"/>
            <w:tcBorders>
              <w:top w:val="nil"/>
              <w:left w:val="single" w:sz="4" w:space="0" w:color="auto"/>
              <w:bottom w:val="single" w:sz="4" w:space="0" w:color="auto"/>
              <w:right w:val="single" w:sz="4" w:space="0" w:color="auto"/>
            </w:tcBorders>
            <w:shd w:val="clear" w:color="auto" w:fill="auto"/>
            <w:vAlign w:val="bottom"/>
            <w:hideMark/>
          </w:tcPr>
          <w:p w:rsidR="00F451AD" w:rsidRPr="00B85A2E" w:rsidRDefault="00F451AD" w:rsidP="00F451AD">
            <w:pPr>
              <w:rPr>
                <w:rFonts w:ascii="Arial" w:hAnsi="Arial" w:cs="Arial"/>
                <w:color w:val="000000"/>
                <w:sz w:val="19"/>
                <w:szCs w:val="19"/>
              </w:rPr>
            </w:pPr>
            <w:r w:rsidRPr="00B85A2E">
              <w:rPr>
                <w:rFonts w:ascii="Arial" w:hAnsi="Arial" w:cs="Arial"/>
                <w:color w:val="000000"/>
                <w:sz w:val="19"/>
                <w:szCs w:val="19"/>
              </w:rPr>
              <w:t>5. Consulting Services</w:t>
            </w:r>
          </w:p>
        </w:tc>
        <w:tc>
          <w:tcPr>
            <w:tcW w:w="795"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rPr>
                <w:rFonts w:ascii="Arial" w:hAnsi="Arial" w:cs="Arial"/>
                <w:color w:val="000000"/>
                <w:sz w:val="19"/>
                <w:szCs w:val="19"/>
              </w:rPr>
            </w:pPr>
            <w:r w:rsidRPr="00B85A2E">
              <w:rPr>
                <w:rFonts w:ascii="Arial" w:hAnsi="Arial" w:cs="Arial"/>
                <w:color w:val="000000"/>
                <w:sz w:val="19"/>
                <w:szCs w:val="19"/>
              </w:rPr>
              <w:t> </w:t>
            </w:r>
          </w:p>
        </w:tc>
        <w:tc>
          <w:tcPr>
            <w:tcW w:w="939"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rPr>
                <w:rFonts w:ascii="Arial" w:hAnsi="Arial" w:cs="Arial"/>
                <w:color w:val="000000"/>
                <w:sz w:val="19"/>
                <w:szCs w:val="19"/>
              </w:rPr>
            </w:pPr>
            <w:r w:rsidRPr="00B85A2E">
              <w:rPr>
                <w:rFonts w:ascii="Arial" w:hAnsi="Arial" w:cs="Arial"/>
                <w:color w:val="000000"/>
                <w:sz w:val="19"/>
                <w:szCs w:val="19"/>
              </w:rPr>
              <w:t> </w:t>
            </w:r>
          </w:p>
        </w:tc>
        <w:tc>
          <w:tcPr>
            <w:tcW w:w="1072"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rPr>
                <w:rFonts w:ascii="Arial" w:hAnsi="Arial" w:cs="Arial"/>
                <w:color w:val="000000"/>
                <w:sz w:val="19"/>
                <w:szCs w:val="19"/>
              </w:rPr>
            </w:pPr>
            <w:r w:rsidRPr="00B85A2E">
              <w:rPr>
                <w:rFonts w:ascii="Arial" w:hAnsi="Arial" w:cs="Arial"/>
                <w:color w:val="000000"/>
                <w:sz w:val="19"/>
                <w:szCs w:val="19"/>
              </w:rPr>
              <w:t> </w:t>
            </w:r>
          </w:p>
        </w:tc>
        <w:tc>
          <w:tcPr>
            <w:tcW w:w="795"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5.14</w:t>
            </w:r>
          </w:p>
        </w:tc>
        <w:tc>
          <w:tcPr>
            <w:tcW w:w="939"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3.50</w:t>
            </w:r>
          </w:p>
        </w:tc>
        <w:tc>
          <w:tcPr>
            <w:tcW w:w="1072"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-31.9%</w:t>
            </w:r>
          </w:p>
        </w:tc>
        <w:tc>
          <w:tcPr>
            <w:tcW w:w="795"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0.03</w:t>
            </w:r>
          </w:p>
        </w:tc>
        <w:tc>
          <w:tcPr>
            <w:tcW w:w="939"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rPr>
                <w:rFonts w:ascii="Arial" w:hAnsi="Arial" w:cs="Arial"/>
                <w:color w:val="000000"/>
                <w:sz w:val="19"/>
                <w:szCs w:val="19"/>
              </w:rPr>
            </w:pPr>
            <w:r w:rsidRPr="00B85A2E">
              <w:rPr>
                <w:rFonts w:ascii="Arial" w:hAnsi="Arial" w:cs="Arial"/>
                <w:color w:val="000000"/>
                <w:sz w:val="19"/>
                <w:szCs w:val="19"/>
              </w:rPr>
              <w:t> </w:t>
            </w:r>
          </w:p>
        </w:tc>
        <w:tc>
          <w:tcPr>
            <w:tcW w:w="1072"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-100.0%</w:t>
            </w:r>
          </w:p>
        </w:tc>
        <w:tc>
          <w:tcPr>
            <w:tcW w:w="795"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5.17</w:t>
            </w:r>
          </w:p>
        </w:tc>
        <w:tc>
          <w:tcPr>
            <w:tcW w:w="939"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3.50</w:t>
            </w:r>
          </w:p>
        </w:tc>
        <w:tc>
          <w:tcPr>
            <w:tcW w:w="1072"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-32.3%</w:t>
            </w:r>
          </w:p>
        </w:tc>
      </w:tr>
      <w:tr w:rsidR="00F451AD" w:rsidRPr="00E65146" w:rsidTr="00F451AD">
        <w:trPr>
          <w:trHeight w:val="1020"/>
        </w:trPr>
        <w:tc>
          <w:tcPr>
            <w:tcW w:w="2715" w:type="dxa"/>
            <w:tcBorders>
              <w:top w:val="nil"/>
              <w:left w:val="single" w:sz="4" w:space="0" w:color="auto"/>
              <w:bottom w:val="single" w:sz="4" w:space="0" w:color="auto"/>
              <w:right w:val="single" w:sz="4" w:space="0" w:color="auto"/>
            </w:tcBorders>
            <w:shd w:val="clear" w:color="auto" w:fill="auto"/>
            <w:vAlign w:val="bottom"/>
            <w:hideMark/>
          </w:tcPr>
          <w:p w:rsidR="00F451AD" w:rsidRPr="00B85A2E" w:rsidRDefault="00F451AD" w:rsidP="00F451AD">
            <w:pPr>
              <w:rPr>
                <w:rFonts w:ascii="Arial" w:hAnsi="Arial" w:cs="Arial"/>
                <w:color w:val="000000"/>
                <w:sz w:val="19"/>
                <w:szCs w:val="19"/>
              </w:rPr>
            </w:pPr>
            <w:r w:rsidRPr="00B85A2E">
              <w:rPr>
                <w:rFonts w:ascii="Arial" w:hAnsi="Arial" w:cs="Arial"/>
                <w:color w:val="000000"/>
                <w:sz w:val="19"/>
                <w:szCs w:val="19"/>
              </w:rPr>
              <w:t>6. Health Professional Registration System Establishment: Operational Funding</w:t>
            </w:r>
          </w:p>
        </w:tc>
        <w:tc>
          <w:tcPr>
            <w:tcW w:w="795"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0.96</w:t>
            </w:r>
          </w:p>
        </w:tc>
        <w:tc>
          <w:tcPr>
            <w:tcW w:w="939"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0.84</w:t>
            </w:r>
          </w:p>
        </w:tc>
        <w:tc>
          <w:tcPr>
            <w:tcW w:w="1072"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-12.8%</w:t>
            </w:r>
          </w:p>
        </w:tc>
        <w:tc>
          <w:tcPr>
            <w:tcW w:w="795"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3.01</w:t>
            </w:r>
          </w:p>
        </w:tc>
        <w:tc>
          <w:tcPr>
            <w:tcW w:w="939"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2.82</w:t>
            </w:r>
          </w:p>
        </w:tc>
        <w:tc>
          <w:tcPr>
            <w:tcW w:w="1072"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-6.3%</w:t>
            </w:r>
          </w:p>
        </w:tc>
        <w:tc>
          <w:tcPr>
            <w:tcW w:w="795"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0.02</w:t>
            </w:r>
          </w:p>
        </w:tc>
        <w:tc>
          <w:tcPr>
            <w:tcW w:w="939"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0.08</w:t>
            </w:r>
          </w:p>
        </w:tc>
        <w:tc>
          <w:tcPr>
            <w:tcW w:w="1072"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301%</w:t>
            </w:r>
          </w:p>
        </w:tc>
        <w:tc>
          <w:tcPr>
            <w:tcW w:w="795"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3.99</w:t>
            </w:r>
          </w:p>
        </w:tc>
        <w:tc>
          <w:tcPr>
            <w:tcW w:w="939"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3.74</w:t>
            </w:r>
          </w:p>
        </w:tc>
        <w:tc>
          <w:tcPr>
            <w:tcW w:w="1072"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-6.3%</w:t>
            </w:r>
          </w:p>
        </w:tc>
      </w:tr>
      <w:tr w:rsidR="00F451AD" w:rsidRPr="00E65146" w:rsidTr="00F451AD">
        <w:trPr>
          <w:trHeight w:val="255"/>
        </w:trPr>
        <w:tc>
          <w:tcPr>
            <w:tcW w:w="2715" w:type="dxa"/>
            <w:tcBorders>
              <w:top w:val="nil"/>
              <w:left w:val="single" w:sz="4" w:space="0" w:color="auto"/>
              <w:bottom w:val="single" w:sz="4" w:space="0" w:color="auto"/>
              <w:right w:val="single" w:sz="4" w:space="0" w:color="auto"/>
            </w:tcBorders>
            <w:shd w:val="clear" w:color="auto" w:fill="auto"/>
            <w:vAlign w:val="center"/>
            <w:hideMark/>
          </w:tcPr>
          <w:p w:rsidR="00F451AD" w:rsidRPr="00B85A2E" w:rsidRDefault="00F451AD" w:rsidP="00F451AD">
            <w:pPr>
              <w:rPr>
                <w:rFonts w:ascii="Arial" w:hAnsi="Arial" w:cs="Arial"/>
                <w:color w:val="000000"/>
                <w:sz w:val="19"/>
                <w:szCs w:val="19"/>
              </w:rPr>
            </w:pPr>
            <w:r w:rsidRPr="00B85A2E">
              <w:rPr>
                <w:rFonts w:ascii="Arial" w:hAnsi="Arial" w:cs="Arial"/>
                <w:color w:val="000000"/>
                <w:sz w:val="19"/>
                <w:szCs w:val="19"/>
              </w:rPr>
              <w:t>7. Project Management</w:t>
            </w:r>
          </w:p>
        </w:tc>
        <w:tc>
          <w:tcPr>
            <w:tcW w:w="795"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1.83</w:t>
            </w:r>
          </w:p>
        </w:tc>
        <w:tc>
          <w:tcPr>
            <w:tcW w:w="939"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1.96</w:t>
            </w:r>
          </w:p>
        </w:tc>
        <w:tc>
          <w:tcPr>
            <w:tcW w:w="1072"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7.0%</w:t>
            </w:r>
          </w:p>
        </w:tc>
        <w:tc>
          <w:tcPr>
            <w:tcW w:w="795"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rPr>
                <w:rFonts w:ascii="Arial" w:hAnsi="Arial" w:cs="Arial"/>
                <w:color w:val="000000"/>
                <w:sz w:val="19"/>
                <w:szCs w:val="19"/>
              </w:rPr>
            </w:pPr>
            <w:r w:rsidRPr="00B85A2E">
              <w:rPr>
                <w:rFonts w:ascii="Arial" w:hAnsi="Arial" w:cs="Arial"/>
                <w:color w:val="000000"/>
                <w:sz w:val="19"/>
                <w:szCs w:val="19"/>
              </w:rPr>
              <w:t> </w:t>
            </w:r>
          </w:p>
        </w:tc>
        <w:tc>
          <w:tcPr>
            <w:tcW w:w="939"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rPr>
                <w:rFonts w:ascii="Arial" w:hAnsi="Arial" w:cs="Arial"/>
                <w:color w:val="000000"/>
                <w:sz w:val="19"/>
                <w:szCs w:val="19"/>
              </w:rPr>
            </w:pPr>
            <w:r w:rsidRPr="00B85A2E">
              <w:rPr>
                <w:rFonts w:ascii="Arial" w:hAnsi="Arial" w:cs="Arial"/>
                <w:color w:val="000000"/>
                <w:sz w:val="19"/>
                <w:szCs w:val="19"/>
              </w:rPr>
              <w:t> </w:t>
            </w:r>
          </w:p>
        </w:tc>
        <w:tc>
          <w:tcPr>
            <w:tcW w:w="1072"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rPr>
                <w:rFonts w:ascii="Arial" w:hAnsi="Arial" w:cs="Arial"/>
                <w:color w:val="000000"/>
                <w:sz w:val="19"/>
                <w:szCs w:val="19"/>
              </w:rPr>
            </w:pPr>
            <w:r w:rsidRPr="00B85A2E">
              <w:rPr>
                <w:rFonts w:ascii="Arial" w:hAnsi="Arial" w:cs="Arial"/>
                <w:color w:val="000000"/>
                <w:sz w:val="19"/>
                <w:szCs w:val="19"/>
              </w:rPr>
              <w:t> </w:t>
            </w:r>
          </w:p>
        </w:tc>
        <w:tc>
          <w:tcPr>
            <w:tcW w:w="795"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0.16</w:t>
            </w:r>
          </w:p>
        </w:tc>
        <w:tc>
          <w:tcPr>
            <w:tcW w:w="939"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0.21</w:t>
            </w:r>
          </w:p>
        </w:tc>
        <w:tc>
          <w:tcPr>
            <w:tcW w:w="1072"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30.6%</w:t>
            </w:r>
          </w:p>
        </w:tc>
        <w:tc>
          <w:tcPr>
            <w:tcW w:w="795"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1.99</w:t>
            </w:r>
          </w:p>
        </w:tc>
        <w:tc>
          <w:tcPr>
            <w:tcW w:w="939"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2.17</w:t>
            </w:r>
          </w:p>
        </w:tc>
        <w:tc>
          <w:tcPr>
            <w:tcW w:w="1072"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8.9%</w:t>
            </w:r>
          </w:p>
        </w:tc>
      </w:tr>
      <w:tr w:rsidR="00F451AD" w:rsidRPr="00E65146" w:rsidTr="00F451AD">
        <w:trPr>
          <w:trHeight w:val="510"/>
        </w:trPr>
        <w:tc>
          <w:tcPr>
            <w:tcW w:w="2715" w:type="dxa"/>
            <w:tcBorders>
              <w:top w:val="nil"/>
              <w:left w:val="single" w:sz="4" w:space="0" w:color="auto"/>
              <w:bottom w:val="single" w:sz="4" w:space="0" w:color="auto"/>
              <w:right w:val="single" w:sz="4" w:space="0" w:color="auto"/>
            </w:tcBorders>
            <w:shd w:val="clear" w:color="auto" w:fill="auto"/>
            <w:vAlign w:val="bottom"/>
            <w:hideMark/>
          </w:tcPr>
          <w:p w:rsidR="00F451AD" w:rsidRPr="00B85A2E" w:rsidRDefault="00F451AD" w:rsidP="00F451AD">
            <w:pPr>
              <w:rPr>
                <w:rFonts w:ascii="Arial" w:hAnsi="Arial" w:cs="Arial"/>
                <w:color w:val="000000"/>
                <w:sz w:val="19"/>
                <w:szCs w:val="19"/>
              </w:rPr>
            </w:pPr>
            <w:r w:rsidRPr="00B85A2E">
              <w:rPr>
                <w:rFonts w:ascii="Arial" w:hAnsi="Arial" w:cs="Arial"/>
                <w:color w:val="000000"/>
                <w:sz w:val="19"/>
                <w:szCs w:val="19"/>
              </w:rPr>
              <w:t>8. Project Management for Care Pathway Pilot</w:t>
            </w:r>
          </w:p>
        </w:tc>
        <w:tc>
          <w:tcPr>
            <w:tcW w:w="795"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rPr>
                <w:rFonts w:ascii="Arial" w:hAnsi="Arial" w:cs="Arial"/>
                <w:color w:val="000000"/>
                <w:sz w:val="19"/>
                <w:szCs w:val="19"/>
              </w:rPr>
            </w:pPr>
            <w:r w:rsidRPr="00B85A2E">
              <w:rPr>
                <w:rFonts w:ascii="Arial" w:hAnsi="Arial" w:cs="Arial"/>
                <w:color w:val="000000"/>
                <w:sz w:val="19"/>
                <w:szCs w:val="19"/>
              </w:rPr>
              <w:t> </w:t>
            </w:r>
          </w:p>
        </w:tc>
        <w:tc>
          <w:tcPr>
            <w:tcW w:w="939"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rPr>
                <w:rFonts w:ascii="Arial" w:hAnsi="Arial" w:cs="Arial"/>
                <w:color w:val="000000"/>
                <w:sz w:val="19"/>
                <w:szCs w:val="19"/>
              </w:rPr>
            </w:pPr>
            <w:r w:rsidRPr="00B85A2E">
              <w:rPr>
                <w:rFonts w:ascii="Arial" w:hAnsi="Arial" w:cs="Arial"/>
                <w:color w:val="000000"/>
                <w:sz w:val="19"/>
                <w:szCs w:val="19"/>
              </w:rPr>
              <w:t> </w:t>
            </w:r>
          </w:p>
        </w:tc>
        <w:tc>
          <w:tcPr>
            <w:tcW w:w="1072"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rPr>
                <w:rFonts w:ascii="Arial" w:hAnsi="Arial" w:cs="Arial"/>
                <w:color w:val="000000"/>
                <w:sz w:val="19"/>
                <w:szCs w:val="19"/>
              </w:rPr>
            </w:pPr>
            <w:r w:rsidRPr="00B85A2E">
              <w:rPr>
                <w:rFonts w:ascii="Arial" w:hAnsi="Arial" w:cs="Arial"/>
                <w:color w:val="000000"/>
                <w:sz w:val="19"/>
                <w:szCs w:val="19"/>
              </w:rPr>
              <w:t> </w:t>
            </w:r>
          </w:p>
        </w:tc>
        <w:tc>
          <w:tcPr>
            <w:tcW w:w="795"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0.47</w:t>
            </w:r>
          </w:p>
        </w:tc>
        <w:tc>
          <w:tcPr>
            <w:tcW w:w="939"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0.65</w:t>
            </w:r>
          </w:p>
        </w:tc>
        <w:tc>
          <w:tcPr>
            <w:tcW w:w="1072"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39.1%</w:t>
            </w:r>
          </w:p>
        </w:tc>
        <w:tc>
          <w:tcPr>
            <w:tcW w:w="795"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0.03</w:t>
            </w:r>
          </w:p>
        </w:tc>
        <w:tc>
          <w:tcPr>
            <w:tcW w:w="939"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0.04</w:t>
            </w:r>
          </w:p>
        </w:tc>
        <w:tc>
          <w:tcPr>
            <w:tcW w:w="1072"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29%</w:t>
            </w:r>
          </w:p>
        </w:tc>
        <w:tc>
          <w:tcPr>
            <w:tcW w:w="795"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0.50</w:t>
            </w:r>
          </w:p>
        </w:tc>
        <w:tc>
          <w:tcPr>
            <w:tcW w:w="939"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0.69</w:t>
            </w:r>
          </w:p>
        </w:tc>
        <w:tc>
          <w:tcPr>
            <w:tcW w:w="1072"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38.5%</w:t>
            </w:r>
          </w:p>
        </w:tc>
      </w:tr>
      <w:tr w:rsidR="00F451AD" w:rsidRPr="00E65146" w:rsidTr="00F451AD">
        <w:trPr>
          <w:trHeight w:val="510"/>
        </w:trPr>
        <w:tc>
          <w:tcPr>
            <w:tcW w:w="2715" w:type="dxa"/>
            <w:tcBorders>
              <w:top w:val="nil"/>
              <w:left w:val="single" w:sz="4" w:space="0" w:color="auto"/>
              <w:bottom w:val="single" w:sz="4" w:space="0" w:color="auto"/>
              <w:right w:val="single" w:sz="4" w:space="0" w:color="auto"/>
            </w:tcBorders>
            <w:shd w:val="clear" w:color="auto" w:fill="auto"/>
            <w:vAlign w:val="bottom"/>
            <w:hideMark/>
          </w:tcPr>
          <w:p w:rsidR="00F451AD" w:rsidRPr="00B85A2E" w:rsidRDefault="00F451AD" w:rsidP="00F451AD">
            <w:pPr>
              <w:rPr>
                <w:rFonts w:ascii="Arial" w:hAnsi="Arial" w:cs="Arial"/>
                <w:color w:val="000000"/>
                <w:sz w:val="19"/>
                <w:szCs w:val="19"/>
              </w:rPr>
            </w:pPr>
            <w:r w:rsidRPr="00B85A2E">
              <w:rPr>
                <w:rFonts w:ascii="Arial" w:hAnsi="Arial" w:cs="Arial"/>
                <w:color w:val="000000"/>
                <w:sz w:val="19"/>
                <w:szCs w:val="19"/>
              </w:rPr>
              <w:t xml:space="preserve">9. Capacity Building for Care Pathway Pilot </w:t>
            </w:r>
          </w:p>
        </w:tc>
        <w:tc>
          <w:tcPr>
            <w:tcW w:w="795"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rPr>
                <w:rFonts w:ascii="Arial" w:hAnsi="Arial" w:cs="Arial"/>
                <w:color w:val="000000"/>
                <w:sz w:val="19"/>
                <w:szCs w:val="19"/>
              </w:rPr>
            </w:pPr>
            <w:r w:rsidRPr="00B85A2E">
              <w:rPr>
                <w:rFonts w:ascii="Arial" w:hAnsi="Arial" w:cs="Arial"/>
                <w:color w:val="000000"/>
                <w:sz w:val="19"/>
                <w:szCs w:val="19"/>
              </w:rPr>
              <w:t> </w:t>
            </w:r>
          </w:p>
        </w:tc>
        <w:tc>
          <w:tcPr>
            <w:tcW w:w="939"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rPr>
                <w:rFonts w:ascii="Arial" w:hAnsi="Arial" w:cs="Arial"/>
                <w:color w:val="000000"/>
                <w:sz w:val="19"/>
                <w:szCs w:val="19"/>
              </w:rPr>
            </w:pPr>
            <w:r w:rsidRPr="00B85A2E">
              <w:rPr>
                <w:rFonts w:ascii="Arial" w:hAnsi="Arial" w:cs="Arial"/>
                <w:color w:val="000000"/>
                <w:sz w:val="19"/>
                <w:szCs w:val="19"/>
              </w:rPr>
              <w:t> </w:t>
            </w:r>
          </w:p>
        </w:tc>
        <w:tc>
          <w:tcPr>
            <w:tcW w:w="1072"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rPr>
                <w:rFonts w:ascii="Arial" w:hAnsi="Arial" w:cs="Arial"/>
                <w:color w:val="000000"/>
                <w:sz w:val="19"/>
                <w:szCs w:val="19"/>
              </w:rPr>
            </w:pPr>
            <w:r w:rsidRPr="00B85A2E">
              <w:rPr>
                <w:rFonts w:ascii="Arial" w:hAnsi="Arial" w:cs="Arial"/>
                <w:color w:val="000000"/>
                <w:sz w:val="19"/>
                <w:szCs w:val="19"/>
              </w:rPr>
              <w:t> </w:t>
            </w:r>
          </w:p>
        </w:tc>
        <w:tc>
          <w:tcPr>
            <w:tcW w:w="795"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0.67</w:t>
            </w:r>
          </w:p>
        </w:tc>
        <w:tc>
          <w:tcPr>
            <w:tcW w:w="939"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0.83</w:t>
            </w:r>
          </w:p>
        </w:tc>
        <w:tc>
          <w:tcPr>
            <w:tcW w:w="1072"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23.7%</w:t>
            </w:r>
          </w:p>
        </w:tc>
        <w:tc>
          <w:tcPr>
            <w:tcW w:w="795"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0.06</w:t>
            </w:r>
          </w:p>
        </w:tc>
        <w:tc>
          <w:tcPr>
            <w:tcW w:w="939"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0.04</w:t>
            </w:r>
          </w:p>
        </w:tc>
        <w:tc>
          <w:tcPr>
            <w:tcW w:w="1072"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-29%</w:t>
            </w:r>
          </w:p>
        </w:tc>
        <w:tc>
          <w:tcPr>
            <w:tcW w:w="795"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0.73</w:t>
            </w:r>
          </w:p>
        </w:tc>
        <w:tc>
          <w:tcPr>
            <w:tcW w:w="939"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0.87</w:t>
            </w:r>
          </w:p>
        </w:tc>
        <w:tc>
          <w:tcPr>
            <w:tcW w:w="1072"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19.4%</w:t>
            </w:r>
          </w:p>
        </w:tc>
      </w:tr>
      <w:tr w:rsidR="00F451AD" w:rsidRPr="00E65146" w:rsidTr="00B85A2E">
        <w:trPr>
          <w:trHeight w:val="255"/>
        </w:trPr>
        <w:tc>
          <w:tcPr>
            <w:tcW w:w="2715" w:type="dxa"/>
            <w:tcBorders>
              <w:top w:val="nil"/>
              <w:left w:val="single" w:sz="4" w:space="0" w:color="auto"/>
              <w:bottom w:val="single" w:sz="4" w:space="0" w:color="auto"/>
              <w:right w:val="single" w:sz="4" w:space="0" w:color="auto"/>
            </w:tcBorders>
            <w:shd w:val="clear" w:color="auto" w:fill="auto"/>
            <w:vAlign w:val="bottom"/>
            <w:hideMark/>
          </w:tcPr>
          <w:p w:rsidR="00F451AD" w:rsidRPr="00B85A2E" w:rsidRDefault="00F451AD" w:rsidP="00F451AD">
            <w:pPr>
              <w:rPr>
                <w:rFonts w:ascii="Arial" w:hAnsi="Arial" w:cs="Arial"/>
                <w:b/>
                <w:bCs/>
                <w:color w:val="000000"/>
                <w:sz w:val="19"/>
                <w:szCs w:val="19"/>
              </w:rPr>
            </w:pPr>
            <w:r w:rsidRPr="00B85A2E">
              <w:rPr>
                <w:rFonts w:ascii="Arial" w:hAnsi="Arial" w:cs="Arial"/>
                <w:b/>
                <w:bCs/>
                <w:color w:val="000000"/>
                <w:sz w:val="19"/>
                <w:szCs w:val="19"/>
              </w:rPr>
              <w:t>Sub Total (Base Costs)</w:t>
            </w:r>
          </w:p>
        </w:tc>
        <w:tc>
          <w:tcPr>
            <w:tcW w:w="795"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b/>
                <w:bCs/>
                <w:color w:val="000000"/>
                <w:sz w:val="19"/>
                <w:szCs w:val="19"/>
              </w:rPr>
            </w:pPr>
            <w:r w:rsidRPr="00B85A2E">
              <w:rPr>
                <w:rFonts w:ascii="Arial" w:hAnsi="Arial" w:cs="Arial"/>
                <w:b/>
                <w:bCs/>
                <w:color w:val="000000"/>
                <w:sz w:val="19"/>
                <w:szCs w:val="19"/>
              </w:rPr>
              <w:t>28.81</w:t>
            </w:r>
          </w:p>
        </w:tc>
        <w:tc>
          <w:tcPr>
            <w:tcW w:w="939"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b/>
                <w:bCs/>
                <w:color w:val="000000"/>
                <w:sz w:val="19"/>
                <w:szCs w:val="19"/>
              </w:rPr>
            </w:pPr>
            <w:r w:rsidRPr="00B85A2E">
              <w:rPr>
                <w:rFonts w:ascii="Arial" w:hAnsi="Arial" w:cs="Arial"/>
                <w:b/>
                <w:bCs/>
                <w:color w:val="000000"/>
                <w:sz w:val="19"/>
                <w:szCs w:val="19"/>
              </w:rPr>
              <w:t>28.01</w:t>
            </w:r>
          </w:p>
        </w:tc>
        <w:tc>
          <w:tcPr>
            <w:tcW w:w="1072"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-2.8%</w:t>
            </w:r>
          </w:p>
        </w:tc>
        <w:tc>
          <w:tcPr>
            <w:tcW w:w="795"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b/>
                <w:bCs/>
                <w:color w:val="000000"/>
                <w:sz w:val="19"/>
                <w:szCs w:val="19"/>
              </w:rPr>
            </w:pPr>
            <w:r w:rsidRPr="00B85A2E">
              <w:rPr>
                <w:rFonts w:ascii="Arial" w:hAnsi="Arial" w:cs="Arial"/>
                <w:b/>
                <w:bCs/>
                <w:color w:val="000000"/>
                <w:sz w:val="19"/>
                <w:szCs w:val="19"/>
              </w:rPr>
              <w:t>9.34</w:t>
            </w:r>
          </w:p>
        </w:tc>
        <w:tc>
          <w:tcPr>
            <w:tcW w:w="939"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b/>
                <w:bCs/>
                <w:color w:val="000000"/>
                <w:sz w:val="19"/>
                <w:szCs w:val="19"/>
              </w:rPr>
            </w:pPr>
            <w:r w:rsidRPr="00B85A2E">
              <w:rPr>
                <w:rFonts w:ascii="Arial" w:hAnsi="Arial" w:cs="Arial"/>
                <w:b/>
                <w:bCs/>
                <w:color w:val="000000"/>
                <w:sz w:val="19"/>
                <w:szCs w:val="19"/>
              </w:rPr>
              <w:t>10.65</w:t>
            </w:r>
          </w:p>
        </w:tc>
        <w:tc>
          <w:tcPr>
            <w:tcW w:w="1072"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14.0%</w:t>
            </w:r>
          </w:p>
        </w:tc>
        <w:tc>
          <w:tcPr>
            <w:tcW w:w="795"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b/>
                <w:bCs/>
                <w:color w:val="000000"/>
                <w:sz w:val="19"/>
                <w:szCs w:val="19"/>
              </w:rPr>
            </w:pPr>
            <w:r w:rsidRPr="00B85A2E">
              <w:rPr>
                <w:rFonts w:ascii="Arial" w:hAnsi="Arial" w:cs="Arial"/>
                <w:b/>
                <w:bCs/>
                <w:color w:val="000000"/>
                <w:sz w:val="19"/>
                <w:szCs w:val="19"/>
              </w:rPr>
              <w:t>3.08</w:t>
            </w:r>
          </w:p>
        </w:tc>
        <w:tc>
          <w:tcPr>
            <w:tcW w:w="939"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b/>
                <w:bCs/>
                <w:color w:val="000000"/>
                <w:sz w:val="19"/>
                <w:szCs w:val="19"/>
              </w:rPr>
            </w:pPr>
            <w:r w:rsidRPr="00B85A2E">
              <w:rPr>
                <w:rFonts w:ascii="Arial" w:hAnsi="Arial" w:cs="Arial"/>
                <w:b/>
                <w:bCs/>
                <w:color w:val="000000"/>
                <w:sz w:val="19"/>
                <w:szCs w:val="19"/>
              </w:rPr>
              <w:t>2.93</w:t>
            </w:r>
          </w:p>
        </w:tc>
        <w:tc>
          <w:tcPr>
            <w:tcW w:w="1072"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-5%</w:t>
            </w:r>
          </w:p>
        </w:tc>
        <w:tc>
          <w:tcPr>
            <w:tcW w:w="795"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b/>
                <w:bCs/>
                <w:color w:val="000000"/>
                <w:sz w:val="19"/>
                <w:szCs w:val="19"/>
              </w:rPr>
            </w:pPr>
            <w:r w:rsidRPr="00B85A2E">
              <w:rPr>
                <w:rFonts w:ascii="Arial" w:hAnsi="Arial" w:cs="Arial"/>
                <w:b/>
                <w:bCs/>
                <w:color w:val="000000"/>
                <w:sz w:val="19"/>
                <w:szCs w:val="19"/>
              </w:rPr>
              <w:t>41.24</w:t>
            </w:r>
          </w:p>
        </w:tc>
        <w:tc>
          <w:tcPr>
            <w:tcW w:w="939"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b/>
                <w:bCs/>
                <w:color w:val="000000"/>
                <w:sz w:val="19"/>
                <w:szCs w:val="19"/>
              </w:rPr>
            </w:pPr>
            <w:r w:rsidRPr="00B85A2E">
              <w:rPr>
                <w:rFonts w:ascii="Arial" w:hAnsi="Arial" w:cs="Arial"/>
                <w:b/>
                <w:bCs/>
                <w:color w:val="000000"/>
                <w:sz w:val="19"/>
                <w:szCs w:val="19"/>
              </w:rPr>
              <w:t>41.59</w:t>
            </w:r>
          </w:p>
        </w:tc>
        <w:tc>
          <w:tcPr>
            <w:tcW w:w="1072"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0.9%</w:t>
            </w:r>
          </w:p>
        </w:tc>
      </w:tr>
      <w:tr w:rsidR="00F451AD" w:rsidRPr="00E65146" w:rsidTr="00B85A2E">
        <w:trPr>
          <w:trHeight w:val="255"/>
        </w:trPr>
        <w:tc>
          <w:tcPr>
            <w:tcW w:w="2715" w:type="dxa"/>
            <w:tcBorders>
              <w:top w:val="nil"/>
              <w:left w:val="single" w:sz="4" w:space="0" w:color="auto"/>
              <w:bottom w:val="single" w:sz="4" w:space="0" w:color="auto"/>
              <w:right w:val="single" w:sz="4" w:space="0" w:color="auto"/>
            </w:tcBorders>
            <w:shd w:val="clear" w:color="auto" w:fill="auto"/>
            <w:vAlign w:val="bottom"/>
            <w:hideMark/>
          </w:tcPr>
          <w:p w:rsidR="00F451AD" w:rsidRPr="00B85A2E" w:rsidRDefault="00F451AD" w:rsidP="00F451AD">
            <w:pPr>
              <w:rPr>
                <w:rFonts w:ascii="Arial" w:hAnsi="Arial" w:cs="Arial"/>
                <w:color w:val="000000"/>
                <w:sz w:val="19"/>
                <w:szCs w:val="19"/>
              </w:rPr>
            </w:pPr>
            <w:r w:rsidRPr="00B85A2E">
              <w:rPr>
                <w:rFonts w:ascii="Arial" w:hAnsi="Arial" w:cs="Arial"/>
                <w:color w:val="000000"/>
                <w:sz w:val="19"/>
                <w:szCs w:val="19"/>
              </w:rPr>
              <w:t>Fees/ Charges</w:t>
            </w:r>
          </w:p>
        </w:tc>
        <w:tc>
          <w:tcPr>
            <w:tcW w:w="795"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0.45</w:t>
            </w:r>
          </w:p>
        </w:tc>
        <w:tc>
          <w:tcPr>
            <w:tcW w:w="939"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rPr>
                <w:rFonts w:ascii="Arial" w:hAnsi="Arial" w:cs="Arial"/>
                <w:color w:val="000000"/>
                <w:sz w:val="19"/>
                <w:szCs w:val="19"/>
              </w:rPr>
            </w:pPr>
            <w:r w:rsidRPr="00B85A2E">
              <w:rPr>
                <w:rFonts w:ascii="Arial" w:hAnsi="Arial" w:cs="Arial"/>
                <w:color w:val="000000"/>
                <w:sz w:val="19"/>
                <w:szCs w:val="19"/>
              </w:rPr>
              <w:t xml:space="preserve">     0.74 </w:t>
            </w:r>
          </w:p>
        </w:tc>
        <w:tc>
          <w:tcPr>
            <w:tcW w:w="1072"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rPr>
                <w:rFonts w:ascii="Arial" w:hAnsi="Arial" w:cs="Arial"/>
                <w:color w:val="000000"/>
                <w:sz w:val="19"/>
                <w:szCs w:val="19"/>
              </w:rPr>
            </w:pPr>
            <w:r w:rsidRPr="00B85A2E">
              <w:rPr>
                <w:rFonts w:ascii="Arial" w:hAnsi="Arial" w:cs="Arial"/>
                <w:color w:val="000000"/>
                <w:sz w:val="19"/>
                <w:szCs w:val="19"/>
              </w:rPr>
              <w:t> </w:t>
            </w:r>
          </w:p>
        </w:tc>
        <w:tc>
          <w:tcPr>
            <w:tcW w:w="795"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0.25</w:t>
            </w:r>
          </w:p>
        </w:tc>
        <w:tc>
          <w:tcPr>
            <w:tcW w:w="939"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0.25</w:t>
            </w:r>
          </w:p>
        </w:tc>
        <w:tc>
          <w:tcPr>
            <w:tcW w:w="1072"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rPr>
                <w:rFonts w:ascii="Arial" w:hAnsi="Arial" w:cs="Arial"/>
                <w:color w:val="000000"/>
                <w:sz w:val="19"/>
                <w:szCs w:val="19"/>
              </w:rPr>
            </w:pPr>
            <w:r w:rsidRPr="00B85A2E">
              <w:rPr>
                <w:rFonts w:ascii="Arial" w:hAnsi="Arial" w:cs="Arial"/>
                <w:color w:val="000000"/>
                <w:sz w:val="19"/>
                <w:szCs w:val="19"/>
              </w:rPr>
              <w:t> </w:t>
            </w:r>
          </w:p>
        </w:tc>
        <w:tc>
          <w:tcPr>
            <w:tcW w:w="795"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rPr>
                <w:rFonts w:ascii="Arial" w:hAnsi="Arial" w:cs="Arial"/>
                <w:color w:val="000000"/>
                <w:sz w:val="19"/>
                <w:szCs w:val="19"/>
              </w:rPr>
            </w:pPr>
            <w:r w:rsidRPr="00B85A2E">
              <w:rPr>
                <w:rFonts w:ascii="Arial" w:hAnsi="Arial" w:cs="Arial"/>
                <w:color w:val="000000"/>
                <w:sz w:val="19"/>
                <w:szCs w:val="19"/>
              </w:rPr>
              <w:t> </w:t>
            </w:r>
          </w:p>
        </w:tc>
        <w:tc>
          <w:tcPr>
            <w:tcW w:w="939"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rPr>
                <w:rFonts w:ascii="Arial" w:hAnsi="Arial" w:cs="Arial"/>
                <w:color w:val="000000"/>
                <w:sz w:val="19"/>
                <w:szCs w:val="19"/>
              </w:rPr>
            </w:pPr>
            <w:r w:rsidRPr="00B85A2E">
              <w:rPr>
                <w:rFonts w:ascii="Arial" w:hAnsi="Arial" w:cs="Arial"/>
                <w:color w:val="000000"/>
                <w:sz w:val="19"/>
                <w:szCs w:val="19"/>
              </w:rPr>
              <w:t> </w:t>
            </w:r>
          </w:p>
        </w:tc>
        <w:tc>
          <w:tcPr>
            <w:tcW w:w="1072"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rPr>
                <w:rFonts w:ascii="Arial" w:hAnsi="Arial" w:cs="Arial"/>
                <w:color w:val="000000"/>
                <w:sz w:val="19"/>
                <w:szCs w:val="19"/>
              </w:rPr>
            </w:pPr>
            <w:r w:rsidRPr="00B85A2E">
              <w:rPr>
                <w:rFonts w:ascii="Arial" w:hAnsi="Arial" w:cs="Arial"/>
                <w:color w:val="000000"/>
                <w:sz w:val="19"/>
                <w:szCs w:val="19"/>
              </w:rPr>
              <w:t> </w:t>
            </w:r>
          </w:p>
        </w:tc>
        <w:tc>
          <w:tcPr>
            <w:tcW w:w="795"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rPr>
                <w:rFonts w:ascii="Arial" w:hAnsi="Arial" w:cs="Arial"/>
                <w:color w:val="000000"/>
                <w:sz w:val="19"/>
                <w:szCs w:val="19"/>
              </w:rPr>
            </w:pPr>
            <w:r w:rsidRPr="00B85A2E">
              <w:rPr>
                <w:rFonts w:ascii="Arial" w:hAnsi="Arial" w:cs="Arial"/>
                <w:color w:val="000000"/>
                <w:sz w:val="19"/>
                <w:szCs w:val="19"/>
              </w:rPr>
              <w:t> </w:t>
            </w:r>
          </w:p>
        </w:tc>
        <w:tc>
          <w:tcPr>
            <w:tcW w:w="939"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rPr>
                <w:rFonts w:ascii="Arial" w:hAnsi="Arial" w:cs="Arial"/>
                <w:color w:val="000000"/>
                <w:sz w:val="19"/>
                <w:szCs w:val="19"/>
              </w:rPr>
            </w:pPr>
            <w:r w:rsidRPr="00B85A2E">
              <w:rPr>
                <w:rFonts w:ascii="Arial" w:hAnsi="Arial" w:cs="Arial"/>
                <w:color w:val="000000"/>
                <w:sz w:val="19"/>
                <w:szCs w:val="19"/>
              </w:rPr>
              <w:t> </w:t>
            </w:r>
          </w:p>
        </w:tc>
        <w:tc>
          <w:tcPr>
            <w:tcW w:w="1072"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rPr>
                <w:rFonts w:ascii="Arial" w:hAnsi="Arial" w:cs="Arial"/>
                <w:color w:val="000000"/>
                <w:sz w:val="19"/>
                <w:szCs w:val="19"/>
              </w:rPr>
            </w:pPr>
            <w:r w:rsidRPr="00B85A2E">
              <w:rPr>
                <w:rFonts w:ascii="Arial" w:hAnsi="Arial" w:cs="Arial"/>
                <w:color w:val="000000"/>
                <w:sz w:val="19"/>
                <w:szCs w:val="19"/>
              </w:rPr>
              <w:t> </w:t>
            </w:r>
          </w:p>
        </w:tc>
      </w:tr>
      <w:tr w:rsidR="00F451AD" w:rsidRPr="00E65146" w:rsidTr="00B85A2E">
        <w:trPr>
          <w:trHeight w:val="255"/>
        </w:trPr>
        <w:tc>
          <w:tcPr>
            <w:tcW w:w="2715" w:type="dxa"/>
            <w:tcBorders>
              <w:top w:val="nil"/>
              <w:left w:val="single" w:sz="4" w:space="0" w:color="auto"/>
              <w:bottom w:val="single" w:sz="4" w:space="0" w:color="auto"/>
              <w:right w:val="single" w:sz="4" w:space="0" w:color="auto"/>
            </w:tcBorders>
            <w:shd w:val="clear" w:color="auto" w:fill="auto"/>
            <w:vAlign w:val="bottom"/>
            <w:hideMark/>
          </w:tcPr>
          <w:p w:rsidR="00F451AD" w:rsidRPr="00B85A2E" w:rsidRDefault="00F451AD" w:rsidP="00F451AD">
            <w:pPr>
              <w:rPr>
                <w:rFonts w:ascii="Arial" w:hAnsi="Arial" w:cs="Arial"/>
                <w:color w:val="000000"/>
                <w:sz w:val="19"/>
                <w:szCs w:val="19"/>
              </w:rPr>
            </w:pPr>
            <w:r w:rsidRPr="00B85A2E">
              <w:rPr>
                <w:rFonts w:ascii="Arial" w:hAnsi="Arial" w:cs="Arial"/>
                <w:color w:val="000000"/>
                <w:sz w:val="19"/>
                <w:szCs w:val="19"/>
              </w:rPr>
              <w:t>Unallocated</w:t>
            </w:r>
          </w:p>
        </w:tc>
        <w:tc>
          <w:tcPr>
            <w:tcW w:w="795"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0.74</w:t>
            </w:r>
          </w:p>
        </w:tc>
        <w:tc>
          <w:tcPr>
            <w:tcW w:w="939"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rPr>
                <w:rFonts w:ascii="Arial" w:hAnsi="Arial" w:cs="Arial"/>
                <w:color w:val="000000"/>
                <w:sz w:val="19"/>
                <w:szCs w:val="19"/>
              </w:rPr>
            </w:pPr>
            <w:r w:rsidRPr="00B85A2E">
              <w:rPr>
                <w:rFonts w:ascii="Arial" w:hAnsi="Arial" w:cs="Arial"/>
                <w:color w:val="000000"/>
                <w:sz w:val="19"/>
                <w:szCs w:val="19"/>
              </w:rPr>
              <w:t xml:space="preserve">     1.25 </w:t>
            </w:r>
          </w:p>
        </w:tc>
        <w:tc>
          <w:tcPr>
            <w:tcW w:w="1072"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rPr>
                <w:rFonts w:ascii="Arial" w:hAnsi="Arial" w:cs="Arial"/>
                <w:color w:val="000000"/>
                <w:sz w:val="19"/>
                <w:szCs w:val="19"/>
              </w:rPr>
            </w:pPr>
            <w:r w:rsidRPr="00B85A2E">
              <w:rPr>
                <w:rFonts w:ascii="Arial" w:hAnsi="Arial" w:cs="Arial"/>
                <w:color w:val="000000"/>
                <w:sz w:val="19"/>
                <w:szCs w:val="19"/>
              </w:rPr>
              <w:t> </w:t>
            </w:r>
          </w:p>
        </w:tc>
        <w:tc>
          <w:tcPr>
            <w:tcW w:w="795"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1.41</w:t>
            </w:r>
          </w:p>
        </w:tc>
        <w:tc>
          <w:tcPr>
            <w:tcW w:w="939"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0.10</w:t>
            </w:r>
          </w:p>
        </w:tc>
        <w:tc>
          <w:tcPr>
            <w:tcW w:w="1072"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rPr>
                <w:rFonts w:ascii="Arial" w:hAnsi="Arial" w:cs="Arial"/>
                <w:color w:val="000000"/>
                <w:sz w:val="19"/>
                <w:szCs w:val="19"/>
              </w:rPr>
            </w:pPr>
            <w:r w:rsidRPr="00B85A2E">
              <w:rPr>
                <w:rFonts w:ascii="Arial" w:hAnsi="Arial" w:cs="Arial"/>
                <w:color w:val="000000"/>
                <w:sz w:val="19"/>
                <w:szCs w:val="19"/>
              </w:rPr>
              <w:t> </w:t>
            </w:r>
          </w:p>
        </w:tc>
        <w:tc>
          <w:tcPr>
            <w:tcW w:w="795"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2.23</w:t>
            </w:r>
          </w:p>
        </w:tc>
        <w:tc>
          <w:tcPr>
            <w:tcW w:w="939"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2.38</w:t>
            </w:r>
          </w:p>
        </w:tc>
        <w:tc>
          <w:tcPr>
            <w:tcW w:w="1072"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rPr>
                <w:rFonts w:ascii="Arial" w:hAnsi="Arial" w:cs="Arial"/>
                <w:color w:val="000000"/>
                <w:sz w:val="19"/>
                <w:szCs w:val="19"/>
              </w:rPr>
            </w:pPr>
            <w:r w:rsidRPr="00B85A2E">
              <w:rPr>
                <w:rFonts w:ascii="Arial" w:hAnsi="Arial" w:cs="Arial"/>
                <w:color w:val="000000"/>
                <w:sz w:val="19"/>
                <w:szCs w:val="19"/>
              </w:rPr>
              <w:t> </w:t>
            </w:r>
          </w:p>
        </w:tc>
        <w:tc>
          <w:tcPr>
            <w:tcW w:w="795"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4.09</w:t>
            </w:r>
          </w:p>
        </w:tc>
        <w:tc>
          <w:tcPr>
            <w:tcW w:w="939"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color w:val="000000"/>
                <w:sz w:val="19"/>
                <w:szCs w:val="19"/>
              </w:rPr>
            </w:pPr>
            <w:r w:rsidRPr="00B85A2E">
              <w:rPr>
                <w:rFonts w:ascii="Arial" w:hAnsi="Arial" w:cs="Arial"/>
                <w:color w:val="000000"/>
                <w:sz w:val="19"/>
                <w:szCs w:val="19"/>
              </w:rPr>
              <w:t>3.74</w:t>
            </w:r>
          </w:p>
        </w:tc>
        <w:tc>
          <w:tcPr>
            <w:tcW w:w="1072"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rPr>
                <w:rFonts w:ascii="Arial" w:hAnsi="Arial" w:cs="Arial"/>
                <w:color w:val="000000"/>
                <w:sz w:val="19"/>
                <w:szCs w:val="19"/>
              </w:rPr>
            </w:pPr>
            <w:r w:rsidRPr="00B85A2E">
              <w:rPr>
                <w:rFonts w:ascii="Arial" w:hAnsi="Arial" w:cs="Arial"/>
                <w:color w:val="000000"/>
                <w:sz w:val="19"/>
                <w:szCs w:val="19"/>
              </w:rPr>
              <w:t> </w:t>
            </w:r>
          </w:p>
        </w:tc>
      </w:tr>
      <w:tr w:rsidR="00F451AD" w:rsidRPr="00E65146" w:rsidTr="00B85A2E">
        <w:trPr>
          <w:trHeight w:val="255"/>
        </w:trPr>
        <w:tc>
          <w:tcPr>
            <w:tcW w:w="2715" w:type="dxa"/>
            <w:tcBorders>
              <w:top w:val="nil"/>
              <w:left w:val="single" w:sz="4" w:space="0" w:color="auto"/>
              <w:bottom w:val="single" w:sz="4" w:space="0" w:color="auto"/>
              <w:right w:val="single" w:sz="4" w:space="0" w:color="auto"/>
            </w:tcBorders>
            <w:shd w:val="clear" w:color="auto" w:fill="auto"/>
            <w:vAlign w:val="bottom"/>
            <w:hideMark/>
          </w:tcPr>
          <w:p w:rsidR="00F451AD" w:rsidRPr="00B85A2E" w:rsidRDefault="00F451AD" w:rsidP="00F451AD">
            <w:pPr>
              <w:rPr>
                <w:rFonts w:ascii="Arial" w:hAnsi="Arial" w:cs="Arial"/>
                <w:b/>
                <w:bCs/>
                <w:color w:val="000000"/>
                <w:sz w:val="19"/>
                <w:szCs w:val="19"/>
              </w:rPr>
            </w:pPr>
            <w:r w:rsidRPr="00B85A2E">
              <w:rPr>
                <w:rFonts w:ascii="Arial" w:hAnsi="Arial" w:cs="Arial"/>
                <w:b/>
                <w:bCs/>
                <w:color w:val="000000"/>
                <w:sz w:val="19"/>
                <w:szCs w:val="19"/>
              </w:rPr>
              <w:t>TOTAL</w:t>
            </w:r>
          </w:p>
        </w:tc>
        <w:tc>
          <w:tcPr>
            <w:tcW w:w="795"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b/>
                <w:bCs/>
                <w:color w:val="000000"/>
                <w:sz w:val="19"/>
                <w:szCs w:val="19"/>
              </w:rPr>
            </w:pPr>
            <w:r w:rsidRPr="00B85A2E">
              <w:rPr>
                <w:rFonts w:ascii="Arial" w:hAnsi="Arial" w:cs="Arial"/>
                <w:b/>
                <w:bCs/>
                <w:color w:val="000000"/>
                <w:sz w:val="19"/>
                <w:szCs w:val="19"/>
              </w:rPr>
              <w:t>30.00</w:t>
            </w:r>
          </w:p>
        </w:tc>
        <w:tc>
          <w:tcPr>
            <w:tcW w:w="939"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b/>
                <w:bCs/>
                <w:color w:val="000000"/>
                <w:sz w:val="19"/>
                <w:szCs w:val="19"/>
              </w:rPr>
            </w:pPr>
            <w:r w:rsidRPr="00B85A2E">
              <w:rPr>
                <w:rFonts w:ascii="Arial" w:hAnsi="Arial" w:cs="Arial"/>
                <w:b/>
                <w:bCs/>
                <w:color w:val="000000"/>
                <w:sz w:val="19"/>
                <w:szCs w:val="19"/>
              </w:rPr>
              <w:t>30.00</w:t>
            </w:r>
          </w:p>
        </w:tc>
        <w:tc>
          <w:tcPr>
            <w:tcW w:w="1072"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rPr>
                <w:rFonts w:ascii="Arial" w:hAnsi="Arial" w:cs="Arial"/>
                <w:b/>
                <w:bCs/>
                <w:color w:val="000000"/>
                <w:sz w:val="19"/>
                <w:szCs w:val="19"/>
              </w:rPr>
            </w:pPr>
            <w:r w:rsidRPr="00B85A2E">
              <w:rPr>
                <w:rFonts w:ascii="Arial" w:hAnsi="Arial" w:cs="Arial"/>
                <w:b/>
                <w:bCs/>
                <w:color w:val="000000"/>
                <w:sz w:val="19"/>
                <w:szCs w:val="19"/>
              </w:rPr>
              <w:t> </w:t>
            </w:r>
          </w:p>
        </w:tc>
        <w:tc>
          <w:tcPr>
            <w:tcW w:w="795"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b/>
                <w:bCs/>
                <w:color w:val="000000"/>
                <w:sz w:val="19"/>
                <w:szCs w:val="19"/>
              </w:rPr>
            </w:pPr>
            <w:r w:rsidRPr="00B85A2E">
              <w:rPr>
                <w:rFonts w:ascii="Arial" w:hAnsi="Arial" w:cs="Arial"/>
                <w:b/>
                <w:bCs/>
                <w:color w:val="000000"/>
                <w:sz w:val="19"/>
                <w:szCs w:val="19"/>
              </w:rPr>
              <w:t>9.59</w:t>
            </w:r>
          </w:p>
        </w:tc>
        <w:tc>
          <w:tcPr>
            <w:tcW w:w="939"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b/>
                <w:bCs/>
                <w:color w:val="000000"/>
                <w:sz w:val="19"/>
                <w:szCs w:val="19"/>
              </w:rPr>
            </w:pPr>
            <w:r w:rsidRPr="00B85A2E">
              <w:rPr>
                <w:rFonts w:ascii="Arial" w:hAnsi="Arial" w:cs="Arial"/>
                <w:b/>
                <w:bCs/>
                <w:color w:val="000000"/>
                <w:sz w:val="19"/>
                <w:szCs w:val="19"/>
              </w:rPr>
              <w:t>11.00</w:t>
            </w:r>
          </w:p>
        </w:tc>
        <w:tc>
          <w:tcPr>
            <w:tcW w:w="1072"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rPr>
                <w:rFonts w:ascii="Arial" w:hAnsi="Arial" w:cs="Arial"/>
                <w:b/>
                <w:bCs/>
                <w:color w:val="000000"/>
                <w:sz w:val="19"/>
                <w:szCs w:val="19"/>
              </w:rPr>
            </w:pPr>
            <w:r w:rsidRPr="00B85A2E">
              <w:rPr>
                <w:rFonts w:ascii="Arial" w:hAnsi="Arial" w:cs="Arial"/>
                <w:b/>
                <w:bCs/>
                <w:color w:val="000000"/>
                <w:sz w:val="19"/>
                <w:szCs w:val="19"/>
              </w:rPr>
              <w:t> </w:t>
            </w:r>
          </w:p>
        </w:tc>
        <w:tc>
          <w:tcPr>
            <w:tcW w:w="795"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b/>
                <w:bCs/>
                <w:color w:val="000000"/>
                <w:sz w:val="19"/>
                <w:szCs w:val="19"/>
              </w:rPr>
            </w:pPr>
            <w:r w:rsidRPr="00B85A2E">
              <w:rPr>
                <w:rFonts w:ascii="Arial" w:hAnsi="Arial" w:cs="Arial"/>
                <w:b/>
                <w:bCs/>
                <w:color w:val="000000"/>
                <w:sz w:val="19"/>
                <w:szCs w:val="19"/>
              </w:rPr>
              <w:t>5.31</w:t>
            </w:r>
          </w:p>
        </w:tc>
        <w:tc>
          <w:tcPr>
            <w:tcW w:w="939"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b/>
                <w:bCs/>
                <w:color w:val="000000"/>
                <w:sz w:val="19"/>
                <w:szCs w:val="19"/>
              </w:rPr>
            </w:pPr>
            <w:r w:rsidRPr="00B85A2E">
              <w:rPr>
                <w:rFonts w:ascii="Arial" w:hAnsi="Arial" w:cs="Arial"/>
                <w:b/>
                <w:bCs/>
                <w:color w:val="000000"/>
                <w:sz w:val="19"/>
                <w:szCs w:val="19"/>
              </w:rPr>
              <w:t>5.31</w:t>
            </w:r>
          </w:p>
        </w:tc>
        <w:tc>
          <w:tcPr>
            <w:tcW w:w="1072"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rPr>
                <w:rFonts w:ascii="Arial" w:hAnsi="Arial" w:cs="Arial"/>
                <w:b/>
                <w:bCs/>
                <w:color w:val="000000"/>
                <w:sz w:val="19"/>
                <w:szCs w:val="19"/>
              </w:rPr>
            </w:pPr>
            <w:r w:rsidRPr="00B85A2E">
              <w:rPr>
                <w:rFonts w:ascii="Arial" w:hAnsi="Arial" w:cs="Arial"/>
                <w:b/>
                <w:bCs/>
                <w:color w:val="000000"/>
                <w:sz w:val="19"/>
                <w:szCs w:val="19"/>
              </w:rPr>
              <w:t> </w:t>
            </w:r>
          </w:p>
        </w:tc>
        <w:tc>
          <w:tcPr>
            <w:tcW w:w="795"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b/>
                <w:bCs/>
                <w:color w:val="000000"/>
                <w:sz w:val="19"/>
                <w:szCs w:val="19"/>
              </w:rPr>
            </w:pPr>
            <w:r w:rsidRPr="00B85A2E">
              <w:rPr>
                <w:rFonts w:ascii="Arial" w:hAnsi="Arial" w:cs="Arial"/>
                <w:b/>
                <w:bCs/>
                <w:color w:val="000000"/>
                <w:sz w:val="19"/>
                <w:szCs w:val="19"/>
              </w:rPr>
              <w:t>45.33</w:t>
            </w:r>
          </w:p>
        </w:tc>
        <w:tc>
          <w:tcPr>
            <w:tcW w:w="939"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jc w:val="right"/>
              <w:rPr>
                <w:rFonts w:ascii="Arial" w:hAnsi="Arial" w:cs="Arial"/>
                <w:b/>
                <w:bCs/>
                <w:color w:val="000000"/>
                <w:sz w:val="19"/>
                <w:szCs w:val="19"/>
              </w:rPr>
            </w:pPr>
            <w:r w:rsidRPr="00B85A2E">
              <w:rPr>
                <w:rFonts w:ascii="Arial" w:hAnsi="Arial" w:cs="Arial"/>
                <w:b/>
                <w:bCs/>
                <w:color w:val="000000"/>
                <w:sz w:val="19"/>
                <w:szCs w:val="19"/>
              </w:rPr>
              <w:t>45.33</w:t>
            </w:r>
          </w:p>
        </w:tc>
        <w:tc>
          <w:tcPr>
            <w:tcW w:w="1072" w:type="dxa"/>
            <w:tcBorders>
              <w:top w:val="nil"/>
              <w:left w:val="nil"/>
              <w:bottom w:val="single" w:sz="4" w:space="0" w:color="auto"/>
              <w:right w:val="single" w:sz="4" w:space="0" w:color="auto"/>
            </w:tcBorders>
            <w:shd w:val="clear" w:color="auto" w:fill="auto"/>
            <w:noWrap/>
            <w:vAlign w:val="bottom"/>
            <w:hideMark/>
          </w:tcPr>
          <w:p w:rsidR="00F451AD" w:rsidRPr="00B85A2E" w:rsidRDefault="00F451AD" w:rsidP="00F451AD">
            <w:pPr>
              <w:rPr>
                <w:rFonts w:ascii="Arial" w:hAnsi="Arial" w:cs="Arial"/>
                <w:b/>
                <w:bCs/>
                <w:color w:val="000000"/>
                <w:sz w:val="19"/>
                <w:szCs w:val="19"/>
              </w:rPr>
            </w:pPr>
            <w:r w:rsidRPr="00B85A2E">
              <w:rPr>
                <w:rFonts w:ascii="Arial" w:hAnsi="Arial" w:cs="Arial"/>
                <w:b/>
                <w:bCs/>
                <w:color w:val="000000"/>
                <w:sz w:val="19"/>
                <w:szCs w:val="19"/>
              </w:rPr>
              <w:t> </w:t>
            </w:r>
          </w:p>
        </w:tc>
      </w:tr>
    </w:tbl>
    <w:p w:rsidR="00D113E1" w:rsidRDefault="00D113E1" w:rsidP="00D113E1">
      <w:pPr>
        <w:rPr>
          <w:rFonts w:ascii="Arial" w:hAnsi="Arial" w:cs="Arial"/>
          <w:b/>
          <w:sz w:val="18"/>
          <w:szCs w:val="18"/>
        </w:rPr>
      </w:pPr>
    </w:p>
    <w:p w:rsidR="00D113E1" w:rsidRPr="00D113E1" w:rsidRDefault="00D113E1" w:rsidP="00D113E1">
      <w:pPr>
        <w:rPr>
          <w:rFonts w:ascii="Arial" w:hAnsi="Arial" w:cs="Arial"/>
          <w:b/>
          <w:sz w:val="12"/>
          <w:szCs w:val="12"/>
        </w:rPr>
      </w:pPr>
      <w:r w:rsidRPr="00D113E1">
        <w:rPr>
          <w:rFonts w:ascii="Arial" w:hAnsi="Arial" w:cs="Arial"/>
          <w:b/>
          <w:sz w:val="18"/>
          <w:szCs w:val="18"/>
        </w:rPr>
        <w:t>Source:</w:t>
      </w:r>
      <w:r w:rsidRPr="00D113E1">
        <w:rPr>
          <w:rFonts w:ascii="Arial" w:hAnsi="Arial" w:cs="Arial"/>
          <w:sz w:val="18"/>
          <w:szCs w:val="18"/>
        </w:rPr>
        <w:t xml:space="preserve"> HHRSDP, </w:t>
      </w:r>
      <w:r>
        <w:rPr>
          <w:rFonts w:ascii="Arial" w:hAnsi="Arial" w:cs="Arial"/>
          <w:sz w:val="18"/>
          <w:szCs w:val="18"/>
        </w:rPr>
        <w:t>Finance Unit</w:t>
      </w:r>
    </w:p>
    <w:p w:rsidR="00F451AD" w:rsidRPr="00E65146" w:rsidRDefault="00F451AD" w:rsidP="004772A2">
      <w:pPr>
        <w:rPr>
          <w:rFonts w:ascii="Arial" w:hAnsi="Arial" w:cs="Arial"/>
          <w:b/>
          <w:color w:val="000000"/>
        </w:rPr>
      </w:pPr>
    </w:p>
    <w:p w:rsidR="00D113E1" w:rsidRDefault="00D113E1">
      <w:pPr>
        <w:rPr>
          <w:rFonts w:ascii="Arial" w:hAnsi="Arial" w:cs="Arial"/>
          <w:b/>
          <w:color w:val="000000"/>
        </w:rPr>
      </w:pPr>
      <w:r>
        <w:rPr>
          <w:rFonts w:ascii="Arial" w:hAnsi="Arial" w:cs="Arial"/>
          <w:b/>
          <w:color w:val="000000"/>
        </w:rPr>
        <w:br w:type="page"/>
      </w:r>
    </w:p>
    <w:p w:rsidR="004772A2" w:rsidRPr="00E65146" w:rsidRDefault="004772A2" w:rsidP="00BF1C94">
      <w:pPr>
        <w:spacing w:before="240" w:after="120"/>
        <w:jc w:val="center"/>
        <w:rPr>
          <w:rFonts w:ascii="Arial" w:hAnsi="Arial" w:cs="Arial"/>
          <w:b/>
          <w:color w:val="000000"/>
        </w:rPr>
      </w:pPr>
      <w:r w:rsidRPr="00E65146">
        <w:rPr>
          <w:rFonts w:ascii="Arial" w:hAnsi="Arial" w:cs="Arial"/>
          <w:b/>
          <w:color w:val="000000"/>
        </w:rPr>
        <w:t>Table 9.2:Total contract awards and disbursements by category (Loan and Grant)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4425"/>
        <w:gridCol w:w="1519"/>
        <w:gridCol w:w="1418"/>
        <w:gridCol w:w="1559"/>
        <w:gridCol w:w="1417"/>
        <w:gridCol w:w="1276"/>
      </w:tblGrid>
      <w:tr w:rsidR="001D3BC2" w:rsidRPr="00E65146" w:rsidTr="001D3BC2">
        <w:trPr>
          <w:trHeight w:val="986"/>
          <w:jc w:val="center"/>
        </w:trPr>
        <w:tc>
          <w:tcPr>
            <w:tcW w:w="4425" w:type="dxa"/>
            <w:tcBorders>
              <w:bottom w:val="single" w:sz="2" w:space="0" w:color="auto"/>
            </w:tcBorders>
            <w:shd w:val="clear" w:color="auto" w:fill="auto"/>
          </w:tcPr>
          <w:p w:rsidR="00BF1C94" w:rsidRPr="00B85A2E" w:rsidRDefault="00BF1C94">
            <w:pPr>
              <w:autoSpaceDE w:val="0"/>
              <w:autoSpaceDN w:val="0"/>
              <w:adjustRightInd w:val="0"/>
              <w:jc w:val="center"/>
              <w:rPr>
                <w:rFonts w:ascii="Arial" w:hAnsi="Arial" w:cs="Arial"/>
                <w:b/>
                <w:bCs/>
                <w:color w:val="000000"/>
                <w:sz w:val="19"/>
                <w:szCs w:val="19"/>
                <w:lang w:eastAsia="en-US"/>
              </w:rPr>
            </w:pPr>
            <w:r w:rsidRPr="00B85A2E">
              <w:rPr>
                <w:rFonts w:ascii="Arial" w:hAnsi="Arial" w:cs="Arial"/>
                <w:b/>
                <w:bCs/>
                <w:color w:val="000000"/>
                <w:sz w:val="19"/>
                <w:szCs w:val="19"/>
                <w:lang w:eastAsia="en-US"/>
              </w:rPr>
              <w:t>Item</w:t>
            </w:r>
          </w:p>
        </w:tc>
        <w:tc>
          <w:tcPr>
            <w:tcW w:w="1519" w:type="dxa"/>
            <w:tcBorders>
              <w:bottom w:val="single" w:sz="2" w:space="0" w:color="auto"/>
            </w:tcBorders>
            <w:shd w:val="clear" w:color="auto" w:fill="auto"/>
          </w:tcPr>
          <w:p w:rsidR="00BF1C94" w:rsidRPr="00B85A2E" w:rsidRDefault="00BF1C94">
            <w:pPr>
              <w:autoSpaceDE w:val="0"/>
              <w:autoSpaceDN w:val="0"/>
              <w:adjustRightInd w:val="0"/>
              <w:jc w:val="center"/>
              <w:rPr>
                <w:rFonts w:ascii="Arial" w:hAnsi="Arial" w:cs="Arial"/>
                <w:b/>
                <w:bCs/>
                <w:color w:val="000000"/>
                <w:sz w:val="19"/>
                <w:szCs w:val="19"/>
                <w:lang w:eastAsia="en-US"/>
              </w:rPr>
            </w:pPr>
            <w:r w:rsidRPr="00B85A2E">
              <w:rPr>
                <w:rFonts w:ascii="Arial" w:hAnsi="Arial" w:cs="Arial"/>
                <w:b/>
                <w:bCs/>
                <w:color w:val="000000"/>
                <w:sz w:val="19"/>
                <w:szCs w:val="19"/>
                <w:lang w:eastAsia="en-US"/>
              </w:rPr>
              <w:t>Final Allocation (Budget)</w:t>
            </w:r>
          </w:p>
        </w:tc>
        <w:tc>
          <w:tcPr>
            <w:tcW w:w="1418" w:type="dxa"/>
            <w:tcBorders>
              <w:bottom w:val="single" w:sz="2" w:space="0" w:color="auto"/>
            </w:tcBorders>
            <w:shd w:val="clear" w:color="auto" w:fill="auto"/>
          </w:tcPr>
          <w:p w:rsidR="00BF1C94" w:rsidRPr="00B85A2E" w:rsidRDefault="00BF1C94">
            <w:pPr>
              <w:autoSpaceDE w:val="0"/>
              <w:autoSpaceDN w:val="0"/>
              <w:adjustRightInd w:val="0"/>
              <w:jc w:val="center"/>
              <w:rPr>
                <w:rFonts w:ascii="Arial" w:hAnsi="Arial" w:cs="Arial"/>
                <w:b/>
                <w:bCs/>
                <w:color w:val="000000"/>
                <w:sz w:val="19"/>
                <w:szCs w:val="19"/>
                <w:lang w:eastAsia="en-US"/>
              </w:rPr>
            </w:pPr>
            <w:r w:rsidRPr="00B85A2E">
              <w:rPr>
                <w:rFonts w:ascii="Arial" w:hAnsi="Arial" w:cs="Arial"/>
                <w:b/>
                <w:bCs/>
                <w:color w:val="000000"/>
                <w:sz w:val="19"/>
                <w:szCs w:val="19"/>
                <w:lang w:eastAsia="en-US"/>
              </w:rPr>
              <w:t xml:space="preserve"> Disbursed at 15 May 2015</w:t>
            </w:r>
          </w:p>
        </w:tc>
        <w:tc>
          <w:tcPr>
            <w:tcW w:w="1559" w:type="dxa"/>
            <w:tcBorders>
              <w:bottom w:val="single" w:sz="2" w:space="0" w:color="auto"/>
            </w:tcBorders>
            <w:shd w:val="clear" w:color="auto" w:fill="auto"/>
          </w:tcPr>
          <w:p w:rsidR="00BF1C94" w:rsidRPr="00B85A2E" w:rsidRDefault="00BF1C94">
            <w:pPr>
              <w:autoSpaceDE w:val="0"/>
              <w:autoSpaceDN w:val="0"/>
              <w:adjustRightInd w:val="0"/>
              <w:jc w:val="center"/>
              <w:rPr>
                <w:rFonts w:ascii="Arial" w:hAnsi="Arial" w:cs="Arial"/>
                <w:b/>
                <w:bCs/>
                <w:color w:val="000000"/>
                <w:sz w:val="19"/>
                <w:szCs w:val="19"/>
                <w:lang w:eastAsia="en-US"/>
              </w:rPr>
            </w:pPr>
            <w:r w:rsidRPr="00B85A2E">
              <w:rPr>
                <w:rFonts w:ascii="Arial" w:hAnsi="Arial" w:cs="Arial"/>
                <w:b/>
                <w:bCs/>
                <w:color w:val="000000"/>
                <w:sz w:val="19"/>
                <w:szCs w:val="19"/>
                <w:lang w:eastAsia="en-US"/>
              </w:rPr>
              <w:t>Planned Disbursements at 31/12/15</w:t>
            </w:r>
          </w:p>
        </w:tc>
        <w:tc>
          <w:tcPr>
            <w:tcW w:w="1417" w:type="dxa"/>
            <w:tcBorders>
              <w:bottom w:val="single" w:sz="2" w:space="0" w:color="auto"/>
            </w:tcBorders>
            <w:shd w:val="clear" w:color="auto" w:fill="auto"/>
          </w:tcPr>
          <w:p w:rsidR="00BF1C94" w:rsidRPr="00B85A2E" w:rsidRDefault="00BF1C94">
            <w:pPr>
              <w:autoSpaceDE w:val="0"/>
              <w:autoSpaceDN w:val="0"/>
              <w:adjustRightInd w:val="0"/>
              <w:jc w:val="center"/>
              <w:rPr>
                <w:rFonts w:ascii="Arial" w:hAnsi="Arial" w:cs="Arial"/>
                <w:b/>
                <w:bCs/>
                <w:color w:val="000000"/>
                <w:sz w:val="19"/>
                <w:szCs w:val="19"/>
                <w:lang w:eastAsia="en-US"/>
              </w:rPr>
            </w:pPr>
            <w:r w:rsidRPr="00B85A2E">
              <w:rPr>
                <w:rFonts w:ascii="Arial" w:hAnsi="Arial" w:cs="Arial"/>
                <w:b/>
                <w:bCs/>
                <w:color w:val="000000"/>
                <w:sz w:val="19"/>
                <w:szCs w:val="19"/>
                <w:lang w:eastAsia="en-US"/>
              </w:rPr>
              <w:t>Undisbursed budget at 31/12/15</w:t>
            </w:r>
          </w:p>
        </w:tc>
        <w:tc>
          <w:tcPr>
            <w:tcW w:w="1276" w:type="dxa"/>
            <w:tcBorders>
              <w:bottom w:val="single" w:sz="2" w:space="0" w:color="auto"/>
            </w:tcBorders>
            <w:shd w:val="clear" w:color="auto" w:fill="auto"/>
          </w:tcPr>
          <w:p w:rsidR="00BF1C94" w:rsidRPr="00B85A2E" w:rsidRDefault="00BF1C94">
            <w:pPr>
              <w:autoSpaceDE w:val="0"/>
              <w:autoSpaceDN w:val="0"/>
              <w:adjustRightInd w:val="0"/>
              <w:jc w:val="center"/>
              <w:rPr>
                <w:rFonts w:ascii="Arial" w:hAnsi="Arial" w:cs="Arial"/>
                <w:b/>
                <w:bCs/>
                <w:color w:val="000000"/>
                <w:sz w:val="19"/>
                <w:szCs w:val="19"/>
                <w:lang w:eastAsia="en-US"/>
              </w:rPr>
            </w:pPr>
            <w:r w:rsidRPr="00B85A2E">
              <w:rPr>
                <w:rFonts w:ascii="Arial" w:hAnsi="Arial" w:cs="Arial"/>
                <w:b/>
                <w:bCs/>
                <w:color w:val="000000"/>
                <w:sz w:val="19"/>
                <w:szCs w:val="19"/>
                <w:lang w:eastAsia="en-US"/>
              </w:rPr>
              <w:t xml:space="preserve">Uncommitted Budget </w:t>
            </w:r>
          </w:p>
        </w:tc>
      </w:tr>
      <w:tr w:rsidR="001D3BC2" w:rsidRPr="00E65146" w:rsidTr="001D3BC2">
        <w:trPr>
          <w:trHeight w:val="290"/>
          <w:jc w:val="center"/>
        </w:trPr>
        <w:tc>
          <w:tcPr>
            <w:tcW w:w="4425" w:type="dxa"/>
            <w:tcBorders>
              <w:top w:val="single" w:sz="2" w:space="0" w:color="auto"/>
              <w:left w:val="single" w:sz="2" w:space="0" w:color="auto"/>
              <w:bottom w:val="single" w:sz="2" w:space="0" w:color="auto"/>
              <w:right w:val="nil"/>
            </w:tcBorders>
            <w:shd w:val="clear" w:color="auto" w:fill="auto"/>
          </w:tcPr>
          <w:p w:rsidR="00BF1C94" w:rsidRPr="00B85A2E" w:rsidRDefault="00BF1C94">
            <w:pPr>
              <w:autoSpaceDE w:val="0"/>
              <w:autoSpaceDN w:val="0"/>
              <w:adjustRightInd w:val="0"/>
              <w:rPr>
                <w:rFonts w:ascii="Arial" w:hAnsi="Arial" w:cs="Arial"/>
                <w:b/>
                <w:bCs/>
                <w:color w:val="000000"/>
                <w:sz w:val="19"/>
                <w:szCs w:val="19"/>
                <w:lang w:eastAsia="en-US"/>
              </w:rPr>
            </w:pPr>
            <w:r w:rsidRPr="00B85A2E">
              <w:rPr>
                <w:rFonts w:ascii="Arial" w:hAnsi="Arial" w:cs="Arial"/>
                <w:b/>
                <w:bCs/>
                <w:color w:val="000000"/>
                <w:sz w:val="19"/>
                <w:szCs w:val="19"/>
                <w:lang w:eastAsia="en-US"/>
              </w:rPr>
              <w:t>Base Cost</w:t>
            </w:r>
          </w:p>
        </w:tc>
        <w:tc>
          <w:tcPr>
            <w:tcW w:w="1519" w:type="dxa"/>
            <w:tcBorders>
              <w:top w:val="single" w:sz="2" w:space="0" w:color="auto"/>
              <w:left w:val="nil"/>
              <w:bottom w:val="single" w:sz="2" w:space="0" w:color="auto"/>
              <w:right w:val="nil"/>
            </w:tcBorders>
            <w:shd w:val="clear" w:color="auto" w:fill="auto"/>
          </w:tcPr>
          <w:p w:rsidR="00BF1C94" w:rsidRPr="00B85A2E" w:rsidRDefault="00BF1C94">
            <w:pPr>
              <w:autoSpaceDE w:val="0"/>
              <w:autoSpaceDN w:val="0"/>
              <w:adjustRightInd w:val="0"/>
              <w:rPr>
                <w:rFonts w:ascii="Arial" w:hAnsi="Arial" w:cs="Arial"/>
                <w:b/>
                <w:bCs/>
                <w:color w:val="000000"/>
                <w:sz w:val="19"/>
                <w:szCs w:val="19"/>
                <w:lang w:eastAsia="en-US"/>
              </w:rPr>
            </w:pPr>
          </w:p>
        </w:tc>
        <w:tc>
          <w:tcPr>
            <w:tcW w:w="1418" w:type="dxa"/>
            <w:tcBorders>
              <w:top w:val="single" w:sz="2" w:space="0" w:color="auto"/>
              <w:left w:val="nil"/>
              <w:bottom w:val="single" w:sz="2" w:space="0" w:color="auto"/>
              <w:right w:val="nil"/>
            </w:tcBorders>
            <w:shd w:val="clear" w:color="auto" w:fill="auto"/>
          </w:tcPr>
          <w:p w:rsidR="00BF1C94" w:rsidRPr="00B85A2E" w:rsidRDefault="00BF1C94">
            <w:pPr>
              <w:autoSpaceDE w:val="0"/>
              <w:autoSpaceDN w:val="0"/>
              <w:adjustRightInd w:val="0"/>
              <w:rPr>
                <w:rFonts w:ascii="Arial" w:hAnsi="Arial" w:cs="Arial"/>
                <w:b/>
                <w:bCs/>
                <w:color w:val="000000"/>
                <w:sz w:val="19"/>
                <w:szCs w:val="19"/>
                <w:lang w:eastAsia="en-US"/>
              </w:rPr>
            </w:pPr>
          </w:p>
        </w:tc>
        <w:tc>
          <w:tcPr>
            <w:tcW w:w="1559" w:type="dxa"/>
            <w:tcBorders>
              <w:top w:val="single" w:sz="2" w:space="0" w:color="auto"/>
              <w:left w:val="nil"/>
              <w:bottom w:val="single" w:sz="2" w:space="0" w:color="auto"/>
              <w:right w:val="nil"/>
            </w:tcBorders>
            <w:shd w:val="clear" w:color="auto" w:fill="auto"/>
          </w:tcPr>
          <w:p w:rsidR="00BF1C94" w:rsidRPr="00B85A2E" w:rsidRDefault="00BF1C94">
            <w:pPr>
              <w:autoSpaceDE w:val="0"/>
              <w:autoSpaceDN w:val="0"/>
              <w:adjustRightInd w:val="0"/>
              <w:rPr>
                <w:rFonts w:ascii="Arial" w:hAnsi="Arial" w:cs="Arial"/>
                <w:b/>
                <w:bCs/>
                <w:color w:val="000000"/>
                <w:sz w:val="19"/>
                <w:szCs w:val="19"/>
                <w:lang w:eastAsia="en-US"/>
              </w:rPr>
            </w:pPr>
          </w:p>
        </w:tc>
        <w:tc>
          <w:tcPr>
            <w:tcW w:w="1417" w:type="dxa"/>
            <w:tcBorders>
              <w:top w:val="single" w:sz="2" w:space="0" w:color="auto"/>
              <w:left w:val="nil"/>
              <w:bottom w:val="single" w:sz="2" w:space="0" w:color="auto"/>
              <w:right w:val="nil"/>
            </w:tcBorders>
            <w:shd w:val="clear" w:color="auto" w:fill="auto"/>
          </w:tcPr>
          <w:p w:rsidR="00BF1C94" w:rsidRPr="00B85A2E" w:rsidRDefault="00BF1C94">
            <w:pPr>
              <w:autoSpaceDE w:val="0"/>
              <w:autoSpaceDN w:val="0"/>
              <w:adjustRightInd w:val="0"/>
              <w:rPr>
                <w:rFonts w:ascii="Arial" w:hAnsi="Arial" w:cs="Arial"/>
                <w:b/>
                <w:bCs/>
                <w:color w:val="000000"/>
                <w:sz w:val="19"/>
                <w:szCs w:val="19"/>
                <w:lang w:eastAsia="en-US"/>
              </w:rPr>
            </w:pPr>
          </w:p>
        </w:tc>
        <w:tc>
          <w:tcPr>
            <w:tcW w:w="1276" w:type="dxa"/>
            <w:tcBorders>
              <w:top w:val="single" w:sz="2" w:space="0" w:color="auto"/>
              <w:left w:val="nil"/>
              <w:bottom w:val="single" w:sz="2" w:space="0" w:color="auto"/>
              <w:right w:val="single" w:sz="2" w:space="0" w:color="auto"/>
            </w:tcBorders>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p>
        </w:tc>
      </w:tr>
      <w:tr w:rsidR="00BF1C94" w:rsidRPr="00E65146" w:rsidTr="001D3BC2">
        <w:trPr>
          <w:trHeight w:val="290"/>
          <w:jc w:val="center"/>
        </w:trPr>
        <w:tc>
          <w:tcPr>
            <w:tcW w:w="4425" w:type="dxa"/>
            <w:tcBorders>
              <w:top w:val="single" w:sz="2" w:space="0" w:color="auto"/>
            </w:tcBorders>
            <w:shd w:val="clear" w:color="auto" w:fill="auto"/>
          </w:tcPr>
          <w:p w:rsidR="00BF1C94" w:rsidRPr="00B85A2E" w:rsidRDefault="00BF1C94">
            <w:pPr>
              <w:autoSpaceDE w:val="0"/>
              <w:autoSpaceDN w:val="0"/>
              <w:adjustRightInd w:val="0"/>
              <w:rPr>
                <w:rFonts w:ascii="Arial" w:hAnsi="Arial" w:cs="Arial"/>
                <w:color w:val="000000"/>
                <w:sz w:val="19"/>
                <w:szCs w:val="19"/>
                <w:lang w:eastAsia="en-US"/>
              </w:rPr>
            </w:pPr>
            <w:r w:rsidRPr="00B85A2E">
              <w:rPr>
                <w:rFonts w:ascii="Arial" w:hAnsi="Arial" w:cs="Arial"/>
                <w:color w:val="000000"/>
                <w:sz w:val="19"/>
                <w:szCs w:val="19"/>
                <w:lang w:eastAsia="en-US"/>
              </w:rPr>
              <w:t>1. Work</w:t>
            </w:r>
          </w:p>
        </w:tc>
        <w:tc>
          <w:tcPr>
            <w:tcW w:w="1519" w:type="dxa"/>
            <w:tcBorders>
              <w:top w:val="single" w:sz="2" w:space="0" w:color="auto"/>
            </w:tcBorders>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r w:rsidRPr="00B85A2E">
              <w:rPr>
                <w:rFonts w:ascii="Arial" w:hAnsi="Arial" w:cs="Arial"/>
                <w:color w:val="000000"/>
                <w:sz w:val="19"/>
                <w:szCs w:val="19"/>
                <w:lang w:eastAsia="en-US"/>
              </w:rPr>
              <w:t>1.09</w:t>
            </w:r>
          </w:p>
        </w:tc>
        <w:tc>
          <w:tcPr>
            <w:tcW w:w="1418" w:type="dxa"/>
            <w:tcBorders>
              <w:top w:val="single" w:sz="2" w:space="0" w:color="auto"/>
            </w:tcBorders>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r w:rsidRPr="00B85A2E">
              <w:rPr>
                <w:rFonts w:ascii="Arial" w:hAnsi="Arial" w:cs="Arial"/>
                <w:color w:val="000000"/>
                <w:sz w:val="19"/>
                <w:szCs w:val="19"/>
                <w:lang w:eastAsia="en-US"/>
              </w:rPr>
              <w:t>0.84</w:t>
            </w:r>
          </w:p>
        </w:tc>
        <w:tc>
          <w:tcPr>
            <w:tcW w:w="1559" w:type="dxa"/>
            <w:tcBorders>
              <w:top w:val="single" w:sz="2" w:space="0" w:color="auto"/>
            </w:tcBorders>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r w:rsidRPr="00B85A2E">
              <w:rPr>
                <w:rFonts w:ascii="Arial" w:hAnsi="Arial" w:cs="Arial"/>
                <w:color w:val="000000"/>
                <w:sz w:val="19"/>
                <w:szCs w:val="19"/>
                <w:lang w:eastAsia="en-US"/>
              </w:rPr>
              <w:t>1.09</w:t>
            </w:r>
          </w:p>
        </w:tc>
        <w:tc>
          <w:tcPr>
            <w:tcW w:w="1417" w:type="dxa"/>
            <w:tcBorders>
              <w:top w:val="single" w:sz="2" w:space="0" w:color="auto"/>
            </w:tcBorders>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r w:rsidRPr="00B85A2E">
              <w:rPr>
                <w:rFonts w:ascii="Arial" w:hAnsi="Arial" w:cs="Arial"/>
                <w:color w:val="000000"/>
                <w:sz w:val="19"/>
                <w:szCs w:val="19"/>
                <w:lang w:eastAsia="en-US"/>
              </w:rPr>
              <w:t>0.000</w:t>
            </w:r>
          </w:p>
        </w:tc>
        <w:tc>
          <w:tcPr>
            <w:tcW w:w="1276" w:type="dxa"/>
            <w:tcBorders>
              <w:top w:val="single" w:sz="2" w:space="0" w:color="auto"/>
            </w:tcBorders>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r w:rsidRPr="00B85A2E">
              <w:rPr>
                <w:rFonts w:ascii="Arial" w:hAnsi="Arial" w:cs="Arial"/>
                <w:color w:val="000000"/>
                <w:sz w:val="19"/>
                <w:szCs w:val="19"/>
                <w:lang w:eastAsia="en-US"/>
              </w:rPr>
              <w:t>0.00</w:t>
            </w:r>
          </w:p>
        </w:tc>
      </w:tr>
      <w:tr w:rsidR="00BF1C94" w:rsidRPr="00E65146" w:rsidTr="001D3BC2">
        <w:trPr>
          <w:trHeight w:val="290"/>
          <w:jc w:val="center"/>
        </w:trPr>
        <w:tc>
          <w:tcPr>
            <w:tcW w:w="4425" w:type="dxa"/>
            <w:shd w:val="clear" w:color="auto" w:fill="auto"/>
          </w:tcPr>
          <w:p w:rsidR="00BF1C94" w:rsidRPr="00B85A2E" w:rsidRDefault="00BF1C94">
            <w:pPr>
              <w:autoSpaceDE w:val="0"/>
              <w:autoSpaceDN w:val="0"/>
              <w:adjustRightInd w:val="0"/>
              <w:rPr>
                <w:rFonts w:ascii="Arial" w:hAnsi="Arial" w:cs="Arial"/>
                <w:color w:val="000000"/>
                <w:sz w:val="19"/>
                <w:szCs w:val="19"/>
                <w:lang w:eastAsia="en-US"/>
              </w:rPr>
            </w:pPr>
            <w:r w:rsidRPr="00B85A2E">
              <w:rPr>
                <w:rFonts w:ascii="Arial" w:hAnsi="Arial" w:cs="Arial"/>
                <w:color w:val="000000"/>
                <w:sz w:val="19"/>
                <w:szCs w:val="19"/>
                <w:lang w:eastAsia="en-US"/>
              </w:rPr>
              <w:t>2. Equipment</w:t>
            </w:r>
          </w:p>
        </w:tc>
        <w:tc>
          <w:tcPr>
            <w:tcW w:w="1519" w:type="dxa"/>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r w:rsidRPr="00B85A2E">
              <w:rPr>
                <w:rFonts w:ascii="Arial" w:hAnsi="Arial" w:cs="Arial"/>
                <w:color w:val="000000"/>
                <w:sz w:val="19"/>
                <w:szCs w:val="19"/>
                <w:lang w:eastAsia="en-US"/>
              </w:rPr>
              <w:t>18.99</w:t>
            </w:r>
          </w:p>
        </w:tc>
        <w:tc>
          <w:tcPr>
            <w:tcW w:w="1418" w:type="dxa"/>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r w:rsidRPr="00B85A2E">
              <w:rPr>
                <w:rFonts w:ascii="Arial" w:hAnsi="Arial" w:cs="Arial"/>
                <w:color w:val="000000"/>
                <w:sz w:val="19"/>
                <w:szCs w:val="19"/>
                <w:lang w:eastAsia="en-US"/>
              </w:rPr>
              <w:t>12.82</w:t>
            </w:r>
          </w:p>
        </w:tc>
        <w:tc>
          <w:tcPr>
            <w:tcW w:w="1559" w:type="dxa"/>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r w:rsidRPr="00B85A2E">
              <w:rPr>
                <w:rFonts w:ascii="Arial" w:hAnsi="Arial" w:cs="Arial"/>
                <w:color w:val="000000"/>
                <w:sz w:val="19"/>
                <w:szCs w:val="19"/>
                <w:lang w:eastAsia="en-US"/>
              </w:rPr>
              <w:t>16.61</w:t>
            </w:r>
          </w:p>
        </w:tc>
        <w:tc>
          <w:tcPr>
            <w:tcW w:w="1417" w:type="dxa"/>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r w:rsidRPr="00B85A2E">
              <w:rPr>
                <w:rFonts w:ascii="Arial" w:hAnsi="Arial" w:cs="Arial"/>
                <w:color w:val="000000"/>
                <w:sz w:val="19"/>
                <w:szCs w:val="19"/>
                <w:lang w:eastAsia="en-US"/>
              </w:rPr>
              <w:t>2.380</w:t>
            </w:r>
          </w:p>
        </w:tc>
        <w:tc>
          <w:tcPr>
            <w:tcW w:w="1276" w:type="dxa"/>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r w:rsidRPr="00B85A2E">
              <w:rPr>
                <w:rFonts w:ascii="Arial" w:hAnsi="Arial" w:cs="Arial"/>
                <w:color w:val="000000"/>
                <w:sz w:val="19"/>
                <w:szCs w:val="19"/>
                <w:lang w:eastAsia="en-US"/>
              </w:rPr>
              <w:t>2.50</w:t>
            </w:r>
          </w:p>
        </w:tc>
      </w:tr>
      <w:tr w:rsidR="00BF1C94" w:rsidRPr="00E65146" w:rsidTr="001D3BC2">
        <w:trPr>
          <w:trHeight w:val="290"/>
          <w:jc w:val="center"/>
        </w:trPr>
        <w:tc>
          <w:tcPr>
            <w:tcW w:w="4425" w:type="dxa"/>
            <w:shd w:val="clear" w:color="auto" w:fill="auto"/>
          </w:tcPr>
          <w:p w:rsidR="00BF1C94" w:rsidRPr="00B85A2E" w:rsidRDefault="00BF1C94">
            <w:pPr>
              <w:autoSpaceDE w:val="0"/>
              <w:autoSpaceDN w:val="0"/>
              <w:adjustRightInd w:val="0"/>
              <w:rPr>
                <w:rFonts w:ascii="Arial" w:hAnsi="Arial" w:cs="Arial"/>
                <w:color w:val="000000"/>
                <w:sz w:val="19"/>
                <w:szCs w:val="19"/>
                <w:lang w:eastAsia="en-US"/>
              </w:rPr>
            </w:pPr>
            <w:r w:rsidRPr="00B85A2E">
              <w:rPr>
                <w:rFonts w:ascii="Arial" w:hAnsi="Arial" w:cs="Arial"/>
                <w:color w:val="000000"/>
                <w:sz w:val="19"/>
                <w:szCs w:val="19"/>
                <w:lang w:eastAsia="en-US"/>
              </w:rPr>
              <w:t>3. Workshops and Studies</w:t>
            </w:r>
          </w:p>
        </w:tc>
        <w:tc>
          <w:tcPr>
            <w:tcW w:w="1519" w:type="dxa"/>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r w:rsidRPr="00B85A2E">
              <w:rPr>
                <w:rFonts w:ascii="Arial" w:hAnsi="Arial" w:cs="Arial"/>
                <w:color w:val="000000"/>
                <w:sz w:val="19"/>
                <w:szCs w:val="19"/>
                <w:lang w:eastAsia="en-US"/>
              </w:rPr>
              <w:t>3.29</w:t>
            </w:r>
          </w:p>
        </w:tc>
        <w:tc>
          <w:tcPr>
            <w:tcW w:w="1418" w:type="dxa"/>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r w:rsidRPr="00B85A2E">
              <w:rPr>
                <w:rFonts w:ascii="Arial" w:hAnsi="Arial" w:cs="Arial"/>
                <w:color w:val="000000"/>
                <w:sz w:val="19"/>
                <w:szCs w:val="19"/>
                <w:lang w:eastAsia="en-US"/>
              </w:rPr>
              <w:t>1.33</w:t>
            </w:r>
          </w:p>
        </w:tc>
        <w:tc>
          <w:tcPr>
            <w:tcW w:w="1559" w:type="dxa"/>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r w:rsidRPr="00B85A2E">
              <w:rPr>
                <w:rFonts w:ascii="Arial" w:hAnsi="Arial" w:cs="Arial"/>
                <w:color w:val="000000"/>
                <w:sz w:val="19"/>
                <w:szCs w:val="19"/>
                <w:lang w:eastAsia="en-US"/>
              </w:rPr>
              <w:t>3.00</w:t>
            </w:r>
          </w:p>
        </w:tc>
        <w:tc>
          <w:tcPr>
            <w:tcW w:w="1417" w:type="dxa"/>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r w:rsidRPr="00B85A2E">
              <w:rPr>
                <w:rFonts w:ascii="Arial" w:hAnsi="Arial" w:cs="Arial"/>
                <w:color w:val="000000"/>
                <w:sz w:val="19"/>
                <w:szCs w:val="19"/>
                <w:lang w:eastAsia="en-US"/>
              </w:rPr>
              <w:t>0.289</w:t>
            </w:r>
          </w:p>
        </w:tc>
        <w:tc>
          <w:tcPr>
            <w:tcW w:w="1276" w:type="dxa"/>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r w:rsidRPr="00B85A2E">
              <w:rPr>
                <w:rFonts w:ascii="Arial" w:hAnsi="Arial" w:cs="Arial"/>
                <w:color w:val="000000"/>
                <w:sz w:val="19"/>
                <w:szCs w:val="19"/>
                <w:lang w:eastAsia="en-US"/>
              </w:rPr>
              <w:t>0.02</w:t>
            </w:r>
          </w:p>
        </w:tc>
      </w:tr>
      <w:tr w:rsidR="00BF1C94" w:rsidRPr="00E65146" w:rsidTr="001D3BC2">
        <w:trPr>
          <w:trHeight w:val="290"/>
          <w:jc w:val="center"/>
        </w:trPr>
        <w:tc>
          <w:tcPr>
            <w:tcW w:w="4425" w:type="dxa"/>
            <w:shd w:val="clear" w:color="auto" w:fill="auto"/>
          </w:tcPr>
          <w:p w:rsidR="00BF1C94" w:rsidRPr="00B85A2E" w:rsidRDefault="00BF1C94">
            <w:pPr>
              <w:autoSpaceDE w:val="0"/>
              <w:autoSpaceDN w:val="0"/>
              <w:adjustRightInd w:val="0"/>
              <w:rPr>
                <w:rFonts w:ascii="Arial" w:hAnsi="Arial" w:cs="Arial"/>
                <w:color w:val="000000"/>
                <w:sz w:val="19"/>
                <w:szCs w:val="19"/>
                <w:lang w:eastAsia="en-US"/>
              </w:rPr>
            </w:pPr>
            <w:r w:rsidRPr="00B85A2E">
              <w:rPr>
                <w:rFonts w:ascii="Arial" w:hAnsi="Arial" w:cs="Arial"/>
                <w:color w:val="000000"/>
                <w:sz w:val="19"/>
                <w:szCs w:val="19"/>
                <w:lang w:eastAsia="en-US"/>
              </w:rPr>
              <w:t>4. Education and Training</w:t>
            </w:r>
          </w:p>
        </w:tc>
        <w:tc>
          <w:tcPr>
            <w:tcW w:w="1519" w:type="dxa"/>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r w:rsidRPr="00B85A2E">
              <w:rPr>
                <w:rFonts w:ascii="Arial" w:hAnsi="Arial" w:cs="Arial"/>
                <w:color w:val="000000"/>
                <w:sz w:val="19"/>
                <w:szCs w:val="19"/>
                <w:lang w:eastAsia="en-US"/>
              </w:rPr>
              <w:t>4.69</w:t>
            </w:r>
          </w:p>
        </w:tc>
        <w:tc>
          <w:tcPr>
            <w:tcW w:w="1418" w:type="dxa"/>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r w:rsidRPr="00B85A2E">
              <w:rPr>
                <w:rFonts w:ascii="Arial" w:hAnsi="Arial" w:cs="Arial"/>
                <w:color w:val="000000"/>
                <w:sz w:val="19"/>
                <w:szCs w:val="19"/>
                <w:lang w:eastAsia="en-US"/>
              </w:rPr>
              <w:t>2.07</w:t>
            </w:r>
          </w:p>
        </w:tc>
        <w:tc>
          <w:tcPr>
            <w:tcW w:w="1559" w:type="dxa"/>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r w:rsidRPr="00B85A2E">
              <w:rPr>
                <w:rFonts w:ascii="Arial" w:hAnsi="Arial" w:cs="Arial"/>
                <w:color w:val="000000"/>
                <w:sz w:val="19"/>
                <w:szCs w:val="19"/>
                <w:lang w:eastAsia="en-US"/>
              </w:rPr>
              <w:t>4.68</w:t>
            </w:r>
          </w:p>
        </w:tc>
        <w:tc>
          <w:tcPr>
            <w:tcW w:w="1417" w:type="dxa"/>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r w:rsidRPr="00B85A2E">
              <w:rPr>
                <w:rFonts w:ascii="Arial" w:hAnsi="Arial" w:cs="Arial"/>
                <w:color w:val="000000"/>
                <w:sz w:val="19"/>
                <w:szCs w:val="19"/>
                <w:lang w:eastAsia="en-US"/>
              </w:rPr>
              <w:t>0.008</w:t>
            </w:r>
          </w:p>
        </w:tc>
        <w:tc>
          <w:tcPr>
            <w:tcW w:w="1276" w:type="dxa"/>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r w:rsidRPr="00B85A2E">
              <w:rPr>
                <w:rFonts w:ascii="Arial" w:hAnsi="Arial" w:cs="Arial"/>
                <w:color w:val="000000"/>
                <w:sz w:val="19"/>
                <w:szCs w:val="19"/>
                <w:lang w:eastAsia="en-US"/>
              </w:rPr>
              <w:t>0.00</w:t>
            </w:r>
          </w:p>
        </w:tc>
      </w:tr>
      <w:tr w:rsidR="00BF1C94" w:rsidRPr="00E65146" w:rsidTr="001D3BC2">
        <w:trPr>
          <w:trHeight w:val="290"/>
          <w:jc w:val="center"/>
        </w:trPr>
        <w:tc>
          <w:tcPr>
            <w:tcW w:w="4425" w:type="dxa"/>
            <w:shd w:val="clear" w:color="auto" w:fill="auto"/>
          </w:tcPr>
          <w:p w:rsidR="00BF1C94" w:rsidRPr="00B85A2E" w:rsidRDefault="00BF1C94">
            <w:pPr>
              <w:autoSpaceDE w:val="0"/>
              <w:autoSpaceDN w:val="0"/>
              <w:adjustRightInd w:val="0"/>
              <w:rPr>
                <w:rFonts w:ascii="Arial" w:hAnsi="Arial" w:cs="Arial"/>
                <w:color w:val="000000"/>
                <w:sz w:val="19"/>
                <w:szCs w:val="19"/>
                <w:lang w:eastAsia="en-US"/>
              </w:rPr>
            </w:pPr>
            <w:r w:rsidRPr="00B85A2E">
              <w:rPr>
                <w:rFonts w:ascii="Arial" w:hAnsi="Arial" w:cs="Arial"/>
                <w:color w:val="000000"/>
                <w:sz w:val="19"/>
                <w:szCs w:val="19"/>
                <w:lang w:eastAsia="en-US"/>
              </w:rPr>
              <w:t>5. Consulting Services</w:t>
            </w:r>
          </w:p>
        </w:tc>
        <w:tc>
          <w:tcPr>
            <w:tcW w:w="1519" w:type="dxa"/>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r w:rsidRPr="00B85A2E">
              <w:rPr>
                <w:rFonts w:ascii="Arial" w:hAnsi="Arial" w:cs="Arial"/>
                <w:color w:val="000000"/>
                <w:sz w:val="19"/>
                <w:szCs w:val="19"/>
                <w:lang w:eastAsia="en-US"/>
              </w:rPr>
              <w:t>3.50</w:t>
            </w:r>
          </w:p>
        </w:tc>
        <w:tc>
          <w:tcPr>
            <w:tcW w:w="1418" w:type="dxa"/>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r w:rsidRPr="00B85A2E">
              <w:rPr>
                <w:rFonts w:ascii="Arial" w:hAnsi="Arial" w:cs="Arial"/>
                <w:color w:val="000000"/>
                <w:sz w:val="19"/>
                <w:szCs w:val="19"/>
                <w:lang w:eastAsia="en-US"/>
              </w:rPr>
              <w:t>2.20</w:t>
            </w:r>
          </w:p>
        </w:tc>
        <w:tc>
          <w:tcPr>
            <w:tcW w:w="1559" w:type="dxa"/>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r w:rsidRPr="00B85A2E">
              <w:rPr>
                <w:rFonts w:ascii="Arial" w:hAnsi="Arial" w:cs="Arial"/>
                <w:color w:val="000000"/>
                <w:sz w:val="19"/>
                <w:szCs w:val="19"/>
                <w:lang w:eastAsia="en-US"/>
              </w:rPr>
              <w:t>3.50</w:t>
            </w:r>
          </w:p>
        </w:tc>
        <w:tc>
          <w:tcPr>
            <w:tcW w:w="1417" w:type="dxa"/>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r w:rsidRPr="00B85A2E">
              <w:rPr>
                <w:rFonts w:ascii="Arial" w:hAnsi="Arial" w:cs="Arial"/>
                <w:color w:val="000000"/>
                <w:sz w:val="19"/>
                <w:szCs w:val="19"/>
                <w:lang w:eastAsia="en-US"/>
              </w:rPr>
              <w:t>0.003</w:t>
            </w:r>
          </w:p>
        </w:tc>
        <w:tc>
          <w:tcPr>
            <w:tcW w:w="1276" w:type="dxa"/>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r w:rsidRPr="00B85A2E">
              <w:rPr>
                <w:rFonts w:ascii="Arial" w:hAnsi="Arial" w:cs="Arial"/>
                <w:color w:val="000000"/>
                <w:sz w:val="19"/>
                <w:szCs w:val="19"/>
                <w:lang w:eastAsia="en-US"/>
              </w:rPr>
              <w:t>0.00</w:t>
            </w:r>
          </w:p>
        </w:tc>
      </w:tr>
      <w:tr w:rsidR="00BF1C94" w:rsidRPr="00E65146" w:rsidTr="001D3BC2">
        <w:trPr>
          <w:trHeight w:val="754"/>
          <w:jc w:val="center"/>
        </w:trPr>
        <w:tc>
          <w:tcPr>
            <w:tcW w:w="4425" w:type="dxa"/>
            <w:shd w:val="clear" w:color="auto" w:fill="auto"/>
          </w:tcPr>
          <w:p w:rsidR="00BF1C94" w:rsidRPr="00B85A2E" w:rsidRDefault="00BF1C94" w:rsidP="00D113E1">
            <w:pPr>
              <w:tabs>
                <w:tab w:val="left" w:pos="142"/>
              </w:tabs>
              <w:autoSpaceDE w:val="0"/>
              <w:autoSpaceDN w:val="0"/>
              <w:adjustRightInd w:val="0"/>
              <w:rPr>
                <w:rFonts w:ascii="Arial" w:hAnsi="Arial" w:cs="Arial"/>
                <w:color w:val="000000"/>
                <w:sz w:val="19"/>
                <w:szCs w:val="19"/>
                <w:lang w:eastAsia="en-US"/>
              </w:rPr>
            </w:pPr>
            <w:r w:rsidRPr="00B85A2E">
              <w:rPr>
                <w:rFonts w:ascii="Arial" w:hAnsi="Arial" w:cs="Arial"/>
                <w:color w:val="000000"/>
                <w:sz w:val="19"/>
                <w:szCs w:val="19"/>
                <w:lang w:eastAsia="en-US"/>
              </w:rPr>
              <w:t>6. Health Professional Registration System Establishment: Operational Funding</w:t>
            </w:r>
          </w:p>
        </w:tc>
        <w:tc>
          <w:tcPr>
            <w:tcW w:w="1519" w:type="dxa"/>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r w:rsidRPr="00B85A2E">
              <w:rPr>
                <w:rFonts w:ascii="Arial" w:hAnsi="Arial" w:cs="Arial"/>
                <w:color w:val="000000"/>
                <w:sz w:val="19"/>
                <w:szCs w:val="19"/>
                <w:lang w:eastAsia="en-US"/>
              </w:rPr>
              <w:t>3.66</w:t>
            </w:r>
          </w:p>
        </w:tc>
        <w:tc>
          <w:tcPr>
            <w:tcW w:w="1418" w:type="dxa"/>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r w:rsidRPr="00B85A2E">
              <w:rPr>
                <w:rFonts w:ascii="Arial" w:hAnsi="Arial" w:cs="Arial"/>
                <w:color w:val="000000"/>
                <w:sz w:val="19"/>
                <w:szCs w:val="19"/>
                <w:lang w:eastAsia="en-US"/>
              </w:rPr>
              <w:t>1.03</w:t>
            </w:r>
          </w:p>
        </w:tc>
        <w:tc>
          <w:tcPr>
            <w:tcW w:w="1559" w:type="dxa"/>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r w:rsidRPr="00B85A2E">
              <w:rPr>
                <w:rFonts w:ascii="Arial" w:hAnsi="Arial" w:cs="Arial"/>
                <w:color w:val="000000"/>
                <w:sz w:val="19"/>
                <w:szCs w:val="19"/>
                <w:lang w:eastAsia="en-US"/>
              </w:rPr>
              <w:t>3.58</w:t>
            </w:r>
          </w:p>
        </w:tc>
        <w:tc>
          <w:tcPr>
            <w:tcW w:w="1417" w:type="dxa"/>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r w:rsidRPr="00B85A2E">
              <w:rPr>
                <w:rFonts w:ascii="Arial" w:hAnsi="Arial" w:cs="Arial"/>
                <w:color w:val="000000"/>
                <w:sz w:val="19"/>
                <w:szCs w:val="19"/>
                <w:lang w:eastAsia="en-US"/>
              </w:rPr>
              <w:t>0.073</w:t>
            </w:r>
          </w:p>
        </w:tc>
        <w:tc>
          <w:tcPr>
            <w:tcW w:w="1276" w:type="dxa"/>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r w:rsidRPr="00B85A2E">
              <w:rPr>
                <w:rFonts w:ascii="Arial" w:hAnsi="Arial" w:cs="Arial"/>
                <w:color w:val="000000"/>
                <w:sz w:val="19"/>
                <w:szCs w:val="19"/>
                <w:lang w:eastAsia="en-US"/>
              </w:rPr>
              <w:t>0.00</w:t>
            </w:r>
          </w:p>
        </w:tc>
      </w:tr>
      <w:tr w:rsidR="00BF1C94" w:rsidRPr="00E65146" w:rsidTr="001D3BC2">
        <w:trPr>
          <w:trHeight w:val="290"/>
          <w:jc w:val="center"/>
        </w:trPr>
        <w:tc>
          <w:tcPr>
            <w:tcW w:w="4425" w:type="dxa"/>
            <w:shd w:val="clear" w:color="auto" w:fill="auto"/>
          </w:tcPr>
          <w:p w:rsidR="00BF1C94" w:rsidRPr="00B85A2E" w:rsidRDefault="00BF1C94" w:rsidP="00D113E1">
            <w:pPr>
              <w:tabs>
                <w:tab w:val="left" w:pos="142"/>
              </w:tabs>
              <w:autoSpaceDE w:val="0"/>
              <w:autoSpaceDN w:val="0"/>
              <w:adjustRightInd w:val="0"/>
              <w:rPr>
                <w:rFonts w:ascii="Arial" w:hAnsi="Arial" w:cs="Arial"/>
                <w:color w:val="000000"/>
                <w:sz w:val="19"/>
                <w:szCs w:val="19"/>
                <w:lang w:eastAsia="en-US"/>
              </w:rPr>
            </w:pPr>
            <w:r w:rsidRPr="00B85A2E">
              <w:rPr>
                <w:rFonts w:ascii="Arial" w:hAnsi="Arial" w:cs="Arial"/>
                <w:color w:val="000000"/>
                <w:sz w:val="19"/>
                <w:szCs w:val="19"/>
                <w:lang w:eastAsia="en-US"/>
              </w:rPr>
              <w:t>7. Project Management</w:t>
            </w:r>
          </w:p>
        </w:tc>
        <w:tc>
          <w:tcPr>
            <w:tcW w:w="1519" w:type="dxa"/>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r w:rsidRPr="00B85A2E">
              <w:rPr>
                <w:rFonts w:ascii="Arial" w:hAnsi="Arial" w:cs="Arial"/>
                <w:color w:val="000000"/>
                <w:sz w:val="19"/>
                <w:szCs w:val="19"/>
                <w:lang w:eastAsia="en-US"/>
              </w:rPr>
              <w:t>1.96</w:t>
            </w:r>
          </w:p>
        </w:tc>
        <w:tc>
          <w:tcPr>
            <w:tcW w:w="1418" w:type="dxa"/>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r w:rsidRPr="00B85A2E">
              <w:rPr>
                <w:rFonts w:ascii="Arial" w:hAnsi="Arial" w:cs="Arial"/>
                <w:color w:val="000000"/>
                <w:sz w:val="19"/>
                <w:szCs w:val="19"/>
                <w:lang w:eastAsia="en-US"/>
              </w:rPr>
              <w:t>1.25</w:t>
            </w:r>
          </w:p>
        </w:tc>
        <w:tc>
          <w:tcPr>
            <w:tcW w:w="1559" w:type="dxa"/>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r w:rsidRPr="00B85A2E">
              <w:rPr>
                <w:rFonts w:ascii="Arial" w:hAnsi="Arial" w:cs="Arial"/>
                <w:color w:val="000000"/>
                <w:sz w:val="19"/>
                <w:szCs w:val="19"/>
                <w:lang w:eastAsia="en-US"/>
              </w:rPr>
              <w:t>1.78</w:t>
            </w:r>
          </w:p>
        </w:tc>
        <w:tc>
          <w:tcPr>
            <w:tcW w:w="1417" w:type="dxa"/>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r w:rsidRPr="00B85A2E">
              <w:rPr>
                <w:rFonts w:ascii="Arial" w:hAnsi="Arial" w:cs="Arial"/>
                <w:color w:val="000000"/>
                <w:sz w:val="19"/>
                <w:szCs w:val="19"/>
                <w:lang w:eastAsia="en-US"/>
              </w:rPr>
              <w:t>0.174</w:t>
            </w:r>
          </w:p>
        </w:tc>
        <w:tc>
          <w:tcPr>
            <w:tcW w:w="1276" w:type="dxa"/>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r w:rsidRPr="00B85A2E">
              <w:rPr>
                <w:rFonts w:ascii="Arial" w:hAnsi="Arial" w:cs="Arial"/>
                <w:color w:val="000000"/>
                <w:sz w:val="19"/>
                <w:szCs w:val="19"/>
                <w:lang w:eastAsia="en-US"/>
              </w:rPr>
              <w:t>0.00</w:t>
            </w:r>
          </w:p>
        </w:tc>
      </w:tr>
      <w:tr w:rsidR="00BF1C94" w:rsidRPr="00E65146" w:rsidTr="001D3BC2">
        <w:trPr>
          <w:trHeight w:val="506"/>
          <w:jc w:val="center"/>
        </w:trPr>
        <w:tc>
          <w:tcPr>
            <w:tcW w:w="4425" w:type="dxa"/>
            <w:shd w:val="clear" w:color="auto" w:fill="auto"/>
          </w:tcPr>
          <w:p w:rsidR="00BF1C94" w:rsidRPr="00B85A2E" w:rsidRDefault="00BF1C94">
            <w:pPr>
              <w:autoSpaceDE w:val="0"/>
              <w:autoSpaceDN w:val="0"/>
              <w:adjustRightInd w:val="0"/>
              <w:rPr>
                <w:rFonts w:ascii="Arial" w:hAnsi="Arial" w:cs="Arial"/>
                <w:color w:val="000000"/>
                <w:sz w:val="19"/>
                <w:szCs w:val="19"/>
                <w:lang w:eastAsia="en-US"/>
              </w:rPr>
            </w:pPr>
            <w:r w:rsidRPr="00B85A2E">
              <w:rPr>
                <w:rFonts w:ascii="Arial" w:hAnsi="Arial" w:cs="Arial"/>
                <w:color w:val="000000"/>
                <w:sz w:val="19"/>
                <w:szCs w:val="19"/>
                <w:lang w:eastAsia="en-US"/>
              </w:rPr>
              <w:t>8. Project Management for Care Pathway Pilot</w:t>
            </w:r>
          </w:p>
        </w:tc>
        <w:tc>
          <w:tcPr>
            <w:tcW w:w="1519" w:type="dxa"/>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r w:rsidRPr="00B85A2E">
              <w:rPr>
                <w:rFonts w:ascii="Arial" w:hAnsi="Arial" w:cs="Arial"/>
                <w:color w:val="000000"/>
                <w:sz w:val="19"/>
                <w:szCs w:val="19"/>
                <w:lang w:eastAsia="en-US"/>
              </w:rPr>
              <w:t>0.65</w:t>
            </w:r>
          </w:p>
        </w:tc>
        <w:tc>
          <w:tcPr>
            <w:tcW w:w="1418" w:type="dxa"/>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r w:rsidRPr="00B85A2E">
              <w:rPr>
                <w:rFonts w:ascii="Arial" w:hAnsi="Arial" w:cs="Arial"/>
                <w:color w:val="000000"/>
                <w:sz w:val="19"/>
                <w:szCs w:val="19"/>
                <w:lang w:eastAsia="en-US"/>
              </w:rPr>
              <w:t>0.31</w:t>
            </w:r>
          </w:p>
        </w:tc>
        <w:tc>
          <w:tcPr>
            <w:tcW w:w="1559" w:type="dxa"/>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r w:rsidRPr="00B85A2E">
              <w:rPr>
                <w:rFonts w:ascii="Arial" w:hAnsi="Arial" w:cs="Arial"/>
                <w:color w:val="000000"/>
                <w:sz w:val="19"/>
                <w:szCs w:val="19"/>
                <w:lang w:eastAsia="en-US"/>
              </w:rPr>
              <w:t>0.65</w:t>
            </w:r>
          </w:p>
        </w:tc>
        <w:tc>
          <w:tcPr>
            <w:tcW w:w="1417" w:type="dxa"/>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r w:rsidRPr="00B85A2E">
              <w:rPr>
                <w:rFonts w:ascii="Arial" w:hAnsi="Arial" w:cs="Arial"/>
                <w:color w:val="000000"/>
                <w:sz w:val="19"/>
                <w:szCs w:val="19"/>
                <w:lang w:eastAsia="en-US"/>
              </w:rPr>
              <w:t>0.000</w:t>
            </w:r>
          </w:p>
        </w:tc>
        <w:tc>
          <w:tcPr>
            <w:tcW w:w="1276" w:type="dxa"/>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r w:rsidRPr="00B85A2E">
              <w:rPr>
                <w:rFonts w:ascii="Arial" w:hAnsi="Arial" w:cs="Arial"/>
                <w:color w:val="000000"/>
                <w:sz w:val="19"/>
                <w:szCs w:val="19"/>
                <w:lang w:eastAsia="en-US"/>
              </w:rPr>
              <w:t>0.00</w:t>
            </w:r>
          </w:p>
        </w:tc>
      </w:tr>
      <w:tr w:rsidR="00BF1C94" w:rsidRPr="00E65146" w:rsidTr="001D3BC2">
        <w:trPr>
          <w:trHeight w:val="506"/>
          <w:jc w:val="center"/>
        </w:trPr>
        <w:tc>
          <w:tcPr>
            <w:tcW w:w="4425" w:type="dxa"/>
            <w:shd w:val="clear" w:color="auto" w:fill="auto"/>
          </w:tcPr>
          <w:p w:rsidR="00BF1C94" w:rsidRPr="00B85A2E" w:rsidRDefault="00BF1C94">
            <w:pPr>
              <w:autoSpaceDE w:val="0"/>
              <w:autoSpaceDN w:val="0"/>
              <w:adjustRightInd w:val="0"/>
              <w:rPr>
                <w:rFonts w:ascii="Arial" w:hAnsi="Arial" w:cs="Arial"/>
                <w:color w:val="000000"/>
                <w:sz w:val="19"/>
                <w:szCs w:val="19"/>
                <w:lang w:eastAsia="en-US"/>
              </w:rPr>
            </w:pPr>
            <w:r w:rsidRPr="00B85A2E">
              <w:rPr>
                <w:rFonts w:ascii="Arial" w:hAnsi="Arial" w:cs="Arial"/>
                <w:color w:val="000000"/>
                <w:sz w:val="19"/>
                <w:szCs w:val="19"/>
                <w:lang w:eastAsia="en-US"/>
              </w:rPr>
              <w:t xml:space="preserve">9. Capacity Building for Care Pathway Pilot </w:t>
            </w:r>
          </w:p>
        </w:tc>
        <w:tc>
          <w:tcPr>
            <w:tcW w:w="1519" w:type="dxa"/>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r w:rsidRPr="00B85A2E">
              <w:rPr>
                <w:rFonts w:ascii="Arial" w:hAnsi="Arial" w:cs="Arial"/>
                <w:color w:val="000000"/>
                <w:sz w:val="19"/>
                <w:szCs w:val="19"/>
                <w:lang w:eastAsia="en-US"/>
              </w:rPr>
              <w:t>0.83</w:t>
            </w:r>
          </w:p>
        </w:tc>
        <w:tc>
          <w:tcPr>
            <w:tcW w:w="1418" w:type="dxa"/>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r w:rsidRPr="00B85A2E">
              <w:rPr>
                <w:rFonts w:ascii="Arial" w:hAnsi="Arial" w:cs="Arial"/>
                <w:color w:val="000000"/>
                <w:sz w:val="19"/>
                <w:szCs w:val="19"/>
                <w:lang w:eastAsia="en-US"/>
              </w:rPr>
              <w:t>0.45</w:t>
            </w:r>
          </w:p>
        </w:tc>
        <w:tc>
          <w:tcPr>
            <w:tcW w:w="1559" w:type="dxa"/>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r w:rsidRPr="00B85A2E">
              <w:rPr>
                <w:rFonts w:ascii="Arial" w:hAnsi="Arial" w:cs="Arial"/>
                <w:color w:val="000000"/>
                <w:sz w:val="19"/>
                <w:szCs w:val="19"/>
                <w:lang w:eastAsia="en-US"/>
              </w:rPr>
              <w:t>0.83</w:t>
            </w:r>
          </w:p>
        </w:tc>
        <w:tc>
          <w:tcPr>
            <w:tcW w:w="1417" w:type="dxa"/>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r w:rsidRPr="00B85A2E">
              <w:rPr>
                <w:rFonts w:ascii="Arial" w:hAnsi="Arial" w:cs="Arial"/>
                <w:color w:val="000000"/>
                <w:sz w:val="19"/>
                <w:szCs w:val="19"/>
                <w:lang w:eastAsia="en-US"/>
              </w:rPr>
              <w:t>0.000</w:t>
            </w:r>
          </w:p>
        </w:tc>
        <w:tc>
          <w:tcPr>
            <w:tcW w:w="1276" w:type="dxa"/>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r w:rsidRPr="00B85A2E">
              <w:rPr>
                <w:rFonts w:ascii="Arial" w:hAnsi="Arial" w:cs="Arial"/>
                <w:color w:val="000000"/>
                <w:sz w:val="19"/>
                <w:szCs w:val="19"/>
                <w:lang w:eastAsia="en-US"/>
              </w:rPr>
              <w:t>0.00</w:t>
            </w:r>
          </w:p>
        </w:tc>
      </w:tr>
      <w:tr w:rsidR="001D3BC2" w:rsidRPr="00E65146" w:rsidTr="001D3BC2">
        <w:trPr>
          <w:trHeight w:val="290"/>
          <w:jc w:val="center"/>
        </w:trPr>
        <w:tc>
          <w:tcPr>
            <w:tcW w:w="4425" w:type="dxa"/>
            <w:shd w:val="clear" w:color="auto" w:fill="auto"/>
          </w:tcPr>
          <w:p w:rsidR="00BF1C94" w:rsidRPr="00B85A2E" w:rsidRDefault="00BF1C94">
            <w:pPr>
              <w:autoSpaceDE w:val="0"/>
              <w:autoSpaceDN w:val="0"/>
              <w:adjustRightInd w:val="0"/>
              <w:rPr>
                <w:rFonts w:ascii="Arial" w:hAnsi="Arial" w:cs="Arial"/>
                <w:b/>
                <w:bCs/>
                <w:color w:val="000000"/>
                <w:sz w:val="19"/>
                <w:szCs w:val="19"/>
                <w:lang w:eastAsia="en-US"/>
              </w:rPr>
            </w:pPr>
            <w:r w:rsidRPr="00B85A2E">
              <w:rPr>
                <w:rFonts w:ascii="Arial" w:hAnsi="Arial" w:cs="Arial"/>
                <w:b/>
                <w:bCs/>
                <w:color w:val="000000"/>
                <w:sz w:val="19"/>
                <w:szCs w:val="19"/>
                <w:lang w:eastAsia="en-US"/>
              </w:rPr>
              <w:t>Total (Base Costs)</w:t>
            </w:r>
          </w:p>
        </w:tc>
        <w:tc>
          <w:tcPr>
            <w:tcW w:w="1519" w:type="dxa"/>
            <w:shd w:val="clear" w:color="auto" w:fill="auto"/>
          </w:tcPr>
          <w:p w:rsidR="00BF1C94" w:rsidRPr="00B85A2E" w:rsidRDefault="00BF1C94">
            <w:pPr>
              <w:autoSpaceDE w:val="0"/>
              <w:autoSpaceDN w:val="0"/>
              <w:adjustRightInd w:val="0"/>
              <w:jc w:val="right"/>
              <w:rPr>
                <w:rFonts w:ascii="Arial" w:hAnsi="Arial" w:cs="Arial"/>
                <w:b/>
                <w:bCs/>
                <w:color w:val="000000"/>
                <w:sz w:val="19"/>
                <w:szCs w:val="19"/>
                <w:lang w:eastAsia="en-US"/>
              </w:rPr>
            </w:pPr>
            <w:r w:rsidRPr="00B85A2E">
              <w:rPr>
                <w:rFonts w:ascii="Arial" w:hAnsi="Arial" w:cs="Arial"/>
                <w:b/>
                <w:bCs/>
                <w:color w:val="000000"/>
                <w:sz w:val="19"/>
                <w:szCs w:val="19"/>
                <w:lang w:eastAsia="en-US"/>
              </w:rPr>
              <w:t>38.66</w:t>
            </w:r>
          </w:p>
        </w:tc>
        <w:tc>
          <w:tcPr>
            <w:tcW w:w="1418" w:type="dxa"/>
            <w:shd w:val="clear" w:color="auto" w:fill="auto"/>
          </w:tcPr>
          <w:p w:rsidR="00BF1C94" w:rsidRPr="00B85A2E" w:rsidRDefault="00BF1C94">
            <w:pPr>
              <w:autoSpaceDE w:val="0"/>
              <w:autoSpaceDN w:val="0"/>
              <w:adjustRightInd w:val="0"/>
              <w:jc w:val="right"/>
              <w:rPr>
                <w:rFonts w:ascii="Arial" w:hAnsi="Arial" w:cs="Arial"/>
                <w:b/>
                <w:bCs/>
                <w:color w:val="000000"/>
                <w:sz w:val="19"/>
                <w:szCs w:val="19"/>
                <w:lang w:eastAsia="en-US"/>
              </w:rPr>
            </w:pPr>
            <w:r w:rsidRPr="00B85A2E">
              <w:rPr>
                <w:rFonts w:ascii="Arial" w:hAnsi="Arial" w:cs="Arial"/>
                <w:b/>
                <w:bCs/>
                <w:color w:val="000000"/>
                <w:sz w:val="19"/>
                <w:szCs w:val="19"/>
                <w:lang w:eastAsia="en-US"/>
              </w:rPr>
              <w:t>22.30</w:t>
            </w:r>
          </w:p>
        </w:tc>
        <w:tc>
          <w:tcPr>
            <w:tcW w:w="1559" w:type="dxa"/>
            <w:shd w:val="clear" w:color="auto" w:fill="auto"/>
          </w:tcPr>
          <w:p w:rsidR="00BF1C94" w:rsidRPr="00B85A2E" w:rsidRDefault="00BF1C94">
            <w:pPr>
              <w:autoSpaceDE w:val="0"/>
              <w:autoSpaceDN w:val="0"/>
              <w:adjustRightInd w:val="0"/>
              <w:jc w:val="right"/>
              <w:rPr>
                <w:rFonts w:ascii="Arial" w:hAnsi="Arial" w:cs="Arial"/>
                <w:b/>
                <w:bCs/>
                <w:color w:val="000000"/>
                <w:sz w:val="19"/>
                <w:szCs w:val="19"/>
                <w:lang w:eastAsia="en-US"/>
              </w:rPr>
            </w:pPr>
            <w:r w:rsidRPr="00B85A2E">
              <w:rPr>
                <w:rFonts w:ascii="Arial" w:hAnsi="Arial" w:cs="Arial"/>
                <w:b/>
                <w:bCs/>
                <w:color w:val="000000"/>
                <w:sz w:val="19"/>
                <w:szCs w:val="19"/>
                <w:lang w:eastAsia="en-US"/>
              </w:rPr>
              <w:t>35.73</w:t>
            </w:r>
          </w:p>
        </w:tc>
        <w:tc>
          <w:tcPr>
            <w:tcW w:w="1417" w:type="dxa"/>
            <w:shd w:val="clear" w:color="auto" w:fill="auto"/>
          </w:tcPr>
          <w:p w:rsidR="00BF1C94" w:rsidRPr="00B85A2E" w:rsidRDefault="00BF1C94">
            <w:pPr>
              <w:autoSpaceDE w:val="0"/>
              <w:autoSpaceDN w:val="0"/>
              <w:adjustRightInd w:val="0"/>
              <w:jc w:val="right"/>
              <w:rPr>
                <w:rFonts w:ascii="Arial" w:hAnsi="Arial" w:cs="Arial"/>
                <w:b/>
                <w:bCs/>
                <w:color w:val="000000"/>
                <w:sz w:val="19"/>
                <w:szCs w:val="19"/>
                <w:lang w:eastAsia="en-US"/>
              </w:rPr>
            </w:pPr>
            <w:r w:rsidRPr="00B85A2E">
              <w:rPr>
                <w:rFonts w:ascii="Arial" w:hAnsi="Arial" w:cs="Arial"/>
                <w:b/>
                <w:bCs/>
                <w:color w:val="000000"/>
                <w:sz w:val="19"/>
                <w:szCs w:val="19"/>
                <w:lang w:eastAsia="en-US"/>
              </w:rPr>
              <w:t>2.93</w:t>
            </w:r>
          </w:p>
        </w:tc>
        <w:tc>
          <w:tcPr>
            <w:tcW w:w="1276" w:type="dxa"/>
            <w:shd w:val="clear" w:color="auto" w:fill="auto"/>
          </w:tcPr>
          <w:p w:rsidR="00BF1C94" w:rsidRPr="00B85A2E" w:rsidRDefault="00BF1C94">
            <w:pPr>
              <w:autoSpaceDE w:val="0"/>
              <w:autoSpaceDN w:val="0"/>
              <w:adjustRightInd w:val="0"/>
              <w:jc w:val="right"/>
              <w:rPr>
                <w:rFonts w:ascii="Arial" w:hAnsi="Arial" w:cs="Arial"/>
                <w:b/>
                <w:bCs/>
                <w:color w:val="000000"/>
                <w:sz w:val="19"/>
                <w:szCs w:val="19"/>
                <w:lang w:eastAsia="en-US"/>
              </w:rPr>
            </w:pPr>
            <w:r w:rsidRPr="00B85A2E">
              <w:rPr>
                <w:rFonts w:ascii="Arial" w:hAnsi="Arial" w:cs="Arial"/>
                <w:b/>
                <w:bCs/>
                <w:color w:val="000000"/>
                <w:sz w:val="19"/>
                <w:szCs w:val="19"/>
                <w:lang w:eastAsia="en-US"/>
              </w:rPr>
              <w:t>2.52</w:t>
            </w:r>
          </w:p>
        </w:tc>
      </w:tr>
      <w:tr w:rsidR="00BF1C94" w:rsidRPr="00E65146" w:rsidTr="001D3BC2">
        <w:trPr>
          <w:trHeight w:val="290"/>
          <w:jc w:val="center"/>
        </w:trPr>
        <w:tc>
          <w:tcPr>
            <w:tcW w:w="4425" w:type="dxa"/>
            <w:shd w:val="clear" w:color="auto" w:fill="auto"/>
          </w:tcPr>
          <w:p w:rsidR="00BF1C94" w:rsidRPr="00B85A2E" w:rsidRDefault="00BF1C94">
            <w:pPr>
              <w:autoSpaceDE w:val="0"/>
              <w:autoSpaceDN w:val="0"/>
              <w:adjustRightInd w:val="0"/>
              <w:rPr>
                <w:rFonts w:ascii="Arial" w:hAnsi="Arial" w:cs="Arial"/>
                <w:color w:val="000000"/>
                <w:sz w:val="19"/>
                <w:szCs w:val="19"/>
                <w:lang w:eastAsia="en-US"/>
              </w:rPr>
            </w:pPr>
            <w:r w:rsidRPr="00B85A2E">
              <w:rPr>
                <w:rFonts w:ascii="Arial" w:hAnsi="Arial" w:cs="Arial"/>
                <w:color w:val="000000"/>
                <w:sz w:val="19"/>
                <w:szCs w:val="19"/>
                <w:lang w:eastAsia="en-US"/>
              </w:rPr>
              <w:t>Unallocated</w:t>
            </w:r>
          </w:p>
        </w:tc>
        <w:tc>
          <w:tcPr>
            <w:tcW w:w="1519" w:type="dxa"/>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r w:rsidRPr="00B85A2E">
              <w:rPr>
                <w:rFonts w:ascii="Arial" w:hAnsi="Arial" w:cs="Arial"/>
                <w:color w:val="000000"/>
                <w:sz w:val="19"/>
                <w:szCs w:val="19"/>
                <w:lang w:eastAsia="en-US"/>
              </w:rPr>
              <w:t>1.35</w:t>
            </w:r>
          </w:p>
        </w:tc>
        <w:tc>
          <w:tcPr>
            <w:tcW w:w="1418" w:type="dxa"/>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p>
        </w:tc>
        <w:tc>
          <w:tcPr>
            <w:tcW w:w="1559" w:type="dxa"/>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p>
        </w:tc>
        <w:tc>
          <w:tcPr>
            <w:tcW w:w="1417" w:type="dxa"/>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r w:rsidRPr="00B85A2E">
              <w:rPr>
                <w:rFonts w:ascii="Arial" w:hAnsi="Arial" w:cs="Arial"/>
                <w:color w:val="000000"/>
                <w:sz w:val="19"/>
                <w:szCs w:val="19"/>
                <w:lang w:eastAsia="en-US"/>
              </w:rPr>
              <w:t>1.35</w:t>
            </w:r>
          </w:p>
        </w:tc>
        <w:tc>
          <w:tcPr>
            <w:tcW w:w="1276" w:type="dxa"/>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r w:rsidRPr="00B85A2E">
              <w:rPr>
                <w:rFonts w:ascii="Arial" w:hAnsi="Arial" w:cs="Arial"/>
                <w:color w:val="000000"/>
                <w:sz w:val="19"/>
                <w:szCs w:val="19"/>
                <w:lang w:eastAsia="en-US"/>
              </w:rPr>
              <w:t>1.35</w:t>
            </w:r>
          </w:p>
        </w:tc>
      </w:tr>
      <w:tr w:rsidR="001D3BC2" w:rsidRPr="00E65146" w:rsidTr="001D3BC2">
        <w:trPr>
          <w:trHeight w:val="290"/>
          <w:jc w:val="center"/>
        </w:trPr>
        <w:tc>
          <w:tcPr>
            <w:tcW w:w="4425" w:type="dxa"/>
            <w:shd w:val="clear" w:color="auto" w:fill="auto"/>
          </w:tcPr>
          <w:p w:rsidR="00BF1C94" w:rsidRPr="00B85A2E" w:rsidRDefault="00BF1C94">
            <w:pPr>
              <w:autoSpaceDE w:val="0"/>
              <w:autoSpaceDN w:val="0"/>
              <w:adjustRightInd w:val="0"/>
              <w:rPr>
                <w:rFonts w:ascii="Arial" w:hAnsi="Arial" w:cs="Arial"/>
                <w:b/>
                <w:bCs/>
                <w:color w:val="000000"/>
                <w:sz w:val="19"/>
                <w:szCs w:val="19"/>
                <w:lang w:eastAsia="en-US"/>
              </w:rPr>
            </w:pPr>
            <w:r w:rsidRPr="00B85A2E">
              <w:rPr>
                <w:rFonts w:ascii="Arial" w:hAnsi="Arial" w:cs="Arial"/>
                <w:b/>
                <w:bCs/>
                <w:color w:val="000000"/>
                <w:sz w:val="19"/>
                <w:szCs w:val="19"/>
                <w:lang w:eastAsia="en-US"/>
              </w:rPr>
              <w:t>Total (excluding finance charges)</w:t>
            </w:r>
          </w:p>
        </w:tc>
        <w:tc>
          <w:tcPr>
            <w:tcW w:w="1519" w:type="dxa"/>
            <w:shd w:val="clear" w:color="auto" w:fill="auto"/>
          </w:tcPr>
          <w:p w:rsidR="00BF1C94" w:rsidRPr="00B85A2E" w:rsidRDefault="00BF1C94">
            <w:pPr>
              <w:autoSpaceDE w:val="0"/>
              <w:autoSpaceDN w:val="0"/>
              <w:adjustRightInd w:val="0"/>
              <w:jc w:val="right"/>
              <w:rPr>
                <w:rFonts w:ascii="Arial" w:hAnsi="Arial" w:cs="Arial"/>
                <w:b/>
                <w:bCs/>
                <w:color w:val="000000"/>
                <w:sz w:val="19"/>
                <w:szCs w:val="19"/>
                <w:lang w:eastAsia="en-US"/>
              </w:rPr>
            </w:pPr>
            <w:r w:rsidRPr="00B85A2E">
              <w:rPr>
                <w:rFonts w:ascii="Arial" w:hAnsi="Arial" w:cs="Arial"/>
                <w:b/>
                <w:bCs/>
                <w:color w:val="000000"/>
                <w:sz w:val="19"/>
                <w:szCs w:val="19"/>
                <w:lang w:eastAsia="en-US"/>
              </w:rPr>
              <w:t>40.01</w:t>
            </w:r>
          </w:p>
        </w:tc>
        <w:tc>
          <w:tcPr>
            <w:tcW w:w="1418" w:type="dxa"/>
            <w:shd w:val="clear" w:color="auto" w:fill="auto"/>
          </w:tcPr>
          <w:p w:rsidR="00BF1C94" w:rsidRPr="00B85A2E" w:rsidRDefault="00BF1C94">
            <w:pPr>
              <w:autoSpaceDE w:val="0"/>
              <w:autoSpaceDN w:val="0"/>
              <w:adjustRightInd w:val="0"/>
              <w:jc w:val="right"/>
              <w:rPr>
                <w:rFonts w:ascii="Arial" w:hAnsi="Arial" w:cs="Arial"/>
                <w:b/>
                <w:bCs/>
                <w:color w:val="000000"/>
                <w:sz w:val="19"/>
                <w:szCs w:val="19"/>
                <w:lang w:eastAsia="en-US"/>
              </w:rPr>
            </w:pPr>
            <w:r w:rsidRPr="00B85A2E">
              <w:rPr>
                <w:rFonts w:ascii="Arial" w:hAnsi="Arial" w:cs="Arial"/>
                <w:b/>
                <w:bCs/>
                <w:color w:val="000000"/>
                <w:sz w:val="19"/>
                <w:szCs w:val="19"/>
                <w:lang w:eastAsia="en-US"/>
              </w:rPr>
              <w:t>22.30</w:t>
            </w:r>
          </w:p>
        </w:tc>
        <w:tc>
          <w:tcPr>
            <w:tcW w:w="1559" w:type="dxa"/>
            <w:shd w:val="clear" w:color="auto" w:fill="auto"/>
          </w:tcPr>
          <w:p w:rsidR="00BF1C94" w:rsidRPr="00B85A2E" w:rsidRDefault="00BF1C94">
            <w:pPr>
              <w:autoSpaceDE w:val="0"/>
              <w:autoSpaceDN w:val="0"/>
              <w:adjustRightInd w:val="0"/>
              <w:jc w:val="right"/>
              <w:rPr>
                <w:rFonts w:ascii="Arial" w:hAnsi="Arial" w:cs="Arial"/>
                <w:b/>
                <w:bCs/>
                <w:color w:val="000000"/>
                <w:sz w:val="19"/>
                <w:szCs w:val="19"/>
                <w:lang w:eastAsia="en-US"/>
              </w:rPr>
            </w:pPr>
            <w:r w:rsidRPr="00B85A2E">
              <w:rPr>
                <w:rFonts w:ascii="Arial" w:hAnsi="Arial" w:cs="Arial"/>
                <w:b/>
                <w:bCs/>
                <w:color w:val="000000"/>
                <w:sz w:val="19"/>
                <w:szCs w:val="19"/>
                <w:lang w:eastAsia="en-US"/>
              </w:rPr>
              <w:t>35.73</w:t>
            </w:r>
          </w:p>
        </w:tc>
        <w:tc>
          <w:tcPr>
            <w:tcW w:w="1417" w:type="dxa"/>
            <w:shd w:val="clear" w:color="auto" w:fill="auto"/>
          </w:tcPr>
          <w:p w:rsidR="00BF1C94" w:rsidRPr="00B85A2E" w:rsidRDefault="00BF1C94">
            <w:pPr>
              <w:autoSpaceDE w:val="0"/>
              <w:autoSpaceDN w:val="0"/>
              <w:adjustRightInd w:val="0"/>
              <w:jc w:val="right"/>
              <w:rPr>
                <w:rFonts w:ascii="Arial" w:hAnsi="Arial" w:cs="Arial"/>
                <w:b/>
                <w:bCs/>
                <w:color w:val="000000"/>
                <w:sz w:val="19"/>
                <w:szCs w:val="19"/>
                <w:lang w:eastAsia="en-US"/>
              </w:rPr>
            </w:pPr>
            <w:r w:rsidRPr="00B85A2E">
              <w:rPr>
                <w:rFonts w:ascii="Arial" w:hAnsi="Arial" w:cs="Arial"/>
                <w:b/>
                <w:bCs/>
                <w:color w:val="000000"/>
                <w:sz w:val="19"/>
                <w:szCs w:val="19"/>
                <w:lang w:eastAsia="en-US"/>
              </w:rPr>
              <w:t>4.28</w:t>
            </w:r>
          </w:p>
        </w:tc>
        <w:tc>
          <w:tcPr>
            <w:tcW w:w="1276" w:type="dxa"/>
            <w:shd w:val="clear" w:color="auto" w:fill="auto"/>
          </w:tcPr>
          <w:p w:rsidR="00BF1C94" w:rsidRPr="00B85A2E" w:rsidRDefault="00BF1C94">
            <w:pPr>
              <w:autoSpaceDE w:val="0"/>
              <w:autoSpaceDN w:val="0"/>
              <w:adjustRightInd w:val="0"/>
              <w:jc w:val="right"/>
              <w:rPr>
                <w:rFonts w:ascii="Arial" w:hAnsi="Arial" w:cs="Arial"/>
                <w:b/>
                <w:bCs/>
                <w:color w:val="000000"/>
                <w:sz w:val="19"/>
                <w:szCs w:val="19"/>
                <w:lang w:eastAsia="en-US"/>
              </w:rPr>
            </w:pPr>
            <w:r w:rsidRPr="00B85A2E">
              <w:rPr>
                <w:rFonts w:ascii="Arial" w:hAnsi="Arial" w:cs="Arial"/>
                <w:b/>
                <w:bCs/>
                <w:color w:val="000000"/>
                <w:sz w:val="19"/>
                <w:szCs w:val="19"/>
                <w:lang w:eastAsia="en-US"/>
              </w:rPr>
              <w:t>3.86</w:t>
            </w:r>
          </w:p>
        </w:tc>
      </w:tr>
      <w:tr w:rsidR="00BF1C94" w:rsidRPr="00E65146" w:rsidTr="001D3BC2">
        <w:trPr>
          <w:trHeight w:val="290"/>
          <w:jc w:val="center"/>
        </w:trPr>
        <w:tc>
          <w:tcPr>
            <w:tcW w:w="4425" w:type="dxa"/>
            <w:shd w:val="clear" w:color="auto" w:fill="auto"/>
          </w:tcPr>
          <w:p w:rsidR="00BF1C94" w:rsidRPr="00B85A2E" w:rsidRDefault="00BF1C94">
            <w:pPr>
              <w:autoSpaceDE w:val="0"/>
              <w:autoSpaceDN w:val="0"/>
              <w:adjustRightInd w:val="0"/>
              <w:rPr>
                <w:rFonts w:ascii="Arial" w:hAnsi="Arial" w:cs="Arial"/>
                <w:color w:val="000000"/>
                <w:sz w:val="19"/>
                <w:szCs w:val="19"/>
                <w:lang w:eastAsia="en-US"/>
              </w:rPr>
            </w:pPr>
            <w:r w:rsidRPr="00B85A2E">
              <w:rPr>
                <w:rFonts w:ascii="Arial" w:hAnsi="Arial" w:cs="Arial"/>
                <w:color w:val="000000"/>
                <w:sz w:val="19"/>
                <w:szCs w:val="19"/>
                <w:lang w:eastAsia="en-US"/>
              </w:rPr>
              <w:t>Finance charges</w:t>
            </w:r>
          </w:p>
        </w:tc>
        <w:tc>
          <w:tcPr>
            <w:tcW w:w="1519" w:type="dxa"/>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r w:rsidRPr="00B85A2E">
              <w:rPr>
                <w:rFonts w:ascii="Arial" w:hAnsi="Arial" w:cs="Arial"/>
                <w:color w:val="000000"/>
                <w:sz w:val="19"/>
                <w:szCs w:val="19"/>
                <w:lang w:eastAsia="en-US"/>
              </w:rPr>
              <w:t>0.99</w:t>
            </w:r>
          </w:p>
        </w:tc>
        <w:tc>
          <w:tcPr>
            <w:tcW w:w="1418" w:type="dxa"/>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p>
        </w:tc>
        <w:tc>
          <w:tcPr>
            <w:tcW w:w="1559" w:type="dxa"/>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p>
        </w:tc>
        <w:tc>
          <w:tcPr>
            <w:tcW w:w="1417" w:type="dxa"/>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p>
        </w:tc>
        <w:tc>
          <w:tcPr>
            <w:tcW w:w="1276" w:type="dxa"/>
            <w:shd w:val="clear" w:color="auto" w:fill="auto"/>
          </w:tcPr>
          <w:p w:rsidR="00BF1C94" w:rsidRPr="00B85A2E" w:rsidRDefault="00BF1C94">
            <w:pPr>
              <w:autoSpaceDE w:val="0"/>
              <w:autoSpaceDN w:val="0"/>
              <w:adjustRightInd w:val="0"/>
              <w:jc w:val="right"/>
              <w:rPr>
                <w:rFonts w:ascii="Arial" w:hAnsi="Arial" w:cs="Arial"/>
                <w:color w:val="000000"/>
                <w:sz w:val="19"/>
                <w:szCs w:val="19"/>
                <w:lang w:eastAsia="en-US"/>
              </w:rPr>
            </w:pPr>
          </w:p>
        </w:tc>
      </w:tr>
      <w:tr w:rsidR="001D3BC2" w:rsidRPr="00E65146" w:rsidTr="001D3BC2">
        <w:trPr>
          <w:trHeight w:val="290"/>
          <w:jc w:val="center"/>
        </w:trPr>
        <w:tc>
          <w:tcPr>
            <w:tcW w:w="4425" w:type="dxa"/>
            <w:shd w:val="clear" w:color="auto" w:fill="auto"/>
          </w:tcPr>
          <w:p w:rsidR="00BF1C94" w:rsidRPr="00B85A2E" w:rsidRDefault="00BF1C94">
            <w:pPr>
              <w:autoSpaceDE w:val="0"/>
              <w:autoSpaceDN w:val="0"/>
              <w:adjustRightInd w:val="0"/>
              <w:rPr>
                <w:rFonts w:ascii="Arial" w:hAnsi="Arial" w:cs="Arial"/>
                <w:b/>
                <w:bCs/>
                <w:color w:val="000000"/>
                <w:sz w:val="19"/>
                <w:szCs w:val="19"/>
                <w:lang w:eastAsia="en-US"/>
              </w:rPr>
            </w:pPr>
            <w:r w:rsidRPr="00B85A2E">
              <w:rPr>
                <w:rFonts w:ascii="Arial" w:hAnsi="Arial" w:cs="Arial"/>
                <w:b/>
                <w:bCs/>
                <w:color w:val="000000"/>
                <w:sz w:val="19"/>
                <w:szCs w:val="19"/>
                <w:lang w:eastAsia="en-US"/>
              </w:rPr>
              <w:t xml:space="preserve">TOTAL </w:t>
            </w:r>
          </w:p>
        </w:tc>
        <w:tc>
          <w:tcPr>
            <w:tcW w:w="1519" w:type="dxa"/>
            <w:shd w:val="clear" w:color="auto" w:fill="auto"/>
          </w:tcPr>
          <w:p w:rsidR="00BF1C94" w:rsidRPr="00B85A2E" w:rsidRDefault="00BF1C94">
            <w:pPr>
              <w:autoSpaceDE w:val="0"/>
              <w:autoSpaceDN w:val="0"/>
              <w:adjustRightInd w:val="0"/>
              <w:jc w:val="right"/>
              <w:rPr>
                <w:rFonts w:ascii="Arial" w:hAnsi="Arial" w:cs="Arial"/>
                <w:b/>
                <w:bCs/>
                <w:color w:val="000000"/>
                <w:sz w:val="19"/>
                <w:szCs w:val="19"/>
                <w:lang w:eastAsia="en-US"/>
              </w:rPr>
            </w:pPr>
            <w:r w:rsidRPr="00B85A2E">
              <w:rPr>
                <w:rFonts w:ascii="Arial" w:hAnsi="Arial" w:cs="Arial"/>
                <w:b/>
                <w:bCs/>
                <w:color w:val="000000"/>
                <w:sz w:val="19"/>
                <w:szCs w:val="19"/>
                <w:lang w:eastAsia="en-US"/>
              </w:rPr>
              <w:t>41.00</w:t>
            </w:r>
          </w:p>
        </w:tc>
        <w:tc>
          <w:tcPr>
            <w:tcW w:w="1418" w:type="dxa"/>
            <w:shd w:val="clear" w:color="auto" w:fill="auto"/>
          </w:tcPr>
          <w:p w:rsidR="00BF1C94" w:rsidRPr="00B85A2E" w:rsidRDefault="00BF1C94">
            <w:pPr>
              <w:autoSpaceDE w:val="0"/>
              <w:autoSpaceDN w:val="0"/>
              <w:adjustRightInd w:val="0"/>
              <w:jc w:val="right"/>
              <w:rPr>
                <w:rFonts w:ascii="Arial" w:hAnsi="Arial" w:cs="Arial"/>
                <w:b/>
                <w:bCs/>
                <w:color w:val="000000"/>
                <w:sz w:val="19"/>
                <w:szCs w:val="19"/>
                <w:lang w:eastAsia="en-US"/>
              </w:rPr>
            </w:pPr>
          </w:p>
        </w:tc>
        <w:tc>
          <w:tcPr>
            <w:tcW w:w="1559" w:type="dxa"/>
            <w:shd w:val="clear" w:color="auto" w:fill="auto"/>
          </w:tcPr>
          <w:p w:rsidR="00BF1C94" w:rsidRPr="00B85A2E" w:rsidRDefault="00BF1C94">
            <w:pPr>
              <w:autoSpaceDE w:val="0"/>
              <w:autoSpaceDN w:val="0"/>
              <w:adjustRightInd w:val="0"/>
              <w:jc w:val="right"/>
              <w:rPr>
                <w:rFonts w:ascii="Arial" w:hAnsi="Arial" w:cs="Arial"/>
                <w:b/>
                <w:bCs/>
                <w:color w:val="000000"/>
                <w:sz w:val="19"/>
                <w:szCs w:val="19"/>
                <w:lang w:eastAsia="en-US"/>
              </w:rPr>
            </w:pPr>
          </w:p>
        </w:tc>
        <w:tc>
          <w:tcPr>
            <w:tcW w:w="1417" w:type="dxa"/>
            <w:shd w:val="clear" w:color="auto" w:fill="auto"/>
          </w:tcPr>
          <w:p w:rsidR="00BF1C94" w:rsidRPr="00B85A2E" w:rsidRDefault="00BF1C94">
            <w:pPr>
              <w:autoSpaceDE w:val="0"/>
              <w:autoSpaceDN w:val="0"/>
              <w:adjustRightInd w:val="0"/>
              <w:jc w:val="right"/>
              <w:rPr>
                <w:rFonts w:ascii="Arial" w:hAnsi="Arial" w:cs="Arial"/>
                <w:b/>
                <w:bCs/>
                <w:color w:val="000000"/>
                <w:sz w:val="19"/>
                <w:szCs w:val="19"/>
                <w:lang w:eastAsia="en-US"/>
              </w:rPr>
            </w:pPr>
          </w:p>
        </w:tc>
        <w:tc>
          <w:tcPr>
            <w:tcW w:w="1276" w:type="dxa"/>
            <w:shd w:val="clear" w:color="auto" w:fill="auto"/>
          </w:tcPr>
          <w:p w:rsidR="00BF1C94" w:rsidRPr="00B85A2E" w:rsidRDefault="00BF1C94">
            <w:pPr>
              <w:autoSpaceDE w:val="0"/>
              <w:autoSpaceDN w:val="0"/>
              <w:adjustRightInd w:val="0"/>
              <w:jc w:val="right"/>
              <w:rPr>
                <w:rFonts w:ascii="Arial" w:hAnsi="Arial" w:cs="Arial"/>
                <w:b/>
                <w:bCs/>
                <w:color w:val="000000"/>
                <w:sz w:val="19"/>
                <w:szCs w:val="19"/>
                <w:lang w:eastAsia="en-US"/>
              </w:rPr>
            </w:pPr>
          </w:p>
        </w:tc>
      </w:tr>
    </w:tbl>
    <w:p w:rsidR="00F451AD" w:rsidRPr="00E65146" w:rsidRDefault="00F451AD" w:rsidP="004772A2">
      <w:pPr>
        <w:rPr>
          <w:rFonts w:ascii="Arial" w:hAnsi="Arial" w:cs="Arial"/>
          <w:b/>
          <w:color w:val="000000"/>
        </w:rPr>
      </w:pPr>
    </w:p>
    <w:p w:rsidR="00D113E1" w:rsidRPr="00D113E1" w:rsidRDefault="00D113E1" w:rsidP="00D113E1">
      <w:pPr>
        <w:ind w:left="1134"/>
        <w:rPr>
          <w:rFonts w:ascii="Arial" w:hAnsi="Arial" w:cs="Arial"/>
          <w:b/>
          <w:sz w:val="12"/>
          <w:szCs w:val="12"/>
        </w:rPr>
      </w:pPr>
      <w:r w:rsidRPr="00D113E1">
        <w:rPr>
          <w:rFonts w:ascii="Arial" w:hAnsi="Arial" w:cs="Arial"/>
          <w:b/>
          <w:sz w:val="18"/>
          <w:szCs w:val="18"/>
        </w:rPr>
        <w:t>Source:</w:t>
      </w:r>
      <w:r w:rsidRPr="00D113E1">
        <w:rPr>
          <w:rFonts w:ascii="Arial" w:hAnsi="Arial" w:cs="Arial"/>
          <w:sz w:val="18"/>
          <w:szCs w:val="18"/>
        </w:rPr>
        <w:t xml:space="preserve"> HHRSDP, </w:t>
      </w:r>
      <w:r>
        <w:rPr>
          <w:rFonts w:ascii="Arial" w:hAnsi="Arial" w:cs="Arial"/>
          <w:sz w:val="18"/>
          <w:szCs w:val="18"/>
        </w:rPr>
        <w:t>Finance Unit</w:t>
      </w:r>
    </w:p>
    <w:p w:rsidR="00F451AD" w:rsidRPr="00E65146" w:rsidRDefault="00F451AD" w:rsidP="004772A2">
      <w:pPr>
        <w:rPr>
          <w:rFonts w:ascii="Arial" w:hAnsi="Arial" w:cs="Arial"/>
          <w:b/>
          <w:color w:val="000000"/>
        </w:rPr>
      </w:pPr>
      <w:r w:rsidRPr="00E65146">
        <w:rPr>
          <w:rFonts w:ascii="Arial" w:hAnsi="Arial" w:cs="Arial"/>
          <w:b/>
          <w:color w:val="000000"/>
        </w:rPr>
        <w:br w:type="page"/>
      </w:r>
    </w:p>
    <w:p w:rsidR="004772A2" w:rsidRPr="00E65146" w:rsidRDefault="004772A2" w:rsidP="00BF1C94">
      <w:pPr>
        <w:spacing w:before="240" w:after="120"/>
        <w:jc w:val="center"/>
        <w:rPr>
          <w:rFonts w:ascii="Arial" w:hAnsi="Arial" w:cs="Arial"/>
          <w:b/>
          <w:color w:val="000000"/>
        </w:rPr>
      </w:pPr>
      <w:r w:rsidRPr="00E65146">
        <w:rPr>
          <w:rFonts w:ascii="Arial" w:hAnsi="Arial" w:cs="Arial"/>
          <w:b/>
          <w:color w:val="000000"/>
        </w:rPr>
        <w:t>Table 9.3:Contract awards and disbursements by category (Grant)</w:t>
      </w:r>
    </w:p>
    <w:tbl>
      <w:tblPr>
        <w:tblW w:w="10852" w:type="dxa"/>
        <w:jc w:val="center"/>
        <w:tblLayout w:type="fixed"/>
        <w:tblLook w:val="04A0" w:firstRow="1" w:lastRow="0" w:firstColumn="1" w:lastColumn="0" w:noHBand="0" w:noVBand="1"/>
      </w:tblPr>
      <w:tblGrid>
        <w:gridCol w:w="3460"/>
        <w:gridCol w:w="1297"/>
        <w:gridCol w:w="1417"/>
        <w:gridCol w:w="1701"/>
        <w:gridCol w:w="1418"/>
        <w:gridCol w:w="1559"/>
      </w:tblGrid>
      <w:tr w:rsidR="00BD35D0" w:rsidRPr="00B85A2E" w:rsidTr="00BD35D0">
        <w:trPr>
          <w:trHeight w:val="1020"/>
          <w:jc w:val="center"/>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B73" w:rsidRPr="00B85A2E" w:rsidRDefault="00E54B73" w:rsidP="00E54B73">
            <w:pPr>
              <w:jc w:val="center"/>
              <w:rPr>
                <w:rFonts w:ascii="Arial" w:hAnsi="Arial" w:cs="Arial"/>
                <w:b/>
                <w:bCs/>
                <w:color w:val="000000"/>
                <w:sz w:val="19"/>
                <w:szCs w:val="19"/>
              </w:rPr>
            </w:pPr>
            <w:r w:rsidRPr="00B85A2E">
              <w:rPr>
                <w:rFonts w:ascii="Arial" w:hAnsi="Arial" w:cs="Arial"/>
                <w:b/>
                <w:bCs/>
                <w:color w:val="000000"/>
                <w:sz w:val="19"/>
                <w:szCs w:val="19"/>
              </w:rPr>
              <w:t>Item</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E54B73" w:rsidRPr="00B85A2E" w:rsidRDefault="00E54B73" w:rsidP="00E54B73">
            <w:pPr>
              <w:jc w:val="center"/>
              <w:rPr>
                <w:rFonts w:ascii="Arial" w:hAnsi="Arial" w:cs="Arial"/>
                <w:b/>
                <w:bCs/>
                <w:color w:val="000000"/>
                <w:sz w:val="19"/>
                <w:szCs w:val="19"/>
              </w:rPr>
            </w:pPr>
            <w:r w:rsidRPr="00B85A2E">
              <w:rPr>
                <w:rFonts w:ascii="Arial" w:hAnsi="Arial" w:cs="Arial"/>
                <w:b/>
                <w:bCs/>
                <w:color w:val="000000"/>
                <w:sz w:val="19"/>
                <w:szCs w:val="19"/>
              </w:rPr>
              <w:t>Final Allocation (Budget)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54B73" w:rsidRPr="00B85A2E" w:rsidRDefault="00E54B73" w:rsidP="00E54B73">
            <w:pPr>
              <w:jc w:val="center"/>
              <w:rPr>
                <w:rFonts w:ascii="Arial" w:hAnsi="Arial" w:cs="Arial"/>
                <w:b/>
                <w:bCs/>
                <w:color w:val="000000"/>
                <w:sz w:val="19"/>
                <w:szCs w:val="19"/>
              </w:rPr>
            </w:pPr>
            <w:r w:rsidRPr="00B85A2E">
              <w:rPr>
                <w:rFonts w:ascii="Arial" w:hAnsi="Arial" w:cs="Arial"/>
                <w:b/>
                <w:bCs/>
                <w:color w:val="000000"/>
                <w:sz w:val="19"/>
                <w:szCs w:val="19"/>
              </w:rPr>
              <w:t xml:space="preserve"> Disbursed at 15 May 2015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54B73" w:rsidRPr="00B85A2E" w:rsidRDefault="00E54B73" w:rsidP="00E54B73">
            <w:pPr>
              <w:jc w:val="center"/>
              <w:rPr>
                <w:rFonts w:ascii="Arial" w:hAnsi="Arial" w:cs="Arial"/>
                <w:b/>
                <w:bCs/>
                <w:color w:val="000000"/>
                <w:sz w:val="19"/>
                <w:szCs w:val="19"/>
              </w:rPr>
            </w:pPr>
            <w:r w:rsidRPr="00B85A2E">
              <w:rPr>
                <w:rFonts w:ascii="Arial" w:hAnsi="Arial" w:cs="Arial"/>
                <w:b/>
                <w:bCs/>
                <w:color w:val="000000"/>
                <w:sz w:val="19"/>
                <w:szCs w:val="19"/>
              </w:rPr>
              <w:t>Planned Disbu</w:t>
            </w:r>
            <w:r w:rsidR="005E106F" w:rsidRPr="00B85A2E">
              <w:rPr>
                <w:rFonts w:ascii="Arial" w:hAnsi="Arial" w:cs="Arial"/>
                <w:b/>
                <w:bCs/>
                <w:color w:val="000000"/>
                <w:sz w:val="19"/>
                <w:szCs w:val="19"/>
              </w:rPr>
              <w:t>rs</w:t>
            </w:r>
            <w:r w:rsidRPr="00B85A2E">
              <w:rPr>
                <w:rFonts w:ascii="Arial" w:hAnsi="Arial" w:cs="Arial"/>
                <w:b/>
                <w:bCs/>
                <w:color w:val="000000"/>
                <w:sz w:val="19"/>
                <w:szCs w:val="19"/>
              </w:rPr>
              <w:t>ements at 31/12/15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54B73" w:rsidRPr="00B85A2E" w:rsidRDefault="00E54B73" w:rsidP="00E54B73">
            <w:pPr>
              <w:jc w:val="center"/>
              <w:rPr>
                <w:rFonts w:ascii="Arial" w:hAnsi="Arial" w:cs="Arial"/>
                <w:b/>
                <w:bCs/>
                <w:color w:val="000000"/>
                <w:sz w:val="19"/>
                <w:szCs w:val="19"/>
              </w:rPr>
            </w:pPr>
            <w:r w:rsidRPr="00B85A2E">
              <w:rPr>
                <w:rFonts w:ascii="Arial" w:hAnsi="Arial" w:cs="Arial"/>
                <w:b/>
                <w:bCs/>
                <w:color w:val="000000"/>
                <w:sz w:val="19"/>
                <w:szCs w:val="19"/>
              </w:rPr>
              <w:t>Undisbursed budget at 31/12/15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54B73" w:rsidRPr="00B85A2E" w:rsidRDefault="00E54B73" w:rsidP="00E54B73">
            <w:pPr>
              <w:jc w:val="center"/>
              <w:rPr>
                <w:rFonts w:ascii="Arial" w:hAnsi="Arial" w:cs="Arial"/>
                <w:b/>
                <w:bCs/>
                <w:color w:val="000000"/>
                <w:sz w:val="19"/>
                <w:szCs w:val="19"/>
              </w:rPr>
            </w:pPr>
            <w:r w:rsidRPr="00B85A2E">
              <w:rPr>
                <w:rFonts w:ascii="Arial" w:hAnsi="Arial" w:cs="Arial"/>
                <w:b/>
                <w:bCs/>
                <w:color w:val="000000"/>
                <w:sz w:val="19"/>
                <w:szCs w:val="19"/>
              </w:rPr>
              <w:t xml:space="preserve">Uncommitted Budget </w:t>
            </w:r>
          </w:p>
        </w:tc>
      </w:tr>
      <w:tr w:rsidR="00BD35D0" w:rsidRPr="00B85A2E" w:rsidTr="00BD35D0">
        <w:trPr>
          <w:trHeight w:val="300"/>
          <w:jc w:val="center"/>
        </w:trPr>
        <w:tc>
          <w:tcPr>
            <w:tcW w:w="7875" w:type="dxa"/>
            <w:gridSpan w:val="4"/>
            <w:tcBorders>
              <w:top w:val="single" w:sz="4" w:space="0" w:color="auto"/>
              <w:left w:val="single" w:sz="4" w:space="0" w:color="auto"/>
              <w:bottom w:val="single" w:sz="4" w:space="0" w:color="auto"/>
            </w:tcBorders>
            <w:shd w:val="clear" w:color="auto" w:fill="auto"/>
            <w:vAlign w:val="center"/>
            <w:hideMark/>
          </w:tcPr>
          <w:p w:rsidR="00E54B73" w:rsidRPr="00B85A2E" w:rsidRDefault="00E54B73" w:rsidP="00E54B73">
            <w:pPr>
              <w:rPr>
                <w:rFonts w:ascii="Arial" w:hAnsi="Arial" w:cs="Arial"/>
                <w:b/>
                <w:bCs/>
                <w:color w:val="000000"/>
                <w:sz w:val="19"/>
                <w:szCs w:val="19"/>
              </w:rPr>
            </w:pPr>
            <w:r w:rsidRPr="00B85A2E">
              <w:rPr>
                <w:rFonts w:ascii="Arial" w:hAnsi="Arial" w:cs="Arial"/>
                <w:b/>
                <w:bCs/>
                <w:color w:val="000000"/>
                <w:sz w:val="19"/>
                <w:szCs w:val="19"/>
              </w:rPr>
              <w:t>Base Cost</w:t>
            </w:r>
          </w:p>
        </w:tc>
        <w:tc>
          <w:tcPr>
            <w:tcW w:w="1418" w:type="dxa"/>
            <w:tcBorders>
              <w:top w:val="single" w:sz="4" w:space="0" w:color="auto"/>
              <w:bottom w:val="single" w:sz="4" w:space="0" w:color="auto"/>
            </w:tcBorders>
            <w:shd w:val="clear" w:color="auto" w:fill="auto"/>
            <w:vAlign w:val="center"/>
            <w:hideMark/>
          </w:tcPr>
          <w:p w:rsidR="00E54B73" w:rsidRPr="00B85A2E" w:rsidRDefault="00E54B73" w:rsidP="00E54B73">
            <w:pPr>
              <w:rPr>
                <w:rFonts w:ascii="Arial" w:hAnsi="Arial" w:cs="Arial"/>
                <w:b/>
                <w:bCs/>
                <w:color w:val="000000"/>
                <w:sz w:val="19"/>
                <w:szCs w:val="19"/>
              </w:rPr>
            </w:pPr>
            <w:r w:rsidRPr="00B85A2E">
              <w:rPr>
                <w:rFonts w:ascii="Arial" w:hAnsi="Arial" w:cs="Arial"/>
                <w:b/>
                <w:bCs/>
                <w:color w:val="000000"/>
                <w:sz w:val="19"/>
                <w:szCs w:val="19"/>
              </w:rPr>
              <w:t> </w:t>
            </w:r>
          </w:p>
        </w:tc>
        <w:tc>
          <w:tcPr>
            <w:tcW w:w="1559" w:type="dxa"/>
            <w:tcBorders>
              <w:top w:val="single" w:sz="4" w:space="0" w:color="auto"/>
              <w:bottom w:val="single" w:sz="4" w:space="0" w:color="auto"/>
              <w:right w:val="single" w:sz="4" w:space="0" w:color="auto"/>
            </w:tcBorders>
            <w:shd w:val="clear" w:color="auto" w:fill="auto"/>
            <w:noWrap/>
            <w:vAlign w:val="bottom"/>
            <w:hideMark/>
          </w:tcPr>
          <w:p w:rsidR="00E54B73" w:rsidRPr="00B85A2E" w:rsidRDefault="00E54B73" w:rsidP="00E54B73">
            <w:pPr>
              <w:rPr>
                <w:rFonts w:ascii="Arial" w:hAnsi="Arial" w:cs="Arial"/>
                <w:color w:val="000000"/>
                <w:sz w:val="19"/>
                <w:szCs w:val="19"/>
              </w:rPr>
            </w:pPr>
            <w:r w:rsidRPr="00B85A2E">
              <w:rPr>
                <w:rFonts w:ascii="Arial" w:hAnsi="Arial" w:cs="Arial"/>
                <w:color w:val="000000"/>
                <w:sz w:val="19"/>
                <w:szCs w:val="19"/>
              </w:rPr>
              <w:t> </w:t>
            </w:r>
          </w:p>
        </w:tc>
      </w:tr>
      <w:tr w:rsidR="00E54B73" w:rsidRPr="00B85A2E" w:rsidTr="00BD35D0">
        <w:trPr>
          <w:trHeight w:val="300"/>
          <w:jc w:val="center"/>
        </w:trPr>
        <w:tc>
          <w:tcPr>
            <w:tcW w:w="3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4B73" w:rsidRPr="00B85A2E" w:rsidRDefault="00E54B73" w:rsidP="00E54B73">
            <w:pPr>
              <w:rPr>
                <w:rFonts w:ascii="Arial" w:hAnsi="Arial" w:cs="Arial"/>
                <w:color w:val="000000"/>
                <w:sz w:val="19"/>
                <w:szCs w:val="19"/>
              </w:rPr>
            </w:pPr>
            <w:r w:rsidRPr="00B85A2E">
              <w:rPr>
                <w:rFonts w:ascii="Arial" w:hAnsi="Arial" w:cs="Arial"/>
                <w:color w:val="000000"/>
                <w:sz w:val="19"/>
                <w:szCs w:val="19"/>
              </w:rPr>
              <w:t>1. Work</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rsidR="00E54B73" w:rsidRPr="00B85A2E" w:rsidRDefault="00E54B73" w:rsidP="00E54B73">
            <w:pPr>
              <w:rPr>
                <w:rFonts w:ascii="Arial" w:hAnsi="Arial" w:cs="Arial"/>
                <w:color w:val="000000"/>
                <w:sz w:val="19"/>
                <w:szCs w:val="19"/>
              </w:rPr>
            </w:pPr>
            <w:r w:rsidRPr="00B85A2E">
              <w:rPr>
                <w:rFonts w:ascii="Arial" w:hAnsi="Arial" w:cs="Arial"/>
                <w:color w:val="000000"/>
                <w:sz w:val="19"/>
                <w:szCs w:val="19"/>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54B73" w:rsidRPr="00B85A2E" w:rsidRDefault="00E54B73" w:rsidP="00E54B73">
            <w:pPr>
              <w:jc w:val="right"/>
              <w:rPr>
                <w:rFonts w:ascii="Arial" w:hAnsi="Arial" w:cs="Arial"/>
                <w:color w:val="000000"/>
                <w:sz w:val="19"/>
                <w:szCs w:val="19"/>
              </w:rPr>
            </w:pPr>
            <w:r w:rsidRPr="00B85A2E">
              <w:rPr>
                <w:rFonts w:ascii="Arial" w:hAnsi="Arial" w:cs="Arial"/>
                <w:color w:val="000000"/>
                <w:sz w:val="19"/>
                <w:szCs w:val="19"/>
              </w:rPr>
              <w:t>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54B73" w:rsidRPr="00B85A2E" w:rsidRDefault="00E54B73" w:rsidP="00E54B73">
            <w:pPr>
              <w:rPr>
                <w:rFonts w:ascii="Arial" w:hAnsi="Arial" w:cs="Arial"/>
                <w:color w:val="000000"/>
                <w:sz w:val="19"/>
                <w:szCs w:val="19"/>
              </w:rPr>
            </w:pPr>
            <w:r w:rsidRPr="00B85A2E">
              <w:rPr>
                <w:rFonts w:ascii="Arial" w:hAnsi="Arial" w:cs="Arial"/>
                <w:color w:val="000000"/>
                <w:sz w:val="19"/>
                <w:szCs w:val="19"/>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54B73" w:rsidRPr="00B85A2E" w:rsidRDefault="00E54B73" w:rsidP="00E54B73">
            <w:pPr>
              <w:jc w:val="right"/>
              <w:rPr>
                <w:rFonts w:ascii="Arial" w:hAnsi="Arial" w:cs="Arial"/>
                <w:color w:val="000000"/>
                <w:sz w:val="19"/>
                <w:szCs w:val="19"/>
              </w:rPr>
            </w:pPr>
            <w:r w:rsidRPr="00B85A2E">
              <w:rPr>
                <w:rFonts w:ascii="Arial" w:hAnsi="Arial" w:cs="Arial"/>
                <w:color w:val="000000"/>
                <w:sz w:val="19"/>
                <w:szCs w:val="19"/>
              </w:rPr>
              <w:t>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E54B73" w:rsidRPr="00B85A2E" w:rsidRDefault="00E54B73" w:rsidP="00E54B73">
            <w:pPr>
              <w:jc w:val="right"/>
              <w:rPr>
                <w:rFonts w:ascii="Arial" w:hAnsi="Arial" w:cs="Arial"/>
                <w:color w:val="000000"/>
                <w:sz w:val="19"/>
                <w:szCs w:val="19"/>
              </w:rPr>
            </w:pPr>
            <w:r w:rsidRPr="00B85A2E">
              <w:rPr>
                <w:rFonts w:ascii="Arial" w:hAnsi="Arial" w:cs="Arial"/>
                <w:color w:val="000000"/>
                <w:sz w:val="19"/>
                <w:szCs w:val="19"/>
              </w:rPr>
              <w:t>0.000</w:t>
            </w:r>
          </w:p>
        </w:tc>
      </w:tr>
      <w:tr w:rsidR="00E54B73" w:rsidRPr="00B85A2E" w:rsidTr="00BD35D0">
        <w:trPr>
          <w:trHeight w:val="300"/>
          <w:jc w:val="center"/>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E54B73" w:rsidRPr="00B85A2E" w:rsidRDefault="00E54B73" w:rsidP="00E54B73">
            <w:pPr>
              <w:rPr>
                <w:rFonts w:ascii="Arial" w:hAnsi="Arial" w:cs="Arial"/>
                <w:color w:val="000000"/>
                <w:sz w:val="19"/>
                <w:szCs w:val="19"/>
              </w:rPr>
            </w:pPr>
            <w:r w:rsidRPr="00B85A2E">
              <w:rPr>
                <w:rFonts w:ascii="Arial" w:hAnsi="Arial" w:cs="Arial"/>
                <w:color w:val="000000"/>
                <w:sz w:val="19"/>
                <w:szCs w:val="19"/>
              </w:rPr>
              <w:t>2. Equipment</w:t>
            </w:r>
          </w:p>
        </w:tc>
        <w:tc>
          <w:tcPr>
            <w:tcW w:w="1297"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jc w:val="right"/>
              <w:rPr>
                <w:rFonts w:ascii="Arial" w:hAnsi="Arial" w:cs="Arial"/>
                <w:color w:val="000000"/>
                <w:sz w:val="19"/>
                <w:szCs w:val="19"/>
              </w:rPr>
            </w:pPr>
            <w:r w:rsidRPr="00B85A2E">
              <w:rPr>
                <w:rFonts w:ascii="Arial" w:hAnsi="Arial" w:cs="Arial"/>
                <w:color w:val="000000"/>
                <w:sz w:val="19"/>
                <w:szCs w:val="19"/>
              </w:rPr>
              <w:t>2.85</w:t>
            </w:r>
          </w:p>
        </w:tc>
        <w:tc>
          <w:tcPr>
            <w:tcW w:w="1417"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jc w:val="right"/>
              <w:rPr>
                <w:rFonts w:ascii="Arial" w:hAnsi="Arial" w:cs="Arial"/>
                <w:color w:val="000000"/>
                <w:sz w:val="19"/>
                <w:szCs w:val="19"/>
              </w:rPr>
            </w:pPr>
            <w:r w:rsidRPr="00B85A2E">
              <w:rPr>
                <w:rFonts w:ascii="Arial" w:hAnsi="Arial" w:cs="Arial"/>
                <w:color w:val="000000"/>
                <w:sz w:val="19"/>
                <w:szCs w:val="19"/>
              </w:rPr>
              <w:t>2.73</w:t>
            </w:r>
          </w:p>
        </w:tc>
        <w:tc>
          <w:tcPr>
            <w:tcW w:w="1701"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jc w:val="right"/>
              <w:rPr>
                <w:rFonts w:ascii="Arial" w:hAnsi="Arial" w:cs="Arial"/>
                <w:color w:val="000000"/>
                <w:sz w:val="19"/>
                <w:szCs w:val="19"/>
              </w:rPr>
            </w:pPr>
            <w:r w:rsidRPr="00B85A2E">
              <w:rPr>
                <w:rFonts w:ascii="Arial" w:hAnsi="Arial" w:cs="Arial"/>
                <w:color w:val="000000"/>
                <w:sz w:val="19"/>
                <w:szCs w:val="19"/>
              </w:rPr>
              <w:t>2.85</w:t>
            </w:r>
          </w:p>
        </w:tc>
        <w:tc>
          <w:tcPr>
            <w:tcW w:w="1418"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jc w:val="right"/>
              <w:rPr>
                <w:rFonts w:ascii="Arial" w:hAnsi="Arial" w:cs="Arial"/>
                <w:color w:val="000000"/>
                <w:sz w:val="19"/>
                <w:szCs w:val="19"/>
              </w:rPr>
            </w:pPr>
            <w:r w:rsidRPr="00B85A2E">
              <w:rPr>
                <w:rFonts w:ascii="Arial" w:hAnsi="Arial" w:cs="Arial"/>
                <w:color w:val="000000"/>
                <w:sz w:val="19"/>
                <w:szCs w:val="19"/>
              </w:rPr>
              <w:t>0.000</w:t>
            </w:r>
          </w:p>
        </w:tc>
        <w:tc>
          <w:tcPr>
            <w:tcW w:w="1559"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jc w:val="right"/>
              <w:rPr>
                <w:rFonts w:ascii="Arial" w:hAnsi="Arial" w:cs="Arial"/>
                <w:color w:val="000000"/>
                <w:sz w:val="19"/>
                <w:szCs w:val="19"/>
              </w:rPr>
            </w:pPr>
            <w:r w:rsidRPr="00B85A2E">
              <w:rPr>
                <w:rFonts w:ascii="Arial" w:hAnsi="Arial" w:cs="Arial"/>
                <w:color w:val="000000"/>
                <w:sz w:val="19"/>
                <w:szCs w:val="19"/>
              </w:rPr>
              <w:t>0.000</w:t>
            </w:r>
          </w:p>
        </w:tc>
      </w:tr>
      <w:tr w:rsidR="00E54B73" w:rsidRPr="00B85A2E" w:rsidTr="00BD35D0">
        <w:trPr>
          <w:trHeight w:val="300"/>
          <w:jc w:val="center"/>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E54B73" w:rsidRPr="00B85A2E" w:rsidRDefault="00E54B73" w:rsidP="00E54B73">
            <w:pPr>
              <w:rPr>
                <w:rFonts w:ascii="Arial" w:hAnsi="Arial" w:cs="Arial"/>
                <w:color w:val="000000"/>
                <w:sz w:val="19"/>
                <w:szCs w:val="19"/>
              </w:rPr>
            </w:pPr>
            <w:r w:rsidRPr="00B85A2E">
              <w:rPr>
                <w:rFonts w:ascii="Arial" w:hAnsi="Arial" w:cs="Arial"/>
                <w:color w:val="000000"/>
                <w:sz w:val="19"/>
                <w:szCs w:val="19"/>
              </w:rPr>
              <w:t>3. Workshops and Studies</w:t>
            </w:r>
          </w:p>
        </w:tc>
        <w:tc>
          <w:tcPr>
            <w:tcW w:w="1297"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rPr>
                <w:rFonts w:ascii="Arial" w:hAnsi="Arial" w:cs="Arial"/>
                <w:color w:val="000000"/>
                <w:sz w:val="19"/>
                <w:szCs w:val="19"/>
              </w:rPr>
            </w:pPr>
            <w:r w:rsidRPr="00B85A2E">
              <w:rPr>
                <w:rFonts w:ascii="Arial" w:hAnsi="Arial" w:cs="Arial"/>
                <w:color w:val="000000"/>
                <w:sz w:val="19"/>
                <w:szCs w:val="19"/>
              </w:rPr>
              <w:t> </w:t>
            </w:r>
          </w:p>
        </w:tc>
        <w:tc>
          <w:tcPr>
            <w:tcW w:w="1417"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jc w:val="right"/>
              <w:rPr>
                <w:rFonts w:ascii="Arial" w:hAnsi="Arial" w:cs="Arial"/>
                <w:color w:val="000000"/>
                <w:sz w:val="19"/>
                <w:szCs w:val="19"/>
              </w:rPr>
            </w:pPr>
            <w:r w:rsidRPr="00B85A2E">
              <w:rPr>
                <w:rFonts w:ascii="Arial" w:hAnsi="Arial" w:cs="Arial"/>
                <w:color w:val="000000"/>
                <w:sz w:val="19"/>
                <w:szCs w:val="19"/>
              </w:rPr>
              <w:t>0.00</w:t>
            </w:r>
          </w:p>
        </w:tc>
        <w:tc>
          <w:tcPr>
            <w:tcW w:w="1701"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rPr>
                <w:rFonts w:ascii="Arial" w:hAnsi="Arial" w:cs="Arial"/>
                <w:color w:val="000000"/>
                <w:sz w:val="19"/>
                <w:szCs w:val="19"/>
              </w:rPr>
            </w:pPr>
            <w:r w:rsidRPr="00B85A2E">
              <w:rPr>
                <w:rFonts w:ascii="Arial" w:hAnsi="Arial" w:cs="Arial"/>
                <w:color w:val="000000"/>
                <w:sz w:val="19"/>
                <w:szCs w:val="19"/>
              </w:rPr>
              <w:t> </w:t>
            </w:r>
          </w:p>
        </w:tc>
        <w:tc>
          <w:tcPr>
            <w:tcW w:w="1418"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jc w:val="right"/>
              <w:rPr>
                <w:rFonts w:ascii="Arial" w:hAnsi="Arial" w:cs="Arial"/>
                <w:color w:val="000000"/>
                <w:sz w:val="19"/>
                <w:szCs w:val="19"/>
              </w:rPr>
            </w:pPr>
            <w:r w:rsidRPr="00B85A2E">
              <w:rPr>
                <w:rFonts w:ascii="Arial" w:hAnsi="Arial" w:cs="Arial"/>
                <w:color w:val="000000"/>
                <w:sz w:val="19"/>
                <w:szCs w:val="19"/>
              </w:rPr>
              <w:t>0.000</w:t>
            </w:r>
          </w:p>
        </w:tc>
        <w:tc>
          <w:tcPr>
            <w:tcW w:w="1559"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jc w:val="right"/>
              <w:rPr>
                <w:rFonts w:ascii="Arial" w:hAnsi="Arial" w:cs="Arial"/>
                <w:color w:val="000000"/>
                <w:sz w:val="19"/>
                <w:szCs w:val="19"/>
              </w:rPr>
            </w:pPr>
            <w:r w:rsidRPr="00B85A2E">
              <w:rPr>
                <w:rFonts w:ascii="Arial" w:hAnsi="Arial" w:cs="Arial"/>
                <w:color w:val="000000"/>
                <w:sz w:val="19"/>
                <w:szCs w:val="19"/>
              </w:rPr>
              <w:t>0.000</w:t>
            </w:r>
          </w:p>
        </w:tc>
      </w:tr>
      <w:tr w:rsidR="00E54B73" w:rsidRPr="00B85A2E" w:rsidTr="00BD35D0">
        <w:trPr>
          <w:trHeight w:val="300"/>
          <w:jc w:val="center"/>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E54B73" w:rsidRPr="00B85A2E" w:rsidRDefault="00E54B73" w:rsidP="00E54B73">
            <w:pPr>
              <w:rPr>
                <w:rFonts w:ascii="Arial" w:hAnsi="Arial" w:cs="Arial"/>
                <w:color w:val="000000"/>
                <w:sz w:val="19"/>
                <w:szCs w:val="19"/>
              </w:rPr>
            </w:pPr>
            <w:r w:rsidRPr="00B85A2E">
              <w:rPr>
                <w:rFonts w:ascii="Arial" w:hAnsi="Arial" w:cs="Arial"/>
                <w:color w:val="000000"/>
                <w:sz w:val="19"/>
                <w:szCs w:val="19"/>
              </w:rPr>
              <w:t>4. Education and Training</w:t>
            </w:r>
          </w:p>
        </w:tc>
        <w:tc>
          <w:tcPr>
            <w:tcW w:w="1297"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rPr>
                <w:rFonts w:ascii="Arial" w:hAnsi="Arial" w:cs="Arial"/>
                <w:color w:val="000000"/>
                <w:sz w:val="19"/>
                <w:szCs w:val="19"/>
              </w:rPr>
            </w:pPr>
            <w:r w:rsidRPr="00B85A2E">
              <w:rPr>
                <w:rFonts w:ascii="Arial" w:hAnsi="Arial" w:cs="Arial"/>
                <w:color w:val="000000"/>
                <w:sz w:val="19"/>
                <w:szCs w:val="19"/>
              </w:rPr>
              <w:t> </w:t>
            </w:r>
          </w:p>
        </w:tc>
        <w:tc>
          <w:tcPr>
            <w:tcW w:w="1417"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jc w:val="right"/>
              <w:rPr>
                <w:rFonts w:ascii="Arial" w:hAnsi="Arial" w:cs="Arial"/>
                <w:color w:val="000000"/>
                <w:sz w:val="19"/>
                <w:szCs w:val="19"/>
              </w:rPr>
            </w:pPr>
            <w:r w:rsidRPr="00B85A2E">
              <w:rPr>
                <w:rFonts w:ascii="Arial" w:hAnsi="Arial" w:cs="Arial"/>
                <w:color w:val="000000"/>
                <w:sz w:val="19"/>
                <w:szCs w:val="19"/>
              </w:rPr>
              <w:t>0.00</w:t>
            </w:r>
          </w:p>
        </w:tc>
        <w:tc>
          <w:tcPr>
            <w:tcW w:w="1701"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rPr>
                <w:rFonts w:ascii="Arial" w:hAnsi="Arial" w:cs="Arial"/>
                <w:color w:val="000000"/>
                <w:sz w:val="19"/>
                <w:szCs w:val="19"/>
              </w:rPr>
            </w:pPr>
            <w:r w:rsidRPr="00B85A2E">
              <w:rPr>
                <w:rFonts w:ascii="Arial" w:hAnsi="Arial" w:cs="Arial"/>
                <w:color w:val="000000"/>
                <w:sz w:val="19"/>
                <w:szCs w:val="19"/>
              </w:rPr>
              <w:t> </w:t>
            </w:r>
          </w:p>
        </w:tc>
        <w:tc>
          <w:tcPr>
            <w:tcW w:w="1418"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jc w:val="right"/>
              <w:rPr>
                <w:rFonts w:ascii="Arial" w:hAnsi="Arial" w:cs="Arial"/>
                <w:color w:val="000000"/>
                <w:sz w:val="19"/>
                <w:szCs w:val="19"/>
              </w:rPr>
            </w:pPr>
            <w:r w:rsidRPr="00B85A2E">
              <w:rPr>
                <w:rFonts w:ascii="Arial" w:hAnsi="Arial" w:cs="Arial"/>
                <w:color w:val="000000"/>
                <w:sz w:val="19"/>
                <w:szCs w:val="19"/>
              </w:rPr>
              <w:t>0.000</w:t>
            </w:r>
          </w:p>
        </w:tc>
        <w:tc>
          <w:tcPr>
            <w:tcW w:w="1559"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jc w:val="right"/>
              <w:rPr>
                <w:rFonts w:ascii="Arial" w:hAnsi="Arial" w:cs="Arial"/>
                <w:color w:val="000000"/>
                <w:sz w:val="19"/>
                <w:szCs w:val="19"/>
              </w:rPr>
            </w:pPr>
            <w:r w:rsidRPr="00B85A2E">
              <w:rPr>
                <w:rFonts w:ascii="Arial" w:hAnsi="Arial" w:cs="Arial"/>
                <w:color w:val="000000"/>
                <w:sz w:val="19"/>
                <w:szCs w:val="19"/>
              </w:rPr>
              <w:t>0.000</w:t>
            </w:r>
          </w:p>
        </w:tc>
      </w:tr>
      <w:tr w:rsidR="00E54B73" w:rsidRPr="00B85A2E" w:rsidTr="00BD35D0">
        <w:trPr>
          <w:trHeight w:val="300"/>
          <w:jc w:val="center"/>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E54B73" w:rsidRPr="00B85A2E" w:rsidRDefault="00E54B73" w:rsidP="00E54B73">
            <w:pPr>
              <w:rPr>
                <w:rFonts w:ascii="Arial" w:hAnsi="Arial" w:cs="Arial"/>
                <w:color w:val="000000"/>
                <w:sz w:val="19"/>
                <w:szCs w:val="19"/>
              </w:rPr>
            </w:pPr>
            <w:r w:rsidRPr="00B85A2E">
              <w:rPr>
                <w:rFonts w:ascii="Arial" w:hAnsi="Arial" w:cs="Arial"/>
                <w:color w:val="000000"/>
                <w:sz w:val="19"/>
                <w:szCs w:val="19"/>
              </w:rPr>
              <w:t>5. Consulting Services</w:t>
            </w:r>
          </w:p>
        </w:tc>
        <w:tc>
          <w:tcPr>
            <w:tcW w:w="1297"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jc w:val="right"/>
              <w:rPr>
                <w:rFonts w:ascii="Arial" w:hAnsi="Arial" w:cs="Arial"/>
                <w:color w:val="000000"/>
                <w:sz w:val="19"/>
                <w:szCs w:val="19"/>
              </w:rPr>
            </w:pPr>
            <w:r w:rsidRPr="00B85A2E">
              <w:rPr>
                <w:rFonts w:ascii="Arial" w:hAnsi="Arial" w:cs="Arial"/>
                <w:color w:val="000000"/>
                <w:sz w:val="19"/>
                <w:szCs w:val="19"/>
              </w:rPr>
              <w:t>3.50</w:t>
            </w:r>
          </w:p>
        </w:tc>
        <w:tc>
          <w:tcPr>
            <w:tcW w:w="1417"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jc w:val="right"/>
              <w:rPr>
                <w:rFonts w:ascii="Arial" w:hAnsi="Arial" w:cs="Arial"/>
                <w:color w:val="000000"/>
                <w:sz w:val="19"/>
                <w:szCs w:val="19"/>
              </w:rPr>
            </w:pPr>
            <w:r w:rsidRPr="00B85A2E">
              <w:rPr>
                <w:rFonts w:ascii="Arial" w:hAnsi="Arial" w:cs="Arial"/>
                <w:color w:val="000000"/>
                <w:sz w:val="19"/>
                <w:szCs w:val="19"/>
              </w:rPr>
              <w:t>2.20</w:t>
            </w:r>
          </w:p>
        </w:tc>
        <w:tc>
          <w:tcPr>
            <w:tcW w:w="1701"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jc w:val="right"/>
              <w:rPr>
                <w:rFonts w:ascii="Arial" w:hAnsi="Arial" w:cs="Arial"/>
                <w:color w:val="000000"/>
                <w:sz w:val="19"/>
                <w:szCs w:val="19"/>
              </w:rPr>
            </w:pPr>
            <w:r w:rsidRPr="00B85A2E">
              <w:rPr>
                <w:rFonts w:ascii="Arial" w:hAnsi="Arial" w:cs="Arial"/>
                <w:color w:val="000000"/>
                <w:sz w:val="19"/>
                <w:szCs w:val="19"/>
              </w:rPr>
              <w:t>3.50</w:t>
            </w:r>
          </w:p>
        </w:tc>
        <w:tc>
          <w:tcPr>
            <w:tcW w:w="1418"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jc w:val="right"/>
              <w:rPr>
                <w:rFonts w:ascii="Arial" w:hAnsi="Arial" w:cs="Arial"/>
                <w:color w:val="000000"/>
                <w:sz w:val="19"/>
                <w:szCs w:val="19"/>
              </w:rPr>
            </w:pPr>
            <w:r w:rsidRPr="00B85A2E">
              <w:rPr>
                <w:rFonts w:ascii="Arial" w:hAnsi="Arial" w:cs="Arial"/>
                <w:color w:val="000000"/>
                <w:sz w:val="19"/>
                <w:szCs w:val="19"/>
              </w:rPr>
              <w:t>0.003</w:t>
            </w:r>
          </w:p>
        </w:tc>
        <w:tc>
          <w:tcPr>
            <w:tcW w:w="1559"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jc w:val="right"/>
              <w:rPr>
                <w:rFonts w:ascii="Arial" w:hAnsi="Arial" w:cs="Arial"/>
                <w:color w:val="000000"/>
                <w:sz w:val="19"/>
                <w:szCs w:val="19"/>
              </w:rPr>
            </w:pPr>
            <w:r w:rsidRPr="00B85A2E">
              <w:rPr>
                <w:rFonts w:ascii="Arial" w:hAnsi="Arial" w:cs="Arial"/>
                <w:color w:val="000000"/>
                <w:sz w:val="19"/>
                <w:szCs w:val="19"/>
              </w:rPr>
              <w:t>0.003</w:t>
            </w:r>
          </w:p>
        </w:tc>
      </w:tr>
      <w:tr w:rsidR="00E54B73" w:rsidRPr="00B85A2E" w:rsidTr="00BD35D0">
        <w:trPr>
          <w:trHeight w:val="780"/>
          <w:jc w:val="center"/>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E54B73" w:rsidRPr="00B85A2E" w:rsidRDefault="00E54B73" w:rsidP="00E54B73">
            <w:pPr>
              <w:rPr>
                <w:rFonts w:ascii="Arial" w:hAnsi="Arial" w:cs="Arial"/>
                <w:color w:val="000000"/>
                <w:sz w:val="19"/>
                <w:szCs w:val="19"/>
              </w:rPr>
            </w:pPr>
            <w:r w:rsidRPr="00B85A2E">
              <w:rPr>
                <w:rFonts w:ascii="Arial" w:hAnsi="Arial" w:cs="Arial"/>
                <w:color w:val="000000"/>
                <w:sz w:val="19"/>
                <w:szCs w:val="19"/>
              </w:rPr>
              <w:t>6. Health Professional Registration System Establishment: Operational Funding</w:t>
            </w:r>
          </w:p>
        </w:tc>
        <w:tc>
          <w:tcPr>
            <w:tcW w:w="1297"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jc w:val="right"/>
              <w:rPr>
                <w:rFonts w:ascii="Arial" w:hAnsi="Arial" w:cs="Arial"/>
                <w:color w:val="000000"/>
                <w:sz w:val="19"/>
                <w:szCs w:val="19"/>
              </w:rPr>
            </w:pPr>
            <w:r w:rsidRPr="00B85A2E">
              <w:rPr>
                <w:rFonts w:ascii="Arial" w:hAnsi="Arial" w:cs="Arial"/>
                <w:color w:val="000000"/>
                <w:sz w:val="19"/>
                <w:szCs w:val="19"/>
              </w:rPr>
              <w:t>2.82</w:t>
            </w:r>
          </w:p>
        </w:tc>
        <w:tc>
          <w:tcPr>
            <w:tcW w:w="1417"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jc w:val="right"/>
              <w:rPr>
                <w:rFonts w:ascii="Arial" w:hAnsi="Arial" w:cs="Arial"/>
                <w:color w:val="000000"/>
                <w:sz w:val="19"/>
                <w:szCs w:val="19"/>
              </w:rPr>
            </w:pPr>
            <w:r w:rsidRPr="00B85A2E">
              <w:rPr>
                <w:rFonts w:ascii="Arial" w:hAnsi="Arial" w:cs="Arial"/>
                <w:color w:val="000000"/>
                <w:sz w:val="19"/>
                <w:szCs w:val="19"/>
              </w:rPr>
              <w:t>0.76</w:t>
            </w:r>
          </w:p>
        </w:tc>
        <w:tc>
          <w:tcPr>
            <w:tcW w:w="1701"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jc w:val="right"/>
              <w:rPr>
                <w:rFonts w:ascii="Arial" w:hAnsi="Arial" w:cs="Arial"/>
                <w:color w:val="000000"/>
                <w:sz w:val="19"/>
                <w:szCs w:val="19"/>
              </w:rPr>
            </w:pPr>
            <w:r w:rsidRPr="00B85A2E">
              <w:rPr>
                <w:rFonts w:ascii="Arial" w:hAnsi="Arial" w:cs="Arial"/>
                <w:color w:val="000000"/>
                <w:sz w:val="19"/>
                <w:szCs w:val="19"/>
              </w:rPr>
              <w:t>2.82</w:t>
            </w:r>
          </w:p>
        </w:tc>
        <w:tc>
          <w:tcPr>
            <w:tcW w:w="1418"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jc w:val="right"/>
              <w:rPr>
                <w:rFonts w:ascii="Arial" w:hAnsi="Arial" w:cs="Arial"/>
                <w:color w:val="000000"/>
                <w:sz w:val="19"/>
                <w:szCs w:val="19"/>
              </w:rPr>
            </w:pPr>
            <w:r w:rsidRPr="00B85A2E">
              <w:rPr>
                <w:rFonts w:ascii="Arial" w:hAnsi="Arial" w:cs="Arial"/>
                <w:color w:val="000000"/>
                <w:sz w:val="19"/>
                <w:szCs w:val="19"/>
              </w:rPr>
              <w:t>0.002</w:t>
            </w:r>
          </w:p>
        </w:tc>
        <w:tc>
          <w:tcPr>
            <w:tcW w:w="1559"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jc w:val="right"/>
              <w:rPr>
                <w:rFonts w:ascii="Arial" w:hAnsi="Arial" w:cs="Arial"/>
                <w:color w:val="000000"/>
                <w:sz w:val="19"/>
                <w:szCs w:val="19"/>
              </w:rPr>
            </w:pPr>
            <w:r w:rsidRPr="00B85A2E">
              <w:rPr>
                <w:rFonts w:ascii="Arial" w:hAnsi="Arial" w:cs="Arial"/>
                <w:color w:val="000000"/>
                <w:sz w:val="19"/>
                <w:szCs w:val="19"/>
              </w:rPr>
              <w:t>0.002</w:t>
            </w:r>
          </w:p>
        </w:tc>
      </w:tr>
      <w:tr w:rsidR="00E54B73" w:rsidRPr="00B85A2E" w:rsidTr="00BD35D0">
        <w:trPr>
          <w:trHeight w:val="300"/>
          <w:jc w:val="center"/>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E54B73" w:rsidRPr="00B85A2E" w:rsidRDefault="00E54B73" w:rsidP="00E54B73">
            <w:pPr>
              <w:rPr>
                <w:rFonts w:ascii="Arial" w:hAnsi="Arial" w:cs="Arial"/>
                <w:color w:val="000000"/>
                <w:sz w:val="19"/>
                <w:szCs w:val="19"/>
              </w:rPr>
            </w:pPr>
            <w:r w:rsidRPr="00B85A2E">
              <w:rPr>
                <w:rFonts w:ascii="Arial" w:hAnsi="Arial" w:cs="Arial"/>
                <w:color w:val="000000"/>
                <w:sz w:val="19"/>
                <w:szCs w:val="19"/>
              </w:rPr>
              <w:t>7. Project Management</w:t>
            </w:r>
          </w:p>
        </w:tc>
        <w:tc>
          <w:tcPr>
            <w:tcW w:w="1297"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rPr>
                <w:rFonts w:ascii="Arial" w:hAnsi="Arial" w:cs="Arial"/>
                <w:color w:val="000000"/>
                <w:sz w:val="19"/>
                <w:szCs w:val="19"/>
              </w:rPr>
            </w:pPr>
            <w:r w:rsidRPr="00B85A2E">
              <w:rPr>
                <w:rFonts w:ascii="Arial" w:hAnsi="Arial" w:cs="Arial"/>
                <w:color w:val="000000"/>
                <w:sz w:val="19"/>
                <w:szCs w:val="19"/>
              </w:rPr>
              <w:t> </w:t>
            </w:r>
          </w:p>
        </w:tc>
        <w:tc>
          <w:tcPr>
            <w:tcW w:w="1417"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jc w:val="right"/>
              <w:rPr>
                <w:rFonts w:ascii="Arial" w:hAnsi="Arial" w:cs="Arial"/>
                <w:color w:val="000000"/>
                <w:sz w:val="19"/>
                <w:szCs w:val="19"/>
              </w:rPr>
            </w:pPr>
            <w:r w:rsidRPr="00B85A2E">
              <w:rPr>
                <w:rFonts w:ascii="Arial" w:hAnsi="Arial" w:cs="Arial"/>
                <w:color w:val="000000"/>
                <w:sz w:val="19"/>
                <w:szCs w:val="19"/>
              </w:rPr>
              <w:t>0.00</w:t>
            </w:r>
          </w:p>
        </w:tc>
        <w:tc>
          <w:tcPr>
            <w:tcW w:w="1701"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rPr>
                <w:rFonts w:ascii="Arial" w:hAnsi="Arial" w:cs="Arial"/>
                <w:color w:val="000000"/>
                <w:sz w:val="19"/>
                <w:szCs w:val="19"/>
              </w:rPr>
            </w:pPr>
            <w:r w:rsidRPr="00B85A2E">
              <w:rPr>
                <w:rFonts w:ascii="Arial" w:hAnsi="Arial" w:cs="Arial"/>
                <w:color w:val="000000"/>
                <w:sz w:val="19"/>
                <w:szCs w:val="19"/>
              </w:rPr>
              <w:t> </w:t>
            </w:r>
          </w:p>
        </w:tc>
        <w:tc>
          <w:tcPr>
            <w:tcW w:w="1418"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jc w:val="right"/>
              <w:rPr>
                <w:rFonts w:ascii="Arial" w:hAnsi="Arial" w:cs="Arial"/>
                <w:color w:val="000000"/>
                <w:sz w:val="19"/>
                <w:szCs w:val="19"/>
              </w:rPr>
            </w:pPr>
            <w:r w:rsidRPr="00B85A2E">
              <w:rPr>
                <w:rFonts w:ascii="Arial" w:hAnsi="Arial" w:cs="Arial"/>
                <w:color w:val="000000"/>
                <w:sz w:val="19"/>
                <w:szCs w:val="19"/>
              </w:rPr>
              <w:t>0.000</w:t>
            </w:r>
          </w:p>
        </w:tc>
        <w:tc>
          <w:tcPr>
            <w:tcW w:w="1559"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jc w:val="right"/>
              <w:rPr>
                <w:rFonts w:ascii="Arial" w:hAnsi="Arial" w:cs="Arial"/>
                <w:color w:val="000000"/>
                <w:sz w:val="19"/>
                <w:szCs w:val="19"/>
              </w:rPr>
            </w:pPr>
            <w:r w:rsidRPr="00B85A2E">
              <w:rPr>
                <w:rFonts w:ascii="Arial" w:hAnsi="Arial" w:cs="Arial"/>
                <w:color w:val="000000"/>
                <w:sz w:val="19"/>
                <w:szCs w:val="19"/>
              </w:rPr>
              <w:t>0.000</w:t>
            </w:r>
          </w:p>
        </w:tc>
      </w:tr>
      <w:tr w:rsidR="00E54B73" w:rsidRPr="00B85A2E" w:rsidTr="00BD35D0">
        <w:trPr>
          <w:trHeight w:val="525"/>
          <w:jc w:val="center"/>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E54B73" w:rsidRPr="00B85A2E" w:rsidRDefault="00E54B73" w:rsidP="00E54B73">
            <w:pPr>
              <w:rPr>
                <w:rFonts w:ascii="Arial" w:hAnsi="Arial" w:cs="Arial"/>
                <w:color w:val="000000"/>
                <w:sz w:val="19"/>
                <w:szCs w:val="19"/>
              </w:rPr>
            </w:pPr>
            <w:r w:rsidRPr="00B85A2E">
              <w:rPr>
                <w:rFonts w:ascii="Arial" w:hAnsi="Arial" w:cs="Arial"/>
                <w:color w:val="000000"/>
                <w:sz w:val="19"/>
                <w:szCs w:val="19"/>
              </w:rPr>
              <w:t>8. Project Management for Care Pathway Pilot</w:t>
            </w:r>
          </w:p>
        </w:tc>
        <w:tc>
          <w:tcPr>
            <w:tcW w:w="1297"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jc w:val="right"/>
              <w:rPr>
                <w:rFonts w:ascii="Arial" w:hAnsi="Arial" w:cs="Arial"/>
                <w:color w:val="000000"/>
                <w:sz w:val="19"/>
                <w:szCs w:val="19"/>
              </w:rPr>
            </w:pPr>
            <w:r w:rsidRPr="00B85A2E">
              <w:rPr>
                <w:rFonts w:ascii="Arial" w:hAnsi="Arial" w:cs="Arial"/>
                <w:color w:val="000000"/>
                <w:sz w:val="19"/>
                <w:szCs w:val="19"/>
              </w:rPr>
              <w:t>0.65</w:t>
            </w:r>
          </w:p>
        </w:tc>
        <w:tc>
          <w:tcPr>
            <w:tcW w:w="1417"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jc w:val="right"/>
              <w:rPr>
                <w:rFonts w:ascii="Arial" w:hAnsi="Arial" w:cs="Arial"/>
                <w:color w:val="000000"/>
                <w:sz w:val="19"/>
                <w:szCs w:val="19"/>
              </w:rPr>
            </w:pPr>
            <w:r w:rsidRPr="00B85A2E">
              <w:rPr>
                <w:rFonts w:ascii="Arial" w:hAnsi="Arial" w:cs="Arial"/>
                <w:color w:val="000000"/>
                <w:sz w:val="19"/>
                <w:szCs w:val="19"/>
              </w:rPr>
              <w:t>0.45</w:t>
            </w:r>
          </w:p>
        </w:tc>
        <w:tc>
          <w:tcPr>
            <w:tcW w:w="1701"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jc w:val="right"/>
              <w:rPr>
                <w:rFonts w:ascii="Arial" w:hAnsi="Arial" w:cs="Arial"/>
                <w:color w:val="000000"/>
                <w:sz w:val="19"/>
                <w:szCs w:val="19"/>
              </w:rPr>
            </w:pPr>
            <w:r w:rsidRPr="00B85A2E">
              <w:rPr>
                <w:rFonts w:ascii="Arial" w:hAnsi="Arial" w:cs="Arial"/>
                <w:color w:val="000000"/>
                <w:sz w:val="19"/>
                <w:szCs w:val="19"/>
              </w:rPr>
              <w:t>0.65</w:t>
            </w:r>
          </w:p>
        </w:tc>
        <w:tc>
          <w:tcPr>
            <w:tcW w:w="1418"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jc w:val="right"/>
              <w:rPr>
                <w:rFonts w:ascii="Arial" w:hAnsi="Arial" w:cs="Arial"/>
                <w:color w:val="000000"/>
                <w:sz w:val="19"/>
                <w:szCs w:val="19"/>
              </w:rPr>
            </w:pPr>
            <w:r w:rsidRPr="00B85A2E">
              <w:rPr>
                <w:rFonts w:ascii="Arial" w:hAnsi="Arial" w:cs="Arial"/>
                <w:color w:val="000000"/>
                <w:sz w:val="19"/>
                <w:szCs w:val="19"/>
              </w:rPr>
              <w:t>0.000</w:t>
            </w:r>
          </w:p>
        </w:tc>
        <w:tc>
          <w:tcPr>
            <w:tcW w:w="1559"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jc w:val="right"/>
              <w:rPr>
                <w:rFonts w:ascii="Arial" w:hAnsi="Arial" w:cs="Arial"/>
                <w:color w:val="000000"/>
                <w:sz w:val="19"/>
                <w:szCs w:val="19"/>
              </w:rPr>
            </w:pPr>
            <w:r w:rsidRPr="00B85A2E">
              <w:rPr>
                <w:rFonts w:ascii="Arial" w:hAnsi="Arial" w:cs="Arial"/>
                <w:color w:val="000000"/>
                <w:sz w:val="19"/>
                <w:szCs w:val="19"/>
              </w:rPr>
              <w:t>0.000</w:t>
            </w:r>
          </w:p>
        </w:tc>
      </w:tr>
      <w:tr w:rsidR="00E54B73" w:rsidRPr="00B85A2E" w:rsidTr="00BD35D0">
        <w:trPr>
          <w:trHeight w:val="525"/>
          <w:jc w:val="center"/>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E54B73" w:rsidRPr="00B85A2E" w:rsidRDefault="00E54B73" w:rsidP="00E54B73">
            <w:pPr>
              <w:rPr>
                <w:rFonts w:ascii="Arial" w:hAnsi="Arial" w:cs="Arial"/>
                <w:color w:val="000000"/>
                <w:sz w:val="19"/>
                <w:szCs w:val="19"/>
              </w:rPr>
            </w:pPr>
            <w:r w:rsidRPr="00B85A2E">
              <w:rPr>
                <w:rFonts w:ascii="Arial" w:hAnsi="Arial" w:cs="Arial"/>
                <w:color w:val="000000"/>
                <w:sz w:val="19"/>
                <w:szCs w:val="19"/>
              </w:rPr>
              <w:t xml:space="preserve">9. Capacity Building for Care Pathway Pilot </w:t>
            </w:r>
          </w:p>
        </w:tc>
        <w:tc>
          <w:tcPr>
            <w:tcW w:w="1297"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jc w:val="right"/>
              <w:rPr>
                <w:rFonts w:ascii="Arial" w:hAnsi="Arial" w:cs="Arial"/>
                <w:color w:val="000000"/>
                <w:sz w:val="19"/>
                <w:szCs w:val="19"/>
              </w:rPr>
            </w:pPr>
            <w:r w:rsidRPr="00B85A2E">
              <w:rPr>
                <w:rFonts w:ascii="Arial" w:hAnsi="Arial" w:cs="Arial"/>
                <w:color w:val="000000"/>
                <w:sz w:val="19"/>
                <w:szCs w:val="19"/>
              </w:rPr>
              <w:t>0.83</w:t>
            </w:r>
          </w:p>
        </w:tc>
        <w:tc>
          <w:tcPr>
            <w:tcW w:w="1417"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jc w:val="right"/>
              <w:rPr>
                <w:rFonts w:ascii="Arial" w:hAnsi="Arial" w:cs="Arial"/>
                <w:color w:val="000000"/>
                <w:sz w:val="19"/>
                <w:szCs w:val="19"/>
              </w:rPr>
            </w:pPr>
            <w:r w:rsidRPr="00B85A2E">
              <w:rPr>
                <w:rFonts w:ascii="Arial" w:hAnsi="Arial" w:cs="Arial"/>
                <w:color w:val="000000"/>
                <w:sz w:val="19"/>
                <w:szCs w:val="19"/>
              </w:rPr>
              <w:t>0.31</w:t>
            </w:r>
          </w:p>
        </w:tc>
        <w:tc>
          <w:tcPr>
            <w:tcW w:w="1701"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jc w:val="right"/>
              <w:rPr>
                <w:rFonts w:ascii="Arial" w:hAnsi="Arial" w:cs="Arial"/>
                <w:color w:val="000000"/>
                <w:sz w:val="19"/>
                <w:szCs w:val="19"/>
              </w:rPr>
            </w:pPr>
            <w:r w:rsidRPr="00B85A2E">
              <w:rPr>
                <w:rFonts w:ascii="Arial" w:hAnsi="Arial" w:cs="Arial"/>
                <w:color w:val="000000"/>
                <w:sz w:val="19"/>
                <w:szCs w:val="19"/>
              </w:rPr>
              <w:t>0.83</w:t>
            </w:r>
          </w:p>
        </w:tc>
        <w:tc>
          <w:tcPr>
            <w:tcW w:w="1418"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jc w:val="right"/>
              <w:rPr>
                <w:rFonts w:ascii="Arial" w:hAnsi="Arial" w:cs="Arial"/>
                <w:color w:val="000000"/>
                <w:sz w:val="19"/>
                <w:szCs w:val="19"/>
              </w:rPr>
            </w:pPr>
            <w:r w:rsidRPr="00B85A2E">
              <w:rPr>
                <w:rFonts w:ascii="Arial" w:hAnsi="Arial" w:cs="Arial"/>
                <w:color w:val="000000"/>
                <w:sz w:val="19"/>
                <w:szCs w:val="19"/>
              </w:rPr>
              <w:t>0.000</w:t>
            </w:r>
          </w:p>
        </w:tc>
        <w:tc>
          <w:tcPr>
            <w:tcW w:w="1559"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jc w:val="right"/>
              <w:rPr>
                <w:rFonts w:ascii="Arial" w:hAnsi="Arial" w:cs="Arial"/>
                <w:color w:val="000000"/>
                <w:sz w:val="19"/>
                <w:szCs w:val="19"/>
              </w:rPr>
            </w:pPr>
            <w:r w:rsidRPr="00B85A2E">
              <w:rPr>
                <w:rFonts w:ascii="Arial" w:hAnsi="Arial" w:cs="Arial"/>
                <w:color w:val="000000"/>
                <w:sz w:val="19"/>
                <w:szCs w:val="19"/>
              </w:rPr>
              <w:t>0.000</w:t>
            </w:r>
          </w:p>
        </w:tc>
      </w:tr>
      <w:tr w:rsidR="00BD35D0" w:rsidRPr="00B85A2E" w:rsidTr="00BD35D0">
        <w:trPr>
          <w:trHeight w:val="300"/>
          <w:jc w:val="center"/>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E54B73" w:rsidRPr="00B85A2E" w:rsidRDefault="00E54B73" w:rsidP="00E54B73">
            <w:pPr>
              <w:rPr>
                <w:rFonts w:ascii="Arial" w:hAnsi="Arial" w:cs="Arial"/>
                <w:b/>
                <w:bCs/>
                <w:color w:val="000000"/>
                <w:sz w:val="19"/>
                <w:szCs w:val="19"/>
              </w:rPr>
            </w:pPr>
            <w:r w:rsidRPr="00B85A2E">
              <w:rPr>
                <w:rFonts w:ascii="Arial" w:hAnsi="Arial" w:cs="Arial"/>
                <w:b/>
                <w:bCs/>
                <w:color w:val="000000"/>
                <w:sz w:val="19"/>
                <w:szCs w:val="19"/>
              </w:rPr>
              <w:t>Total (Base Costs)</w:t>
            </w:r>
          </w:p>
        </w:tc>
        <w:tc>
          <w:tcPr>
            <w:tcW w:w="1297"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jc w:val="right"/>
              <w:rPr>
                <w:rFonts w:ascii="Arial" w:hAnsi="Arial" w:cs="Arial"/>
                <w:b/>
                <w:bCs/>
                <w:color w:val="000000"/>
                <w:sz w:val="19"/>
                <w:szCs w:val="19"/>
              </w:rPr>
            </w:pPr>
            <w:r w:rsidRPr="00B85A2E">
              <w:rPr>
                <w:rFonts w:ascii="Arial" w:hAnsi="Arial" w:cs="Arial"/>
                <w:b/>
                <w:bCs/>
                <w:color w:val="000000"/>
                <w:sz w:val="19"/>
                <w:szCs w:val="19"/>
              </w:rPr>
              <w:t>10.65</w:t>
            </w:r>
          </w:p>
        </w:tc>
        <w:tc>
          <w:tcPr>
            <w:tcW w:w="1417"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jc w:val="right"/>
              <w:rPr>
                <w:rFonts w:ascii="Arial" w:hAnsi="Arial" w:cs="Arial"/>
                <w:b/>
                <w:bCs/>
                <w:color w:val="000000"/>
                <w:sz w:val="19"/>
                <w:szCs w:val="19"/>
              </w:rPr>
            </w:pPr>
            <w:r w:rsidRPr="00B85A2E">
              <w:rPr>
                <w:rFonts w:ascii="Arial" w:hAnsi="Arial" w:cs="Arial"/>
                <w:b/>
                <w:bCs/>
                <w:color w:val="000000"/>
                <w:sz w:val="19"/>
                <w:szCs w:val="19"/>
              </w:rPr>
              <w:t>6.45</w:t>
            </w:r>
          </w:p>
        </w:tc>
        <w:tc>
          <w:tcPr>
            <w:tcW w:w="1701"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jc w:val="right"/>
              <w:rPr>
                <w:rFonts w:ascii="Arial" w:hAnsi="Arial" w:cs="Arial"/>
                <w:b/>
                <w:bCs/>
                <w:color w:val="000000"/>
                <w:sz w:val="19"/>
                <w:szCs w:val="19"/>
              </w:rPr>
            </w:pPr>
            <w:r w:rsidRPr="00B85A2E">
              <w:rPr>
                <w:rFonts w:ascii="Arial" w:hAnsi="Arial" w:cs="Arial"/>
                <w:b/>
                <w:bCs/>
                <w:color w:val="000000"/>
                <w:sz w:val="19"/>
                <w:szCs w:val="19"/>
              </w:rPr>
              <w:t>10.65</w:t>
            </w:r>
          </w:p>
        </w:tc>
        <w:tc>
          <w:tcPr>
            <w:tcW w:w="1418"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jc w:val="right"/>
              <w:rPr>
                <w:rFonts w:ascii="Arial" w:hAnsi="Arial" w:cs="Arial"/>
                <w:b/>
                <w:bCs/>
                <w:color w:val="000000"/>
                <w:sz w:val="19"/>
                <w:szCs w:val="19"/>
              </w:rPr>
            </w:pPr>
            <w:r w:rsidRPr="00B85A2E">
              <w:rPr>
                <w:rFonts w:ascii="Arial" w:hAnsi="Arial" w:cs="Arial"/>
                <w:b/>
                <w:bCs/>
                <w:color w:val="000000"/>
                <w:sz w:val="19"/>
                <w:szCs w:val="19"/>
              </w:rPr>
              <w:t>0.005</w:t>
            </w:r>
          </w:p>
        </w:tc>
        <w:tc>
          <w:tcPr>
            <w:tcW w:w="1559"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jc w:val="right"/>
              <w:rPr>
                <w:rFonts w:ascii="Arial" w:hAnsi="Arial" w:cs="Arial"/>
                <w:b/>
                <w:bCs/>
                <w:color w:val="000000"/>
                <w:sz w:val="19"/>
                <w:szCs w:val="19"/>
              </w:rPr>
            </w:pPr>
            <w:r w:rsidRPr="00B85A2E">
              <w:rPr>
                <w:rFonts w:ascii="Arial" w:hAnsi="Arial" w:cs="Arial"/>
                <w:b/>
                <w:bCs/>
                <w:color w:val="000000"/>
                <w:sz w:val="19"/>
                <w:szCs w:val="19"/>
              </w:rPr>
              <w:t>0.005</w:t>
            </w:r>
          </w:p>
        </w:tc>
      </w:tr>
      <w:tr w:rsidR="00E54B73" w:rsidRPr="00B85A2E" w:rsidTr="00BD35D0">
        <w:trPr>
          <w:trHeight w:val="300"/>
          <w:jc w:val="center"/>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E54B73" w:rsidRPr="00B85A2E" w:rsidRDefault="00E54B73" w:rsidP="00E54B73">
            <w:pPr>
              <w:rPr>
                <w:rFonts w:ascii="Arial" w:hAnsi="Arial" w:cs="Arial"/>
                <w:color w:val="000000"/>
                <w:sz w:val="19"/>
                <w:szCs w:val="19"/>
              </w:rPr>
            </w:pPr>
            <w:r w:rsidRPr="00B85A2E">
              <w:rPr>
                <w:rFonts w:ascii="Arial" w:hAnsi="Arial" w:cs="Arial"/>
                <w:color w:val="000000"/>
                <w:sz w:val="19"/>
                <w:szCs w:val="19"/>
              </w:rPr>
              <w:t>Unallocated</w:t>
            </w:r>
          </w:p>
        </w:tc>
        <w:tc>
          <w:tcPr>
            <w:tcW w:w="1297"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jc w:val="right"/>
              <w:rPr>
                <w:rFonts w:ascii="Arial" w:hAnsi="Arial" w:cs="Arial"/>
                <w:color w:val="000000"/>
                <w:sz w:val="19"/>
                <w:szCs w:val="19"/>
              </w:rPr>
            </w:pPr>
            <w:r w:rsidRPr="00B85A2E">
              <w:rPr>
                <w:rFonts w:ascii="Arial" w:hAnsi="Arial" w:cs="Arial"/>
                <w:color w:val="000000"/>
                <w:sz w:val="19"/>
                <w:szCs w:val="19"/>
              </w:rPr>
              <w:t>0.10</w:t>
            </w:r>
          </w:p>
        </w:tc>
        <w:tc>
          <w:tcPr>
            <w:tcW w:w="1417"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rPr>
                <w:rFonts w:ascii="Arial" w:hAnsi="Arial" w:cs="Arial"/>
                <w:color w:val="000000"/>
                <w:sz w:val="19"/>
                <w:szCs w:val="19"/>
              </w:rPr>
            </w:pPr>
            <w:r w:rsidRPr="00B85A2E">
              <w:rPr>
                <w:rFonts w:ascii="Arial" w:hAnsi="Arial" w:cs="Arial"/>
                <w:color w:val="000000"/>
                <w:sz w:val="19"/>
                <w:szCs w:val="19"/>
              </w:rPr>
              <w:t> </w:t>
            </w:r>
          </w:p>
        </w:tc>
        <w:tc>
          <w:tcPr>
            <w:tcW w:w="1701"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rPr>
                <w:rFonts w:ascii="Arial" w:hAnsi="Arial" w:cs="Arial"/>
                <w:color w:val="000000"/>
                <w:sz w:val="19"/>
                <w:szCs w:val="19"/>
              </w:rPr>
            </w:pPr>
            <w:r w:rsidRPr="00B85A2E">
              <w:rPr>
                <w:rFonts w:ascii="Arial" w:hAnsi="Arial" w:cs="Arial"/>
                <w:color w:val="000000"/>
                <w:sz w:val="19"/>
                <w:szCs w:val="19"/>
              </w:rPr>
              <w:t> </w:t>
            </w:r>
          </w:p>
        </w:tc>
        <w:tc>
          <w:tcPr>
            <w:tcW w:w="1418"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jc w:val="right"/>
              <w:rPr>
                <w:rFonts w:ascii="Arial" w:hAnsi="Arial" w:cs="Arial"/>
                <w:color w:val="000000"/>
                <w:sz w:val="19"/>
                <w:szCs w:val="19"/>
              </w:rPr>
            </w:pPr>
            <w:r w:rsidRPr="00B85A2E">
              <w:rPr>
                <w:rFonts w:ascii="Arial" w:hAnsi="Arial" w:cs="Arial"/>
                <w:color w:val="000000"/>
                <w:sz w:val="19"/>
                <w:szCs w:val="19"/>
              </w:rPr>
              <w:t>0.099</w:t>
            </w:r>
          </w:p>
        </w:tc>
        <w:tc>
          <w:tcPr>
            <w:tcW w:w="1559"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jc w:val="right"/>
              <w:rPr>
                <w:rFonts w:ascii="Arial" w:hAnsi="Arial" w:cs="Arial"/>
                <w:color w:val="000000"/>
                <w:sz w:val="19"/>
                <w:szCs w:val="19"/>
              </w:rPr>
            </w:pPr>
            <w:r w:rsidRPr="00B85A2E">
              <w:rPr>
                <w:rFonts w:ascii="Arial" w:hAnsi="Arial" w:cs="Arial"/>
                <w:color w:val="000000"/>
                <w:sz w:val="19"/>
                <w:szCs w:val="19"/>
              </w:rPr>
              <w:t>0.099</w:t>
            </w:r>
          </w:p>
        </w:tc>
      </w:tr>
      <w:tr w:rsidR="00BD35D0" w:rsidRPr="00B85A2E" w:rsidTr="00BD35D0">
        <w:trPr>
          <w:trHeight w:val="300"/>
          <w:jc w:val="center"/>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E54B73" w:rsidRPr="00B85A2E" w:rsidRDefault="00E54B73" w:rsidP="00E54B73">
            <w:pPr>
              <w:rPr>
                <w:rFonts w:ascii="Arial" w:hAnsi="Arial" w:cs="Arial"/>
                <w:b/>
                <w:bCs/>
                <w:color w:val="000000"/>
                <w:sz w:val="19"/>
                <w:szCs w:val="19"/>
              </w:rPr>
            </w:pPr>
            <w:r w:rsidRPr="00B85A2E">
              <w:rPr>
                <w:rFonts w:ascii="Arial" w:hAnsi="Arial" w:cs="Arial"/>
                <w:b/>
                <w:bCs/>
                <w:color w:val="000000"/>
                <w:sz w:val="19"/>
                <w:szCs w:val="19"/>
              </w:rPr>
              <w:t>Total (excluding finance charges)</w:t>
            </w:r>
          </w:p>
        </w:tc>
        <w:tc>
          <w:tcPr>
            <w:tcW w:w="1297"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jc w:val="right"/>
              <w:rPr>
                <w:rFonts w:ascii="Arial" w:hAnsi="Arial" w:cs="Arial"/>
                <w:b/>
                <w:bCs/>
                <w:color w:val="000000"/>
                <w:sz w:val="19"/>
                <w:szCs w:val="19"/>
              </w:rPr>
            </w:pPr>
            <w:r w:rsidRPr="00B85A2E">
              <w:rPr>
                <w:rFonts w:ascii="Arial" w:hAnsi="Arial" w:cs="Arial"/>
                <w:b/>
                <w:bCs/>
                <w:color w:val="000000"/>
                <w:sz w:val="19"/>
                <w:szCs w:val="19"/>
              </w:rPr>
              <w:t>10.75</w:t>
            </w:r>
          </w:p>
        </w:tc>
        <w:tc>
          <w:tcPr>
            <w:tcW w:w="1417"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jc w:val="right"/>
              <w:rPr>
                <w:rFonts w:ascii="Arial" w:hAnsi="Arial" w:cs="Arial"/>
                <w:b/>
                <w:bCs/>
                <w:color w:val="000000"/>
                <w:sz w:val="19"/>
                <w:szCs w:val="19"/>
              </w:rPr>
            </w:pPr>
            <w:r w:rsidRPr="00B85A2E">
              <w:rPr>
                <w:rFonts w:ascii="Arial" w:hAnsi="Arial" w:cs="Arial"/>
                <w:b/>
                <w:bCs/>
                <w:color w:val="000000"/>
                <w:sz w:val="19"/>
                <w:szCs w:val="19"/>
              </w:rPr>
              <w:t>6.45</w:t>
            </w:r>
          </w:p>
        </w:tc>
        <w:tc>
          <w:tcPr>
            <w:tcW w:w="1701"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jc w:val="right"/>
              <w:rPr>
                <w:rFonts w:ascii="Arial" w:hAnsi="Arial" w:cs="Arial"/>
                <w:b/>
                <w:bCs/>
                <w:color w:val="000000"/>
                <w:sz w:val="19"/>
                <w:szCs w:val="19"/>
              </w:rPr>
            </w:pPr>
            <w:r w:rsidRPr="00B85A2E">
              <w:rPr>
                <w:rFonts w:ascii="Arial" w:hAnsi="Arial" w:cs="Arial"/>
                <w:b/>
                <w:bCs/>
                <w:color w:val="000000"/>
                <w:sz w:val="19"/>
                <w:szCs w:val="19"/>
              </w:rPr>
              <w:t>10.65</w:t>
            </w:r>
          </w:p>
        </w:tc>
        <w:tc>
          <w:tcPr>
            <w:tcW w:w="1418"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jc w:val="right"/>
              <w:rPr>
                <w:rFonts w:ascii="Arial" w:hAnsi="Arial" w:cs="Arial"/>
                <w:b/>
                <w:bCs/>
                <w:color w:val="000000"/>
                <w:sz w:val="19"/>
                <w:szCs w:val="19"/>
              </w:rPr>
            </w:pPr>
            <w:r w:rsidRPr="00B85A2E">
              <w:rPr>
                <w:rFonts w:ascii="Arial" w:hAnsi="Arial" w:cs="Arial"/>
                <w:b/>
                <w:bCs/>
                <w:color w:val="000000"/>
                <w:sz w:val="19"/>
                <w:szCs w:val="19"/>
              </w:rPr>
              <w:t>0.104</w:t>
            </w:r>
          </w:p>
        </w:tc>
        <w:tc>
          <w:tcPr>
            <w:tcW w:w="1559"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jc w:val="right"/>
              <w:rPr>
                <w:rFonts w:ascii="Arial" w:hAnsi="Arial" w:cs="Arial"/>
                <w:b/>
                <w:bCs/>
                <w:color w:val="000000"/>
                <w:sz w:val="19"/>
                <w:szCs w:val="19"/>
              </w:rPr>
            </w:pPr>
            <w:r w:rsidRPr="00B85A2E">
              <w:rPr>
                <w:rFonts w:ascii="Arial" w:hAnsi="Arial" w:cs="Arial"/>
                <w:b/>
                <w:bCs/>
                <w:color w:val="000000"/>
                <w:sz w:val="19"/>
                <w:szCs w:val="19"/>
              </w:rPr>
              <w:t>0.104</w:t>
            </w:r>
          </w:p>
        </w:tc>
      </w:tr>
      <w:tr w:rsidR="00E54B73" w:rsidRPr="00B85A2E" w:rsidTr="00BD35D0">
        <w:trPr>
          <w:trHeight w:val="300"/>
          <w:jc w:val="center"/>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E54B73" w:rsidRPr="00B85A2E" w:rsidRDefault="00E54B73" w:rsidP="00E54B73">
            <w:pPr>
              <w:rPr>
                <w:rFonts w:ascii="Arial" w:hAnsi="Arial" w:cs="Arial"/>
                <w:color w:val="000000"/>
                <w:sz w:val="19"/>
                <w:szCs w:val="19"/>
              </w:rPr>
            </w:pPr>
            <w:r w:rsidRPr="00B85A2E">
              <w:rPr>
                <w:rFonts w:ascii="Arial" w:hAnsi="Arial" w:cs="Arial"/>
                <w:color w:val="000000"/>
                <w:sz w:val="19"/>
                <w:szCs w:val="19"/>
              </w:rPr>
              <w:t>Finance charges</w:t>
            </w:r>
          </w:p>
        </w:tc>
        <w:tc>
          <w:tcPr>
            <w:tcW w:w="1297"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jc w:val="right"/>
              <w:rPr>
                <w:rFonts w:ascii="Arial" w:hAnsi="Arial" w:cs="Arial"/>
                <w:color w:val="000000"/>
                <w:sz w:val="19"/>
                <w:szCs w:val="19"/>
              </w:rPr>
            </w:pPr>
            <w:r w:rsidRPr="00B85A2E">
              <w:rPr>
                <w:rFonts w:ascii="Arial" w:hAnsi="Arial" w:cs="Arial"/>
                <w:color w:val="000000"/>
                <w:sz w:val="19"/>
                <w:szCs w:val="19"/>
              </w:rPr>
              <w:t>0.25</w:t>
            </w:r>
          </w:p>
        </w:tc>
        <w:tc>
          <w:tcPr>
            <w:tcW w:w="1417"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rPr>
                <w:rFonts w:ascii="Arial" w:hAnsi="Arial" w:cs="Arial"/>
                <w:color w:val="000000"/>
                <w:sz w:val="19"/>
                <w:szCs w:val="19"/>
              </w:rPr>
            </w:pPr>
            <w:r w:rsidRPr="00B85A2E">
              <w:rPr>
                <w:rFonts w:ascii="Arial" w:hAnsi="Arial" w:cs="Arial"/>
                <w:color w:val="000000"/>
                <w:sz w:val="19"/>
                <w:szCs w:val="19"/>
              </w:rPr>
              <w:t> </w:t>
            </w:r>
          </w:p>
        </w:tc>
        <w:tc>
          <w:tcPr>
            <w:tcW w:w="1701"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rPr>
                <w:rFonts w:ascii="Arial" w:hAnsi="Arial" w:cs="Arial"/>
                <w:color w:val="000000"/>
                <w:sz w:val="19"/>
                <w:szCs w:val="19"/>
              </w:rPr>
            </w:pPr>
            <w:r w:rsidRPr="00B85A2E">
              <w:rPr>
                <w:rFonts w:ascii="Arial" w:hAnsi="Arial" w:cs="Arial"/>
                <w:color w:val="000000"/>
                <w:sz w:val="19"/>
                <w:szCs w:val="19"/>
              </w:rPr>
              <w:t> </w:t>
            </w:r>
          </w:p>
        </w:tc>
        <w:tc>
          <w:tcPr>
            <w:tcW w:w="1418"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rPr>
                <w:rFonts w:ascii="Arial" w:hAnsi="Arial" w:cs="Arial"/>
                <w:color w:val="000000"/>
                <w:sz w:val="19"/>
                <w:szCs w:val="19"/>
              </w:rPr>
            </w:pPr>
            <w:r w:rsidRPr="00B85A2E">
              <w:rPr>
                <w:rFonts w:ascii="Arial" w:hAnsi="Arial" w:cs="Arial"/>
                <w:color w:val="000000"/>
                <w:sz w:val="19"/>
                <w:szCs w:val="19"/>
              </w:rPr>
              <w:t> </w:t>
            </w:r>
          </w:p>
        </w:tc>
        <w:tc>
          <w:tcPr>
            <w:tcW w:w="1559"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rPr>
                <w:rFonts w:ascii="Arial" w:hAnsi="Arial" w:cs="Arial"/>
                <w:color w:val="000000"/>
                <w:sz w:val="19"/>
                <w:szCs w:val="19"/>
              </w:rPr>
            </w:pPr>
            <w:r w:rsidRPr="00B85A2E">
              <w:rPr>
                <w:rFonts w:ascii="Arial" w:hAnsi="Arial" w:cs="Arial"/>
                <w:color w:val="000000"/>
                <w:sz w:val="19"/>
                <w:szCs w:val="19"/>
              </w:rPr>
              <w:t> </w:t>
            </w:r>
          </w:p>
        </w:tc>
      </w:tr>
      <w:tr w:rsidR="00BD35D0" w:rsidRPr="00B85A2E" w:rsidTr="00BD35D0">
        <w:trPr>
          <w:trHeight w:val="300"/>
          <w:jc w:val="center"/>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E54B73" w:rsidRPr="00B85A2E" w:rsidRDefault="00E54B73" w:rsidP="00E54B73">
            <w:pPr>
              <w:rPr>
                <w:rFonts w:ascii="Arial" w:hAnsi="Arial" w:cs="Arial"/>
                <w:b/>
                <w:bCs/>
                <w:color w:val="000000"/>
                <w:sz w:val="19"/>
                <w:szCs w:val="19"/>
              </w:rPr>
            </w:pPr>
            <w:r w:rsidRPr="00B85A2E">
              <w:rPr>
                <w:rFonts w:ascii="Arial" w:hAnsi="Arial" w:cs="Arial"/>
                <w:b/>
                <w:bCs/>
                <w:color w:val="000000"/>
                <w:sz w:val="19"/>
                <w:szCs w:val="19"/>
              </w:rPr>
              <w:t>Total</w:t>
            </w:r>
          </w:p>
        </w:tc>
        <w:tc>
          <w:tcPr>
            <w:tcW w:w="1297"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jc w:val="right"/>
              <w:rPr>
                <w:rFonts w:ascii="Arial" w:hAnsi="Arial" w:cs="Arial"/>
                <w:b/>
                <w:bCs/>
                <w:color w:val="000000"/>
                <w:sz w:val="19"/>
                <w:szCs w:val="19"/>
              </w:rPr>
            </w:pPr>
            <w:r w:rsidRPr="00B85A2E">
              <w:rPr>
                <w:rFonts w:ascii="Arial" w:hAnsi="Arial" w:cs="Arial"/>
                <w:b/>
                <w:bCs/>
                <w:color w:val="000000"/>
                <w:sz w:val="19"/>
                <w:szCs w:val="19"/>
              </w:rPr>
              <w:t>11.00</w:t>
            </w:r>
          </w:p>
        </w:tc>
        <w:tc>
          <w:tcPr>
            <w:tcW w:w="1417"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rPr>
                <w:rFonts w:ascii="Arial" w:hAnsi="Arial" w:cs="Arial"/>
                <w:b/>
                <w:bCs/>
                <w:color w:val="000000"/>
                <w:sz w:val="19"/>
                <w:szCs w:val="19"/>
              </w:rPr>
            </w:pPr>
            <w:r w:rsidRPr="00B85A2E">
              <w:rPr>
                <w:rFonts w:ascii="Arial" w:hAnsi="Arial" w:cs="Arial"/>
                <w:b/>
                <w:bCs/>
                <w:color w:val="000000"/>
                <w:sz w:val="19"/>
                <w:szCs w:val="19"/>
              </w:rPr>
              <w:t> </w:t>
            </w:r>
          </w:p>
        </w:tc>
        <w:tc>
          <w:tcPr>
            <w:tcW w:w="1701"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rPr>
                <w:rFonts w:ascii="Arial" w:hAnsi="Arial" w:cs="Arial"/>
                <w:b/>
                <w:bCs/>
                <w:color w:val="000000"/>
                <w:sz w:val="19"/>
                <w:szCs w:val="19"/>
              </w:rPr>
            </w:pPr>
            <w:r w:rsidRPr="00B85A2E">
              <w:rPr>
                <w:rFonts w:ascii="Arial" w:hAnsi="Arial" w:cs="Arial"/>
                <w:b/>
                <w:bCs/>
                <w:color w:val="000000"/>
                <w:sz w:val="19"/>
                <w:szCs w:val="19"/>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54B73" w:rsidRPr="00B85A2E" w:rsidRDefault="00E54B73" w:rsidP="00E54B73">
            <w:pPr>
              <w:rPr>
                <w:rFonts w:ascii="Arial" w:hAnsi="Arial" w:cs="Arial"/>
                <w:b/>
                <w:bCs/>
                <w:color w:val="000000"/>
                <w:sz w:val="19"/>
                <w:szCs w:val="19"/>
              </w:rPr>
            </w:pPr>
            <w:r w:rsidRPr="00B85A2E">
              <w:rPr>
                <w:rFonts w:ascii="Arial" w:hAnsi="Arial" w:cs="Arial"/>
                <w:b/>
                <w:bCs/>
                <w:color w:val="000000"/>
                <w:sz w:val="19"/>
                <w:szCs w:val="19"/>
              </w:rPr>
              <w:t> </w:t>
            </w:r>
          </w:p>
        </w:tc>
        <w:tc>
          <w:tcPr>
            <w:tcW w:w="1559" w:type="dxa"/>
            <w:tcBorders>
              <w:top w:val="nil"/>
              <w:left w:val="nil"/>
              <w:bottom w:val="single" w:sz="4" w:space="0" w:color="auto"/>
              <w:right w:val="single" w:sz="4" w:space="0" w:color="auto"/>
            </w:tcBorders>
            <w:shd w:val="clear" w:color="auto" w:fill="auto"/>
            <w:noWrap/>
            <w:vAlign w:val="bottom"/>
            <w:hideMark/>
          </w:tcPr>
          <w:p w:rsidR="00E54B73" w:rsidRPr="00B85A2E" w:rsidRDefault="00E54B73" w:rsidP="00E54B73">
            <w:pPr>
              <w:rPr>
                <w:rFonts w:ascii="Arial" w:hAnsi="Arial" w:cs="Arial"/>
                <w:b/>
                <w:bCs/>
                <w:color w:val="000000"/>
                <w:sz w:val="19"/>
                <w:szCs w:val="19"/>
              </w:rPr>
            </w:pPr>
            <w:r w:rsidRPr="00B85A2E">
              <w:rPr>
                <w:rFonts w:ascii="Arial" w:hAnsi="Arial" w:cs="Arial"/>
                <w:b/>
                <w:bCs/>
                <w:color w:val="000000"/>
                <w:sz w:val="19"/>
                <w:szCs w:val="19"/>
              </w:rPr>
              <w:t> </w:t>
            </w:r>
          </w:p>
        </w:tc>
      </w:tr>
    </w:tbl>
    <w:p w:rsidR="00D113E1" w:rsidRDefault="00D113E1" w:rsidP="00D113E1">
      <w:pPr>
        <w:rPr>
          <w:rFonts w:ascii="Arial" w:hAnsi="Arial" w:cs="Arial"/>
          <w:b/>
          <w:sz w:val="18"/>
          <w:szCs w:val="18"/>
        </w:rPr>
      </w:pPr>
    </w:p>
    <w:p w:rsidR="00D113E1" w:rsidRPr="00D113E1" w:rsidRDefault="00D113E1" w:rsidP="00D113E1">
      <w:pPr>
        <w:ind w:left="1560"/>
        <w:rPr>
          <w:rFonts w:ascii="Arial" w:hAnsi="Arial" w:cs="Arial"/>
          <w:b/>
          <w:sz w:val="12"/>
          <w:szCs w:val="12"/>
        </w:rPr>
      </w:pPr>
      <w:r w:rsidRPr="00D113E1">
        <w:rPr>
          <w:rFonts w:ascii="Arial" w:hAnsi="Arial" w:cs="Arial"/>
          <w:b/>
          <w:sz w:val="18"/>
          <w:szCs w:val="18"/>
        </w:rPr>
        <w:t>Source:</w:t>
      </w:r>
      <w:r w:rsidRPr="00D113E1">
        <w:rPr>
          <w:rFonts w:ascii="Arial" w:hAnsi="Arial" w:cs="Arial"/>
          <w:sz w:val="18"/>
          <w:szCs w:val="18"/>
        </w:rPr>
        <w:t xml:space="preserve"> HHRSDP, </w:t>
      </w:r>
      <w:r>
        <w:rPr>
          <w:rFonts w:ascii="Arial" w:hAnsi="Arial" w:cs="Arial"/>
          <w:sz w:val="18"/>
          <w:szCs w:val="18"/>
        </w:rPr>
        <w:t>Finance Unit</w:t>
      </w:r>
    </w:p>
    <w:p w:rsidR="00E54B73" w:rsidRPr="00E65146" w:rsidRDefault="00E54B73" w:rsidP="004772A2">
      <w:pPr>
        <w:rPr>
          <w:rFonts w:ascii="Arial" w:hAnsi="Arial" w:cs="Arial"/>
          <w:b/>
          <w:color w:val="000000"/>
        </w:rPr>
      </w:pPr>
    </w:p>
    <w:p w:rsidR="00F451AD" w:rsidRPr="00E65146" w:rsidRDefault="00F451AD" w:rsidP="004772A2">
      <w:pPr>
        <w:rPr>
          <w:rFonts w:ascii="Arial" w:hAnsi="Arial" w:cs="Arial"/>
          <w:b/>
          <w:color w:val="000000"/>
        </w:rPr>
      </w:pPr>
    </w:p>
    <w:p w:rsidR="00D113E1" w:rsidRDefault="00D113E1">
      <w:pPr>
        <w:rPr>
          <w:rFonts w:ascii="Arial" w:hAnsi="Arial" w:cs="Arial"/>
          <w:b/>
          <w:color w:val="000000"/>
        </w:rPr>
      </w:pPr>
      <w:r>
        <w:rPr>
          <w:rFonts w:ascii="Arial" w:hAnsi="Arial" w:cs="Arial"/>
          <w:b/>
          <w:color w:val="000000"/>
        </w:rPr>
        <w:br w:type="page"/>
      </w:r>
    </w:p>
    <w:p w:rsidR="004772A2" w:rsidRPr="00E65146" w:rsidRDefault="004772A2" w:rsidP="00BF1C94">
      <w:pPr>
        <w:spacing w:before="240" w:after="120"/>
        <w:jc w:val="center"/>
        <w:rPr>
          <w:rFonts w:ascii="Arial" w:hAnsi="Arial" w:cs="Arial"/>
          <w:b/>
          <w:color w:val="000000"/>
        </w:rPr>
      </w:pPr>
      <w:r w:rsidRPr="00E65146">
        <w:rPr>
          <w:rFonts w:ascii="Arial" w:hAnsi="Arial" w:cs="Arial"/>
          <w:b/>
          <w:color w:val="000000"/>
        </w:rPr>
        <w:t>Table 9.4: Total disbursements against elapsed project period ($m)</w:t>
      </w:r>
    </w:p>
    <w:tbl>
      <w:tblPr>
        <w:tblW w:w="11451" w:type="dxa"/>
        <w:jc w:val="center"/>
        <w:tblLayout w:type="fixed"/>
        <w:tblLook w:val="04A0" w:firstRow="1" w:lastRow="0" w:firstColumn="1" w:lastColumn="0" w:noHBand="0" w:noVBand="1"/>
      </w:tblPr>
      <w:tblGrid>
        <w:gridCol w:w="3000"/>
        <w:gridCol w:w="362"/>
        <w:gridCol w:w="1622"/>
        <w:gridCol w:w="504"/>
        <w:gridCol w:w="977"/>
        <w:gridCol w:w="866"/>
        <w:gridCol w:w="1055"/>
        <w:gridCol w:w="1105"/>
        <w:gridCol w:w="357"/>
        <w:gridCol w:w="1603"/>
      </w:tblGrid>
      <w:tr w:rsidR="00B86DE4" w:rsidRPr="00E65146" w:rsidTr="00D25E8E">
        <w:trPr>
          <w:gridAfter w:val="1"/>
          <w:wAfter w:w="1603" w:type="dxa"/>
          <w:trHeight w:val="540"/>
          <w:jc w:val="center"/>
        </w:trPr>
        <w:tc>
          <w:tcPr>
            <w:tcW w:w="30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86DE4" w:rsidRPr="00451333" w:rsidRDefault="00B86DE4" w:rsidP="00B86DE4">
            <w:pPr>
              <w:jc w:val="center"/>
              <w:rPr>
                <w:rFonts w:ascii="Arial" w:hAnsi="Arial" w:cs="Arial"/>
                <w:b/>
                <w:bCs/>
                <w:color w:val="000000"/>
                <w:sz w:val="19"/>
                <w:szCs w:val="19"/>
              </w:rPr>
            </w:pPr>
            <w:r w:rsidRPr="00451333">
              <w:rPr>
                <w:rFonts w:ascii="Arial" w:hAnsi="Arial" w:cs="Arial"/>
                <w:b/>
                <w:bCs/>
                <w:color w:val="000000"/>
                <w:sz w:val="19"/>
                <w:szCs w:val="19"/>
              </w:rPr>
              <w:t>Dates</w:t>
            </w:r>
          </w:p>
        </w:tc>
        <w:tc>
          <w:tcPr>
            <w:tcW w:w="1984"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86DE4" w:rsidRPr="00451333" w:rsidRDefault="00B86DE4" w:rsidP="00B86DE4">
            <w:pPr>
              <w:jc w:val="center"/>
              <w:rPr>
                <w:rFonts w:ascii="Arial" w:hAnsi="Arial" w:cs="Arial"/>
                <w:b/>
                <w:bCs/>
                <w:color w:val="000000"/>
                <w:sz w:val="19"/>
                <w:szCs w:val="19"/>
              </w:rPr>
            </w:pPr>
            <w:r w:rsidRPr="00451333">
              <w:rPr>
                <w:rFonts w:ascii="Arial" w:hAnsi="Arial" w:cs="Arial"/>
                <w:b/>
                <w:bCs/>
                <w:color w:val="000000"/>
                <w:sz w:val="19"/>
                <w:szCs w:val="19"/>
              </w:rPr>
              <w:t xml:space="preserve">Cumulative Disbursed </w:t>
            </w:r>
          </w:p>
        </w:tc>
        <w:tc>
          <w:tcPr>
            <w:tcW w:w="1481"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86DE4" w:rsidRPr="00451333" w:rsidRDefault="00B86DE4" w:rsidP="00B86DE4">
            <w:pPr>
              <w:jc w:val="center"/>
              <w:rPr>
                <w:rFonts w:ascii="Arial" w:hAnsi="Arial" w:cs="Arial"/>
                <w:b/>
                <w:bCs/>
                <w:color w:val="000000"/>
                <w:sz w:val="19"/>
                <w:szCs w:val="19"/>
              </w:rPr>
            </w:pPr>
            <w:r w:rsidRPr="00451333">
              <w:rPr>
                <w:rFonts w:ascii="Arial" w:hAnsi="Arial" w:cs="Arial"/>
                <w:b/>
                <w:bCs/>
                <w:color w:val="000000"/>
                <w:sz w:val="19"/>
                <w:szCs w:val="19"/>
              </w:rPr>
              <w:t xml:space="preserve">Cumulative % Disbursed </w:t>
            </w:r>
          </w:p>
        </w:tc>
        <w:tc>
          <w:tcPr>
            <w:tcW w:w="1921"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86DE4" w:rsidRPr="00451333" w:rsidRDefault="00B86DE4" w:rsidP="00B86DE4">
            <w:pPr>
              <w:jc w:val="center"/>
              <w:rPr>
                <w:rFonts w:ascii="Arial" w:hAnsi="Arial" w:cs="Arial"/>
                <w:b/>
                <w:bCs/>
                <w:color w:val="000000"/>
                <w:sz w:val="19"/>
                <w:szCs w:val="19"/>
              </w:rPr>
            </w:pPr>
            <w:r w:rsidRPr="00451333">
              <w:rPr>
                <w:rFonts w:ascii="Arial" w:hAnsi="Arial" w:cs="Arial"/>
                <w:b/>
                <w:bCs/>
                <w:color w:val="000000"/>
                <w:sz w:val="19"/>
                <w:szCs w:val="19"/>
              </w:rPr>
              <w:t xml:space="preserve">Elapsed Project Period (months) </w:t>
            </w:r>
            <w:r w:rsidRPr="00451333">
              <w:rPr>
                <w:rFonts w:ascii="Arial" w:hAnsi="Arial" w:cs="Arial"/>
                <w:b/>
                <w:bCs/>
                <w:color w:val="000000"/>
                <w:sz w:val="19"/>
                <w:szCs w:val="19"/>
                <w:vertAlign w:val="superscript"/>
              </w:rPr>
              <w:t>a</w:t>
            </w:r>
          </w:p>
        </w:tc>
        <w:tc>
          <w:tcPr>
            <w:tcW w:w="1462"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86DE4" w:rsidRPr="00451333" w:rsidRDefault="00B86DE4" w:rsidP="00B86DE4">
            <w:pPr>
              <w:jc w:val="center"/>
              <w:rPr>
                <w:rFonts w:ascii="Arial" w:hAnsi="Arial" w:cs="Arial"/>
                <w:b/>
                <w:bCs/>
                <w:color w:val="000000"/>
                <w:sz w:val="19"/>
                <w:szCs w:val="19"/>
              </w:rPr>
            </w:pPr>
            <w:r w:rsidRPr="00451333">
              <w:rPr>
                <w:rFonts w:ascii="Arial" w:hAnsi="Arial" w:cs="Arial"/>
                <w:b/>
                <w:bCs/>
                <w:color w:val="000000"/>
                <w:sz w:val="19"/>
                <w:szCs w:val="19"/>
              </w:rPr>
              <w:t xml:space="preserve">% Elapsed Loan Period </w:t>
            </w:r>
          </w:p>
        </w:tc>
      </w:tr>
      <w:tr w:rsidR="00B86DE4" w:rsidRPr="00E65146" w:rsidTr="00D25E8E">
        <w:trPr>
          <w:gridAfter w:val="1"/>
          <w:wAfter w:w="1603" w:type="dxa"/>
          <w:trHeight w:val="255"/>
          <w:jc w:val="center"/>
        </w:trPr>
        <w:tc>
          <w:tcPr>
            <w:tcW w:w="30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86DE4" w:rsidRPr="00451333" w:rsidRDefault="00B86DE4" w:rsidP="00B86DE4">
            <w:pPr>
              <w:jc w:val="both"/>
              <w:rPr>
                <w:rFonts w:ascii="Arial" w:hAnsi="Arial" w:cs="Arial"/>
                <w:color w:val="000000"/>
                <w:sz w:val="19"/>
                <w:szCs w:val="19"/>
              </w:rPr>
            </w:pPr>
            <w:r w:rsidRPr="00451333">
              <w:rPr>
                <w:rFonts w:ascii="Arial" w:hAnsi="Arial" w:cs="Arial"/>
                <w:color w:val="000000"/>
                <w:sz w:val="19"/>
                <w:szCs w:val="19"/>
              </w:rPr>
              <w:t>31 December 2011</w:t>
            </w:r>
          </w:p>
        </w:tc>
        <w:tc>
          <w:tcPr>
            <w:tcW w:w="1984"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86DE4" w:rsidRPr="00451333" w:rsidRDefault="00B86DE4" w:rsidP="008720BC">
            <w:pPr>
              <w:ind w:right="34"/>
              <w:jc w:val="right"/>
              <w:rPr>
                <w:rFonts w:ascii="Arial" w:hAnsi="Arial" w:cs="Arial"/>
                <w:color w:val="000000"/>
                <w:sz w:val="19"/>
                <w:szCs w:val="19"/>
              </w:rPr>
            </w:pPr>
            <w:r w:rsidRPr="00451333">
              <w:rPr>
                <w:rFonts w:ascii="Arial" w:hAnsi="Arial" w:cs="Arial"/>
                <w:color w:val="000000"/>
                <w:sz w:val="19"/>
                <w:szCs w:val="19"/>
              </w:rPr>
              <w:t xml:space="preserve">0.21 </w:t>
            </w:r>
          </w:p>
        </w:tc>
        <w:tc>
          <w:tcPr>
            <w:tcW w:w="1481"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86DE4" w:rsidRPr="00451333" w:rsidRDefault="00B86DE4" w:rsidP="00B86DE4">
            <w:pPr>
              <w:jc w:val="right"/>
              <w:rPr>
                <w:rFonts w:ascii="Arial" w:hAnsi="Arial" w:cs="Arial"/>
                <w:color w:val="000000"/>
                <w:sz w:val="19"/>
                <w:szCs w:val="19"/>
              </w:rPr>
            </w:pPr>
            <w:r w:rsidRPr="00451333">
              <w:rPr>
                <w:rFonts w:ascii="Arial" w:hAnsi="Arial" w:cs="Arial"/>
                <w:color w:val="000000"/>
                <w:sz w:val="19"/>
                <w:szCs w:val="19"/>
              </w:rPr>
              <w:t>0.5%</w:t>
            </w:r>
          </w:p>
        </w:tc>
        <w:tc>
          <w:tcPr>
            <w:tcW w:w="1921"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86DE4" w:rsidRPr="00451333" w:rsidRDefault="00B86DE4" w:rsidP="00B86DE4">
            <w:pPr>
              <w:jc w:val="center"/>
              <w:rPr>
                <w:rFonts w:ascii="Arial" w:hAnsi="Arial" w:cs="Arial"/>
                <w:color w:val="000000"/>
                <w:sz w:val="19"/>
                <w:szCs w:val="19"/>
              </w:rPr>
            </w:pPr>
            <w:r w:rsidRPr="00451333">
              <w:rPr>
                <w:rFonts w:ascii="Arial" w:hAnsi="Arial" w:cs="Arial"/>
                <w:color w:val="000000"/>
                <w:sz w:val="19"/>
                <w:szCs w:val="19"/>
              </w:rPr>
              <w:t>12</w:t>
            </w:r>
          </w:p>
        </w:tc>
        <w:tc>
          <w:tcPr>
            <w:tcW w:w="1462"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86DE4" w:rsidRPr="00451333" w:rsidRDefault="00B86DE4" w:rsidP="00B86DE4">
            <w:pPr>
              <w:jc w:val="center"/>
              <w:rPr>
                <w:rFonts w:ascii="Arial" w:hAnsi="Arial" w:cs="Arial"/>
                <w:color w:val="000000"/>
                <w:sz w:val="19"/>
                <w:szCs w:val="19"/>
              </w:rPr>
            </w:pPr>
            <w:r w:rsidRPr="00451333">
              <w:rPr>
                <w:rFonts w:ascii="Arial" w:hAnsi="Arial" w:cs="Arial"/>
                <w:color w:val="000000"/>
                <w:sz w:val="19"/>
                <w:szCs w:val="19"/>
              </w:rPr>
              <w:t>18%</w:t>
            </w:r>
          </w:p>
        </w:tc>
      </w:tr>
      <w:tr w:rsidR="00B86DE4" w:rsidRPr="00E65146" w:rsidTr="00D25E8E">
        <w:trPr>
          <w:gridAfter w:val="1"/>
          <w:wAfter w:w="1603" w:type="dxa"/>
          <w:trHeight w:val="255"/>
          <w:jc w:val="center"/>
        </w:trPr>
        <w:tc>
          <w:tcPr>
            <w:tcW w:w="30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86DE4" w:rsidRPr="00451333" w:rsidRDefault="00B86DE4" w:rsidP="00B86DE4">
            <w:pPr>
              <w:jc w:val="both"/>
              <w:rPr>
                <w:rFonts w:ascii="Arial" w:hAnsi="Arial" w:cs="Arial"/>
                <w:color w:val="000000"/>
                <w:sz w:val="19"/>
                <w:szCs w:val="19"/>
              </w:rPr>
            </w:pPr>
            <w:r w:rsidRPr="00451333">
              <w:rPr>
                <w:rFonts w:ascii="Arial" w:hAnsi="Arial" w:cs="Arial"/>
                <w:color w:val="000000"/>
                <w:sz w:val="19"/>
                <w:szCs w:val="19"/>
              </w:rPr>
              <w:t>31 December 2012</w:t>
            </w:r>
          </w:p>
        </w:tc>
        <w:tc>
          <w:tcPr>
            <w:tcW w:w="1984"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86DE4" w:rsidRPr="00451333" w:rsidRDefault="00B86DE4" w:rsidP="008720BC">
            <w:pPr>
              <w:ind w:right="34"/>
              <w:jc w:val="right"/>
              <w:rPr>
                <w:rFonts w:ascii="Arial" w:hAnsi="Arial" w:cs="Arial"/>
                <w:color w:val="000000"/>
                <w:sz w:val="19"/>
                <w:szCs w:val="19"/>
              </w:rPr>
            </w:pPr>
            <w:r w:rsidRPr="00451333">
              <w:rPr>
                <w:rFonts w:ascii="Arial" w:hAnsi="Arial" w:cs="Arial"/>
                <w:color w:val="000000"/>
                <w:sz w:val="19"/>
                <w:szCs w:val="19"/>
              </w:rPr>
              <w:t xml:space="preserve">         1.44 </w:t>
            </w:r>
          </w:p>
        </w:tc>
        <w:tc>
          <w:tcPr>
            <w:tcW w:w="1481"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86DE4" w:rsidRPr="00451333" w:rsidRDefault="00B86DE4" w:rsidP="00B86DE4">
            <w:pPr>
              <w:jc w:val="right"/>
              <w:rPr>
                <w:rFonts w:ascii="Arial" w:hAnsi="Arial" w:cs="Arial"/>
                <w:color w:val="000000"/>
                <w:sz w:val="19"/>
                <w:szCs w:val="19"/>
              </w:rPr>
            </w:pPr>
            <w:r w:rsidRPr="00451333">
              <w:rPr>
                <w:rFonts w:ascii="Arial" w:hAnsi="Arial" w:cs="Arial"/>
                <w:color w:val="000000"/>
                <w:sz w:val="19"/>
                <w:szCs w:val="19"/>
              </w:rPr>
              <w:t>3.6%</w:t>
            </w:r>
          </w:p>
        </w:tc>
        <w:tc>
          <w:tcPr>
            <w:tcW w:w="1921"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86DE4" w:rsidRPr="00451333" w:rsidRDefault="00B86DE4" w:rsidP="00B86DE4">
            <w:pPr>
              <w:jc w:val="center"/>
              <w:rPr>
                <w:rFonts w:ascii="Arial" w:hAnsi="Arial" w:cs="Arial"/>
                <w:color w:val="000000"/>
                <w:sz w:val="19"/>
                <w:szCs w:val="19"/>
              </w:rPr>
            </w:pPr>
            <w:r w:rsidRPr="00451333">
              <w:rPr>
                <w:rFonts w:ascii="Arial" w:hAnsi="Arial" w:cs="Arial"/>
                <w:color w:val="000000"/>
                <w:sz w:val="19"/>
                <w:szCs w:val="19"/>
              </w:rPr>
              <w:t>24</w:t>
            </w:r>
          </w:p>
        </w:tc>
        <w:tc>
          <w:tcPr>
            <w:tcW w:w="1462"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86DE4" w:rsidRPr="00451333" w:rsidRDefault="00B86DE4" w:rsidP="00B86DE4">
            <w:pPr>
              <w:jc w:val="center"/>
              <w:rPr>
                <w:rFonts w:ascii="Arial" w:hAnsi="Arial" w:cs="Arial"/>
                <w:color w:val="000000"/>
                <w:sz w:val="19"/>
                <w:szCs w:val="19"/>
              </w:rPr>
            </w:pPr>
            <w:r w:rsidRPr="00451333">
              <w:rPr>
                <w:rFonts w:ascii="Arial" w:hAnsi="Arial" w:cs="Arial"/>
                <w:color w:val="000000"/>
                <w:sz w:val="19"/>
                <w:szCs w:val="19"/>
              </w:rPr>
              <w:t>36%</w:t>
            </w:r>
          </w:p>
        </w:tc>
      </w:tr>
      <w:tr w:rsidR="00B86DE4" w:rsidRPr="00E65146" w:rsidTr="00D25E8E">
        <w:trPr>
          <w:gridAfter w:val="1"/>
          <w:wAfter w:w="1603" w:type="dxa"/>
          <w:trHeight w:val="255"/>
          <w:jc w:val="center"/>
        </w:trPr>
        <w:tc>
          <w:tcPr>
            <w:tcW w:w="30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86DE4" w:rsidRPr="00451333" w:rsidRDefault="00B86DE4" w:rsidP="00B86DE4">
            <w:pPr>
              <w:jc w:val="both"/>
              <w:rPr>
                <w:rFonts w:ascii="Arial" w:hAnsi="Arial" w:cs="Arial"/>
                <w:color w:val="000000"/>
                <w:sz w:val="19"/>
                <w:szCs w:val="19"/>
              </w:rPr>
            </w:pPr>
            <w:r w:rsidRPr="00451333">
              <w:rPr>
                <w:rFonts w:ascii="Arial" w:hAnsi="Arial" w:cs="Arial"/>
                <w:color w:val="000000"/>
                <w:sz w:val="19"/>
                <w:szCs w:val="19"/>
              </w:rPr>
              <w:t>31 December 2013</w:t>
            </w:r>
          </w:p>
        </w:tc>
        <w:tc>
          <w:tcPr>
            <w:tcW w:w="1984"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86DE4" w:rsidRPr="00451333" w:rsidRDefault="00B86DE4" w:rsidP="008720BC">
            <w:pPr>
              <w:ind w:right="34"/>
              <w:jc w:val="right"/>
              <w:rPr>
                <w:rFonts w:ascii="Arial" w:hAnsi="Arial" w:cs="Arial"/>
                <w:color w:val="000000"/>
                <w:sz w:val="19"/>
                <w:szCs w:val="19"/>
              </w:rPr>
            </w:pPr>
            <w:r w:rsidRPr="00451333">
              <w:rPr>
                <w:rFonts w:ascii="Arial" w:hAnsi="Arial" w:cs="Arial"/>
                <w:color w:val="000000"/>
                <w:sz w:val="19"/>
                <w:szCs w:val="19"/>
              </w:rPr>
              <w:t xml:space="preserve">                         5.06 </w:t>
            </w:r>
          </w:p>
        </w:tc>
        <w:tc>
          <w:tcPr>
            <w:tcW w:w="1481"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86DE4" w:rsidRPr="00451333" w:rsidRDefault="00B86DE4" w:rsidP="00B86DE4">
            <w:pPr>
              <w:jc w:val="right"/>
              <w:rPr>
                <w:rFonts w:ascii="Arial" w:hAnsi="Arial" w:cs="Arial"/>
                <w:color w:val="000000"/>
                <w:sz w:val="19"/>
                <w:szCs w:val="19"/>
              </w:rPr>
            </w:pPr>
            <w:r w:rsidRPr="00451333">
              <w:rPr>
                <w:rFonts w:ascii="Arial" w:hAnsi="Arial" w:cs="Arial"/>
                <w:color w:val="000000"/>
                <w:sz w:val="19"/>
                <w:szCs w:val="19"/>
              </w:rPr>
              <w:t>12.7%</w:t>
            </w:r>
          </w:p>
        </w:tc>
        <w:tc>
          <w:tcPr>
            <w:tcW w:w="1921"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86DE4" w:rsidRPr="00451333" w:rsidRDefault="00B86DE4" w:rsidP="00B86DE4">
            <w:pPr>
              <w:jc w:val="center"/>
              <w:rPr>
                <w:rFonts w:ascii="Arial" w:hAnsi="Arial" w:cs="Arial"/>
                <w:color w:val="000000"/>
                <w:sz w:val="19"/>
                <w:szCs w:val="19"/>
              </w:rPr>
            </w:pPr>
            <w:r w:rsidRPr="00451333">
              <w:rPr>
                <w:rFonts w:ascii="Arial" w:hAnsi="Arial" w:cs="Arial"/>
                <w:color w:val="000000"/>
                <w:sz w:val="19"/>
                <w:szCs w:val="19"/>
              </w:rPr>
              <w:t>36</w:t>
            </w:r>
          </w:p>
        </w:tc>
        <w:tc>
          <w:tcPr>
            <w:tcW w:w="1462"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86DE4" w:rsidRPr="00451333" w:rsidRDefault="00B86DE4" w:rsidP="00B86DE4">
            <w:pPr>
              <w:jc w:val="center"/>
              <w:rPr>
                <w:rFonts w:ascii="Arial" w:hAnsi="Arial" w:cs="Arial"/>
                <w:color w:val="000000"/>
                <w:sz w:val="19"/>
                <w:szCs w:val="19"/>
              </w:rPr>
            </w:pPr>
            <w:r w:rsidRPr="00451333">
              <w:rPr>
                <w:rFonts w:ascii="Arial" w:hAnsi="Arial" w:cs="Arial"/>
                <w:color w:val="000000"/>
                <w:sz w:val="19"/>
                <w:szCs w:val="19"/>
              </w:rPr>
              <w:t>55%</w:t>
            </w:r>
          </w:p>
        </w:tc>
      </w:tr>
      <w:tr w:rsidR="00B86DE4" w:rsidRPr="00E65146" w:rsidTr="00D25E8E">
        <w:trPr>
          <w:gridAfter w:val="1"/>
          <w:wAfter w:w="1603" w:type="dxa"/>
          <w:trHeight w:val="255"/>
          <w:jc w:val="center"/>
        </w:trPr>
        <w:tc>
          <w:tcPr>
            <w:tcW w:w="30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86DE4" w:rsidRPr="00451333" w:rsidRDefault="00B86DE4" w:rsidP="00B86DE4">
            <w:pPr>
              <w:jc w:val="both"/>
              <w:rPr>
                <w:rFonts w:ascii="Arial" w:hAnsi="Arial" w:cs="Arial"/>
                <w:color w:val="000000"/>
                <w:sz w:val="19"/>
                <w:szCs w:val="19"/>
              </w:rPr>
            </w:pPr>
            <w:r w:rsidRPr="00451333">
              <w:rPr>
                <w:rFonts w:ascii="Arial" w:hAnsi="Arial" w:cs="Arial"/>
                <w:color w:val="000000"/>
                <w:sz w:val="19"/>
                <w:szCs w:val="19"/>
              </w:rPr>
              <w:t>31 December 2014</w:t>
            </w:r>
          </w:p>
        </w:tc>
        <w:tc>
          <w:tcPr>
            <w:tcW w:w="1984"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86DE4" w:rsidRPr="00451333" w:rsidRDefault="00B86DE4" w:rsidP="008720BC">
            <w:pPr>
              <w:ind w:right="34"/>
              <w:jc w:val="right"/>
              <w:rPr>
                <w:rFonts w:ascii="Arial" w:hAnsi="Arial" w:cs="Arial"/>
                <w:color w:val="000000"/>
                <w:sz w:val="19"/>
                <w:szCs w:val="19"/>
              </w:rPr>
            </w:pPr>
            <w:r w:rsidRPr="00451333">
              <w:rPr>
                <w:rFonts w:ascii="Arial" w:hAnsi="Arial" w:cs="Arial"/>
                <w:color w:val="000000"/>
                <w:sz w:val="19"/>
                <w:szCs w:val="19"/>
              </w:rPr>
              <w:t xml:space="preserve">                       10.57 </w:t>
            </w:r>
          </w:p>
        </w:tc>
        <w:tc>
          <w:tcPr>
            <w:tcW w:w="1481"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86DE4" w:rsidRPr="00451333" w:rsidRDefault="00B86DE4" w:rsidP="00B86DE4">
            <w:pPr>
              <w:jc w:val="right"/>
              <w:rPr>
                <w:rFonts w:ascii="Arial" w:hAnsi="Arial" w:cs="Arial"/>
                <w:color w:val="000000"/>
                <w:sz w:val="19"/>
                <w:szCs w:val="19"/>
              </w:rPr>
            </w:pPr>
            <w:r w:rsidRPr="00451333">
              <w:rPr>
                <w:rFonts w:ascii="Arial" w:hAnsi="Arial" w:cs="Arial"/>
                <w:color w:val="000000"/>
                <w:sz w:val="19"/>
                <w:szCs w:val="19"/>
              </w:rPr>
              <w:t>26.4%</w:t>
            </w:r>
          </w:p>
        </w:tc>
        <w:tc>
          <w:tcPr>
            <w:tcW w:w="1921"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86DE4" w:rsidRPr="00451333" w:rsidRDefault="00B86DE4" w:rsidP="00B86DE4">
            <w:pPr>
              <w:jc w:val="center"/>
              <w:rPr>
                <w:rFonts w:ascii="Arial" w:hAnsi="Arial" w:cs="Arial"/>
                <w:color w:val="000000"/>
                <w:sz w:val="19"/>
                <w:szCs w:val="19"/>
              </w:rPr>
            </w:pPr>
            <w:r w:rsidRPr="00451333">
              <w:rPr>
                <w:rFonts w:ascii="Arial" w:hAnsi="Arial" w:cs="Arial"/>
                <w:color w:val="000000"/>
                <w:sz w:val="19"/>
                <w:szCs w:val="19"/>
              </w:rPr>
              <w:t>48</w:t>
            </w:r>
          </w:p>
        </w:tc>
        <w:tc>
          <w:tcPr>
            <w:tcW w:w="1462"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86DE4" w:rsidRPr="00451333" w:rsidRDefault="00B86DE4" w:rsidP="00B86DE4">
            <w:pPr>
              <w:jc w:val="center"/>
              <w:rPr>
                <w:rFonts w:ascii="Arial" w:hAnsi="Arial" w:cs="Arial"/>
                <w:color w:val="000000"/>
                <w:sz w:val="19"/>
                <w:szCs w:val="19"/>
              </w:rPr>
            </w:pPr>
            <w:r w:rsidRPr="00451333">
              <w:rPr>
                <w:rFonts w:ascii="Arial" w:hAnsi="Arial" w:cs="Arial"/>
                <w:color w:val="000000"/>
                <w:sz w:val="19"/>
                <w:szCs w:val="19"/>
              </w:rPr>
              <w:t>73%</w:t>
            </w:r>
          </w:p>
        </w:tc>
      </w:tr>
      <w:tr w:rsidR="00B86DE4" w:rsidRPr="00E65146" w:rsidTr="00D25E8E">
        <w:trPr>
          <w:gridAfter w:val="1"/>
          <w:wAfter w:w="1603" w:type="dxa"/>
          <w:trHeight w:val="510"/>
          <w:jc w:val="center"/>
        </w:trPr>
        <w:tc>
          <w:tcPr>
            <w:tcW w:w="30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86DE4" w:rsidRPr="00451333" w:rsidRDefault="00B86DE4" w:rsidP="00B86DE4">
            <w:pPr>
              <w:jc w:val="both"/>
              <w:rPr>
                <w:rFonts w:ascii="Arial" w:hAnsi="Arial" w:cs="Arial"/>
                <w:color w:val="000000"/>
                <w:sz w:val="19"/>
                <w:szCs w:val="19"/>
              </w:rPr>
            </w:pPr>
            <w:r w:rsidRPr="00451333">
              <w:rPr>
                <w:rFonts w:ascii="Arial" w:hAnsi="Arial" w:cs="Arial"/>
                <w:color w:val="000000"/>
                <w:sz w:val="19"/>
                <w:szCs w:val="19"/>
              </w:rPr>
              <w:t>31 December 2015 (estimated)</w:t>
            </w:r>
          </w:p>
        </w:tc>
        <w:tc>
          <w:tcPr>
            <w:tcW w:w="1984" w:type="dxa"/>
            <w:gridSpan w:val="2"/>
            <w:tcBorders>
              <w:top w:val="single" w:sz="2" w:space="0" w:color="auto"/>
              <w:left w:val="single" w:sz="2" w:space="0" w:color="auto"/>
              <w:bottom w:val="single" w:sz="2" w:space="0" w:color="auto"/>
              <w:right w:val="single" w:sz="2" w:space="0" w:color="auto"/>
            </w:tcBorders>
            <w:shd w:val="clear" w:color="000000" w:fill="FFFFFF"/>
            <w:vAlign w:val="center"/>
            <w:hideMark/>
          </w:tcPr>
          <w:p w:rsidR="00B86DE4" w:rsidRPr="00451333" w:rsidRDefault="00B86DE4" w:rsidP="008720BC">
            <w:pPr>
              <w:ind w:right="34"/>
              <w:jc w:val="right"/>
              <w:rPr>
                <w:rFonts w:ascii="Arial" w:hAnsi="Arial" w:cs="Arial"/>
                <w:color w:val="000000"/>
                <w:sz w:val="19"/>
                <w:szCs w:val="19"/>
              </w:rPr>
            </w:pPr>
            <w:r w:rsidRPr="00451333">
              <w:rPr>
                <w:rFonts w:ascii="Arial" w:hAnsi="Arial" w:cs="Arial"/>
                <w:color w:val="000000"/>
                <w:sz w:val="19"/>
                <w:szCs w:val="19"/>
              </w:rPr>
              <w:t xml:space="preserve">                       35.73 </w:t>
            </w:r>
          </w:p>
        </w:tc>
        <w:tc>
          <w:tcPr>
            <w:tcW w:w="1481"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86DE4" w:rsidRPr="00451333" w:rsidRDefault="00B86DE4" w:rsidP="00B86DE4">
            <w:pPr>
              <w:jc w:val="right"/>
              <w:rPr>
                <w:rFonts w:ascii="Arial" w:hAnsi="Arial" w:cs="Arial"/>
                <w:color w:val="000000"/>
                <w:sz w:val="19"/>
                <w:szCs w:val="19"/>
              </w:rPr>
            </w:pPr>
            <w:r w:rsidRPr="00451333">
              <w:rPr>
                <w:rFonts w:ascii="Arial" w:hAnsi="Arial" w:cs="Arial"/>
                <w:color w:val="000000"/>
                <w:sz w:val="19"/>
                <w:szCs w:val="19"/>
              </w:rPr>
              <w:t>89.3%</w:t>
            </w:r>
          </w:p>
        </w:tc>
        <w:tc>
          <w:tcPr>
            <w:tcW w:w="1921"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86DE4" w:rsidRPr="00451333" w:rsidRDefault="00B86DE4" w:rsidP="00B86DE4">
            <w:pPr>
              <w:jc w:val="center"/>
              <w:rPr>
                <w:rFonts w:ascii="Arial" w:hAnsi="Arial" w:cs="Arial"/>
                <w:color w:val="000000"/>
                <w:sz w:val="19"/>
                <w:szCs w:val="19"/>
              </w:rPr>
            </w:pPr>
            <w:r w:rsidRPr="00451333">
              <w:rPr>
                <w:rFonts w:ascii="Arial" w:hAnsi="Arial" w:cs="Arial"/>
                <w:color w:val="000000"/>
                <w:sz w:val="19"/>
                <w:szCs w:val="19"/>
              </w:rPr>
              <w:t>60</w:t>
            </w:r>
          </w:p>
        </w:tc>
        <w:tc>
          <w:tcPr>
            <w:tcW w:w="1462"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86DE4" w:rsidRPr="00451333" w:rsidRDefault="00B86DE4" w:rsidP="00B86DE4">
            <w:pPr>
              <w:jc w:val="center"/>
              <w:rPr>
                <w:rFonts w:ascii="Arial" w:hAnsi="Arial" w:cs="Arial"/>
                <w:color w:val="000000"/>
                <w:sz w:val="19"/>
                <w:szCs w:val="19"/>
              </w:rPr>
            </w:pPr>
            <w:r w:rsidRPr="00451333">
              <w:rPr>
                <w:rFonts w:ascii="Arial" w:hAnsi="Arial" w:cs="Arial"/>
                <w:color w:val="000000"/>
                <w:sz w:val="19"/>
                <w:szCs w:val="19"/>
              </w:rPr>
              <w:t>91%</w:t>
            </w:r>
          </w:p>
        </w:tc>
      </w:tr>
      <w:tr w:rsidR="00B86DE4" w:rsidRPr="00E65146" w:rsidTr="00D25E8E">
        <w:trPr>
          <w:gridAfter w:val="1"/>
          <w:wAfter w:w="1603" w:type="dxa"/>
          <w:trHeight w:val="319"/>
          <w:jc w:val="center"/>
        </w:trPr>
        <w:tc>
          <w:tcPr>
            <w:tcW w:w="30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86DE4" w:rsidRPr="00451333" w:rsidRDefault="00B86DE4" w:rsidP="00B86DE4">
            <w:pPr>
              <w:jc w:val="both"/>
              <w:rPr>
                <w:rFonts w:ascii="Arial" w:hAnsi="Arial" w:cs="Arial"/>
                <w:color w:val="000000"/>
                <w:sz w:val="19"/>
                <w:szCs w:val="19"/>
              </w:rPr>
            </w:pPr>
            <w:r w:rsidRPr="00451333">
              <w:rPr>
                <w:rFonts w:ascii="Arial" w:hAnsi="Arial" w:cs="Arial"/>
                <w:color w:val="000000"/>
                <w:sz w:val="19"/>
                <w:szCs w:val="19"/>
              </w:rPr>
              <w:t>Undisburse</w:t>
            </w:r>
            <w:r w:rsidR="00F01DB7" w:rsidRPr="00451333">
              <w:rPr>
                <w:rFonts w:ascii="Arial" w:hAnsi="Arial" w:cs="Arial"/>
                <w:color w:val="000000"/>
                <w:sz w:val="19"/>
                <w:szCs w:val="19"/>
              </w:rPr>
              <w:t>d</w:t>
            </w:r>
            <w:r w:rsidRPr="00451333">
              <w:rPr>
                <w:rFonts w:ascii="Arial" w:hAnsi="Arial" w:cs="Arial"/>
                <w:color w:val="000000"/>
                <w:sz w:val="19"/>
                <w:szCs w:val="19"/>
              </w:rPr>
              <w:t xml:space="preserve"> at 31/12/2015</w:t>
            </w:r>
          </w:p>
        </w:tc>
        <w:tc>
          <w:tcPr>
            <w:tcW w:w="1984"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86DE4" w:rsidRPr="00451333" w:rsidRDefault="00B86DE4" w:rsidP="008720BC">
            <w:pPr>
              <w:ind w:right="34"/>
              <w:jc w:val="right"/>
              <w:rPr>
                <w:rFonts w:ascii="Arial" w:hAnsi="Arial" w:cs="Arial"/>
                <w:color w:val="000000"/>
                <w:sz w:val="19"/>
                <w:szCs w:val="19"/>
              </w:rPr>
            </w:pPr>
            <w:r w:rsidRPr="00451333">
              <w:rPr>
                <w:rFonts w:ascii="Arial" w:hAnsi="Arial" w:cs="Arial"/>
                <w:color w:val="000000"/>
                <w:sz w:val="19"/>
                <w:szCs w:val="19"/>
              </w:rPr>
              <w:t xml:space="preserve">                         4.28 </w:t>
            </w:r>
          </w:p>
        </w:tc>
        <w:tc>
          <w:tcPr>
            <w:tcW w:w="1481"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86DE4" w:rsidRPr="00451333" w:rsidRDefault="00B86DE4" w:rsidP="00B86DE4">
            <w:pPr>
              <w:jc w:val="right"/>
              <w:rPr>
                <w:rFonts w:ascii="Arial" w:hAnsi="Arial" w:cs="Arial"/>
                <w:color w:val="000000"/>
                <w:sz w:val="19"/>
                <w:szCs w:val="19"/>
              </w:rPr>
            </w:pPr>
            <w:r w:rsidRPr="00451333">
              <w:rPr>
                <w:rFonts w:ascii="Arial" w:hAnsi="Arial" w:cs="Arial"/>
                <w:color w:val="000000"/>
                <w:sz w:val="19"/>
                <w:szCs w:val="19"/>
              </w:rPr>
              <w:t>10.7%</w:t>
            </w:r>
          </w:p>
        </w:tc>
        <w:tc>
          <w:tcPr>
            <w:tcW w:w="1921"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B86DE4" w:rsidRPr="00451333" w:rsidRDefault="00B86DE4" w:rsidP="00B86DE4">
            <w:pPr>
              <w:rPr>
                <w:rFonts w:ascii="Arial" w:hAnsi="Arial" w:cs="Arial"/>
                <w:color w:val="000000"/>
                <w:sz w:val="19"/>
                <w:szCs w:val="19"/>
              </w:rPr>
            </w:pPr>
          </w:p>
        </w:tc>
        <w:tc>
          <w:tcPr>
            <w:tcW w:w="1462"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86DE4" w:rsidRPr="00451333" w:rsidRDefault="00B86DE4" w:rsidP="00B86DE4">
            <w:pPr>
              <w:jc w:val="center"/>
              <w:rPr>
                <w:rFonts w:ascii="Arial" w:hAnsi="Arial" w:cs="Arial"/>
                <w:color w:val="000000"/>
                <w:sz w:val="19"/>
                <w:szCs w:val="19"/>
              </w:rPr>
            </w:pPr>
            <w:r w:rsidRPr="00451333">
              <w:rPr>
                <w:rFonts w:ascii="Arial" w:hAnsi="Arial" w:cs="Arial"/>
                <w:color w:val="000000"/>
                <w:sz w:val="19"/>
                <w:szCs w:val="19"/>
              </w:rPr>
              <w:t> </w:t>
            </w:r>
          </w:p>
        </w:tc>
      </w:tr>
      <w:tr w:rsidR="00B86DE4" w:rsidRPr="00E65146" w:rsidTr="00D25E8E">
        <w:trPr>
          <w:gridAfter w:val="1"/>
          <w:wAfter w:w="1603" w:type="dxa"/>
          <w:trHeight w:val="255"/>
          <w:jc w:val="center"/>
        </w:trPr>
        <w:tc>
          <w:tcPr>
            <w:tcW w:w="30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86DE4" w:rsidRPr="00451333" w:rsidRDefault="00B86DE4" w:rsidP="00B86DE4">
            <w:pPr>
              <w:jc w:val="both"/>
              <w:rPr>
                <w:rFonts w:ascii="Arial" w:hAnsi="Arial" w:cs="Arial"/>
                <w:color w:val="000000"/>
                <w:sz w:val="19"/>
                <w:szCs w:val="19"/>
              </w:rPr>
            </w:pPr>
            <w:r w:rsidRPr="00451333">
              <w:rPr>
                <w:rFonts w:ascii="Arial" w:hAnsi="Arial" w:cs="Arial"/>
                <w:color w:val="000000"/>
                <w:sz w:val="19"/>
                <w:szCs w:val="19"/>
              </w:rPr>
              <w:t>30 June 2016</w:t>
            </w:r>
          </w:p>
        </w:tc>
        <w:tc>
          <w:tcPr>
            <w:tcW w:w="1984" w:type="dxa"/>
            <w:gridSpan w:val="2"/>
            <w:tcBorders>
              <w:top w:val="single" w:sz="2" w:space="0" w:color="auto"/>
              <w:left w:val="single" w:sz="2" w:space="0" w:color="auto"/>
              <w:bottom w:val="single" w:sz="2" w:space="0" w:color="auto"/>
              <w:right w:val="single" w:sz="2" w:space="0" w:color="auto"/>
            </w:tcBorders>
            <w:shd w:val="clear" w:color="000000" w:fill="FFFFFF"/>
            <w:vAlign w:val="center"/>
            <w:hideMark/>
          </w:tcPr>
          <w:p w:rsidR="00B86DE4" w:rsidRPr="00451333" w:rsidRDefault="00B86DE4" w:rsidP="008720BC">
            <w:pPr>
              <w:ind w:right="34"/>
              <w:jc w:val="right"/>
              <w:rPr>
                <w:rFonts w:ascii="Arial" w:hAnsi="Arial" w:cs="Arial"/>
                <w:color w:val="000000"/>
                <w:sz w:val="19"/>
                <w:szCs w:val="19"/>
              </w:rPr>
            </w:pPr>
            <w:r w:rsidRPr="00451333">
              <w:rPr>
                <w:rFonts w:ascii="Arial" w:hAnsi="Arial" w:cs="Arial"/>
                <w:color w:val="000000"/>
                <w:sz w:val="19"/>
                <w:szCs w:val="19"/>
              </w:rPr>
              <w:t xml:space="preserve"> N/A </w:t>
            </w:r>
          </w:p>
        </w:tc>
        <w:tc>
          <w:tcPr>
            <w:tcW w:w="1481"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86DE4" w:rsidRPr="00451333" w:rsidRDefault="00B86DE4" w:rsidP="00B86DE4">
            <w:pPr>
              <w:jc w:val="right"/>
              <w:rPr>
                <w:rFonts w:ascii="Arial" w:hAnsi="Arial" w:cs="Arial"/>
                <w:color w:val="000000"/>
                <w:sz w:val="19"/>
                <w:szCs w:val="19"/>
              </w:rPr>
            </w:pPr>
            <w:r w:rsidRPr="00451333">
              <w:rPr>
                <w:rFonts w:ascii="Arial" w:hAnsi="Arial" w:cs="Arial"/>
                <w:color w:val="000000"/>
                <w:sz w:val="19"/>
                <w:szCs w:val="19"/>
              </w:rPr>
              <w:t> </w:t>
            </w:r>
          </w:p>
        </w:tc>
        <w:tc>
          <w:tcPr>
            <w:tcW w:w="1921"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86DE4" w:rsidRPr="00451333" w:rsidRDefault="00B86DE4" w:rsidP="00B86DE4">
            <w:pPr>
              <w:jc w:val="center"/>
              <w:rPr>
                <w:rFonts w:ascii="Arial" w:hAnsi="Arial" w:cs="Arial"/>
                <w:color w:val="000000"/>
                <w:sz w:val="19"/>
                <w:szCs w:val="19"/>
              </w:rPr>
            </w:pPr>
            <w:r w:rsidRPr="00451333">
              <w:rPr>
                <w:rFonts w:ascii="Arial" w:hAnsi="Arial" w:cs="Arial"/>
                <w:color w:val="000000"/>
                <w:sz w:val="19"/>
                <w:szCs w:val="19"/>
              </w:rPr>
              <w:t>66</w:t>
            </w:r>
          </w:p>
        </w:tc>
        <w:tc>
          <w:tcPr>
            <w:tcW w:w="1462"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86DE4" w:rsidRPr="00451333" w:rsidRDefault="00B86DE4" w:rsidP="00B86DE4">
            <w:pPr>
              <w:jc w:val="center"/>
              <w:rPr>
                <w:rFonts w:ascii="Arial" w:hAnsi="Arial" w:cs="Arial"/>
                <w:color w:val="000000"/>
                <w:sz w:val="19"/>
                <w:szCs w:val="19"/>
              </w:rPr>
            </w:pPr>
            <w:r w:rsidRPr="00451333">
              <w:rPr>
                <w:rFonts w:ascii="Arial" w:hAnsi="Arial" w:cs="Arial"/>
                <w:color w:val="000000"/>
                <w:sz w:val="19"/>
                <w:szCs w:val="19"/>
              </w:rPr>
              <w:t>100%</w:t>
            </w:r>
          </w:p>
        </w:tc>
      </w:tr>
      <w:tr w:rsidR="00B86DE4" w:rsidRPr="00E65146" w:rsidTr="00D25E8E">
        <w:trPr>
          <w:gridAfter w:val="1"/>
          <w:wAfter w:w="1603" w:type="dxa"/>
          <w:trHeight w:val="510"/>
          <w:jc w:val="center"/>
        </w:trPr>
        <w:tc>
          <w:tcPr>
            <w:tcW w:w="30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8720BC" w:rsidRPr="00451333" w:rsidRDefault="00B86DE4" w:rsidP="00B86DE4">
            <w:pPr>
              <w:rPr>
                <w:rFonts w:ascii="Arial" w:hAnsi="Arial" w:cs="Arial"/>
                <w:color w:val="000000"/>
                <w:sz w:val="19"/>
                <w:szCs w:val="19"/>
              </w:rPr>
            </w:pPr>
            <w:r w:rsidRPr="00451333">
              <w:rPr>
                <w:rFonts w:ascii="Arial" w:hAnsi="Arial" w:cs="Arial"/>
                <w:b/>
                <w:bCs/>
                <w:color w:val="000000"/>
                <w:sz w:val="19"/>
                <w:szCs w:val="19"/>
              </w:rPr>
              <w:t>Tota</w:t>
            </w:r>
            <w:r w:rsidRPr="00451333">
              <w:rPr>
                <w:rFonts w:ascii="Arial" w:hAnsi="Arial" w:cs="Arial"/>
                <w:color w:val="000000"/>
                <w:sz w:val="19"/>
                <w:szCs w:val="19"/>
              </w:rPr>
              <w:t xml:space="preserve">l </w:t>
            </w:r>
          </w:p>
          <w:p w:rsidR="00B86DE4" w:rsidRPr="00451333" w:rsidRDefault="00B86DE4" w:rsidP="00B86DE4">
            <w:pPr>
              <w:rPr>
                <w:rFonts w:ascii="Arial" w:hAnsi="Arial" w:cs="Arial"/>
                <w:b/>
                <w:bCs/>
                <w:color w:val="000000"/>
                <w:sz w:val="19"/>
                <w:szCs w:val="19"/>
              </w:rPr>
            </w:pPr>
            <w:r w:rsidRPr="00451333">
              <w:rPr>
                <w:rFonts w:ascii="Arial" w:hAnsi="Arial" w:cs="Arial"/>
                <w:color w:val="000000"/>
                <w:sz w:val="19"/>
                <w:szCs w:val="19"/>
              </w:rPr>
              <w:t>(excluding finance charges)</w:t>
            </w:r>
          </w:p>
        </w:tc>
        <w:tc>
          <w:tcPr>
            <w:tcW w:w="1984"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86DE4" w:rsidRPr="00451333" w:rsidRDefault="00B86DE4" w:rsidP="008720BC">
            <w:pPr>
              <w:ind w:right="34"/>
              <w:jc w:val="right"/>
              <w:rPr>
                <w:rFonts w:ascii="Arial" w:hAnsi="Arial" w:cs="Arial"/>
                <w:b/>
                <w:bCs/>
                <w:color w:val="000000"/>
                <w:sz w:val="19"/>
                <w:szCs w:val="19"/>
              </w:rPr>
            </w:pPr>
            <w:r w:rsidRPr="00451333">
              <w:rPr>
                <w:rFonts w:ascii="Arial" w:hAnsi="Arial" w:cs="Arial"/>
                <w:b/>
                <w:bCs/>
                <w:color w:val="000000"/>
                <w:sz w:val="19"/>
                <w:szCs w:val="19"/>
              </w:rPr>
              <w:t xml:space="preserve">                       40.01 </w:t>
            </w:r>
          </w:p>
        </w:tc>
        <w:tc>
          <w:tcPr>
            <w:tcW w:w="1481"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86DE4" w:rsidRPr="00451333" w:rsidRDefault="00B86DE4" w:rsidP="00B86DE4">
            <w:pPr>
              <w:jc w:val="right"/>
              <w:rPr>
                <w:rFonts w:ascii="Arial" w:hAnsi="Arial" w:cs="Arial"/>
                <w:color w:val="000000"/>
                <w:sz w:val="19"/>
                <w:szCs w:val="19"/>
              </w:rPr>
            </w:pPr>
            <w:r w:rsidRPr="00451333">
              <w:rPr>
                <w:rFonts w:ascii="Arial" w:hAnsi="Arial" w:cs="Arial"/>
                <w:color w:val="000000"/>
                <w:sz w:val="19"/>
                <w:szCs w:val="19"/>
              </w:rPr>
              <w:t> </w:t>
            </w:r>
          </w:p>
        </w:tc>
        <w:tc>
          <w:tcPr>
            <w:tcW w:w="1921"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86DE4" w:rsidRPr="00451333" w:rsidRDefault="00B86DE4" w:rsidP="00B86DE4">
            <w:pPr>
              <w:jc w:val="center"/>
              <w:rPr>
                <w:rFonts w:ascii="Arial" w:hAnsi="Arial" w:cs="Arial"/>
                <w:color w:val="000000"/>
                <w:sz w:val="19"/>
                <w:szCs w:val="19"/>
              </w:rPr>
            </w:pPr>
            <w:r w:rsidRPr="00451333">
              <w:rPr>
                <w:rFonts w:ascii="Arial" w:hAnsi="Arial" w:cs="Arial"/>
                <w:color w:val="000000"/>
                <w:sz w:val="19"/>
                <w:szCs w:val="19"/>
              </w:rPr>
              <w:t> </w:t>
            </w:r>
          </w:p>
        </w:tc>
        <w:tc>
          <w:tcPr>
            <w:tcW w:w="1462"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86DE4" w:rsidRPr="00451333" w:rsidRDefault="00B86DE4" w:rsidP="00B86DE4">
            <w:pPr>
              <w:jc w:val="center"/>
              <w:rPr>
                <w:rFonts w:ascii="Arial" w:hAnsi="Arial" w:cs="Arial"/>
                <w:color w:val="000000"/>
                <w:sz w:val="19"/>
                <w:szCs w:val="19"/>
              </w:rPr>
            </w:pPr>
            <w:r w:rsidRPr="00451333">
              <w:rPr>
                <w:rFonts w:ascii="Arial" w:hAnsi="Arial" w:cs="Arial"/>
                <w:color w:val="000000"/>
                <w:sz w:val="19"/>
                <w:szCs w:val="19"/>
              </w:rPr>
              <w:t> </w:t>
            </w:r>
          </w:p>
        </w:tc>
      </w:tr>
      <w:tr w:rsidR="00B86DE4" w:rsidRPr="00E65146" w:rsidTr="001D3BC2">
        <w:trPr>
          <w:trHeight w:val="255"/>
          <w:jc w:val="center"/>
        </w:trPr>
        <w:tc>
          <w:tcPr>
            <w:tcW w:w="3362" w:type="dxa"/>
            <w:gridSpan w:val="2"/>
            <w:tcBorders>
              <w:top w:val="nil"/>
              <w:left w:val="nil"/>
              <w:bottom w:val="nil"/>
              <w:right w:val="nil"/>
            </w:tcBorders>
            <w:shd w:val="clear" w:color="auto" w:fill="auto"/>
            <w:vAlign w:val="center"/>
            <w:hideMark/>
          </w:tcPr>
          <w:p w:rsidR="00B86DE4" w:rsidRPr="00E65146" w:rsidRDefault="00B86DE4" w:rsidP="00B86DE4">
            <w:pPr>
              <w:jc w:val="both"/>
              <w:rPr>
                <w:rFonts w:ascii="Arial" w:hAnsi="Arial" w:cs="Arial"/>
                <w:color w:val="000000"/>
              </w:rPr>
            </w:pPr>
          </w:p>
        </w:tc>
        <w:tc>
          <w:tcPr>
            <w:tcW w:w="2126" w:type="dxa"/>
            <w:gridSpan w:val="2"/>
            <w:tcBorders>
              <w:top w:val="nil"/>
              <w:left w:val="nil"/>
              <w:bottom w:val="nil"/>
              <w:right w:val="nil"/>
            </w:tcBorders>
            <w:shd w:val="clear" w:color="auto" w:fill="auto"/>
            <w:vAlign w:val="center"/>
            <w:hideMark/>
          </w:tcPr>
          <w:p w:rsidR="00B86DE4" w:rsidRPr="00E65146" w:rsidRDefault="00B86DE4" w:rsidP="00B86DE4">
            <w:pPr>
              <w:rPr>
                <w:rFonts w:ascii="Arial" w:hAnsi="Arial" w:cs="Arial"/>
                <w:color w:val="000000"/>
              </w:rPr>
            </w:pPr>
          </w:p>
        </w:tc>
        <w:tc>
          <w:tcPr>
            <w:tcW w:w="1843" w:type="dxa"/>
            <w:gridSpan w:val="2"/>
            <w:tcBorders>
              <w:top w:val="single" w:sz="4" w:space="0" w:color="auto"/>
              <w:left w:val="nil"/>
              <w:bottom w:val="nil"/>
              <w:right w:val="nil"/>
            </w:tcBorders>
            <w:shd w:val="clear" w:color="auto" w:fill="auto"/>
            <w:vAlign w:val="center"/>
            <w:hideMark/>
          </w:tcPr>
          <w:p w:rsidR="00B86DE4" w:rsidRPr="00E65146" w:rsidRDefault="00B86DE4" w:rsidP="00B86DE4">
            <w:pPr>
              <w:jc w:val="right"/>
              <w:rPr>
                <w:rFonts w:ascii="Arial" w:hAnsi="Arial" w:cs="Arial"/>
                <w:color w:val="000000"/>
              </w:rPr>
            </w:pPr>
            <w:r w:rsidRPr="00E65146">
              <w:rPr>
                <w:rFonts w:ascii="Arial" w:hAnsi="Arial" w:cs="Arial"/>
                <w:color w:val="000000"/>
              </w:rPr>
              <w:t> </w:t>
            </w:r>
          </w:p>
        </w:tc>
        <w:tc>
          <w:tcPr>
            <w:tcW w:w="2160" w:type="dxa"/>
            <w:gridSpan w:val="2"/>
            <w:tcBorders>
              <w:top w:val="nil"/>
              <w:left w:val="nil"/>
              <w:bottom w:val="nil"/>
              <w:right w:val="nil"/>
            </w:tcBorders>
            <w:shd w:val="clear" w:color="auto" w:fill="auto"/>
            <w:vAlign w:val="center"/>
            <w:hideMark/>
          </w:tcPr>
          <w:p w:rsidR="00B86DE4" w:rsidRPr="00E65146" w:rsidRDefault="00B86DE4" w:rsidP="00B86DE4">
            <w:pPr>
              <w:jc w:val="center"/>
              <w:rPr>
                <w:rFonts w:ascii="Arial" w:hAnsi="Arial" w:cs="Arial"/>
                <w:color w:val="000000"/>
              </w:rPr>
            </w:pPr>
          </w:p>
        </w:tc>
        <w:tc>
          <w:tcPr>
            <w:tcW w:w="1960" w:type="dxa"/>
            <w:gridSpan w:val="2"/>
            <w:tcBorders>
              <w:top w:val="nil"/>
              <w:left w:val="nil"/>
              <w:bottom w:val="nil"/>
              <w:right w:val="nil"/>
            </w:tcBorders>
            <w:shd w:val="clear" w:color="auto" w:fill="auto"/>
            <w:vAlign w:val="center"/>
            <w:hideMark/>
          </w:tcPr>
          <w:p w:rsidR="00B86DE4" w:rsidRPr="00E65146" w:rsidRDefault="00B86DE4" w:rsidP="00B86DE4">
            <w:pPr>
              <w:jc w:val="center"/>
              <w:rPr>
                <w:rFonts w:ascii="Arial" w:hAnsi="Arial" w:cs="Arial"/>
                <w:color w:val="000000"/>
              </w:rPr>
            </w:pPr>
          </w:p>
        </w:tc>
      </w:tr>
      <w:tr w:rsidR="00B86DE4" w:rsidRPr="00E65146" w:rsidTr="001D3BC2">
        <w:trPr>
          <w:trHeight w:val="255"/>
          <w:jc w:val="center"/>
        </w:trPr>
        <w:tc>
          <w:tcPr>
            <w:tcW w:w="3362" w:type="dxa"/>
            <w:gridSpan w:val="2"/>
            <w:tcBorders>
              <w:top w:val="nil"/>
              <w:left w:val="nil"/>
              <w:bottom w:val="nil"/>
              <w:right w:val="nil"/>
            </w:tcBorders>
            <w:shd w:val="clear" w:color="auto" w:fill="auto"/>
            <w:noWrap/>
            <w:vAlign w:val="bottom"/>
            <w:hideMark/>
          </w:tcPr>
          <w:p w:rsidR="00F05CD3" w:rsidRDefault="00F05CD3" w:rsidP="00F05CD3">
            <w:pPr>
              <w:rPr>
                <w:rFonts w:ascii="Arial" w:hAnsi="Arial" w:cs="Arial"/>
                <w:sz w:val="18"/>
                <w:szCs w:val="18"/>
              </w:rPr>
            </w:pPr>
            <w:r w:rsidRPr="00F05CD3">
              <w:rPr>
                <w:rFonts w:ascii="Arial" w:hAnsi="Arial" w:cs="Arial"/>
                <w:b/>
                <w:sz w:val="18"/>
                <w:szCs w:val="18"/>
              </w:rPr>
              <w:t>Source:</w:t>
            </w:r>
            <w:r w:rsidRPr="00F05CD3">
              <w:rPr>
                <w:rFonts w:ascii="Arial" w:hAnsi="Arial" w:cs="Arial"/>
                <w:sz w:val="18"/>
                <w:szCs w:val="18"/>
              </w:rPr>
              <w:t xml:space="preserve"> HHRSDP, Finance Unit</w:t>
            </w:r>
          </w:p>
          <w:p w:rsidR="00F05CD3" w:rsidRPr="00F05CD3" w:rsidRDefault="00F05CD3" w:rsidP="00F05CD3">
            <w:pPr>
              <w:rPr>
                <w:rFonts w:ascii="Arial" w:hAnsi="Arial" w:cs="Arial"/>
                <w:b/>
                <w:sz w:val="18"/>
                <w:szCs w:val="18"/>
              </w:rPr>
            </w:pPr>
          </w:p>
          <w:p w:rsidR="00B86DE4" w:rsidRPr="00F05CD3" w:rsidRDefault="00B86DE4" w:rsidP="00B86DE4">
            <w:pPr>
              <w:rPr>
                <w:rFonts w:ascii="Arial" w:hAnsi="Arial" w:cs="Arial"/>
                <w:b/>
                <w:bCs/>
                <w:color w:val="000000"/>
                <w:sz w:val="18"/>
                <w:szCs w:val="18"/>
              </w:rPr>
            </w:pPr>
            <w:r w:rsidRPr="00F05CD3">
              <w:rPr>
                <w:rFonts w:ascii="Arial" w:hAnsi="Arial" w:cs="Arial"/>
                <w:b/>
                <w:bCs/>
                <w:color w:val="000000"/>
                <w:sz w:val="18"/>
                <w:szCs w:val="18"/>
              </w:rPr>
              <w:t>Notes</w:t>
            </w:r>
            <w:r w:rsidR="00F05CD3">
              <w:rPr>
                <w:rFonts w:ascii="Arial" w:hAnsi="Arial" w:cs="Arial"/>
                <w:b/>
                <w:bCs/>
                <w:color w:val="000000"/>
                <w:sz w:val="18"/>
                <w:szCs w:val="18"/>
              </w:rPr>
              <w:t>:</w:t>
            </w:r>
          </w:p>
        </w:tc>
        <w:tc>
          <w:tcPr>
            <w:tcW w:w="2126" w:type="dxa"/>
            <w:gridSpan w:val="2"/>
            <w:tcBorders>
              <w:top w:val="nil"/>
              <w:left w:val="nil"/>
              <w:bottom w:val="nil"/>
              <w:right w:val="nil"/>
            </w:tcBorders>
            <w:shd w:val="clear" w:color="auto" w:fill="auto"/>
            <w:noWrap/>
            <w:vAlign w:val="bottom"/>
            <w:hideMark/>
          </w:tcPr>
          <w:p w:rsidR="00B86DE4" w:rsidRPr="00E65146" w:rsidRDefault="00B86DE4" w:rsidP="00B86DE4">
            <w:pPr>
              <w:rPr>
                <w:rFonts w:ascii="Arial" w:hAnsi="Arial" w:cs="Arial"/>
                <w:color w:val="000000"/>
              </w:rPr>
            </w:pPr>
          </w:p>
        </w:tc>
        <w:tc>
          <w:tcPr>
            <w:tcW w:w="1843" w:type="dxa"/>
            <w:gridSpan w:val="2"/>
            <w:tcBorders>
              <w:top w:val="nil"/>
              <w:left w:val="nil"/>
              <w:bottom w:val="nil"/>
              <w:right w:val="nil"/>
            </w:tcBorders>
            <w:shd w:val="clear" w:color="auto" w:fill="auto"/>
            <w:vAlign w:val="center"/>
            <w:hideMark/>
          </w:tcPr>
          <w:p w:rsidR="00B86DE4" w:rsidRPr="00E65146" w:rsidRDefault="00B86DE4" w:rsidP="00B86DE4">
            <w:pPr>
              <w:rPr>
                <w:rFonts w:ascii="Arial" w:hAnsi="Arial" w:cs="Arial"/>
                <w:color w:val="000000"/>
              </w:rPr>
            </w:pPr>
          </w:p>
        </w:tc>
        <w:tc>
          <w:tcPr>
            <w:tcW w:w="2160" w:type="dxa"/>
            <w:gridSpan w:val="2"/>
            <w:tcBorders>
              <w:top w:val="nil"/>
              <w:left w:val="nil"/>
              <w:bottom w:val="nil"/>
              <w:right w:val="nil"/>
            </w:tcBorders>
            <w:shd w:val="clear" w:color="auto" w:fill="auto"/>
            <w:noWrap/>
            <w:vAlign w:val="bottom"/>
            <w:hideMark/>
          </w:tcPr>
          <w:p w:rsidR="00B86DE4" w:rsidRPr="00E65146" w:rsidRDefault="00B86DE4" w:rsidP="00B86DE4">
            <w:pPr>
              <w:rPr>
                <w:rFonts w:ascii="Arial" w:hAnsi="Arial" w:cs="Arial"/>
                <w:color w:val="000000"/>
              </w:rPr>
            </w:pPr>
          </w:p>
        </w:tc>
        <w:tc>
          <w:tcPr>
            <w:tcW w:w="1960" w:type="dxa"/>
            <w:gridSpan w:val="2"/>
            <w:tcBorders>
              <w:top w:val="nil"/>
              <w:left w:val="nil"/>
              <w:bottom w:val="nil"/>
              <w:right w:val="nil"/>
            </w:tcBorders>
            <w:shd w:val="clear" w:color="auto" w:fill="auto"/>
            <w:noWrap/>
            <w:vAlign w:val="bottom"/>
            <w:hideMark/>
          </w:tcPr>
          <w:p w:rsidR="00B86DE4" w:rsidRPr="00E65146" w:rsidRDefault="00B86DE4" w:rsidP="00B86DE4">
            <w:pPr>
              <w:rPr>
                <w:rFonts w:ascii="Arial" w:hAnsi="Arial" w:cs="Arial"/>
                <w:color w:val="000000"/>
              </w:rPr>
            </w:pPr>
          </w:p>
        </w:tc>
      </w:tr>
      <w:tr w:rsidR="00B86DE4" w:rsidRPr="00E65146" w:rsidTr="001D3BC2">
        <w:trPr>
          <w:trHeight w:val="285"/>
          <w:jc w:val="center"/>
        </w:trPr>
        <w:tc>
          <w:tcPr>
            <w:tcW w:w="11451" w:type="dxa"/>
            <w:gridSpan w:val="10"/>
            <w:tcBorders>
              <w:top w:val="nil"/>
              <w:left w:val="nil"/>
              <w:bottom w:val="nil"/>
              <w:right w:val="nil"/>
            </w:tcBorders>
            <w:shd w:val="clear" w:color="auto" w:fill="auto"/>
            <w:noWrap/>
            <w:vAlign w:val="center"/>
            <w:hideMark/>
          </w:tcPr>
          <w:p w:rsidR="00B86DE4" w:rsidRPr="00F05CD3" w:rsidRDefault="00B86DE4" w:rsidP="00B86DE4">
            <w:pPr>
              <w:rPr>
                <w:rFonts w:ascii="Arial" w:hAnsi="Arial" w:cs="Arial"/>
                <w:color w:val="000000"/>
                <w:sz w:val="18"/>
                <w:szCs w:val="18"/>
              </w:rPr>
            </w:pPr>
            <w:r w:rsidRPr="00F05CD3">
              <w:rPr>
                <w:rFonts w:ascii="Arial" w:hAnsi="Arial" w:cs="Arial"/>
                <w:color w:val="000000"/>
                <w:sz w:val="18"/>
                <w:szCs w:val="18"/>
                <w:vertAlign w:val="superscript"/>
              </w:rPr>
              <w:t xml:space="preserve">a </w:t>
            </w:r>
            <w:r w:rsidRPr="00F05CD3">
              <w:rPr>
                <w:rFonts w:ascii="Arial" w:hAnsi="Arial" w:cs="Arial"/>
                <w:color w:val="000000"/>
                <w:sz w:val="18"/>
                <w:szCs w:val="18"/>
              </w:rPr>
              <w:t>From date of loan effectiveness – 6 January 2011</w:t>
            </w:r>
          </w:p>
        </w:tc>
      </w:tr>
    </w:tbl>
    <w:p w:rsidR="00B86DE4" w:rsidRPr="00E65146" w:rsidRDefault="00B86DE4" w:rsidP="004772A2">
      <w:pPr>
        <w:rPr>
          <w:rFonts w:ascii="Arial" w:hAnsi="Arial" w:cs="Arial"/>
          <w:b/>
          <w:color w:val="000000"/>
        </w:rPr>
      </w:pPr>
    </w:p>
    <w:p w:rsidR="00F451AD" w:rsidRPr="00E65146" w:rsidRDefault="00F451AD" w:rsidP="004772A2">
      <w:pPr>
        <w:rPr>
          <w:rFonts w:ascii="Arial" w:hAnsi="Arial" w:cs="Arial"/>
          <w:b/>
          <w:color w:val="000000"/>
        </w:rPr>
      </w:pPr>
      <w:r w:rsidRPr="00E65146">
        <w:rPr>
          <w:rFonts w:ascii="Arial" w:hAnsi="Arial" w:cs="Arial"/>
          <w:b/>
          <w:color w:val="000000"/>
        </w:rPr>
        <w:br w:type="page"/>
      </w:r>
    </w:p>
    <w:p w:rsidR="004772A2" w:rsidRPr="00E65146" w:rsidRDefault="004772A2" w:rsidP="00CB1807">
      <w:pPr>
        <w:spacing w:before="240" w:after="120"/>
        <w:jc w:val="center"/>
        <w:rPr>
          <w:rFonts w:ascii="Arial" w:hAnsi="Arial" w:cs="Arial"/>
          <w:b/>
          <w:color w:val="000000"/>
        </w:rPr>
      </w:pPr>
      <w:r w:rsidRPr="00E65146">
        <w:rPr>
          <w:rFonts w:ascii="Arial" w:hAnsi="Arial" w:cs="Arial"/>
          <w:b/>
          <w:color w:val="000000"/>
        </w:rPr>
        <w:t>Table 9.5: Grant disbursements against elapsed grant period  ($m)</w:t>
      </w:r>
    </w:p>
    <w:tbl>
      <w:tblPr>
        <w:tblW w:w="11077" w:type="dxa"/>
        <w:jc w:val="center"/>
        <w:tblLayout w:type="fixed"/>
        <w:tblCellMar>
          <w:left w:w="30" w:type="dxa"/>
          <w:right w:w="30" w:type="dxa"/>
        </w:tblCellMar>
        <w:tblLook w:val="0000" w:firstRow="0" w:lastRow="0" w:firstColumn="0" w:lastColumn="0" w:noHBand="0" w:noVBand="0"/>
      </w:tblPr>
      <w:tblGrid>
        <w:gridCol w:w="3240"/>
        <w:gridCol w:w="2109"/>
        <w:gridCol w:w="1984"/>
        <w:gridCol w:w="1901"/>
        <w:gridCol w:w="1843"/>
      </w:tblGrid>
      <w:tr w:rsidR="00A267BA" w:rsidRPr="00E65146" w:rsidTr="00F01DB7">
        <w:trPr>
          <w:trHeight w:val="492"/>
          <w:jc w:val="center"/>
        </w:trPr>
        <w:tc>
          <w:tcPr>
            <w:tcW w:w="3240" w:type="dxa"/>
            <w:tcBorders>
              <w:top w:val="single" w:sz="2" w:space="0" w:color="auto"/>
              <w:left w:val="single" w:sz="2" w:space="0" w:color="auto"/>
              <w:bottom w:val="single" w:sz="2" w:space="0" w:color="auto"/>
              <w:right w:val="single" w:sz="2" w:space="0" w:color="auto"/>
            </w:tcBorders>
          </w:tcPr>
          <w:p w:rsidR="00A267BA" w:rsidRPr="00F01DB7" w:rsidRDefault="00A267BA">
            <w:pPr>
              <w:autoSpaceDE w:val="0"/>
              <w:autoSpaceDN w:val="0"/>
              <w:adjustRightInd w:val="0"/>
              <w:jc w:val="center"/>
              <w:rPr>
                <w:rFonts w:ascii="Arial" w:hAnsi="Arial" w:cs="Arial"/>
                <w:b/>
                <w:bCs/>
                <w:color w:val="000000"/>
                <w:sz w:val="19"/>
                <w:szCs w:val="19"/>
                <w:lang w:eastAsia="en-US"/>
              </w:rPr>
            </w:pPr>
            <w:r w:rsidRPr="00F01DB7">
              <w:rPr>
                <w:rFonts w:ascii="Arial" w:hAnsi="Arial" w:cs="Arial"/>
                <w:b/>
                <w:bCs/>
                <w:color w:val="000000"/>
                <w:sz w:val="19"/>
                <w:szCs w:val="19"/>
                <w:lang w:eastAsia="en-US"/>
              </w:rPr>
              <w:t>Dates</w:t>
            </w:r>
          </w:p>
        </w:tc>
        <w:tc>
          <w:tcPr>
            <w:tcW w:w="2109" w:type="dxa"/>
            <w:tcBorders>
              <w:top w:val="single" w:sz="2" w:space="0" w:color="auto"/>
              <w:left w:val="single" w:sz="2" w:space="0" w:color="auto"/>
              <w:bottom w:val="single" w:sz="2" w:space="0" w:color="auto"/>
              <w:right w:val="single" w:sz="2" w:space="0" w:color="auto"/>
            </w:tcBorders>
          </w:tcPr>
          <w:p w:rsidR="00A267BA" w:rsidRPr="00F01DB7" w:rsidRDefault="00A267BA">
            <w:pPr>
              <w:autoSpaceDE w:val="0"/>
              <w:autoSpaceDN w:val="0"/>
              <w:adjustRightInd w:val="0"/>
              <w:jc w:val="center"/>
              <w:rPr>
                <w:rFonts w:ascii="Arial" w:hAnsi="Arial" w:cs="Arial"/>
                <w:b/>
                <w:bCs/>
                <w:color w:val="000000"/>
                <w:sz w:val="19"/>
                <w:szCs w:val="19"/>
                <w:lang w:eastAsia="en-US"/>
              </w:rPr>
            </w:pPr>
            <w:r w:rsidRPr="00F01DB7">
              <w:rPr>
                <w:rFonts w:ascii="Arial" w:hAnsi="Arial" w:cs="Arial"/>
                <w:b/>
                <w:bCs/>
                <w:color w:val="000000"/>
                <w:sz w:val="19"/>
                <w:szCs w:val="19"/>
                <w:lang w:eastAsia="en-US"/>
              </w:rPr>
              <w:t>Cumulative Grant Disbursed</w:t>
            </w:r>
          </w:p>
        </w:tc>
        <w:tc>
          <w:tcPr>
            <w:tcW w:w="1984" w:type="dxa"/>
            <w:tcBorders>
              <w:top w:val="single" w:sz="2" w:space="0" w:color="auto"/>
              <w:left w:val="single" w:sz="2" w:space="0" w:color="auto"/>
              <w:bottom w:val="single" w:sz="2" w:space="0" w:color="auto"/>
              <w:right w:val="single" w:sz="2" w:space="0" w:color="auto"/>
            </w:tcBorders>
          </w:tcPr>
          <w:p w:rsidR="00A267BA" w:rsidRPr="00F01DB7" w:rsidRDefault="00451333">
            <w:pPr>
              <w:autoSpaceDE w:val="0"/>
              <w:autoSpaceDN w:val="0"/>
              <w:adjustRightInd w:val="0"/>
              <w:jc w:val="center"/>
              <w:rPr>
                <w:rFonts w:ascii="Arial" w:hAnsi="Arial" w:cs="Arial"/>
                <w:b/>
                <w:bCs/>
                <w:color w:val="000000"/>
                <w:sz w:val="19"/>
                <w:szCs w:val="19"/>
                <w:lang w:eastAsia="en-US"/>
              </w:rPr>
            </w:pPr>
            <w:r>
              <w:rPr>
                <w:rFonts w:ascii="Arial" w:hAnsi="Arial" w:cs="Arial"/>
                <w:b/>
                <w:bCs/>
                <w:color w:val="000000"/>
                <w:sz w:val="19"/>
                <w:szCs w:val="19"/>
                <w:lang w:eastAsia="en-US"/>
              </w:rPr>
              <w:t xml:space="preserve">Cumulative% of Grant </w:t>
            </w:r>
            <w:r w:rsidR="00A267BA" w:rsidRPr="00F01DB7">
              <w:rPr>
                <w:rFonts w:ascii="Arial" w:hAnsi="Arial" w:cs="Arial"/>
                <w:b/>
                <w:bCs/>
                <w:color w:val="000000"/>
                <w:sz w:val="19"/>
                <w:szCs w:val="19"/>
                <w:lang w:eastAsia="en-US"/>
              </w:rPr>
              <w:t>Disbursed</w:t>
            </w:r>
          </w:p>
        </w:tc>
        <w:tc>
          <w:tcPr>
            <w:tcW w:w="1901" w:type="dxa"/>
            <w:tcBorders>
              <w:top w:val="single" w:sz="2" w:space="0" w:color="auto"/>
              <w:left w:val="single" w:sz="2" w:space="0" w:color="auto"/>
              <w:bottom w:val="single" w:sz="2" w:space="0" w:color="auto"/>
              <w:right w:val="single" w:sz="2" w:space="0" w:color="auto"/>
            </w:tcBorders>
          </w:tcPr>
          <w:p w:rsidR="00A267BA" w:rsidRPr="00F01DB7" w:rsidRDefault="00A267BA">
            <w:pPr>
              <w:autoSpaceDE w:val="0"/>
              <w:autoSpaceDN w:val="0"/>
              <w:adjustRightInd w:val="0"/>
              <w:jc w:val="center"/>
              <w:rPr>
                <w:rFonts w:ascii="Arial" w:hAnsi="Arial" w:cs="Arial"/>
                <w:b/>
                <w:bCs/>
                <w:color w:val="000000"/>
                <w:sz w:val="19"/>
                <w:szCs w:val="19"/>
                <w:lang w:eastAsia="en-US"/>
              </w:rPr>
            </w:pPr>
            <w:r w:rsidRPr="00F01DB7">
              <w:rPr>
                <w:rFonts w:ascii="Arial" w:hAnsi="Arial" w:cs="Arial"/>
                <w:b/>
                <w:bCs/>
                <w:color w:val="000000"/>
                <w:sz w:val="19"/>
                <w:szCs w:val="19"/>
                <w:lang w:eastAsia="en-US"/>
              </w:rPr>
              <w:t xml:space="preserve">Elapsed </w:t>
            </w:r>
            <w:r w:rsidR="00451333">
              <w:rPr>
                <w:rFonts w:ascii="Arial" w:hAnsi="Arial" w:cs="Arial"/>
                <w:b/>
                <w:bCs/>
                <w:color w:val="000000"/>
                <w:sz w:val="19"/>
                <w:szCs w:val="19"/>
                <w:lang w:eastAsia="en-US"/>
              </w:rPr>
              <w:t xml:space="preserve">Project </w:t>
            </w:r>
            <w:r w:rsidRPr="00F01DB7">
              <w:rPr>
                <w:rFonts w:ascii="Arial" w:hAnsi="Arial" w:cs="Arial"/>
                <w:b/>
                <w:bCs/>
                <w:color w:val="000000"/>
                <w:sz w:val="19"/>
                <w:szCs w:val="19"/>
                <w:lang w:eastAsia="en-US"/>
              </w:rPr>
              <w:t xml:space="preserve">Period </w:t>
            </w:r>
            <w:r w:rsidR="00451333">
              <w:rPr>
                <w:rFonts w:ascii="Arial" w:hAnsi="Arial" w:cs="Arial"/>
                <w:b/>
                <w:bCs/>
                <w:color w:val="000000"/>
                <w:sz w:val="19"/>
                <w:szCs w:val="19"/>
                <w:lang w:eastAsia="en-US"/>
              </w:rPr>
              <w:t>(</w:t>
            </w:r>
            <w:r w:rsidRPr="00F01DB7">
              <w:rPr>
                <w:rFonts w:ascii="Arial" w:hAnsi="Arial" w:cs="Arial"/>
                <w:b/>
                <w:bCs/>
                <w:color w:val="000000"/>
                <w:sz w:val="19"/>
                <w:szCs w:val="19"/>
                <w:lang w:eastAsia="en-US"/>
              </w:rPr>
              <w:t>Months</w:t>
            </w:r>
            <w:r w:rsidR="00451333">
              <w:rPr>
                <w:rFonts w:ascii="Arial" w:hAnsi="Arial" w:cs="Arial"/>
                <w:b/>
                <w:bCs/>
                <w:color w:val="000000"/>
                <w:sz w:val="19"/>
                <w:szCs w:val="19"/>
                <w:lang w:eastAsia="en-US"/>
              </w:rPr>
              <w:t>)</w:t>
            </w:r>
            <w:r w:rsidR="00451333" w:rsidRPr="00F05CD3">
              <w:rPr>
                <w:rFonts w:ascii="Arial" w:hAnsi="Arial" w:cs="Arial"/>
                <w:color w:val="000000"/>
                <w:sz w:val="18"/>
                <w:szCs w:val="18"/>
                <w:vertAlign w:val="superscript"/>
              </w:rPr>
              <w:t xml:space="preserve"> a</w:t>
            </w:r>
          </w:p>
        </w:tc>
        <w:tc>
          <w:tcPr>
            <w:tcW w:w="1843" w:type="dxa"/>
            <w:tcBorders>
              <w:top w:val="single" w:sz="2" w:space="0" w:color="auto"/>
              <w:left w:val="single" w:sz="2" w:space="0" w:color="auto"/>
              <w:bottom w:val="single" w:sz="2" w:space="0" w:color="auto"/>
              <w:right w:val="single" w:sz="2" w:space="0" w:color="auto"/>
            </w:tcBorders>
          </w:tcPr>
          <w:p w:rsidR="00A267BA" w:rsidRPr="00F01DB7" w:rsidRDefault="00A267BA">
            <w:pPr>
              <w:autoSpaceDE w:val="0"/>
              <w:autoSpaceDN w:val="0"/>
              <w:adjustRightInd w:val="0"/>
              <w:jc w:val="center"/>
              <w:rPr>
                <w:rFonts w:ascii="Arial" w:hAnsi="Arial" w:cs="Arial"/>
                <w:b/>
                <w:bCs/>
                <w:color w:val="000000"/>
                <w:sz w:val="19"/>
                <w:szCs w:val="19"/>
                <w:lang w:eastAsia="en-US"/>
              </w:rPr>
            </w:pPr>
            <w:r w:rsidRPr="00F01DB7">
              <w:rPr>
                <w:rFonts w:ascii="Arial" w:hAnsi="Arial" w:cs="Arial"/>
                <w:b/>
                <w:bCs/>
                <w:color w:val="000000"/>
                <w:sz w:val="19"/>
                <w:szCs w:val="19"/>
                <w:lang w:eastAsia="en-US"/>
              </w:rPr>
              <w:t xml:space="preserve">% Elapsed Loan Period </w:t>
            </w:r>
          </w:p>
        </w:tc>
      </w:tr>
      <w:tr w:rsidR="00A267BA" w:rsidRPr="00E65146" w:rsidTr="00F01DB7">
        <w:trPr>
          <w:trHeight w:val="245"/>
          <w:jc w:val="center"/>
        </w:trPr>
        <w:tc>
          <w:tcPr>
            <w:tcW w:w="3240" w:type="dxa"/>
            <w:tcBorders>
              <w:top w:val="single" w:sz="2" w:space="0" w:color="auto"/>
              <w:left w:val="single" w:sz="2" w:space="0" w:color="auto"/>
              <w:bottom w:val="single" w:sz="2" w:space="0" w:color="auto"/>
              <w:right w:val="single" w:sz="2" w:space="0" w:color="auto"/>
            </w:tcBorders>
          </w:tcPr>
          <w:p w:rsidR="00A267BA" w:rsidRPr="00F01DB7" w:rsidRDefault="00A267BA">
            <w:pPr>
              <w:autoSpaceDE w:val="0"/>
              <w:autoSpaceDN w:val="0"/>
              <w:adjustRightInd w:val="0"/>
              <w:rPr>
                <w:rFonts w:ascii="Arial" w:hAnsi="Arial" w:cs="Arial"/>
                <w:b/>
                <w:bCs/>
                <w:color w:val="000000"/>
                <w:sz w:val="19"/>
                <w:szCs w:val="19"/>
                <w:lang w:eastAsia="en-US"/>
              </w:rPr>
            </w:pPr>
            <w:r w:rsidRPr="00F01DB7">
              <w:rPr>
                <w:rFonts w:ascii="Arial" w:hAnsi="Arial" w:cs="Arial"/>
                <w:b/>
                <w:bCs/>
                <w:color w:val="000000"/>
                <w:sz w:val="19"/>
                <w:szCs w:val="19"/>
                <w:lang w:eastAsia="en-US"/>
              </w:rPr>
              <w:t>I. Dates</w:t>
            </w:r>
          </w:p>
        </w:tc>
        <w:tc>
          <w:tcPr>
            <w:tcW w:w="2109" w:type="dxa"/>
            <w:tcBorders>
              <w:top w:val="single" w:sz="2" w:space="0" w:color="auto"/>
              <w:left w:val="single" w:sz="2" w:space="0" w:color="auto"/>
              <w:bottom w:val="single" w:sz="2" w:space="0" w:color="auto"/>
              <w:right w:val="single" w:sz="2" w:space="0" w:color="auto"/>
            </w:tcBorders>
          </w:tcPr>
          <w:p w:rsidR="00A267BA" w:rsidRPr="00F01DB7" w:rsidRDefault="00A267BA">
            <w:pPr>
              <w:autoSpaceDE w:val="0"/>
              <w:autoSpaceDN w:val="0"/>
              <w:adjustRightInd w:val="0"/>
              <w:jc w:val="center"/>
              <w:rPr>
                <w:rFonts w:ascii="Arial" w:hAnsi="Arial" w:cs="Arial"/>
                <w:b/>
                <w:bCs/>
                <w:color w:val="000000"/>
                <w:sz w:val="19"/>
                <w:szCs w:val="19"/>
                <w:lang w:eastAsia="en-US"/>
              </w:rPr>
            </w:pPr>
          </w:p>
        </w:tc>
        <w:tc>
          <w:tcPr>
            <w:tcW w:w="1984" w:type="dxa"/>
            <w:tcBorders>
              <w:top w:val="single" w:sz="2" w:space="0" w:color="auto"/>
              <w:left w:val="single" w:sz="2" w:space="0" w:color="auto"/>
              <w:bottom w:val="single" w:sz="2" w:space="0" w:color="auto"/>
              <w:right w:val="single" w:sz="2" w:space="0" w:color="auto"/>
            </w:tcBorders>
          </w:tcPr>
          <w:p w:rsidR="00A267BA" w:rsidRPr="00F01DB7" w:rsidRDefault="00A267BA">
            <w:pPr>
              <w:autoSpaceDE w:val="0"/>
              <w:autoSpaceDN w:val="0"/>
              <w:adjustRightInd w:val="0"/>
              <w:jc w:val="center"/>
              <w:rPr>
                <w:rFonts w:ascii="Arial" w:hAnsi="Arial" w:cs="Arial"/>
                <w:b/>
                <w:bCs/>
                <w:color w:val="000000"/>
                <w:sz w:val="19"/>
                <w:szCs w:val="19"/>
                <w:lang w:eastAsia="en-US"/>
              </w:rPr>
            </w:pPr>
          </w:p>
        </w:tc>
        <w:tc>
          <w:tcPr>
            <w:tcW w:w="1901" w:type="dxa"/>
            <w:tcBorders>
              <w:top w:val="single" w:sz="2" w:space="0" w:color="auto"/>
              <w:left w:val="single" w:sz="2" w:space="0" w:color="auto"/>
              <w:bottom w:val="single" w:sz="2" w:space="0" w:color="auto"/>
              <w:right w:val="single" w:sz="2" w:space="0" w:color="auto"/>
            </w:tcBorders>
          </w:tcPr>
          <w:p w:rsidR="00A267BA" w:rsidRPr="00F01DB7" w:rsidRDefault="00A267BA">
            <w:pPr>
              <w:autoSpaceDE w:val="0"/>
              <w:autoSpaceDN w:val="0"/>
              <w:adjustRightInd w:val="0"/>
              <w:jc w:val="center"/>
              <w:rPr>
                <w:rFonts w:ascii="Arial" w:hAnsi="Arial" w:cs="Arial"/>
                <w:b/>
                <w:bCs/>
                <w:color w:val="000000"/>
                <w:sz w:val="19"/>
                <w:szCs w:val="19"/>
                <w:lang w:eastAsia="en-US"/>
              </w:rPr>
            </w:pPr>
          </w:p>
        </w:tc>
        <w:tc>
          <w:tcPr>
            <w:tcW w:w="1843" w:type="dxa"/>
            <w:tcBorders>
              <w:top w:val="single" w:sz="2" w:space="0" w:color="auto"/>
              <w:left w:val="single" w:sz="2" w:space="0" w:color="auto"/>
              <w:bottom w:val="single" w:sz="2" w:space="0" w:color="auto"/>
              <w:right w:val="single" w:sz="2" w:space="0" w:color="auto"/>
            </w:tcBorders>
          </w:tcPr>
          <w:p w:rsidR="00A267BA" w:rsidRPr="00F01DB7" w:rsidRDefault="00A267BA">
            <w:pPr>
              <w:autoSpaceDE w:val="0"/>
              <w:autoSpaceDN w:val="0"/>
              <w:adjustRightInd w:val="0"/>
              <w:jc w:val="center"/>
              <w:rPr>
                <w:rFonts w:ascii="Arial" w:hAnsi="Arial" w:cs="Arial"/>
                <w:b/>
                <w:bCs/>
                <w:color w:val="000000"/>
                <w:sz w:val="19"/>
                <w:szCs w:val="19"/>
                <w:lang w:eastAsia="en-US"/>
              </w:rPr>
            </w:pPr>
          </w:p>
        </w:tc>
      </w:tr>
      <w:tr w:rsidR="00A267BA" w:rsidRPr="00E65146" w:rsidTr="00F01DB7">
        <w:trPr>
          <w:trHeight w:val="245"/>
          <w:jc w:val="center"/>
        </w:trPr>
        <w:tc>
          <w:tcPr>
            <w:tcW w:w="3240" w:type="dxa"/>
            <w:tcBorders>
              <w:top w:val="single" w:sz="2" w:space="0" w:color="auto"/>
              <w:left w:val="single" w:sz="2" w:space="0" w:color="auto"/>
              <w:bottom w:val="single" w:sz="2" w:space="0" w:color="auto"/>
              <w:right w:val="single" w:sz="2" w:space="0" w:color="auto"/>
            </w:tcBorders>
          </w:tcPr>
          <w:p w:rsidR="00A267BA" w:rsidRPr="00F01DB7" w:rsidRDefault="00A267BA">
            <w:pPr>
              <w:autoSpaceDE w:val="0"/>
              <w:autoSpaceDN w:val="0"/>
              <w:adjustRightInd w:val="0"/>
              <w:rPr>
                <w:rFonts w:ascii="Arial" w:hAnsi="Arial" w:cs="Arial"/>
                <w:color w:val="000000"/>
                <w:sz w:val="19"/>
                <w:szCs w:val="19"/>
                <w:lang w:eastAsia="en-US"/>
              </w:rPr>
            </w:pPr>
            <w:r w:rsidRPr="00F01DB7">
              <w:rPr>
                <w:rFonts w:ascii="Arial" w:hAnsi="Arial" w:cs="Arial"/>
                <w:color w:val="000000"/>
                <w:sz w:val="19"/>
                <w:szCs w:val="19"/>
                <w:lang w:eastAsia="en-US"/>
              </w:rPr>
              <w:t>31 December 2011</w:t>
            </w:r>
          </w:p>
        </w:tc>
        <w:tc>
          <w:tcPr>
            <w:tcW w:w="2109" w:type="dxa"/>
            <w:tcBorders>
              <w:top w:val="single" w:sz="2" w:space="0" w:color="auto"/>
              <w:left w:val="single" w:sz="2" w:space="0" w:color="auto"/>
              <w:bottom w:val="single" w:sz="2" w:space="0" w:color="auto"/>
              <w:right w:val="single" w:sz="2" w:space="0" w:color="auto"/>
            </w:tcBorders>
          </w:tcPr>
          <w:p w:rsidR="00A267BA" w:rsidRPr="00F01DB7" w:rsidRDefault="00A267BA">
            <w:pPr>
              <w:autoSpaceDE w:val="0"/>
              <w:autoSpaceDN w:val="0"/>
              <w:adjustRightInd w:val="0"/>
              <w:jc w:val="right"/>
              <w:rPr>
                <w:rFonts w:ascii="Arial" w:hAnsi="Arial" w:cs="Arial"/>
                <w:color w:val="000000"/>
                <w:sz w:val="19"/>
                <w:szCs w:val="19"/>
                <w:lang w:eastAsia="en-US"/>
              </w:rPr>
            </w:pPr>
            <w:r w:rsidRPr="00F01DB7">
              <w:rPr>
                <w:rFonts w:ascii="Arial" w:hAnsi="Arial" w:cs="Arial"/>
                <w:color w:val="000000"/>
                <w:sz w:val="19"/>
                <w:szCs w:val="19"/>
                <w:lang w:eastAsia="en-US"/>
              </w:rPr>
              <w:t>0.07</w:t>
            </w:r>
          </w:p>
        </w:tc>
        <w:tc>
          <w:tcPr>
            <w:tcW w:w="1984" w:type="dxa"/>
            <w:tcBorders>
              <w:top w:val="single" w:sz="2" w:space="0" w:color="auto"/>
              <w:left w:val="single" w:sz="2" w:space="0" w:color="auto"/>
              <w:bottom w:val="single" w:sz="2" w:space="0" w:color="auto"/>
              <w:right w:val="single" w:sz="2" w:space="0" w:color="auto"/>
            </w:tcBorders>
          </w:tcPr>
          <w:p w:rsidR="00A267BA" w:rsidRPr="00F01DB7" w:rsidRDefault="00A267BA">
            <w:pPr>
              <w:autoSpaceDE w:val="0"/>
              <w:autoSpaceDN w:val="0"/>
              <w:adjustRightInd w:val="0"/>
              <w:jc w:val="right"/>
              <w:rPr>
                <w:rFonts w:ascii="Arial" w:hAnsi="Arial" w:cs="Arial"/>
                <w:color w:val="000000"/>
                <w:sz w:val="19"/>
                <w:szCs w:val="19"/>
                <w:lang w:eastAsia="en-US"/>
              </w:rPr>
            </w:pPr>
            <w:r w:rsidRPr="00F01DB7">
              <w:rPr>
                <w:rFonts w:ascii="Arial" w:hAnsi="Arial" w:cs="Arial"/>
                <w:color w:val="000000"/>
                <w:sz w:val="19"/>
                <w:szCs w:val="19"/>
                <w:lang w:eastAsia="en-US"/>
              </w:rPr>
              <w:t>0.7%</w:t>
            </w:r>
          </w:p>
        </w:tc>
        <w:tc>
          <w:tcPr>
            <w:tcW w:w="1901" w:type="dxa"/>
            <w:tcBorders>
              <w:top w:val="single" w:sz="2" w:space="0" w:color="auto"/>
              <w:left w:val="single" w:sz="2" w:space="0" w:color="auto"/>
              <w:bottom w:val="single" w:sz="2" w:space="0" w:color="auto"/>
              <w:right w:val="single" w:sz="2" w:space="0" w:color="auto"/>
            </w:tcBorders>
          </w:tcPr>
          <w:p w:rsidR="00A267BA" w:rsidRPr="00F01DB7" w:rsidRDefault="00A267BA">
            <w:pPr>
              <w:autoSpaceDE w:val="0"/>
              <w:autoSpaceDN w:val="0"/>
              <w:adjustRightInd w:val="0"/>
              <w:jc w:val="center"/>
              <w:rPr>
                <w:rFonts w:ascii="Arial" w:hAnsi="Arial" w:cs="Arial"/>
                <w:color w:val="000000"/>
                <w:sz w:val="19"/>
                <w:szCs w:val="19"/>
                <w:lang w:eastAsia="en-US"/>
              </w:rPr>
            </w:pPr>
            <w:r w:rsidRPr="00F01DB7">
              <w:rPr>
                <w:rFonts w:ascii="Arial" w:hAnsi="Arial" w:cs="Arial"/>
                <w:color w:val="000000"/>
                <w:sz w:val="19"/>
                <w:szCs w:val="19"/>
                <w:lang w:eastAsia="en-US"/>
              </w:rPr>
              <w:t>12</w:t>
            </w:r>
          </w:p>
        </w:tc>
        <w:tc>
          <w:tcPr>
            <w:tcW w:w="1843" w:type="dxa"/>
            <w:tcBorders>
              <w:top w:val="single" w:sz="2" w:space="0" w:color="auto"/>
              <w:left w:val="single" w:sz="2" w:space="0" w:color="auto"/>
              <w:bottom w:val="single" w:sz="2" w:space="0" w:color="auto"/>
              <w:right w:val="single" w:sz="2" w:space="0" w:color="auto"/>
            </w:tcBorders>
          </w:tcPr>
          <w:p w:rsidR="00A267BA" w:rsidRPr="00F01DB7" w:rsidRDefault="00A267BA">
            <w:pPr>
              <w:autoSpaceDE w:val="0"/>
              <w:autoSpaceDN w:val="0"/>
              <w:adjustRightInd w:val="0"/>
              <w:jc w:val="center"/>
              <w:rPr>
                <w:rFonts w:ascii="Arial" w:hAnsi="Arial" w:cs="Arial"/>
                <w:color w:val="000000"/>
                <w:sz w:val="19"/>
                <w:szCs w:val="19"/>
                <w:lang w:eastAsia="en-US"/>
              </w:rPr>
            </w:pPr>
            <w:r w:rsidRPr="00F01DB7">
              <w:rPr>
                <w:rFonts w:ascii="Arial" w:hAnsi="Arial" w:cs="Arial"/>
                <w:color w:val="000000"/>
                <w:sz w:val="19"/>
                <w:szCs w:val="19"/>
                <w:lang w:eastAsia="en-US"/>
              </w:rPr>
              <w:t>22%</w:t>
            </w:r>
          </w:p>
        </w:tc>
      </w:tr>
      <w:tr w:rsidR="00A267BA" w:rsidRPr="00E65146" w:rsidTr="00F01DB7">
        <w:trPr>
          <w:trHeight w:val="245"/>
          <w:jc w:val="center"/>
        </w:trPr>
        <w:tc>
          <w:tcPr>
            <w:tcW w:w="3240" w:type="dxa"/>
            <w:tcBorders>
              <w:top w:val="single" w:sz="2" w:space="0" w:color="auto"/>
              <w:left w:val="single" w:sz="2" w:space="0" w:color="auto"/>
              <w:bottom w:val="single" w:sz="2" w:space="0" w:color="auto"/>
              <w:right w:val="single" w:sz="2" w:space="0" w:color="auto"/>
            </w:tcBorders>
          </w:tcPr>
          <w:p w:rsidR="00A267BA" w:rsidRPr="00F01DB7" w:rsidRDefault="00A267BA">
            <w:pPr>
              <w:autoSpaceDE w:val="0"/>
              <w:autoSpaceDN w:val="0"/>
              <w:adjustRightInd w:val="0"/>
              <w:rPr>
                <w:rFonts w:ascii="Arial" w:hAnsi="Arial" w:cs="Arial"/>
                <w:color w:val="000000"/>
                <w:sz w:val="19"/>
                <w:szCs w:val="19"/>
                <w:lang w:eastAsia="en-US"/>
              </w:rPr>
            </w:pPr>
            <w:r w:rsidRPr="00F01DB7">
              <w:rPr>
                <w:rFonts w:ascii="Arial" w:hAnsi="Arial" w:cs="Arial"/>
                <w:color w:val="000000"/>
                <w:sz w:val="19"/>
                <w:szCs w:val="19"/>
                <w:lang w:eastAsia="en-US"/>
              </w:rPr>
              <w:t>31 December 2012</w:t>
            </w:r>
          </w:p>
        </w:tc>
        <w:tc>
          <w:tcPr>
            <w:tcW w:w="2109" w:type="dxa"/>
            <w:tcBorders>
              <w:top w:val="single" w:sz="2" w:space="0" w:color="auto"/>
              <w:left w:val="single" w:sz="2" w:space="0" w:color="auto"/>
              <w:bottom w:val="single" w:sz="2" w:space="0" w:color="auto"/>
              <w:right w:val="single" w:sz="2" w:space="0" w:color="auto"/>
            </w:tcBorders>
          </w:tcPr>
          <w:p w:rsidR="00A267BA" w:rsidRPr="00F01DB7" w:rsidRDefault="00A267BA">
            <w:pPr>
              <w:autoSpaceDE w:val="0"/>
              <w:autoSpaceDN w:val="0"/>
              <w:adjustRightInd w:val="0"/>
              <w:jc w:val="right"/>
              <w:rPr>
                <w:rFonts w:ascii="Arial" w:hAnsi="Arial" w:cs="Arial"/>
                <w:color w:val="000000"/>
                <w:sz w:val="19"/>
                <w:szCs w:val="19"/>
                <w:lang w:eastAsia="en-US"/>
              </w:rPr>
            </w:pPr>
            <w:r w:rsidRPr="00F01DB7">
              <w:rPr>
                <w:rFonts w:ascii="Arial" w:hAnsi="Arial" w:cs="Arial"/>
                <w:color w:val="000000"/>
                <w:sz w:val="19"/>
                <w:szCs w:val="19"/>
                <w:lang w:eastAsia="en-US"/>
              </w:rPr>
              <w:t>0.80</w:t>
            </w:r>
          </w:p>
        </w:tc>
        <w:tc>
          <w:tcPr>
            <w:tcW w:w="1984" w:type="dxa"/>
            <w:tcBorders>
              <w:top w:val="single" w:sz="2" w:space="0" w:color="auto"/>
              <w:left w:val="single" w:sz="2" w:space="0" w:color="auto"/>
              <w:bottom w:val="single" w:sz="2" w:space="0" w:color="auto"/>
              <w:right w:val="single" w:sz="2" w:space="0" w:color="auto"/>
            </w:tcBorders>
          </w:tcPr>
          <w:p w:rsidR="00A267BA" w:rsidRPr="00F01DB7" w:rsidRDefault="00A267BA">
            <w:pPr>
              <w:autoSpaceDE w:val="0"/>
              <w:autoSpaceDN w:val="0"/>
              <w:adjustRightInd w:val="0"/>
              <w:jc w:val="right"/>
              <w:rPr>
                <w:rFonts w:ascii="Arial" w:hAnsi="Arial" w:cs="Arial"/>
                <w:color w:val="000000"/>
                <w:sz w:val="19"/>
                <w:szCs w:val="19"/>
                <w:lang w:eastAsia="en-US"/>
              </w:rPr>
            </w:pPr>
            <w:r w:rsidRPr="00F01DB7">
              <w:rPr>
                <w:rFonts w:ascii="Arial" w:hAnsi="Arial" w:cs="Arial"/>
                <w:color w:val="000000"/>
                <w:sz w:val="19"/>
                <w:szCs w:val="19"/>
                <w:lang w:eastAsia="en-US"/>
              </w:rPr>
              <w:t>7.4%</w:t>
            </w:r>
          </w:p>
        </w:tc>
        <w:tc>
          <w:tcPr>
            <w:tcW w:w="1901" w:type="dxa"/>
            <w:tcBorders>
              <w:top w:val="single" w:sz="2" w:space="0" w:color="auto"/>
              <w:left w:val="single" w:sz="2" w:space="0" w:color="auto"/>
              <w:bottom w:val="single" w:sz="2" w:space="0" w:color="auto"/>
              <w:right w:val="single" w:sz="2" w:space="0" w:color="auto"/>
            </w:tcBorders>
          </w:tcPr>
          <w:p w:rsidR="00A267BA" w:rsidRPr="00F01DB7" w:rsidRDefault="00A267BA">
            <w:pPr>
              <w:autoSpaceDE w:val="0"/>
              <w:autoSpaceDN w:val="0"/>
              <w:adjustRightInd w:val="0"/>
              <w:jc w:val="center"/>
              <w:rPr>
                <w:rFonts w:ascii="Arial" w:hAnsi="Arial" w:cs="Arial"/>
                <w:color w:val="000000"/>
                <w:sz w:val="19"/>
                <w:szCs w:val="19"/>
                <w:lang w:eastAsia="en-US"/>
              </w:rPr>
            </w:pPr>
            <w:r w:rsidRPr="00F01DB7">
              <w:rPr>
                <w:rFonts w:ascii="Arial" w:hAnsi="Arial" w:cs="Arial"/>
                <w:color w:val="000000"/>
                <w:sz w:val="19"/>
                <w:szCs w:val="19"/>
                <w:lang w:eastAsia="en-US"/>
              </w:rPr>
              <w:t>24</w:t>
            </w:r>
          </w:p>
        </w:tc>
        <w:tc>
          <w:tcPr>
            <w:tcW w:w="1843" w:type="dxa"/>
            <w:tcBorders>
              <w:top w:val="single" w:sz="2" w:space="0" w:color="auto"/>
              <w:left w:val="single" w:sz="2" w:space="0" w:color="auto"/>
              <w:bottom w:val="single" w:sz="2" w:space="0" w:color="auto"/>
              <w:right w:val="single" w:sz="2" w:space="0" w:color="auto"/>
            </w:tcBorders>
          </w:tcPr>
          <w:p w:rsidR="00A267BA" w:rsidRPr="00F01DB7" w:rsidRDefault="00A267BA">
            <w:pPr>
              <w:autoSpaceDE w:val="0"/>
              <w:autoSpaceDN w:val="0"/>
              <w:adjustRightInd w:val="0"/>
              <w:jc w:val="center"/>
              <w:rPr>
                <w:rFonts w:ascii="Arial" w:hAnsi="Arial" w:cs="Arial"/>
                <w:color w:val="000000"/>
                <w:sz w:val="19"/>
                <w:szCs w:val="19"/>
                <w:lang w:eastAsia="en-US"/>
              </w:rPr>
            </w:pPr>
            <w:r w:rsidRPr="00F01DB7">
              <w:rPr>
                <w:rFonts w:ascii="Arial" w:hAnsi="Arial" w:cs="Arial"/>
                <w:color w:val="000000"/>
                <w:sz w:val="19"/>
                <w:szCs w:val="19"/>
                <w:lang w:eastAsia="en-US"/>
              </w:rPr>
              <w:t>44%</w:t>
            </w:r>
          </w:p>
        </w:tc>
      </w:tr>
      <w:tr w:rsidR="00A267BA" w:rsidRPr="00E65146" w:rsidTr="00F01DB7">
        <w:trPr>
          <w:trHeight w:val="245"/>
          <w:jc w:val="center"/>
        </w:trPr>
        <w:tc>
          <w:tcPr>
            <w:tcW w:w="3240" w:type="dxa"/>
            <w:tcBorders>
              <w:top w:val="single" w:sz="2" w:space="0" w:color="auto"/>
              <w:left w:val="single" w:sz="2" w:space="0" w:color="auto"/>
              <w:bottom w:val="single" w:sz="2" w:space="0" w:color="auto"/>
              <w:right w:val="single" w:sz="2" w:space="0" w:color="auto"/>
            </w:tcBorders>
          </w:tcPr>
          <w:p w:rsidR="00A267BA" w:rsidRPr="00F01DB7" w:rsidRDefault="00A267BA">
            <w:pPr>
              <w:autoSpaceDE w:val="0"/>
              <w:autoSpaceDN w:val="0"/>
              <w:adjustRightInd w:val="0"/>
              <w:rPr>
                <w:rFonts w:ascii="Arial" w:hAnsi="Arial" w:cs="Arial"/>
                <w:color w:val="000000"/>
                <w:sz w:val="19"/>
                <w:szCs w:val="19"/>
                <w:lang w:eastAsia="en-US"/>
              </w:rPr>
            </w:pPr>
            <w:r w:rsidRPr="00F01DB7">
              <w:rPr>
                <w:rFonts w:ascii="Arial" w:hAnsi="Arial" w:cs="Arial"/>
                <w:color w:val="000000"/>
                <w:sz w:val="19"/>
                <w:szCs w:val="19"/>
                <w:lang w:eastAsia="en-US"/>
              </w:rPr>
              <w:t>31 December 2013</w:t>
            </w:r>
          </w:p>
        </w:tc>
        <w:tc>
          <w:tcPr>
            <w:tcW w:w="2109" w:type="dxa"/>
            <w:tcBorders>
              <w:top w:val="single" w:sz="2" w:space="0" w:color="auto"/>
              <w:left w:val="single" w:sz="2" w:space="0" w:color="auto"/>
              <w:bottom w:val="single" w:sz="2" w:space="0" w:color="auto"/>
              <w:right w:val="single" w:sz="2" w:space="0" w:color="auto"/>
            </w:tcBorders>
          </w:tcPr>
          <w:p w:rsidR="00A267BA" w:rsidRPr="00F01DB7" w:rsidRDefault="00A267BA">
            <w:pPr>
              <w:autoSpaceDE w:val="0"/>
              <w:autoSpaceDN w:val="0"/>
              <w:adjustRightInd w:val="0"/>
              <w:jc w:val="right"/>
              <w:rPr>
                <w:rFonts w:ascii="Arial" w:hAnsi="Arial" w:cs="Arial"/>
                <w:color w:val="000000"/>
                <w:sz w:val="19"/>
                <w:szCs w:val="19"/>
                <w:lang w:eastAsia="en-US"/>
              </w:rPr>
            </w:pPr>
            <w:r w:rsidRPr="00F01DB7">
              <w:rPr>
                <w:rFonts w:ascii="Arial" w:hAnsi="Arial" w:cs="Arial"/>
                <w:color w:val="000000"/>
                <w:sz w:val="19"/>
                <w:szCs w:val="19"/>
                <w:lang w:eastAsia="en-US"/>
              </w:rPr>
              <w:t>1.33</w:t>
            </w:r>
          </w:p>
        </w:tc>
        <w:tc>
          <w:tcPr>
            <w:tcW w:w="1984" w:type="dxa"/>
            <w:tcBorders>
              <w:top w:val="single" w:sz="2" w:space="0" w:color="auto"/>
              <w:left w:val="single" w:sz="2" w:space="0" w:color="auto"/>
              <w:bottom w:val="single" w:sz="2" w:space="0" w:color="auto"/>
              <w:right w:val="single" w:sz="2" w:space="0" w:color="auto"/>
            </w:tcBorders>
          </w:tcPr>
          <w:p w:rsidR="00A267BA" w:rsidRPr="00F01DB7" w:rsidRDefault="00A267BA">
            <w:pPr>
              <w:autoSpaceDE w:val="0"/>
              <w:autoSpaceDN w:val="0"/>
              <w:adjustRightInd w:val="0"/>
              <w:jc w:val="right"/>
              <w:rPr>
                <w:rFonts w:ascii="Arial" w:hAnsi="Arial" w:cs="Arial"/>
                <w:color w:val="000000"/>
                <w:sz w:val="19"/>
                <w:szCs w:val="19"/>
                <w:lang w:eastAsia="en-US"/>
              </w:rPr>
            </w:pPr>
            <w:r w:rsidRPr="00F01DB7">
              <w:rPr>
                <w:rFonts w:ascii="Arial" w:hAnsi="Arial" w:cs="Arial"/>
                <w:color w:val="000000"/>
                <w:sz w:val="19"/>
                <w:szCs w:val="19"/>
                <w:lang w:eastAsia="en-US"/>
              </w:rPr>
              <w:t>12.4%</w:t>
            </w:r>
          </w:p>
        </w:tc>
        <w:tc>
          <w:tcPr>
            <w:tcW w:w="1901" w:type="dxa"/>
            <w:tcBorders>
              <w:top w:val="single" w:sz="2" w:space="0" w:color="auto"/>
              <w:left w:val="single" w:sz="2" w:space="0" w:color="auto"/>
              <w:bottom w:val="single" w:sz="2" w:space="0" w:color="auto"/>
              <w:right w:val="single" w:sz="2" w:space="0" w:color="auto"/>
            </w:tcBorders>
          </w:tcPr>
          <w:p w:rsidR="00A267BA" w:rsidRPr="00F01DB7" w:rsidRDefault="00A267BA" w:rsidP="00F01DB7">
            <w:pPr>
              <w:autoSpaceDE w:val="0"/>
              <w:autoSpaceDN w:val="0"/>
              <w:adjustRightInd w:val="0"/>
              <w:ind w:left="-30"/>
              <w:jc w:val="center"/>
              <w:rPr>
                <w:rFonts w:ascii="Arial" w:hAnsi="Arial" w:cs="Arial"/>
                <w:color w:val="000000"/>
                <w:sz w:val="19"/>
                <w:szCs w:val="19"/>
                <w:lang w:eastAsia="en-US"/>
              </w:rPr>
            </w:pPr>
            <w:r w:rsidRPr="00F01DB7">
              <w:rPr>
                <w:rFonts w:ascii="Arial" w:hAnsi="Arial" w:cs="Arial"/>
                <w:color w:val="000000"/>
                <w:sz w:val="19"/>
                <w:szCs w:val="19"/>
                <w:lang w:eastAsia="en-US"/>
              </w:rPr>
              <w:t>36</w:t>
            </w:r>
          </w:p>
        </w:tc>
        <w:tc>
          <w:tcPr>
            <w:tcW w:w="1843" w:type="dxa"/>
            <w:tcBorders>
              <w:top w:val="single" w:sz="2" w:space="0" w:color="auto"/>
              <w:left w:val="single" w:sz="2" w:space="0" w:color="auto"/>
              <w:bottom w:val="single" w:sz="2" w:space="0" w:color="auto"/>
              <w:right w:val="single" w:sz="2" w:space="0" w:color="auto"/>
            </w:tcBorders>
          </w:tcPr>
          <w:p w:rsidR="00A267BA" w:rsidRPr="00F01DB7" w:rsidRDefault="00A267BA">
            <w:pPr>
              <w:autoSpaceDE w:val="0"/>
              <w:autoSpaceDN w:val="0"/>
              <w:adjustRightInd w:val="0"/>
              <w:jc w:val="center"/>
              <w:rPr>
                <w:rFonts w:ascii="Arial" w:hAnsi="Arial" w:cs="Arial"/>
                <w:color w:val="000000"/>
                <w:sz w:val="19"/>
                <w:szCs w:val="19"/>
                <w:lang w:eastAsia="en-US"/>
              </w:rPr>
            </w:pPr>
            <w:r w:rsidRPr="00F01DB7">
              <w:rPr>
                <w:rFonts w:ascii="Arial" w:hAnsi="Arial" w:cs="Arial"/>
                <w:color w:val="000000"/>
                <w:sz w:val="19"/>
                <w:szCs w:val="19"/>
                <w:lang w:eastAsia="en-US"/>
              </w:rPr>
              <w:t>67%</w:t>
            </w:r>
          </w:p>
        </w:tc>
      </w:tr>
      <w:tr w:rsidR="00A267BA" w:rsidRPr="00E65146" w:rsidTr="00F01DB7">
        <w:trPr>
          <w:trHeight w:val="245"/>
          <w:jc w:val="center"/>
        </w:trPr>
        <w:tc>
          <w:tcPr>
            <w:tcW w:w="3240" w:type="dxa"/>
            <w:tcBorders>
              <w:top w:val="single" w:sz="2" w:space="0" w:color="auto"/>
              <w:left w:val="single" w:sz="2" w:space="0" w:color="auto"/>
              <w:bottom w:val="single" w:sz="2" w:space="0" w:color="auto"/>
              <w:right w:val="single" w:sz="2" w:space="0" w:color="auto"/>
            </w:tcBorders>
          </w:tcPr>
          <w:p w:rsidR="00A267BA" w:rsidRPr="00F01DB7" w:rsidRDefault="00A267BA">
            <w:pPr>
              <w:autoSpaceDE w:val="0"/>
              <w:autoSpaceDN w:val="0"/>
              <w:adjustRightInd w:val="0"/>
              <w:rPr>
                <w:rFonts w:ascii="Arial" w:hAnsi="Arial" w:cs="Arial"/>
                <w:color w:val="000000"/>
                <w:sz w:val="19"/>
                <w:szCs w:val="19"/>
                <w:lang w:eastAsia="en-US"/>
              </w:rPr>
            </w:pPr>
            <w:r w:rsidRPr="00F01DB7">
              <w:rPr>
                <w:rFonts w:ascii="Arial" w:hAnsi="Arial" w:cs="Arial"/>
                <w:color w:val="000000"/>
                <w:sz w:val="19"/>
                <w:szCs w:val="19"/>
                <w:lang w:eastAsia="en-US"/>
              </w:rPr>
              <w:t>31 December 2014</w:t>
            </w:r>
          </w:p>
        </w:tc>
        <w:tc>
          <w:tcPr>
            <w:tcW w:w="2109" w:type="dxa"/>
            <w:tcBorders>
              <w:top w:val="single" w:sz="2" w:space="0" w:color="auto"/>
              <w:left w:val="single" w:sz="2" w:space="0" w:color="auto"/>
              <w:bottom w:val="single" w:sz="2" w:space="0" w:color="auto"/>
              <w:right w:val="single" w:sz="2" w:space="0" w:color="auto"/>
            </w:tcBorders>
          </w:tcPr>
          <w:p w:rsidR="00A267BA" w:rsidRPr="00F01DB7" w:rsidRDefault="00A267BA">
            <w:pPr>
              <w:autoSpaceDE w:val="0"/>
              <w:autoSpaceDN w:val="0"/>
              <w:adjustRightInd w:val="0"/>
              <w:jc w:val="right"/>
              <w:rPr>
                <w:rFonts w:ascii="Arial" w:hAnsi="Arial" w:cs="Arial"/>
                <w:color w:val="000000"/>
                <w:sz w:val="19"/>
                <w:szCs w:val="19"/>
                <w:lang w:eastAsia="en-US"/>
              </w:rPr>
            </w:pPr>
            <w:r w:rsidRPr="00F01DB7">
              <w:rPr>
                <w:rFonts w:ascii="Arial" w:hAnsi="Arial" w:cs="Arial"/>
                <w:color w:val="000000"/>
                <w:sz w:val="19"/>
                <w:szCs w:val="19"/>
                <w:lang w:eastAsia="en-US"/>
              </w:rPr>
              <w:t>1.34</w:t>
            </w:r>
          </w:p>
        </w:tc>
        <w:tc>
          <w:tcPr>
            <w:tcW w:w="1984" w:type="dxa"/>
            <w:tcBorders>
              <w:top w:val="single" w:sz="2" w:space="0" w:color="auto"/>
              <w:left w:val="single" w:sz="2" w:space="0" w:color="auto"/>
              <w:bottom w:val="single" w:sz="2" w:space="0" w:color="auto"/>
              <w:right w:val="single" w:sz="2" w:space="0" w:color="auto"/>
            </w:tcBorders>
          </w:tcPr>
          <w:p w:rsidR="00A267BA" w:rsidRPr="00F01DB7" w:rsidRDefault="00A267BA">
            <w:pPr>
              <w:autoSpaceDE w:val="0"/>
              <w:autoSpaceDN w:val="0"/>
              <w:adjustRightInd w:val="0"/>
              <w:jc w:val="right"/>
              <w:rPr>
                <w:rFonts w:ascii="Arial" w:hAnsi="Arial" w:cs="Arial"/>
                <w:color w:val="000000"/>
                <w:sz w:val="19"/>
                <w:szCs w:val="19"/>
                <w:lang w:eastAsia="en-US"/>
              </w:rPr>
            </w:pPr>
            <w:r w:rsidRPr="00F01DB7">
              <w:rPr>
                <w:rFonts w:ascii="Arial" w:hAnsi="Arial" w:cs="Arial"/>
                <w:color w:val="000000"/>
                <w:sz w:val="19"/>
                <w:szCs w:val="19"/>
                <w:lang w:eastAsia="en-US"/>
              </w:rPr>
              <w:t>12.5%</w:t>
            </w:r>
          </w:p>
        </w:tc>
        <w:tc>
          <w:tcPr>
            <w:tcW w:w="1901" w:type="dxa"/>
            <w:tcBorders>
              <w:top w:val="single" w:sz="2" w:space="0" w:color="auto"/>
              <w:left w:val="single" w:sz="2" w:space="0" w:color="auto"/>
              <w:bottom w:val="single" w:sz="2" w:space="0" w:color="auto"/>
              <w:right w:val="single" w:sz="2" w:space="0" w:color="auto"/>
            </w:tcBorders>
          </w:tcPr>
          <w:p w:rsidR="00A267BA" w:rsidRPr="00F01DB7" w:rsidRDefault="00A267BA">
            <w:pPr>
              <w:autoSpaceDE w:val="0"/>
              <w:autoSpaceDN w:val="0"/>
              <w:adjustRightInd w:val="0"/>
              <w:jc w:val="center"/>
              <w:rPr>
                <w:rFonts w:ascii="Arial" w:hAnsi="Arial" w:cs="Arial"/>
                <w:color w:val="000000"/>
                <w:sz w:val="19"/>
                <w:szCs w:val="19"/>
                <w:lang w:eastAsia="en-US"/>
              </w:rPr>
            </w:pPr>
            <w:r w:rsidRPr="00F01DB7">
              <w:rPr>
                <w:rFonts w:ascii="Arial" w:hAnsi="Arial" w:cs="Arial"/>
                <w:color w:val="000000"/>
                <w:sz w:val="19"/>
                <w:szCs w:val="19"/>
                <w:lang w:eastAsia="en-US"/>
              </w:rPr>
              <w:t>48</w:t>
            </w:r>
          </w:p>
        </w:tc>
        <w:tc>
          <w:tcPr>
            <w:tcW w:w="1843" w:type="dxa"/>
            <w:tcBorders>
              <w:top w:val="single" w:sz="2" w:space="0" w:color="auto"/>
              <w:left w:val="single" w:sz="2" w:space="0" w:color="auto"/>
              <w:bottom w:val="single" w:sz="2" w:space="0" w:color="auto"/>
              <w:right w:val="single" w:sz="2" w:space="0" w:color="auto"/>
            </w:tcBorders>
          </w:tcPr>
          <w:p w:rsidR="00A267BA" w:rsidRPr="00F01DB7" w:rsidRDefault="00A267BA">
            <w:pPr>
              <w:autoSpaceDE w:val="0"/>
              <w:autoSpaceDN w:val="0"/>
              <w:adjustRightInd w:val="0"/>
              <w:jc w:val="center"/>
              <w:rPr>
                <w:rFonts w:ascii="Arial" w:hAnsi="Arial" w:cs="Arial"/>
                <w:color w:val="000000"/>
                <w:sz w:val="19"/>
                <w:szCs w:val="19"/>
                <w:lang w:eastAsia="en-US"/>
              </w:rPr>
            </w:pPr>
            <w:r w:rsidRPr="00F01DB7">
              <w:rPr>
                <w:rFonts w:ascii="Arial" w:hAnsi="Arial" w:cs="Arial"/>
                <w:color w:val="000000"/>
                <w:sz w:val="19"/>
                <w:szCs w:val="19"/>
                <w:lang w:eastAsia="en-US"/>
              </w:rPr>
              <w:t>89%</w:t>
            </w:r>
          </w:p>
        </w:tc>
      </w:tr>
      <w:tr w:rsidR="00A267BA" w:rsidRPr="00E65146" w:rsidTr="00F01DB7">
        <w:trPr>
          <w:trHeight w:val="245"/>
          <w:jc w:val="center"/>
        </w:trPr>
        <w:tc>
          <w:tcPr>
            <w:tcW w:w="3240" w:type="dxa"/>
            <w:tcBorders>
              <w:top w:val="single" w:sz="2" w:space="0" w:color="auto"/>
              <w:left w:val="single" w:sz="2" w:space="0" w:color="auto"/>
              <w:bottom w:val="single" w:sz="2" w:space="0" w:color="auto"/>
              <w:right w:val="single" w:sz="2" w:space="0" w:color="auto"/>
            </w:tcBorders>
          </w:tcPr>
          <w:p w:rsidR="00A267BA" w:rsidRPr="00F01DB7" w:rsidRDefault="00A267BA">
            <w:pPr>
              <w:autoSpaceDE w:val="0"/>
              <w:autoSpaceDN w:val="0"/>
              <w:adjustRightInd w:val="0"/>
              <w:rPr>
                <w:rFonts w:ascii="Arial" w:hAnsi="Arial" w:cs="Arial"/>
                <w:color w:val="000000"/>
                <w:sz w:val="19"/>
                <w:szCs w:val="19"/>
                <w:lang w:eastAsia="en-US"/>
              </w:rPr>
            </w:pPr>
            <w:r w:rsidRPr="00F01DB7">
              <w:rPr>
                <w:rFonts w:ascii="Arial" w:hAnsi="Arial" w:cs="Arial"/>
                <w:color w:val="000000"/>
                <w:sz w:val="19"/>
                <w:szCs w:val="19"/>
                <w:lang w:eastAsia="en-US"/>
              </w:rPr>
              <w:t>15 May 2015</w:t>
            </w:r>
          </w:p>
        </w:tc>
        <w:tc>
          <w:tcPr>
            <w:tcW w:w="2109" w:type="dxa"/>
            <w:tcBorders>
              <w:top w:val="single" w:sz="2" w:space="0" w:color="auto"/>
              <w:left w:val="single" w:sz="2" w:space="0" w:color="auto"/>
              <w:bottom w:val="single" w:sz="2" w:space="0" w:color="auto"/>
              <w:right w:val="single" w:sz="2" w:space="0" w:color="auto"/>
            </w:tcBorders>
          </w:tcPr>
          <w:p w:rsidR="00A267BA" w:rsidRPr="00F01DB7" w:rsidRDefault="00A267BA">
            <w:pPr>
              <w:autoSpaceDE w:val="0"/>
              <w:autoSpaceDN w:val="0"/>
              <w:adjustRightInd w:val="0"/>
              <w:jc w:val="right"/>
              <w:rPr>
                <w:rFonts w:ascii="Arial" w:hAnsi="Arial" w:cs="Arial"/>
                <w:color w:val="000000"/>
                <w:sz w:val="19"/>
                <w:szCs w:val="19"/>
                <w:lang w:eastAsia="en-US"/>
              </w:rPr>
            </w:pPr>
            <w:r w:rsidRPr="00F01DB7">
              <w:rPr>
                <w:rFonts w:ascii="Arial" w:hAnsi="Arial" w:cs="Arial"/>
                <w:color w:val="000000"/>
                <w:sz w:val="19"/>
                <w:szCs w:val="19"/>
                <w:lang w:eastAsia="en-US"/>
              </w:rPr>
              <w:t>6.45</w:t>
            </w:r>
          </w:p>
        </w:tc>
        <w:tc>
          <w:tcPr>
            <w:tcW w:w="1984" w:type="dxa"/>
            <w:tcBorders>
              <w:top w:val="single" w:sz="2" w:space="0" w:color="auto"/>
              <w:left w:val="single" w:sz="2" w:space="0" w:color="auto"/>
              <w:bottom w:val="single" w:sz="2" w:space="0" w:color="auto"/>
              <w:right w:val="single" w:sz="2" w:space="0" w:color="auto"/>
            </w:tcBorders>
          </w:tcPr>
          <w:p w:rsidR="00A267BA" w:rsidRPr="00F01DB7" w:rsidRDefault="00A267BA">
            <w:pPr>
              <w:autoSpaceDE w:val="0"/>
              <w:autoSpaceDN w:val="0"/>
              <w:adjustRightInd w:val="0"/>
              <w:jc w:val="right"/>
              <w:rPr>
                <w:rFonts w:ascii="Arial" w:hAnsi="Arial" w:cs="Arial"/>
                <w:color w:val="000000"/>
                <w:sz w:val="19"/>
                <w:szCs w:val="19"/>
                <w:lang w:eastAsia="en-US"/>
              </w:rPr>
            </w:pPr>
            <w:r w:rsidRPr="00F01DB7">
              <w:rPr>
                <w:rFonts w:ascii="Arial" w:hAnsi="Arial" w:cs="Arial"/>
                <w:color w:val="000000"/>
                <w:sz w:val="19"/>
                <w:szCs w:val="19"/>
                <w:lang w:eastAsia="en-US"/>
              </w:rPr>
              <w:t>60.0%</w:t>
            </w:r>
          </w:p>
        </w:tc>
        <w:tc>
          <w:tcPr>
            <w:tcW w:w="1901" w:type="dxa"/>
            <w:tcBorders>
              <w:top w:val="single" w:sz="2" w:space="0" w:color="auto"/>
              <w:left w:val="single" w:sz="2" w:space="0" w:color="auto"/>
              <w:bottom w:val="single" w:sz="2" w:space="0" w:color="auto"/>
              <w:right w:val="single" w:sz="2" w:space="0" w:color="auto"/>
            </w:tcBorders>
          </w:tcPr>
          <w:p w:rsidR="00A267BA" w:rsidRPr="00F01DB7" w:rsidRDefault="00A267BA">
            <w:pPr>
              <w:autoSpaceDE w:val="0"/>
              <w:autoSpaceDN w:val="0"/>
              <w:adjustRightInd w:val="0"/>
              <w:jc w:val="center"/>
              <w:rPr>
                <w:rFonts w:ascii="Arial" w:hAnsi="Arial" w:cs="Arial"/>
                <w:color w:val="000000"/>
                <w:sz w:val="19"/>
                <w:szCs w:val="19"/>
                <w:lang w:eastAsia="en-US"/>
              </w:rPr>
            </w:pPr>
            <w:r w:rsidRPr="00F01DB7">
              <w:rPr>
                <w:rFonts w:ascii="Arial" w:hAnsi="Arial" w:cs="Arial"/>
                <w:color w:val="000000"/>
                <w:sz w:val="19"/>
                <w:szCs w:val="19"/>
                <w:lang w:eastAsia="en-US"/>
              </w:rPr>
              <w:t>54</w:t>
            </w:r>
          </w:p>
        </w:tc>
        <w:tc>
          <w:tcPr>
            <w:tcW w:w="1843" w:type="dxa"/>
            <w:tcBorders>
              <w:top w:val="single" w:sz="2" w:space="0" w:color="auto"/>
              <w:left w:val="single" w:sz="2" w:space="0" w:color="auto"/>
              <w:bottom w:val="single" w:sz="2" w:space="0" w:color="auto"/>
              <w:right w:val="single" w:sz="2" w:space="0" w:color="auto"/>
            </w:tcBorders>
          </w:tcPr>
          <w:p w:rsidR="00A267BA" w:rsidRPr="00F01DB7" w:rsidRDefault="00A267BA">
            <w:pPr>
              <w:autoSpaceDE w:val="0"/>
              <w:autoSpaceDN w:val="0"/>
              <w:adjustRightInd w:val="0"/>
              <w:jc w:val="center"/>
              <w:rPr>
                <w:rFonts w:ascii="Arial" w:hAnsi="Arial" w:cs="Arial"/>
                <w:color w:val="000000"/>
                <w:sz w:val="19"/>
                <w:szCs w:val="19"/>
                <w:lang w:eastAsia="en-US"/>
              </w:rPr>
            </w:pPr>
            <w:r w:rsidRPr="00F01DB7">
              <w:rPr>
                <w:rFonts w:ascii="Arial" w:hAnsi="Arial" w:cs="Arial"/>
                <w:color w:val="000000"/>
                <w:sz w:val="19"/>
                <w:szCs w:val="19"/>
                <w:lang w:eastAsia="en-US"/>
              </w:rPr>
              <w:t>100%</w:t>
            </w:r>
          </w:p>
        </w:tc>
      </w:tr>
      <w:tr w:rsidR="00A267BA" w:rsidRPr="00E65146" w:rsidTr="00F01DB7">
        <w:trPr>
          <w:trHeight w:val="245"/>
          <w:jc w:val="center"/>
        </w:trPr>
        <w:tc>
          <w:tcPr>
            <w:tcW w:w="3240" w:type="dxa"/>
            <w:tcBorders>
              <w:top w:val="single" w:sz="2" w:space="0" w:color="auto"/>
              <w:left w:val="single" w:sz="2" w:space="0" w:color="auto"/>
              <w:bottom w:val="single" w:sz="2" w:space="0" w:color="auto"/>
              <w:right w:val="single" w:sz="2" w:space="0" w:color="auto"/>
            </w:tcBorders>
          </w:tcPr>
          <w:p w:rsidR="00A267BA" w:rsidRPr="00F01DB7" w:rsidRDefault="00A267BA">
            <w:pPr>
              <w:autoSpaceDE w:val="0"/>
              <w:autoSpaceDN w:val="0"/>
              <w:adjustRightInd w:val="0"/>
              <w:rPr>
                <w:rFonts w:ascii="Arial" w:hAnsi="Arial" w:cs="Arial"/>
                <w:color w:val="000000"/>
                <w:sz w:val="19"/>
                <w:szCs w:val="19"/>
                <w:lang w:eastAsia="en-US"/>
              </w:rPr>
            </w:pPr>
            <w:r w:rsidRPr="00F01DB7">
              <w:rPr>
                <w:rFonts w:ascii="Arial" w:hAnsi="Arial" w:cs="Arial"/>
                <w:color w:val="000000"/>
                <w:sz w:val="19"/>
                <w:szCs w:val="19"/>
                <w:lang w:eastAsia="en-US"/>
              </w:rPr>
              <w:t>31/12/2015 (estimated)</w:t>
            </w:r>
          </w:p>
        </w:tc>
        <w:tc>
          <w:tcPr>
            <w:tcW w:w="2109" w:type="dxa"/>
            <w:tcBorders>
              <w:top w:val="single" w:sz="2" w:space="0" w:color="auto"/>
              <w:left w:val="single" w:sz="2" w:space="0" w:color="auto"/>
              <w:bottom w:val="single" w:sz="2" w:space="0" w:color="auto"/>
              <w:right w:val="single" w:sz="2" w:space="0" w:color="auto"/>
            </w:tcBorders>
          </w:tcPr>
          <w:p w:rsidR="00A267BA" w:rsidRPr="00F01DB7" w:rsidRDefault="00A267BA">
            <w:pPr>
              <w:autoSpaceDE w:val="0"/>
              <w:autoSpaceDN w:val="0"/>
              <w:adjustRightInd w:val="0"/>
              <w:jc w:val="right"/>
              <w:rPr>
                <w:rFonts w:ascii="Arial" w:hAnsi="Arial" w:cs="Arial"/>
                <w:color w:val="000000"/>
                <w:sz w:val="19"/>
                <w:szCs w:val="19"/>
                <w:lang w:eastAsia="en-US"/>
              </w:rPr>
            </w:pPr>
            <w:r w:rsidRPr="00F01DB7">
              <w:rPr>
                <w:rFonts w:ascii="Arial" w:hAnsi="Arial" w:cs="Arial"/>
                <w:color w:val="000000"/>
                <w:sz w:val="19"/>
                <w:szCs w:val="19"/>
                <w:lang w:eastAsia="en-US"/>
              </w:rPr>
              <w:t>10.65</w:t>
            </w:r>
          </w:p>
        </w:tc>
        <w:tc>
          <w:tcPr>
            <w:tcW w:w="1984" w:type="dxa"/>
            <w:tcBorders>
              <w:top w:val="single" w:sz="2" w:space="0" w:color="auto"/>
              <w:left w:val="single" w:sz="2" w:space="0" w:color="auto"/>
              <w:bottom w:val="single" w:sz="2" w:space="0" w:color="auto"/>
              <w:right w:val="single" w:sz="2" w:space="0" w:color="auto"/>
            </w:tcBorders>
          </w:tcPr>
          <w:p w:rsidR="00A267BA" w:rsidRPr="00F01DB7" w:rsidRDefault="00A267BA">
            <w:pPr>
              <w:autoSpaceDE w:val="0"/>
              <w:autoSpaceDN w:val="0"/>
              <w:adjustRightInd w:val="0"/>
              <w:jc w:val="right"/>
              <w:rPr>
                <w:rFonts w:ascii="Arial" w:hAnsi="Arial" w:cs="Arial"/>
                <w:color w:val="000000"/>
                <w:sz w:val="19"/>
                <w:szCs w:val="19"/>
                <w:lang w:eastAsia="en-US"/>
              </w:rPr>
            </w:pPr>
            <w:r w:rsidRPr="00F01DB7">
              <w:rPr>
                <w:rFonts w:ascii="Arial" w:hAnsi="Arial" w:cs="Arial"/>
                <w:color w:val="000000"/>
                <w:sz w:val="19"/>
                <w:szCs w:val="19"/>
                <w:lang w:eastAsia="en-US"/>
              </w:rPr>
              <w:t>99.1%</w:t>
            </w:r>
          </w:p>
        </w:tc>
        <w:tc>
          <w:tcPr>
            <w:tcW w:w="1901" w:type="dxa"/>
            <w:tcBorders>
              <w:top w:val="single" w:sz="2" w:space="0" w:color="auto"/>
              <w:left w:val="single" w:sz="2" w:space="0" w:color="auto"/>
              <w:bottom w:val="single" w:sz="2" w:space="0" w:color="auto"/>
              <w:right w:val="single" w:sz="2" w:space="0" w:color="auto"/>
            </w:tcBorders>
          </w:tcPr>
          <w:p w:rsidR="00A267BA" w:rsidRPr="00F01DB7" w:rsidRDefault="00A267BA">
            <w:pPr>
              <w:autoSpaceDE w:val="0"/>
              <w:autoSpaceDN w:val="0"/>
              <w:adjustRightInd w:val="0"/>
              <w:jc w:val="right"/>
              <w:rPr>
                <w:rFonts w:ascii="Arial" w:hAnsi="Arial" w:cs="Arial"/>
                <w:color w:val="000000"/>
                <w:sz w:val="19"/>
                <w:szCs w:val="19"/>
                <w:lang w:eastAsia="en-US"/>
              </w:rPr>
            </w:pPr>
          </w:p>
        </w:tc>
        <w:tc>
          <w:tcPr>
            <w:tcW w:w="1843" w:type="dxa"/>
            <w:tcBorders>
              <w:top w:val="single" w:sz="2" w:space="0" w:color="auto"/>
              <w:left w:val="single" w:sz="2" w:space="0" w:color="auto"/>
              <w:bottom w:val="single" w:sz="2" w:space="0" w:color="auto"/>
              <w:right w:val="single" w:sz="2" w:space="0" w:color="auto"/>
            </w:tcBorders>
          </w:tcPr>
          <w:p w:rsidR="00A267BA" w:rsidRPr="00F01DB7" w:rsidRDefault="00A267BA">
            <w:pPr>
              <w:autoSpaceDE w:val="0"/>
              <w:autoSpaceDN w:val="0"/>
              <w:adjustRightInd w:val="0"/>
              <w:jc w:val="right"/>
              <w:rPr>
                <w:rFonts w:ascii="Arial" w:hAnsi="Arial" w:cs="Arial"/>
                <w:color w:val="000000"/>
                <w:sz w:val="19"/>
                <w:szCs w:val="19"/>
                <w:lang w:eastAsia="en-US"/>
              </w:rPr>
            </w:pPr>
          </w:p>
        </w:tc>
      </w:tr>
      <w:tr w:rsidR="00A267BA" w:rsidRPr="00E65146" w:rsidTr="00F01DB7">
        <w:trPr>
          <w:trHeight w:val="245"/>
          <w:jc w:val="center"/>
        </w:trPr>
        <w:tc>
          <w:tcPr>
            <w:tcW w:w="3240" w:type="dxa"/>
            <w:tcBorders>
              <w:top w:val="single" w:sz="2" w:space="0" w:color="auto"/>
              <w:left w:val="single" w:sz="2" w:space="0" w:color="auto"/>
              <w:bottom w:val="single" w:sz="2" w:space="0" w:color="auto"/>
              <w:right w:val="single" w:sz="2" w:space="0" w:color="auto"/>
            </w:tcBorders>
          </w:tcPr>
          <w:p w:rsidR="00A267BA" w:rsidRPr="00F01DB7" w:rsidRDefault="00A267BA">
            <w:pPr>
              <w:autoSpaceDE w:val="0"/>
              <w:autoSpaceDN w:val="0"/>
              <w:adjustRightInd w:val="0"/>
              <w:rPr>
                <w:rFonts w:ascii="Arial" w:hAnsi="Arial" w:cs="Arial"/>
                <w:color w:val="000000"/>
                <w:sz w:val="19"/>
                <w:szCs w:val="19"/>
                <w:lang w:eastAsia="en-US"/>
              </w:rPr>
            </w:pPr>
            <w:r w:rsidRPr="00F01DB7">
              <w:rPr>
                <w:rFonts w:ascii="Arial" w:hAnsi="Arial" w:cs="Arial"/>
                <w:color w:val="000000"/>
                <w:sz w:val="19"/>
                <w:szCs w:val="19"/>
                <w:lang w:eastAsia="en-US"/>
              </w:rPr>
              <w:t>Uncommitted/Undi</w:t>
            </w:r>
            <w:r w:rsidR="00F01DB7">
              <w:rPr>
                <w:rFonts w:ascii="Arial" w:hAnsi="Arial" w:cs="Arial"/>
                <w:color w:val="000000"/>
                <w:sz w:val="19"/>
                <w:szCs w:val="19"/>
                <w:lang w:eastAsia="en-US"/>
              </w:rPr>
              <w:t>s</w:t>
            </w:r>
            <w:r w:rsidRPr="00F01DB7">
              <w:rPr>
                <w:rFonts w:ascii="Arial" w:hAnsi="Arial" w:cs="Arial"/>
                <w:color w:val="000000"/>
                <w:sz w:val="19"/>
                <w:szCs w:val="19"/>
                <w:lang w:eastAsia="en-US"/>
              </w:rPr>
              <w:t>bursed</w:t>
            </w:r>
          </w:p>
        </w:tc>
        <w:tc>
          <w:tcPr>
            <w:tcW w:w="2109" w:type="dxa"/>
            <w:tcBorders>
              <w:top w:val="single" w:sz="2" w:space="0" w:color="auto"/>
              <w:left w:val="single" w:sz="2" w:space="0" w:color="auto"/>
              <w:bottom w:val="single" w:sz="2" w:space="0" w:color="auto"/>
              <w:right w:val="single" w:sz="2" w:space="0" w:color="auto"/>
            </w:tcBorders>
          </w:tcPr>
          <w:p w:rsidR="00A267BA" w:rsidRPr="00F01DB7" w:rsidRDefault="00A267BA">
            <w:pPr>
              <w:autoSpaceDE w:val="0"/>
              <w:autoSpaceDN w:val="0"/>
              <w:adjustRightInd w:val="0"/>
              <w:jc w:val="right"/>
              <w:rPr>
                <w:rFonts w:ascii="Arial" w:hAnsi="Arial" w:cs="Arial"/>
                <w:color w:val="000000"/>
                <w:sz w:val="19"/>
                <w:szCs w:val="19"/>
                <w:lang w:eastAsia="en-US"/>
              </w:rPr>
            </w:pPr>
            <w:r w:rsidRPr="00F01DB7">
              <w:rPr>
                <w:rFonts w:ascii="Arial" w:hAnsi="Arial" w:cs="Arial"/>
                <w:color w:val="000000"/>
                <w:sz w:val="19"/>
                <w:szCs w:val="19"/>
                <w:lang w:eastAsia="en-US"/>
              </w:rPr>
              <w:t>0.1</w:t>
            </w:r>
          </w:p>
        </w:tc>
        <w:tc>
          <w:tcPr>
            <w:tcW w:w="1984" w:type="dxa"/>
            <w:tcBorders>
              <w:top w:val="single" w:sz="2" w:space="0" w:color="auto"/>
              <w:left w:val="single" w:sz="2" w:space="0" w:color="auto"/>
              <w:bottom w:val="single" w:sz="2" w:space="0" w:color="auto"/>
              <w:right w:val="single" w:sz="2" w:space="0" w:color="auto"/>
            </w:tcBorders>
          </w:tcPr>
          <w:p w:rsidR="00A267BA" w:rsidRPr="00F01DB7" w:rsidRDefault="00A267BA">
            <w:pPr>
              <w:autoSpaceDE w:val="0"/>
              <w:autoSpaceDN w:val="0"/>
              <w:adjustRightInd w:val="0"/>
              <w:jc w:val="right"/>
              <w:rPr>
                <w:rFonts w:ascii="Arial" w:hAnsi="Arial" w:cs="Arial"/>
                <w:color w:val="000000"/>
                <w:sz w:val="19"/>
                <w:szCs w:val="19"/>
                <w:lang w:eastAsia="en-US"/>
              </w:rPr>
            </w:pPr>
            <w:r w:rsidRPr="00F01DB7">
              <w:rPr>
                <w:rFonts w:ascii="Arial" w:hAnsi="Arial" w:cs="Arial"/>
                <w:color w:val="000000"/>
                <w:sz w:val="19"/>
                <w:szCs w:val="19"/>
                <w:lang w:eastAsia="en-US"/>
              </w:rPr>
              <w:t>0.9%</w:t>
            </w:r>
          </w:p>
        </w:tc>
        <w:tc>
          <w:tcPr>
            <w:tcW w:w="1901" w:type="dxa"/>
            <w:tcBorders>
              <w:top w:val="single" w:sz="2" w:space="0" w:color="auto"/>
              <w:left w:val="single" w:sz="2" w:space="0" w:color="auto"/>
              <w:bottom w:val="single" w:sz="2" w:space="0" w:color="auto"/>
              <w:right w:val="single" w:sz="2" w:space="0" w:color="auto"/>
            </w:tcBorders>
          </w:tcPr>
          <w:p w:rsidR="00A267BA" w:rsidRPr="00F01DB7" w:rsidRDefault="00A267BA">
            <w:pPr>
              <w:autoSpaceDE w:val="0"/>
              <w:autoSpaceDN w:val="0"/>
              <w:adjustRightInd w:val="0"/>
              <w:jc w:val="right"/>
              <w:rPr>
                <w:rFonts w:ascii="Arial" w:hAnsi="Arial" w:cs="Arial"/>
                <w:color w:val="000000"/>
                <w:sz w:val="19"/>
                <w:szCs w:val="19"/>
                <w:lang w:eastAsia="en-US"/>
              </w:rPr>
            </w:pPr>
          </w:p>
        </w:tc>
        <w:tc>
          <w:tcPr>
            <w:tcW w:w="1843" w:type="dxa"/>
            <w:tcBorders>
              <w:top w:val="single" w:sz="2" w:space="0" w:color="auto"/>
              <w:left w:val="single" w:sz="2" w:space="0" w:color="auto"/>
              <w:bottom w:val="single" w:sz="2" w:space="0" w:color="auto"/>
              <w:right w:val="single" w:sz="2" w:space="0" w:color="auto"/>
            </w:tcBorders>
          </w:tcPr>
          <w:p w:rsidR="00A267BA" w:rsidRPr="00F01DB7" w:rsidRDefault="00A267BA">
            <w:pPr>
              <w:autoSpaceDE w:val="0"/>
              <w:autoSpaceDN w:val="0"/>
              <w:adjustRightInd w:val="0"/>
              <w:jc w:val="right"/>
              <w:rPr>
                <w:rFonts w:ascii="Arial" w:hAnsi="Arial" w:cs="Arial"/>
                <w:color w:val="000000"/>
                <w:sz w:val="19"/>
                <w:szCs w:val="19"/>
                <w:lang w:eastAsia="en-US"/>
              </w:rPr>
            </w:pPr>
          </w:p>
        </w:tc>
      </w:tr>
      <w:tr w:rsidR="00A267BA" w:rsidRPr="00E65146" w:rsidTr="00F01DB7">
        <w:trPr>
          <w:trHeight w:val="492"/>
          <w:jc w:val="center"/>
        </w:trPr>
        <w:tc>
          <w:tcPr>
            <w:tcW w:w="3240" w:type="dxa"/>
            <w:tcBorders>
              <w:top w:val="single" w:sz="2" w:space="0" w:color="auto"/>
              <w:left w:val="single" w:sz="2" w:space="0" w:color="auto"/>
              <w:bottom w:val="single" w:sz="2" w:space="0" w:color="auto"/>
              <w:right w:val="single" w:sz="2" w:space="0" w:color="auto"/>
            </w:tcBorders>
          </w:tcPr>
          <w:p w:rsidR="00A267BA" w:rsidRPr="00F01DB7" w:rsidRDefault="00A267BA">
            <w:pPr>
              <w:autoSpaceDE w:val="0"/>
              <w:autoSpaceDN w:val="0"/>
              <w:adjustRightInd w:val="0"/>
              <w:rPr>
                <w:rFonts w:ascii="Arial" w:hAnsi="Arial" w:cs="Arial"/>
                <w:color w:val="000000"/>
                <w:sz w:val="19"/>
                <w:szCs w:val="19"/>
                <w:lang w:eastAsia="en-US"/>
              </w:rPr>
            </w:pPr>
            <w:r w:rsidRPr="00F01DB7">
              <w:rPr>
                <w:rFonts w:ascii="Arial" w:hAnsi="Arial" w:cs="Arial"/>
                <w:b/>
                <w:bCs/>
                <w:color w:val="000000"/>
                <w:sz w:val="19"/>
                <w:szCs w:val="19"/>
                <w:lang w:eastAsia="en-US"/>
              </w:rPr>
              <w:t>Tota</w:t>
            </w:r>
            <w:r w:rsidRPr="00F01DB7">
              <w:rPr>
                <w:rFonts w:ascii="Arial" w:hAnsi="Arial" w:cs="Arial"/>
                <w:color w:val="000000"/>
                <w:sz w:val="19"/>
                <w:szCs w:val="19"/>
                <w:lang w:eastAsia="en-US"/>
              </w:rPr>
              <w:t>l (excluding finance charges)</w:t>
            </w:r>
          </w:p>
        </w:tc>
        <w:tc>
          <w:tcPr>
            <w:tcW w:w="2109" w:type="dxa"/>
            <w:tcBorders>
              <w:top w:val="single" w:sz="2" w:space="0" w:color="auto"/>
              <w:left w:val="single" w:sz="2" w:space="0" w:color="auto"/>
              <w:bottom w:val="single" w:sz="2" w:space="0" w:color="auto"/>
              <w:right w:val="single" w:sz="2" w:space="0" w:color="auto"/>
            </w:tcBorders>
          </w:tcPr>
          <w:p w:rsidR="00A267BA" w:rsidRPr="00F01DB7" w:rsidRDefault="00A267BA" w:rsidP="00A267BA">
            <w:pPr>
              <w:autoSpaceDE w:val="0"/>
              <w:autoSpaceDN w:val="0"/>
              <w:adjustRightInd w:val="0"/>
              <w:jc w:val="right"/>
              <w:rPr>
                <w:rFonts w:ascii="Arial" w:hAnsi="Arial" w:cs="Arial"/>
                <w:b/>
                <w:bCs/>
                <w:color w:val="000000"/>
                <w:sz w:val="19"/>
                <w:szCs w:val="19"/>
                <w:lang w:eastAsia="en-US"/>
              </w:rPr>
            </w:pPr>
            <w:r w:rsidRPr="00F01DB7">
              <w:rPr>
                <w:rFonts w:ascii="Arial" w:hAnsi="Arial" w:cs="Arial"/>
                <w:b/>
                <w:bCs/>
                <w:color w:val="000000"/>
                <w:sz w:val="19"/>
                <w:szCs w:val="19"/>
                <w:lang w:eastAsia="en-US"/>
              </w:rPr>
              <w:t xml:space="preserve">10.75 </w:t>
            </w:r>
          </w:p>
        </w:tc>
        <w:tc>
          <w:tcPr>
            <w:tcW w:w="1984" w:type="dxa"/>
            <w:tcBorders>
              <w:top w:val="single" w:sz="2" w:space="0" w:color="auto"/>
              <w:left w:val="single" w:sz="2" w:space="0" w:color="auto"/>
              <w:bottom w:val="single" w:sz="2" w:space="0" w:color="auto"/>
              <w:right w:val="single" w:sz="2" w:space="0" w:color="auto"/>
            </w:tcBorders>
          </w:tcPr>
          <w:p w:rsidR="00A267BA" w:rsidRPr="00F01DB7" w:rsidRDefault="00A267BA">
            <w:pPr>
              <w:autoSpaceDE w:val="0"/>
              <w:autoSpaceDN w:val="0"/>
              <w:adjustRightInd w:val="0"/>
              <w:jc w:val="right"/>
              <w:rPr>
                <w:rFonts w:ascii="Arial" w:hAnsi="Arial" w:cs="Arial"/>
                <w:color w:val="000000"/>
                <w:sz w:val="19"/>
                <w:szCs w:val="19"/>
                <w:lang w:eastAsia="en-US"/>
              </w:rPr>
            </w:pPr>
          </w:p>
        </w:tc>
        <w:tc>
          <w:tcPr>
            <w:tcW w:w="1901" w:type="dxa"/>
            <w:tcBorders>
              <w:top w:val="single" w:sz="2" w:space="0" w:color="auto"/>
              <w:left w:val="single" w:sz="2" w:space="0" w:color="auto"/>
              <w:bottom w:val="single" w:sz="2" w:space="0" w:color="auto"/>
              <w:right w:val="single" w:sz="2" w:space="0" w:color="auto"/>
            </w:tcBorders>
          </w:tcPr>
          <w:p w:rsidR="00A267BA" w:rsidRPr="00F01DB7" w:rsidRDefault="00A267BA">
            <w:pPr>
              <w:autoSpaceDE w:val="0"/>
              <w:autoSpaceDN w:val="0"/>
              <w:adjustRightInd w:val="0"/>
              <w:jc w:val="center"/>
              <w:rPr>
                <w:rFonts w:ascii="Arial" w:hAnsi="Arial" w:cs="Arial"/>
                <w:color w:val="000000"/>
                <w:sz w:val="19"/>
                <w:szCs w:val="19"/>
                <w:lang w:eastAsia="en-US"/>
              </w:rPr>
            </w:pPr>
          </w:p>
        </w:tc>
        <w:tc>
          <w:tcPr>
            <w:tcW w:w="1843" w:type="dxa"/>
            <w:tcBorders>
              <w:top w:val="single" w:sz="2" w:space="0" w:color="auto"/>
              <w:left w:val="single" w:sz="2" w:space="0" w:color="auto"/>
              <w:bottom w:val="single" w:sz="2" w:space="0" w:color="auto"/>
              <w:right w:val="single" w:sz="2" w:space="0" w:color="auto"/>
            </w:tcBorders>
          </w:tcPr>
          <w:p w:rsidR="00A267BA" w:rsidRPr="00F01DB7" w:rsidRDefault="00A267BA">
            <w:pPr>
              <w:autoSpaceDE w:val="0"/>
              <w:autoSpaceDN w:val="0"/>
              <w:adjustRightInd w:val="0"/>
              <w:jc w:val="center"/>
              <w:rPr>
                <w:rFonts w:ascii="Arial" w:hAnsi="Arial" w:cs="Arial"/>
                <w:color w:val="000000"/>
                <w:sz w:val="19"/>
                <w:szCs w:val="19"/>
                <w:lang w:eastAsia="en-US"/>
              </w:rPr>
            </w:pPr>
          </w:p>
        </w:tc>
      </w:tr>
      <w:tr w:rsidR="00F05CD3" w:rsidRPr="00E65146" w:rsidTr="00786DA7">
        <w:trPr>
          <w:trHeight w:val="245"/>
          <w:jc w:val="center"/>
        </w:trPr>
        <w:tc>
          <w:tcPr>
            <w:tcW w:w="3240" w:type="dxa"/>
            <w:tcBorders>
              <w:top w:val="single" w:sz="2" w:space="0" w:color="auto"/>
              <w:left w:val="nil"/>
              <w:bottom w:val="nil"/>
              <w:right w:val="nil"/>
            </w:tcBorders>
            <w:vAlign w:val="bottom"/>
          </w:tcPr>
          <w:p w:rsidR="00F05CD3" w:rsidRDefault="00F05CD3" w:rsidP="00786DA7">
            <w:pPr>
              <w:rPr>
                <w:rFonts w:ascii="Arial" w:hAnsi="Arial" w:cs="Arial"/>
                <w:b/>
                <w:sz w:val="18"/>
                <w:szCs w:val="18"/>
              </w:rPr>
            </w:pPr>
          </w:p>
          <w:p w:rsidR="00F05CD3" w:rsidRDefault="00F05CD3" w:rsidP="00786DA7">
            <w:pPr>
              <w:rPr>
                <w:rFonts w:ascii="Arial" w:hAnsi="Arial" w:cs="Arial"/>
                <w:sz w:val="18"/>
                <w:szCs w:val="18"/>
              </w:rPr>
            </w:pPr>
            <w:r w:rsidRPr="00F05CD3">
              <w:rPr>
                <w:rFonts w:ascii="Arial" w:hAnsi="Arial" w:cs="Arial"/>
                <w:b/>
                <w:sz w:val="18"/>
                <w:szCs w:val="18"/>
              </w:rPr>
              <w:t>Source:</w:t>
            </w:r>
            <w:r w:rsidRPr="00F05CD3">
              <w:rPr>
                <w:rFonts w:ascii="Arial" w:hAnsi="Arial" w:cs="Arial"/>
                <w:sz w:val="18"/>
                <w:szCs w:val="18"/>
              </w:rPr>
              <w:t xml:space="preserve"> HHRSDP, Finance Unit</w:t>
            </w:r>
          </w:p>
          <w:p w:rsidR="00F05CD3" w:rsidRPr="00F05CD3" w:rsidRDefault="00F05CD3" w:rsidP="00786DA7">
            <w:pPr>
              <w:rPr>
                <w:rFonts w:ascii="Arial" w:hAnsi="Arial" w:cs="Arial"/>
                <w:b/>
                <w:sz w:val="18"/>
                <w:szCs w:val="18"/>
              </w:rPr>
            </w:pPr>
          </w:p>
          <w:p w:rsidR="00F05CD3" w:rsidRPr="00E65146" w:rsidRDefault="00F05CD3">
            <w:pPr>
              <w:autoSpaceDE w:val="0"/>
              <w:autoSpaceDN w:val="0"/>
              <w:adjustRightInd w:val="0"/>
              <w:rPr>
                <w:rFonts w:ascii="Arial" w:hAnsi="Arial" w:cs="Arial"/>
                <w:b/>
                <w:bCs/>
                <w:color w:val="000000"/>
                <w:lang w:eastAsia="en-US"/>
              </w:rPr>
            </w:pPr>
            <w:r w:rsidRPr="00F05CD3">
              <w:rPr>
                <w:rFonts w:ascii="Arial" w:hAnsi="Arial" w:cs="Arial"/>
                <w:b/>
                <w:bCs/>
                <w:color w:val="000000"/>
                <w:sz w:val="18"/>
                <w:szCs w:val="18"/>
              </w:rPr>
              <w:t>Notes</w:t>
            </w:r>
            <w:r>
              <w:rPr>
                <w:rFonts w:ascii="Arial" w:hAnsi="Arial" w:cs="Arial"/>
                <w:b/>
                <w:bCs/>
                <w:color w:val="000000"/>
                <w:sz w:val="18"/>
                <w:szCs w:val="18"/>
              </w:rPr>
              <w:t>:</w:t>
            </w:r>
          </w:p>
        </w:tc>
        <w:tc>
          <w:tcPr>
            <w:tcW w:w="2109" w:type="dxa"/>
            <w:tcBorders>
              <w:top w:val="single" w:sz="2" w:space="0" w:color="auto"/>
              <w:left w:val="nil"/>
              <w:bottom w:val="nil"/>
              <w:right w:val="nil"/>
            </w:tcBorders>
          </w:tcPr>
          <w:p w:rsidR="00F05CD3" w:rsidRPr="00E65146" w:rsidRDefault="00F05CD3">
            <w:pPr>
              <w:autoSpaceDE w:val="0"/>
              <w:autoSpaceDN w:val="0"/>
              <w:adjustRightInd w:val="0"/>
              <w:jc w:val="right"/>
              <w:rPr>
                <w:rFonts w:ascii="Arial" w:hAnsi="Arial" w:cs="Arial"/>
                <w:color w:val="000000"/>
                <w:lang w:eastAsia="en-US"/>
              </w:rPr>
            </w:pPr>
          </w:p>
        </w:tc>
        <w:tc>
          <w:tcPr>
            <w:tcW w:w="1984" w:type="dxa"/>
            <w:tcBorders>
              <w:top w:val="single" w:sz="2" w:space="0" w:color="auto"/>
              <w:left w:val="nil"/>
              <w:bottom w:val="nil"/>
              <w:right w:val="nil"/>
            </w:tcBorders>
          </w:tcPr>
          <w:p w:rsidR="00F05CD3" w:rsidRPr="00E65146" w:rsidRDefault="00F05CD3">
            <w:pPr>
              <w:autoSpaceDE w:val="0"/>
              <w:autoSpaceDN w:val="0"/>
              <w:adjustRightInd w:val="0"/>
              <w:jc w:val="right"/>
              <w:rPr>
                <w:rFonts w:ascii="Arial" w:hAnsi="Arial" w:cs="Arial"/>
                <w:color w:val="000000"/>
                <w:lang w:eastAsia="en-US"/>
              </w:rPr>
            </w:pPr>
          </w:p>
        </w:tc>
        <w:tc>
          <w:tcPr>
            <w:tcW w:w="1901" w:type="dxa"/>
            <w:tcBorders>
              <w:top w:val="single" w:sz="2" w:space="0" w:color="auto"/>
              <w:left w:val="nil"/>
              <w:bottom w:val="nil"/>
              <w:right w:val="nil"/>
            </w:tcBorders>
          </w:tcPr>
          <w:p w:rsidR="00F05CD3" w:rsidRPr="00E65146" w:rsidRDefault="00F05CD3">
            <w:pPr>
              <w:autoSpaceDE w:val="0"/>
              <w:autoSpaceDN w:val="0"/>
              <w:adjustRightInd w:val="0"/>
              <w:jc w:val="right"/>
              <w:rPr>
                <w:rFonts w:ascii="Arial" w:hAnsi="Arial" w:cs="Arial"/>
                <w:color w:val="000000"/>
                <w:lang w:eastAsia="en-US"/>
              </w:rPr>
            </w:pPr>
          </w:p>
        </w:tc>
        <w:tc>
          <w:tcPr>
            <w:tcW w:w="1843" w:type="dxa"/>
            <w:tcBorders>
              <w:top w:val="single" w:sz="2" w:space="0" w:color="auto"/>
              <w:left w:val="nil"/>
              <w:bottom w:val="nil"/>
              <w:right w:val="nil"/>
            </w:tcBorders>
          </w:tcPr>
          <w:p w:rsidR="00F05CD3" w:rsidRPr="00E65146" w:rsidRDefault="00F05CD3">
            <w:pPr>
              <w:autoSpaceDE w:val="0"/>
              <w:autoSpaceDN w:val="0"/>
              <w:adjustRightInd w:val="0"/>
              <w:jc w:val="right"/>
              <w:rPr>
                <w:rFonts w:ascii="Arial" w:hAnsi="Arial" w:cs="Arial"/>
                <w:color w:val="000000"/>
                <w:lang w:eastAsia="en-US"/>
              </w:rPr>
            </w:pPr>
          </w:p>
        </w:tc>
      </w:tr>
      <w:tr w:rsidR="00F05CD3" w:rsidRPr="00E65146" w:rsidTr="00786DA7">
        <w:trPr>
          <w:trHeight w:val="276"/>
          <w:jc w:val="center"/>
        </w:trPr>
        <w:tc>
          <w:tcPr>
            <w:tcW w:w="7333" w:type="dxa"/>
            <w:gridSpan w:val="3"/>
            <w:tcBorders>
              <w:top w:val="nil"/>
              <w:left w:val="nil"/>
              <w:bottom w:val="nil"/>
              <w:right w:val="nil"/>
            </w:tcBorders>
            <w:vAlign w:val="center"/>
          </w:tcPr>
          <w:p w:rsidR="00F05CD3" w:rsidRPr="00E65146" w:rsidRDefault="00F05CD3">
            <w:pPr>
              <w:autoSpaceDE w:val="0"/>
              <w:autoSpaceDN w:val="0"/>
              <w:adjustRightInd w:val="0"/>
              <w:rPr>
                <w:rFonts w:ascii="Arial" w:hAnsi="Arial" w:cs="Arial"/>
                <w:color w:val="000000"/>
                <w:lang w:eastAsia="en-US"/>
              </w:rPr>
            </w:pPr>
            <w:r w:rsidRPr="00F05CD3">
              <w:rPr>
                <w:rFonts w:ascii="Arial" w:hAnsi="Arial" w:cs="Arial"/>
                <w:color w:val="000000"/>
                <w:sz w:val="18"/>
                <w:szCs w:val="18"/>
                <w:vertAlign w:val="superscript"/>
              </w:rPr>
              <w:t xml:space="preserve">a </w:t>
            </w:r>
            <w:r w:rsidRPr="00F05CD3">
              <w:rPr>
                <w:rFonts w:ascii="Arial" w:hAnsi="Arial" w:cs="Arial"/>
                <w:color w:val="000000"/>
                <w:sz w:val="18"/>
                <w:szCs w:val="18"/>
              </w:rPr>
              <w:t>From date of loan effectiveness – 6 January 2011</w:t>
            </w:r>
          </w:p>
        </w:tc>
        <w:tc>
          <w:tcPr>
            <w:tcW w:w="1901" w:type="dxa"/>
            <w:tcBorders>
              <w:top w:val="nil"/>
              <w:left w:val="nil"/>
              <w:bottom w:val="nil"/>
              <w:right w:val="nil"/>
            </w:tcBorders>
          </w:tcPr>
          <w:p w:rsidR="00F05CD3" w:rsidRPr="00E65146" w:rsidRDefault="00F05CD3">
            <w:pPr>
              <w:autoSpaceDE w:val="0"/>
              <w:autoSpaceDN w:val="0"/>
              <w:adjustRightInd w:val="0"/>
              <w:rPr>
                <w:rFonts w:ascii="Arial" w:hAnsi="Arial" w:cs="Arial"/>
                <w:color w:val="000000"/>
                <w:vertAlign w:val="superscript"/>
                <w:lang w:eastAsia="en-US"/>
              </w:rPr>
            </w:pPr>
          </w:p>
        </w:tc>
        <w:tc>
          <w:tcPr>
            <w:tcW w:w="1843" w:type="dxa"/>
            <w:tcBorders>
              <w:top w:val="nil"/>
              <w:left w:val="nil"/>
              <w:bottom w:val="nil"/>
              <w:right w:val="nil"/>
            </w:tcBorders>
          </w:tcPr>
          <w:p w:rsidR="00F05CD3" w:rsidRPr="00E65146" w:rsidRDefault="00F05CD3">
            <w:pPr>
              <w:autoSpaceDE w:val="0"/>
              <w:autoSpaceDN w:val="0"/>
              <w:adjustRightInd w:val="0"/>
              <w:rPr>
                <w:rFonts w:ascii="Arial" w:hAnsi="Arial" w:cs="Arial"/>
                <w:color w:val="000000"/>
                <w:vertAlign w:val="superscript"/>
                <w:lang w:eastAsia="en-US"/>
              </w:rPr>
            </w:pPr>
          </w:p>
        </w:tc>
      </w:tr>
    </w:tbl>
    <w:p w:rsidR="00F451AD" w:rsidRPr="00E65146" w:rsidRDefault="00F451AD" w:rsidP="004772A2">
      <w:pPr>
        <w:rPr>
          <w:rFonts w:ascii="Arial" w:hAnsi="Arial" w:cs="Arial"/>
          <w:b/>
          <w:color w:val="000000"/>
        </w:rPr>
      </w:pPr>
    </w:p>
    <w:p w:rsidR="0078738C" w:rsidRPr="00E65146" w:rsidRDefault="0078738C" w:rsidP="000F1EB0">
      <w:pPr>
        <w:tabs>
          <w:tab w:val="left" w:pos="1980"/>
        </w:tabs>
        <w:rPr>
          <w:rFonts w:ascii="Arial" w:hAnsi="Arial" w:cs="Arial"/>
          <w:sz w:val="22"/>
          <w:szCs w:val="22"/>
        </w:rPr>
      </w:pPr>
      <w:r w:rsidRPr="00E65146">
        <w:rPr>
          <w:rFonts w:ascii="Arial" w:hAnsi="Arial" w:cs="Arial"/>
          <w:sz w:val="22"/>
          <w:szCs w:val="22"/>
        </w:rPr>
        <w:br w:type="page"/>
      </w:r>
    </w:p>
    <w:p w:rsidR="00642437" w:rsidRPr="00E65146" w:rsidRDefault="00642437" w:rsidP="00CA718F">
      <w:pPr>
        <w:pStyle w:val="ColorfulList-Accent11"/>
        <w:numPr>
          <w:ilvl w:val="0"/>
          <w:numId w:val="8"/>
        </w:numPr>
        <w:pBdr>
          <w:bottom w:val="single" w:sz="6" w:space="1" w:color="auto"/>
        </w:pBdr>
        <w:tabs>
          <w:tab w:val="left" w:pos="1980"/>
        </w:tabs>
        <w:outlineLvl w:val="0"/>
        <w:rPr>
          <w:rFonts w:ascii="Arial" w:hAnsi="Arial" w:cs="Arial"/>
          <w:b/>
          <w:sz w:val="22"/>
          <w:szCs w:val="22"/>
        </w:rPr>
      </w:pPr>
      <w:bookmarkStart w:id="112" w:name="_Toc423359363"/>
      <w:r w:rsidRPr="00E65146">
        <w:rPr>
          <w:rFonts w:ascii="Arial" w:hAnsi="Arial" w:cs="Arial"/>
          <w:b/>
          <w:sz w:val="22"/>
          <w:szCs w:val="22"/>
        </w:rPr>
        <w:t>PHYSICAL IMPLEMENTION STATUS</w:t>
      </w:r>
      <w:bookmarkEnd w:id="112"/>
    </w:p>
    <w:p w:rsidR="0078738C" w:rsidRPr="00E65146" w:rsidRDefault="00CB1807" w:rsidP="00902F9D">
      <w:pPr>
        <w:spacing w:before="240" w:after="120"/>
        <w:jc w:val="center"/>
        <w:rPr>
          <w:rFonts w:ascii="Arial" w:hAnsi="Arial" w:cs="Arial"/>
          <w:sz w:val="22"/>
          <w:szCs w:val="22"/>
        </w:rPr>
      </w:pPr>
      <w:r w:rsidRPr="00E65146">
        <w:rPr>
          <w:rFonts w:ascii="Arial" w:hAnsi="Arial" w:cs="Arial"/>
          <w:b/>
        </w:rPr>
        <w:t>Table 10.1: Project implementation status by component</w:t>
      </w: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2"/>
        <w:gridCol w:w="1535"/>
        <w:gridCol w:w="1177"/>
      </w:tblGrid>
      <w:tr w:rsidR="00594638" w:rsidRPr="00E65146" w:rsidTr="00594638">
        <w:trPr>
          <w:trHeight w:val="510"/>
          <w:jc w:val="center"/>
        </w:trPr>
        <w:tc>
          <w:tcPr>
            <w:tcW w:w="6362" w:type="dxa"/>
            <w:shd w:val="clear" w:color="auto" w:fill="auto"/>
            <w:noWrap/>
            <w:vAlign w:val="center"/>
            <w:hideMark/>
          </w:tcPr>
          <w:p w:rsidR="0078738C" w:rsidRPr="006F3B1D" w:rsidRDefault="0078738C" w:rsidP="0078738C">
            <w:pPr>
              <w:jc w:val="center"/>
              <w:rPr>
                <w:rFonts w:ascii="Arial" w:hAnsi="Arial" w:cs="Arial"/>
                <w:b/>
                <w:bCs/>
                <w:color w:val="000000"/>
                <w:sz w:val="19"/>
                <w:szCs w:val="19"/>
              </w:rPr>
            </w:pPr>
            <w:r w:rsidRPr="006F3B1D">
              <w:rPr>
                <w:rFonts w:ascii="Arial" w:hAnsi="Arial" w:cs="Arial"/>
                <w:b/>
                <w:bCs/>
                <w:color w:val="000000"/>
                <w:sz w:val="19"/>
                <w:szCs w:val="19"/>
              </w:rPr>
              <w:t>Component/Sub-component</w:t>
            </w:r>
          </w:p>
        </w:tc>
        <w:tc>
          <w:tcPr>
            <w:tcW w:w="1535" w:type="dxa"/>
            <w:shd w:val="clear" w:color="auto" w:fill="auto"/>
            <w:vAlign w:val="center"/>
            <w:hideMark/>
          </w:tcPr>
          <w:p w:rsidR="0078738C" w:rsidRPr="006F3B1D" w:rsidRDefault="0078738C" w:rsidP="0078738C">
            <w:pPr>
              <w:jc w:val="center"/>
              <w:rPr>
                <w:rFonts w:ascii="Arial" w:hAnsi="Arial" w:cs="Arial"/>
                <w:b/>
                <w:bCs/>
                <w:color w:val="000000"/>
                <w:sz w:val="19"/>
                <w:szCs w:val="19"/>
              </w:rPr>
            </w:pPr>
            <w:r w:rsidRPr="006F3B1D">
              <w:rPr>
                <w:rFonts w:ascii="Arial" w:hAnsi="Arial" w:cs="Arial"/>
                <w:b/>
                <w:bCs/>
                <w:color w:val="000000"/>
                <w:sz w:val="19"/>
                <w:szCs w:val="19"/>
              </w:rPr>
              <w:t xml:space="preserve"> Complete</w:t>
            </w:r>
            <w:r w:rsidR="006F3B1D" w:rsidRPr="006F3B1D">
              <w:rPr>
                <w:rFonts w:ascii="Arial" w:hAnsi="Arial" w:cs="Arial"/>
                <w:b/>
                <w:bCs/>
                <w:color w:val="000000"/>
                <w:sz w:val="19"/>
                <w:szCs w:val="19"/>
              </w:rPr>
              <w:t>d</w:t>
            </w:r>
            <w:r w:rsidRPr="006F3B1D">
              <w:rPr>
                <w:rFonts w:ascii="Arial" w:hAnsi="Arial" w:cs="Arial"/>
                <w:b/>
                <w:bCs/>
                <w:color w:val="000000"/>
                <w:sz w:val="19"/>
                <w:szCs w:val="19"/>
              </w:rPr>
              <w:t xml:space="preserve">  by 31/12/2015</w:t>
            </w:r>
          </w:p>
        </w:tc>
        <w:tc>
          <w:tcPr>
            <w:tcW w:w="1177" w:type="dxa"/>
            <w:shd w:val="clear" w:color="auto" w:fill="auto"/>
            <w:vAlign w:val="center"/>
            <w:hideMark/>
          </w:tcPr>
          <w:p w:rsidR="0078738C" w:rsidRPr="006F3B1D" w:rsidRDefault="0078738C" w:rsidP="0078738C">
            <w:pPr>
              <w:jc w:val="center"/>
              <w:rPr>
                <w:rFonts w:ascii="Arial" w:hAnsi="Arial" w:cs="Arial"/>
                <w:b/>
                <w:bCs/>
                <w:color w:val="000000"/>
                <w:sz w:val="19"/>
                <w:szCs w:val="19"/>
              </w:rPr>
            </w:pPr>
            <w:r w:rsidRPr="006F3B1D">
              <w:rPr>
                <w:rFonts w:ascii="Arial" w:hAnsi="Arial" w:cs="Arial"/>
                <w:b/>
                <w:bCs/>
                <w:color w:val="000000"/>
                <w:sz w:val="19"/>
                <w:szCs w:val="19"/>
              </w:rPr>
              <w:t>Requires extension</w:t>
            </w:r>
          </w:p>
        </w:tc>
      </w:tr>
      <w:tr w:rsidR="00594638" w:rsidRPr="00E65146" w:rsidTr="00594638">
        <w:trPr>
          <w:trHeight w:val="255"/>
          <w:jc w:val="center"/>
        </w:trPr>
        <w:tc>
          <w:tcPr>
            <w:tcW w:w="6362" w:type="dxa"/>
            <w:shd w:val="clear" w:color="auto" w:fill="auto"/>
            <w:noWrap/>
            <w:vAlign w:val="bottom"/>
            <w:hideMark/>
          </w:tcPr>
          <w:p w:rsidR="0078738C" w:rsidRPr="006F3B1D" w:rsidRDefault="0078738C" w:rsidP="0078738C">
            <w:pPr>
              <w:rPr>
                <w:rFonts w:ascii="Arial" w:hAnsi="Arial" w:cs="Arial"/>
                <w:color w:val="000000"/>
                <w:sz w:val="19"/>
                <w:szCs w:val="19"/>
              </w:rPr>
            </w:pPr>
            <w:r w:rsidRPr="006F3B1D">
              <w:rPr>
                <w:rFonts w:ascii="Arial" w:hAnsi="Arial" w:cs="Arial"/>
                <w:color w:val="000000"/>
                <w:sz w:val="19"/>
                <w:szCs w:val="19"/>
              </w:rPr>
              <w:t>1.A Strengthened coordination, and planning of human resources policy</w:t>
            </w:r>
          </w:p>
        </w:tc>
        <w:tc>
          <w:tcPr>
            <w:tcW w:w="1535" w:type="dxa"/>
            <w:shd w:val="clear" w:color="auto" w:fill="auto"/>
            <w:noWrap/>
            <w:vAlign w:val="bottom"/>
            <w:hideMark/>
          </w:tcPr>
          <w:p w:rsidR="0078738C" w:rsidRPr="006F3B1D" w:rsidRDefault="0078738C" w:rsidP="0078738C">
            <w:pPr>
              <w:jc w:val="right"/>
              <w:rPr>
                <w:rFonts w:ascii="Arial" w:hAnsi="Arial" w:cs="Arial"/>
                <w:color w:val="000000"/>
                <w:sz w:val="19"/>
                <w:szCs w:val="19"/>
              </w:rPr>
            </w:pPr>
            <w:r w:rsidRPr="006F3B1D">
              <w:rPr>
                <w:rFonts w:ascii="Arial" w:hAnsi="Arial" w:cs="Arial"/>
                <w:color w:val="000000"/>
                <w:sz w:val="19"/>
                <w:szCs w:val="19"/>
              </w:rPr>
              <w:t>58%</w:t>
            </w:r>
          </w:p>
        </w:tc>
        <w:tc>
          <w:tcPr>
            <w:tcW w:w="1177" w:type="dxa"/>
            <w:shd w:val="clear" w:color="auto" w:fill="auto"/>
            <w:noWrap/>
            <w:vAlign w:val="bottom"/>
            <w:hideMark/>
          </w:tcPr>
          <w:p w:rsidR="0078738C" w:rsidRPr="006F3B1D" w:rsidRDefault="0078738C" w:rsidP="0078738C">
            <w:pPr>
              <w:jc w:val="right"/>
              <w:rPr>
                <w:rFonts w:ascii="Arial" w:hAnsi="Arial" w:cs="Arial"/>
                <w:color w:val="000000"/>
                <w:sz w:val="19"/>
                <w:szCs w:val="19"/>
              </w:rPr>
            </w:pPr>
            <w:r w:rsidRPr="006F3B1D">
              <w:rPr>
                <w:rFonts w:ascii="Arial" w:hAnsi="Arial" w:cs="Arial"/>
                <w:color w:val="000000"/>
                <w:sz w:val="19"/>
                <w:szCs w:val="19"/>
              </w:rPr>
              <w:t>42%</w:t>
            </w:r>
          </w:p>
        </w:tc>
      </w:tr>
      <w:tr w:rsidR="00594638" w:rsidRPr="00E65146" w:rsidTr="00594638">
        <w:trPr>
          <w:trHeight w:val="255"/>
          <w:jc w:val="center"/>
        </w:trPr>
        <w:tc>
          <w:tcPr>
            <w:tcW w:w="6362" w:type="dxa"/>
            <w:shd w:val="clear" w:color="auto" w:fill="auto"/>
            <w:noWrap/>
            <w:vAlign w:val="bottom"/>
            <w:hideMark/>
          </w:tcPr>
          <w:p w:rsidR="0078738C" w:rsidRPr="006F3B1D" w:rsidRDefault="0078738C" w:rsidP="0078738C">
            <w:pPr>
              <w:rPr>
                <w:rFonts w:ascii="Arial" w:hAnsi="Arial" w:cs="Arial"/>
                <w:color w:val="000000"/>
                <w:sz w:val="19"/>
                <w:szCs w:val="19"/>
              </w:rPr>
            </w:pPr>
            <w:r w:rsidRPr="006F3B1D">
              <w:rPr>
                <w:rFonts w:ascii="Arial" w:hAnsi="Arial" w:cs="Arial"/>
                <w:color w:val="000000"/>
                <w:sz w:val="19"/>
                <w:szCs w:val="19"/>
              </w:rPr>
              <w:t>1.B Strengthened mechanism for the registration and licensure of health professionals</w:t>
            </w:r>
          </w:p>
        </w:tc>
        <w:tc>
          <w:tcPr>
            <w:tcW w:w="1535" w:type="dxa"/>
            <w:shd w:val="clear" w:color="auto" w:fill="auto"/>
            <w:noWrap/>
            <w:vAlign w:val="bottom"/>
            <w:hideMark/>
          </w:tcPr>
          <w:p w:rsidR="0078738C" w:rsidRPr="006F3B1D" w:rsidRDefault="0078738C" w:rsidP="0078738C">
            <w:pPr>
              <w:jc w:val="right"/>
              <w:rPr>
                <w:rFonts w:ascii="Arial" w:hAnsi="Arial" w:cs="Arial"/>
                <w:color w:val="000000"/>
                <w:sz w:val="19"/>
                <w:szCs w:val="19"/>
              </w:rPr>
            </w:pPr>
            <w:r w:rsidRPr="006F3B1D">
              <w:rPr>
                <w:rFonts w:ascii="Arial" w:hAnsi="Arial" w:cs="Arial"/>
                <w:color w:val="000000"/>
                <w:sz w:val="19"/>
                <w:szCs w:val="19"/>
              </w:rPr>
              <w:t>72%</w:t>
            </w:r>
          </w:p>
        </w:tc>
        <w:tc>
          <w:tcPr>
            <w:tcW w:w="1177" w:type="dxa"/>
            <w:shd w:val="clear" w:color="auto" w:fill="auto"/>
            <w:noWrap/>
            <w:vAlign w:val="bottom"/>
            <w:hideMark/>
          </w:tcPr>
          <w:p w:rsidR="0078738C" w:rsidRPr="006F3B1D" w:rsidRDefault="0078738C" w:rsidP="0078738C">
            <w:pPr>
              <w:jc w:val="right"/>
              <w:rPr>
                <w:rFonts w:ascii="Arial" w:hAnsi="Arial" w:cs="Arial"/>
                <w:color w:val="000000"/>
                <w:sz w:val="19"/>
                <w:szCs w:val="19"/>
              </w:rPr>
            </w:pPr>
            <w:r w:rsidRPr="006F3B1D">
              <w:rPr>
                <w:rFonts w:ascii="Arial" w:hAnsi="Arial" w:cs="Arial"/>
                <w:color w:val="000000"/>
                <w:sz w:val="19"/>
                <w:szCs w:val="19"/>
              </w:rPr>
              <w:t>28%</w:t>
            </w:r>
          </w:p>
        </w:tc>
      </w:tr>
      <w:tr w:rsidR="00594638" w:rsidRPr="00E65146" w:rsidTr="00594638">
        <w:trPr>
          <w:trHeight w:val="255"/>
          <w:jc w:val="center"/>
        </w:trPr>
        <w:tc>
          <w:tcPr>
            <w:tcW w:w="6362" w:type="dxa"/>
            <w:shd w:val="clear" w:color="auto" w:fill="auto"/>
            <w:noWrap/>
            <w:vAlign w:val="bottom"/>
            <w:hideMark/>
          </w:tcPr>
          <w:p w:rsidR="0078738C" w:rsidRPr="006F3B1D" w:rsidRDefault="0078738C" w:rsidP="0078738C">
            <w:pPr>
              <w:rPr>
                <w:rFonts w:ascii="Arial" w:hAnsi="Arial" w:cs="Arial"/>
                <w:color w:val="000000"/>
                <w:sz w:val="19"/>
                <w:szCs w:val="19"/>
              </w:rPr>
            </w:pPr>
            <w:r w:rsidRPr="006F3B1D">
              <w:rPr>
                <w:rFonts w:ascii="Arial" w:hAnsi="Arial" w:cs="Arial"/>
                <w:color w:val="000000"/>
                <w:sz w:val="19"/>
                <w:szCs w:val="19"/>
              </w:rPr>
              <w:t>1.C Project Management Unit</w:t>
            </w:r>
          </w:p>
        </w:tc>
        <w:tc>
          <w:tcPr>
            <w:tcW w:w="1535" w:type="dxa"/>
            <w:shd w:val="clear" w:color="auto" w:fill="auto"/>
            <w:noWrap/>
            <w:vAlign w:val="bottom"/>
            <w:hideMark/>
          </w:tcPr>
          <w:p w:rsidR="0078738C" w:rsidRPr="006F3B1D" w:rsidRDefault="0078738C" w:rsidP="0078738C">
            <w:pPr>
              <w:jc w:val="right"/>
              <w:rPr>
                <w:rFonts w:ascii="Arial" w:hAnsi="Arial" w:cs="Arial"/>
                <w:color w:val="000000"/>
                <w:sz w:val="19"/>
                <w:szCs w:val="19"/>
              </w:rPr>
            </w:pPr>
            <w:r w:rsidRPr="006F3B1D">
              <w:rPr>
                <w:rFonts w:ascii="Arial" w:hAnsi="Arial" w:cs="Arial"/>
                <w:color w:val="000000"/>
                <w:sz w:val="19"/>
                <w:szCs w:val="19"/>
              </w:rPr>
              <w:t>74%</w:t>
            </w:r>
          </w:p>
        </w:tc>
        <w:tc>
          <w:tcPr>
            <w:tcW w:w="1177" w:type="dxa"/>
            <w:shd w:val="clear" w:color="auto" w:fill="auto"/>
            <w:noWrap/>
            <w:vAlign w:val="bottom"/>
            <w:hideMark/>
          </w:tcPr>
          <w:p w:rsidR="0078738C" w:rsidRPr="006F3B1D" w:rsidRDefault="0078738C" w:rsidP="0078738C">
            <w:pPr>
              <w:jc w:val="right"/>
              <w:rPr>
                <w:rFonts w:ascii="Arial" w:hAnsi="Arial" w:cs="Arial"/>
                <w:color w:val="000000"/>
                <w:sz w:val="19"/>
                <w:szCs w:val="19"/>
              </w:rPr>
            </w:pPr>
            <w:r w:rsidRPr="006F3B1D">
              <w:rPr>
                <w:rFonts w:ascii="Arial" w:hAnsi="Arial" w:cs="Arial"/>
                <w:color w:val="000000"/>
                <w:sz w:val="19"/>
                <w:szCs w:val="19"/>
              </w:rPr>
              <w:t>26%</w:t>
            </w:r>
          </w:p>
        </w:tc>
      </w:tr>
      <w:tr w:rsidR="00594638" w:rsidRPr="00E65146" w:rsidTr="00594638">
        <w:trPr>
          <w:trHeight w:val="255"/>
          <w:jc w:val="center"/>
        </w:trPr>
        <w:tc>
          <w:tcPr>
            <w:tcW w:w="6362" w:type="dxa"/>
            <w:shd w:val="clear" w:color="auto" w:fill="auto"/>
            <w:noWrap/>
            <w:vAlign w:val="bottom"/>
            <w:hideMark/>
          </w:tcPr>
          <w:p w:rsidR="0078738C" w:rsidRPr="006F3B1D" w:rsidRDefault="0078738C" w:rsidP="0078738C">
            <w:pPr>
              <w:rPr>
                <w:rFonts w:ascii="Arial" w:hAnsi="Arial" w:cs="Arial"/>
                <w:color w:val="000000"/>
                <w:sz w:val="19"/>
                <w:szCs w:val="19"/>
              </w:rPr>
            </w:pPr>
            <w:r w:rsidRPr="006F3B1D">
              <w:rPr>
                <w:rFonts w:ascii="Arial" w:hAnsi="Arial" w:cs="Arial"/>
                <w:color w:val="000000"/>
                <w:sz w:val="19"/>
                <w:szCs w:val="19"/>
              </w:rPr>
              <w:t>2.A Support for strengthening health professional training facilities</w:t>
            </w:r>
          </w:p>
        </w:tc>
        <w:tc>
          <w:tcPr>
            <w:tcW w:w="1535" w:type="dxa"/>
            <w:shd w:val="clear" w:color="auto" w:fill="auto"/>
            <w:noWrap/>
            <w:vAlign w:val="bottom"/>
            <w:hideMark/>
          </w:tcPr>
          <w:p w:rsidR="0078738C" w:rsidRPr="006F3B1D" w:rsidRDefault="0078738C" w:rsidP="0078738C">
            <w:pPr>
              <w:jc w:val="right"/>
              <w:rPr>
                <w:rFonts w:ascii="Arial" w:hAnsi="Arial" w:cs="Arial"/>
                <w:color w:val="000000"/>
                <w:sz w:val="19"/>
                <w:szCs w:val="19"/>
              </w:rPr>
            </w:pPr>
            <w:r w:rsidRPr="006F3B1D">
              <w:rPr>
                <w:rFonts w:ascii="Arial" w:hAnsi="Arial" w:cs="Arial"/>
                <w:color w:val="000000"/>
                <w:sz w:val="19"/>
                <w:szCs w:val="19"/>
              </w:rPr>
              <w:t>96%</w:t>
            </w:r>
          </w:p>
        </w:tc>
        <w:tc>
          <w:tcPr>
            <w:tcW w:w="1177" w:type="dxa"/>
            <w:shd w:val="clear" w:color="auto" w:fill="auto"/>
            <w:noWrap/>
            <w:vAlign w:val="bottom"/>
            <w:hideMark/>
          </w:tcPr>
          <w:p w:rsidR="0078738C" w:rsidRPr="006F3B1D" w:rsidRDefault="0078738C" w:rsidP="0078738C">
            <w:pPr>
              <w:jc w:val="right"/>
              <w:rPr>
                <w:rFonts w:ascii="Arial" w:hAnsi="Arial" w:cs="Arial"/>
                <w:color w:val="000000"/>
                <w:sz w:val="19"/>
                <w:szCs w:val="19"/>
              </w:rPr>
            </w:pPr>
            <w:r w:rsidRPr="006F3B1D">
              <w:rPr>
                <w:rFonts w:ascii="Arial" w:hAnsi="Arial" w:cs="Arial"/>
                <w:color w:val="000000"/>
                <w:sz w:val="19"/>
                <w:szCs w:val="19"/>
              </w:rPr>
              <w:t>4%</w:t>
            </w:r>
          </w:p>
        </w:tc>
      </w:tr>
      <w:tr w:rsidR="00594638" w:rsidRPr="00E65146" w:rsidTr="00594638">
        <w:trPr>
          <w:trHeight w:val="255"/>
          <w:jc w:val="center"/>
        </w:trPr>
        <w:tc>
          <w:tcPr>
            <w:tcW w:w="6362" w:type="dxa"/>
            <w:shd w:val="clear" w:color="auto" w:fill="auto"/>
            <w:noWrap/>
            <w:vAlign w:val="bottom"/>
            <w:hideMark/>
          </w:tcPr>
          <w:p w:rsidR="0078738C" w:rsidRPr="006F3B1D" w:rsidRDefault="0078738C" w:rsidP="0078738C">
            <w:pPr>
              <w:rPr>
                <w:rFonts w:ascii="Arial" w:hAnsi="Arial" w:cs="Arial"/>
                <w:color w:val="000000"/>
                <w:sz w:val="19"/>
                <w:szCs w:val="19"/>
              </w:rPr>
            </w:pPr>
            <w:r w:rsidRPr="006F3B1D">
              <w:rPr>
                <w:rFonts w:ascii="Arial" w:hAnsi="Arial" w:cs="Arial"/>
                <w:color w:val="000000"/>
                <w:sz w:val="19"/>
                <w:szCs w:val="19"/>
              </w:rPr>
              <w:t>2.B Support for strengthening health professional training quality control</w:t>
            </w:r>
          </w:p>
        </w:tc>
        <w:tc>
          <w:tcPr>
            <w:tcW w:w="1535" w:type="dxa"/>
            <w:shd w:val="clear" w:color="auto" w:fill="auto"/>
            <w:noWrap/>
            <w:vAlign w:val="bottom"/>
            <w:hideMark/>
          </w:tcPr>
          <w:p w:rsidR="0078738C" w:rsidRPr="006F3B1D" w:rsidRDefault="0078738C" w:rsidP="0078738C">
            <w:pPr>
              <w:jc w:val="right"/>
              <w:rPr>
                <w:rFonts w:ascii="Arial" w:hAnsi="Arial" w:cs="Arial"/>
                <w:color w:val="000000"/>
                <w:sz w:val="19"/>
                <w:szCs w:val="19"/>
              </w:rPr>
            </w:pPr>
            <w:r w:rsidRPr="006F3B1D">
              <w:rPr>
                <w:rFonts w:ascii="Arial" w:hAnsi="Arial" w:cs="Arial"/>
                <w:color w:val="000000"/>
                <w:sz w:val="19"/>
                <w:szCs w:val="19"/>
              </w:rPr>
              <w:t>90%</w:t>
            </w:r>
          </w:p>
        </w:tc>
        <w:tc>
          <w:tcPr>
            <w:tcW w:w="1177" w:type="dxa"/>
            <w:shd w:val="clear" w:color="auto" w:fill="auto"/>
            <w:noWrap/>
            <w:vAlign w:val="bottom"/>
            <w:hideMark/>
          </w:tcPr>
          <w:p w:rsidR="0078738C" w:rsidRPr="006F3B1D" w:rsidRDefault="0078738C" w:rsidP="0078738C">
            <w:pPr>
              <w:jc w:val="right"/>
              <w:rPr>
                <w:rFonts w:ascii="Arial" w:hAnsi="Arial" w:cs="Arial"/>
                <w:color w:val="000000"/>
                <w:sz w:val="19"/>
                <w:szCs w:val="19"/>
              </w:rPr>
            </w:pPr>
            <w:r w:rsidRPr="006F3B1D">
              <w:rPr>
                <w:rFonts w:ascii="Arial" w:hAnsi="Arial" w:cs="Arial"/>
                <w:color w:val="000000"/>
                <w:sz w:val="19"/>
                <w:szCs w:val="19"/>
              </w:rPr>
              <w:t>10%</w:t>
            </w:r>
          </w:p>
        </w:tc>
      </w:tr>
      <w:tr w:rsidR="00594638" w:rsidRPr="00E65146" w:rsidTr="00594638">
        <w:trPr>
          <w:trHeight w:val="255"/>
          <w:jc w:val="center"/>
        </w:trPr>
        <w:tc>
          <w:tcPr>
            <w:tcW w:w="6362" w:type="dxa"/>
            <w:shd w:val="clear" w:color="auto" w:fill="auto"/>
            <w:noWrap/>
            <w:vAlign w:val="bottom"/>
            <w:hideMark/>
          </w:tcPr>
          <w:p w:rsidR="0078738C" w:rsidRPr="006F3B1D" w:rsidRDefault="0078738C" w:rsidP="0078738C">
            <w:pPr>
              <w:rPr>
                <w:rFonts w:ascii="Arial" w:hAnsi="Arial" w:cs="Arial"/>
                <w:color w:val="000000"/>
                <w:sz w:val="19"/>
                <w:szCs w:val="19"/>
              </w:rPr>
            </w:pPr>
            <w:r w:rsidRPr="006F3B1D">
              <w:rPr>
                <w:rFonts w:ascii="Arial" w:hAnsi="Arial" w:cs="Arial"/>
                <w:color w:val="000000"/>
                <w:sz w:val="19"/>
                <w:szCs w:val="19"/>
              </w:rPr>
              <w:t>2.C Support for Health Workers in Remote and Ethnic Minority Areas</w:t>
            </w:r>
          </w:p>
        </w:tc>
        <w:tc>
          <w:tcPr>
            <w:tcW w:w="1535" w:type="dxa"/>
            <w:shd w:val="clear" w:color="auto" w:fill="auto"/>
            <w:noWrap/>
            <w:vAlign w:val="bottom"/>
            <w:hideMark/>
          </w:tcPr>
          <w:p w:rsidR="0078738C" w:rsidRPr="006F3B1D" w:rsidRDefault="0078738C" w:rsidP="0078738C">
            <w:pPr>
              <w:jc w:val="right"/>
              <w:rPr>
                <w:rFonts w:ascii="Arial" w:hAnsi="Arial" w:cs="Arial"/>
                <w:color w:val="000000"/>
                <w:sz w:val="19"/>
                <w:szCs w:val="19"/>
              </w:rPr>
            </w:pPr>
            <w:r w:rsidRPr="006F3B1D">
              <w:rPr>
                <w:rFonts w:ascii="Arial" w:hAnsi="Arial" w:cs="Arial"/>
                <w:color w:val="000000"/>
                <w:sz w:val="19"/>
                <w:szCs w:val="19"/>
              </w:rPr>
              <w:t>100%</w:t>
            </w:r>
          </w:p>
        </w:tc>
        <w:tc>
          <w:tcPr>
            <w:tcW w:w="1177" w:type="dxa"/>
            <w:shd w:val="clear" w:color="auto" w:fill="auto"/>
            <w:noWrap/>
            <w:vAlign w:val="bottom"/>
            <w:hideMark/>
          </w:tcPr>
          <w:p w:rsidR="0078738C" w:rsidRPr="006F3B1D" w:rsidRDefault="0078738C" w:rsidP="0078738C">
            <w:pPr>
              <w:jc w:val="right"/>
              <w:rPr>
                <w:rFonts w:ascii="Arial" w:hAnsi="Arial" w:cs="Arial"/>
                <w:color w:val="000000"/>
                <w:sz w:val="19"/>
                <w:szCs w:val="19"/>
              </w:rPr>
            </w:pPr>
            <w:r w:rsidRPr="006F3B1D">
              <w:rPr>
                <w:rFonts w:ascii="Arial" w:hAnsi="Arial" w:cs="Arial"/>
                <w:color w:val="000000"/>
                <w:sz w:val="19"/>
                <w:szCs w:val="19"/>
              </w:rPr>
              <w:t>0%</w:t>
            </w:r>
          </w:p>
        </w:tc>
      </w:tr>
      <w:tr w:rsidR="00594638" w:rsidRPr="00E65146" w:rsidTr="00594638">
        <w:trPr>
          <w:trHeight w:val="255"/>
          <w:jc w:val="center"/>
        </w:trPr>
        <w:tc>
          <w:tcPr>
            <w:tcW w:w="6362" w:type="dxa"/>
            <w:shd w:val="clear" w:color="auto" w:fill="auto"/>
            <w:noWrap/>
            <w:vAlign w:val="bottom"/>
            <w:hideMark/>
          </w:tcPr>
          <w:p w:rsidR="0078738C" w:rsidRPr="006F3B1D" w:rsidRDefault="0078738C" w:rsidP="0078738C">
            <w:pPr>
              <w:rPr>
                <w:rFonts w:ascii="Arial" w:hAnsi="Arial" w:cs="Arial"/>
                <w:color w:val="000000"/>
                <w:sz w:val="19"/>
                <w:szCs w:val="19"/>
              </w:rPr>
            </w:pPr>
            <w:r w:rsidRPr="006F3B1D">
              <w:rPr>
                <w:rFonts w:ascii="Arial" w:hAnsi="Arial" w:cs="Arial"/>
                <w:color w:val="000000"/>
                <w:sz w:val="19"/>
                <w:szCs w:val="19"/>
              </w:rPr>
              <w:t>2.D Consulting Services</w:t>
            </w:r>
          </w:p>
        </w:tc>
        <w:tc>
          <w:tcPr>
            <w:tcW w:w="1535" w:type="dxa"/>
            <w:shd w:val="clear" w:color="auto" w:fill="auto"/>
            <w:noWrap/>
            <w:vAlign w:val="bottom"/>
            <w:hideMark/>
          </w:tcPr>
          <w:p w:rsidR="0078738C" w:rsidRPr="006F3B1D" w:rsidRDefault="0078738C" w:rsidP="0078738C">
            <w:pPr>
              <w:jc w:val="right"/>
              <w:rPr>
                <w:rFonts w:ascii="Arial" w:hAnsi="Arial" w:cs="Arial"/>
                <w:color w:val="000000"/>
                <w:sz w:val="19"/>
                <w:szCs w:val="19"/>
              </w:rPr>
            </w:pPr>
            <w:r w:rsidRPr="006F3B1D">
              <w:rPr>
                <w:rFonts w:ascii="Arial" w:hAnsi="Arial" w:cs="Arial"/>
                <w:color w:val="000000"/>
                <w:sz w:val="19"/>
                <w:szCs w:val="19"/>
              </w:rPr>
              <w:t>94%</w:t>
            </w:r>
          </w:p>
        </w:tc>
        <w:tc>
          <w:tcPr>
            <w:tcW w:w="1177" w:type="dxa"/>
            <w:shd w:val="clear" w:color="auto" w:fill="auto"/>
            <w:noWrap/>
            <w:vAlign w:val="bottom"/>
            <w:hideMark/>
          </w:tcPr>
          <w:p w:rsidR="0078738C" w:rsidRPr="006F3B1D" w:rsidRDefault="0078738C" w:rsidP="0078738C">
            <w:pPr>
              <w:jc w:val="right"/>
              <w:rPr>
                <w:rFonts w:ascii="Arial" w:hAnsi="Arial" w:cs="Arial"/>
                <w:color w:val="000000"/>
                <w:sz w:val="19"/>
                <w:szCs w:val="19"/>
              </w:rPr>
            </w:pPr>
            <w:r w:rsidRPr="006F3B1D">
              <w:rPr>
                <w:rFonts w:ascii="Arial" w:hAnsi="Arial" w:cs="Arial"/>
                <w:color w:val="000000"/>
                <w:sz w:val="19"/>
                <w:szCs w:val="19"/>
              </w:rPr>
              <w:t>6%</w:t>
            </w:r>
          </w:p>
        </w:tc>
      </w:tr>
      <w:tr w:rsidR="00594638" w:rsidRPr="00E65146" w:rsidTr="00594638">
        <w:trPr>
          <w:trHeight w:val="255"/>
          <w:jc w:val="center"/>
        </w:trPr>
        <w:tc>
          <w:tcPr>
            <w:tcW w:w="6362" w:type="dxa"/>
            <w:shd w:val="clear" w:color="auto" w:fill="auto"/>
            <w:noWrap/>
            <w:vAlign w:val="bottom"/>
            <w:hideMark/>
          </w:tcPr>
          <w:p w:rsidR="0078738C" w:rsidRPr="006F3B1D" w:rsidRDefault="0078738C" w:rsidP="0078738C">
            <w:pPr>
              <w:rPr>
                <w:rFonts w:ascii="Arial" w:hAnsi="Arial" w:cs="Arial"/>
                <w:color w:val="000000"/>
                <w:sz w:val="19"/>
                <w:szCs w:val="19"/>
              </w:rPr>
            </w:pPr>
            <w:r w:rsidRPr="006F3B1D">
              <w:rPr>
                <w:rFonts w:ascii="Arial" w:hAnsi="Arial" w:cs="Arial"/>
                <w:color w:val="000000"/>
                <w:sz w:val="19"/>
                <w:szCs w:val="19"/>
              </w:rPr>
              <w:t>3.A Support for a Clinical Pathway and Payment Reform (PPR) Unit</w:t>
            </w:r>
          </w:p>
        </w:tc>
        <w:tc>
          <w:tcPr>
            <w:tcW w:w="1535" w:type="dxa"/>
            <w:shd w:val="clear" w:color="auto" w:fill="auto"/>
            <w:noWrap/>
            <w:vAlign w:val="bottom"/>
            <w:hideMark/>
          </w:tcPr>
          <w:p w:rsidR="0078738C" w:rsidRPr="006F3B1D" w:rsidRDefault="0078738C" w:rsidP="0078738C">
            <w:pPr>
              <w:jc w:val="right"/>
              <w:rPr>
                <w:rFonts w:ascii="Arial" w:hAnsi="Arial" w:cs="Arial"/>
                <w:color w:val="000000"/>
                <w:sz w:val="19"/>
                <w:szCs w:val="19"/>
              </w:rPr>
            </w:pPr>
            <w:r w:rsidRPr="006F3B1D">
              <w:rPr>
                <w:rFonts w:ascii="Arial" w:hAnsi="Arial" w:cs="Arial"/>
                <w:color w:val="000000"/>
                <w:sz w:val="19"/>
                <w:szCs w:val="19"/>
              </w:rPr>
              <w:t>100%</w:t>
            </w:r>
          </w:p>
        </w:tc>
        <w:tc>
          <w:tcPr>
            <w:tcW w:w="1177" w:type="dxa"/>
            <w:shd w:val="clear" w:color="auto" w:fill="auto"/>
            <w:noWrap/>
            <w:vAlign w:val="bottom"/>
            <w:hideMark/>
          </w:tcPr>
          <w:p w:rsidR="0078738C" w:rsidRPr="006F3B1D" w:rsidRDefault="0078738C" w:rsidP="0078738C">
            <w:pPr>
              <w:jc w:val="right"/>
              <w:rPr>
                <w:rFonts w:ascii="Arial" w:hAnsi="Arial" w:cs="Arial"/>
                <w:color w:val="000000"/>
                <w:sz w:val="19"/>
                <w:szCs w:val="19"/>
              </w:rPr>
            </w:pPr>
            <w:r w:rsidRPr="006F3B1D">
              <w:rPr>
                <w:rFonts w:ascii="Arial" w:hAnsi="Arial" w:cs="Arial"/>
                <w:color w:val="000000"/>
                <w:sz w:val="19"/>
                <w:szCs w:val="19"/>
              </w:rPr>
              <w:t>0%</w:t>
            </w:r>
          </w:p>
        </w:tc>
      </w:tr>
      <w:tr w:rsidR="00594638" w:rsidRPr="00E65146" w:rsidTr="00594638">
        <w:trPr>
          <w:trHeight w:val="255"/>
          <w:jc w:val="center"/>
        </w:trPr>
        <w:tc>
          <w:tcPr>
            <w:tcW w:w="6362" w:type="dxa"/>
            <w:shd w:val="clear" w:color="auto" w:fill="auto"/>
            <w:noWrap/>
            <w:vAlign w:val="bottom"/>
            <w:hideMark/>
          </w:tcPr>
          <w:p w:rsidR="0078738C" w:rsidRPr="006F3B1D" w:rsidRDefault="0078738C" w:rsidP="0078738C">
            <w:pPr>
              <w:rPr>
                <w:rFonts w:ascii="Arial" w:hAnsi="Arial" w:cs="Arial"/>
                <w:color w:val="000000"/>
                <w:sz w:val="19"/>
                <w:szCs w:val="19"/>
              </w:rPr>
            </w:pPr>
            <w:r w:rsidRPr="006F3B1D">
              <w:rPr>
                <w:rFonts w:ascii="Arial" w:hAnsi="Arial" w:cs="Arial"/>
                <w:color w:val="000000"/>
                <w:sz w:val="19"/>
                <w:szCs w:val="19"/>
              </w:rPr>
              <w:t>3.B Support for Provider Payment Policy Reform</w:t>
            </w:r>
          </w:p>
        </w:tc>
        <w:tc>
          <w:tcPr>
            <w:tcW w:w="1535" w:type="dxa"/>
            <w:shd w:val="clear" w:color="auto" w:fill="auto"/>
            <w:noWrap/>
            <w:vAlign w:val="bottom"/>
            <w:hideMark/>
          </w:tcPr>
          <w:p w:rsidR="0078738C" w:rsidRPr="006F3B1D" w:rsidRDefault="0078738C" w:rsidP="0078738C">
            <w:pPr>
              <w:jc w:val="right"/>
              <w:rPr>
                <w:rFonts w:ascii="Arial" w:hAnsi="Arial" w:cs="Arial"/>
                <w:color w:val="000000"/>
                <w:sz w:val="19"/>
                <w:szCs w:val="19"/>
              </w:rPr>
            </w:pPr>
            <w:r w:rsidRPr="006F3B1D">
              <w:rPr>
                <w:rFonts w:ascii="Arial" w:hAnsi="Arial" w:cs="Arial"/>
                <w:color w:val="000000"/>
                <w:sz w:val="19"/>
                <w:szCs w:val="19"/>
              </w:rPr>
              <w:t>89%</w:t>
            </w:r>
          </w:p>
        </w:tc>
        <w:tc>
          <w:tcPr>
            <w:tcW w:w="1177" w:type="dxa"/>
            <w:shd w:val="clear" w:color="auto" w:fill="auto"/>
            <w:noWrap/>
            <w:vAlign w:val="bottom"/>
            <w:hideMark/>
          </w:tcPr>
          <w:p w:rsidR="0078738C" w:rsidRPr="006F3B1D" w:rsidRDefault="0078738C" w:rsidP="0078738C">
            <w:pPr>
              <w:jc w:val="right"/>
              <w:rPr>
                <w:rFonts w:ascii="Arial" w:hAnsi="Arial" w:cs="Arial"/>
                <w:color w:val="000000"/>
                <w:sz w:val="19"/>
                <w:szCs w:val="19"/>
              </w:rPr>
            </w:pPr>
            <w:r w:rsidRPr="006F3B1D">
              <w:rPr>
                <w:rFonts w:ascii="Arial" w:hAnsi="Arial" w:cs="Arial"/>
                <w:color w:val="000000"/>
                <w:sz w:val="19"/>
                <w:szCs w:val="19"/>
              </w:rPr>
              <w:t>11%</w:t>
            </w:r>
          </w:p>
        </w:tc>
      </w:tr>
      <w:tr w:rsidR="00594638" w:rsidRPr="00E65146" w:rsidTr="00594638">
        <w:trPr>
          <w:trHeight w:val="255"/>
          <w:jc w:val="center"/>
        </w:trPr>
        <w:tc>
          <w:tcPr>
            <w:tcW w:w="6362" w:type="dxa"/>
            <w:shd w:val="clear" w:color="auto" w:fill="auto"/>
            <w:noWrap/>
            <w:vAlign w:val="bottom"/>
            <w:hideMark/>
          </w:tcPr>
          <w:p w:rsidR="0078738C" w:rsidRPr="006F3B1D" w:rsidRDefault="0078738C" w:rsidP="0078738C">
            <w:pPr>
              <w:rPr>
                <w:rFonts w:ascii="Arial" w:hAnsi="Arial" w:cs="Arial"/>
                <w:color w:val="000000"/>
                <w:sz w:val="19"/>
                <w:szCs w:val="19"/>
              </w:rPr>
            </w:pPr>
            <w:r w:rsidRPr="006F3B1D">
              <w:rPr>
                <w:rFonts w:ascii="Arial" w:hAnsi="Arial" w:cs="Arial"/>
                <w:color w:val="000000"/>
                <w:sz w:val="19"/>
                <w:szCs w:val="19"/>
              </w:rPr>
              <w:t>3.C Capacity Building in Clinical Pathway Development</w:t>
            </w:r>
          </w:p>
        </w:tc>
        <w:tc>
          <w:tcPr>
            <w:tcW w:w="1535" w:type="dxa"/>
            <w:shd w:val="clear" w:color="auto" w:fill="auto"/>
            <w:noWrap/>
            <w:vAlign w:val="bottom"/>
            <w:hideMark/>
          </w:tcPr>
          <w:p w:rsidR="0078738C" w:rsidRPr="006F3B1D" w:rsidRDefault="0078738C" w:rsidP="0078738C">
            <w:pPr>
              <w:jc w:val="right"/>
              <w:rPr>
                <w:rFonts w:ascii="Arial" w:hAnsi="Arial" w:cs="Arial"/>
                <w:color w:val="000000"/>
                <w:sz w:val="19"/>
                <w:szCs w:val="19"/>
              </w:rPr>
            </w:pPr>
            <w:r w:rsidRPr="006F3B1D">
              <w:rPr>
                <w:rFonts w:ascii="Arial" w:hAnsi="Arial" w:cs="Arial"/>
                <w:color w:val="000000"/>
                <w:sz w:val="19"/>
                <w:szCs w:val="19"/>
              </w:rPr>
              <w:t>91%</w:t>
            </w:r>
          </w:p>
        </w:tc>
        <w:tc>
          <w:tcPr>
            <w:tcW w:w="1177" w:type="dxa"/>
            <w:shd w:val="clear" w:color="auto" w:fill="auto"/>
            <w:noWrap/>
            <w:vAlign w:val="bottom"/>
            <w:hideMark/>
          </w:tcPr>
          <w:p w:rsidR="0078738C" w:rsidRPr="006F3B1D" w:rsidRDefault="0078738C" w:rsidP="0078738C">
            <w:pPr>
              <w:jc w:val="right"/>
              <w:rPr>
                <w:rFonts w:ascii="Arial" w:hAnsi="Arial" w:cs="Arial"/>
                <w:color w:val="000000"/>
                <w:sz w:val="19"/>
                <w:szCs w:val="19"/>
              </w:rPr>
            </w:pPr>
            <w:r w:rsidRPr="006F3B1D">
              <w:rPr>
                <w:rFonts w:ascii="Arial" w:hAnsi="Arial" w:cs="Arial"/>
                <w:color w:val="000000"/>
                <w:sz w:val="19"/>
                <w:szCs w:val="19"/>
              </w:rPr>
              <w:t>9%</w:t>
            </w:r>
          </w:p>
        </w:tc>
      </w:tr>
      <w:tr w:rsidR="00594638" w:rsidRPr="00E65146" w:rsidTr="00594638">
        <w:trPr>
          <w:trHeight w:val="255"/>
          <w:jc w:val="center"/>
        </w:trPr>
        <w:tc>
          <w:tcPr>
            <w:tcW w:w="6362" w:type="dxa"/>
            <w:shd w:val="clear" w:color="auto" w:fill="auto"/>
            <w:noWrap/>
            <w:vAlign w:val="bottom"/>
            <w:hideMark/>
          </w:tcPr>
          <w:p w:rsidR="0078738C" w:rsidRPr="006F3B1D" w:rsidRDefault="0078738C" w:rsidP="0078738C">
            <w:pPr>
              <w:rPr>
                <w:rFonts w:ascii="Arial" w:hAnsi="Arial" w:cs="Arial"/>
                <w:color w:val="000000"/>
                <w:sz w:val="19"/>
                <w:szCs w:val="19"/>
              </w:rPr>
            </w:pPr>
            <w:r w:rsidRPr="006F3B1D">
              <w:rPr>
                <w:rFonts w:ascii="Arial" w:hAnsi="Arial" w:cs="Arial"/>
                <w:color w:val="000000"/>
                <w:sz w:val="19"/>
                <w:szCs w:val="19"/>
              </w:rPr>
              <w:t>3.D Capacity Building in Costing and Hospital Cost Management</w:t>
            </w:r>
          </w:p>
        </w:tc>
        <w:tc>
          <w:tcPr>
            <w:tcW w:w="1535" w:type="dxa"/>
            <w:shd w:val="clear" w:color="auto" w:fill="auto"/>
            <w:noWrap/>
            <w:vAlign w:val="bottom"/>
            <w:hideMark/>
          </w:tcPr>
          <w:p w:rsidR="0078738C" w:rsidRPr="006F3B1D" w:rsidRDefault="0078738C" w:rsidP="0078738C">
            <w:pPr>
              <w:jc w:val="right"/>
              <w:rPr>
                <w:rFonts w:ascii="Arial" w:hAnsi="Arial" w:cs="Arial"/>
                <w:color w:val="000000"/>
                <w:sz w:val="19"/>
                <w:szCs w:val="19"/>
              </w:rPr>
            </w:pPr>
            <w:r w:rsidRPr="006F3B1D">
              <w:rPr>
                <w:rFonts w:ascii="Arial" w:hAnsi="Arial" w:cs="Arial"/>
                <w:color w:val="000000"/>
                <w:sz w:val="19"/>
                <w:szCs w:val="19"/>
              </w:rPr>
              <w:t>100%</w:t>
            </w:r>
          </w:p>
        </w:tc>
        <w:tc>
          <w:tcPr>
            <w:tcW w:w="1177" w:type="dxa"/>
            <w:shd w:val="clear" w:color="auto" w:fill="auto"/>
            <w:noWrap/>
            <w:vAlign w:val="bottom"/>
            <w:hideMark/>
          </w:tcPr>
          <w:p w:rsidR="0078738C" w:rsidRPr="006F3B1D" w:rsidRDefault="0078738C" w:rsidP="0078738C">
            <w:pPr>
              <w:jc w:val="right"/>
              <w:rPr>
                <w:rFonts w:ascii="Arial" w:hAnsi="Arial" w:cs="Arial"/>
                <w:color w:val="000000"/>
                <w:sz w:val="19"/>
                <w:szCs w:val="19"/>
              </w:rPr>
            </w:pPr>
            <w:r w:rsidRPr="006F3B1D">
              <w:rPr>
                <w:rFonts w:ascii="Arial" w:hAnsi="Arial" w:cs="Arial"/>
                <w:color w:val="000000"/>
                <w:sz w:val="19"/>
                <w:szCs w:val="19"/>
              </w:rPr>
              <w:t>0%</w:t>
            </w:r>
          </w:p>
        </w:tc>
      </w:tr>
      <w:tr w:rsidR="00594638" w:rsidRPr="00E65146" w:rsidTr="00594638">
        <w:trPr>
          <w:trHeight w:val="255"/>
          <w:jc w:val="center"/>
        </w:trPr>
        <w:tc>
          <w:tcPr>
            <w:tcW w:w="6362" w:type="dxa"/>
            <w:shd w:val="clear" w:color="auto" w:fill="auto"/>
            <w:noWrap/>
            <w:vAlign w:val="bottom"/>
            <w:hideMark/>
          </w:tcPr>
          <w:p w:rsidR="0078738C" w:rsidRPr="006F3B1D" w:rsidRDefault="00D25E8E" w:rsidP="00D25E8E">
            <w:pPr>
              <w:jc w:val="right"/>
              <w:rPr>
                <w:rFonts w:ascii="Arial" w:hAnsi="Arial" w:cs="Arial"/>
                <w:b/>
                <w:bCs/>
                <w:color w:val="000000"/>
                <w:sz w:val="19"/>
                <w:szCs w:val="19"/>
              </w:rPr>
            </w:pPr>
            <w:r>
              <w:rPr>
                <w:rFonts w:ascii="Arial" w:hAnsi="Arial" w:cs="Arial"/>
                <w:b/>
                <w:bCs/>
                <w:color w:val="000000"/>
                <w:sz w:val="19"/>
                <w:szCs w:val="19"/>
              </w:rPr>
              <w:t>Total</w:t>
            </w:r>
          </w:p>
        </w:tc>
        <w:tc>
          <w:tcPr>
            <w:tcW w:w="1535" w:type="dxa"/>
            <w:shd w:val="clear" w:color="auto" w:fill="auto"/>
            <w:noWrap/>
            <w:vAlign w:val="bottom"/>
            <w:hideMark/>
          </w:tcPr>
          <w:p w:rsidR="0078738C" w:rsidRPr="006F3B1D" w:rsidRDefault="0078738C" w:rsidP="0078738C">
            <w:pPr>
              <w:jc w:val="right"/>
              <w:rPr>
                <w:rFonts w:ascii="Arial" w:hAnsi="Arial" w:cs="Arial"/>
                <w:b/>
                <w:bCs/>
                <w:color w:val="000000"/>
                <w:sz w:val="19"/>
                <w:szCs w:val="19"/>
              </w:rPr>
            </w:pPr>
            <w:r w:rsidRPr="006F3B1D">
              <w:rPr>
                <w:rFonts w:ascii="Arial" w:hAnsi="Arial" w:cs="Arial"/>
                <w:b/>
                <w:bCs/>
                <w:color w:val="000000"/>
                <w:sz w:val="19"/>
                <w:szCs w:val="19"/>
              </w:rPr>
              <w:t>85%</w:t>
            </w:r>
          </w:p>
        </w:tc>
        <w:tc>
          <w:tcPr>
            <w:tcW w:w="1177" w:type="dxa"/>
            <w:shd w:val="clear" w:color="auto" w:fill="auto"/>
            <w:noWrap/>
            <w:vAlign w:val="bottom"/>
            <w:hideMark/>
          </w:tcPr>
          <w:p w:rsidR="0078738C" w:rsidRPr="006F3B1D" w:rsidRDefault="0078738C" w:rsidP="0078738C">
            <w:pPr>
              <w:jc w:val="right"/>
              <w:rPr>
                <w:rFonts w:ascii="Arial" w:hAnsi="Arial" w:cs="Arial"/>
                <w:b/>
                <w:bCs/>
                <w:color w:val="000000"/>
                <w:sz w:val="19"/>
                <w:szCs w:val="19"/>
              </w:rPr>
            </w:pPr>
            <w:r w:rsidRPr="006F3B1D">
              <w:rPr>
                <w:rFonts w:ascii="Arial" w:hAnsi="Arial" w:cs="Arial"/>
                <w:b/>
                <w:bCs/>
                <w:color w:val="000000"/>
                <w:sz w:val="19"/>
                <w:szCs w:val="19"/>
              </w:rPr>
              <w:t>15%</w:t>
            </w:r>
          </w:p>
        </w:tc>
      </w:tr>
    </w:tbl>
    <w:p w:rsidR="0078738C" w:rsidRDefault="0078738C" w:rsidP="0078738C">
      <w:pPr>
        <w:tabs>
          <w:tab w:val="left" w:pos="1980"/>
        </w:tabs>
        <w:outlineLvl w:val="0"/>
        <w:rPr>
          <w:rFonts w:ascii="Arial" w:hAnsi="Arial" w:cs="Arial"/>
          <w:sz w:val="22"/>
          <w:szCs w:val="22"/>
        </w:rPr>
      </w:pPr>
    </w:p>
    <w:p w:rsidR="00DD1024" w:rsidRDefault="00DD1024" w:rsidP="00DD1024">
      <w:pPr>
        <w:ind w:left="2552"/>
        <w:rPr>
          <w:rFonts w:ascii="Arial" w:hAnsi="Arial" w:cs="Arial"/>
          <w:sz w:val="18"/>
          <w:szCs w:val="18"/>
        </w:rPr>
      </w:pPr>
      <w:r w:rsidRPr="00F05CD3">
        <w:rPr>
          <w:rFonts w:ascii="Arial" w:hAnsi="Arial" w:cs="Arial"/>
          <w:b/>
          <w:sz w:val="18"/>
          <w:szCs w:val="18"/>
        </w:rPr>
        <w:t>Source:</w:t>
      </w:r>
      <w:r w:rsidRPr="00F05CD3">
        <w:rPr>
          <w:rFonts w:ascii="Arial" w:hAnsi="Arial" w:cs="Arial"/>
          <w:sz w:val="18"/>
          <w:szCs w:val="18"/>
        </w:rPr>
        <w:t xml:space="preserve"> HHRSDP, </w:t>
      </w:r>
      <w:r>
        <w:rPr>
          <w:rFonts w:ascii="Arial" w:hAnsi="Arial" w:cs="Arial"/>
          <w:sz w:val="18"/>
          <w:szCs w:val="18"/>
        </w:rPr>
        <w:t>Planning</w:t>
      </w:r>
      <w:r w:rsidRPr="00F05CD3">
        <w:rPr>
          <w:rFonts w:ascii="Arial" w:hAnsi="Arial" w:cs="Arial"/>
          <w:sz w:val="18"/>
          <w:szCs w:val="18"/>
        </w:rPr>
        <w:t xml:space="preserve"> Unit</w:t>
      </w:r>
    </w:p>
    <w:p w:rsidR="00DD1024" w:rsidRPr="00E65146" w:rsidRDefault="00DD1024" w:rsidP="0078738C">
      <w:pPr>
        <w:tabs>
          <w:tab w:val="left" w:pos="1980"/>
        </w:tabs>
        <w:outlineLvl w:val="0"/>
        <w:rPr>
          <w:rFonts w:ascii="Arial" w:hAnsi="Arial" w:cs="Arial"/>
          <w:sz w:val="22"/>
          <w:szCs w:val="22"/>
        </w:rPr>
      </w:pPr>
    </w:p>
    <w:p w:rsidR="000F1EB0" w:rsidRPr="00E65146" w:rsidRDefault="000F1EB0" w:rsidP="000F1EB0">
      <w:pPr>
        <w:tabs>
          <w:tab w:val="left" w:pos="1980"/>
        </w:tabs>
        <w:rPr>
          <w:rFonts w:ascii="Arial" w:hAnsi="Arial" w:cs="Arial"/>
          <w:sz w:val="22"/>
          <w:szCs w:val="22"/>
        </w:rPr>
      </w:pPr>
    </w:p>
    <w:p w:rsidR="0078738C" w:rsidRPr="00E65146" w:rsidRDefault="0078738C" w:rsidP="000F1EB0">
      <w:pPr>
        <w:tabs>
          <w:tab w:val="left" w:pos="1980"/>
        </w:tabs>
        <w:rPr>
          <w:rFonts w:ascii="Arial" w:hAnsi="Arial" w:cs="Arial"/>
          <w:sz w:val="22"/>
          <w:szCs w:val="22"/>
        </w:rPr>
        <w:sectPr w:rsidR="0078738C" w:rsidRPr="00E65146" w:rsidSect="00A327AF">
          <w:pgSz w:w="16838" w:h="11906" w:orient="landscape" w:code="9"/>
          <w:pgMar w:top="1440" w:right="1440" w:bottom="1440" w:left="1440" w:header="567" w:footer="431" w:gutter="0"/>
          <w:cols w:space="708"/>
          <w:docGrid w:linePitch="360"/>
        </w:sectPr>
      </w:pPr>
    </w:p>
    <w:p w:rsidR="000F1EB0" w:rsidRPr="00E65146" w:rsidRDefault="000F1EB0" w:rsidP="000F1EB0">
      <w:pPr>
        <w:tabs>
          <w:tab w:val="left" w:pos="1980"/>
        </w:tabs>
        <w:rPr>
          <w:rFonts w:ascii="Arial" w:hAnsi="Arial" w:cs="Arial"/>
          <w:sz w:val="22"/>
          <w:szCs w:val="22"/>
        </w:rPr>
      </w:pPr>
    </w:p>
    <w:p w:rsidR="00E95EB0" w:rsidRPr="00777CBC" w:rsidRDefault="00E95EB0" w:rsidP="00777CBC">
      <w:pPr>
        <w:pStyle w:val="ColorfulList-Accent11"/>
        <w:numPr>
          <w:ilvl w:val="0"/>
          <w:numId w:val="8"/>
        </w:numPr>
        <w:pBdr>
          <w:bottom w:val="single" w:sz="6" w:space="1" w:color="auto"/>
        </w:pBdr>
        <w:tabs>
          <w:tab w:val="left" w:pos="1980"/>
        </w:tabs>
        <w:outlineLvl w:val="0"/>
        <w:rPr>
          <w:rFonts w:ascii="Arial" w:hAnsi="Arial" w:cs="Arial"/>
          <w:b/>
          <w:sz w:val="22"/>
          <w:szCs w:val="22"/>
        </w:rPr>
      </w:pPr>
      <w:bookmarkStart w:id="113" w:name="_Toc423359364"/>
      <w:r w:rsidRPr="00777CBC">
        <w:rPr>
          <w:rFonts w:ascii="Arial" w:hAnsi="Arial" w:cs="Arial"/>
          <w:b/>
          <w:sz w:val="22"/>
          <w:szCs w:val="22"/>
        </w:rPr>
        <w:t>PROGRAM IMPACT</w:t>
      </w:r>
      <w:bookmarkEnd w:id="113"/>
    </w:p>
    <w:p w:rsidR="000F1EB0" w:rsidRPr="00E65146" w:rsidRDefault="000F1EB0" w:rsidP="000F1EB0">
      <w:pPr>
        <w:tabs>
          <w:tab w:val="left" w:pos="1980"/>
        </w:tabs>
        <w:rPr>
          <w:rFonts w:ascii="Arial" w:hAnsi="Arial" w:cs="Arial"/>
          <w:sz w:val="22"/>
          <w:szCs w:val="22"/>
        </w:rPr>
      </w:pPr>
    </w:p>
    <w:p w:rsidR="00D057C0" w:rsidRDefault="00D057C0" w:rsidP="000F1EB0">
      <w:pPr>
        <w:tabs>
          <w:tab w:val="left" w:pos="1980"/>
        </w:tabs>
        <w:rPr>
          <w:rFonts w:ascii="Arial" w:hAnsi="Arial" w:cs="Arial"/>
          <w:sz w:val="22"/>
          <w:szCs w:val="22"/>
        </w:rPr>
      </w:pPr>
    </w:p>
    <w:p w:rsidR="0032041C" w:rsidRPr="00E65146" w:rsidRDefault="0032041C" w:rsidP="0032041C">
      <w:pPr>
        <w:spacing w:before="240" w:after="120"/>
        <w:jc w:val="center"/>
        <w:rPr>
          <w:rFonts w:ascii="Arial" w:hAnsi="Arial" w:cs="Arial"/>
          <w:b/>
        </w:rPr>
      </w:pPr>
      <w:r w:rsidRPr="00E65146">
        <w:rPr>
          <w:rFonts w:ascii="Arial" w:hAnsi="Arial" w:cs="Arial"/>
          <w:b/>
        </w:rPr>
        <w:t>Table</w:t>
      </w:r>
      <w:r>
        <w:rPr>
          <w:rFonts w:ascii="Arial" w:hAnsi="Arial" w:cs="Arial"/>
          <w:b/>
        </w:rPr>
        <w:t xml:space="preserve"> 11</w:t>
      </w:r>
      <w:r w:rsidRPr="00E65146">
        <w:rPr>
          <w:rFonts w:ascii="Arial" w:hAnsi="Arial" w:cs="Arial"/>
          <w:b/>
        </w:rPr>
        <w:t xml:space="preserve">.1: </w:t>
      </w:r>
      <w:r>
        <w:rPr>
          <w:rFonts w:ascii="Arial" w:hAnsi="Arial" w:cs="Arial"/>
          <w:b/>
        </w:rPr>
        <w:t>IMR for 20 poorest provinces against the 2012 and 2015 targets</w:t>
      </w:r>
      <w:r w:rsidRPr="00E65146">
        <w:rPr>
          <w:rFonts w:ascii="Arial" w:hAnsi="Arial" w:cs="Arial"/>
          <w:b/>
        </w:rPr>
        <w:t xml:space="preserve"> </w:t>
      </w:r>
    </w:p>
    <w:p w:rsidR="00AB7745" w:rsidRDefault="00AB7745" w:rsidP="000F1EB0">
      <w:pPr>
        <w:tabs>
          <w:tab w:val="left" w:pos="1980"/>
        </w:tabs>
        <w:rPr>
          <w:rFonts w:ascii="Arial" w:hAnsi="Arial" w:cs="Arial"/>
          <w:sz w:val="22"/>
          <w:szCs w:val="22"/>
        </w:rPr>
      </w:pPr>
    </w:p>
    <w:tbl>
      <w:tblPr>
        <w:tblW w:w="4909" w:type="dxa"/>
        <w:jc w:val="center"/>
        <w:tblLook w:val="04A0" w:firstRow="1" w:lastRow="0" w:firstColumn="1" w:lastColumn="0" w:noHBand="0" w:noVBand="1"/>
      </w:tblPr>
      <w:tblGrid>
        <w:gridCol w:w="1265"/>
        <w:gridCol w:w="1124"/>
        <w:gridCol w:w="840"/>
        <w:gridCol w:w="840"/>
        <w:gridCol w:w="840"/>
      </w:tblGrid>
      <w:tr w:rsidR="008C74C1" w:rsidRPr="00AB7745" w:rsidTr="00777CBC">
        <w:trPr>
          <w:trHeight w:val="240"/>
          <w:jc w:val="center"/>
        </w:trPr>
        <w:tc>
          <w:tcPr>
            <w:tcW w:w="1265" w:type="dxa"/>
            <w:tcBorders>
              <w:top w:val="single" w:sz="4" w:space="0" w:color="auto"/>
              <w:left w:val="nil"/>
              <w:bottom w:val="single" w:sz="4" w:space="0" w:color="auto"/>
              <w:right w:val="nil"/>
            </w:tcBorders>
            <w:shd w:val="clear" w:color="auto" w:fill="auto"/>
            <w:vAlign w:val="center"/>
            <w:hideMark/>
          </w:tcPr>
          <w:p w:rsidR="008C74C1" w:rsidRPr="00594638" w:rsidRDefault="008C74C1" w:rsidP="00AB7745">
            <w:pPr>
              <w:jc w:val="both"/>
              <w:rPr>
                <w:rFonts w:ascii="Arial" w:hAnsi="Arial" w:cs="Arial"/>
                <w:b/>
                <w:bCs/>
                <w:color w:val="000000"/>
                <w:sz w:val="19"/>
                <w:szCs w:val="19"/>
                <w:lang w:val="en-AU" w:eastAsia="en-US"/>
              </w:rPr>
            </w:pPr>
            <w:r w:rsidRPr="00594638">
              <w:rPr>
                <w:rFonts w:ascii="Arial" w:hAnsi="Arial" w:cs="Arial"/>
                <w:b/>
                <w:bCs/>
                <w:color w:val="000000"/>
                <w:sz w:val="19"/>
                <w:szCs w:val="19"/>
                <w:lang w:val="en-AU" w:eastAsia="en-US"/>
              </w:rPr>
              <w:t>Province</w:t>
            </w:r>
          </w:p>
        </w:tc>
        <w:tc>
          <w:tcPr>
            <w:tcW w:w="1124" w:type="dxa"/>
            <w:tcBorders>
              <w:top w:val="single" w:sz="4" w:space="0" w:color="auto"/>
              <w:left w:val="nil"/>
              <w:bottom w:val="single" w:sz="4" w:space="0" w:color="auto"/>
              <w:right w:val="nil"/>
            </w:tcBorders>
            <w:shd w:val="clear" w:color="auto" w:fill="auto"/>
            <w:noWrap/>
            <w:vAlign w:val="bottom"/>
            <w:hideMark/>
          </w:tcPr>
          <w:p w:rsidR="008C74C1" w:rsidRPr="00594638" w:rsidRDefault="008C74C1" w:rsidP="00194B7C">
            <w:pPr>
              <w:jc w:val="center"/>
              <w:rPr>
                <w:rFonts w:ascii="Arial" w:hAnsi="Arial" w:cs="Arial"/>
                <w:b/>
                <w:bCs/>
                <w:color w:val="000000"/>
                <w:sz w:val="19"/>
                <w:szCs w:val="19"/>
                <w:lang w:val="en-AU" w:eastAsia="en-US"/>
              </w:rPr>
            </w:pPr>
            <w:r w:rsidRPr="00594638">
              <w:rPr>
                <w:rFonts w:ascii="Arial" w:hAnsi="Arial" w:cs="Arial"/>
                <w:b/>
                <w:bCs/>
                <w:color w:val="000000"/>
                <w:sz w:val="19"/>
                <w:szCs w:val="19"/>
                <w:lang w:val="en-AU" w:eastAsia="en-US"/>
              </w:rPr>
              <w:t xml:space="preserve">2010 </w:t>
            </w:r>
            <w:r w:rsidRPr="00594638">
              <w:rPr>
                <w:rStyle w:val="FootnoteReference"/>
                <w:sz w:val="19"/>
                <w:szCs w:val="19"/>
              </w:rPr>
              <w:t>a</w:t>
            </w:r>
          </w:p>
        </w:tc>
        <w:tc>
          <w:tcPr>
            <w:tcW w:w="840" w:type="dxa"/>
            <w:tcBorders>
              <w:top w:val="single" w:sz="4" w:space="0" w:color="auto"/>
              <w:left w:val="nil"/>
              <w:bottom w:val="single" w:sz="4" w:space="0" w:color="auto"/>
              <w:right w:val="nil"/>
            </w:tcBorders>
            <w:shd w:val="clear" w:color="auto" w:fill="auto"/>
            <w:noWrap/>
            <w:vAlign w:val="bottom"/>
            <w:hideMark/>
          </w:tcPr>
          <w:p w:rsidR="008C74C1" w:rsidRPr="00594638" w:rsidRDefault="008C74C1" w:rsidP="00AB7745">
            <w:pPr>
              <w:jc w:val="center"/>
              <w:rPr>
                <w:rFonts w:ascii="Arial" w:hAnsi="Arial" w:cs="Arial"/>
                <w:b/>
                <w:bCs/>
                <w:color w:val="000000"/>
                <w:sz w:val="19"/>
                <w:szCs w:val="19"/>
                <w:lang w:val="en-AU" w:eastAsia="en-US"/>
              </w:rPr>
            </w:pPr>
            <w:r w:rsidRPr="00594638">
              <w:rPr>
                <w:rFonts w:ascii="Arial" w:hAnsi="Arial" w:cs="Arial"/>
                <w:b/>
                <w:bCs/>
                <w:color w:val="000000"/>
                <w:sz w:val="19"/>
                <w:szCs w:val="19"/>
                <w:lang w:val="en-AU" w:eastAsia="en-US"/>
              </w:rPr>
              <w:t xml:space="preserve">2012 </w:t>
            </w:r>
            <w:r w:rsidRPr="00594638">
              <w:rPr>
                <w:rStyle w:val="FootnoteReference"/>
                <w:sz w:val="19"/>
                <w:szCs w:val="19"/>
              </w:rPr>
              <w:t>a</w:t>
            </w:r>
          </w:p>
        </w:tc>
        <w:tc>
          <w:tcPr>
            <w:tcW w:w="840" w:type="dxa"/>
            <w:tcBorders>
              <w:top w:val="single" w:sz="4" w:space="0" w:color="auto"/>
              <w:left w:val="nil"/>
              <w:bottom w:val="single" w:sz="4" w:space="0" w:color="auto"/>
              <w:right w:val="nil"/>
            </w:tcBorders>
            <w:shd w:val="clear" w:color="auto" w:fill="auto"/>
            <w:noWrap/>
            <w:vAlign w:val="bottom"/>
            <w:hideMark/>
          </w:tcPr>
          <w:p w:rsidR="008C74C1" w:rsidRPr="00594638" w:rsidRDefault="008C74C1" w:rsidP="00AB7745">
            <w:pPr>
              <w:jc w:val="center"/>
              <w:rPr>
                <w:rFonts w:ascii="Arial" w:hAnsi="Arial" w:cs="Arial"/>
                <w:b/>
                <w:bCs/>
                <w:color w:val="000000"/>
                <w:sz w:val="19"/>
                <w:szCs w:val="19"/>
                <w:lang w:val="en-AU" w:eastAsia="en-US"/>
              </w:rPr>
            </w:pPr>
            <w:r w:rsidRPr="00594638">
              <w:rPr>
                <w:rFonts w:ascii="Arial" w:hAnsi="Arial" w:cs="Arial"/>
                <w:b/>
                <w:bCs/>
                <w:color w:val="000000"/>
                <w:sz w:val="19"/>
                <w:szCs w:val="19"/>
                <w:lang w:val="en-AU" w:eastAsia="en-US"/>
              </w:rPr>
              <w:t xml:space="preserve">2013 </w:t>
            </w:r>
            <w:r w:rsidRPr="00594638">
              <w:rPr>
                <w:rStyle w:val="FootnoteReference"/>
                <w:sz w:val="19"/>
                <w:szCs w:val="19"/>
              </w:rPr>
              <w:t>a</w:t>
            </w:r>
          </w:p>
        </w:tc>
        <w:tc>
          <w:tcPr>
            <w:tcW w:w="840" w:type="dxa"/>
            <w:tcBorders>
              <w:top w:val="single" w:sz="4" w:space="0" w:color="auto"/>
              <w:left w:val="nil"/>
              <w:bottom w:val="single" w:sz="4" w:space="0" w:color="auto"/>
              <w:right w:val="nil"/>
            </w:tcBorders>
            <w:vAlign w:val="center"/>
          </w:tcPr>
          <w:p w:rsidR="008C74C1" w:rsidRPr="00594638" w:rsidRDefault="008C74C1" w:rsidP="00AB7745">
            <w:pPr>
              <w:jc w:val="center"/>
              <w:rPr>
                <w:rFonts w:ascii="Arial" w:hAnsi="Arial" w:cs="Arial"/>
                <w:b/>
                <w:bCs/>
                <w:color w:val="000000"/>
                <w:sz w:val="19"/>
                <w:szCs w:val="19"/>
                <w:lang w:val="en-AU" w:eastAsia="en-US"/>
              </w:rPr>
            </w:pPr>
            <w:r w:rsidRPr="00594638">
              <w:rPr>
                <w:rFonts w:ascii="Arial" w:hAnsi="Arial" w:cs="Arial"/>
                <w:b/>
                <w:bCs/>
                <w:color w:val="000000"/>
                <w:sz w:val="19"/>
                <w:szCs w:val="19"/>
                <w:lang w:val="en-AU" w:eastAsia="en-US"/>
              </w:rPr>
              <w:t>2015</w:t>
            </w:r>
          </w:p>
        </w:tc>
      </w:tr>
      <w:tr w:rsidR="008C74C1" w:rsidRPr="00AB7745" w:rsidTr="00777CBC">
        <w:trPr>
          <w:trHeight w:val="240"/>
          <w:jc w:val="center"/>
        </w:trPr>
        <w:tc>
          <w:tcPr>
            <w:tcW w:w="1265" w:type="dxa"/>
            <w:tcBorders>
              <w:top w:val="nil"/>
              <w:left w:val="nil"/>
              <w:bottom w:val="nil"/>
              <w:right w:val="nil"/>
            </w:tcBorders>
            <w:shd w:val="clear" w:color="auto" w:fill="auto"/>
            <w:vAlign w:val="center"/>
            <w:hideMark/>
          </w:tcPr>
          <w:p w:rsidR="008C74C1" w:rsidRPr="00594638" w:rsidRDefault="008C74C1" w:rsidP="00AB7745">
            <w:pPr>
              <w:jc w:val="both"/>
              <w:rPr>
                <w:rFonts w:ascii="Arial" w:hAnsi="Arial" w:cs="Arial"/>
                <w:b/>
                <w:bCs/>
                <w:color w:val="000000"/>
                <w:sz w:val="19"/>
                <w:szCs w:val="19"/>
                <w:lang w:val="en-AU" w:eastAsia="en-US"/>
              </w:rPr>
            </w:pPr>
            <w:r w:rsidRPr="00594638">
              <w:rPr>
                <w:rFonts w:ascii="Arial" w:hAnsi="Arial" w:cs="Arial"/>
                <w:b/>
                <w:bCs/>
                <w:color w:val="000000"/>
                <w:sz w:val="19"/>
                <w:szCs w:val="19"/>
                <w:lang w:val="en-AU" w:eastAsia="en-US"/>
              </w:rPr>
              <w:t>Target</w:t>
            </w:r>
          </w:p>
        </w:tc>
        <w:tc>
          <w:tcPr>
            <w:tcW w:w="1124" w:type="dxa"/>
            <w:tcBorders>
              <w:top w:val="nil"/>
              <w:left w:val="nil"/>
              <w:bottom w:val="nil"/>
              <w:right w:val="nil"/>
            </w:tcBorders>
            <w:shd w:val="clear" w:color="auto" w:fill="auto"/>
            <w:noWrap/>
            <w:vAlign w:val="bottom"/>
            <w:hideMark/>
          </w:tcPr>
          <w:p w:rsidR="008C74C1" w:rsidRPr="00594638" w:rsidRDefault="008C74C1" w:rsidP="00AB7745">
            <w:pPr>
              <w:rPr>
                <w:rFonts w:ascii="Arial" w:hAnsi="Arial" w:cs="Arial"/>
                <w:b/>
                <w:bCs/>
                <w:color w:val="000000"/>
                <w:sz w:val="19"/>
                <w:szCs w:val="19"/>
                <w:lang w:val="en-AU" w:eastAsia="en-US"/>
              </w:rPr>
            </w:pPr>
          </w:p>
        </w:tc>
        <w:tc>
          <w:tcPr>
            <w:tcW w:w="840"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b/>
                <w:bCs/>
                <w:color w:val="000000"/>
                <w:sz w:val="19"/>
                <w:szCs w:val="19"/>
                <w:lang w:val="en-AU" w:eastAsia="en-US"/>
              </w:rPr>
            </w:pPr>
            <w:r w:rsidRPr="00594638">
              <w:rPr>
                <w:rFonts w:ascii="Arial" w:hAnsi="Arial" w:cs="Arial"/>
                <w:b/>
                <w:bCs/>
                <w:color w:val="000000"/>
                <w:sz w:val="19"/>
                <w:szCs w:val="19"/>
                <w:lang w:val="en-AU" w:eastAsia="en-US"/>
              </w:rPr>
              <w:t>15.4</w:t>
            </w:r>
            <w:r w:rsidRPr="00594638">
              <w:rPr>
                <w:rStyle w:val="FootnoteReference"/>
                <w:sz w:val="19"/>
                <w:szCs w:val="19"/>
              </w:rPr>
              <w:t>b</w:t>
            </w:r>
          </w:p>
        </w:tc>
        <w:tc>
          <w:tcPr>
            <w:tcW w:w="840"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b/>
                <w:bCs/>
                <w:color w:val="000000"/>
                <w:sz w:val="19"/>
                <w:szCs w:val="19"/>
                <w:lang w:val="en-AU" w:eastAsia="en-US"/>
              </w:rPr>
            </w:pPr>
          </w:p>
        </w:tc>
        <w:tc>
          <w:tcPr>
            <w:tcW w:w="840" w:type="dxa"/>
            <w:tcBorders>
              <w:top w:val="nil"/>
              <w:left w:val="nil"/>
              <w:bottom w:val="nil"/>
              <w:right w:val="nil"/>
            </w:tcBorders>
            <w:vAlign w:val="center"/>
          </w:tcPr>
          <w:p w:rsidR="008C74C1" w:rsidRPr="00594638" w:rsidRDefault="008C74C1" w:rsidP="00AB7745">
            <w:pPr>
              <w:jc w:val="right"/>
              <w:rPr>
                <w:rFonts w:ascii="Arial" w:hAnsi="Arial" w:cs="Arial"/>
                <w:b/>
                <w:bCs/>
                <w:color w:val="000000"/>
                <w:sz w:val="19"/>
                <w:szCs w:val="19"/>
                <w:lang w:val="en-AU" w:eastAsia="en-US"/>
              </w:rPr>
            </w:pPr>
            <w:r w:rsidRPr="00594638">
              <w:rPr>
                <w:rFonts w:ascii="Arial" w:hAnsi="Arial" w:cs="Arial"/>
                <w:b/>
                <w:bCs/>
                <w:color w:val="000000"/>
                <w:sz w:val="19"/>
                <w:szCs w:val="19"/>
                <w:lang w:val="en-AU" w:eastAsia="en-US"/>
              </w:rPr>
              <w:t>14.8</w:t>
            </w:r>
            <w:r w:rsidRPr="00594638">
              <w:rPr>
                <w:rStyle w:val="FootnoteReference"/>
                <w:sz w:val="19"/>
                <w:szCs w:val="19"/>
              </w:rPr>
              <w:t>c</w:t>
            </w:r>
          </w:p>
        </w:tc>
      </w:tr>
      <w:tr w:rsidR="008C74C1" w:rsidRPr="00AB7745" w:rsidTr="00777CBC">
        <w:trPr>
          <w:trHeight w:val="240"/>
          <w:jc w:val="center"/>
        </w:trPr>
        <w:tc>
          <w:tcPr>
            <w:tcW w:w="1265" w:type="dxa"/>
            <w:tcBorders>
              <w:top w:val="nil"/>
              <w:left w:val="nil"/>
              <w:bottom w:val="nil"/>
              <w:right w:val="nil"/>
            </w:tcBorders>
            <w:shd w:val="clear" w:color="auto" w:fill="auto"/>
            <w:vAlign w:val="center"/>
            <w:hideMark/>
          </w:tcPr>
          <w:p w:rsidR="008C74C1" w:rsidRPr="00594638" w:rsidRDefault="008C74C1" w:rsidP="00AB7745">
            <w:pPr>
              <w:jc w:val="both"/>
              <w:rPr>
                <w:rFonts w:ascii="Arial" w:hAnsi="Arial" w:cs="Arial"/>
                <w:b/>
                <w:bCs/>
                <w:color w:val="000000"/>
                <w:sz w:val="19"/>
                <w:szCs w:val="19"/>
                <w:lang w:val="en-AU" w:eastAsia="en-US"/>
              </w:rPr>
            </w:pPr>
            <w:r w:rsidRPr="00594638">
              <w:rPr>
                <w:rFonts w:ascii="Arial" w:hAnsi="Arial" w:cs="Arial"/>
                <w:b/>
                <w:bCs/>
                <w:color w:val="000000"/>
                <w:sz w:val="19"/>
                <w:szCs w:val="19"/>
                <w:lang w:val="en-AU" w:eastAsia="en-US"/>
              </w:rPr>
              <w:t>National</w:t>
            </w:r>
          </w:p>
        </w:tc>
        <w:tc>
          <w:tcPr>
            <w:tcW w:w="1124"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15.8</w:t>
            </w:r>
          </w:p>
        </w:tc>
        <w:tc>
          <w:tcPr>
            <w:tcW w:w="840"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15.4</w:t>
            </w:r>
          </w:p>
        </w:tc>
        <w:tc>
          <w:tcPr>
            <w:tcW w:w="840"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15.3</w:t>
            </w:r>
          </w:p>
        </w:tc>
        <w:tc>
          <w:tcPr>
            <w:tcW w:w="840" w:type="dxa"/>
            <w:tcBorders>
              <w:top w:val="nil"/>
              <w:left w:val="nil"/>
              <w:bottom w:val="nil"/>
              <w:right w:val="nil"/>
            </w:tcBorders>
            <w:vAlign w:val="center"/>
          </w:tcPr>
          <w:p w:rsidR="008C74C1" w:rsidRPr="00594638" w:rsidRDefault="008C74C1" w:rsidP="00AB7745">
            <w:pPr>
              <w:jc w:val="right"/>
              <w:rPr>
                <w:rFonts w:ascii="Arial" w:hAnsi="Arial" w:cs="Arial"/>
                <w:color w:val="000000"/>
                <w:sz w:val="19"/>
                <w:szCs w:val="19"/>
                <w:lang w:val="en-AU" w:eastAsia="en-US"/>
              </w:rPr>
            </w:pPr>
          </w:p>
        </w:tc>
      </w:tr>
      <w:tr w:rsidR="008C74C1" w:rsidRPr="00AB7745" w:rsidTr="00777CBC">
        <w:trPr>
          <w:trHeight w:val="240"/>
          <w:jc w:val="center"/>
        </w:trPr>
        <w:tc>
          <w:tcPr>
            <w:tcW w:w="1265" w:type="dxa"/>
            <w:tcBorders>
              <w:top w:val="nil"/>
              <w:left w:val="nil"/>
              <w:bottom w:val="nil"/>
              <w:right w:val="nil"/>
            </w:tcBorders>
            <w:shd w:val="clear" w:color="auto" w:fill="auto"/>
            <w:vAlign w:val="center"/>
            <w:hideMark/>
          </w:tcPr>
          <w:p w:rsidR="008C74C1" w:rsidRPr="00594638" w:rsidRDefault="008C74C1" w:rsidP="00AB7745">
            <w:pPr>
              <w:jc w:val="both"/>
              <w:rPr>
                <w:rFonts w:ascii="Arial" w:hAnsi="Arial" w:cs="Arial"/>
                <w:color w:val="000000"/>
                <w:sz w:val="19"/>
                <w:szCs w:val="19"/>
                <w:lang w:val="en-AU" w:eastAsia="en-US"/>
              </w:rPr>
            </w:pPr>
            <w:r w:rsidRPr="00594638">
              <w:rPr>
                <w:rFonts w:ascii="Arial" w:hAnsi="Arial" w:cs="Arial"/>
                <w:color w:val="000000"/>
                <w:sz w:val="19"/>
                <w:szCs w:val="19"/>
                <w:lang w:val="en-AU" w:eastAsia="en-US"/>
              </w:rPr>
              <w:t>Hà Giang</w:t>
            </w:r>
          </w:p>
        </w:tc>
        <w:tc>
          <w:tcPr>
            <w:tcW w:w="1124"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37.1</w:t>
            </w:r>
          </w:p>
        </w:tc>
        <w:tc>
          <w:tcPr>
            <w:tcW w:w="840"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35.8</w:t>
            </w:r>
          </w:p>
        </w:tc>
        <w:tc>
          <w:tcPr>
            <w:tcW w:w="840"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35.3</w:t>
            </w:r>
          </w:p>
        </w:tc>
        <w:tc>
          <w:tcPr>
            <w:tcW w:w="840" w:type="dxa"/>
            <w:tcBorders>
              <w:top w:val="nil"/>
              <w:left w:val="nil"/>
              <w:bottom w:val="nil"/>
              <w:right w:val="nil"/>
            </w:tcBorders>
            <w:vAlign w:val="center"/>
          </w:tcPr>
          <w:p w:rsidR="008C74C1" w:rsidRPr="00594638" w:rsidRDefault="008C74C1" w:rsidP="00AB7745">
            <w:pPr>
              <w:jc w:val="right"/>
              <w:rPr>
                <w:rFonts w:ascii="Arial" w:hAnsi="Arial" w:cs="Arial"/>
                <w:color w:val="000000"/>
                <w:sz w:val="19"/>
                <w:szCs w:val="19"/>
                <w:lang w:val="en-AU" w:eastAsia="en-US"/>
              </w:rPr>
            </w:pPr>
          </w:p>
        </w:tc>
      </w:tr>
      <w:tr w:rsidR="008C74C1" w:rsidRPr="00AB7745" w:rsidTr="00777CBC">
        <w:trPr>
          <w:trHeight w:val="240"/>
          <w:jc w:val="center"/>
        </w:trPr>
        <w:tc>
          <w:tcPr>
            <w:tcW w:w="1265" w:type="dxa"/>
            <w:tcBorders>
              <w:top w:val="nil"/>
              <w:left w:val="nil"/>
              <w:bottom w:val="nil"/>
              <w:right w:val="nil"/>
            </w:tcBorders>
            <w:shd w:val="clear" w:color="auto" w:fill="auto"/>
            <w:vAlign w:val="center"/>
            <w:hideMark/>
          </w:tcPr>
          <w:p w:rsidR="008C74C1" w:rsidRPr="00594638" w:rsidRDefault="008C74C1" w:rsidP="00AB7745">
            <w:pPr>
              <w:jc w:val="both"/>
              <w:rPr>
                <w:rFonts w:ascii="Arial" w:hAnsi="Arial" w:cs="Arial"/>
                <w:color w:val="000000"/>
                <w:sz w:val="19"/>
                <w:szCs w:val="19"/>
                <w:lang w:val="en-AU" w:eastAsia="en-US"/>
              </w:rPr>
            </w:pPr>
            <w:r w:rsidRPr="00594638">
              <w:rPr>
                <w:rFonts w:ascii="Arial" w:hAnsi="Arial" w:cs="Arial"/>
                <w:color w:val="000000"/>
                <w:sz w:val="19"/>
                <w:szCs w:val="19"/>
                <w:lang w:val="en-AU" w:eastAsia="en-US"/>
              </w:rPr>
              <w:t>Cao Bằng</w:t>
            </w:r>
          </w:p>
        </w:tc>
        <w:tc>
          <w:tcPr>
            <w:tcW w:w="1124"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28.2</w:t>
            </w:r>
          </w:p>
        </w:tc>
        <w:tc>
          <w:tcPr>
            <w:tcW w:w="840"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25.2</w:t>
            </w:r>
          </w:p>
        </w:tc>
        <w:tc>
          <w:tcPr>
            <w:tcW w:w="840"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25.1</w:t>
            </w:r>
          </w:p>
        </w:tc>
        <w:tc>
          <w:tcPr>
            <w:tcW w:w="840" w:type="dxa"/>
            <w:tcBorders>
              <w:top w:val="nil"/>
              <w:left w:val="nil"/>
              <w:bottom w:val="nil"/>
              <w:right w:val="nil"/>
            </w:tcBorders>
            <w:vAlign w:val="center"/>
          </w:tcPr>
          <w:p w:rsidR="008C74C1" w:rsidRPr="00594638" w:rsidRDefault="008C74C1" w:rsidP="00AB7745">
            <w:pPr>
              <w:jc w:val="right"/>
              <w:rPr>
                <w:rFonts w:ascii="Arial" w:hAnsi="Arial" w:cs="Arial"/>
                <w:color w:val="000000"/>
                <w:sz w:val="19"/>
                <w:szCs w:val="19"/>
                <w:lang w:val="en-AU" w:eastAsia="en-US"/>
              </w:rPr>
            </w:pPr>
          </w:p>
        </w:tc>
      </w:tr>
      <w:tr w:rsidR="008C74C1" w:rsidRPr="00AB7745" w:rsidTr="00777CBC">
        <w:trPr>
          <w:trHeight w:val="240"/>
          <w:jc w:val="center"/>
        </w:trPr>
        <w:tc>
          <w:tcPr>
            <w:tcW w:w="1265" w:type="dxa"/>
            <w:tcBorders>
              <w:top w:val="nil"/>
              <w:left w:val="nil"/>
              <w:bottom w:val="nil"/>
              <w:right w:val="nil"/>
            </w:tcBorders>
            <w:shd w:val="clear" w:color="auto" w:fill="auto"/>
            <w:vAlign w:val="center"/>
            <w:hideMark/>
          </w:tcPr>
          <w:p w:rsidR="008C74C1" w:rsidRPr="00594638" w:rsidRDefault="008C74C1" w:rsidP="00AB7745">
            <w:pPr>
              <w:jc w:val="both"/>
              <w:rPr>
                <w:rFonts w:ascii="Arial" w:hAnsi="Arial" w:cs="Arial"/>
                <w:color w:val="000000"/>
                <w:sz w:val="19"/>
                <w:szCs w:val="19"/>
                <w:lang w:val="en-AU" w:eastAsia="en-US"/>
              </w:rPr>
            </w:pPr>
            <w:r w:rsidRPr="00594638">
              <w:rPr>
                <w:rFonts w:ascii="Arial" w:hAnsi="Arial" w:cs="Arial"/>
                <w:color w:val="000000"/>
                <w:sz w:val="19"/>
                <w:szCs w:val="19"/>
                <w:lang w:val="en-AU" w:eastAsia="en-US"/>
              </w:rPr>
              <w:t>Lào Cai</w:t>
            </w:r>
          </w:p>
        </w:tc>
        <w:tc>
          <w:tcPr>
            <w:tcW w:w="1124"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31.6</w:t>
            </w:r>
          </w:p>
        </w:tc>
        <w:tc>
          <w:tcPr>
            <w:tcW w:w="840"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30.3</w:t>
            </w:r>
          </w:p>
        </w:tc>
        <w:tc>
          <w:tcPr>
            <w:tcW w:w="840"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30.2</w:t>
            </w:r>
          </w:p>
        </w:tc>
        <w:tc>
          <w:tcPr>
            <w:tcW w:w="840" w:type="dxa"/>
            <w:tcBorders>
              <w:top w:val="nil"/>
              <w:left w:val="nil"/>
              <w:bottom w:val="nil"/>
              <w:right w:val="nil"/>
            </w:tcBorders>
            <w:vAlign w:val="center"/>
          </w:tcPr>
          <w:p w:rsidR="008C74C1" w:rsidRPr="00594638" w:rsidRDefault="008C74C1" w:rsidP="00AB7745">
            <w:pPr>
              <w:jc w:val="right"/>
              <w:rPr>
                <w:rFonts w:ascii="Arial" w:hAnsi="Arial" w:cs="Arial"/>
                <w:color w:val="000000"/>
                <w:sz w:val="19"/>
                <w:szCs w:val="19"/>
                <w:lang w:val="en-AU" w:eastAsia="en-US"/>
              </w:rPr>
            </w:pPr>
          </w:p>
        </w:tc>
      </w:tr>
      <w:tr w:rsidR="008C74C1" w:rsidRPr="00AB7745" w:rsidTr="00777CBC">
        <w:trPr>
          <w:trHeight w:val="240"/>
          <w:jc w:val="center"/>
        </w:trPr>
        <w:tc>
          <w:tcPr>
            <w:tcW w:w="1265" w:type="dxa"/>
            <w:tcBorders>
              <w:top w:val="nil"/>
              <w:left w:val="nil"/>
              <w:bottom w:val="nil"/>
              <w:right w:val="nil"/>
            </w:tcBorders>
            <w:shd w:val="clear" w:color="auto" w:fill="auto"/>
            <w:vAlign w:val="center"/>
            <w:hideMark/>
          </w:tcPr>
          <w:p w:rsidR="008C74C1" w:rsidRPr="00594638" w:rsidRDefault="008C74C1" w:rsidP="00AB7745">
            <w:pPr>
              <w:jc w:val="both"/>
              <w:rPr>
                <w:rFonts w:ascii="Arial" w:hAnsi="Arial" w:cs="Arial"/>
                <w:color w:val="000000"/>
                <w:sz w:val="19"/>
                <w:szCs w:val="19"/>
                <w:lang w:val="en-AU" w:eastAsia="en-US"/>
              </w:rPr>
            </w:pPr>
            <w:r w:rsidRPr="00594638">
              <w:rPr>
                <w:rFonts w:ascii="Arial" w:hAnsi="Arial" w:cs="Arial"/>
                <w:color w:val="000000"/>
                <w:sz w:val="19"/>
                <w:szCs w:val="19"/>
                <w:lang w:val="en-AU" w:eastAsia="en-US"/>
              </w:rPr>
              <w:t>Yên Bái</w:t>
            </w:r>
          </w:p>
        </w:tc>
        <w:tc>
          <w:tcPr>
            <w:tcW w:w="1124"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26.5</w:t>
            </w:r>
          </w:p>
        </w:tc>
        <w:tc>
          <w:tcPr>
            <w:tcW w:w="840"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29.6</w:t>
            </w:r>
          </w:p>
        </w:tc>
        <w:tc>
          <w:tcPr>
            <w:tcW w:w="840"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29.4</w:t>
            </w:r>
          </w:p>
        </w:tc>
        <w:tc>
          <w:tcPr>
            <w:tcW w:w="840" w:type="dxa"/>
            <w:tcBorders>
              <w:top w:val="nil"/>
              <w:left w:val="nil"/>
              <w:bottom w:val="nil"/>
              <w:right w:val="nil"/>
            </w:tcBorders>
            <w:vAlign w:val="center"/>
          </w:tcPr>
          <w:p w:rsidR="008C74C1" w:rsidRPr="00594638" w:rsidRDefault="008C74C1" w:rsidP="00AB7745">
            <w:pPr>
              <w:jc w:val="right"/>
              <w:rPr>
                <w:rFonts w:ascii="Arial" w:hAnsi="Arial" w:cs="Arial"/>
                <w:color w:val="000000"/>
                <w:sz w:val="19"/>
                <w:szCs w:val="19"/>
                <w:lang w:val="en-AU" w:eastAsia="en-US"/>
              </w:rPr>
            </w:pPr>
          </w:p>
        </w:tc>
      </w:tr>
      <w:tr w:rsidR="008C74C1" w:rsidRPr="00AB7745" w:rsidTr="00777CBC">
        <w:trPr>
          <w:trHeight w:val="240"/>
          <w:jc w:val="center"/>
        </w:trPr>
        <w:tc>
          <w:tcPr>
            <w:tcW w:w="1265" w:type="dxa"/>
            <w:tcBorders>
              <w:top w:val="nil"/>
              <w:left w:val="nil"/>
              <w:bottom w:val="nil"/>
              <w:right w:val="nil"/>
            </w:tcBorders>
            <w:shd w:val="clear" w:color="auto" w:fill="auto"/>
            <w:vAlign w:val="center"/>
            <w:hideMark/>
          </w:tcPr>
          <w:p w:rsidR="008C74C1" w:rsidRPr="00594638" w:rsidRDefault="008C74C1" w:rsidP="00AB7745">
            <w:pPr>
              <w:jc w:val="both"/>
              <w:rPr>
                <w:rFonts w:ascii="Arial" w:hAnsi="Arial" w:cs="Arial"/>
                <w:color w:val="000000"/>
                <w:sz w:val="19"/>
                <w:szCs w:val="19"/>
                <w:lang w:val="en-AU" w:eastAsia="en-US"/>
              </w:rPr>
            </w:pPr>
            <w:r w:rsidRPr="00594638">
              <w:rPr>
                <w:rFonts w:ascii="Arial" w:hAnsi="Arial" w:cs="Arial"/>
                <w:color w:val="000000"/>
                <w:sz w:val="19"/>
                <w:szCs w:val="19"/>
                <w:lang w:val="en-AU" w:eastAsia="en-US"/>
              </w:rPr>
              <w:t>Bắc Kạn</w:t>
            </w:r>
          </w:p>
        </w:tc>
        <w:tc>
          <w:tcPr>
            <w:tcW w:w="1124"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19.5</w:t>
            </w:r>
          </w:p>
        </w:tc>
        <w:tc>
          <w:tcPr>
            <w:tcW w:w="840"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18.7</w:t>
            </w:r>
          </w:p>
        </w:tc>
        <w:tc>
          <w:tcPr>
            <w:tcW w:w="840"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18.5</w:t>
            </w:r>
          </w:p>
        </w:tc>
        <w:tc>
          <w:tcPr>
            <w:tcW w:w="840" w:type="dxa"/>
            <w:tcBorders>
              <w:top w:val="nil"/>
              <w:left w:val="nil"/>
              <w:bottom w:val="nil"/>
              <w:right w:val="nil"/>
            </w:tcBorders>
            <w:vAlign w:val="center"/>
          </w:tcPr>
          <w:p w:rsidR="008C74C1" w:rsidRPr="00594638" w:rsidRDefault="008C74C1" w:rsidP="00AB7745">
            <w:pPr>
              <w:jc w:val="right"/>
              <w:rPr>
                <w:rFonts w:ascii="Arial" w:hAnsi="Arial" w:cs="Arial"/>
                <w:color w:val="000000"/>
                <w:sz w:val="19"/>
                <w:szCs w:val="19"/>
                <w:lang w:val="en-AU" w:eastAsia="en-US"/>
              </w:rPr>
            </w:pPr>
          </w:p>
        </w:tc>
      </w:tr>
      <w:tr w:rsidR="008C74C1" w:rsidRPr="00AB7745" w:rsidTr="00777CBC">
        <w:trPr>
          <w:trHeight w:val="240"/>
          <w:jc w:val="center"/>
        </w:trPr>
        <w:tc>
          <w:tcPr>
            <w:tcW w:w="1265" w:type="dxa"/>
            <w:tcBorders>
              <w:top w:val="nil"/>
              <w:left w:val="nil"/>
              <w:bottom w:val="nil"/>
              <w:right w:val="nil"/>
            </w:tcBorders>
            <w:shd w:val="clear" w:color="auto" w:fill="auto"/>
            <w:vAlign w:val="center"/>
            <w:hideMark/>
          </w:tcPr>
          <w:p w:rsidR="008C74C1" w:rsidRPr="00594638" w:rsidRDefault="008C74C1" w:rsidP="00AB7745">
            <w:pPr>
              <w:jc w:val="both"/>
              <w:rPr>
                <w:rFonts w:ascii="Arial" w:hAnsi="Arial" w:cs="Arial"/>
                <w:color w:val="000000"/>
                <w:sz w:val="19"/>
                <w:szCs w:val="19"/>
                <w:lang w:val="en-AU" w:eastAsia="en-US"/>
              </w:rPr>
            </w:pPr>
            <w:r w:rsidRPr="00594638">
              <w:rPr>
                <w:rFonts w:ascii="Arial" w:hAnsi="Arial" w:cs="Arial"/>
                <w:color w:val="000000"/>
                <w:sz w:val="19"/>
                <w:szCs w:val="19"/>
                <w:lang w:val="en-AU" w:eastAsia="en-US"/>
              </w:rPr>
              <w:t>Bắc Giang</w:t>
            </w:r>
          </w:p>
        </w:tc>
        <w:tc>
          <w:tcPr>
            <w:tcW w:w="1124"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16.7</w:t>
            </w:r>
          </w:p>
        </w:tc>
        <w:tc>
          <w:tcPr>
            <w:tcW w:w="840"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16.0</w:t>
            </w:r>
          </w:p>
        </w:tc>
        <w:tc>
          <w:tcPr>
            <w:tcW w:w="840"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15.8</w:t>
            </w:r>
          </w:p>
        </w:tc>
        <w:tc>
          <w:tcPr>
            <w:tcW w:w="840" w:type="dxa"/>
            <w:tcBorders>
              <w:top w:val="nil"/>
              <w:left w:val="nil"/>
              <w:bottom w:val="nil"/>
              <w:right w:val="nil"/>
            </w:tcBorders>
            <w:vAlign w:val="center"/>
          </w:tcPr>
          <w:p w:rsidR="008C74C1" w:rsidRPr="00594638" w:rsidRDefault="008C74C1" w:rsidP="00AB7745">
            <w:pPr>
              <w:jc w:val="right"/>
              <w:rPr>
                <w:rFonts w:ascii="Arial" w:hAnsi="Arial" w:cs="Arial"/>
                <w:color w:val="000000"/>
                <w:sz w:val="19"/>
                <w:szCs w:val="19"/>
                <w:lang w:val="en-AU" w:eastAsia="en-US"/>
              </w:rPr>
            </w:pPr>
          </w:p>
        </w:tc>
      </w:tr>
      <w:tr w:rsidR="008C74C1" w:rsidRPr="00AB7745" w:rsidTr="00777CBC">
        <w:trPr>
          <w:trHeight w:val="240"/>
          <w:jc w:val="center"/>
        </w:trPr>
        <w:tc>
          <w:tcPr>
            <w:tcW w:w="1265" w:type="dxa"/>
            <w:tcBorders>
              <w:top w:val="nil"/>
              <w:left w:val="nil"/>
              <w:bottom w:val="nil"/>
              <w:right w:val="nil"/>
            </w:tcBorders>
            <w:shd w:val="clear" w:color="auto" w:fill="auto"/>
            <w:vAlign w:val="center"/>
            <w:hideMark/>
          </w:tcPr>
          <w:p w:rsidR="008C74C1" w:rsidRPr="00594638" w:rsidRDefault="008C74C1" w:rsidP="00AB7745">
            <w:pPr>
              <w:jc w:val="both"/>
              <w:rPr>
                <w:rFonts w:ascii="Arial" w:hAnsi="Arial" w:cs="Arial"/>
                <w:color w:val="000000"/>
                <w:sz w:val="19"/>
                <w:szCs w:val="19"/>
                <w:lang w:val="en-AU" w:eastAsia="en-US"/>
              </w:rPr>
            </w:pPr>
            <w:r w:rsidRPr="00594638">
              <w:rPr>
                <w:rFonts w:ascii="Arial" w:hAnsi="Arial" w:cs="Arial"/>
                <w:color w:val="000000"/>
                <w:sz w:val="19"/>
                <w:szCs w:val="19"/>
                <w:lang w:val="en-AU" w:eastAsia="en-US"/>
              </w:rPr>
              <w:t>Phú Thọ</w:t>
            </w:r>
          </w:p>
        </w:tc>
        <w:tc>
          <w:tcPr>
            <w:tcW w:w="1124"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18.2</w:t>
            </w:r>
          </w:p>
        </w:tc>
        <w:tc>
          <w:tcPr>
            <w:tcW w:w="840"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15.8</w:t>
            </w:r>
          </w:p>
        </w:tc>
        <w:tc>
          <w:tcPr>
            <w:tcW w:w="840"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15.8</w:t>
            </w:r>
          </w:p>
        </w:tc>
        <w:tc>
          <w:tcPr>
            <w:tcW w:w="840" w:type="dxa"/>
            <w:tcBorders>
              <w:top w:val="nil"/>
              <w:left w:val="nil"/>
              <w:bottom w:val="nil"/>
              <w:right w:val="nil"/>
            </w:tcBorders>
            <w:vAlign w:val="center"/>
          </w:tcPr>
          <w:p w:rsidR="008C74C1" w:rsidRPr="00594638" w:rsidRDefault="008C74C1" w:rsidP="00AB7745">
            <w:pPr>
              <w:jc w:val="right"/>
              <w:rPr>
                <w:rFonts w:ascii="Arial" w:hAnsi="Arial" w:cs="Arial"/>
                <w:color w:val="000000"/>
                <w:sz w:val="19"/>
                <w:szCs w:val="19"/>
                <w:lang w:val="en-AU" w:eastAsia="en-US"/>
              </w:rPr>
            </w:pPr>
          </w:p>
        </w:tc>
      </w:tr>
      <w:tr w:rsidR="008C74C1" w:rsidRPr="00AB7745" w:rsidTr="00777CBC">
        <w:trPr>
          <w:trHeight w:val="240"/>
          <w:jc w:val="center"/>
        </w:trPr>
        <w:tc>
          <w:tcPr>
            <w:tcW w:w="1265" w:type="dxa"/>
            <w:tcBorders>
              <w:top w:val="nil"/>
              <w:left w:val="nil"/>
              <w:bottom w:val="nil"/>
              <w:right w:val="nil"/>
            </w:tcBorders>
            <w:shd w:val="clear" w:color="auto" w:fill="auto"/>
            <w:vAlign w:val="center"/>
            <w:hideMark/>
          </w:tcPr>
          <w:p w:rsidR="008C74C1" w:rsidRPr="00594638" w:rsidRDefault="008C74C1" w:rsidP="00AB7745">
            <w:pPr>
              <w:jc w:val="both"/>
              <w:rPr>
                <w:rFonts w:ascii="Arial" w:hAnsi="Arial" w:cs="Arial"/>
                <w:color w:val="000000"/>
                <w:sz w:val="19"/>
                <w:szCs w:val="19"/>
                <w:lang w:val="en-AU" w:eastAsia="en-US"/>
              </w:rPr>
            </w:pPr>
            <w:r w:rsidRPr="00594638">
              <w:rPr>
                <w:rFonts w:ascii="Arial" w:hAnsi="Arial" w:cs="Arial"/>
                <w:color w:val="000000"/>
                <w:sz w:val="19"/>
                <w:szCs w:val="19"/>
                <w:lang w:val="en-AU" w:eastAsia="en-US"/>
              </w:rPr>
              <w:t>Sơn La</w:t>
            </w:r>
          </w:p>
        </w:tc>
        <w:tc>
          <w:tcPr>
            <w:tcW w:w="1124"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25.6</w:t>
            </w:r>
          </w:p>
        </w:tc>
        <w:tc>
          <w:tcPr>
            <w:tcW w:w="840"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24.5</w:t>
            </w:r>
          </w:p>
        </w:tc>
        <w:tc>
          <w:tcPr>
            <w:tcW w:w="840"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24.0</w:t>
            </w:r>
          </w:p>
        </w:tc>
        <w:tc>
          <w:tcPr>
            <w:tcW w:w="840" w:type="dxa"/>
            <w:tcBorders>
              <w:top w:val="nil"/>
              <w:left w:val="nil"/>
              <w:bottom w:val="nil"/>
              <w:right w:val="nil"/>
            </w:tcBorders>
            <w:vAlign w:val="center"/>
          </w:tcPr>
          <w:p w:rsidR="008C74C1" w:rsidRPr="00594638" w:rsidRDefault="008C74C1" w:rsidP="00AB7745">
            <w:pPr>
              <w:jc w:val="right"/>
              <w:rPr>
                <w:rFonts w:ascii="Arial" w:hAnsi="Arial" w:cs="Arial"/>
                <w:color w:val="000000"/>
                <w:sz w:val="19"/>
                <w:szCs w:val="19"/>
                <w:lang w:val="en-AU" w:eastAsia="en-US"/>
              </w:rPr>
            </w:pPr>
          </w:p>
        </w:tc>
      </w:tr>
      <w:tr w:rsidR="008C74C1" w:rsidRPr="00AB7745" w:rsidTr="00777CBC">
        <w:trPr>
          <w:trHeight w:val="240"/>
          <w:jc w:val="center"/>
        </w:trPr>
        <w:tc>
          <w:tcPr>
            <w:tcW w:w="1265" w:type="dxa"/>
            <w:tcBorders>
              <w:top w:val="nil"/>
              <w:left w:val="nil"/>
              <w:bottom w:val="nil"/>
              <w:right w:val="nil"/>
            </w:tcBorders>
            <w:shd w:val="clear" w:color="auto" w:fill="auto"/>
            <w:vAlign w:val="center"/>
            <w:hideMark/>
          </w:tcPr>
          <w:p w:rsidR="008C74C1" w:rsidRPr="00594638" w:rsidRDefault="008C74C1" w:rsidP="00AB7745">
            <w:pPr>
              <w:jc w:val="both"/>
              <w:rPr>
                <w:rFonts w:ascii="Arial" w:hAnsi="Arial" w:cs="Arial"/>
                <w:color w:val="000000"/>
                <w:sz w:val="19"/>
                <w:szCs w:val="19"/>
                <w:lang w:val="en-AU" w:eastAsia="en-US"/>
              </w:rPr>
            </w:pPr>
            <w:r w:rsidRPr="00594638">
              <w:rPr>
                <w:rFonts w:ascii="Arial" w:hAnsi="Arial" w:cs="Arial"/>
                <w:color w:val="000000"/>
                <w:sz w:val="19"/>
                <w:szCs w:val="19"/>
                <w:lang w:val="en-AU" w:eastAsia="en-US"/>
              </w:rPr>
              <w:t>Lai Châu</w:t>
            </w:r>
          </w:p>
        </w:tc>
        <w:tc>
          <w:tcPr>
            <w:tcW w:w="1124"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46.1</w:t>
            </w:r>
          </w:p>
        </w:tc>
        <w:tc>
          <w:tcPr>
            <w:tcW w:w="840"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44.2</w:t>
            </w:r>
          </w:p>
        </w:tc>
        <w:tc>
          <w:tcPr>
            <w:tcW w:w="840"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44.0</w:t>
            </w:r>
          </w:p>
        </w:tc>
        <w:tc>
          <w:tcPr>
            <w:tcW w:w="840" w:type="dxa"/>
            <w:tcBorders>
              <w:top w:val="nil"/>
              <w:left w:val="nil"/>
              <w:bottom w:val="nil"/>
              <w:right w:val="nil"/>
            </w:tcBorders>
            <w:vAlign w:val="center"/>
          </w:tcPr>
          <w:p w:rsidR="008C74C1" w:rsidRPr="00594638" w:rsidRDefault="008C74C1" w:rsidP="00AB7745">
            <w:pPr>
              <w:jc w:val="right"/>
              <w:rPr>
                <w:rFonts w:ascii="Arial" w:hAnsi="Arial" w:cs="Arial"/>
                <w:color w:val="000000"/>
                <w:sz w:val="19"/>
                <w:szCs w:val="19"/>
                <w:lang w:val="en-AU" w:eastAsia="en-US"/>
              </w:rPr>
            </w:pPr>
          </w:p>
        </w:tc>
      </w:tr>
      <w:tr w:rsidR="008C74C1" w:rsidRPr="00AB7745" w:rsidTr="00777CBC">
        <w:trPr>
          <w:trHeight w:val="240"/>
          <w:jc w:val="center"/>
        </w:trPr>
        <w:tc>
          <w:tcPr>
            <w:tcW w:w="1265" w:type="dxa"/>
            <w:tcBorders>
              <w:top w:val="nil"/>
              <w:left w:val="nil"/>
              <w:bottom w:val="nil"/>
              <w:right w:val="nil"/>
            </w:tcBorders>
            <w:shd w:val="clear" w:color="auto" w:fill="auto"/>
            <w:vAlign w:val="center"/>
            <w:hideMark/>
          </w:tcPr>
          <w:p w:rsidR="008C74C1" w:rsidRPr="00594638" w:rsidRDefault="008C74C1" w:rsidP="00AB7745">
            <w:pPr>
              <w:jc w:val="both"/>
              <w:rPr>
                <w:rFonts w:ascii="Arial" w:hAnsi="Arial" w:cs="Arial"/>
                <w:color w:val="000000"/>
                <w:sz w:val="19"/>
                <w:szCs w:val="19"/>
                <w:lang w:val="en-AU" w:eastAsia="en-US"/>
              </w:rPr>
            </w:pPr>
            <w:r w:rsidRPr="00594638">
              <w:rPr>
                <w:rFonts w:ascii="Arial" w:hAnsi="Arial" w:cs="Arial"/>
                <w:color w:val="000000"/>
                <w:sz w:val="19"/>
                <w:szCs w:val="19"/>
                <w:lang w:val="en-AU" w:eastAsia="en-US"/>
              </w:rPr>
              <w:t>Điện Biên</w:t>
            </w:r>
          </w:p>
        </w:tc>
        <w:tc>
          <w:tcPr>
            <w:tcW w:w="1124"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37.3</w:t>
            </w:r>
          </w:p>
        </w:tc>
        <w:tc>
          <w:tcPr>
            <w:tcW w:w="840"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35.8</w:t>
            </w:r>
          </w:p>
        </w:tc>
        <w:tc>
          <w:tcPr>
            <w:tcW w:w="840"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35.5</w:t>
            </w:r>
          </w:p>
        </w:tc>
        <w:tc>
          <w:tcPr>
            <w:tcW w:w="840" w:type="dxa"/>
            <w:tcBorders>
              <w:top w:val="nil"/>
              <w:left w:val="nil"/>
              <w:bottom w:val="nil"/>
              <w:right w:val="nil"/>
            </w:tcBorders>
            <w:vAlign w:val="center"/>
          </w:tcPr>
          <w:p w:rsidR="008C74C1" w:rsidRPr="00594638" w:rsidRDefault="008C74C1" w:rsidP="00AB7745">
            <w:pPr>
              <w:jc w:val="right"/>
              <w:rPr>
                <w:rFonts w:ascii="Arial" w:hAnsi="Arial" w:cs="Arial"/>
                <w:color w:val="000000"/>
                <w:sz w:val="19"/>
                <w:szCs w:val="19"/>
                <w:lang w:val="en-AU" w:eastAsia="en-US"/>
              </w:rPr>
            </w:pPr>
          </w:p>
        </w:tc>
      </w:tr>
      <w:tr w:rsidR="008C74C1" w:rsidRPr="00AB7745" w:rsidTr="00777CBC">
        <w:trPr>
          <w:trHeight w:val="240"/>
          <w:jc w:val="center"/>
        </w:trPr>
        <w:tc>
          <w:tcPr>
            <w:tcW w:w="1265" w:type="dxa"/>
            <w:tcBorders>
              <w:top w:val="nil"/>
              <w:left w:val="nil"/>
              <w:bottom w:val="nil"/>
              <w:right w:val="nil"/>
            </w:tcBorders>
            <w:shd w:val="clear" w:color="auto" w:fill="auto"/>
            <w:vAlign w:val="center"/>
            <w:hideMark/>
          </w:tcPr>
          <w:p w:rsidR="008C74C1" w:rsidRPr="00594638" w:rsidRDefault="008C74C1" w:rsidP="00AB7745">
            <w:pPr>
              <w:jc w:val="both"/>
              <w:rPr>
                <w:rFonts w:ascii="Arial" w:hAnsi="Arial" w:cs="Arial"/>
                <w:color w:val="000000"/>
                <w:sz w:val="19"/>
                <w:szCs w:val="19"/>
                <w:lang w:val="en-AU" w:eastAsia="en-US"/>
              </w:rPr>
            </w:pPr>
            <w:r w:rsidRPr="00594638">
              <w:rPr>
                <w:rFonts w:ascii="Arial" w:hAnsi="Arial" w:cs="Arial"/>
                <w:color w:val="000000"/>
                <w:sz w:val="19"/>
                <w:szCs w:val="19"/>
                <w:lang w:val="en-AU" w:eastAsia="en-US"/>
              </w:rPr>
              <w:t>Thanh Hóa</w:t>
            </w:r>
          </w:p>
        </w:tc>
        <w:tc>
          <w:tcPr>
            <w:tcW w:w="1124"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15.0</w:t>
            </w:r>
          </w:p>
        </w:tc>
        <w:tc>
          <w:tcPr>
            <w:tcW w:w="840"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16.2</w:t>
            </w:r>
          </w:p>
        </w:tc>
        <w:tc>
          <w:tcPr>
            <w:tcW w:w="840"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16.0</w:t>
            </w:r>
          </w:p>
        </w:tc>
        <w:tc>
          <w:tcPr>
            <w:tcW w:w="840" w:type="dxa"/>
            <w:tcBorders>
              <w:top w:val="nil"/>
              <w:left w:val="nil"/>
              <w:bottom w:val="nil"/>
              <w:right w:val="nil"/>
            </w:tcBorders>
            <w:vAlign w:val="center"/>
          </w:tcPr>
          <w:p w:rsidR="008C74C1" w:rsidRPr="00594638" w:rsidRDefault="008C74C1" w:rsidP="00AB7745">
            <w:pPr>
              <w:jc w:val="right"/>
              <w:rPr>
                <w:rFonts w:ascii="Arial" w:hAnsi="Arial" w:cs="Arial"/>
                <w:color w:val="000000"/>
                <w:sz w:val="19"/>
                <w:szCs w:val="19"/>
                <w:lang w:val="en-AU" w:eastAsia="en-US"/>
              </w:rPr>
            </w:pPr>
          </w:p>
        </w:tc>
      </w:tr>
      <w:tr w:rsidR="008C74C1" w:rsidRPr="00AB7745" w:rsidTr="00777CBC">
        <w:trPr>
          <w:trHeight w:val="240"/>
          <w:jc w:val="center"/>
        </w:trPr>
        <w:tc>
          <w:tcPr>
            <w:tcW w:w="1265" w:type="dxa"/>
            <w:tcBorders>
              <w:top w:val="nil"/>
              <w:left w:val="nil"/>
              <w:bottom w:val="nil"/>
              <w:right w:val="nil"/>
            </w:tcBorders>
            <w:shd w:val="clear" w:color="auto" w:fill="auto"/>
            <w:vAlign w:val="center"/>
            <w:hideMark/>
          </w:tcPr>
          <w:p w:rsidR="008C74C1" w:rsidRPr="00594638" w:rsidRDefault="008C74C1" w:rsidP="00AB7745">
            <w:pPr>
              <w:jc w:val="both"/>
              <w:rPr>
                <w:rFonts w:ascii="Arial" w:hAnsi="Arial" w:cs="Arial"/>
                <w:color w:val="000000"/>
                <w:sz w:val="19"/>
                <w:szCs w:val="19"/>
                <w:lang w:val="en-AU" w:eastAsia="en-US"/>
              </w:rPr>
            </w:pPr>
            <w:r w:rsidRPr="00594638">
              <w:rPr>
                <w:rFonts w:ascii="Arial" w:hAnsi="Arial" w:cs="Arial"/>
                <w:color w:val="000000"/>
                <w:sz w:val="19"/>
                <w:szCs w:val="19"/>
                <w:lang w:val="en-AU" w:eastAsia="en-US"/>
              </w:rPr>
              <w:t>Nghệ An</w:t>
            </w:r>
          </w:p>
        </w:tc>
        <w:tc>
          <w:tcPr>
            <w:tcW w:w="1124"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16.8</w:t>
            </w:r>
          </w:p>
        </w:tc>
        <w:tc>
          <w:tcPr>
            <w:tcW w:w="840"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17.4</w:t>
            </w:r>
          </w:p>
        </w:tc>
        <w:tc>
          <w:tcPr>
            <w:tcW w:w="840"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17.4</w:t>
            </w:r>
          </w:p>
        </w:tc>
        <w:tc>
          <w:tcPr>
            <w:tcW w:w="840" w:type="dxa"/>
            <w:tcBorders>
              <w:top w:val="nil"/>
              <w:left w:val="nil"/>
              <w:bottom w:val="nil"/>
              <w:right w:val="nil"/>
            </w:tcBorders>
            <w:vAlign w:val="center"/>
          </w:tcPr>
          <w:p w:rsidR="008C74C1" w:rsidRPr="00594638" w:rsidRDefault="008C74C1" w:rsidP="00AB7745">
            <w:pPr>
              <w:jc w:val="right"/>
              <w:rPr>
                <w:rFonts w:ascii="Arial" w:hAnsi="Arial" w:cs="Arial"/>
                <w:color w:val="000000"/>
                <w:sz w:val="19"/>
                <w:szCs w:val="19"/>
                <w:lang w:val="en-AU" w:eastAsia="en-US"/>
              </w:rPr>
            </w:pPr>
          </w:p>
        </w:tc>
      </w:tr>
      <w:tr w:rsidR="008C74C1" w:rsidRPr="00AB7745" w:rsidTr="00777CBC">
        <w:trPr>
          <w:trHeight w:val="240"/>
          <w:jc w:val="center"/>
        </w:trPr>
        <w:tc>
          <w:tcPr>
            <w:tcW w:w="1265" w:type="dxa"/>
            <w:tcBorders>
              <w:top w:val="nil"/>
              <w:left w:val="nil"/>
              <w:bottom w:val="nil"/>
              <w:right w:val="nil"/>
            </w:tcBorders>
            <w:shd w:val="clear" w:color="auto" w:fill="auto"/>
            <w:vAlign w:val="center"/>
            <w:hideMark/>
          </w:tcPr>
          <w:p w:rsidR="008C74C1" w:rsidRPr="00594638" w:rsidRDefault="008C74C1" w:rsidP="00AB7745">
            <w:pPr>
              <w:jc w:val="both"/>
              <w:rPr>
                <w:rFonts w:ascii="Arial" w:hAnsi="Arial" w:cs="Arial"/>
                <w:color w:val="000000"/>
                <w:sz w:val="19"/>
                <w:szCs w:val="19"/>
                <w:lang w:val="en-AU" w:eastAsia="en-US"/>
              </w:rPr>
            </w:pPr>
            <w:r w:rsidRPr="00594638">
              <w:rPr>
                <w:rFonts w:ascii="Arial" w:hAnsi="Arial" w:cs="Arial"/>
                <w:color w:val="000000"/>
                <w:sz w:val="19"/>
                <w:szCs w:val="19"/>
                <w:lang w:val="en-AU" w:eastAsia="en-US"/>
              </w:rPr>
              <w:t>Quảng Bình</w:t>
            </w:r>
          </w:p>
        </w:tc>
        <w:tc>
          <w:tcPr>
            <w:tcW w:w="1124"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18.1</w:t>
            </w:r>
          </w:p>
        </w:tc>
        <w:tc>
          <w:tcPr>
            <w:tcW w:w="840"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18.0</w:t>
            </w:r>
          </w:p>
        </w:tc>
        <w:tc>
          <w:tcPr>
            <w:tcW w:w="840"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17.8</w:t>
            </w:r>
          </w:p>
        </w:tc>
        <w:tc>
          <w:tcPr>
            <w:tcW w:w="840" w:type="dxa"/>
            <w:tcBorders>
              <w:top w:val="nil"/>
              <w:left w:val="nil"/>
              <w:bottom w:val="nil"/>
              <w:right w:val="nil"/>
            </w:tcBorders>
            <w:vAlign w:val="center"/>
          </w:tcPr>
          <w:p w:rsidR="008C74C1" w:rsidRPr="00594638" w:rsidRDefault="008C74C1" w:rsidP="00AB7745">
            <w:pPr>
              <w:jc w:val="right"/>
              <w:rPr>
                <w:rFonts w:ascii="Arial" w:hAnsi="Arial" w:cs="Arial"/>
                <w:color w:val="000000"/>
                <w:sz w:val="19"/>
                <w:szCs w:val="19"/>
                <w:lang w:val="en-AU" w:eastAsia="en-US"/>
              </w:rPr>
            </w:pPr>
          </w:p>
        </w:tc>
      </w:tr>
      <w:tr w:rsidR="008C74C1" w:rsidRPr="00AB7745" w:rsidTr="00777CBC">
        <w:trPr>
          <w:trHeight w:val="240"/>
          <w:jc w:val="center"/>
        </w:trPr>
        <w:tc>
          <w:tcPr>
            <w:tcW w:w="1265" w:type="dxa"/>
            <w:tcBorders>
              <w:top w:val="nil"/>
              <w:left w:val="nil"/>
              <w:bottom w:val="nil"/>
              <w:right w:val="nil"/>
            </w:tcBorders>
            <w:shd w:val="clear" w:color="auto" w:fill="auto"/>
            <w:vAlign w:val="center"/>
            <w:hideMark/>
          </w:tcPr>
          <w:p w:rsidR="008C74C1" w:rsidRPr="00594638" w:rsidRDefault="008C74C1" w:rsidP="00AB7745">
            <w:pPr>
              <w:jc w:val="both"/>
              <w:rPr>
                <w:rFonts w:ascii="Arial" w:hAnsi="Arial" w:cs="Arial"/>
                <w:color w:val="000000"/>
                <w:sz w:val="19"/>
                <w:szCs w:val="19"/>
                <w:lang w:val="en-AU" w:eastAsia="en-US"/>
              </w:rPr>
            </w:pPr>
            <w:r w:rsidRPr="00594638">
              <w:rPr>
                <w:rFonts w:ascii="Arial" w:hAnsi="Arial" w:cs="Arial"/>
                <w:color w:val="000000"/>
                <w:sz w:val="19"/>
                <w:szCs w:val="19"/>
                <w:lang w:val="en-AU" w:eastAsia="en-US"/>
              </w:rPr>
              <w:t>Quảng Trị</w:t>
            </w:r>
          </w:p>
        </w:tc>
        <w:tc>
          <w:tcPr>
            <w:tcW w:w="1124"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36.0</w:t>
            </w:r>
          </w:p>
        </w:tc>
        <w:tc>
          <w:tcPr>
            <w:tcW w:w="840"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33.8</w:t>
            </w:r>
          </w:p>
        </w:tc>
        <w:tc>
          <w:tcPr>
            <w:tcW w:w="840"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33.5</w:t>
            </w:r>
          </w:p>
        </w:tc>
        <w:tc>
          <w:tcPr>
            <w:tcW w:w="840" w:type="dxa"/>
            <w:tcBorders>
              <w:top w:val="nil"/>
              <w:left w:val="nil"/>
              <w:bottom w:val="nil"/>
              <w:right w:val="nil"/>
            </w:tcBorders>
            <w:vAlign w:val="center"/>
          </w:tcPr>
          <w:p w:rsidR="008C74C1" w:rsidRPr="00594638" w:rsidRDefault="008C74C1" w:rsidP="00AB7745">
            <w:pPr>
              <w:jc w:val="right"/>
              <w:rPr>
                <w:rFonts w:ascii="Arial" w:hAnsi="Arial" w:cs="Arial"/>
                <w:color w:val="000000"/>
                <w:sz w:val="19"/>
                <w:szCs w:val="19"/>
                <w:lang w:val="en-AU" w:eastAsia="en-US"/>
              </w:rPr>
            </w:pPr>
          </w:p>
        </w:tc>
      </w:tr>
      <w:tr w:rsidR="008C74C1" w:rsidRPr="00AB7745" w:rsidTr="00777CBC">
        <w:trPr>
          <w:trHeight w:val="240"/>
          <w:jc w:val="center"/>
        </w:trPr>
        <w:tc>
          <w:tcPr>
            <w:tcW w:w="1265" w:type="dxa"/>
            <w:tcBorders>
              <w:top w:val="nil"/>
              <w:left w:val="nil"/>
              <w:bottom w:val="nil"/>
              <w:right w:val="nil"/>
            </w:tcBorders>
            <w:shd w:val="clear" w:color="auto" w:fill="auto"/>
            <w:vAlign w:val="center"/>
            <w:hideMark/>
          </w:tcPr>
          <w:p w:rsidR="008C74C1" w:rsidRPr="00594638" w:rsidRDefault="008C74C1" w:rsidP="00AB7745">
            <w:pPr>
              <w:jc w:val="both"/>
              <w:rPr>
                <w:rFonts w:ascii="Arial" w:hAnsi="Arial" w:cs="Arial"/>
                <w:color w:val="000000"/>
                <w:sz w:val="19"/>
                <w:szCs w:val="19"/>
                <w:lang w:val="en-AU" w:eastAsia="en-US"/>
              </w:rPr>
            </w:pPr>
            <w:r w:rsidRPr="00594638">
              <w:rPr>
                <w:rFonts w:ascii="Arial" w:hAnsi="Arial" w:cs="Arial"/>
                <w:color w:val="000000"/>
                <w:sz w:val="19"/>
                <w:szCs w:val="19"/>
                <w:lang w:val="en-AU" w:eastAsia="en-US"/>
              </w:rPr>
              <w:t>Quảng Ngãi</w:t>
            </w:r>
          </w:p>
        </w:tc>
        <w:tc>
          <w:tcPr>
            <w:tcW w:w="1124"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18.0</w:t>
            </w:r>
          </w:p>
        </w:tc>
        <w:tc>
          <w:tcPr>
            <w:tcW w:w="840"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18.9</w:t>
            </w:r>
          </w:p>
        </w:tc>
        <w:tc>
          <w:tcPr>
            <w:tcW w:w="840"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18.8</w:t>
            </w:r>
          </w:p>
        </w:tc>
        <w:tc>
          <w:tcPr>
            <w:tcW w:w="840" w:type="dxa"/>
            <w:tcBorders>
              <w:top w:val="nil"/>
              <w:left w:val="nil"/>
              <w:bottom w:val="nil"/>
              <w:right w:val="nil"/>
            </w:tcBorders>
            <w:vAlign w:val="center"/>
          </w:tcPr>
          <w:p w:rsidR="008C74C1" w:rsidRPr="00594638" w:rsidRDefault="008C74C1" w:rsidP="00AB7745">
            <w:pPr>
              <w:jc w:val="right"/>
              <w:rPr>
                <w:rFonts w:ascii="Arial" w:hAnsi="Arial" w:cs="Arial"/>
                <w:color w:val="000000"/>
                <w:sz w:val="19"/>
                <w:szCs w:val="19"/>
                <w:lang w:val="en-AU" w:eastAsia="en-US"/>
              </w:rPr>
            </w:pPr>
          </w:p>
        </w:tc>
      </w:tr>
      <w:tr w:rsidR="008C74C1" w:rsidRPr="00AB7745" w:rsidTr="00777CBC">
        <w:trPr>
          <w:trHeight w:val="240"/>
          <w:jc w:val="center"/>
        </w:trPr>
        <w:tc>
          <w:tcPr>
            <w:tcW w:w="1265" w:type="dxa"/>
            <w:tcBorders>
              <w:top w:val="nil"/>
              <w:left w:val="nil"/>
              <w:bottom w:val="nil"/>
              <w:right w:val="nil"/>
            </w:tcBorders>
            <w:shd w:val="clear" w:color="auto" w:fill="auto"/>
            <w:vAlign w:val="center"/>
            <w:hideMark/>
          </w:tcPr>
          <w:p w:rsidR="008C74C1" w:rsidRPr="00594638" w:rsidRDefault="008C74C1" w:rsidP="00AB7745">
            <w:pPr>
              <w:jc w:val="both"/>
              <w:rPr>
                <w:rFonts w:ascii="Arial" w:hAnsi="Arial" w:cs="Arial"/>
                <w:color w:val="000000"/>
                <w:sz w:val="19"/>
                <w:szCs w:val="19"/>
                <w:lang w:val="en-AU" w:eastAsia="en-US"/>
              </w:rPr>
            </w:pPr>
            <w:r w:rsidRPr="00594638">
              <w:rPr>
                <w:rFonts w:ascii="Arial" w:hAnsi="Arial" w:cs="Arial"/>
                <w:color w:val="000000"/>
                <w:sz w:val="19"/>
                <w:szCs w:val="19"/>
                <w:lang w:val="en-AU" w:eastAsia="en-US"/>
              </w:rPr>
              <w:t>Quảng Nam</w:t>
            </w:r>
          </w:p>
        </w:tc>
        <w:tc>
          <w:tcPr>
            <w:tcW w:w="1124"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19.5</w:t>
            </w:r>
          </w:p>
        </w:tc>
        <w:tc>
          <w:tcPr>
            <w:tcW w:w="840"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17.4</w:t>
            </w:r>
          </w:p>
        </w:tc>
        <w:tc>
          <w:tcPr>
            <w:tcW w:w="840"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17.5</w:t>
            </w:r>
          </w:p>
        </w:tc>
        <w:tc>
          <w:tcPr>
            <w:tcW w:w="840" w:type="dxa"/>
            <w:tcBorders>
              <w:top w:val="nil"/>
              <w:left w:val="nil"/>
              <w:bottom w:val="nil"/>
              <w:right w:val="nil"/>
            </w:tcBorders>
            <w:vAlign w:val="center"/>
          </w:tcPr>
          <w:p w:rsidR="008C74C1" w:rsidRPr="00594638" w:rsidRDefault="008C74C1" w:rsidP="00AB7745">
            <w:pPr>
              <w:jc w:val="right"/>
              <w:rPr>
                <w:rFonts w:ascii="Arial" w:hAnsi="Arial" w:cs="Arial"/>
                <w:color w:val="000000"/>
                <w:sz w:val="19"/>
                <w:szCs w:val="19"/>
                <w:lang w:val="en-AU" w:eastAsia="en-US"/>
              </w:rPr>
            </w:pPr>
          </w:p>
        </w:tc>
      </w:tr>
      <w:tr w:rsidR="008C74C1" w:rsidRPr="00AB7745" w:rsidTr="00777CBC">
        <w:trPr>
          <w:trHeight w:val="240"/>
          <w:jc w:val="center"/>
        </w:trPr>
        <w:tc>
          <w:tcPr>
            <w:tcW w:w="1265" w:type="dxa"/>
            <w:tcBorders>
              <w:top w:val="nil"/>
              <w:left w:val="nil"/>
              <w:bottom w:val="nil"/>
              <w:right w:val="nil"/>
            </w:tcBorders>
            <w:shd w:val="clear" w:color="auto" w:fill="auto"/>
            <w:vAlign w:val="center"/>
            <w:hideMark/>
          </w:tcPr>
          <w:p w:rsidR="008C74C1" w:rsidRPr="00594638" w:rsidRDefault="008C74C1" w:rsidP="00AB7745">
            <w:pPr>
              <w:jc w:val="both"/>
              <w:rPr>
                <w:rFonts w:ascii="Arial" w:hAnsi="Arial" w:cs="Arial"/>
                <w:color w:val="000000"/>
                <w:sz w:val="19"/>
                <w:szCs w:val="19"/>
                <w:lang w:val="en-AU" w:eastAsia="en-US"/>
              </w:rPr>
            </w:pPr>
            <w:r w:rsidRPr="00594638">
              <w:rPr>
                <w:rFonts w:ascii="Arial" w:hAnsi="Arial" w:cs="Arial"/>
                <w:color w:val="000000"/>
                <w:sz w:val="19"/>
                <w:szCs w:val="19"/>
                <w:lang w:val="en-AU" w:eastAsia="en-US"/>
              </w:rPr>
              <w:t>Bình Định</w:t>
            </w:r>
          </w:p>
        </w:tc>
        <w:tc>
          <w:tcPr>
            <w:tcW w:w="1124"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15.2</w:t>
            </w:r>
          </w:p>
        </w:tc>
        <w:tc>
          <w:tcPr>
            <w:tcW w:w="840"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16.0</w:t>
            </w:r>
          </w:p>
        </w:tc>
        <w:tc>
          <w:tcPr>
            <w:tcW w:w="840"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15.9</w:t>
            </w:r>
          </w:p>
        </w:tc>
        <w:tc>
          <w:tcPr>
            <w:tcW w:w="840" w:type="dxa"/>
            <w:tcBorders>
              <w:top w:val="nil"/>
              <w:left w:val="nil"/>
              <w:bottom w:val="nil"/>
              <w:right w:val="nil"/>
            </w:tcBorders>
            <w:vAlign w:val="center"/>
          </w:tcPr>
          <w:p w:rsidR="008C74C1" w:rsidRPr="00594638" w:rsidRDefault="008C74C1" w:rsidP="00AB7745">
            <w:pPr>
              <w:jc w:val="right"/>
              <w:rPr>
                <w:rFonts w:ascii="Arial" w:hAnsi="Arial" w:cs="Arial"/>
                <w:color w:val="000000"/>
                <w:sz w:val="19"/>
                <w:szCs w:val="19"/>
                <w:lang w:val="en-AU" w:eastAsia="en-US"/>
              </w:rPr>
            </w:pPr>
          </w:p>
        </w:tc>
      </w:tr>
      <w:tr w:rsidR="008C74C1" w:rsidRPr="00AB7745" w:rsidTr="00777CBC">
        <w:trPr>
          <w:trHeight w:val="240"/>
          <w:jc w:val="center"/>
        </w:trPr>
        <w:tc>
          <w:tcPr>
            <w:tcW w:w="1265" w:type="dxa"/>
            <w:tcBorders>
              <w:top w:val="nil"/>
              <w:left w:val="nil"/>
              <w:bottom w:val="nil"/>
              <w:right w:val="nil"/>
            </w:tcBorders>
            <w:shd w:val="clear" w:color="auto" w:fill="auto"/>
            <w:vAlign w:val="center"/>
            <w:hideMark/>
          </w:tcPr>
          <w:p w:rsidR="008C74C1" w:rsidRPr="00594638" w:rsidRDefault="008C74C1" w:rsidP="00AB7745">
            <w:pPr>
              <w:jc w:val="both"/>
              <w:rPr>
                <w:rFonts w:ascii="Arial" w:hAnsi="Arial" w:cs="Arial"/>
                <w:color w:val="000000"/>
                <w:sz w:val="19"/>
                <w:szCs w:val="19"/>
                <w:lang w:val="en-AU" w:eastAsia="en-US"/>
              </w:rPr>
            </w:pPr>
            <w:r w:rsidRPr="00594638">
              <w:rPr>
                <w:rFonts w:ascii="Arial" w:hAnsi="Arial" w:cs="Arial"/>
                <w:color w:val="000000"/>
                <w:sz w:val="19"/>
                <w:szCs w:val="19"/>
                <w:lang w:val="en-AU" w:eastAsia="en-US"/>
              </w:rPr>
              <w:t>Ninh Thuận</w:t>
            </w:r>
          </w:p>
        </w:tc>
        <w:tc>
          <w:tcPr>
            <w:tcW w:w="1124"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18.8</w:t>
            </w:r>
          </w:p>
        </w:tc>
        <w:tc>
          <w:tcPr>
            <w:tcW w:w="840"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17.4</w:t>
            </w:r>
          </w:p>
        </w:tc>
        <w:tc>
          <w:tcPr>
            <w:tcW w:w="840"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17.2</w:t>
            </w:r>
          </w:p>
        </w:tc>
        <w:tc>
          <w:tcPr>
            <w:tcW w:w="840" w:type="dxa"/>
            <w:tcBorders>
              <w:top w:val="nil"/>
              <w:left w:val="nil"/>
              <w:bottom w:val="nil"/>
              <w:right w:val="nil"/>
            </w:tcBorders>
            <w:vAlign w:val="center"/>
          </w:tcPr>
          <w:p w:rsidR="008C74C1" w:rsidRPr="00594638" w:rsidRDefault="008C74C1" w:rsidP="00AB7745">
            <w:pPr>
              <w:jc w:val="right"/>
              <w:rPr>
                <w:rFonts w:ascii="Arial" w:hAnsi="Arial" w:cs="Arial"/>
                <w:color w:val="000000"/>
                <w:sz w:val="19"/>
                <w:szCs w:val="19"/>
                <w:lang w:val="en-AU" w:eastAsia="en-US"/>
              </w:rPr>
            </w:pPr>
          </w:p>
        </w:tc>
      </w:tr>
      <w:tr w:rsidR="008C74C1" w:rsidRPr="00AB7745" w:rsidTr="00777CBC">
        <w:trPr>
          <w:trHeight w:val="240"/>
          <w:jc w:val="center"/>
        </w:trPr>
        <w:tc>
          <w:tcPr>
            <w:tcW w:w="1265" w:type="dxa"/>
            <w:tcBorders>
              <w:top w:val="nil"/>
              <w:left w:val="nil"/>
              <w:bottom w:val="nil"/>
              <w:right w:val="nil"/>
            </w:tcBorders>
            <w:shd w:val="clear" w:color="auto" w:fill="auto"/>
            <w:vAlign w:val="center"/>
            <w:hideMark/>
          </w:tcPr>
          <w:p w:rsidR="008C74C1" w:rsidRPr="00594638" w:rsidRDefault="008C74C1" w:rsidP="00AB7745">
            <w:pPr>
              <w:jc w:val="both"/>
              <w:rPr>
                <w:rFonts w:ascii="Arial" w:hAnsi="Arial" w:cs="Arial"/>
                <w:color w:val="000000"/>
                <w:sz w:val="19"/>
                <w:szCs w:val="19"/>
                <w:lang w:val="en-AU" w:eastAsia="en-US"/>
              </w:rPr>
            </w:pPr>
            <w:r w:rsidRPr="00594638">
              <w:rPr>
                <w:rFonts w:ascii="Arial" w:hAnsi="Arial" w:cs="Arial"/>
                <w:color w:val="000000"/>
                <w:sz w:val="19"/>
                <w:szCs w:val="19"/>
                <w:lang w:val="en-AU" w:eastAsia="en-US"/>
              </w:rPr>
              <w:t>Kon Tum</w:t>
            </w:r>
          </w:p>
        </w:tc>
        <w:tc>
          <w:tcPr>
            <w:tcW w:w="1124"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38.1</w:t>
            </w:r>
          </w:p>
        </w:tc>
        <w:tc>
          <w:tcPr>
            <w:tcW w:w="840"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40.0</w:t>
            </w:r>
          </w:p>
        </w:tc>
        <w:tc>
          <w:tcPr>
            <w:tcW w:w="840" w:type="dxa"/>
            <w:tcBorders>
              <w:top w:val="nil"/>
              <w:left w:val="nil"/>
              <w:bottom w:val="nil"/>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40.0</w:t>
            </w:r>
          </w:p>
        </w:tc>
        <w:tc>
          <w:tcPr>
            <w:tcW w:w="840" w:type="dxa"/>
            <w:tcBorders>
              <w:top w:val="nil"/>
              <w:left w:val="nil"/>
              <w:bottom w:val="nil"/>
              <w:right w:val="nil"/>
            </w:tcBorders>
            <w:vAlign w:val="center"/>
          </w:tcPr>
          <w:p w:rsidR="008C74C1" w:rsidRPr="00594638" w:rsidRDefault="008C74C1" w:rsidP="00AB7745">
            <w:pPr>
              <w:jc w:val="right"/>
              <w:rPr>
                <w:rFonts w:ascii="Arial" w:hAnsi="Arial" w:cs="Arial"/>
                <w:color w:val="000000"/>
                <w:sz w:val="19"/>
                <w:szCs w:val="19"/>
                <w:lang w:val="en-AU" w:eastAsia="en-US"/>
              </w:rPr>
            </w:pPr>
          </w:p>
        </w:tc>
      </w:tr>
      <w:tr w:rsidR="008C74C1" w:rsidRPr="00AB7745" w:rsidTr="00777CBC">
        <w:trPr>
          <w:trHeight w:val="240"/>
          <w:jc w:val="center"/>
        </w:trPr>
        <w:tc>
          <w:tcPr>
            <w:tcW w:w="1265" w:type="dxa"/>
            <w:tcBorders>
              <w:top w:val="nil"/>
              <w:left w:val="nil"/>
              <w:bottom w:val="single" w:sz="4" w:space="0" w:color="auto"/>
              <w:right w:val="nil"/>
            </w:tcBorders>
            <w:shd w:val="clear" w:color="auto" w:fill="auto"/>
            <w:vAlign w:val="center"/>
            <w:hideMark/>
          </w:tcPr>
          <w:p w:rsidR="008C74C1" w:rsidRPr="00594638" w:rsidRDefault="008C74C1" w:rsidP="00AB7745">
            <w:pPr>
              <w:jc w:val="both"/>
              <w:rPr>
                <w:rFonts w:ascii="Arial" w:hAnsi="Arial" w:cs="Arial"/>
                <w:color w:val="000000"/>
                <w:sz w:val="19"/>
                <w:szCs w:val="19"/>
                <w:lang w:val="en-AU" w:eastAsia="en-US"/>
              </w:rPr>
            </w:pPr>
            <w:r w:rsidRPr="00594638">
              <w:rPr>
                <w:rFonts w:ascii="Arial" w:hAnsi="Arial" w:cs="Arial"/>
                <w:color w:val="000000"/>
                <w:sz w:val="19"/>
                <w:szCs w:val="19"/>
                <w:lang w:val="en-AU" w:eastAsia="en-US"/>
              </w:rPr>
              <w:t>Lâm Đồng</w:t>
            </w:r>
          </w:p>
        </w:tc>
        <w:tc>
          <w:tcPr>
            <w:tcW w:w="1124" w:type="dxa"/>
            <w:tcBorders>
              <w:top w:val="nil"/>
              <w:left w:val="nil"/>
              <w:bottom w:val="single" w:sz="4" w:space="0" w:color="auto"/>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14.5</w:t>
            </w:r>
          </w:p>
        </w:tc>
        <w:tc>
          <w:tcPr>
            <w:tcW w:w="840" w:type="dxa"/>
            <w:tcBorders>
              <w:top w:val="nil"/>
              <w:left w:val="nil"/>
              <w:bottom w:val="single" w:sz="4" w:space="0" w:color="auto"/>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16.5</w:t>
            </w:r>
          </w:p>
        </w:tc>
        <w:tc>
          <w:tcPr>
            <w:tcW w:w="840" w:type="dxa"/>
            <w:tcBorders>
              <w:top w:val="nil"/>
              <w:left w:val="nil"/>
              <w:bottom w:val="single" w:sz="4" w:space="0" w:color="auto"/>
              <w:right w:val="nil"/>
            </w:tcBorders>
            <w:shd w:val="clear" w:color="auto" w:fill="auto"/>
            <w:noWrap/>
            <w:vAlign w:val="bottom"/>
            <w:hideMark/>
          </w:tcPr>
          <w:p w:rsidR="008C74C1" w:rsidRPr="00594638" w:rsidRDefault="008C74C1" w:rsidP="00AB7745">
            <w:pPr>
              <w:jc w:val="right"/>
              <w:rPr>
                <w:rFonts w:ascii="Arial" w:hAnsi="Arial" w:cs="Arial"/>
                <w:color w:val="000000"/>
                <w:sz w:val="19"/>
                <w:szCs w:val="19"/>
                <w:lang w:val="en-AU" w:eastAsia="en-US"/>
              </w:rPr>
            </w:pPr>
            <w:r w:rsidRPr="00594638">
              <w:rPr>
                <w:rFonts w:ascii="Arial" w:hAnsi="Arial" w:cs="Arial"/>
                <w:color w:val="000000"/>
                <w:sz w:val="19"/>
                <w:szCs w:val="19"/>
                <w:lang w:val="en-AU" w:eastAsia="en-US"/>
              </w:rPr>
              <w:t>16.5</w:t>
            </w:r>
          </w:p>
        </w:tc>
        <w:tc>
          <w:tcPr>
            <w:tcW w:w="840" w:type="dxa"/>
            <w:tcBorders>
              <w:top w:val="nil"/>
              <w:left w:val="nil"/>
              <w:bottom w:val="single" w:sz="4" w:space="0" w:color="auto"/>
              <w:right w:val="nil"/>
            </w:tcBorders>
            <w:vAlign w:val="center"/>
          </w:tcPr>
          <w:p w:rsidR="008C74C1" w:rsidRPr="00594638" w:rsidRDefault="008C74C1" w:rsidP="00AB7745">
            <w:pPr>
              <w:jc w:val="right"/>
              <w:rPr>
                <w:rFonts w:ascii="Arial" w:hAnsi="Arial" w:cs="Arial"/>
                <w:color w:val="000000"/>
                <w:sz w:val="19"/>
                <w:szCs w:val="19"/>
                <w:lang w:val="en-AU" w:eastAsia="en-US"/>
              </w:rPr>
            </w:pPr>
          </w:p>
        </w:tc>
      </w:tr>
    </w:tbl>
    <w:p w:rsidR="0031416D" w:rsidRDefault="0031416D" w:rsidP="0031416D">
      <w:pPr>
        <w:tabs>
          <w:tab w:val="left" w:pos="1980"/>
        </w:tabs>
        <w:ind w:left="2127"/>
        <w:rPr>
          <w:rFonts w:ascii="Arial" w:hAnsi="Arial" w:cs="Arial"/>
        </w:rPr>
      </w:pPr>
    </w:p>
    <w:p w:rsidR="004751B2" w:rsidRPr="005A331F" w:rsidRDefault="0031416D" w:rsidP="00777CBC">
      <w:pPr>
        <w:tabs>
          <w:tab w:val="left" w:pos="1980"/>
        </w:tabs>
        <w:ind w:left="1985"/>
        <w:rPr>
          <w:rFonts w:ascii="Arial" w:hAnsi="Arial" w:cs="Arial"/>
          <w:b/>
          <w:sz w:val="18"/>
          <w:szCs w:val="18"/>
        </w:rPr>
      </w:pPr>
      <w:r w:rsidRPr="005A331F">
        <w:rPr>
          <w:rFonts w:ascii="Arial" w:hAnsi="Arial" w:cs="Arial"/>
          <w:b/>
          <w:sz w:val="18"/>
          <w:szCs w:val="18"/>
        </w:rPr>
        <w:t>Source</w:t>
      </w:r>
      <w:r w:rsidR="001E3DEC" w:rsidRPr="005A331F">
        <w:rPr>
          <w:rFonts w:ascii="Arial" w:hAnsi="Arial" w:cs="Arial"/>
          <w:b/>
          <w:sz w:val="18"/>
          <w:szCs w:val="18"/>
        </w:rPr>
        <w:t>:</w:t>
      </w:r>
    </w:p>
    <w:p w:rsidR="004751B2" w:rsidRPr="005A331F" w:rsidRDefault="004751B2" w:rsidP="00777CBC">
      <w:pPr>
        <w:tabs>
          <w:tab w:val="left" w:pos="1980"/>
        </w:tabs>
        <w:ind w:left="1985"/>
        <w:rPr>
          <w:rFonts w:ascii="Arial" w:hAnsi="Arial" w:cs="Arial"/>
          <w:sz w:val="18"/>
          <w:szCs w:val="18"/>
        </w:rPr>
      </w:pPr>
      <w:r w:rsidRPr="000630ED">
        <w:rPr>
          <w:rFonts w:ascii="Arial" w:hAnsi="Arial" w:cs="Arial"/>
          <w:color w:val="000000"/>
          <w:sz w:val="18"/>
          <w:szCs w:val="18"/>
          <w:vertAlign w:val="superscript"/>
        </w:rPr>
        <w:t>a</w:t>
      </w:r>
      <w:r w:rsidR="0031416D" w:rsidRPr="005A331F">
        <w:rPr>
          <w:rFonts w:ascii="Arial" w:hAnsi="Arial" w:cs="Arial"/>
          <w:sz w:val="18"/>
          <w:szCs w:val="18"/>
        </w:rPr>
        <w:t xml:space="preserve"> </w:t>
      </w:r>
      <w:r w:rsidR="006F4600" w:rsidRPr="005A331F">
        <w:rPr>
          <w:rFonts w:ascii="Arial" w:hAnsi="Arial" w:cs="Arial"/>
          <w:sz w:val="18"/>
          <w:szCs w:val="18"/>
        </w:rPr>
        <w:t xml:space="preserve">General Statistics Office. </w:t>
      </w:r>
      <w:r w:rsidR="006F4600" w:rsidRPr="005A331F">
        <w:rPr>
          <w:rFonts w:ascii="Arial" w:hAnsi="Arial" w:cs="Arial"/>
          <w:i/>
          <w:sz w:val="18"/>
          <w:szCs w:val="18"/>
        </w:rPr>
        <w:t>Statistical Yearbook of Viet Nam 2013</w:t>
      </w:r>
      <w:r w:rsidR="006F4600" w:rsidRPr="005A331F">
        <w:rPr>
          <w:rFonts w:ascii="Arial" w:hAnsi="Arial" w:cs="Arial"/>
          <w:sz w:val="18"/>
          <w:szCs w:val="18"/>
        </w:rPr>
        <w:t>. Ha Noi</w:t>
      </w:r>
      <w:r w:rsidR="00D30C23" w:rsidRPr="005A331F">
        <w:rPr>
          <w:rFonts w:ascii="Arial" w:hAnsi="Arial" w:cs="Arial"/>
          <w:sz w:val="18"/>
          <w:szCs w:val="18"/>
        </w:rPr>
        <w:t>.</w:t>
      </w:r>
    </w:p>
    <w:p w:rsidR="0031416D" w:rsidRPr="005A331F" w:rsidRDefault="004751B2" w:rsidP="00777CBC">
      <w:pPr>
        <w:tabs>
          <w:tab w:val="left" w:pos="1980"/>
        </w:tabs>
        <w:ind w:left="1985"/>
        <w:rPr>
          <w:rFonts w:ascii="Arial" w:hAnsi="Arial" w:cs="Arial"/>
          <w:sz w:val="18"/>
          <w:szCs w:val="18"/>
        </w:rPr>
      </w:pPr>
      <w:r w:rsidRPr="000630ED">
        <w:rPr>
          <w:rFonts w:ascii="Arial" w:hAnsi="Arial" w:cs="Arial"/>
          <w:color w:val="000000"/>
          <w:sz w:val="18"/>
          <w:szCs w:val="18"/>
          <w:vertAlign w:val="superscript"/>
        </w:rPr>
        <w:t>b</w:t>
      </w:r>
      <w:r w:rsidR="000630ED">
        <w:rPr>
          <w:rFonts w:ascii="Arial" w:hAnsi="Arial" w:cs="Arial"/>
          <w:color w:val="000000"/>
          <w:sz w:val="18"/>
          <w:szCs w:val="18"/>
          <w:vertAlign w:val="superscript"/>
        </w:rPr>
        <w:t xml:space="preserve"> </w:t>
      </w:r>
      <w:r w:rsidRPr="005A331F">
        <w:rPr>
          <w:rFonts w:ascii="Arial" w:hAnsi="Arial" w:cs="Arial"/>
          <w:sz w:val="18"/>
          <w:szCs w:val="18"/>
        </w:rPr>
        <w:t>M</w:t>
      </w:r>
      <w:r w:rsidR="006F4600" w:rsidRPr="005A331F">
        <w:rPr>
          <w:rFonts w:ascii="Arial" w:hAnsi="Arial" w:cs="Arial"/>
          <w:sz w:val="18"/>
          <w:szCs w:val="18"/>
        </w:rPr>
        <w:t>o</w:t>
      </w:r>
      <w:r w:rsidRPr="005A331F">
        <w:rPr>
          <w:rFonts w:ascii="Arial" w:hAnsi="Arial" w:cs="Arial"/>
          <w:sz w:val="18"/>
          <w:szCs w:val="18"/>
        </w:rPr>
        <w:t xml:space="preserve">H. 2013. </w:t>
      </w:r>
      <w:r w:rsidRPr="005A331F">
        <w:rPr>
          <w:rFonts w:ascii="Arial" w:hAnsi="Arial" w:cs="Arial"/>
          <w:i/>
          <w:sz w:val="18"/>
          <w:szCs w:val="18"/>
        </w:rPr>
        <w:t>Joint Annual Health Review 2013</w:t>
      </w:r>
      <w:r w:rsidRPr="005A331F">
        <w:rPr>
          <w:rFonts w:ascii="Arial" w:hAnsi="Arial" w:cs="Arial"/>
          <w:sz w:val="18"/>
          <w:szCs w:val="18"/>
        </w:rPr>
        <w:t>. Ha Noi.</w:t>
      </w:r>
    </w:p>
    <w:p w:rsidR="004751B2" w:rsidRPr="005A331F" w:rsidRDefault="00AB2A2B" w:rsidP="004751B2">
      <w:pPr>
        <w:ind w:left="1985"/>
        <w:rPr>
          <w:rFonts w:ascii="Arial" w:hAnsi="Arial" w:cs="Arial"/>
          <w:sz w:val="18"/>
          <w:szCs w:val="18"/>
        </w:rPr>
      </w:pPr>
      <w:r w:rsidRPr="000630ED">
        <w:rPr>
          <w:rFonts w:ascii="Arial" w:hAnsi="Arial" w:cs="Arial"/>
          <w:color w:val="000000"/>
          <w:sz w:val="18"/>
          <w:szCs w:val="18"/>
          <w:vertAlign w:val="superscript"/>
        </w:rPr>
        <w:t>c</w:t>
      </w:r>
      <w:r w:rsidR="004751B2" w:rsidRPr="005A331F">
        <w:rPr>
          <w:rFonts w:ascii="Arial" w:hAnsi="Arial" w:cs="Arial"/>
          <w:sz w:val="18"/>
          <w:szCs w:val="18"/>
        </w:rPr>
        <w:t xml:space="preserve"> </w:t>
      </w:r>
      <w:r w:rsidR="006F4600" w:rsidRPr="005A331F">
        <w:rPr>
          <w:rFonts w:ascii="Arial" w:hAnsi="Arial" w:cs="Arial"/>
          <w:sz w:val="18"/>
          <w:szCs w:val="18"/>
        </w:rPr>
        <w:t>M0</w:t>
      </w:r>
      <w:r w:rsidR="004751B2" w:rsidRPr="005A331F">
        <w:rPr>
          <w:rFonts w:ascii="Arial" w:hAnsi="Arial" w:cs="Arial"/>
          <w:sz w:val="18"/>
          <w:szCs w:val="18"/>
        </w:rPr>
        <w:t xml:space="preserve">H. 2011. </w:t>
      </w:r>
      <w:r w:rsidR="004751B2" w:rsidRPr="005A331F">
        <w:rPr>
          <w:rFonts w:ascii="Arial" w:hAnsi="Arial" w:cs="Arial"/>
          <w:i/>
          <w:sz w:val="18"/>
          <w:szCs w:val="18"/>
        </w:rPr>
        <w:t xml:space="preserve">Five year health sector plan for the period 2011-2015. </w:t>
      </w:r>
      <w:r w:rsidR="004751B2" w:rsidRPr="005A331F">
        <w:rPr>
          <w:rFonts w:ascii="Arial" w:hAnsi="Arial" w:cs="Arial"/>
          <w:sz w:val="18"/>
          <w:szCs w:val="18"/>
        </w:rPr>
        <w:t xml:space="preserve"> Ha Noi</w:t>
      </w:r>
      <w:r w:rsidR="00D30C23" w:rsidRPr="005A331F">
        <w:rPr>
          <w:rFonts w:ascii="Arial" w:hAnsi="Arial" w:cs="Arial"/>
          <w:sz w:val="18"/>
          <w:szCs w:val="18"/>
        </w:rPr>
        <w:t>.</w:t>
      </w:r>
    </w:p>
    <w:p w:rsidR="004751B2" w:rsidRPr="00777CBC" w:rsidRDefault="004751B2" w:rsidP="004751B2">
      <w:pPr>
        <w:tabs>
          <w:tab w:val="left" w:pos="1980"/>
        </w:tabs>
        <w:ind w:left="1985"/>
        <w:rPr>
          <w:rFonts w:ascii="Arial" w:hAnsi="Arial" w:cs="Arial"/>
        </w:rPr>
        <w:sectPr w:rsidR="004751B2" w:rsidRPr="00777CBC" w:rsidSect="00A327AF">
          <w:pgSz w:w="11906" w:h="16838" w:code="9"/>
          <w:pgMar w:top="1440" w:right="1440" w:bottom="1440" w:left="1440" w:header="567" w:footer="431" w:gutter="0"/>
          <w:cols w:space="708"/>
          <w:docGrid w:linePitch="360"/>
        </w:sectPr>
      </w:pPr>
    </w:p>
    <w:p w:rsidR="00E95EB0" w:rsidRPr="00E65146" w:rsidRDefault="00E95EB0" w:rsidP="00CA718F">
      <w:pPr>
        <w:pStyle w:val="ColorfulList-Accent11"/>
        <w:numPr>
          <w:ilvl w:val="0"/>
          <w:numId w:val="8"/>
        </w:numPr>
        <w:pBdr>
          <w:bottom w:val="single" w:sz="6" w:space="1" w:color="auto"/>
        </w:pBdr>
        <w:tabs>
          <w:tab w:val="left" w:pos="1980"/>
        </w:tabs>
        <w:outlineLvl w:val="0"/>
        <w:rPr>
          <w:rFonts w:ascii="Arial" w:hAnsi="Arial" w:cs="Arial"/>
          <w:b/>
          <w:sz w:val="22"/>
          <w:szCs w:val="22"/>
        </w:rPr>
      </w:pPr>
      <w:bookmarkStart w:id="114" w:name="_Toc423359365"/>
      <w:r w:rsidRPr="00E65146">
        <w:rPr>
          <w:rFonts w:ascii="Arial" w:hAnsi="Arial" w:cs="Arial"/>
          <w:b/>
          <w:sz w:val="22"/>
          <w:szCs w:val="22"/>
        </w:rPr>
        <w:t>SUSTAINABILITY DATA</w:t>
      </w:r>
      <w:bookmarkEnd w:id="114"/>
    </w:p>
    <w:p w:rsidR="007A412A" w:rsidRPr="00E65146" w:rsidRDefault="007A412A" w:rsidP="007A412A">
      <w:pPr>
        <w:spacing w:before="240" w:after="120"/>
        <w:jc w:val="center"/>
        <w:rPr>
          <w:rFonts w:ascii="Arial" w:hAnsi="Arial" w:cs="Arial"/>
          <w:b/>
        </w:rPr>
      </w:pPr>
      <w:r w:rsidRPr="00E65146">
        <w:rPr>
          <w:rFonts w:ascii="Arial" w:hAnsi="Arial" w:cs="Arial"/>
          <w:b/>
        </w:rPr>
        <w:t>Table</w:t>
      </w:r>
      <w:r w:rsidR="00D057C0" w:rsidRPr="00E65146">
        <w:rPr>
          <w:rFonts w:ascii="Arial" w:hAnsi="Arial" w:cs="Arial"/>
          <w:b/>
        </w:rPr>
        <w:t xml:space="preserve"> 12.1: Budget for Equipment Maintenance and Consumables</w:t>
      </w:r>
      <w:r w:rsidRPr="00E65146">
        <w:rPr>
          <w:rFonts w:ascii="Arial" w:hAnsi="Arial" w:cs="Arial"/>
          <w:b/>
        </w:rPr>
        <w:t xml:space="preserve"> </w:t>
      </w:r>
    </w:p>
    <w:p w:rsidR="00D057C0" w:rsidRPr="00E65146" w:rsidRDefault="00D057C0" w:rsidP="007A412A">
      <w:pPr>
        <w:spacing w:before="120" w:after="120"/>
        <w:jc w:val="center"/>
        <w:rPr>
          <w:rFonts w:ascii="Arial" w:hAnsi="Arial" w:cs="Arial"/>
          <w:b/>
        </w:rPr>
      </w:pPr>
      <w:r w:rsidRPr="00E65146">
        <w:rPr>
          <w:rFonts w:ascii="Arial" w:hAnsi="Arial" w:cs="Arial"/>
          <w:b/>
        </w:rPr>
        <w:t xml:space="preserve">(Facilities Receiving Equipment from the Project Loan </w:t>
      </w:r>
      <w:r w:rsidRPr="00E65146">
        <w:rPr>
          <w:rStyle w:val="FootnoteReference"/>
          <w:rFonts w:cs="Arial"/>
        </w:rPr>
        <w:t>a</w:t>
      </w:r>
      <w:r w:rsidRPr="00E65146">
        <w:rPr>
          <w:rFonts w:ascii="Arial" w:hAnsi="Arial" w:cs="Arial"/>
          <w:b/>
        </w:rPr>
        <w:t>)</w:t>
      </w:r>
    </w:p>
    <w:tbl>
      <w:tblPr>
        <w:tblW w:w="11200" w:type="dxa"/>
        <w:jc w:val="center"/>
        <w:tblLook w:val="04A0" w:firstRow="1" w:lastRow="0" w:firstColumn="1" w:lastColumn="0" w:noHBand="0" w:noVBand="1"/>
      </w:tblPr>
      <w:tblGrid>
        <w:gridCol w:w="269"/>
        <w:gridCol w:w="2040"/>
        <w:gridCol w:w="1740"/>
        <w:gridCol w:w="1480"/>
        <w:gridCol w:w="1367"/>
        <w:gridCol w:w="1367"/>
        <w:gridCol w:w="1580"/>
        <w:gridCol w:w="1357"/>
      </w:tblGrid>
      <w:tr w:rsidR="00D057C0" w:rsidRPr="00E65146" w:rsidTr="00594638">
        <w:trPr>
          <w:trHeight w:val="700"/>
          <w:jc w:val="center"/>
        </w:trPr>
        <w:tc>
          <w:tcPr>
            <w:tcW w:w="269" w:type="dxa"/>
            <w:tcBorders>
              <w:top w:val="single" w:sz="4" w:space="0" w:color="auto"/>
              <w:left w:val="single" w:sz="4" w:space="0" w:color="auto"/>
              <w:bottom w:val="single" w:sz="4" w:space="0" w:color="auto"/>
              <w:right w:val="nil"/>
            </w:tcBorders>
            <w:shd w:val="clear" w:color="000000" w:fill="F2F2F2"/>
            <w:hideMark/>
          </w:tcPr>
          <w:p w:rsidR="00D057C0" w:rsidRPr="00E65146" w:rsidRDefault="00D057C0" w:rsidP="00D057C0">
            <w:pPr>
              <w:jc w:val="center"/>
              <w:rPr>
                <w:rFonts w:ascii="Arial" w:hAnsi="Arial" w:cs="Arial"/>
                <w:b/>
                <w:bCs/>
                <w:color w:val="000000"/>
                <w:sz w:val="19"/>
                <w:szCs w:val="19"/>
                <w:lang w:val="en-AU"/>
              </w:rPr>
            </w:pPr>
            <w:r w:rsidRPr="00E65146">
              <w:rPr>
                <w:rFonts w:ascii="Arial" w:hAnsi="Arial" w:cs="Arial"/>
                <w:b/>
                <w:bCs/>
                <w:color w:val="000000"/>
                <w:sz w:val="19"/>
                <w:szCs w:val="19"/>
                <w:lang w:val="en-AU"/>
              </w:rPr>
              <w:t> </w:t>
            </w:r>
          </w:p>
        </w:tc>
        <w:tc>
          <w:tcPr>
            <w:tcW w:w="2040" w:type="dxa"/>
            <w:tcBorders>
              <w:top w:val="single" w:sz="4" w:space="0" w:color="auto"/>
              <w:left w:val="nil"/>
              <w:bottom w:val="single" w:sz="4" w:space="0" w:color="auto"/>
              <w:right w:val="nil"/>
            </w:tcBorders>
            <w:shd w:val="clear" w:color="auto" w:fill="auto"/>
            <w:hideMark/>
          </w:tcPr>
          <w:p w:rsidR="00D057C0" w:rsidRPr="00594638" w:rsidRDefault="00D057C0" w:rsidP="00D057C0">
            <w:pPr>
              <w:jc w:val="center"/>
              <w:rPr>
                <w:rFonts w:ascii="Arial" w:hAnsi="Arial" w:cs="Arial"/>
                <w:b/>
                <w:bCs/>
                <w:color w:val="000000"/>
                <w:sz w:val="19"/>
                <w:szCs w:val="19"/>
                <w:lang w:val="en-AU"/>
              </w:rPr>
            </w:pPr>
            <w:r w:rsidRPr="00594638">
              <w:rPr>
                <w:rFonts w:ascii="Arial" w:hAnsi="Arial" w:cs="Arial"/>
                <w:b/>
                <w:bCs/>
                <w:color w:val="000000"/>
                <w:sz w:val="19"/>
                <w:szCs w:val="19"/>
                <w:lang w:val="en-AU"/>
              </w:rPr>
              <w:t>Total Annual Operating Budget</w:t>
            </w:r>
          </w:p>
        </w:tc>
        <w:tc>
          <w:tcPr>
            <w:tcW w:w="1740" w:type="dxa"/>
            <w:tcBorders>
              <w:top w:val="single" w:sz="4" w:space="0" w:color="auto"/>
              <w:left w:val="nil"/>
              <w:bottom w:val="single" w:sz="4" w:space="0" w:color="auto"/>
              <w:right w:val="nil"/>
            </w:tcBorders>
            <w:shd w:val="clear" w:color="auto" w:fill="auto"/>
            <w:hideMark/>
          </w:tcPr>
          <w:p w:rsidR="00D057C0" w:rsidRPr="00594638" w:rsidRDefault="00D057C0" w:rsidP="00D057C0">
            <w:pPr>
              <w:jc w:val="center"/>
              <w:rPr>
                <w:rFonts w:ascii="Arial" w:hAnsi="Arial" w:cs="Arial"/>
                <w:b/>
                <w:bCs/>
                <w:color w:val="000000"/>
                <w:sz w:val="19"/>
                <w:szCs w:val="19"/>
                <w:lang w:val="en-AU"/>
              </w:rPr>
            </w:pPr>
            <w:r w:rsidRPr="00594638">
              <w:rPr>
                <w:rFonts w:ascii="Arial" w:hAnsi="Arial" w:cs="Arial"/>
                <w:b/>
                <w:bCs/>
                <w:color w:val="000000"/>
                <w:sz w:val="19"/>
                <w:szCs w:val="19"/>
                <w:lang w:val="en-AU"/>
              </w:rPr>
              <w:t>Total Asset Value - Equipment</w:t>
            </w:r>
          </w:p>
        </w:tc>
        <w:tc>
          <w:tcPr>
            <w:tcW w:w="1480" w:type="dxa"/>
            <w:tcBorders>
              <w:top w:val="single" w:sz="4" w:space="0" w:color="auto"/>
              <w:left w:val="nil"/>
              <w:bottom w:val="single" w:sz="4" w:space="0" w:color="auto"/>
              <w:right w:val="nil"/>
            </w:tcBorders>
            <w:shd w:val="clear" w:color="auto" w:fill="auto"/>
            <w:hideMark/>
          </w:tcPr>
          <w:p w:rsidR="00D057C0" w:rsidRPr="00594638" w:rsidRDefault="00D057C0" w:rsidP="00D057C0">
            <w:pPr>
              <w:jc w:val="center"/>
              <w:rPr>
                <w:rFonts w:ascii="Arial" w:hAnsi="Arial" w:cs="Arial"/>
                <w:b/>
                <w:bCs/>
                <w:color w:val="000000"/>
                <w:sz w:val="19"/>
                <w:szCs w:val="19"/>
                <w:lang w:val="en-AU"/>
              </w:rPr>
            </w:pPr>
            <w:r w:rsidRPr="00594638">
              <w:rPr>
                <w:rFonts w:ascii="Arial" w:hAnsi="Arial" w:cs="Arial"/>
                <w:b/>
                <w:bCs/>
                <w:color w:val="000000"/>
                <w:sz w:val="19"/>
                <w:szCs w:val="19"/>
                <w:lang w:val="en-AU"/>
              </w:rPr>
              <w:t xml:space="preserve">Annual Budget - Maintenance </w:t>
            </w:r>
          </w:p>
        </w:tc>
        <w:tc>
          <w:tcPr>
            <w:tcW w:w="1367" w:type="dxa"/>
            <w:tcBorders>
              <w:top w:val="single" w:sz="4" w:space="0" w:color="auto"/>
              <w:left w:val="nil"/>
              <w:bottom w:val="single" w:sz="4" w:space="0" w:color="auto"/>
              <w:right w:val="nil"/>
            </w:tcBorders>
            <w:shd w:val="clear" w:color="auto" w:fill="auto"/>
            <w:hideMark/>
          </w:tcPr>
          <w:p w:rsidR="00D057C0" w:rsidRPr="00594638" w:rsidRDefault="00D057C0" w:rsidP="00D057C0">
            <w:pPr>
              <w:jc w:val="center"/>
              <w:rPr>
                <w:rFonts w:ascii="Arial" w:hAnsi="Arial" w:cs="Arial"/>
                <w:b/>
                <w:bCs/>
                <w:color w:val="000000"/>
                <w:sz w:val="19"/>
                <w:szCs w:val="19"/>
                <w:lang w:val="en-AU"/>
              </w:rPr>
            </w:pPr>
            <w:r w:rsidRPr="00594638">
              <w:rPr>
                <w:rFonts w:ascii="Arial" w:hAnsi="Arial" w:cs="Arial"/>
                <w:b/>
                <w:bCs/>
                <w:color w:val="000000"/>
                <w:sz w:val="19"/>
                <w:szCs w:val="19"/>
                <w:lang w:val="en-AU"/>
              </w:rPr>
              <w:t>Maintenance (% Of Total Budget)</w:t>
            </w:r>
          </w:p>
        </w:tc>
        <w:tc>
          <w:tcPr>
            <w:tcW w:w="1367" w:type="dxa"/>
            <w:tcBorders>
              <w:top w:val="single" w:sz="4" w:space="0" w:color="auto"/>
              <w:left w:val="nil"/>
              <w:bottom w:val="single" w:sz="4" w:space="0" w:color="auto"/>
              <w:right w:val="nil"/>
            </w:tcBorders>
            <w:shd w:val="clear" w:color="auto" w:fill="auto"/>
            <w:hideMark/>
          </w:tcPr>
          <w:p w:rsidR="00D057C0" w:rsidRPr="00594638" w:rsidRDefault="00D057C0" w:rsidP="00D057C0">
            <w:pPr>
              <w:jc w:val="center"/>
              <w:rPr>
                <w:rFonts w:ascii="Arial" w:hAnsi="Arial" w:cs="Arial"/>
                <w:b/>
                <w:bCs/>
                <w:color w:val="000000"/>
                <w:sz w:val="19"/>
                <w:szCs w:val="19"/>
                <w:lang w:val="en-AU"/>
              </w:rPr>
            </w:pPr>
            <w:r w:rsidRPr="00594638">
              <w:rPr>
                <w:rFonts w:ascii="Arial" w:hAnsi="Arial" w:cs="Arial"/>
                <w:b/>
                <w:bCs/>
                <w:color w:val="000000"/>
                <w:sz w:val="19"/>
                <w:szCs w:val="19"/>
                <w:lang w:val="en-AU"/>
              </w:rPr>
              <w:t>Maintenance (% Of Asset Value)</w:t>
            </w:r>
          </w:p>
        </w:tc>
        <w:tc>
          <w:tcPr>
            <w:tcW w:w="1580" w:type="dxa"/>
            <w:tcBorders>
              <w:top w:val="single" w:sz="4" w:space="0" w:color="auto"/>
              <w:left w:val="nil"/>
              <w:bottom w:val="single" w:sz="4" w:space="0" w:color="auto"/>
              <w:right w:val="nil"/>
            </w:tcBorders>
            <w:shd w:val="clear" w:color="auto" w:fill="auto"/>
            <w:hideMark/>
          </w:tcPr>
          <w:p w:rsidR="00D057C0" w:rsidRPr="00594638" w:rsidRDefault="00D057C0" w:rsidP="00D057C0">
            <w:pPr>
              <w:jc w:val="center"/>
              <w:rPr>
                <w:rFonts w:ascii="Arial" w:hAnsi="Arial" w:cs="Arial"/>
                <w:b/>
                <w:bCs/>
                <w:color w:val="000000"/>
                <w:sz w:val="19"/>
                <w:szCs w:val="19"/>
                <w:lang w:val="en-AU"/>
              </w:rPr>
            </w:pPr>
            <w:r w:rsidRPr="00594638">
              <w:rPr>
                <w:rFonts w:ascii="Arial" w:hAnsi="Arial" w:cs="Arial"/>
                <w:b/>
                <w:bCs/>
                <w:color w:val="000000"/>
                <w:sz w:val="19"/>
                <w:szCs w:val="19"/>
                <w:lang w:val="en-AU"/>
              </w:rPr>
              <w:t>Annual Budget - Consumable</w:t>
            </w:r>
          </w:p>
        </w:tc>
        <w:tc>
          <w:tcPr>
            <w:tcW w:w="1357" w:type="dxa"/>
            <w:tcBorders>
              <w:top w:val="single" w:sz="4" w:space="0" w:color="auto"/>
              <w:left w:val="nil"/>
              <w:bottom w:val="single" w:sz="4" w:space="0" w:color="auto"/>
              <w:right w:val="single" w:sz="4" w:space="0" w:color="auto"/>
            </w:tcBorders>
            <w:shd w:val="clear" w:color="auto" w:fill="auto"/>
            <w:hideMark/>
          </w:tcPr>
          <w:p w:rsidR="00D057C0" w:rsidRPr="00594638" w:rsidRDefault="00D057C0" w:rsidP="00D057C0">
            <w:pPr>
              <w:jc w:val="center"/>
              <w:rPr>
                <w:rFonts w:ascii="Arial" w:hAnsi="Arial" w:cs="Arial"/>
                <w:b/>
                <w:bCs/>
                <w:color w:val="000000"/>
                <w:sz w:val="19"/>
                <w:szCs w:val="19"/>
                <w:lang w:val="en-AU"/>
              </w:rPr>
            </w:pPr>
            <w:r w:rsidRPr="00594638">
              <w:rPr>
                <w:rFonts w:ascii="Arial" w:hAnsi="Arial" w:cs="Arial"/>
                <w:b/>
                <w:bCs/>
                <w:color w:val="000000"/>
                <w:sz w:val="19"/>
                <w:szCs w:val="19"/>
                <w:lang w:val="en-AU"/>
              </w:rPr>
              <w:t>Consumable (% Of Total Budget)</w:t>
            </w:r>
          </w:p>
        </w:tc>
      </w:tr>
      <w:tr w:rsidR="00D057C0" w:rsidRPr="00E65146" w:rsidTr="00594638">
        <w:trPr>
          <w:trHeight w:val="241"/>
          <w:jc w:val="center"/>
        </w:trPr>
        <w:tc>
          <w:tcPr>
            <w:tcW w:w="9843" w:type="dxa"/>
            <w:gridSpan w:val="7"/>
            <w:tcBorders>
              <w:top w:val="nil"/>
              <w:left w:val="single" w:sz="4" w:space="0" w:color="auto"/>
              <w:bottom w:val="nil"/>
              <w:right w:val="nil"/>
            </w:tcBorders>
            <w:shd w:val="clear" w:color="auto" w:fill="auto"/>
            <w:hideMark/>
          </w:tcPr>
          <w:p w:rsidR="00D057C0" w:rsidRPr="00594638" w:rsidRDefault="00D057C0" w:rsidP="00D057C0">
            <w:pPr>
              <w:rPr>
                <w:rFonts w:ascii="Arial" w:hAnsi="Arial" w:cs="Arial"/>
                <w:b/>
                <w:bCs/>
                <w:color w:val="000000"/>
                <w:sz w:val="19"/>
                <w:szCs w:val="19"/>
                <w:lang w:val="en-AU"/>
              </w:rPr>
            </w:pPr>
            <w:r w:rsidRPr="00594638">
              <w:rPr>
                <w:rFonts w:ascii="Arial" w:hAnsi="Arial" w:cs="Arial"/>
                <w:b/>
                <w:bCs/>
                <w:color w:val="000000"/>
                <w:sz w:val="19"/>
                <w:szCs w:val="19"/>
                <w:lang w:val="en-AU"/>
              </w:rPr>
              <w:t xml:space="preserve">HCMC University of Medicine and Pharmacy </w:t>
            </w:r>
            <w:r w:rsidRPr="00594638">
              <w:rPr>
                <w:rStyle w:val="FootnoteReference"/>
                <w:rFonts w:cs="Arial"/>
                <w:sz w:val="19"/>
                <w:szCs w:val="19"/>
              </w:rPr>
              <w:t>b</w:t>
            </w:r>
          </w:p>
        </w:tc>
        <w:tc>
          <w:tcPr>
            <w:tcW w:w="1357" w:type="dxa"/>
            <w:tcBorders>
              <w:top w:val="nil"/>
              <w:left w:val="nil"/>
              <w:bottom w:val="nil"/>
              <w:right w:val="single" w:sz="4" w:space="0" w:color="auto"/>
            </w:tcBorders>
            <w:shd w:val="clear" w:color="auto" w:fill="auto"/>
            <w:noWrap/>
            <w:hideMark/>
          </w:tcPr>
          <w:p w:rsidR="00D057C0" w:rsidRPr="00594638" w:rsidRDefault="00D057C0" w:rsidP="00D057C0">
            <w:pPr>
              <w:rPr>
                <w:rFonts w:ascii="Arial" w:hAnsi="Arial" w:cs="Arial"/>
                <w:sz w:val="19"/>
                <w:szCs w:val="19"/>
                <w:lang w:val="en-AU"/>
              </w:rPr>
            </w:pPr>
            <w:r w:rsidRPr="00594638">
              <w:rPr>
                <w:rFonts w:ascii="Arial" w:hAnsi="Arial" w:cs="Arial"/>
                <w:sz w:val="19"/>
                <w:szCs w:val="19"/>
                <w:lang w:val="en-AU"/>
              </w:rPr>
              <w:t> </w:t>
            </w:r>
          </w:p>
        </w:tc>
      </w:tr>
      <w:tr w:rsidR="00D057C0" w:rsidRPr="00E65146" w:rsidTr="00594638">
        <w:trPr>
          <w:trHeight w:val="400"/>
          <w:jc w:val="center"/>
        </w:trPr>
        <w:tc>
          <w:tcPr>
            <w:tcW w:w="269" w:type="dxa"/>
            <w:tcBorders>
              <w:top w:val="nil"/>
              <w:left w:val="single" w:sz="4" w:space="0" w:color="auto"/>
              <w:bottom w:val="nil"/>
              <w:right w:val="nil"/>
            </w:tcBorders>
            <w:shd w:val="clear" w:color="000000" w:fill="F2F2F2"/>
            <w:noWrap/>
            <w:hideMark/>
          </w:tcPr>
          <w:p w:rsidR="00D057C0" w:rsidRPr="00E65146" w:rsidRDefault="00D057C0" w:rsidP="00D057C0">
            <w:pPr>
              <w:rPr>
                <w:rFonts w:ascii="Arial" w:hAnsi="Arial" w:cs="Arial"/>
                <w:sz w:val="19"/>
                <w:szCs w:val="19"/>
                <w:lang w:val="en-AU"/>
              </w:rPr>
            </w:pPr>
            <w:r w:rsidRPr="00E65146">
              <w:rPr>
                <w:rFonts w:ascii="Arial" w:hAnsi="Arial" w:cs="Arial"/>
                <w:sz w:val="19"/>
                <w:szCs w:val="19"/>
                <w:lang w:val="en-AU"/>
              </w:rPr>
              <w:t> </w:t>
            </w:r>
          </w:p>
        </w:tc>
        <w:tc>
          <w:tcPr>
            <w:tcW w:w="2040" w:type="dxa"/>
            <w:tcBorders>
              <w:top w:val="nil"/>
              <w:left w:val="nil"/>
              <w:bottom w:val="nil"/>
              <w:right w:val="nil"/>
            </w:tcBorders>
            <w:shd w:val="clear" w:color="auto" w:fill="auto"/>
            <w:noWrap/>
            <w:hideMark/>
          </w:tcPr>
          <w:p w:rsidR="00D057C0" w:rsidRPr="00594638" w:rsidRDefault="00D057C0" w:rsidP="00D057C0">
            <w:pPr>
              <w:rPr>
                <w:rFonts w:ascii="Arial" w:hAnsi="Arial" w:cs="Arial"/>
                <w:sz w:val="19"/>
                <w:szCs w:val="19"/>
                <w:lang w:val="en-AU"/>
              </w:rPr>
            </w:pPr>
            <w:r w:rsidRPr="00594638">
              <w:rPr>
                <w:rFonts w:ascii="Arial" w:hAnsi="Arial" w:cs="Arial"/>
                <w:sz w:val="19"/>
                <w:szCs w:val="19"/>
                <w:lang w:val="en-AU"/>
              </w:rPr>
              <w:t xml:space="preserve"> 317,240,641,409 </w:t>
            </w:r>
          </w:p>
        </w:tc>
        <w:tc>
          <w:tcPr>
            <w:tcW w:w="1740" w:type="dxa"/>
            <w:tcBorders>
              <w:top w:val="nil"/>
              <w:left w:val="nil"/>
              <w:bottom w:val="nil"/>
              <w:right w:val="nil"/>
            </w:tcBorders>
            <w:shd w:val="clear" w:color="auto" w:fill="auto"/>
            <w:hideMark/>
          </w:tcPr>
          <w:p w:rsidR="00D057C0" w:rsidRPr="00594638" w:rsidRDefault="00D057C0" w:rsidP="00D057C0">
            <w:pPr>
              <w:jc w:val="right"/>
              <w:rPr>
                <w:rFonts w:ascii="Arial" w:hAnsi="Arial" w:cs="Arial"/>
                <w:color w:val="000000"/>
                <w:sz w:val="19"/>
                <w:szCs w:val="19"/>
                <w:lang w:val="en-AU"/>
              </w:rPr>
            </w:pPr>
            <w:r w:rsidRPr="00594638">
              <w:rPr>
                <w:rFonts w:ascii="Arial" w:hAnsi="Arial" w:cs="Arial"/>
                <w:color w:val="000000"/>
                <w:sz w:val="19"/>
                <w:szCs w:val="19"/>
                <w:lang w:val="en-AU"/>
              </w:rPr>
              <w:t xml:space="preserve"> 281,059,149,671 </w:t>
            </w:r>
          </w:p>
        </w:tc>
        <w:tc>
          <w:tcPr>
            <w:tcW w:w="1480" w:type="dxa"/>
            <w:tcBorders>
              <w:top w:val="nil"/>
              <w:left w:val="nil"/>
              <w:bottom w:val="nil"/>
              <w:right w:val="nil"/>
            </w:tcBorders>
            <w:shd w:val="clear" w:color="auto" w:fill="auto"/>
            <w:hideMark/>
          </w:tcPr>
          <w:p w:rsidR="00D057C0" w:rsidRPr="00594638" w:rsidRDefault="00D057C0" w:rsidP="00D057C0">
            <w:pPr>
              <w:jc w:val="center"/>
              <w:rPr>
                <w:rFonts w:ascii="Arial" w:hAnsi="Arial" w:cs="Arial"/>
                <w:color w:val="000000"/>
                <w:sz w:val="19"/>
                <w:szCs w:val="19"/>
                <w:lang w:val="en-AU"/>
              </w:rPr>
            </w:pPr>
            <w:r w:rsidRPr="00594638">
              <w:rPr>
                <w:rFonts w:ascii="Arial" w:hAnsi="Arial" w:cs="Arial"/>
                <w:color w:val="000000"/>
                <w:sz w:val="19"/>
                <w:szCs w:val="19"/>
                <w:lang w:val="en-AU"/>
              </w:rPr>
              <w:t xml:space="preserve">1,113,156,357 </w:t>
            </w:r>
          </w:p>
        </w:tc>
        <w:tc>
          <w:tcPr>
            <w:tcW w:w="1367" w:type="dxa"/>
            <w:tcBorders>
              <w:top w:val="nil"/>
              <w:left w:val="nil"/>
              <w:bottom w:val="nil"/>
              <w:right w:val="nil"/>
            </w:tcBorders>
            <w:shd w:val="clear" w:color="auto" w:fill="auto"/>
            <w:hideMark/>
          </w:tcPr>
          <w:p w:rsidR="00D057C0" w:rsidRPr="00594638" w:rsidRDefault="00D057C0" w:rsidP="00D057C0">
            <w:pPr>
              <w:jc w:val="right"/>
              <w:rPr>
                <w:rFonts w:ascii="Arial" w:hAnsi="Arial" w:cs="Arial"/>
                <w:color w:val="000000"/>
                <w:sz w:val="19"/>
                <w:szCs w:val="19"/>
                <w:lang w:val="en-AU"/>
              </w:rPr>
            </w:pPr>
            <w:r w:rsidRPr="00594638">
              <w:rPr>
                <w:rFonts w:ascii="Arial" w:hAnsi="Arial" w:cs="Arial"/>
                <w:color w:val="000000"/>
                <w:sz w:val="19"/>
                <w:szCs w:val="19"/>
                <w:lang w:val="en-AU"/>
              </w:rPr>
              <w:t>0.4%</w:t>
            </w:r>
          </w:p>
        </w:tc>
        <w:tc>
          <w:tcPr>
            <w:tcW w:w="1367" w:type="dxa"/>
            <w:tcBorders>
              <w:top w:val="nil"/>
              <w:left w:val="nil"/>
              <w:bottom w:val="nil"/>
              <w:right w:val="nil"/>
            </w:tcBorders>
            <w:shd w:val="clear" w:color="auto" w:fill="auto"/>
            <w:hideMark/>
          </w:tcPr>
          <w:p w:rsidR="00D057C0" w:rsidRPr="00594638" w:rsidRDefault="00D057C0" w:rsidP="00D057C0">
            <w:pPr>
              <w:jc w:val="right"/>
              <w:rPr>
                <w:rFonts w:ascii="Arial" w:hAnsi="Arial" w:cs="Arial"/>
                <w:color w:val="000000"/>
                <w:sz w:val="19"/>
                <w:szCs w:val="19"/>
                <w:lang w:val="en-AU"/>
              </w:rPr>
            </w:pPr>
            <w:r w:rsidRPr="00594638">
              <w:rPr>
                <w:rFonts w:ascii="Arial" w:hAnsi="Arial" w:cs="Arial"/>
                <w:color w:val="000000"/>
                <w:sz w:val="19"/>
                <w:szCs w:val="19"/>
                <w:lang w:val="en-AU"/>
              </w:rPr>
              <w:t>0.4%</w:t>
            </w:r>
          </w:p>
        </w:tc>
        <w:tc>
          <w:tcPr>
            <w:tcW w:w="1580" w:type="dxa"/>
            <w:tcBorders>
              <w:top w:val="nil"/>
              <w:left w:val="nil"/>
              <w:bottom w:val="nil"/>
              <w:right w:val="nil"/>
            </w:tcBorders>
            <w:shd w:val="clear" w:color="auto" w:fill="auto"/>
            <w:hideMark/>
          </w:tcPr>
          <w:p w:rsidR="00D057C0" w:rsidRPr="00594638" w:rsidRDefault="00D057C0" w:rsidP="00D057C0">
            <w:pPr>
              <w:jc w:val="right"/>
              <w:rPr>
                <w:rFonts w:ascii="Arial" w:hAnsi="Arial" w:cs="Arial"/>
                <w:color w:val="000000"/>
                <w:sz w:val="19"/>
                <w:szCs w:val="19"/>
                <w:lang w:val="en-AU"/>
              </w:rPr>
            </w:pPr>
            <w:r w:rsidRPr="00594638">
              <w:rPr>
                <w:rFonts w:ascii="Arial" w:hAnsi="Arial" w:cs="Arial"/>
                <w:color w:val="000000"/>
                <w:sz w:val="19"/>
                <w:szCs w:val="19"/>
                <w:lang w:val="en-AU"/>
              </w:rPr>
              <w:t xml:space="preserve">10,481,237,610 </w:t>
            </w:r>
          </w:p>
        </w:tc>
        <w:tc>
          <w:tcPr>
            <w:tcW w:w="1357" w:type="dxa"/>
            <w:tcBorders>
              <w:top w:val="nil"/>
              <w:left w:val="nil"/>
              <w:bottom w:val="nil"/>
              <w:right w:val="single" w:sz="4" w:space="0" w:color="auto"/>
            </w:tcBorders>
            <w:shd w:val="clear" w:color="auto" w:fill="auto"/>
            <w:noWrap/>
            <w:hideMark/>
          </w:tcPr>
          <w:p w:rsidR="00D057C0" w:rsidRPr="00594638" w:rsidRDefault="00D057C0" w:rsidP="00D057C0">
            <w:pPr>
              <w:jc w:val="right"/>
              <w:rPr>
                <w:rFonts w:ascii="Arial" w:hAnsi="Arial" w:cs="Arial"/>
                <w:sz w:val="19"/>
                <w:szCs w:val="19"/>
                <w:lang w:val="en-AU"/>
              </w:rPr>
            </w:pPr>
            <w:r w:rsidRPr="00594638">
              <w:rPr>
                <w:rFonts w:ascii="Arial" w:hAnsi="Arial" w:cs="Arial"/>
                <w:sz w:val="19"/>
                <w:szCs w:val="19"/>
                <w:lang w:val="en-AU"/>
              </w:rPr>
              <w:t>3.3%</w:t>
            </w:r>
          </w:p>
        </w:tc>
      </w:tr>
      <w:tr w:rsidR="00D057C0" w:rsidRPr="00E65146" w:rsidTr="00594638">
        <w:trPr>
          <w:trHeight w:val="302"/>
          <w:jc w:val="center"/>
        </w:trPr>
        <w:tc>
          <w:tcPr>
            <w:tcW w:w="9843" w:type="dxa"/>
            <w:gridSpan w:val="7"/>
            <w:tcBorders>
              <w:top w:val="nil"/>
              <w:left w:val="single" w:sz="4" w:space="0" w:color="auto"/>
              <w:bottom w:val="nil"/>
              <w:right w:val="nil"/>
            </w:tcBorders>
            <w:shd w:val="clear" w:color="auto" w:fill="auto"/>
            <w:hideMark/>
          </w:tcPr>
          <w:p w:rsidR="00D057C0" w:rsidRPr="00594638" w:rsidRDefault="00D057C0" w:rsidP="00D057C0">
            <w:pPr>
              <w:rPr>
                <w:rFonts w:ascii="Arial" w:hAnsi="Arial" w:cs="Arial"/>
                <w:b/>
                <w:bCs/>
                <w:color w:val="000000"/>
                <w:sz w:val="19"/>
                <w:szCs w:val="19"/>
                <w:lang w:val="en-AU"/>
              </w:rPr>
            </w:pPr>
            <w:r w:rsidRPr="00594638">
              <w:rPr>
                <w:rFonts w:ascii="Arial" w:hAnsi="Arial" w:cs="Arial"/>
                <w:b/>
                <w:bCs/>
                <w:color w:val="000000"/>
                <w:sz w:val="19"/>
                <w:szCs w:val="19"/>
                <w:lang w:val="en-AU"/>
              </w:rPr>
              <w:t xml:space="preserve">Can Tho University of Medicine and Pharmacy </w:t>
            </w:r>
          </w:p>
        </w:tc>
        <w:tc>
          <w:tcPr>
            <w:tcW w:w="1357" w:type="dxa"/>
            <w:tcBorders>
              <w:top w:val="nil"/>
              <w:left w:val="nil"/>
              <w:bottom w:val="nil"/>
              <w:right w:val="single" w:sz="4" w:space="0" w:color="auto"/>
            </w:tcBorders>
            <w:shd w:val="clear" w:color="auto" w:fill="auto"/>
            <w:noWrap/>
            <w:hideMark/>
          </w:tcPr>
          <w:p w:rsidR="00D057C0" w:rsidRPr="00594638" w:rsidRDefault="00D057C0" w:rsidP="00D057C0">
            <w:pPr>
              <w:rPr>
                <w:rFonts w:ascii="Arial" w:hAnsi="Arial" w:cs="Arial"/>
                <w:sz w:val="19"/>
                <w:szCs w:val="19"/>
                <w:lang w:val="en-AU"/>
              </w:rPr>
            </w:pPr>
            <w:r w:rsidRPr="00594638">
              <w:rPr>
                <w:rFonts w:ascii="Arial" w:hAnsi="Arial" w:cs="Arial"/>
                <w:sz w:val="19"/>
                <w:szCs w:val="19"/>
                <w:lang w:val="en-AU"/>
              </w:rPr>
              <w:t> </w:t>
            </w:r>
          </w:p>
        </w:tc>
      </w:tr>
      <w:tr w:rsidR="00D057C0" w:rsidRPr="00E65146" w:rsidTr="00594638">
        <w:trPr>
          <w:trHeight w:val="400"/>
          <w:jc w:val="center"/>
        </w:trPr>
        <w:tc>
          <w:tcPr>
            <w:tcW w:w="269" w:type="dxa"/>
            <w:tcBorders>
              <w:top w:val="nil"/>
              <w:left w:val="single" w:sz="4" w:space="0" w:color="auto"/>
              <w:bottom w:val="nil"/>
              <w:right w:val="nil"/>
            </w:tcBorders>
            <w:shd w:val="clear" w:color="000000" w:fill="F2F2F2"/>
            <w:noWrap/>
            <w:hideMark/>
          </w:tcPr>
          <w:p w:rsidR="00D057C0" w:rsidRPr="00E65146" w:rsidRDefault="00D057C0" w:rsidP="00D057C0">
            <w:pPr>
              <w:rPr>
                <w:rFonts w:ascii="Arial" w:hAnsi="Arial" w:cs="Arial"/>
                <w:sz w:val="19"/>
                <w:szCs w:val="19"/>
                <w:lang w:val="en-AU"/>
              </w:rPr>
            </w:pPr>
            <w:r w:rsidRPr="00E65146">
              <w:rPr>
                <w:rFonts w:ascii="Arial" w:hAnsi="Arial" w:cs="Arial"/>
                <w:sz w:val="19"/>
                <w:szCs w:val="19"/>
                <w:lang w:val="en-AU"/>
              </w:rPr>
              <w:t> </w:t>
            </w:r>
          </w:p>
        </w:tc>
        <w:tc>
          <w:tcPr>
            <w:tcW w:w="2040" w:type="dxa"/>
            <w:tcBorders>
              <w:top w:val="nil"/>
              <w:left w:val="nil"/>
              <w:bottom w:val="nil"/>
              <w:right w:val="nil"/>
            </w:tcBorders>
            <w:shd w:val="clear" w:color="auto" w:fill="auto"/>
            <w:noWrap/>
            <w:hideMark/>
          </w:tcPr>
          <w:p w:rsidR="00D057C0" w:rsidRPr="00594638" w:rsidRDefault="00D057C0" w:rsidP="00D057C0">
            <w:pPr>
              <w:rPr>
                <w:rFonts w:ascii="Arial" w:hAnsi="Arial" w:cs="Arial"/>
                <w:sz w:val="19"/>
                <w:szCs w:val="19"/>
                <w:lang w:val="en-AU"/>
              </w:rPr>
            </w:pPr>
            <w:r w:rsidRPr="00594638">
              <w:rPr>
                <w:rFonts w:ascii="Arial" w:hAnsi="Arial" w:cs="Arial"/>
                <w:sz w:val="19"/>
                <w:szCs w:val="19"/>
                <w:lang w:val="en-AU"/>
              </w:rPr>
              <w:t xml:space="preserve"> 222,378,192,572   </w:t>
            </w:r>
          </w:p>
        </w:tc>
        <w:tc>
          <w:tcPr>
            <w:tcW w:w="1740" w:type="dxa"/>
            <w:tcBorders>
              <w:top w:val="nil"/>
              <w:left w:val="nil"/>
              <w:bottom w:val="nil"/>
              <w:right w:val="nil"/>
            </w:tcBorders>
            <w:shd w:val="clear" w:color="auto" w:fill="auto"/>
            <w:noWrap/>
            <w:hideMark/>
          </w:tcPr>
          <w:p w:rsidR="00D057C0" w:rsidRPr="00594638" w:rsidRDefault="00D057C0" w:rsidP="00D057C0">
            <w:pPr>
              <w:jc w:val="right"/>
              <w:rPr>
                <w:rFonts w:ascii="Arial" w:hAnsi="Arial" w:cs="Arial"/>
                <w:sz w:val="19"/>
                <w:szCs w:val="19"/>
                <w:lang w:val="en-AU"/>
              </w:rPr>
            </w:pPr>
            <w:r w:rsidRPr="00594638">
              <w:rPr>
                <w:rFonts w:ascii="Arial" w:hAnsi="Arial" w:cs="Arial"/>
                <w:sz w:val="19"/>
                <w:szCs w:val="19"/>
                <w:lang w:val="en-AU"/>
              </w:rPr>
              <w:t xml:space="preserve"> 91,905,435,606   </w:t>
            </w:r>
          </w:p>
        </w:tc>
        <w:tc>
          <w:tcPr>
            <w:tcW w:w="1480" w:type="dxa"/>
            <w:tcBorders>
              <w:top w:val="nil"/>
              <w:left w:val="nil"/>
              <w:bottom w:val="nil"/>
              <w:right w:val="nil"/>
            </w:tcBorders>
            <w:shd w:val="clear" w:color="auto" w:fill="auto"/>
            <w:noWrap/>
            <w:hideMark/>
          </w:tcPr>
          <w:p w:rsidR="00D057C0" w:rsidRPr="00594638" w:rsidRDefault="00D057C0" w:rsidP="00D057C0">
            <w:pPr>
              <w:rPr>
                <w:rFonts w:ascii="Arial" w:hAnsi="Arial" w:cs="Arial"/>
                <w:sz w:val="19"/>
                <w:szCs w:val="19"/>
                <w:lang w:val="en-AU"/>
              </w:rPr>
            </w:pPr>
            <w:r w:rsidRPr="00594638">
              <w:rPr>
                <w:rFonts w:ascii="Arial" w:hAnsi="Arial" w:cs="Arial"/>
                <w:sz w:val="19"/>
                <w:szCs w:val="19"/>
                <w:lang w:val="en-AU"/>
              </w:rPr>
              <w:t xml:space="preserve">  419,265,490   </w:t>
            </w:r>
          </w:p>
        </w:tc>
        <w:tc>
          <w:tcPr>
            <w:tcW w:w="1367" w:type="dxa"/>
            <w:tcBorders>
              <w:top w:val="nil"/>
              <w:left w:val="nil"/>
              <w:bottom w:val="nil"/>
              <w:right w:val="nil"/>
            </w:tcBorders>
            <w:shd w:val="clear" w:color="auto" w:fill="auto"/>
            <w:hideMark/>
          </w:tcPr>
          <w:p w:rsidR="00D057C0" w:rsidRPr="00594638" w:rsidRDefault="00D057C0" w:rsidP="00D057C0">
            <w:pPr>
              <w:jc w:val="right"/>
              <w:rPr>
                <w:rFonts w:ascii="Arial" w:hAnsi="Arial" w:cs="Arial"/>
                <w:color w:val="000000"/>
                <w:sz w:val="19"/>
                <w:szCs w:val="19"/>
                <w:lang w:val="en-AU"/>
              </w:rPr>
            </w:pPr>
            <w:r w:rsidRPr="00594638">
              <w:rPr>
                <w:rFonts w:ascii="Arial" w:hAnsi="Arial" w:cs="Arial"/>
                <w:color w:val="000000"/>
                <w:sz w:val="19"/>
                <w:szCs w:val="19"/>
                <w:lang w:val="en-AU"/>
              </w:rPr>
              <w:t>0.2%</w:t>
            </w:r>
          </w:p>
        </w:tc>
        <w:tc>
          <w:tcPr>
            <w:tcW w:w="1367" w:type="dxa"/>
            <w:tcBorders>
              <w:top w:val="nil"/>
              <w:left w:val="nil"/>
              <w:bottom w:val="nil"/>
              <w:right w:val="nil"/>
            </w:tcBorders>
            <w:shd w:val="clear" w:color="auto" w:fill="auto"/>
            <w:hideMark/>
          </w:tcPr>
          <w:p w:rsidR="00D057C0" w:rsidRPr="00594638" w:rsidRDefault="00D057C0" w:rsidP="00D057C0">
            <w:pPr>
              <w:jc w:val="right"/>
              <w:rPr>
                <w:rFonts w:ascii="Arial" w:hAnsi="Arial" w:cs="Arial"/>
                <w:color w:val="000000"/>
                <w:sz w:val="19"/>
                <w:szCs w:val="19"/>
                <w:lang w:val="en-AU"/>
              </w:rPr>
            </w:pPr>
            <w:r w:rsidRPr="00594638">
              <w:rPr>
                <w:rFonts w:ascii="Arial" w:hAnsi="Arial" w:cs="Arial"/>
                <w:color w:val="000000"/>
                <w:sz w:val="19"/>
                <w:szCs w:val="19"/>
                <w:lang w:val="en-AU"/>
              </w:rPr>
              <w:t>0.5%</w:t>
            </w:r>
          </w:p>
        </w:tc>
        <w:tc>
          <w:tcPr>
            <w:tcW w:w="1580" w:type="dxa"/>
            <w:tcBorders>
              <w:top w:val="nil"/>
              <w:left w:val="nil"/>
              <w:bottom w:val="nil"/>
              <w:right w:val="nil"/>
            </w:tcBorders>
            <w:shd w:val="clear" w:color="auto" w:fill="auto"/>
            <w:hideMark/>
          </w:tcPr>
          <w:p w:rsidR="00D057C0" w:rsidRPr="00594638" w:rsidRDefault="00D057C0" w:rsidP="00D057C0">
            <w:pPr>
              <w:jc w:val="right"/>
              <w:rPr>
                <w:rFonts w:ascii="Arial" w:hAnsi="Arial" w:cs="Arial"/>
                <w:color w:val="000000"/>
                <w:sz w:val="19"/>
                <w:szCs w:val="19"/>
                <w:lang w:val="en-AU"/>
              </w:rPr>
            </w:pPr>
            <w:r w:rsidRPr="00594638">
              <w:rPr>
                <w:rFonts w:ascii="Arial" w:hAnsi="Arial" w:cs="Arial"/>
                <w:color w:val="000000"/>
                <w:sz w:val="19"/>
                <w:szCs w:val="19"/>
                <w:lang w:val="en-AU"/>
              </w:rPr>
              <w:t xml:space="preserve">14,820,321,065 </w:t>
            </w:r>
          </w:p>
        </w:tc>
        <w:tc>
          <w:tcPr>
            <w:tcW w:w="1357" w:type="dxa"/>
            <w:tcBorders>
              <w:top w:val="nil"/>
              <w:left w:val="nil"/>
              <w:bottom w:val="nil"/>
              <w:right w:val="single" w:sz="4" w:space="0" w:color="auto"/>
            </w:tcBorders>
            <w:shd w:val="clear" w:color="auto" w:fill="auto"/>
            <w:noWrap/>
            <w:hideMark/>
          </w:tcPr>
          <w:p w:rsidR="00D057C0" w:rsidRPr="00594638" w:rsidRDefault="00D057C0" w:rsidP="00D057C0">
            <w:pPr>
              <w:jc w:val="right"/>
              <w:rPr>
                <w:rFonts w:ascii="Arial" w:hAnsi="Arial" w:cs="Arial"/>
                <w:sz w:val="19"/>
                <w:szCs w:val="19"/>
                <w:lang w:val="en-AU"/>
              </w:rPr>
            </w:pPr>
            <w:r w:rsidRPr="00594638">
              <w:rPr>
                <w:rFonts w:ascii="Arial" w:hAnsi="Arial" w:cs="Arial"/>
                <w:sz w:val="19"/>
                <w:szCs w:val="19"/>
                <w:lang w:val="en-AU"/>
              </w:rPr>
              <w:t>6.7%</w:t>
            </w:r>
          </w:p>
        </w:tc>
      </w:tr>
      <w:tr w:rsidR="00D057C0" w:rsidRPr="00E65146" w:rsidTr="00594638">
        <w:trPr>
          <w:trHeight w:val="312"/>
          <w:jc w:val="center"/>
        </w:trPr>
        <w:tc>
          <w:tcPr>
            <w:tcW w:w="9843" w:type="dxa"/>
            <w:gridSpan w:val="7"/>
            <w:tcBorders>
              <w:top w:val="nil"/>
              <w:left w:val="single" w:sz="4" w:space="0" w:color="auto"/>
              <w:bottom w:val="nil"/>
              <w:right w:val="nil"/>
            </w:tcBorders>
            <w:shd w:val="clear" w:color="auto" w:fill="auto"/>
            <w:hideMark/>
          </w:tcPr>
          <w:p w:rsidR="00D057C0" w:rsidRPr="00594638" w:rsidRDefault="00D057C0" w:rsidP="00D057C0">
            <w:pPr>
              <w:rPr>
                <w:rFonts w:ascii="Arial" w:hAnsi="Arial" w:cs="Arial"/>
                <w:b/>
                <w:bCs/>
                <w:color w:val="000000"/>
                <w:sz w:val="19"/>
                <w:szCs w:val="19"/>
                <w:lang w:val="en-AU"/>
              </w:rPr>
            </w:pPr>
            <w:r w:rsidRPr="00594638">
              <w:rPr>
                <w:rFonts w:ascii="Arial" w:hAnsi="Arial" w:cs="Arial"/>
                <w:b/>
                <w:bCs/>
                <w:color w:val="000000"/>
                <w:sz w:val="19"/>
                <w:szCs w:val="19"/>
                <w:lang w:val="en-AU"/>
              </w:rPr>
              <w:t>Da Nang University of Medical Technology and Pharmacy</w:t>
            </w:r>
          </w:p>
        </w:tc>
        <w:tc>
          <w:tcPr>
            <w:tcW w:w="1357" w:type="dxa"/>
            <w:tcBorders>
              <w:top w:val="nil"/>
              <w:left w:val="nil"/>
              <w:bottom w:val="nil"/>
              <w:right w:val="single" w:sz="4" w:space="0" w:color="auto"/>
            </w:tcBorders>
            <w:shd w:val="clear" w:color="auto" w:fill="auto"/>
            <w:noWrap/>
            <w:hideMark/>
          </w:tcPr>
          <w:p w:rsidR="00D057C0" w:rsidRPr="00594638" w:rsidRDefault="00D057C0" w:rsidP="00D057C0">
            <w:pPr>
              <w:rPr>
                <w:rFonts w:ascii="Arial" w:hAnsi="Arial" w:cs="Arial"/>
                <w:sz w:val="19"/>
                <w:szCs w:val="19"/>
                <w:lang w:val="en-AU"/>
              </w:rPr>
            </w:pPr>
            <w:r w:rsidRPr="00594638">
              <w:rPr>
                <w:rFonts w:ascii="Arial" w:hAnsi="Arial" w:cs="Arial"/>
                <w:sz w:val="19"/>
                <w:szCs w:val="19"/>
                <w:lang w:val="en-AU"/>
              </w:rPr>
              <w:t> </w:t>
            </w:r>
          </w:p>
        </w:tc>
      </w:tr>
      <w:tr w:rsidR="00D057C0" w:rsidRPr="00E65146" w:rsidTr="00594638">
        <w:trPr>
          <w:trHeight w:val="288"/>
          <w:jc w:val="center"/>
        </w:trPr>
        <w:tc>
          <w:tcPr>
            <w:tcW w:w="269" w:type="dxa"/>
            <w:tcBorders>
              <w:top w:val="nil"/>
              <w:left w:val="single" w:sz="4" w:space="0" w:color="auto"/>
              <w:bottom w:val="nil"/>
              <w:right w:val="nil"/>
            </w:tcBorders>
            <w:shd w:val="clear" w:color="000000" w:fill="F2F2F2"/>
            <w:noWrap/>
            <w:hideMark/>
          </w:tcPr>
          <w:p w:rsidR="00D057C0" w:rsidRPr="00E65146" w:rsidRDefault="00D057C0" w:rsidP="00D057C0">
            <w:pPr>
              <w:rPr>
                <w:rFonts w:ascii="Arial" w:hAnsi="Arial" w:cs="Arial"/>
                <w:sz w:val="19"/>
                <w:szCs w:val="19"/>
                <w:lang w:val="en-AU"/>
              </w:rPr>
            </w:pPr>
            <w:r w:rsidRPr="00E65146">
              <w:rPr>
                <w:rFonts w:ascii="Arial" w:hAnsi="Arial" w:cs="Arial"/>
                <w:sz w:val="19"/>
                <w:szCs w:val="19"/>
                <w:lang w:val="en-AU"/>
              </w:rPr>
              <w:t> </w:t>
            </w:r>
          </w:p>
        </w:tc>
        <w:tc>
          <w:tcPr>
            <w:tcW w:w="2040" w:type="dxa"/>
            <w:tcBorders>
              <w:top w:val="nil"/>
              <w:left w:val="nil"/>
              <w:bottom w:val="nil"/>
              <w:right w:val="nil"/>
            </w:tcBorders>
            <w:shd w:val="clear" w:color="auto" w:fill="auto"/>
            <w:noWrap/>
            <w:hideMark/>
          </w:tcPr>
          <w:p w:rsidR="00D057C0" w:rsidRPr="00594638" w:rsidRDefault="00D057C0" w:rsidP="00D057C0">
            <w:pPr>
              <w:jc w:val="right"/>
              <w:rPr>
                <w:rFonts w:ascii="Arial" w:hAnsi="Arial" w:cs="Arial"/>
                <w:sz w:val="19"/>
                <w:szCs w:val="19"/>
                <w:lang w:val="en-AU"/>
              </w:rPr>
            </w:pPr>
            <w:r w:rsidRPr="00594638">
              <w:rPr>
                <w:rFonts w:ascii="Arial" w:hAnsi="Arial" w:cs="Arial"/>
                <w:sz w:val="19"/>
                <w:szCs w:val="19"/>
                <w:lang w:val="en-AU"/>
              </w:rPr>
              <w:t>69,523,405,642</w:t>
            </w:r>
          </w:p>
        </w:tc>
        <w:tc>
          <w:tcPr>
            <w:tcW w:w="1740" w:type="dxa"/>
            <w:tcBorders>
              <w:top w:val="nil"/>
              <w:left w:val="nil"/>
              <w:bottom w:val="nil"/>
              <w:right w:val="nil"/>
            </w:tcBorders>
            <w:shd w:val="clear" w:color="auto" w:fill="auto"/>
            <w:hideMark/>
          </w:tcPr>
          <w:p w:rsidR="00D057C0" w:rsidRPr="00594638" w:rsidRDefault="00D057C0" w:rsidP="00D057C0">
            <w:pPr>
              <w:jc w:val="right"/>
              <w:rPr>
                <w:rFonts w:ascii="Arial" w:hAnsi="Arial" w:cs="Arial"/>
                <w:color w:val="000000"/>
                <w:sz w:val="19"/>
                <w:szCs w:val="19"/>
                <w:lang w:val="en-AU"/>
              </w:rPr>
            </w:pPr>
            <w:r w:rsidRPr="00594638">
              <w:rPr>
                <w:rFonts w:ascii="Arial" w:hAnsi="Arial" w:cs="Arial"/>
                <w:color w:val="000000"/>
                <w:sz w:val="19"/>
                <w:szCs w:val="19"/>
                <w:lang w:val="en-AU"/>
              </w:rPr>
              <w:t>86,491,202,534</w:t>
            </w:r>
          </w:p>
        </w:tc>
        <w:tc>
          <w:tcPr>
            <w:tcW w:w="1480" w:type="dxa"/>
            <w:tcBorders>
              <w:top w:val="nil"/>
              <w:left w:val="nil"/>
              <w:bottom w:val="nil"/>
              <w:right w:val="nil"/>
            </w:tcBorders>
            <w:shd w:val="clear" w:color="auto" w:fill="auto"/>
            <w:hideMark/>
          </w:tcPr>
          <w:p w:rsidR="00D057C0" w:rsidRPr="00594638" w:rsidRDefault="00D057C0" w:rsidP="00D057C0">
            <w:pPr>
              <w:jc w:val="right"/>
              <w:rPr>
                <w:rFonts w:ascii="Arial" w:hAnsi="Arial" w:cs="Arial"/>
                <w:color w:val="000000"/>
                <w:sz w:val="19"/>
                <w:szCs w:val="19"/>
                <w:lang w:val="en-AU"/>
              </w:rPr>
            </w:pPr>
            <w:r w:rsidRPr="00594638">
              <w:rPr>
                <w:rFonts w:ascii="Arial" w:hAnsi="Arial" w:cs="Arial"/>
                <w:color w:val="000000"/>
                <w:sz w:val="19"/>
                <w:szCs w:val="19"/>
                <w:lang w:val="en-AU"/>
              </w:rPr>
              <w:t>287,081,000</w:t>
            </w:r>
          </w:p>
        </w:tc>
        <w:tc>
          <w:tcPr>
            <w:tcW w:w="1367" w:type="dxa"/>
            <w:tcBorders>
              <w:top w:val="nil"/>
              <w:left w:val="nil"/>
              <w:bottom w:val="nil"/>
              <w:right w:val="nil"/>
            </w:tcBorders>
            <w:shd w:val="clear" w:color="auto" w:fill="auto"/>
            <w:hideMark/>
          </w:tcPr>
          <w:p w:rsidR="00D057C0" w:rsidRPr="00594638" w:rsidRDefault="00D057C0" w:rsidP="00D057C0">
            <w:pPr>
              <w:jc w:val="right"/>
              <w:rPr>
                <w:rFonts w:ascii="Arial" w:hAnsi="Arial" w:cs="Arial"/>
                <w:color w:val="000000"/>
                <w:sz w:val="19"/>
                <w:szCs w:val="19"/>
                <w:lang w:val="en-AU"/>
              </w:rPr>
            </w:pPr>
            <w:r w:rsidRPr="00594638">
              <w:rPr>
                <w:rFonts w:ascii="Arial" w:hAnsi="Arial" w:cs="Arial"/>
                <w:color w:val="000000"/>
                <w:sz w:val="19"/>
                <w:szCs w:val="19"/>
                <w:lang w:val="en-AU"/>
              </w:rPr>
              <w:t>0.4%</w:t>
            </w:r>
          </w:p>
        </w:tc>
        <w:tc>
          <w:tcPr>
            <w:tcW w:w="1367" w:type="dxa"/>
            <w:tcBorders>
              <w:top w:val="nil"/>
              <w:left w:val="nil"/>
              <w:bottom w:val="nil"/>
              <w:right w:val="nil"/>
            </w:tcBorders>
            <w:shd w:val="clear" w:color="auto" w:fill="auto"/>
            <w:hideMark/>
          </w:tcPr>
          <w:p w:rsidR="00D057C0" w:rsidRPr="00594638" w:rsidRDefault="00D057C0" w:rsidP="00D057C0">
            <w:pPr>
              <w:jc w:val="right"/>
              <w:rPr>
                <w:rFonts w:ascii="Arial" w:hAnsi="Arial" w:cs="Arial"/>
                <w:color w:val="000000"/>
                <w:sz w:val="19"/>
                <w:szCs w:val="19"/>
                <w:lang w:val="en-AU"/>
              </w:rPr>
            </w:pPr>
            <w:r w:rsidRPr="00594638">
              <w:rPr>
                <w:rFonts w:ascii="Arial" w:hAnsi="Arial" w:cs="Arial"/>
                <w:color w:val="000000"/>
                <w:sz w:val="19"/>
                <w:szCs w:val="19"/>
                <w:lang w:val="en-AU"/>
              </w:rPr>
              <w:t>0.3%</w:t>
            </w:r>
          </w:p>
        </w:tc>
        <w:tc>
          <w:tcPr>
            <w:tcW w:w="1580" w:type="dxa"/>
            <w:tcBorders>
              <w:top w:val="nil"/>
              <w:left w:val="nil"/>
              <w:bottom w:val="nil"/>
              <w:right w:val="nil"/>
            </w:tcBorders>
            <w:shd w:val="clear" w:color="auto" w:fill="auto"/>
            <w:hideMark/>
          </w:tcPr>
          <w:p w:rsidR="00D057C0" w:rsidRPr="00594638" w:rsidRDefault="00D057C0" w:rsidP="00D057C0">
            <w:pPr>
              <w:jc w:val="right"/>
              <w:rPr>
                <w:rFonts w:ascii="Arial" w:hAnsi="Arial" w:cs="Arial"/>
                <w:color w:val="000000"/>
                <w:sz w:val="19"/>
                <w:szCs w:val="19"/>
                <w:lang w:val="en-AU"/>
              </w:rPr>
            </w:pPr>
            <w:r w:rsidRPr="00594638">
              <w:rPr>
                <w:rFonts w:ascii="Arial" w:hAnsi="Arial" w:cs="Arial"/>
                <w:color w:val="000000"/>
                <w:sz w:val="19"/>
                <w:szCs w:val="19"/>
                <w:lang w:val="en-AU"/>
              </w:rPr>
              <w:t>2,149,520,553</w:t>
            </w:r>
          </w:p>
        </w:tc>
        <w:tc>
          <w:tcPr>
            <w:tcW w:w="1357" w:type="dxa"/>
            <w:tcBorders>
              <w:top w:val="nil"/>
              <w:left w:val="nil"/>
              <w:bottom w:val="nil"/>
              <w:right w:val="single" w:sz="4" w:space="0" w:color="auto"/>
            </w:tcBorders>
            <w:shd w:val="clear" w:color="auto" w:fill="auto"/>
            <w:noWrap/>
            <w:hideMark/>
          </w:tcPr>
          <w:p w:rsidR="00D057C0" w:rsidRPr="00594638" w:rsidRDefault="00D057C0" w:rsidP="00D057C0">
            <w:pPr>
              <w:jc w:val="right"/>
              <w:rPr>
                <w:rFonts w:ascii="Arial" w:hAnsi="Arial" w:cs="Arial"/>
                <w:sz w:val="19"/>
                <w:szCs w:val="19"/>
                <w:lang w:val="en-AU"/>
              </w:rPr>
            </w:pPr>
            <w:r w:rsidRPr="00594638">
              <w:rPr>
                <w:rFonts w:ascii="Arial" w:hAnsi="Arial" w:cs="Arial"/>
                <w:sz w:val="19"/>
                <w:szCs w:val="19"/>
                <w:lang w:val="en-AU"/>
              </w:rPr>
              <w:t>3.1%</w:t>
            </w:r>
          </w:p>
        </w:tc>
      </w:tr>
      <w:tr w:rsidR="00D057C0" w:rsidRPr="00E65146" w:rsidTr="00594638">
        <w:trPr>
          <w:trHeight w:val="309"/>
          <w:jc w:val="center"/>
        </w:trPr>
        <w:tc>
          <w:tcPr>
            <w:tcW w:w="9843" w:type="dxa"/>
            <w:gridSpan w:val="7"/>
            <w:tcBorders>
              <w:top w:val="nil"/>
              <w:left w:val="single" w:sz="4" w:space="0" w:color="auto"/>
              <w:bottom w:val="nil"/>
              <w:right w:val="nil"/>
            </w:tcBorders>
            <w:shd w:val="clear" w:color="auto" w:fill="auto"/>
            <w:hideMark/>
          </w:tcPr>
          <w:p w:rsidR="00D057C0" w:rsidRPr="00594638" w:rsidRDefault="00D057C0" w:rsidP="00D057C0">
            <w:pPr>
              <w:rPr>
                <w:rFonts w:ascii="Arial" w:hAnsi="Arial" w:cs="Arial"/>
                <w:b/>
                <w:bCs/>
                <w:color w:val="000000"/>
                <w:sz w:val="19"/>
                <w:szCs w:val="19"/>
                <w:lang w:val="en-AU"/>
              </w:rPr>
            </w:pPr>
            <w:r w:rsidRPr="00594638">
              <w:rPr>
                <w:rFonts w:ascii="Arial" w:hAnsi="Arial" w:cs="Arial"/>
                <w:b/>
                <w:bCs/>
                <w:color w:val="000000"/>
                <w:sz w:val="19"/>
                <w:szCs w:val="19"/>
                <w:lang w:val="en-AU"/>
              </w:rPr>
              <w:t>Ha Naoi Medical University</w:t>
            </w:r>
          </w:p>
        </w:tc>
        <w:tc>
          <w:tcPr>
            <w:tcW w:w="1357" w:type="dxa"/>
            <w:tcBorders>
              <w:top w:val="nil"/>
              <w:left w:val="nil"/>
              <w:bottom w:val="nil"/>
              <w:right w:val="single" w:sz="4" w:space="0" w:color="auto"/>
            </w:tcBorders>
            <w:shd w:val="clear" w:color="auto" w:fill="auto"/>
            <w:noWrap/>
            <w:hideMark/>
          </w:tcPr>
          <w:p w:rsidR="00D057C0" w:rsidRPr="00594638" w:rsidRDefault="00D057C0" w:rsidP="00D057C0">
            <w:pPr>
              <w:rPr>
                <w:rFonts w:ascii="Arial" w:hAnsi="Arial" w:cs="Arial"/>
                <w:sz w:val="19"/>
                <w:szCs w:val="19"/>
                <w:lang w:val="en-AU"/>
              </w:rPr>
            </w:pPr>
            <w:r w:rsidRPr="00594638">
              <w:rPr>
                <w:rFonts w:ascii="Arial" w:hAnsi="Arial" w:cs="Arial"/>
                <w:sz w:val="19"/>
                <w:szCs w:val="19"/>
                <w:lang w:val="en-AU"/>
              </w:rPr>
              <w:t> </w:t>
            </w:r>
          </w:p>
        </w:tc>
      </w:tr>
      <w:tr w:rsidR="00D057C0" w:rsidRPr="00E65146" w:rsidTr="00594638">
        <w:trPr>
          <w:trHeight w:val="400"/>
          <w:jc w:val="center"/>
        </w:trPr>
        <w:tc>
          <w:tcPr>
            <w:tcW w:w="269" w:type="dxa"/>
            <w:tcBorders>
              <w:top w:val="nil"/>
              <w:left w:val="single" w:sz="4" w:space="0" w:color="auto"/>
              <w:bottom w:val="nil"/>
              <w:right w:val="nil"/>
            </w:tcBorders>
            <w:shd w:val="clear" w:color="000000" w:fill="F2F2F2"/>
            <w:noWrap/>
            <w:hideMark/>
          </w:tcPr>
          <w:p w:rsidR="00D057C0" w:rsidRPr="00E65146" w:rsidRDefault="00D057C0" w:rsidP="00D057C0">
            <w:pPr>
              <w:rPr>
                <w:rFonts w:ascii="Arial" w:hAnsi="Arial" w:cs="Arial"/>
                <w:sz w:val="19"/>
                <w:szCs w:val="19"/>
                <w:lang w:val="en-AU"/>
              </w:rPr>
            </w:pPr>
            <w:r w:rsidRPr="00E65146">
              <w:rPr>
                <w:rFonts w:ascii="Arial" w:hAnsi="Arial" w:cs="Arial"/>
                <w:sz w:val="19"/>
                <w:szCs w:val="19"/>
                <w:lang w:val="en-AU"/>
              </w:rPr>
              <w:t> </w:t>
            </w:r>
          </w:p>
        </w:tc>
        <w:tc>
          <w:tcPr>
            <w:tcW w:w="2040" w:type="dxa"/>
            <w:tcBorders>
              <w:top w:val="nil"/>
              <w:left w:val="nil"/>
              <w:bottom w:val="nil"/>
              <w:right w:val="nil"/>
            </w:tcBorders>
            <w:shd w:val="clear" w:color="auto" w:fill="auto"/>
            <w:noWrap/>
            <w:hideMark/>
          </w:tcPr>
          <w:p w:rsidR="00D057C0" w:rsidRPr="00594638" w:rsidRDefault="00D057C0" w:rsidP="00D057C0">
            <w:pPr>
              <w:rPr>
                <w:rFonts w:ascii="Arial" w:hAnsi="Arial" w:cs="Arial"/>
                <w:sz w:val="19"/>
                <w:szCs w:val="19"/>
                <w:lang w:val="en-AU"/>
              </w:rPr>
            </w:pPr>
            <w:r w:rsidRPr="00594638">
              <w:rPr>
                <w:rFonts w:ascii="Arial" w:hAnsi="Arial" w:cs="Arial"/>
                <w:sz w:val="19"/>
                <w:szCs w:val="19"/>
                <w:lang w:val="en-AU"/>
              </w:rPr>
              <w:t xml:space="preserve"> 260,185,164,036 </w:t>
            </w:r>
          </w:p>
        </w:tc>
        <w:tc>
          <w:tcPr>
            <w:tcW w:w="1740" w:type="dxa"/>
            <w:tcBorders>
              <w:top w:val="nil"/>
              <w:left w:val="nil"/>
              <w:bottom w:val="nil"/>
              <w:right w:val="nil"/>
            </w:tcBorders>
            <w:shd w:val="clear" w:color="auto" w:fill="auto"/>
            <w:hideMark/>
          </w:tcPr>
          <w:p w:rsidR="00D057C0" w:rsidRPr="00594638" w:rsidRDefault="00D057C0" w:rsidP="00D057C0">
            <w:pPr>
              <w:jc w:val="right"/>
              <w:rPr>
                <w:rFonts w:ascii="Arial" w:hAnsi="Arial" w:cs="Arial"/>
                <w:color w:val="000000"/>
                <w:sz w:val="19"/>
                <w:szCs w:val="19"/>
                <w:lang w:val="en-AU"/>
              </w:rPr>
            </w:pPr>
            <w:r w:rsidRPr="00594638">
              <w:rPr>
                <w:rFonts w:ascii="Arial" w:hAnsi="Arial" w:cs="Arial"/>
                <w:color w:val="000000"/>
                <w:sz w:val="19"/>
                <w:szCs w:val="19"/>
                <w:lang w:val="en-AU"/>
              </w:rPr>
              <w:t xml:space="preserve"> 11,449,789,607 </w:t>
            </w:r>
          </w:p>
        </w:tc>
        <w:tc>
          <w:tcPr>
            <w:tcW w:w="1480" w:type="dxa"/>
            <w:tcBorders>
              <w:top w:val="nil"/>
              <w:left w:val="nil"/>
              <w:bottom w:val="nil"/>
              <w:right w:val="nil"/>
            </w:tcBorders>
            <w:shd w:val="clear" w:color="auto" w:fill="auto"/>
            <w:hideMark/>
          </w:tcPr>
          <w:p w:rsidR="00D057C0" w:rsidRPr="00594638" w:rsidRDefault="00D057C0" w:rsidP="00D057C0">
            <w:pPr>
              <w:jc w:val="right"/>
              <w:rPr>
                <w:rFonts w:ascii="Arial" w:hAnsi="Arial" w:cs="Arial"/>
                <w:color w:val="000000"/>
                <w:sz w:val="19"/>
                <w:szCs w:val="19"/>
                <w:lang w:val="en-AU"/>
              </w:rPr>
            </w:pPr>
            <w:r w:rsidRPr="00594638">
              <w:rPr>
                <w:rFonts w:ascii="Arial" w:hAnsi="Arial" w:cs="Arial"/>
                <w:color w:val="000000"/>
                <w:sz w:val="19"/>
                <w:szCs w:val="19"/>
                <w:lang w:val="en-AU"/>
              </w:rPr>
              <w:t xml:space="preserve">4,500,000,000 </w:t>
            </w:r>
          </w:p>
        </w:tc>
        <w:tc>
          <w:tcPr>
            <w:tcW w:w="1367" w:type="dxa"/>
            <w:tcBorders>
              <w:top w:val="nil"/>
              <w:left w:val="nil"/>
              <w:bottom w:val="nil"/>
              <w:right w:val="nil"/>
            </w:tcBorders>
            <w:shd w:val="clear" w:color="auto" w:fill="auto"/>
            <w:hideMark/>
          </w:tcPr>
          <w:p w:rsidR="00D057C0" w:rsidRPr="00594638" w:rsidRDefault="00D057C0" w:rsidP="00D057C0">
            <w:pPr>
              <w:jc w:val="right"/>
              <w:rPr>
                <w:rFonts w:ascii="Arial" w:hAnsi="Arial" w:cs="Arial"/>
                <w:color w:val="000000"/>
                <w:sz w:val="19"/>
                <w:szCs w:val="19"/>
                <w:lang w:val="en-AU"/>
              </w:rPr>
            </w:pPr>
            <w:r w:rsidRPr="00594638">
              <w:rPr>
                <w:rFonts w:ascii="Arial" w:hAnsi="Arial" w:cs="Arial"/>
                <w:color w:val="000000"/>
                <w:sz w:val="19"/>
                <w:szCs w:val="19"/>
                <w:lang w:val="en-AU"/>
              </w:rPr>
              <w:t>1.7%</w:t>
            </w:r>
          </w:p>
        </w:tc>
        <w:tc>
          <w:tcPr>
            <w:tcW w:w="1367" w:type="dxa"/>
            <w:tcBorders>
              <w:top w:val="nil"/>
              <w:left w:val="nil"/>
              <w:bottom w:val="nil"/>
              <w:right w:val="nil"/>
            </w:tcBorders>
            <w:shd w:val="clear" w:color="auto" w:fill="auto"/>
            <w:hideMark/>
          </w:tcPr>
          <w:p w:rsidR="00D057C0" w:rsidRPr="00594638" w:rsidRDefault="00D057C0" w:rsidP="00D057C0">
            <w:pPr>
              <w:jc w:val="right"/>
              <w:rPr>
                <w:rFonts w:ascii="Arial" w:hAnsi="Arial" w:cs="Arial"/>
                <w:color w:val="000000"/>
                <w:sz w:val="19"/>
                <w:szCs w:val="19"/>
                <w:lang w:val="en-AU"/>
              </w:rPr>
            </w:pPr>
            <w:r w:rsidRPr="00594638">
              <w:rPr>
                <w:rFonts w:ascii="Arial" w:hAnsi="Arial" w:cs="Arial"/>
                <w:color w:val="000000"/>
                <w:sz w:val="19"/>
                <w:szCs w:val="19"/>
                <w:lang w:val="en-AU"/>
              </w:rPr>
              <w:t>39.3%</w:t>
            </w:r>
          </w:p>
        </w:tc>
        <w:tc>
          <w:tcPr>
            <w:tcW w:w="1580" w:type="dxa"/>
            <w:tcBorders>
              <w:top w:val="nil"/>
              <w:left w:val="nil"/>
              <w:bottom w:val="nil"/>
              <w:right w:val="nil"/>
            </w:tcBorders>
            <w:shd w:val="clear" w:color="auto" w:fill="auto"/>
            <w:hideMark/>
          </w:tcPr>
          <w:p w:rsidR="00D057C0" w:rsidRPr="00594638" w:rsidRDefault="00D057C0" w:rsidP="00D057C0">
            <w:pPr>
              <w:jc w:val="right"/>
              <w:rPr>
                <w:rFonts w:ascii="Arial" w:hAnsi="Arial" w:cs="Arial"/>
                <w:color w:val="000000"/>
                <w:sz w:val="19"/>
                <w:szCs w:val="19"/>
                <w:lang w:val="en-AU"/>
              </w:rPr>
            </w:pPr>
            <w:r w:rsidRPr="00594638">
              <w:rPr>
                <w:rFonts w:ascii="Arial" w:hAnsi="Arial" w:cs="Arial"/>
                <w:color w:val="000000"/>
                <w:sz w:val="19"/>
                <w:szCs w:val="19"/>
                <w:lang w:val="en-AU"/>
              </w:rPr>
              <w:t xml:space="preserve">11,402,795,370 </w:t>
            </w:r>
          </w:p>
        </w:tc>
        <w:tc>
          <w:tcPr>
            <w:tcW w:w="1357" w:type="dxa"/>
            <w:tcBorders>
              <w:top w:val="nil"/>
              <w:left w:val="nil"/>
              <w:bottom w:val="nil"/>
              <w:right w:val="single" w:sz="4" w:space="0" w:color="auto"/>
            </w:tcBorders>
            <w:shd w:val="clear" w:color="auto" w:fill="auto"/>
            <w:noWrap/>
            <w:hideMark/>
          </w:tcPr>
          <w:p w:rsidR="00D057C0" w:rsidRPr="00594638" w:rsidRDefault="00D057C0" w:rsidP="00D057C0">
            <w:pPr>
              <w:jc w:val="right"/>
              <w:rPr>
                <w:rFonts w:ascii="Arial" w:hAnsi="Arial" w:cs="Arial"/>
                <w:sz w:val="19"/>
                <w:szCs w:val="19"/>
                <w:lang w:val="en-AU"/>
              </w:rPr>
            </w:pPr>
            <w:r w:rsidRPr="00594638">
              <w:rPr>
                <w:rFonts w:ascii="Arial" w:hAnsi="Arial" w:cs="Arial"/>
                <w:sz w:val="19"/>
                <w:szCs w:val="19"/>
                <w:lang w:val="en-AU"/>
              </w:rPr>
              <w:t>4.4%</w:t>
            </w:r>
          </w:p>
        </w:tc>
      </w:tr>
      <w:tr w:rsidR="00D057C0" w:rsidRPr="00E65146" w:rsidTr="00594638">
        <w:trPr>
          <w:trHeight w:val="263"/>
          <w:jc w:val="center"/>
        </w:trPr>
        <w:tc>
          <w:tcPr>
            <w:tcW w:w="9843" w:type="dxa"/>
            <w:gridSpan w:val="7"/>
            <w:tcBorders>
              <w:top w:val="nil"/>
              <w:left w:val="single" w:sz="4" w:space="0" w:color="auto"/>
              <w:bottom w:val="nil"/>
              <w:right w:val="nil"/>
            </w:tcBorders>
            <w:shd w:val="clear" w:color="auto" w:fill="auto"/>
            <w:hideMark/>
          </w:tcPr>
          <w:p w:rsidR="00D057C0" w:rsidRPr="00594638" w:rsidRDefault="00D057C0" w:rsidP="00D057C0">
            <w:pPr>
              <w:rPr>
                <w:rFonts w:ascii="Arial" w:hAnsi="Arial" w:cs="Arial"/>
                <w:b/>
                <w:bCs/>
                <w:color w:val="000000"/>
                <w:sz w:val="19"/>
                <w:szCs w:val="19"/>
                <w:lang w:val="en-AU"/>
              </w:rPr>
            </w:pPr>
            <w:r w:rsidRPr="00594638">
              <w:rPr>
                <w:rFonts w:ascii="Arial" w:hAnsi="Arial" w:cs="Arial"/>
                <w:b/>
                <w:bCs/>
                <w:color w:val="000000"/>
                <w:sz w:val="19"/>
                <w:szCs w:val="19"/>
                <w:lang w:val="en-AU"/>
              </w:rPr>
              <w:t xml:space="preserve">Ha Noi Pharmacy University </w:t>
            </w:r>
          </w:p>
        </w:tc>
        <w:tc>
          <w:tcPr>
            <w:tcW w:w="1357" w:type="dxa"/>
            <w:tcBorders>
              <w:top w:val="nil"/>
              <w:left w:val="nil"/>
              <w:bottom w:val="nil"/>
              <w:right w:val="single" w:sz="4" w:space="0" w:color="auto"/>
            </w:tcBorders>
            <w:shd w:val="clear" w:color="auto" w:fill="auto"/>
            <w:noWrap/>
            <w:hideMark/>
          </w:tcPr>
          <w:p w:rsidR="00D057C0" w:rsidRPr="00594638" w:rsidRDefault="00D057C0" w:rsidP="00D057C0">
            <w:pPr>
              <w:rPr>
                <w:rFonts w:ascii="Arial" w:hAnsi="Arial" w:cs="Arial"/>
                <w:sz w:val="19"/>
                <w:szCs w:val="19"/>
                <w:lang w:val="en-AU"/>
              </w:rPr>
            </w:pPr>
            <w:r w:rsidRPr="00594638">
              <w:rPr>
                <w:rFonts w:ascii="Arial" w:hAnsi="Arial" w:cs="Arial"/>
                <w:sz w:val="19"/>
                <w:szCs w:val="19"/>
                <w:lang w:val="en-AU"/>
              </w:rPr>
              <w:t> </w:t>
            </w:r>
          </w:p>
        </w:tc>
      </w:tr>
      <w:tr w:rsidR="00D057C0" w:rsidRPr="00E65146" w:rsidTr="00594638">
        <w:trPr>
          <w:trHeight w:val="400"/>
          <w:jc w:val="center"/>
        </w:trPr>
        <w:tc>
          <w:tcPr>
            <w:tcW w:w="269" w:type="dxa"/>
            <w:tcBorders>
              <w:top w:val="nil"/>
              <w:left w:val="single" w:sz="4" w:space="0" w:color="auto"/>
              <w:bottom w:val="nil"/>
              <w:right w:val="nil"/>
            </w:tcBorders>
            <w:shd w:val="clear" w:color="000000" w:fill="F2F2F2"/>
            <w:hideMark/>
          </w:tcPr>
          <w:p w:rsidR="00D057C0" w:rsidRPr="00E65146" w:rsidRDefault="00D057C0" w:rsidP="00D057C0">
            <w:pPr>
              <w:rPr>
                <w:rFonts w:ascii="Arial" w:hAnsi="Arial" w:cs="Arial"/>
                <w:color w:val="000000"/>
                <w:sz w:val="19"/>
                <w:szCs w:val="19"/>
                <w:lang w:val="en-AU"/>
              </w:rPr>
            </w:pPr>
            <w:r w:rsidRPr="00E65146">
              <w:rPr>
                <w:rFonts w:ascii="Arial" w:hAnsi="Arial" w:cs="Arial"/>
                <w:color w:val="000000"/>
                <w:sz w:val="19"/>
                <w:szCs w:val="19"/>
                <w:lang w:val="en-AU"/>
              </w:rPr>
              <w:t> </w:t>
            </w:r>
          </w:p>
        </w:tc>
        <w:tc>
          <w:tcPr>
            <w:tcW w:w="2040" w:type="dxa"/>
            <w:tcBorders>
              <w:top w:val="nil"/>
              <w:left w:val="nil"/>
              <w:bottom w:val="nil"/>
              <w:right w:val="nil"/>
            </w:tcBorders>
            <w:shd w:val="clear" w:color="auto" w:fill="auto"/>
            <w:hideMark/>
          </w:tcPr>
          <w:p w:rsidR="00D057C0" w:rsidRPr="00594638" w:rsidRDefault="00D057C0" w:rsidP="00D057C0">
            <w:pPr>
              <w:jc w:val="right"/>
              <w:rPr>
                <w:rFonts w:ascii="Arial" w:hAnsi="Arial" w:cs="Arial"/>
                <w:color w:val="000000"/>
                <w:sz w:val="19"/>
                <w:szCs w:val="19"/>
                <w:lang w:val="en-AU"/>
              </w:rPr>
            </w:pPr>
            <w:r w:rsidRPr="00594638">
              <w:rPr>
                <w:rFonts w:ascii="Arial" w:hAnsi="Arial" w:cs="Arial"/>
                <w:color w:val="000000"/>
                <w:sz w:val="19"/>
                <w:szCs w:val="19"/>
                <w:lang w:val="en-AU"/>
              </w:rPr>
              <w:t xml:space="preserve"> 112,208,006,591 </w:t>
            </w:r>
          </w:p>
        </w:tc>
        <w:tc>
          <w:tcPr>
            <w:tcW w:w="1740" w:type="dxa"/>
            <w:tcBorders>
              <w:top w:val="nil"/>
              <w:left w:val="nil"/>
              <w:bottom w:val="nil"/>
              <w:right w:val="nil"/>
            </w:tcBorders>
            <w:shd w:val="clear" w:color="auto" w:fill="auto"/>
            <w:hideMark/>
          </w:tcPr>
          <w:p w:rsidR="00D057C0" w:rsidRPr="00594638" w:rsidRDefault="00D057C0" w:rsidP="00D057C0">
            <w:pPr>
              <w:jc w:val="right"/>
              <w:rPr>
                <w:rFonts w:ascii="Arial" w:hAnsi="Arial" w:cs="Arial"/>
                <w:color w:val="000000"/>
                <w:sz w:val="19"/>
                <w:szCs w:val="19"/>
                <w:lang w:val="en-AU"/>
              </w:rPr>
            </w:pPr>
            <w:r w:rsidRPr="00594638">
              <w:rPr>
                <w:rFonts w:ascii="Arial" w:hAnsi="Arial" w:cs="Arial"/>
                <w:color w:val="000000"/>
                <w:sz w:val="19"/>
                <w:szCs w:val="19"/>
                <w:lang w:val="en-AU"/>
              </w:rPr>
              <w:t xml:space="preserve"> 131,920,640,686 </w:t>
            </w:r>
          </w:p>
        </w:tc>
        <w:tc>
          <w:tcPr>
            <w:tcW w:w="1480" w:type="dxa"/>
            <w:tcBorders>
              <w:top w:val="nil"/>
              <w:left w:val="nil"/>
              <w:bottom w:val="nil"/>
              <w:right w:val="nil"/>
            </w:tcBorders>
            <w:shd w:val="clear" w:color="auto" w:fill="auto"/>
            <w:hideMark/>
          </w:tcPr>
          <w:p w:rsidR="00D057C0" w:rsidRPr="00594638" w:rsidRDefault="00D057C0" w:rsidP="00D057C0">
            <w:pPr>
              <w:jc w:val="right"/>
              <w:rPr>
                <w:rFonts w:ascii="Arial" w:hAnsi="Arial" w:cs="Arial"/>
                <w:color w:val="000000"/>
                <w:sz w:val="19"/>
                <w:szCs w:val="19"/>
                <w:lang w:val="en-AU"/>
              </w:rPr>
            </w:pPr>
            <w:r w:rsidRPr="00594638">
              <w:rPr>
                <w:rFonts w:ascii="Arial" w:hAnsi="Arial" w:cs="Arial"/>
                <w:color w:val="000000"/>
                <w:sz w:val="19"/>
                <w:szCs w:val="19"/>
                <w:lang w:val="en-AU"/>
              </w:rPr>
              <w:t xml:space="preserve"> 561,399,250 </w:t>
            </w:r>
          </w:p>
        </w:tc>
        <w:tc>
          <w:tcPr>
            <w:tcW w:w="1367" w:type="dxa"/>
            <w:tcBorders>
              <w:top w:val="nil"/>
              <w:left w:val="nil"/>
              <w:bottom w:val="nil"/>
              <w:right w:val="nil"/>
            </w:tcBorders>
            <w:shd w:val="clear" w:color="auto" w:fill="auto"/>
            <w:hideMark/>
          </w:tcPr>
          <w:p w:rsidR="00D057C0" w:rsidRPr="00594638" w:rsidRDefault="00D057C0" w:rsidP="00D057C0">
            <w:pPr>
              <w:jc w:val="right"/>
              <w:rPr>
                <w:rFonts w:ascii="Arial" w:hAnsi="Arial" w:cs="Arial"/>
                <w:color w:val="000000"/>
                <w:sz w:val="19"/>
                <w:szCs w:val="19"/>
                <w:lang w:val="en-AU"/>
              </w:rPr>
            </w:pPr>
            <w:r w:rsidRPr="00594638">
              <w:rPr>
                <w:rFonts w:ascii="Arial" w:hAnsi="Arial" w:cs="Arial"/>
                <w:color w:val="000000"/>
                <w:sz w:val="19"/>
                <w:szCs w:val="19"/>
                <w:lang w:val="en-AU"/>
              </w:rPr>
              <w:t>0.5%</w:t>
            </w:r>
          </w:p>
        </w:tc>
        <w:tc>
          <w:tcPr>
            <w:tcW w:w="1367" w:type="dxa"/>
            <w:tcBorders>
              <w:top w:val="nil"/>
              <w:left w:val="nil"/>
              <w:bottom w:val="nil"/>
              <w:right w:val="nil"/>
            </w:tcBorders>
            <w:shd w:val="clear" w:color="auto" w:fill="auto"/>
            <w:hideMark/>
          </w:tcPr>
          <w:p w:rsidR="00D057C0" w:rsidRPr="00594638" w:rsidRDefault="00D057C0" w:rsidP="00D057C0">
            <w:pPr>
              <w:jc w:val="right"/>
              <w:rPr>
                <w:rFonts w:ascii="Arial" w:hAnsi="Arial" w:cs="Arial"/>
                <w:color w:val="000000"/>
                <w:sz w:val="19"/>
                <w:szCs w:val="19"/>
                <w:lang w:val="en-AU"/>
              </w:rPr>
            </w:pPr>
            <w:r w:rsidRPr="00594638">
              <w:rPr>
                <w:rFonts w:ascii="Arial" w:hAnsi="Arial" w:cs="Arial"/>
                <w:color w:val="000000"/>
                <w:sz w:val="19"/>
                <w:szCs w:val="19"/>
                <w:lang w:val="en-AU"/>
              </w:rPr>
              <w:t>0.4%</w:t>
            </w:r>
          </w:p>
        </w:tc>
        <w:tc>
          <w:tcPr>
            <w:tcW w:w="1580" w:type="dxa"/>
            <w:tcBorders>
              <w:top w:val="nil"/>
              <w:left w:val="nil"/>
              <w:bottom w:val="nil"/>
              <w:right w:val="nil"/>
            </w:tcBorders>
            <w:shd w:val="clear" w:color="auto" w:fill="auto"/>
            <w:hideMark/>
          </w:tcPr>
          <w:p w:rsidR="00D057C0" w:rsidRPr="00594638" w:rsidRDefault="00D057C0" w:rsidP="00D057C0">
            <w:pPr>
              <w:jc w:val="right"/>
              <w:rPr>
                <w:rFonts w:ascii="Arial" w:hAnsi="Arial" w:cs="Arial"/>
                <w:color w:val="000000"/>
                <w:sz w:val="19"/>
                <w:szCs w:val="19"/>
                <w:lang w:val="en-AU"/>
              </w:rPr>
            </w:pPr>
            <w:r w:rsidRPr="00594638">
              <w:rPr>
                <w:rFonts w:ascii="Arial" w:hAnsi="Arial" w:cs="Arial"/>
                <w:color w:val="000000"/>
                <w:sz w:val="19"/>
                <w:szCs w:val="19"/>
                <w:lang w:val="en-AU"/>
              </w:rPr>
              <w:t xml:space="preserve"> 3,791,602,291 </w:t>
            </w:r>
          </w:p>
        </w:tc>
        <w:tc>
          <w:tcPr>
            <w:tcW w:w="1357" w:type="dxa"/>
            <w:tcBorders>
              <w:top w:val="nil"/>
              <w:left w:val="nil"/>
              <w:bottom w:val="nil"/>
              <w:right w:val="single" w:sz="4" w:space="0" w:color="auto"/>
            </w:tcBorders>
            <w:shd w:val="clear" w:color="auto" w:fill="auto"/>
            <w:noWrap/>
            <w:hideMark/>
          </w:tcPr>
          <w:p w:rsidR="00D057C0" w:rsidRPr="00594638" w:rsidRDefault="00D057C0" w:rsidP="00D057C0">
            <w:pPr>
              <w:jc w:val="right"/>
              <w:rPr>
                <w:rFonts w:ascii="Arial" w:hAnsi="Arial" w:cs="Arial"/>
                <w:sz w:val="19"/>
                <w:szCs w:val="19"/>
                <w:lang w:val="en-AU"/>
              </w:rPr>
            </w:pPr>
            <w:r w:rsidRPr="00594638">
              <w:rPr>
                <w:rFonts w:ascii="Arial" w:hAnsi="Arial" w:cs="Arial"/>
                <w:sz w:val="19"/>
                <w:szCs w:val="19"/>
                <w:lang w:val="en-AU"/>
              </w:rPr>
              <w:t>3.4%</w:t>
            </w:r>
          </w:p>
        </w:tc>
      </w:tr>
      <w:tr w:rsidR="00D057C0" w:rsidRPr="00E65146" w:rsidTr="00594638">
        <w:trPr>
          <w:trHeight w:val="186"/>
          <w:jc w:val="center"/>
        </w:trPr>
        <w:tc>
          <w:tcPr>
            <w:tcW w:w="9843" w:type="dxa"/>
            <w:gridSpan w:val="7"/>
            <w:tcBorders>
              <w:top w:val="nil"/>
              <w:left w:val="single" w:sz="4" w:space="0" w:color="auto"/>
              <w:bottom w:val="nil"/>
              <w:right w:val="nil"/>
            </w:tcBorders>
            <w:shd w:val="clear" w:color="auto" w:fill="auto"/>
            <w:hideMark/>
          </w:tcPr>
          <w:p w:rsidR="00D057C0" w:rsidRPr="00594638" w:rsidRDefault="00D057C0" w:rsidP="00D057C0">
            <w:pPr>
              <w:rPr>
                <w:rFonts w:ascii="Arial" w:hAnsi="Arial" w:cs="Arial"/>
                <w:b/>
                <w:bCs/>
                <w:color w:val="000000"/>
                <w:sz w:val="19"/>
                <w:szCs w:val="19"/>
                <w:lang w:val="en-AU"/>
              </w:rPr>
            </w:pPr>
            <w:r w:rsidRPr="00594638">
              <w:rPr>
                <w:rFonts w:ascii="Arial" w:hAnsi="Arial" w:cs="Arial"/>
                <w:b/>
                <w:bCs/>
                <w:color w:val="000000"/>
                <w:sz w:val="19"/>
                <w:szCs w:val="19"/>
                <w:lang w:val="en-AU"/>
              </w:rPr>
              <w:t xml:space="preserve">Hai Duong Medical Technical University </w:t>
            </w:r>
            <w:r w:rsidRPr="00594638">
              <w:rPr>
                <w:rStyle w:val="FootnoteReference"/>
                <w:rFonts w:cs="Arial"/>
                <w:sz w:val="19"/>
                <w:szCs w:val="19"/>
              </w:rPr>
              <w:t>b</w:t>
            </w:r>
          </w:p>
        </w:tc>
        <w:tc>
          <w:tcPr>
            <w:tcW w:w="1357" w:type="dxa"/>
            <w:tcBorders>
              <w:top w:val="nil"/>
              <w:left w:val="nil"/>
              <w:bottom w:val="nil"/>
              <w:right w:val="single" w:sz="4" w:space="0" w:color="auto"/>
            </w:tcBorders>
            <w:shd w:val="clear" w:color="auto" w:fill="auto"/>
            <w:noWrap/>
            <w:hideMark/>
          </w:tcPr>
          <w:p w:rsidR="00D057C0" w:rsidRPr="00594638" w:rsidRDefault="00D057C0" w:rsidP="00D057C0">
            <w:pPr>
              <w:rPr>
                <w:rFonts w:ascii="Arial" w:hAnsi="Arial" w:cs="Arial"/>
                <w:sz w:val="19"/>
                <w:szCs w:val="19"/>
                <w:lang w:val="en-AU"/>
              </w:rPr>
            </w:pPr>
            <w:r w:rsidRPr="00594638">
              <w:rPr>
                <w:rFonts w:ascii="Arial" w:hAnsi="Arial" w:cs="Arial"/>
                <w:sz w:val="19"/>
                <w:szCs w:val="19"/>
                <w:lang w:val="en-AU"/>
              </w:rPr>
              <w:t> </w:t>
            </w:r>
          </w:p>
        </w:tc>
      </w:tr>
      <w:tr w:rsidR="00D057C0" w:rsidRPr="00E65146" w:rsidTr="00594638">
        <w:trPr>
          <w:trHeight w:val="400"/>
          <w:jc w:val="center"/>
        </w:trPr>
        <w:tc>
          <w:tcPr>
            <w:tcW w:w="269" w:type="dxa"/>
            <w:tcBorders>
              <w:top w:val="nil"/>
              <w:left w:val="single" w:sz="4" w:space="0" w:color="auto"/>
              <w:bottom w:val="nil"/>
              <w:right w:val="nil"/>
            </w:tcBorders>
            <w:shd w:val="clear" w:color="000000" w:fill="F2F2F2"/>
            <w:noWrap/>
            <w:hideMark/>
          </w:tcPr>
          <w:p w:rsidR="00D057C0" w:rsidRPr="00E65146" w:rsidRDefault="00D057C0" w:rsidP="00D057C0">
            <w:pPr>
              <w:rPr>
                <w:rFonts w:ascii="Arial" w:hAnsi="Arial" w:cs="Arial"/>
                <w:sz w:val="19"/>
                <w:szCs w:val="19"/>
                <w:lang w:val="en-AU"/>
              </w:rPr>
            </w:pPr>
            <w:r w:rsidRPr="00E65146">
              <w:rPr>
                <w:rFonts w:ascii="Arial" w:hAnsi="Arial" w:cs="Arial"/>
                <w:sz w:val="19"/>
                <w:szCs w:val="19"/>
                <w:lang w:val="en-AU"/>
              </w:rPr>
              <w:t> </w:t>
            </w:r>
          </w:p>
        </w:tc>
        <w:tc>
          <w:tcPr>
            <w:tcW w:w="2040" w:type="dxa"/>
            <w:tcBorders>
              <w:top w:val="nil"/>
              <w:left w:val="nil"/>
              <w:bottom w:val="nil"/>
              <w:right w:val="nil"/>
            </w:tcBorders>
            <w:shd w:val="clear" w:color="auto" w:fill="auto"/>
            <w:noWrap/>
            <w:hideMark/>
          </w:tcPr>
          <w:p w:rsidR="00D057C0" w:rsidRPr="00594638" w:rsidRDefault="00D057C0" w:rsidP="00D057C0">
            <w:pPr>
              <w:jc w:val="right"/>
              <w:rPr>
                <w:rFonts w:ascii="Arial" w:hAnsi="Arial" w:cs="Arial"/>
                <w:sz w:val="19"/>
                <w:szCs w:val="19"/>
                <w:lang w:val="en-AU"/>
              </w:rPr>
            </w:pPr>
            <w:r w:rsidRPr="00594638">
              <w:rPr>
                <w:rFonts w:ascii="Arial" w:hAnsi="Arial" w:cs="Arial"/>
                <w:sz w:val="19"/>
                <w:szCs w:val="19"/>
                <w:lang w:val="en-AU"/>
              </w:rPr>
              <w:t>29,384,603,744</w:t>
            </w:r>
          </w:p>
        </w:tc>
        <w:tc>
          <w:tcPr>
            <w:tcW w:w="1740" w:type="dxa"/>
            <w:tcBorders>
              <w:top w:val="nil"/>
              <w:left w:val="nil"/>
              <w:bottom w:val="nil"/>
              <w:right w:val="nil"/>
            </w:tcBorders>
            <w:shd w:val="clear" w:color="auto" w:fill="auto"/>
            <w:hideMark/>
          </w:tcPr>
          <w:p w:rsidR="00D057C0" w:rsidRPr="00594638" w:rsidRDefault="00D057C0" w:rsidP="00D057C0">
            <w:pPr>
              <w:jc w:val="right"/>
              <w:rPr>
                <w:rFonts w:ascii="Arial" w:hAnsi="Arial" w:cs="Arial"/>
                <w:color w:val="000000"/>
                <w:sz w:val="19"/>
                <w:szCs w:val="19"/>
                <w:lang w:val="en-AU"/>
              </w:rPr>
            </w:pPr>
            <w:r w:rsidRPr="00594638">
              <w:rPr>
                <w:rFonts w:ascii="Arial" w:hAnsi="Arial" w:cs="Arial"/>
                <w:color w:val="000000"/>
                <w:sz w:val="19"/>
                <w:szCs w:val="19"/>
                <w:lang w:val="en-AU"/>
              </w:rPr>
              <w:t>41,028,848,235</w:t>
            </w:r>
          </w:p>
        </w:tc>
        <w:tc>
          <w:tcPr>
            <w:tcW w:w="1480" w:type="dxa"/>
            <w:tcBorders>
              <w:top w:val="nil"/>
              <w:left w:val="nil"/>
              <w:bottom w:val="nil"/>
              <w:right w:val="nil"/>
            </w:tcBorders>
            <w:shd w:val="clear" w:color="auto" w:fill="auto"/>
            <w:hideMark/>
          </w:tcPr>
          <w:p w:rsidR="00D057C0" w:rsidRPr="00594638" w:rsidRDefault="00D057C0" w:rsidP="00D057C0">
            <w:pPr>
              <w:jc w:val="right"/>
              <w:rPr>
                <w:rFonts w:ascii="Arial" w:hAnsi="Arial" w:cs="Arial"/>
                <w:color w:val="000000"/>
                <w:sz w:val="19"/>
                <w:szCs w:val="19"/>
                <w:lang w:val="en-AU"/>
              </w:rPr>
            </w:pPr>
            <w:r w:rsidRPr="00594638">
              <w:rPr>
                <w:rFonts w:ascii="Arial" w:hAnsi="Arial" w:cs="Arial"/>
                <w:color w:val="000000"/>
                <w:sz w:val="19"/>
                <w:szCs w:val="19"/>
                <w:lang w:val="en-AU"/>
              </w:rPr>
              <w:t>87,812,000</w:t>
            </w:r>
          </w:p>
        </w:tc>
        <w:tc>
          <w:tcPr>
            <w:tcW w:w="1367" w:type="dxa"/>
            <w:tcBorders>
              <w:top w:val="nil"/>
              <w:left w:val="nil"/>
              <w:bottom w:val="nil"/>
              <w:right w:val="nil"/>
            </w:tcBorders>
            <w:shd w:val="clear" w:color="auto" w:fill="auto"/>
            <w:hideMark/>
          </w:tcPr>
          <w:p w:rsidR="00D057C0" w:rsidRPr="00594638" w:rsidRDefault="00D057C0" w:rsidP="00D057C0">
            <w:pPr>
              <w:jc w:val="right"/>
              <w:rPr>
                <w:rFonts w:ascii="Arial" w:hAnsi="Arial" w:cs="Arial"/>
                <w:color w:val="000000"/>
                <w:sz w:val="19"/>
                <w:szCs w:val="19"/>
                <w:lang w:val="en-AU"/>
              </w:rPr>
            </w:pPr>
            <w:r w:rsidRPr="00594638">
              <w:rPr>
                <w:rFonts w:ascii="Arial" w:hAnsi="Arial" w:cs="Arial"/>
                <w:color w:val="000000"/>
                <w:sz w:val="19"/>
                <w:szCs w:val="19"/>
                <w:lang w:val="en-AU"/>
              </w:rPr>
              <w:t>0.3%</w:t>
            </w:r>
          </w:p>
        </w:tc>
        <w:tc>
          <w:tcPr>
            <w:tcW w:w="1367" w:type="dxa"/>
            <w:tcBorders>
              <w:top w:val="nil"/>
              <w:left w:val="nil"/>
              <w:bottom w:val="nil"/>
              <w:right w:val="nil"/>
            </w:tcBorders>
            <w:shd w:val="clear" w:color="auto" w:fill="auto"/>
            <w:hideMark/>
          </w:tcPr>
          <w:p w:rsidR="00D057C0" w:rsidRPr="00594638" w:rsidRDefault="00D057C0" w:rsidP="00D057C0">
            <w:pPr>
              <w:jc w:val="right"/>
              <w:rPr>
                <w:rFonts w:ascii="Arial" w:hAnsi="Arial" w:cs="Arial"/>
                <w:color w:val="000000"/>
                <w:sz w:val="19"/>
                <w:szCs w:val="19"/>
                <w:lang w:val="en-AU"/>
              </w:rPr>
            </w:pPr>
            <w:r w:rsidRPr="00594638">
              <w:rPr>
                <w:rFonts w:ascii="Arial" w:hAnsi="Arial" w:cs="Arial"/>
                <w:color w:val="000000"/>
                <w:sz w:val="19"/>
                <w:szCs w:val="19"/>
                <w:lang w:val="en-AU"/>
              </w:rPr>
              <w:t>0.2%</w:t>
            </w:r>
          </w:p>
        </w:tc>
        <w:tc>
          <w:tcPr>
            <w:tcW w:w="1580" w:type="dxa"/>
            <w:tcBorders>
              <w:top w:val="nil"/>
              <w:left w:val="nil"/>
              <w:bottom w:val="nil"/>
              <w:right w:val="nil"/>
            </w:tcBorders>
            <w:shd w:val="clear" w:color="auto" w:fill="auto"/>
            <w:hideMark/>
          </w:tcPr>
          <w:p w:rsidR="00D057C0" w:rsidRPr="00594638" w:rsidRDefault="00D057C0" w:rsidP="00D057C0">
            <w:pPr>
              <w:jc w:val="right"/>
              <w:rPr>
                <w:rFonts w:ascii="Arial" w:hAnsi="Arial" w:cs="Arial"/>
                <w:color w:val="000000"/>
                <w:sz w:val="19"/>
                <w:szCs w:val="19"/>
                <w:lang w:val="en-AU"/>
              </w:rPr>
            </w:pPr>
            <w:r w:rsidRPr="00594638">
              <w:rPr>
                <w:rFonts w:ascii="Arial" w:hAnsi="Arial" w:cs="Arial"/>
                <w:color w:val="000000"/>
                <w:sz w:val="19"/>
                <w:szCs w:val="19"/>
                <w:lang w:val="en-AU"/>
              </w:rPr>
              <w:t>1,285,144,485</w:t>
            </w:r>
          </w:p>
        </w:tc>
        <w:tc>
          <w:tcPr>
            <w:tcW w:w="1357" w:type="dxa"/>
            <w:tcBorders>
              <w:top w:val="nil"/>
              <w:left w:val="nil"/>
              <w:bottom w:val="nil"/>
              <w:right w:val="single" w:sz="4" w:space="0" w:color="auto"/>
            </w:tcBorders>
            <w:shd w:val="clear" w:color="auto" w:fill="auto"/>
            <w:noWrap/>
            <w:hideMark/>
          </w:tcPr>
          <w:p w:rsidR="00D057C0" w:rsidRPr="00594638" w:rsidRDefault="00D057C0" w:rsidP="00D057C0">
            <w:pPr>
              <w:jc w:val="right"/>
              <w:rPr>
                <w:rFonts w:ascii="Arial" w:hAnsi="Arial" w:cs="Arial"/>
                <w:sz w:val="19"/>
                <w:szCs w:val="19"/>
                <w:lang w:val="en-AU"/>
              </w:rPr>
            </w:pPr>
            <w:r w:rsidRPr="00594638">
              <w:rPr>
                <w:rFonts w:ascii="Arial" w:hAnsi="Arial" w:cs="Arial"/>
                <w:sz w:val="19"/>
                <w:szCs w:val="19"/>
                <w:lang w:val="en-AU"/>
              </w:rPr>
              <w:t>4.4%</w:t>
            </w:r>
          </w:p>
        </w:tc>
      </w:tr>
      <w:tr w:rsidR="00D057C0" w:rsidRPr="00E65146" w:rsidTr="00594638">
        <w:trPr>
          <w:trHeight w:val="266"/>
          <w:jc w:val="center"/>
        </w:trPr>
        <w:tc>
          <w:tcPr>
            <w:tcW w:w="9843" w:type="dxa"/>
            <w:gridSpan w:val="7"/>
            <w:tcBorders>
              <w:top w:val="nil"/>
              <w:left w:val="single" w:sz="4" w:space="0" w:color="auto"/>
              <w:bottom w:val="nil"/>
              <w:right w:val="nil"/>
            </w:tcBorders>
            <w:shd w:val="clear" w:color="auto" w:fill="auto"/>
            <w:hideMark/>
          </w:tcPr>
          <w:p w:rsidR="00D057C0" w:rsidRPr="00594638" w:rsidRDefault="00D057C0" w:rsidP="00D057C0">
            <w:pPr>
              <w:rPr>
                <w:rFonts w:ascii="Arial" w:hAnsi="Arial" w:cs="Arial"/>
                <w:b/>
                <w:bCs/>
                <w:color w:val="000000"/>
                <w:sz w:val="19"/>
                <w:szCs w:val="19"/>
                <w:lang w:val="en-AU"/>
              </w:rPr>
            </w:pPr>
            <w:r w:rsidRPr="00594638">
              <w:rPr>
                <w:rFonts w:ascii="Arial" w:hAnsi="Arial" w:cs="Arial"/>
                <w:b/>
                <w:bCs/>
                <w:color w:val="000000"/>
                <w:sz w:val="19"/>
                <w:szCs w:val="19"/>
                <w:lang w:val="en-AU"/>
              </w:rPr>
              <w:t xml:space="preserve">Thai Binh University of Medicine and Pharmacy </w:t>
            </w:r>
            <w:r w:rsidRPr="00594638">
              <w:rPr>
                <w:rStyle w:val="FootnoteReference"/>
                <w:rFonts w:cs="Arial"/>
                <w:sz w:val="19"/>
                <w:szCs w:val="19"/>
              </w:rPr>
              <w:t>b</w:t>
            </w:r>
          </w:p>
        </w:tc>
        <w:tc>
          <w:tcPr>
            <w:tcW w:w="1357" w:type="dxa"/>
            <w:tcBorders>
              <w:top w:val="nil"/>
              <w:left w:val="nil"/>
              <w:bottom w:val="nil"/>
              <w:right w:val="single" w:sz="4" w:space="0" w:color="auto"/>
            </w:tcBorders>
            <w:shd w:val="clear" w:color="auto" w:fill="auto"/>
            <w:noWrap/>
            <w:hideMark/>
          </w:tcPr>
          <w:p w:rsidR="00D057C0" w:rsidRPr="00594638" w:rsidRDefault="00D057C0" w:rsidP="00D057C0">
            <w:pPr>
              <w:rPr>
                <w:rFonts w:ascii="Arial" w:hAnsi="Arial" w:cs="Arial"/>
                <w:sz w:val="19"/>
                <w:szCs w:val="19"/>
                <w:lang w:val="en-AU"/>
              </w:rPr>
            </w:pPr>
            <w:r w:rsidRPr="00594638">
              <w:rPr>
                <w:rFonts w:ascii="Arial" w:hAnsi="Arial" w:cs="Arial"/>
                <w:sz w:val="19"/>
                <w:szCs w:val="19"/>
                <w:lang w:val="en-AU"/>
              </w:rPr>
              <w:t> </w:t>
            </w:r>
          </w:p>
        </w:tc>
      </w:tr>
      <w:tr w:rsidR="00D057C0" w:rsidRPr="00E65146" w:rsidTr="00594638">
        <w:trPr>
          <w:trHeight w:val="400"/>
          <w:jc w:val="center"/>
        </w:trPr>
        <w:tc>
          <w:tcPr>
            <w:tcW w:w="269" w:type="dxa"/>
            <w:tcBorders>
              <w:top w:val="nil"/>
              <w:left w:val="single" w:sz="4" w:space="0" w:color="auto"/>
              <w:bottom w:val="nil"/>
              <w:right w:val="nil"/>
            </w:tcBorders>
            <w:shd w:val="clear" w:color="000000" w:fill="F2F2F2"/>
            <w:noWrap/>
            <w:hideMark/>
          </w:tcPr>
          <w:p w:rsidR="00D057C0" w:rsidRPr="00E65146" w:rsidRDefault="00D057C0" w:rsidP="00D057C0">
            <w:pPr>
              <w:rPr>
                <w:rFonts w:ascii="Arial" w:hAnsi="Arial" w:cs="Arial"/>
                <w:color w:val="000000"/>
                <w:sz w:val="19"/>
                <w:szCs w:val="19"/>
                <w:lang w:val="en-AU"/>
              </w:rPr>
            </w:pPr>
            <w:r w:rsidRPr="00E65146">
              <w:rPr>
                <w:rFonts w:ascii="Arial" w:hAnsi="Arial" w:cs="Arial"/>
                <w:color w:val="000000"/>
                <w:sz w:val="19"/>
                <w:szCs w:val="19"/>
                <w:lang w:val="en-AU"/>
              </w:rPr>
              <w:t> </w:t>
            </w:r>
          </w:p>
        </w:tc>
        <w:tc>
          <w:tcPr>
            <w:tcW w:w="2040" w:type="dxa"/>
            <w:tcBorders>
              <w:top w:val="nil"/>
              <w:left w:val="nil"/>
              <w:bottom w:val="nil"/>
              <w:right w:val="nil"/>
            </w:tcBorders>
            <w:shd w:val="clear" w:color="auto" w:fill="auto"/>
            <w:noWrap/>
            <w:hideMark/>
          </w:tcPr>
          <w:p w:rsidR="00D057C0" w:rsidRPr="00594638" w:rsidRDefault="00D057C0" w:rsidP="00D057C0">
            <w:pPr>
              <w:jc w:val="right"/>
              <w:rPr>
                <w:rFonts w:ascii="Arial" w:hAnsi="Arial" w:cs="Arial"/>
                <w:color w:val="000000"/>
                <w:sz w:val="19"/>
                <w:szCs w:val="19"/>
                <w:lang w:val="en-AU"/>
              </w:rPr>
            </w:pPr>
            <w:r w:rsidRPr="00594638">
              <w:rPr>
                <w:rFonts w:ascii="Arial" w:hAnsi="Arial" w:cs="Arial"/>
                <w:color w:val="000000"/>
                <w:sz w:val="19"/>
                <w:szCs w:val="19"/>
                <w:lang w:val="en-AU"/>
              </w:rPr>
              <w:t xml:space="preserve"> 188,779,428,891 </w:t>
            </w:r>
          </w:p>
        </w:tc>
        <w:tc>
          <w:tcPr>
            <w:tcW w:w="1740" w:type="dxa"/>
            <w:tcBorders>
              <w:top w:val="nil"/>
              <w:left w:val="nil"/>
              <w:bottom w:val="nil"/>
              <w:right w:val="nil"/>
            </w:tcBorders>
            <w:shd w:val="clear" w:color="auto" w:fill="auto"/>
            <w:noWrap/>
            <w:hideMark/>
          </w:tcPr>
          <w:p w:rsidR="00D057C0" w:rsidRPr="00594638" w:rsidRDefault="00D057C0" w:rsidP="00D057C0">
            <w:pPr>
              <w:jc w:val="right"/>
              <w:rPr>
                <w:rFonts w:ascii="Arial" w:hAnsi="Arial" w:cs="Arial"/>
                <w:color w:val="000000"/>
                <w:sz w:val="19"/>
                <w:szCs w:val="19"/>
                <w:lang w:val="en-AU"/>
              </w:rPr>
            </w:pPr>
            <w:r w:rsidRPr="00594638">
              <w:rPr>
                <w:rFonts w:ascii="Arial" w:hAnsi="Arial" w:cs="Arial"/>
                <w:color w:val="000000"/>
                <w:sz w:val="19"/>
                <w:szCs w:val="19"/>
                <w:lang w:val="en-AU"/>
              </w:rPr>
              <w:t xml:space="preserve"> 102,816,643,067 </w:t>
            </w:r>
          </w:p>
        </w:tc>
        <w:tc>
          <w:tcPr>
            <w:tcW w:w="1480" w:type="dxa"/>
            <w:tcBorders>
              <w:top w:val="nil"/>
              <w:left w:val="nil"/>
              <w:bottom w:val="nil"/>
              <w:right w:val="nil"/>
            </w:tcBorders>
            <w:shd w:val="clear" w:color="auto" w:fill="auto"/>
            <w:noWrap/>
            <w:hideMark/>
          </w:tcPr>
          <w:p w:rsidR="00D057C0" w:rsidRPr="00594638" w:rsidRDefault="00D057C0" w:rsidP="00D057C0">
            <w:pPr>
              <w:jc w:val="right"/>
              <w:rPr>
                <w:rFonts w:ascii="Arial" w:hAnsi="Arial" w:cs="Arial"/>
                <w:color w:val="000000"/>
                <w:sz w:val="19"/>
                <w:szCs w:val="19"/>
                <w:lang w:val="en-AU"/>
              </w:rPr>
            </w:pPr>
            <w:r w:rsidRPr="00594638">
              <w:rPr>
                <w:rFonts w:ascii="Arial" w:hAnsi="Arial" w:cs="Arial"/>
                <w:color w:val="000000"/>
                <w:sz w:val="19"/>
                <w:szCs w:val="19"/>
                <w:lang w:val="en-AU"/>
              </w:rPr>
              <w:t xml:space="preserve"> 1,528,874,300 </w:t>
            </w:r>
          </w:p>
        </w:tc>
        <w:tc>
          <w:tcPr>
            <w:tcW w:w="1367" w:type="dxa"/>
            <w:tcBorders>
              <w:top w:val="nil"/>
              <w:left w:val="nil"/>
              <w:bottom w:val="nil"/>
              <w:right w:val="nil"/>
            </w:tcBorders>
            <w:shd w:val="clear" w:color="auto" w:fill="auto"/>
            <w:hideMark/>
          </w:tcPr>
          <w:p w:rsidR="00D057C0" w:rsidRPr="00594638" w:rsidRDefault="00D057C0" w:rsidP="00D057C0">
            <w:pPr>
              <w:jc w:val="right"/>
              <w:rPr>
                <w:rFonts w:ascii="Arial" w:hAnsi="Arial" w:cs="Arial"/>
                <w:color w:val="000000"/>
                <w:sz w:val="19"/>
                <w:szCs w:val="19"/>
                <w:lang w:val="en-AU"/>
              </w:rPr>
            </w:pPr>
            <w:r w:rsidRPr="00594638">
              <w:rPr>
                <w:rFonts w:ascii="Arial" w:hAnsi="Arial" w:cs="Arial"/>
                <w:color w:val="000000"/>
                <w:sz w:val="19"/>
                <w:szCs w:val="19"/>
                <w:lang w:val="en-AU"/>
              </w:rPr>
              <w:t>0.8%</w:t>
            </w:r>
          </w:p>
        </w:tc>
        <w:tc>
          <w:tcPr>
            <w:tcW w:w="1367" w:type="dxa"/>
            <w:tcBorders>
              <w:top w:val="nil"/>
              <w:left w:val="nil"/>
              <w:bottom w:val="nil"/>
              <w:right w:val="nil"/>
            </w:tcBorders>
            <w:shd w:val="clear" w:color="auto" w:fill="auto"/>
            <w:hideMark/>
          </w:tcPr>
          <w:p w:rsidR="00D057C0" w:rsidRPr="00594638" w:rsidRDefault="00D057C0" w:rsidP="00D057C0">
            <w:pPr>
              <w:jc w:val="right"/>
              <w:rPr>
                <w:rFonts w:ascii="Arial" w:hAnsi="Arial" w:cs="Arial"/>
                <w:color w:val="000000"/>
                <w:sz w:val="19"/>
                <w:szCs w:val="19"/>
                <w:lang w:val="en-AU"/>
              </w:rPr>
            </w:pPr>
            <w:r w:rsidRPr="00594638">
              <w:rPr>
                <w:rFonts w:ascii="Arial" w:hAnsi="Arial" w:cs="Arial"/>
                <w:color w:val="000000"/>
                <w:sz w:val="19"/>
                <w:szCs w:val="19"/>
                <w:lang w:val="en-AU"/>
              </w:rPr>
              <w:t>1.5%</w:t>
            </w:r>
          </w:p>
        </w:tc>
        <w:tc>
          <w:tcPr>
            <w:tcW w:w="1580" w:type="dxa"/>
            <w:tcBorders>
              <w:top w:val="nil"/>
              <w:left w:val="nil"/>
              <w:bottom w:val="nil"/>
              <w:right w:val="nil"/>
            </w:tcBorders>
            <w:shd w:val="clear" w:color="auto" w:fill="auto"/>
            <w:noWrap/>
            <w:hideMark/>
          </w:tcPr>
          <w:p w:rsidR="00D057C0" w:rsidRPr="00594638" w:rsidRDefault="00D057C0" w:rsidP="00D057C0">
            <w:pPr>
              <w:jc w:val="right"/>
              <w:rPr>
                <w:rFonts w:ascii="Arial" w:hAnsi="Arial" w:cs="Arial"/>
                <w:color w:val="000000"/>
                <w:sz w:val="19"/>
                <w:szCs w:val="19"/>
                <w:lang w:val="en-AU"/>
              </w:rPr>
            </w:pPr>
            <w:r w:rsidRPr="00594638">
              <w:rPr>
                <w:rFonts w:ascii="Arial" w:hAnsi="Arial" w:cs="Arial"/>
                <w:color w:val="000000"/>
                <w:sz w:val="19"/>
                <w:szCs w:val="19"/>
                <w:lang w:val="en-AU"/>
              </w:rPr>
              <w:t xml:space="preserve"> 1,527,528,731 </w:t>
            </w:r>
          </w:p>
        </w:tc>
        <w:tc>
          <w:tcPr>
            <w:tcW w:w="1357" w:type="dxa"/>
            <w:tcBorders>
              <w:top w:val="nil"/>
              <w:left w:val="nil"/>
              <w:bottom w:val="nil"/>
              <w:right w:val="single" w:sz="4" w:space="0" w:color="auto"/>
            </w:tcBorders>
            <w:shd w:val="clear" w:color="auto" w:fill="auto"/>
            <w:noWrap/>
            <w:hideMark/>
          </w:tcPr>
          <w:p w:rsidR="00D057C0" w:rsidRPr="00594638" w:rsidRDefault="00D057C0" w:rsidP="00D057C0">
            <w:pPr>
              <w:jc w:val="right"/>
              <w:rPr>
                <w:rFonts w:ascii="Arial" w:hAnsi="Arial" w:cs="Arial"/>
                <w:sz w:val="19"/>
                <w:szCs w:val="19"/>
                <w:lang w:val="en-AU"/>
              </w:rPr>
            </w:pPr>
            <w:r w:rsidRPr="00594638">
              <w:rPr>
                <w:rFonts w:ascii="Arial" w:hAnsi="Arial" w:cs="Arial"/>
                <w:sz w:val="19"/>
                <w:szCs w:val="19"/>
                <w:lang w:val="en-AU"/>
              </w:rPr>
              <w:t>0.8%</w:t>
            </w:r>
          </w:p>
        </w:tc>
      </w:tr>
      <w:tr w:rsidR="00D057C0" w:rsidRPr="00E65146" w:rsidTr="00594638">
        <w:trPr>
          <w:trHeight w:val="262"/>
          <w:jc w:val="center"/>
        </w:trPr>
        <w:tc>
          <w:tcPr>
            <w:tcW w:w="9843" w:type="dxa"/>
            <w:gridSpan w:val="7"/>
            <w:tcBorders>
              <w:top w:val="nil"/>
              <w:left w:val="single" w:sz="4" w:space="0" w:color="auto"/>
              <w:bottom w:val="nil"/>
              <w:right w:val="nil"/>
            </w:tcBorders>
            <w:shd w:val="clear" w:color="auto" w:fill="auto"/>
            <w:hideMark/>
          </w:tcPr>
          <w:p w:rsidR="00D057C0" w:rsidRPr="00594638" w:rsidRDefault="00D057C0" w:rsidP="00D057C0">
            <w:pPr>
              <w:rPr>
                <w:rFonts w:ascii="Arial" w:hAnsi="Arial" w:cs="Arial"/>
                <w:b/>
                <w:bCs/>
                <w:color w:val="000000"/>
                <w:sz w:val="19"/>
                <w:szCs w:val="19"/>
                <w:lang w:val="en-AU"/>
              </w:rPr>
            </w:pPr>
            <w:r w:rsidRPr="00594638">
              <w:rPr>
                <w:rFonts w:ascii="Arial" w:hAnsi="Arial" w:cs="Arial"/>
                <w:b/>
                <w:bCs/>
                <w:color w:val="000000"/>
                <w:sz w:val="19"/>
                <w:szCs w:val="19"/>
                <w:lang w:val="en-AU"/>
              </w:rPr>
              <w:t xml:space="preserve">Nam Dinh University of Nursing </w:t>
            </w:r>
            <w:r w:rsidRPr="00594638">
              <w:rPr>
                <w:rStyle w:val="FootnoteReference"/>
                <w:rFonts w:cs="Arial"/>
                <w:sz w:val="19"/>
                <w:szCs w:val="19"/>
              </w:rPr>
              <w:t>b</w:t>
            </w:r>
          </w:p>
        </w:tc>
        <w:tc>
          <w:tcPr>
            <w:tcW w:w="1357" w:type="dxa"/>
            <w:tcBorders>
              <w:top w:val="nil"/>
              <w:left w:val="nil"/>
              <w:bottom w:val="nil"/>
              <w:right w:val="single" w:sz="4" w:space="0" w:color="auto"/>
            </w:tcBorders>
            <w:shd w:val="clear" w:color="auto" w:fill="auto"/>
            <w:noWrap/>
            <w:hideMark/>
          </w:tcPr>
          <w:p w:rsidR="00D057C0" w:rsidRPr="00594638" w:rsidRDefault="00D057C0" w:rsidP="00D057C0">
            <w:pPr>
              <w:rPr>
                <w:rFonts w:ascii="Arial" w:hAnsi="Arial" w:cs="Arial"/>
                <w:sz w:val="19"/>
                <w:szCs w:val="19"/>
                <w:lang w:val="en-AU"/>
              </w:rPr>
            </w:pPr>
            <w:r w:rsidRPr="00594638">
              <w:rPr>
                <w:rFonts w:ascii="Arial" w:hAnsi="Arial" w:cs="Arial"/>
                <w:sz w:val="19"/>
                <w:szCs w:val="19"/>
                <w:lang w:val="en-AU"/>
              </w:rPr>
              <w:t> </w:t>
            </w:r>
          </w:p>
        </w:tc>
      </w:tr>
      <w:tr w:rsidR="00D057C0" w:rsidRPr="00E65146" w:rsidTr="00594638">
        <w:trPr>
          <w:trHeight w:val="400"/>
          <w:jc w:val="center"/>
        </w:trPr>
        <w:tc>
          <w:tcPr>
            <w:tcW w:w="269" w:type="dxa"/>
            <w:tcBorders>
              <w:top w:val="nil"/>
              <w:left w:val="single" w:sz="4" w:space="0" w:color="auto"/>
              <w:bottom w:val="single" w:sz="4" w:space="0" w:color="auto"/>
              <w:right w:val="nil"/>
            </w:tcBorders>
            <w:shd w:val="clear" w:color="000000" w:fill="F2F2F2"/>
            <w:noWrap/>
            <w:hideMark/>
          </w:tcPr>
          <w:p w:rsidR="00D057C0" w:rsidRPr="00E65146" w:rsidRDefault="00D057C0" w:rsidP="00D057C0">
            <w:pPr>
              <w:rPr>
                <w:rFonts w:ascii="Arial" w:hAnsi="Arial" w:cs="Arial"/>
                <w:sz w:val="19"/>
                <w:szCs w:val="19"/>
                <w:lang w:val="en-AU"/>
              </w:rPr>
            </w:pPr>
            <w:r w:rsidRPr="00E65146">
              <w:rPr>
                <w:rFonts w:ascii="Arial" w:hAnsi="Arial" w:cs="Arial"/>
                <w:sz w:val="19"/>
                <w:szCs w:val="19"/>
                <w:lang w:val="en-AU"/>
              </w:rPr>
              <w:t> </w:t>
            </w:r>
          </w:p>
        </w:tc>
        <w:tc>
          <w:tcPr>
            <w:tcW w:w="2040" w:type="dxa"/>
            <w:tcBorders>
              <w:top w:val="nil"/>
              <w:left w:val="nil"/>
              <w:bottom w:val="single" w:sz="4" w:space="0" w:color="auto"/>
              <w:right w:val="nil"/>
            </w:tcBorders>
            <w:shd w:val="clear" w:color="auto" w:fill="auto"/>
            <w:noWrap/>
            <w:hideMark/>
          </w:tcPr>
          <w:p w:rsidR="00D057C0" w:rsidRPr="00594638" w:rsidRDefault="00D057C0" w:rsidP="00D057C0">
            <w:pPr>
              <w:rPr>
                <w:rFonts w:ascii="Arial" w:hAnsi="Arial" w:cs="Arial"/>
                <w:sz w:val="19"/>
                <w:szCs w:val="19"/>
                <w:lang w:val="en-AU"/>
              </w:rPr>
            </w:pPr>
            <w:r w:rsidRPr="00594638">
              <w:rPr>
                <w:rFonts w:ascii="Arial" w:hAnsi="Arial" w:cs="Arial"/>
                <w:sz w:val="19"/>
                <w:szCs w:val="19"/>
                <w:lang w:val="en-AU"/>
              </w:rPr>
              <w:t xml:space="preserve"> 67,400,000,000 </w:t>
            </w:r>
          </w:p>
        </w:tc>
        <w:tc>
          <w:tcPr>
            <w:tcW w:w="1740" w:type="dxa"/>
            <w:tcBorders>
              <w:top w:val="nil"/>
              <w:left w:val="nil"/>
              <w:bottom w:val="single" w:sz="4" w:space="0" w:color="auto"/>
              <w:right w:val="nil"/>
            </w:tcBorders>
            <w:shd w:val="clear" w:color="auto" w:fill="auto"/>
            <w:hideMark/>
          </w:tcPr>
          <w:p w:rsidR="00D057C0" w:rsidRPr="00594638" w:rsidRDefault="00D057C0" w:rsidP="00D057C0">
            <w:pPr>
              <w:jc w:val="right"/>
              <w:rPr>
                <w:rFonts w:ascii="Arial" w:hAnsi="Arial" w:cs="Arial"/>
                <w:color w:val="000000"/>
                <w:sz w:val="19"/>
                <w:szCs w:val="19"/>
                <w:lang w:val="en-AU"/>
              </w:rPr>
            </w:pPr>
            <w:r w:rsidRPr="00594638">
              <w:rPr>
                <w:rFonts w:ascii="Arial" w:hAnsi="Arial" w:cs="Arial"/>
                <w:color w:val="000000"/>
                <w:sz w:val="19"/>
                <w:szCs w:val="19"/>
                <w:lang w:val="en-AU"/>
              </w:rPr>
              <w:t xml:space="preserve"> 45,654,000,000 </w:t>
            </w:r>
          </w:p>
        </w:tc>
        <w:tc>
          <w:tcPr>
            <w:tcW w:w="1480" w:type="dxa"/>
            <w:tcBorders>
              <w:top w:val="nil"/>
              <w:left w:val="nil"/>
              <w:bottom w:val="single" w:sz="4" w:space="0" w:color="auto"/>
              <w:right w:val="nil"/>
            </w:tcBorders>
            <w:shd w:val="clear" w:color="auto" w:fill="auto"/>
            <w:hideMark/>
          </w:tcPr>
          <w:p w:rsidR="00D057C0" w:rsidRPr="00594638" w:rsidRDefault="00D057C0" w:rsidP="00D057C0">
            <w:pPr>
              <w:jc w:val="right"/>
              <w:rPr>
                <w:rFonts w:ascii="Arial" w:hAnsi="Arial" w:cs="Arial"/>
                <w:color w:val="000000"/>
                <w:sz w:val="19"/>
                <w:szCs w:val="19"/>
                <w:lang w:val="en-AU"/>
              </w:rPr>
            </w:pPr>
            <w:r w:rsidRPr="00594638">
              <w:rPr>
                <w:rFonts w:ascii="Arial" w:hAnsi="Arial" w:cs="Arial"/>
                <w:color w:val="000000"/>
                <w:sz w:val="19"/>
                <w:szCs w:val="19"/>
                <w:lang w:val="en-AU"/>
              </w:rPr>
              <w:t xml:space="preserve"> 500,000,000 </w:t>
            </w:r>
          </w:p>
        </w:tc>
        <w:tc>
          <w:tcPr>
            <w:tcW w:w="1367" w:type="dxa"/>
            <w:tcBorders>
              <w:top w:val="nil"/>
              <w:left w:val="nil"/>
              <w:bottom w:val="single" w:sz="4" w:space="0" w:color="auto"/>
              <w:right w:val="nil"/>
            </w:tcBorders>
            <w:shd w:val="clear" w:color="auto" w:fill="auto"/>
            <w:hideMark/>
          </w:tcPr>
          <w:p w:rsidR="00D057C0" w:rsidRPr="00594638" w:rsidRDefault="00D057C0" w:rsidP="00D057C0">
            <w:pPr>
              <w:jc w:val="right"/>
              <w:rPr>
                <w:rFonts w:ascii="Arial" w:hAnsi="Arial" w:cs="Arial"/>
                <w:color w:val="000000"/>
                <w:sz w:val="19"/>
                <w:szCs w:val="19"/>
                <w:lang w:val="en-AU"/>
              </w:rPr>
            </w:pPr>
            <w:r w:rsidRPr="00594638">
              <w:rPr>
                <w:rFonts w:ascii="Arial" w:hAnsi="Arial" w:cs="Arial"/>
                <w:color w:val="000000"/>
                <w:sz w:val="19"/>
                <w:szCs w:val="19"/>
                <w:lang w:val="en-AU"/>
              </w:rPr>
              <w:t>0.7%</w:t>
            </w:r>
          </w:p>
        </w:tc>
        <w:tc>
          <w:tcPr>
            <w:tcW w:w="1367" w:type="dxa"/>
            <w:tcBorders>
              <w:top w:val="nil"/>
              <w:left w:val="nil"/>
              <w:bottom w:val="single" w:sz="4" w:space="0" w:color="auto"/>
              <w:right w:val="nil"/>
            </w:tcBorders>
            <w:shd w:val="clear" w:color="auto" w:fill="auto"/>
            <w:hideMark/>
          </w:tcPr>
          <w:p w:rsidR="00D057C0" w:rsidRPr="00594638" w:rsidRDefault="00D057C0" w:rsidP="00D057C0">
            <w:pPr>
              <w:jc w:val="right"/>
              <w:rPr>
                <w:rFonts w:ascii="Arial" w:hAnsi="Arial" w:cs="Arial"/>
                <w:color w:val="000000"/>
                <w:sz w:val="19"/>
                <w:szCs w:val="19"/>
                <w:lang w:val="en-AU"/>
              </w:rPr>
            </w:pPr>
            <w:r w:rsidRPr="00594638">
              <w:rPr>
                <w:rFonts w:ascii="Arial" w:hAnsi="Arial" w:cs="Arial"/>
                <w:color w:val="000000"/>
                <w:sz w:val="19"/>
                <w:szCs w:val="19"/>
                <w:lang w:val="en-AU"/>
              </w:rPr>
              <w:t>1.1%</w:t>
            </w:r>
          </w:p>
        </w:tc>
        <w:tc>
          <w:tcPr>
            <w:tcW w:w="1580" w:type="dxa"/>
            <w:tcBorders>
              <w:top w:val="nil"/>
              <w:left w:val="nil"/>
              <w:bottom w:val="single" w:sz="4" w:space="0" w:color="auto"/>
              <w:right w:val="nil"/>
            </w:tcBorders>
            <w:shd w:val="clear" w:color="auto" w:fill="auto"/>
            <w:hideMark/>
          </w:tcPr>
          <w:p w:rsidR="00D057C0" w:rsidRPr="00594638" w:rsidRDefault="00D057C0" w:rsidP="00D057C0">
            <w:pPr>
              <w:jc w:val="right"/>
              <w:rPr>
                <w:rFonts w:ascii="Arial" w:hAnsi="Arial" w:cs="Arial"/>
                <w:color w:val="000000"/>
                <w:sz w:val="19"/>
                <w:szCs w:val="19"/>
                <w:lang w:val="en-AU"/>
              </w:rPr>
            </w:pPr>
            <w:r w:rsidRPr="00594638">
              <w:rPr>
                <w:rFonts w:ascii="Arial" w:hAnsi="Arial" w:cs="Arial"/>
                <w:color w:val="000000"/>
                <w:sz w:val="19"/>
                <w:szCs w:val="19"/>
                <w:lang w:val="en-AU"/>
              </w:rPr>
              <w:t xml:space="preserve"> 2,200,000,000 </w:t>
            </w:r>
          </w:p>
        </w:tc>
        <w:tc>
          <w:tcPr>
            <w:tcW w:w="1357" w:type="dxa"/>
            <w:tcBorders>
              <w:top w:val="nil"/>
              <w:left w:val="nil"/>
              <w:bottom w:val="single" w:sz="4" w:space="0" w:color="auto"/>
              <w:right w:val="single" w:sz="4" w:space="0" w:color="auto"/>
            </w:tcBorders>
            <w:shd w:val="clear" w:color="auto" w:fill="auto"/>
            <w:noWrap/>
            <w:hideMark/>
          </w:tcPr>
          <w:p w:rsidR="00D057C0" w:rsidRPr="00594638" w:rsidRDefault="00D057C0" w:rsidP="00D057C0">
            <w:pPr>
              <w:jc w:val="right"/>
              <w:rPr>
                <w:rFonts w:ascii="Arial" w:hAnsi="Arial" w:cs="Arial"/>
                <w:sz w:val="19"/>
                <w:szCs w:val="19"/>
                <w:lang w:val="en-AU"/>
              </w:rPr>
            </w:pPr>
            <w:r w:rsidRPr="00594638">
              <w:rPr>
                <w:rFonts w:ascii="Arial" w:hAnsi="Arial" w:cs="Arial"/>
                <w:sz w:val="19"/>
                <w:szCs w:val="19"/>
                <w:lang w:val="en-AU"/>
              </w:rPr>
              <w:t>3.3%</w:t>
            </w:r>
          </w:p>
        </w:tc>
      </w:tr>
    </w:tbl>
    <w:p w:rsidR="00DD1024" w:rsidRDefault="00DD1024" w:rsidP="00DD1024">
      <w:pPr>
        <w:ind w:left="1418"/>
        <w:rPr>
          <w:rFonts w:ascii="Arial" w:hAnsi="Arial" w:cs="Arial"/>
          <w:b/>
          <w:color w:val="000000"/>
          <w:sz w:val="19"/>
          <w:szCs w:val="19"/>
          <w:lang w:val="en-AU"/>
        </w:rPr>
      </w:pPr>
    </w:p>
    <w:p w:rsidR="00D057C0" w:rsidRPr="00DD1024" w:rsidRDefault="00D057C0" w:rsidP="00DD1024">
      <w:pPr>
        <w:ind w:left="1418"/>
        <w:rPr>
          <w:rFonts w:ascii="Arial" w:hAnsi="Arial" w:cs="Arial"/>
          <w:color w:val="000000"/>
          <w:sz w:val="18"/>
          <w:szCs w:val="18"/>
          <w:lang w:val="en-AU"/>
        </w:rPr>
      </w:pPr>
      <w:r w:rsidRPr="00DD1024">
        <w:rPr>
          <w:rFonts w:ascii="Arial" w:hAnsi="Arial" w:cs="Arial"/>
          <w:b/>
          <w:color w:val="000000"/>
          <w:sz w:val="18"/>
          <w:szCs w:val="18"/>
          <w:lang w:val="en-AU"/>
        </w:rPr>
        <w:t>Source:</w:t>
      </w:r>
      <w:r w:rsidRPr="00DD1024">
        <w:rPr>
          <w:rFonts w:ascii="Arial" w:hAnsi="Arial" w:cs="Arial"/>
          <w:color w:val="000000"/>
          <w:sz w:val="18"/>
          <w:szCs w:val="18"/>
          <w:lang w:val="en-AU"/>
        </w:rPr>
        <w:t xml:space="preserve"> HHRSDP, M&amp; E Consultants</w:t>
      </w:r>
    </w:p>
    <w:p w:rsidR="00D057C0" w:rsidRPr="00DD1024" w:rsidRDefault="00D057C0" w:rsidP="00DD1024">
      <w:pPr>
        <w:ind w:left="1418"/>
        <w:rPr>
          <w:rFonts w:ascii="Arial" w:hAnsi="Arial" w:cs="Arial"/>
          <w:b/>
          <w:color w:val="000000"/>
          <w:sz w:val="18"/>
          <w:szCs w:val="18"/>
          <w:lang w:val="en-AU"/>
        </w:rPr>
      </w:pPr>
      <w:r w:rsidRPr="00DD1024">
        <w:rPr>
          <w:rFonts w:ascii="Arial" w:hAnsi="Arial" w:cs="Arial"/>
          <w:b/>
          <w:color w:val="000000"/>
          <w:sz w:val="18"/>
          <w:szCs w:val="18"/>
          <w:lang w:val="en-AU"/>
        </w:rPr>
        <w:t xml:space="preserve">Notes: </w:t>
      </w:r>
    </w:p>
    <w:p w:rsidR="00D057C0" w:rsidRPr="00DD1024" w:rsidRDefault="00D057C0" w:rsidP="00DD1024">
      <w:pPr>
        <w:ind w:left="1418"/>
        <w:rPr>
          <w:rFonts w:ascii="Arial" w:hAnsi="Arial" w:cs="Arial"/>
          <w:color w:val="000000"/>
          <w:sz w:val="18"/>
          <w:szCs w:val="18"/>
          <w:lang w:val="en-AU"/>
        </w:rPr>
      </w:pPr>
      <w:r w:rsidRPr="000630ED">
        <w:rPr>
          <w:rFonts w:ascii="Arial" w:hAnsi="Arial" w:cs="Arial"/>
          <w:color w:val="000000"/>
          <w:sz w:val="18"/>
          <w:szCs w:val="18"/>
          <w:vertAlign w:val="superscript"/>
        </w:rPr>
        <w:t>a</w:t>
      </w:r>
      <w:r w:rsidR="000630ED">
        <w:rPr>
          <w:rFonts w:ascii="Arial" w:hAnsi="Arial" w:cs="Arial"/>
          <w:color w:val="000000"/>
          <w:sz w:val="18"/>
          <w:szCs w:val="18"/>
          <w:lang w:val="en-AU"/>
        </w:rPr>
        <w:t xml:space="preserve"> </w:t>
      </w:r>
      <w:r w:rsidRPr="00DD1024">
        <w:rPr>
          <w:rFonts w:ascii="Arial" w:hAnsi="Arial" w:cs="Arial"/>
          <w:color w:val="000000"/>
          <w:sz w:val="18"/>
          <w:szCs w:val="18"/>
          <w:lang w:val="en-AU"/>
        </w:rPr>
        <w:t>Data unavailable for Hai Phong Medical and Pharmacy University</w:t>
      </w:r>
    </w:p>
    <w:p w:rsidR="00D057C0" w:rsidRPr="00DD1024" w:rsidRDefault="00D057C0" w:rsidP="00DD1024">
      <w:pPr>
        <w:ind w:left="1418"/>
        <w:rPr>
          <w:rFonts w:ascii="Arial" w:hAnsi="Arial" w:cs="Arial"/>
          <w:color w:val="000000"/>
          <w:sz w:val="18"/>
          <w:szCs w:val="18"/>
          <w:lang w:val="en-AU"/>
        </w:rPr>
      </w:pPr>
      <w:r w:rsidRPr="000630ED">
        <w:rPr>
          <w:rFonts w:ascii="Arial" w:hAnsi="Arial" w:cs="Arial"/>
          <w:color w:val="000000"/>
          <w:sz w:val="18"/>
          <w:szCs w:val="18"/>
          <w:vertAlign w:val="superscript"/>
        </w:rPr>
        <w:t>b</w:t>
      </w:r>
      <w:r w:rsidR="000630ED">
        <w:rPr>
          <w:rFonts w:ascii="Arial" w:hAnsi="Arial" w:cs="Arial"/>
          <w:color w:val="000000"/>
          <w:sz w:val="18"/>
          <w:szCs w:val="18"/>
          <w:lang w:val="en-AU"/>
        </w:rPr>
        <w:t xml:space="preserve"> </w:t>
      </w:r>
      <w:r w:rsidRPr="00DD1024">
        <w:rPr>
          <w:rFonts w:ascii="Arial" w:hAnsi="Arial" w:cs="Arial"/>
          <w:color w:val="000000"/>
          <w:sz w:val="18"/>
          <w:szCs w:val="18"/>
          <w:lang w:val="en-AU"/>
        </w:rPr>
        <w:t>2013 Data</w:t>
      </w:r>
    </w:p>
    <w:p w:rsidR="00D057C0" w:rsidRPr="00E65146" w:rsidRDefault="00D057C0" w:rsidP="00D057C0">
      <w:pPr>
        <w:tabs>
          <w:tab w:val="left" w:pos="1980"/>
        </w:tabs>
        <w:outlineLvl w:val="0"/>
        <w:rPr>
          <w:rFonts w:ascii="Arial" w:hAnsi="Arial" w:cs="Arial"/>
          <w:sz w:val="22"/>
          <w:szCs w:val="22"/>
        </w:rPr>
      </w:pPr>
    </w:p>
    <w:p w:rsidR="006518DD" w:rsidRPr="00E65146" w:rsidRDefault="006518DD" w:rsidP="000F1EB0">
      <w:pPr>
        <w:tabs>
          <w:tab w:val="left" w:pos="1980"/>
        </w:tabs>
        <w:rPr>
          <w:rFonts w:ascii="Arial" w:hAnsi="Arial" w:cs="Arial"/>
          <w:sz w:val="22"/>
          <w:szCs w:val="22"/>
        </w:rPr>
      </w:pPr>
      <w:r w:rsidRPr="00E65146">
        <w:rPr>
          <w:rFonts w:ascii="Arial" w:hAnsi="Arial" w:cs="Arial"/>
          <w:sz w:val="22"/>
          <w:szCs w:val="22"/>
        </w:rPr>
        <w:br w:type="page"/>
      </w:r>
    </w:p>
    <w:p w:rsidR="00E95EB0" w:rsidRPr="00E65146" w:rsidRDefault="00E95EB0" w:rsidP="00CA718F">
      <w:pPr>
        <w:pStyle w:val="ColorfulList-Accent11"/>
        <w:numPr>
          <w:ilvl w:val="0"/>
          <w:numId w:val="8"/>
        </w:numPr>
        <w:pBdr>
          <w:bottom w:val="single" w:sz="6" w:space="1" w:color="auto"/>
        </w:pBdr>
        <w:tabs>
          <w:tab w:val="left" w:pos="1980"/>
        </w:tabs>
        <w:outlineLvl w:val="0"/>
        <w:rPr>
          <w:rFonts w:ascii="Arial" w:hAnsi="Arial" w:cs="Arial"/>
          <w:b/>
          <w:sz w:val="20"/>
          <w:szCs w:val="22"/>
        </w:rPr>
      </w:pPr>
      <w:bookmarkStart w:id="115" w:name="_Toc423359366"/>
      <w:r w:rsidRPr="00E65146">
        <w:rPr>
          <w:rFonts w:ascii="Arial" w:hAnsi="Arial" w:cs="Arial"/>
          <w:b/>
          <w:sz w:val="22"/>
        </w:rPr>
        <w:t>GENDER DATA</w:t>
      </w:r>
      <w:bookmarkEnd w:id="115"/>
    </w:p>
    <w:p w:rsidR="0062662E" w:rsidRPr="00E65146" w:rsidRDefault="0062662E" w:rsidP="0062662E">
      <w:pPr>
        <w:pStyle w:val="ColorfulList-Accent11"/>
        <w:tabs>
          <w:tab w:val="left" w:pos="1980"/>
        </w:tabs>
        <w:spacing w:before="240" w:after="120"/>
        <w:ind w:left="0"/>
        <w:jc w:val="center"/>
        <w:rPr>
          <w:rFonts w:ascii="Arial" w:hAnsi="Arial" w:cs="Arial"/>
          <w:b/>
          <w:sz w:val="20"/>
          <w:szCs w:val="22"/>
        </w:rPr>
      </w:pPr>
    </w:p>
    <w:p w:rsidR="00831399" w:rsidRPr="00E65146" w:rsidRDefault="00AF5D12" w:rsidP="0062662E">
      <w:pPr>
        <w:pStyle w:val="ColorfulList-Accent11"/>
        <w:tabs>
          <w:tab w:val="left" w:pos="1980"/>
        </w:tabs>
        <w:spacing w:before="240" w:after="120"/>
        <w:ind w:left="0"/>
        <w:jc w:val="center"/>
        <w:rPr>
          <w:rFonts w:ascii="Arial" w:hAnsi="Arial" w:cs="Arial"/>
          <w:b/>
          <w:sz w:val="20"/>
          <w:szCs w:val="22"/>
        </w:rPr>
      </w:pPr>
      <w:r w:rsidRPr="00E65146">
        <w:rPr>
          <w:rFonts w:ascii="Arial" w:hAnsi="Arial" w:cs="Arial"/>
          <w:b/>
          <w:sz w:val="20"/>
          <w:szCs w:val="22"/>
        </w:rPr>
        <w:t xml:space="preserve">Table 13.1: </w:t>
      </w:r>
      <w:r w:rsidRPr="00E65146">
        <w:rPr>
          <w:rFonts w:ascii="Arial" w:hAnsi="Arial" w:cs="Arial"/>
          <w:b/>
          <w:sz w:val="20"/>
          <w:szCs w:val="20"/>
        </w:rPr>
        <w:t>Implementation status of the GEMS at 31 May 2014 (with updates at June 2015)</w:t>
      </w:r>
    </w:p>
    <w:tbl>
      <w:tblPr>
        <w:tblpPr w:leftFromText="180" w:rightFromText="180" w:vertAnchor="text" w:horzAnchor="margin" w:tblpX="205" w:tblpY="771"/>
        <w:tblW w:w="13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66"/>
        <w:gridCol w:w="2659"/>
        <w:gridCol w:w="1701"/>
        <w:gridCol w:w="2349"/>
        <w:gridCol w:w="2700"/>
        <w:gridCol w:w="3544"/>
      </w:tblGrid>
      <w:tr w:rsidR="00831399" w:rsidRPr="00E65146" w:rsidTr="00810A4A">
        <w:trPr>
          <w:tblHeader/>
        </w:trPr>
        <w:tc>
          <w:tcPr>
            <w:tcW w:w="966" w:type="dxa"/>
          </w:tcPr>
          <w:p w:rsidR="00831399" w:rsidRPr="00075768" w:rsidRDefault="00831399" w:rsidP="00810A4A">
            <w:pPr>
              <w:keepLines/>
              <w:rPr>
                <w:rFonts w:ascii="Arial" w:hAnsi="Arial" w:cs="Arial"/>
                <w:b/>
                <w:sz w:val="19"/>
                <w:szCs w:val="19"/>
              </w:rPr>
            </w:pPr>
            <w:r w:rsidRPr="00075768">
              <w:rPr>
                <w:rFonts w:ascii="Arial" w:hAnsi="Arial" w:cs="Arial"/>
                <w:b/>
                <w:sz w:val="19"/>
                <w:szCs w:val="19"/>
              </w:rPr>
              <w:t>Output</w:t>
            </w:r>
          </w:p>
        </w:tc>
        <w:tc>
          <w:tcPr>
            <w:tcW w:w="2659" w:type="dxa"/>
          </w:tcPr>
          <w:p w:rsidR="00831399" w:rsidRPr="00075768" w:rsidRDefault="00831399" w:rsidP="00810A4A">
            <w:pPr>
              <w:keepLines/>
              <w:jc w:val="center"/>
              <w:rPr>
                <w:rFonts w:ascii="Arial" w:hAnsi="Arial" w:cs="Arial"/>
                <w:b/>
                <w:sz w:val="19"/>
                <w:szCs w:val="19"/>
              </w:rPr>
            </w:pPr>
            <w:r w:rsidRPr="00075768">
              <w:rPr>
                <w:rFonts w:ascii="Arial" w:hAnsi="Arial" w:cs="Arial"/>
                <w:b/>
                <w:sz w:val="19"/>
                <w:szCs w:val="19"/>
              </w:rPr>
              <w:t>Measures to Address Gender and Ethnic Minority (GEM) Concerns</w:t>
            </w:r>
          </w:p>
        </w:tc>
        <w:tc>
          <w:tcPr>
            <w:tcW w:w="1701" w:type="dxa"/>
            <w:shd w:val="clear" w:color="auto" w:fill="auto"/>
          </w:tcPr>
          <w:p w:rsidR="00831399" w:rsidRPr="00075768" w:rsidRDefault="00831399" w:rsidP="00810A4A">
            <w:pPr>
              <w:keepLines/>
              <w:rPr>
                <w:rFonts w:ascii="Arial" w:hAnsi="Arial" w:cs="Arial"/>
                <w:b/>
                <w:sz w:val="19"/>
                <w:szCs w:val="19"/>
              </w:rPr>
            </w:pPr>
            <w:r w:rsidRPr="00075768">
              <w:rPr>
                <w:rFonts w:ascii="Arial" w:hAnsi="Arial" w:cs="Arial"/>
                <w:b/>
                <w:sz w:val="19"/>
                <w:szCs w:val="19"/>
              </w:rPr>
              <w:t>Responsibility</w:t>
            </w:r>
          </w:p>
        </w:tc>
        <w:tc>
          <w:tcPr>
            <w:tcW w:w="2349" w:type="dxa"/>
          </w:tcPr>
          <w:p w:rsidR="00831399" w:rsidRPr="00075768" w:rsidRDefault="00831399" w:rsidP="00810A4A">
            <w:pPr>
              <w:keepLines/>
              <w:jc w:val="center"/>
              <w:rPr>
                <w:rFonts w:ascii="Arial" w:hAnsi="Arial" w:cs="Arial"/>
                <w:b/>
                <w:sz w:val="19"/>
                <w:szCs w:val="19"/>
              </w:rPr>
            </w:pPr>
            <w:r w:rsidRPr="00075768">
              <w:rPr>
                <w:rFonts w:ascii="Arial" w:hAnsi="Arial" w:cs="Arial"/>
                <w:b/>
                <w:sz w:val="19"/>
                <w:szCs w:val="19"/>
              </w:rPr>
              <w:t xml:space="preserve">Implementation Status as reported in PMU MTR 31 July 2013 </w:t>
            </w:r>
          </w:p>
        </w:tc>
        <w:tc>
          <w:tcPr>
            <w:tcW w:w="2700" w:type="dxa"/>
          </w:tcPr>
          <w:p w:rsidR="00831399" w:rsidRPr="00075768" w:rsidRDefault="00831399" w:rsidP="00810A4A">
            <w:pPr>
              <w:keepLines/>
              <w:jc w:val="center"/>
              <w:rPr>
                <w:rFonts w:ascii="Arial" w:hAnsi="Arial" w:cs="Arial"/>
                <w:b/>
                <w:sz w:val="19"/>
                <w:szCs w:val="19"/>
              </w:rPr>
            </w:pPr>
            <w:r w:rsidRPr="00075768">
              <w:rPr>
                <w:rFonts w:ascii="Arial" w:hAnsi="Arial" w:cs="Arial"/>
                <w:b/>
                <w:sz w:val="19"/>
                <w:szCs w:val="19"/>
              </w:rPr>
              <w:t>Implementation Status as found by International Consultant in May 2014</w:t>
            </w:r>
          </w:p>
        </w:tc>
        <w:tc>
          <w:tcPr>
            <w:tcW w:w="3544" w:type="dxa"/>
          </w:tcPr>
          <w:p w:rsidR="00831399" w:rsidRPr="00075768" w:rsidRDefault="00831399" w:rsidP="00810A4A">
            <w:pPr>
              <w:keepLines/>
              <w:jc w:val="center"/>
              <w:rPr>
                <w:rFonts w:ascii="Arial" w:hAnsi="Arial" w:cs="Arial"/>
                <w:b/>
                <w:sz w:val="19"/>
                <w:szCs w:val="19"/>
              </w:rPr>
            </w:pPr>
            <w:r w:rsidRPr="00075768">
              <w:rPr>
                <w:rFonts w:ascii="Arial" w:hAnsi="Arial" w:cs="Arial"/>
                <w:b/>
                <w:sz w:val="19"/>
                <w:szCs w:val="19"/>
              </w:rPr>
              <w:t>Status by June 2015</w:t>
            </w:r>
          </w:p>
        </w:tc>
      </w:tr>
      <w:tr w:rsidR="00831399" w:rsidRPr="00E65146" w:rsidTr="00810A4A">
        <w:tc>
          <w:tcPr>
            <w:tcW w:w="10375" w:type="dxa"/>
            <w:gridSpan w:val="5"/>
          </w:tcPr>
          <w:p w:rsidR="00831399" w:rsidRPr="00075768" w:rsidRDefault="00831399" w:rsidP="00810A4A">
            <w:pPr>
              <w:keepLines/>
              <w:rPr>
                <w:rFonts w:ascii="Arial" w:hAnsi="Arial" w:cs="Arial"/>
                <w:b/>
                <w:sz w:val="19"/>
                <w:szCs w:val="19"/>
              </w:rPr>
            </w:pPr>
            <w:r w:rsidRPr="00075768">
              <w:rPr>
                <w:rFonts w:ascii="Arial" w:hAnsi="Arial" w:cs="Arial"/>
                <w:b/>
                <w:sz w:val="19"/>
                <w:szCs w:val="19"/>
              </w:rPr>
              <w:t>1. Better Planning and Management of Human Resources</w:t>
            </w:r>
          </w:p>
        </w:tc>
        <w:tc>
          <w:tcPr>
            <w:tcW w:w="3544" w:type="dxa"/>
          </w:tcPr>
          <w:p w:rsidR="00831399" w:rsidRPr="00075768" w:rsidRDefault="00831399" w:rsidP="00810A4A">
            <w:pPr>
              <w:keepLines/>
              <w:rPr>
                <w:rFonts w:ascii="Arial" w:hAnsi="Arial" w:cs="Arial"/>
                <w:b/>
                <w:sz w:val="19"/>
                <w:szCs w:val="19"/>
              </w:rPr>
            </w:pPr>
          </w:p>
        </w:tc>
      </w:tr>
      <w:tr w:rsidR="00831399" w:rsidRPr="00E65146" w:rsidTr="00810A4A">
        <w:tc>
          <w:tcPr>
            <w:tcW w:w="10375" w:type="dxa"/>
            <w:gridSpan w:val="5"/>
          </w:tcPr>
          <w:p w:rsidR="00831399" w:rsidRPr="00075768" w:rsidRDefault="00831399" w:rsidP="00810A4A">
            <w:pPr>
              <w:keepLines/>
              <w:rPr>
                <w:rFonts w:ascii="Arial" w:hAnsi="Arial" w:cs="Arial"/>
                <w:b/>
                <w:sz w:val="19"/>
                <w:szCs w:val="19"/>
              </w:rPr>
            </w:pPr>
            <w:r w:rsidRPr="00075768">
              <w:rPr>
                <w:rFonts w:ascii="Arial" w:hAnsi="Arial" w:cs="Arial"/>
                <w:b/>
                <w:sz w:val="19"/>
                <w:szCs w:val="19"/>
              </w:rPr>
              <w:t>Policy Measures</w:t>
            </w:r>
          </w:p>
        </w:tc>
        <w:tc>
          <w:tcPr>
            <w:tcW w:w="3544" w:type="dxa"/>
          </w:tcPr>
          <w:p w:rsidR="00831399" w:rsidRPr="00075768" w:rsidRDefault="00831399" w:rsidP="00810A4A">
            <w:pPr>
              <w:keepLines/>
              <w:rPr>
                <w:rFonts w:ascii="Arial" w:hAnsi="Arial" w:cs="Arial"/>
                <w:b/>
                <w:sz w:val="19"/>
                <w:szCs w:val="19"/>
              </w:rPr>
            </w:pPr>
          </w:p>
        </w:tc>
      </w:tr>
      <w:tr w:rsidR="00831399" w:rsidRPr="00E65146" w:rsidTr="00810A4A">
        <w:trPr>
          <w:trHeight w:val="1088"/>
        </w:trPr>
        <w:tc>
          <w:tcPr>
            <w:tcW w:w="966" w:type="dxa"/>
            <w:shd w:val="clear" w:color="auto" w:fill="auto"/>
          </w:tcPr>
          <w:p w:rsidR="00831399" w:rsidRPr="00075768" w:rsidRDefault="00831399" w:rsidP="00810A4A">
            <w:pPr>
              <w:keepLines/>
              <w:rPr>
                <w:rFonts w:ascii="Arial" w:hAnsi="Arial" w:cs="Arial"/>
                <w:b/>
                <w:sz w:val="19"/>
                <w:szCs w:val="19"/>
              </w:rPr>
            </w:pPr>
          </w:p>
        </w:tc>
        <w:tc>
          <w:tcPr>
            <w:tcW w:w="2659" w:type="dxa"/>
            <w:shd w:val="clear" w:color="auto" w:fill="auto"/>
          </w:tcPr>
          <w:p w:rsidR="00831399" w:rsidRPr="00075768" w:rsidRDefault="00831399" w:rsidP="00810A4A">
            <w:pPr>
              <w:keepLines/>
              <w:rPr>
                <w:rFonts w:ascii="Arial" w:hAnsi="Arial" w:cs="Arial"/>
                <w:sz w:val="19"/>
                <w:szCs w:val="19"/>
              </w:rPr>
            </w:pPr>
            <w:r w:rsidRPr="00075768">
              <w:rPr>
                <w:rFonts w:ascii="Arial" w:hAnsi="Arial" w:cs="Arial"/>
                <w:sz w:val="19"/>
                <w:szCs w:val="19"/>
              </w:rPr>
              <w:t>Socioeconomic analysis, including gender, EM and poverty impacts, of the Law on Examination and Treatment (LET), is completed and submitted to the Prime Minister.</w:t>
            </w:r>
          </w:p>
          <w:p w:rsidR="00831399" w:rsidRPr="00075768" w:rsidRDefault="00831399" w:rsidP="00810A4A">
            <w:pPr>
              <w:keepLines/>
              <w:rPr>
                <w:rFonts w:ascii="Arial" w:hAnsi="Arial" w:cs="Arial"/>
                <w:sz w:val="19"/>
                <w:szCs w:val="19"/>
              </w:rPr>
            </w:pPr>
          </w:p>
        </w:tc>
        <w:tc>
          <w:tcPr>
            <w:tcW w:w="1701" w:type="dxa"/>
            <w:vMerge w:val="restart"/>
            <w:shd w:val="clear" w:color="auto" w:fill="auto"/>
          </w:tcPr>
          <w:p w:rsidR="00831399" w:rsidRPr="00075768" w:rsidRDefault="00831399" w:rsidP="00810A4A">
            <w:pPr>
              <w:keepLines/>
              <w:rPr>
                <w:rFonts w:ascii="Arial" w:hAnsi="Arial" w:cs="Arial"/>
                <w:sz w:val="19"/>
                <w:szCs w:val="19"/>
              </w:rPr>
            </w:pPr>
            <w:r w:rsidRPr="00075768">
              <w:rPr>
                <w:rFonts w:ascii="Arial" w:hAnsi="Arial" w:cs="Arial"/>
                <w:sz w:val="19"/>
                <w:szCs w:val="19"/>
              </w:rPr>
              <w:t>MOH/DHL, MOH/DST and HHR Committee</w:t>
            </w:r>
          </w:p>
        </w:tc>
        <w:tc>
          <w:tcPr>
            <w:tcW w:w="2349" w:type="dxa"/>
          </w:tcPr>
          <w:p w:rsidR="00831399" w:rsidRPr="00075768" w:rsidRDefault="00831399" w:rsidP="00810A4A">
            <w:pPr>
              <w:keepLines/>
              <w:tabs>
                <w:tab w:val="left" w:pos="7655"/>
                <w:tab w:val="left" w:pos="7938"/>
              </w:tabs>
              <w:ind w:left="162"/>
              <w:rPr>
                <w:rFonts w:ascii="Arial" w:hAnsi="Arial" w:cs="Arial"/>
                <w:sz w:val="19"/>
                <w:szCs w:val="19"/>
              </w:rPr>
            </w:pPr>
            <w:r w:rsidRPr="00075768">
              <w:rPr>
                <w:rFonts w:ascii="Arial" w:hAnsi="Arial" w:cs="Arial"/>
                <w:sz w:val="19"/>
                <w:szCs w:val="19"/>
              </w:rPr>
              <w:t>Law on examination and treatment (LET) issued on 23/11/2009 and effective in 1/2011, In LET, there are in Article No. 4; No. 9 and No.86 these are specific to mention on Gender and EM</w:t>
            </w:r>
          </w:p>
        </w:tc>
        <w:tc>
          <w:tcPr>
            <w:tcW w:w="2700"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LET contains a general principle of equal access to treatment as well as a principle of budget and resources allocation for poor areas.</w:t>
            </w:r>
          </w:p>
        </w:tc>
        <w:tc>
          <w:tcPr>
            <w:tcW w:w="3544"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Licensing by the end of 2014:</w:t>
            </w:r>
          </w:p>
          <w:p w:rsidR="00831399" w:rsidRPr="00075768" w:rsidRDefault="00831399" w:rsidP="00810A4A">
            <w:pPr>
              <w:keepLines/>
              <w:rPr>
                <w:rFonts w:ascii="Arial" w:hAnsi="Arial" w:cs="Arial"/>
                <w:sz w:val="19"/>
                <w:szCs w:val="19"/>
              </w:rPr>
            </w:pPr>
            <w:r w:rsidRPr="00075768">
              <w:rPr>
                <w:rFonts w:ascii="Arial" w:hAnsi="Arial" w:cs="Arial"/>
                <w:sz w:val="19"/>
                <w:szCs w:val="19"/>
              </w:rPr>
              <w:t>Female: 151531 (66%)</w:t>
            </w:r>
          </w:p>
          <w:p w:rsidR="00831399" w:rsidRPr="00075768" w:rsidRDefault="00831399" w:rsidP="00810A4A">
            <w:pPr>
              <w:keepLines/>
              <w:rPr>
                <w:rFonts w:ascii="Arial" w:hAnsi="Arial" w:cs="Arial"/>
                <w:sz w:val="19"/>
                <w:szCs w:val="19"/>
              </w:rPr>
            </w:pPr>
            <w:r w:rsidRPr="00075768">
              <w:rPr>
                <w:rFonts w:ascii="Arial" w:hAnsi="Arial" w:cs="Arial"/>
                <w:sz w:val="19"/>
                <w:szCs w:val="19"/>
              </w:rPr>
              <w:t>Male: 77107 (34%)</w:t>
            </w:r>
          </w:p>
          <w:p w:rsidR="00831399" w:rsidRPr="00075768" w:rsidRDefault="00831399" w:rsidP="00810A4A">
            <w:pPr>
              <w:keepLines/>
              <w:rPr>
                <w:rFonts w:ascii="Arial" w:hAnsi="Arial" w:cs="Arial"/>
                <w:sz w:val="19"/>
                <w:szCs w:val="19"/>
              </w:rPr>
            </w:pPr>
            <w:r w:rsidRPr="00075768">
              <w:rPr>
                <w:rFonts w:ascii="Arial" w:hAnsi="Arial" w:cs="Arial"/>
                <w:sz w:val="19"/>
                <w:szCs w:val="19"/>
              </w:rPr>
              <w:t>Kinh: 194103 (84%)</w:t>
            </w:r>
          </w:p>
          <w:p w:rsidR="00831399" w:rsidRPr="00075768" w:rsidRDefault="00831399" w:rsidP="00810A4A">
            <w:pPr>
              <w:keepLines/>
              <w:rPr>
                <w:rFonts w:ascii="Arial" w:hAnsi="Arial" w:cs="Arial"/>
                <w:sz w:val="19"/>
                <w:szCs w:val="19"/>
              </w:rPr>
            </w:pPr>
            <w:r w:rsidRPr="00075768">
              <w:rPr>
                <w:rFonts w:ascii="Arial" w:hAnsi="Arial" w:cs="Arial"/>
                <w:sz w:val="19"/>
                <w:szCs w:val="19"/>
              </w:rPr>
              <w:t>EM: 35941 (16%)</w:t>
            </w:r>
          </w:p>
          <w:p w:rsidR="00831399" w:rsidRPr="00075768" w:rsidRDefault="00831399" w:rsidP="00810A4A">
            <w:pPr>
              <w:keepLines/>
              <w:rPr>
                <w:rFonts w:ascii="Arial" w:hAnsi="Arial" w:cs="Arial"/>
                <w:sz w:val="19"/>
                <w:szCs w:val="19"/>
              </w:rPr>
            </w:pPr>
            <w:r w:rsidRPr="00075768">
              <w:rPr>
                <w:rFonts w:ascii="Arial" w:hAnsi="Arial" w:cs="Arial"/>
                <w:sz w:val="19"/>
                <w:szCs w:val="19"/>
              </w:rPr>
              <w:t>Total: 230044 (100%)</w:t>
            </w:r>
          </w:p>
        </w:tc>
      </w:tr>
      <w:tr w:rsidR="00831399" w:rsidRPr="00E65146" w:rsidTr="00810A4A">
        <w:trPr>
          <w:trHeight w:val="1088"/>
        </w:trPr>
        <w:tc>
          <w:tcPr>
            <w:tcW w:w="966" w:type="dxa"/>
            <w:shd w:val="clear" w:color="auto" w:fill="auto"/>
          </w:tcPr>
          <w:p w:rsidR="00831399" w:rsidRPr="00075768" w:rsidRDefault="00831399" w:rsidP="00810A4A">
            <w:pPr>
              <w:keepLines/>
              <w:rPr>
                <w:rFonts w:ascii="Arial" w:hAnsi="Arial" w:cs="Arial"/>
                <w:b/>
                <w:sz w:val="19"/>
                <w:szCs w:val="19"/>
              </w:rPr>
            </w:pPr>
          </w:p>
        </w:tc>
        <w:tc>
          <w:tcPr>
            <w:tcW w:w="2659" w:type="dxa"/>
            <w:shd w:val="clear" w:color="auto" w:fill="auto"/>
          </w:tcPr>
          <w:p w:rsidR="00831399" w:rsidRPr="00075768" w:rsidRDefault="00831399" w:rsidP="00810A4A">
            <w:pPr>
              <w:keepLines/>
              <w:rPr>
                <w:rFonts w:ascii="Arial" w:hAnsi="Arial" w:cs="Arial"/>
                <w:sz w:val="19"/>
                <w:szCs w:val="19"/>
              </w:rPr>
            </w:pPr>
            <w:r w:rsidRPr="00075768">
              <w:rPr>
                <w:rFonts w:ascii="Arial" w:hAnsi="Arial" w:cs="Arial"/>
                <w:sz w:val="19"/>
                <w:szCs w:val="19"/>
              </w:rPr>
              <w:t>Ensure gender balance in the Joint Committee on health human resources (HHR Committee) secretariat at all levels</w:t>
            </w:r>
          </w:p>
          <w:p w:rsidR="00831399" w:rsidRPr="00075768" w:rsidRDefault="00831399" w:rsidP="00810A4A">
            <w:pPr>
              <w:keepLines/>
              <w:rPr>
                <w:rFonts w:ascii="Arial" w:hAnsi="Arial" w:cs="Arial"/>
                <w:sz w:val="19"/>
                <w:szCs w:val="19"/>
              </w:rPr>
            </w:pPr>
          </w:p>
        </w:tc>
        <w:tc>
          <w:tcPr>
            <w:tcW w:w="1701" w:type="dxa"/>
            <w:vMerge/>
            <w:shd w:val="clear" w:color="auto" w:fill="auto"/>
          </w:tcPr>
          <w:p w:rsidR="00831399" w:rsidRPr="00075768" w:rsidRDefault="00831399" w:rsidP="00810A4A">
            <w:pPr>
              <w:keepLines/>
              <w:rPr>
                <w:rFonts w:ascii="Arial" w:hAnsi="Arial" w:cs="Arial"/>
                <w:sz w:val="19"/>
                <w:szCs w:val="19"/>
              </w:rPr>
            </w:pPr>
          </w:p>
        </w:tc>
        <w:tc>
          <w:tcPr>
            <w:tcW w:w="2349" w:type="dxa"/>
          </w:tcPr>
          <w:p w:rsidR="00831399" w:rsidRPr="00075768" w:rsidRDefault="00831399" w:rsidP="00810A4A">
            <w:pPr>
              <w:keepLines/>
              <w:tabs>
                <w:tab w:val="left" w:pos="7655"/>
                <w:tab w:val="left" w:pos="7938"/>
              </w:tabs>
              <w:ind w:left="162"/>
              <w:rPr>
                <w:rFonts w:ascii="Arial" w:hAnsi="Arial" w:cs="Arial"/>
                <w:sz w:val="19"/>
                <w:szCs w:val="19"/>
              </w:rPr>
            </w:pPr>
            <w:r w:rsidRPr="00075768">
              <w:rPr>
                <w:rFonts w:ascii="Arial" w:hAnsi="Arial" w:cs="Arial"/>
                <w:sz w:val="19"/>
                <w:szCs w:val="19"/>
              </w:rPr>
              <w:t>HHR Committee established and completed including 17 members, 11.76% female (2/17) and the secretariat panel have 4 member, 75% female (3/4)</w:t>
            </w:r>
          </w:p>
        </w:tc>
        <w:tc>
          <w:tcPr>
            <w:tcW w:w="2700"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 xml:space="preserve">HHR Committee very gender imbalanced, JC Secretariat gender overbalance with 75% women but with male Head.  </w:t>
            </w:r>
          </w:p>
          <w:p w:rsidR="00831399" w:rsidRPr="00075768" w:rsidRDefault="00831399" w:rsidP="00810A4A">
            <w:pPr>
              <w:keepLines/>
              <w:rPr>
                <w:rFonts w:ascii="Arial" w:hAnsi="Arial" w:cs="Arial"/>
                <w:sz w:val="19"/>
                <w:szCs w:val="19"/>
              </w:rPr>
            </w:pPr>
          </w:p>
          <w:p w:rsidR="00831399" w:rsidRPr="00075768" w:rsidRDefault="00831399" w:rsidP="00810A4A">
            <w:pPr>
              <w:keepLines/>
              <w:rPr>
                <w:rFonts w:ascii="Arial" w:hAnsi="Arial" w:cs="Arial"/>
                <w:sz w:val="19"/>
                <w:szCs w:val="19"/>
              </w:rPr>
            </w:pPr>
            <w:r w:rsidRPr="00075768">
              <w:rPr>
                <w:rFonts w:ascii="Arial" w:hAnsi="Arial" w:cs="Arial"/>
                <w:sz w:val="19"/>
                <w:szCs w:val="19"/>
              </w:rPr>
              <w:t>Recruitment of new members for JC is ongoing, leading to a new ministerial decision of the JC establishment.</w:t>
            </w:r>
          </w:p>
        </w:tc>
        <w:tc>
          <w:tcPr>
            <w:tcW w:w="3544"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Decision 3651/QD-BYT dated 16 September 2014:</w:t>
            </w:r>
          </w:p>
          <w:p w:rsidR="00831399" w:rsidRPr="00075768" w:rsidRDefault="00831399" w:rsidP="00810A4A">
            <w:pPr>
              <w:keepLines/>
              <w:rPr>
                <w:rFonts w:ascii="Arial" w:hAnsi="Arial" w:cs="Arial"/>
                <w:sz w:val="19"/>
                <w:szCs w:val="19"/>
              </w:rPr>
            </w:pPr>
            <w:r w:rsidRPr="00075768">
              <w:rPr>
                <w:rFonts w:ascii="Arial" w:hAnsi="Arial" w:cs="Arial"/>
                <w:sz w:val="19"/>
                <w:szCs w:val="19"/>
              </w:rPr>
              <w:t>HHR Committee consists of 16 males and 4 females, JC Secretariat consists of 3 males and 4 females.</w:t>
            </w:r>
          </w:p>
          <w:p w:rsidR="00831399" w:rsidRPr="00075768" w:rsidRDefault="00831399" w:rsidP="00810A4A">
            <w:pPr>
              <w:keepLines/>
              <w:rPr>
                <w:rFonts w:ascii="Arial" w:hAnsi="Arial" w:cs="Arial"/>
                <w:sz w:val="19"/>
                <w:szCs w:val="19"/>
              </w:rPr>
            </w:pPr>
          </w:p>
          <w:p w:rsidR="00831399" w:rsidRPr="00075768" w:rsidRDefault="00831399" w:rsidP="00810A4A">
            <w:pPr>
              <w:keepLines/>
              <w:rPr>
                <w:rFonts w:ascii="Arial" w:hAnsi="Arial" w:cs="Arial"/>
                <w:sz w:val="19"/>
                <w:szCs w:val="19"/>
              </w:rPr>
            </w:pPr>
            <w:r w:rsidRPr="00075768">
              <w:rPr>
                <w:rFonts w:ascii="Arial" w:hAnsi="Arial" w:cs="Arial"/>
                <w:sz w:val="19"/>
                <w:szCs w:val="19"/>
              </w:rPr>
              <w:t>More female participation in JC Committee and Secretariat is the direct result of recommendation of the national gender consultant to the leaders of MOH.</w:t>
            </w:r>
          </w:p>
        </w:tc>
      </w:tr>
      <w:tr w:rsidR="00831399" w:rsidRPr="00E65146" w:rsidTr="00810A4A">
        <w:tc>
          <w:tcPr>
            <w:tcW w:w="966" w:type="dxa"/>
            <w:shd w:val="clear" w:color="auto" w:fill="auto"/>
          </w:tcPr>
          <w:p w:rsidR="00831399" w:rsidRPr="00075768" w:rsidRDefault="00831399" w:rsidP="00810A4A">
            <w:pPr>
              <w:keepLines/>
              <w:rPr>
                <w:rFonts w:ascii="Arial" w:hAnsi="Arial" w:cs="Arial"/>
                <w:b/>
                <w:sz w:val="19"/>
                <w:szCs w:val="19"/>
              </w:rPr>
            </w:pPr>
          </w:p>
        </w:tc>
        <w:tc>
          <w:tcPr>
            <w:tcW w:w="2659" w:type="dxa"/>
            <w:shd w:val="clear" w:color="auto" w:fill="auto"/>
          </w:tcPr>
          <w:p w:rsidR="00831399" w:rsidRPr="00075768" w:rsidRDefault="00831399" w:rsidP="00810A4A">
            <w:pPr>
              <w:keepLines/>
              <w:rPr>
                <w:rFonts w:ascii="Arial" w:hAnsi="Arial" w:cs="Arial"/>
                <w:sz w:val="19"/>
                <w:szCs w:val="19"/>
              </w:rPr>
            </w:pPr>
            <w:r w:rsidRPr="00075768">
              <w:rPr>
                <w:rFonts w:ascii="Arial" w:hAnsi="Arial" w:cs="Arial"/>
                <w:sz w:val="19"/>
                <w:szCs w:val="19"/>
              </w:rPr>
              <w:t>Develop measures to improve the gender balance at senior levels of MOH and in provincial health departments with a target increase of at least 10% by 2013</w:t>
            </w:r>
          </w:p>
        </w:tc>
        <w:tc>
          <w:tcPr>
            <w:tcW w:w="1701" w:type="dxa"/>
            <w:vMerge/>
            <w:shd w:val="clear" w:color="auto" w:fill="auto"/>
          </w:tcPr>
          <w:p w:rsidR="00831399" w:rsidRPr="00075768" w:rsidRDefault="00831399" w:rsidP="00810A4A">
            <w:pPr>
              <w:keepLines/>
              <w:rPr>
                <w:rFonts w:ascii="Arial" w:hAnsi="Arial" w:cs="Arial"/>
                <w:sz w:val="19"/>
                <w:szCs w:val="19"/>
              </w:rPr>
            </w:pPr>
          </w:p>
        </w:tc>
        <w:tc>
          <w:tcPr>
            <w:tcW w:w="2349" w:type="dxa"/>
          </w:tcPr>
          <w:p w:rsidR="00831399" w:rsidRPr="00075768" w:rsidRDefault="00831399" w:rsidP="00810A4A">
            <w:pPr>
              <w:keepLines/>
              <w:rPr>
                <w:rFonts w:ascii="Arial" w:hAnsi="Arial" w:cs="Arial"/>
                <w:sz w:val="19"/>
                <w:szCs w:val="19"/>
              </w:rPr>
            </w:pPr>
          </w:p>
          <w:p w:rsidR="00831399" w:rsidRPr="00075768" w:rsidRDefault="00831399" w:rsidP="00810A4A">
            <w:pPr>
              <w:keepLines/>
              <w:jc w:val="center"/>
              <w:rPr>
                <w:rFonts w:ascii="Arial" w:hAnsi="Arial" w:cs="Arial"/>
                <w:sz w:val="19"/>
                <w:szCs w:val="19"/>
              </w:rPr>
            </w:pPr>
            <w:r w:rsidRPr="00075768">
              <w:rPr>
                <w:rFonts w:ascii="Arial" w:hAnsi="Arial" w:cs="Arial"/>
                <w:sz w:val="19"/>
                <w:szCs w:val="19"/>
              </w:rPr>
              <w:t>- - -</w:t>
            </w:r>
          </w:p>
        </w:tc>
        <w:tc>
          <w:tcPr>
            <w:tcW w:w="2700"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This issue appears not to have received any attention. According to oral information from CFAW, the proportion of female leaders has increased, however the Consultant could not verify this with data from MOH.</w:t>
            </w:r>
          </w:p>
        </w:tc>
        <w:tc>
          <w:tcPr>
            <w:tcW w:w="3544"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At the end of 2014 within the MoH:</w:t>
            </w:r>
          </w:p>
          <w:p w:rsidR="00831399" w:rsidRPr="00075768" w:rsidRDefault="00831399" w:rsidP="00CA718F">
            <w:pPr>
              <w:pStyle w:val="ColorfulList-Accent11"/>
              <w:keepLines/>
              <w:numPr>
                <w:ilvl w:val="0"/>
                <w:numId w:val="17"/>
              </w:numPr>
              <w:rPr>
                <w:rFonts w:ascii="Arial" w:hAnsi="Arial" w:cs="Arial"/>
                <w:sz w:val="19"/>
                <w:szCs w:val="19"/>
              </w:rPr>
            </w:pPr>
            <w:r w:rsidRPr="00075768">
              <w:rPr>
                <w:rFonts w:ascii="Arial" w:hAnsi="Arial" w:cs="Arial"/>
                <w:sz w:val="19"/>
                <w:szCs w:val="19"/>
              </w:rPr>
              <w:t>6.3% of Department Heads are women</w:t>
            </w:r>
          </w:p>
          <w:p w:rsidR="00831399" w:rsidRPr="00075768" w:rsidRDefault="00831399" w:rsidP="00CA718F">
            <w:pPr>
              <w:pStyle w:val="ColorfulList-Accent11"/>
              <w:keepLines/>
              <w:numPr>
                <w:ilvl w:val="0"/>
                <w:numId w:val="17"/>
              </w:numPr>
              <w:rPr>
                <w:rFonts w:ascii="Arial" w:hAnsi="Arial" w:cs="Arial"/>
                <w:sz w:val="19"/>
                <w:szCs w:val="19"/>
              </w:rPr>
            </w:pPr>
            <w:r w:rsidRPr="00075768">
              <w:rPr>
                <w:rFonts w:ascii="Arial" w:hAnsi="Arial" w:cs="Arial"/>
                <w:sz w:val="19"/>
                <w:szCs w:val="19"/>
              </w:rPr>
              <w:t>15.8% of Department Heads and Vice Heads combined are women</w:t>
            </w:r>
          </w:p>
          <w:p w:rsidR="00831399" w:rsidRPr="00075768" w:rsidRDefault="00831399" w:rsidP="00810A4A">
            <w:pPr>
              <w:keepLines/>
              <w:rPr>
                <w:rFonts w:ascii="Arial" w:hAnsi="Arial" w:cs="Arial"/>
                <w:sz w:val="19"/>
                <w:szCs w:val="19"/>
              </w:rPr>
            </w:pPr>
          </w:p>
          <w:p w:rsidR="00831399" w:rsidRPr="00075768" w:rsidRDefault="00831399" w:rsidP="00810A4A">
            <w:pPr>
              <w:keepLines/>
              <w:rPr>
                <w:rFonts w:ascii="Arial" w:hAnsi="Arial" w:cs="Arial"/>
                <w:sz w:val="19"/>
                <w:szCs w:val="19"/>
              </w:rPr>
            </w:pPr>
            <w:r w:rsidRPr="00075768">
              <w:rPr>
                <w:rFonts w:ascii="Arial" w:hAnsi="Arial" w:cs="Arial"/>
                <w:sz w:val="19"/>
                <w:szCs w:val="19"/>
              </w:rPr>
              <w:t>At the end of 2014 within Provincial DoHs (62 provinces)</w:t>
            </w:r>
          </w:p>
          <w:p w:rsidR="00831399" w:rsidRPr="00075768" w:rsidRDefault="00831399" w:rsidP="00CA718F">
            <w:pPr>
              <w:pStyle w:val="ColorfulList-Accent11"/>
              <w:keepLines/>
              <w:numPr>
                <w:ilvl w:val="0"/>
                <w:numId w:val="17"/>
              </w:numPr>
              <w:rPr>
                <w:rFonts w:ascii="Arial" w:hAnsi="Arial" w:cs="Arial"/>
                <w:sz w:val="19"/>
                <w:szCs w:val="19"/>
              </w:rPr>
            </w:pPr>
            <w:r w:rsidRPr="00075768">
              <w:rPr>
                <w:rFonts w:ascii="Arial" w:hAnsi="Arial" w:cs="Arial"/>
                <w:sz w:val="19"/>
                <w:szCs w:val="19"/>
              </w:rPr>
              <w:t>12.9 %  of Department Heads are women</w:t>
            </w:r>
          </w:p>
          <w:p w:rsidR="00831399" w:rsidRPr="00075768" w:rsidRDefault="00831399" w:rsidP="00CA718F">
            <w:pPr>
              <w:pStyle w:val="ColorfulList-Accent11"/>
              <w:keepLines/>
              <w:numPr>
                <w:ilvl w:val="0"/>
                <w:numId w:val="17"/>
              </w:numPr>
              <w:rPr>
                <w:rFonts w:ascii="Arial" w:hAnsi="Arial" w:cs="Arial"/>
                <w:sz w:val="19"/>
                <w:szCs w:val="19"/>
              </w:rPr>
            </w:pPr>
            <w:r w:rsidRPr="00075768">
              <w:rPr>
                <w:rFonts w:ascii="Arial" w:hAnsi="Arial" w:cs="Arial"/>
                <w:sz w:val="19"/>
                <w:szCs w:val="19"/>
              </w:rPr>
              <w:t>20.0% of Department Heads and Vice Heads combined are women</w:t>
            </w:r>
          </w:p>
          <w:p w:rsidR="00831399" w:rsidRPr="00075768" w:rsidRDefault="00831399" w:rsidP="00810A4A">
            <w:pPr>
              <w:keepLines/>
              <w:rPr>
                <w:rFonts w:ascii="Arial" w:hAnsi="Arial" w:cs="Arial"/>
                <w:sz w:val="19"/>
                <w:szCs w:val="19"/>
              </w:rPr>
            </w:pPr>
          </w:p>
          <w:p w:rsidR="00831399" w:rsidRPr="00075768" w:rsidRDefault="00831399" w:rsidP="00810A4A">
            <w:pPr>
              <w:keepLines/>
              <w:rPr>
                <w:rFonts w:ascii="Arial" w:hAnsi="Arial" w:cs="Arial"/>
                <w:sz w:val="19"/>
                <w:szCs w:val="19"/>
              </w:rPr>
            </w:pPr>
            <w:r w:rsidRPr="00075768">
              <w:rPr>
                <w:rFonts w:ascii="Arial" w:hAnsi="Arial" w:cs="Arial"/>
                <w:sz w:val="19"/>
                <w:szCs w:val="19"/>
              </w:rPr>
              <w:t xml:space="preserve">Decision 1730/QD-BYT dated 08 May 2015 on Instructions for planning senior positions in health sector specifically put the indicator to achieve no less than 15% women among planned leaders, and increase EM among leaders at all levels; </w:t>
            </w:r>
          </w:p>
        </w:tc>
      </w:tr>
      <w:tr w:rsidR="00831399" w:rsidRPr="00E65146" w:rsidTr="00810A4A">
        <w:tc>
          <w:tcPr>
            <w:tcW w:w="10375" w:type="dxa"/>
            <w:gridSpan w:val="5"/>
            <w:shd w:val="clear" w:color="auto" w:fill="auto"/>
          </w:tcPr>
          <w:p w:rsidR="00831399" w:rsidRPr="00075768" w:rsidRDefault="00831399" w:rsidP="00810A4A">
            <w:pPr>
              <w:keepLines/>
              <w:rPr>
                <w:rFonts w:ascii="Arial" w:hAnsi="Arial" w:cs="Arial"/>
                <w:sz w:val="19"/>
                <w:szCs w:val="19"/>
              </w:rPr>
            </w:pPr>
            <w:r w:rsidRPr="00075768">
              <w:rPr>
                <w:rFonts w:ascii="Arial" w:hAnsi="Arial" w:cs="Arial"/>
                <w:b/>
                <w:sz w:val="19"/>
                <w:szCs w:val="19"/>
              </w:rPr>
              <w:t>Project Activities</w:t>
            </w:r>
          </w:p>
        </w:tc>
        <w:tc>
          <w:tcPr>
            <w:tcW w:w="3544" w:type="dxa"/>
          </w:tcPr>
          <w:p w:rsidR="00831399" w:rsidRPr="00075768" w:rsidRDefault="00831399" w:rsidP="00810A4A">
            <w:pPr>
              <w:keepLines/>
              <w:rPr>
                <w:rFonts w:ascii="Arial" w:hAnsi="Arial" w:cs="Arial"/>
                <w:b/>
                <w:sz w:val="19"/>
                <w:szCs w:val="19"/>
              </w:rPr>
            </w:pPr>
          </w:p>
        </w:tc>
      </w:tr>
      <w:tr w:rsidR="00831399" w:rsidRPr="00E65146" w:rsidTr="00810A4A">
        <w:trPr>
          <w:trHeight w:val="485"/>
        </w:trPr>
        <w:tc>
          <w:tcPr>
            <w:tcW w:w="966" w:type="dxa"/>
          </w:tcPr>
          <w:p w:rsidR="00831399" w:rsidRPr="00075768" w:rsidRDefault="00831399" w:rsidP="00810A4A">
            <w:pPr>
              <w:keepLines/>
              <w:rPr>
                <w:rFonts w:ascii="Arial" w:hAnsi="Arial" w:cs="Arial"/>
                <w:sz w:val="19"/>
                <w:szCs w:val="19"/>
              </w:rPr>
            </w:pPr>
          </w:p>
        </w:tc>
        <w:tc>
          <w:tcPr>
            <w:tcW w:w="265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Integrate gender and EM concerns in HHR Committee’s terms of reference, HHR framework, work plan, monitoring system and budget</w:t>
            </w:r>
          </w:p>
        </w:tc>
        <w:tc>
          <w:tcPr>
            <w:tcW w:w="1701"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PMU and HHR Committee secretariat</w:t>
            </w:r>
          </w:p>
        </w:tc>
        <w:tc>
          <w:tcPr>
            <w:tcW w:w="234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Under development</w:t>
            </w:r>
          </w:p>
        </w:tc>
        <w:tc>
          <w:tcPr>
            <w:tcW w:w="2700"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GEM issues have so far not been specifically recognised.</w:t>
            </w:r>
          </w:p>
        </w:tc>
        <w:tc>
          <w:tcPr>
            <w:tcW w:w="3544"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Gender and EM have been integrated into monitoring system of the project components and database of Department of Personnel.</w:t>
            </w:r>
          </w:p>
        </w:tc>
      </w:tr>
      <w:tr w:rsidR="00831399" w:rsidRPr="00E65146" w:rsidTr="00810A4A">
        <w:trPr>
          <w:trHeight w:val="200"/>
        </w:trPr>
        <w:tc>
          <w:tcPr>
            <w:tcW w:w="966" w:type="dxa"/>
          </w:tcPr>
          <w:p w:rsidR="00831399" w:rsidRPr="00075768" w:rsidRDefault="00831399" w:rsidP="00810A4A">
            <w:pPr>
              <w:keepLines/>
              <w:rPr>
                <w:rFonts w:ascii="Arial" w:hAnsi="Arial" w:cs="Arial"/>
                <w:sz w:val="19"/>
                <w:szCs w:val="19"/>
              </w:rPr>
            </w:pPr>
          </w:p>
        </w:tc>
        <w:tc>
          <w:tcPr>
            <w:tcW w:w="265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HHR Committee report includes recommendations on (i) improving compensation, benefits and other incentives for district and commune health staff especially women in remote/EM areas; (ii) effectively integrating population/family planning workers at all levels for health promotion activities; (iii) improving the qualifications, status and compensation of village health workers and other health collaborators; (iv) extending health services to EM areas (e.g., through mobile teams); and (v) measures to improve the gender balance at senior levels of MOH and in provincial health departments.</w:t>
            </w:r>
          </w:p>
        </w:tc>
        <w:tc>
          <w:tcPr>
            <w:tcW w:w="1701"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PMU and Committee secretariat</w:t>
            </w:r>
          </w:p>
        </w:tc>
        <w:tc>
          <w:tcPr>
            <w:tcW w:w="234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Under development</w:t>
            </w:r>
          </w:p>
        </w:tc>
        <w:tc>
          <w:tcPr>
            <w:tcW w:w="2700"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 xml:space="preserve">HHR Committee Consultant report submitted in 2013, identifying problems and giving some recommendations for policy development for HHR development in remote areas. </w:t>
            </w:r>
          </w:p>
          <w:p w:rsidR="00831399" w:rsidRPr="00075768" w:rsidRDefault="00831399" w:rsidP="00810A4A">
            <w:pPr>
              <w:keepLines/>
              <w:rPr>
                <w:rFonts w:ascii="Arial" w:hAnsi="Arial" w:cs="Arial"/>
                <w:sz w:val="19"/>
                <w:szCs w:val="19"/>
              </w:rPr>
            </w:pPr>
          </w:p>
          <w:p w:rsidR="00831399" w:rsidRPr="00075768" w:rsidRDefault="00831399" w:rsidP="00810A4A">
            <w:pPr>
              <w:keepLines/>
              <w:rPr>
                <w:rFonts w:ascii="Arial" w:hAnsi="Arial" w:cs="Arial"/>
                <w:sz w:val="19"/>
                <w:szCs w:val="19"/>
              </w:rPr>
            </w:pPr>
            <w:r w:rsidRPr="00075768">
              <w:rPr>
                <w:rFonts w:ascii="Arial" w:hAnsi="Arial" w:cs="Arial"/>
                <w:sz w:val="19"/>
                <w:szCs w:val="19"/>
              </w:rPr>
              <w:t>Gender issues not assessed.</w:t>
            </w:r>
          </w:p>
        </w:tc>
        <w:tc>
          <w:tcPr>
            <w:tcW w:w="3544" w:type="dxa"/>
          </w:tcPr>
          <w:p w:rsidR="00831399" w:rsidRDefault="00831399" w:rsidP="00810A4A">
            <w:pPr>
              <w:keepLines/>
              <w:rPr>
                <w:rFonts w:ascii="Arial" w:hAnsi="Arial" w:cs="Arial"/>
                <w:sz w:val="19"/>
                <w:szCs w:val="19"/>
              </w:rPr>
            </w:pPr>
            <w:r w:rsidRPr="00075768">
              <w:rPr>
                <w:rFonts w:ascii="Arial" w:hAnsi="Arial" w:cs="Arial"/>
                <w:sz w:val="19"/>
                <w:szCs w:val="19"/>
              </w:rPr>
              <w:t>Issued POA No. 329/KH-BYT dated 26 April 2013 for advance</w:t>
            </w:r>
            <w:r w:rsidR="00C17D96">
              <w:rPr>
                <w:rFonts w:ascii="Arial" w:hAnsi="Arial" w:cs="Arial"/>
                <w:sz w:val="19"/>
                <w:szCs w:val="19"/>
              </w:rPr>
              <w:t xml:space="preserve">ment of women in health sector.  </w:t>
            </w:r>
          </w:p>
          <w:p w:rsidR="00C17D96" w:rsidRPr="00075768" w:rsidRDefault="00C17D96" w:rsidP="00810A4A">
            <w:pPr>
              <w:keepLines/>
              <w:rPr>
                <w:rFonts w:ascii="Arial" w:hAnsi="Arial" w:cs="Arial"/>
                <w:sz w:val="19"/>
                <w:szCs w:val="19"/>
              </w:rPr>
            </w:pPr>
          </w:p>
          <w:p w:rsidR="00831399" w:rsidRDefault="00831399" w:rsidP="00810A4A">
            <w:pPr>
              <w:keepLines/>
              <w:rPr>
                <w:rFonts w:ascii="Arial" w:hAnsi="Arial" w:cs="Arial"/>
                <w:sz w:val="19"/>
                <w:szCs w:val="19"/>
              </w:rPr>
            </w:pPr>
            <w:r w:rsidRPr="00075768">
              <w:rPr>
                <w:rFonts w:ascii="Arial" w:hAnsi="Arial" w:cs="Arial"/>
                <w:sz w:val="19"/>
                <w:szCs w:val="19"/>
              </w:rPr>
              <w:t>Decree No. 08/CT-BYT dated 21 June 2013 f</w:t>
            </w:r>
            <w:r w:rsidR="00C17D96">
              <w:rPr>
                <w:rFonts w:ascii="Arial" w:hAnsi="Arial" w:cs="Arial"/>
                <w:sz w:val="19"/>
                <w:szCs w:val="19"/>
              </w:rPr>
              <w:t>or promotion of gender equality.</w:t>
            </w:r>
          </w:p>
          <w:p w:rsidR="00C17D96" w:rsidRPr="00075768" w:rsidRDefault="00C17D96" w:rsidP="00810A4A">
            <w:pPr>
              <w:keepLines/>
              <w:rPr>
                <w:rFonts w:ascii="Arial" w:hAnsi="Arial" w:cs="Arial"/>
                <w:sz w:val="19"/>
                <w:szCs w:val="19"/>
              </w:rPr>
            </w:pPr>
          </w:p>
          <w:p w:rsidR="00831399" w:rsidRDefault="00831399" w:rsidP="00810A4A">
            <w:pPr>
              <w:keepLines/>
              <w:rPr>
                <w:rFonts w:ascii="Arial" w:hAnsi="Arial" w:cs="Arial"/>
                <w:sz w:val="19"/>
                <w:szCs w:val="19"/>
              </w:rPr>
            </w:pPr>
            <w:r w:rsidRPr="00075768">
              <w:rPr>
                <w:rFonts w:ascii="Arial" w:hAnsi="Arial" w:cs="Arial"/>
                <w:sz w:val="19"/>
                <w:szCs w:val="19"/>
              </w:rPr>
              <w:t>Decision 5438/QD-BYT on POA for implementation of Resolution 05/NQ-CP on 13 January 2014 for promotion of implementation mille</w:t>
            </w:r>
            <w:r w:rsidR="00C17D96">
              <w:rPr>
                <w:rFonts w:ascii="Arial" w:hAnsi="Arial" w:cs="Arial"/>
                <w:sz w:val="19"/>
                <w:szCs w:val="19"/>
              </w:rPr>
              <w:t>n</w:t>
            </w:r>
            <w:r w:rsidRPr="00075768">
              <w:rPr>
                <w:rFonts w:ascii="Arial" w:hAnsi="Arial" w:cs="Arial"/>
                <w:sz w:val="19"/>
                <w:szCs w:val="19"/>
              </w:rPr>
              <w:t>nium development goals in health sector, which empha</w:t>
            </w:r>
            <w:r w:rsidR="00C17D96">
              <w:rPr>
                <w:rFonts w:ascii="Arial" w:hAnsi="Arial" w:cs="Arial"/>
                <w:sz w:val="19"/>
                <w:szCs w:val="19"/>
              </w:rPr>
              <w:t>sized maternal and child health.</w:t>
            </w:r>
          </w:p>
          <w:p w:rsidR="00C17D96" w:rsidRPr="00075768" w:rsidRDefault="00C17D96" w:rsidP="00810A4A">
            <w:pPr>
              <w:keepLines/>
              <w:rPr>
                <w:rFonts w:ascii="Arial" w:hAnsi="Arial" w:cs="Arial"/>
                <w:sz w:val="19"/>
                <w:szCs w:val="19"/>
              </w:rPr>
            </w:pPr>
          </w:p>
          <w:p w:rsidR="00831399" w:rsidRDefault="00831399" w:rsidP="00810A4A">
            <w:pPr>
              <w:keepLines/>
              <w:rPr>
                <w:rFonts w:ascii="Arial" w:hAnsi="Arial" w:cs="Arial"/>
                <w:sz w:val="19"/>
                <w:szCs w:val="19"/>
              </w:rPr>
            </w:pPr>
            <w:r w:rsidRPr="00075768">
              <w:rPr>
                <w:rFonts w:ascii="Arial" w:hAnsi="Arial" w:cs="Arial"/>
                <w:sz w:val="19"/>
                <w:szCs w:val="19"/>
              </w:rPr>
              <w:t>Directive No. 01/CT-BYT dated 09 January 2015 promoting health care for mothers and newborn to reduce maternal and child m</w:t>
            </w:r>
            <w:r w:rsidR="00C17D96">
              <w:rPr>
                <w:rFonts w:ascii="Arial" w:hAnsi="Arial" w:cs="Arial"/>
                <w:sz w:val="19"/>
                <w:szCs w:val="19"/>
              </w:rPr>
              <w:t>ortality.</w:t>
            </w:r>
          </w:p>
          <w:p w:rsidR="00C17D96" w:rsidRPr="00075768" w:rsidRDefault="00C17D96" w:rsidP="00810A4A">
            <w:pPr>
              <w:keepLines/>
              <w:rPr>
                <w:rFonts w:ascii="Arial" w:hAnsi="Arial" w:cs="Arial"/>
                <w:sz w:val="19"/>
                <w:szCs w:val="19"/>
              </w:rPr>
            </w:pPr>
          </w:p>
          <w:p w:rsidR="00831399" w:rsidRDefault="00831399" w:rsidP="00810A4A">
            <w:pPr>
              <w:keepLines/>
              <w:rPr>
                <w:rFonts w:ascii="Arial" w:hAnsi="Arial" w:cs="Arial"/>
                <w:sz w:val="19"/>
                <w:szCs w:val="19"/>
              </w:rPr>
            </w:pPr>
            <w:r w:rsidRPr="00075768">
              <w:rPr>
                <w:rFonts w:ascii="Arial" w:hAnsi="Arial" w:cs="Arial"/>
                <w:sz w:val="19"/>
                <w:szCs w:val="19"/>
              </w:rPr>
              <w:t>A series of policy documents promoting health care in remote areas (such as Document 1121/TB-BYT dated 06 Nov 2014 on promoting quality health care for Northern mountainous provinces) mentioned about maternal and child health, sex-selective abortion, child marriages, but gen</w:t>
            </w:r>
            <w:r w:rsidR="00C17D96">
              <w:rPr>
                <w:rFonts w:ascii="Arial" w:hAnsi="Arial" w:cs="Arial"/>
                <w:sz w:val="19"/>
                <w:szCs w:val="19"/>
              </w:rPr>
              <w:t>der is not explicitly mentioned.</w:t>
            </w:r>
          </w:p>
          <w:p w:rsidR="00C17D96" w:rsidRPr="00075768" w:rsidRDefault="00C17D96" w:rsidP="00810A4A">
            <w:pPr>
              <w:keepLines/>
              <w:rPr>
                <w:rFonts w:ascii="Arial" w:hAnsi="Arial" w:cs="Arial"/>
                <w:sz w:val="19"/>
                <w:szCs w:val="19"/>
              </w:rPr>
            </w:pPr>
          </w:p>
          <w:p w:rsidR="00831399" w:rsidRDefault="00831399" w:rsidP="00810A4A">
            <w:pPr>
              <w:keepLines/>
              <w:rPr>
                <w:rFonts w:ascii="Arial" w:hAnsi="Arial" w:cs="Arial"/>
                <w:sz w:val="19"/>
                <w:szCs w:val="19"/>
              </w:rPr>
            </w:pPr>
            <w:r w:rsidRPr="00075768">
              <w:rPr>
                <w:rFonts w:ascii="Arial" w:hAnsi="Arial" w:cs="Arial"/>
                <w:sz w:val="19"/>
                <w:szCs w:val="19"/>
              </w:rPr>
              <w:t>MOH is preparing Draft of Government Decree for policy promoting health care for poor EM women in remote areas (R</w:t>
            </w:r>
            <w:r w:rsidR="00C17D96">
              <w:rPr>
                <w:rFonts w:ascii="Arial" w:hAnsi="Arial" w:cs="Arial"/>
                <w:sz w:val="19"/>
                <w:szCs w:val="19"/>
              </w:rPr>
              <w:t>eport 1079/BC-BYT 22 Oct. 2014).</w:t>
            </w:r>
          </w:p>
          <w:p w:rsidR="00C17D96" w:rsidRPr="00075768" w:rsidRDefault="00C17D96" w:rsidP="00810A4A">
            <w:pPr>
              <w:keepLines/>
              <w:rPr>
                <w:rFonts w:ascii="Arial" w:hAnsi="Arial" w:cs="Arial"/>
                <w:sz w:val="19"/>
                <w:szCs w:val="19"/>
              </w:rPr>
            </w:pPr>
          </w:p>
          <w:p w:rsidR="00831399" w:rsidRDefault="00831399" w:rsidP="00810A4A">
            <w:pPr>
              <w:keepLines/>
              <w:rPr>
                <w:rFonts w:ascii="Arial" w:hAnsi="Arial" w:cs="Arial"/>
                <w:sz w:val="19"/>
                <w:szCs w:val="19"/>
              </w:rPr>
            </w:pPr>
            <w:r w:rsidRPr="00075768">
              <w:rPr>
                <w:rFonts w:ascii="Arial" w:hAnsi="Arial" w:cs="Arial"/>
                <w:sz w:val="19"/>
                <w:szCs w:val="19"/>
              </w:rPr>
              <w:t>Decision 3318/QD-BYT dated 12 Sept 2012 on the set of indicators for gender equality in he</w:t>
            </w:r>
            <w:r w:rsidR="00C17D96">
              <w:rPr>
                <w:rFonts w:ascii="Arial" w:hAnsi="Arial" w:cs="Arial"/>
                <w:sz w:val="19"/>
                <w:szCs w:val="19"/>
              </w:rPr>
              <w:t>alth sector to monitor progress.</w:t>
            </w:r>
          </w:p>
          <w:p w:rsidR="00C17D96" w:rsidRPr="00075768" w:rsidRDefault="00C17D96" w:rsidP="00810A4A">
            <w:pPr>
              <w:keepLines/>
              <w:rPr>
                <w:rFonts w:ascii="Arial" w:hAnsi="Arial" w:cs="Arial"/>
                <w:sz w:val="19"/>
                <w:szCs w:val="19"/>
              </w:rPr>
            </w:pPr>
          </w:p>
          <w:p w:rsidR="00831399" w:rsidRPr="00075768" w:rsidRDefault="00831399" w:rsidP="00810A4A">
            <w:pPr>
              <w:keepLines/>
              <w:rPr>
                <w:rFonts w:ascii="Arial" w:hAnsi="Arial" w:cs="Arial"/>
                <w:sz w:val="19"/>
                <w:szCs w:val="19"/>
              </w:rPr>
            </w:pPr>
            <w:r w:rsidRPr="00075768">
              <w:rPr>
                <w:rFonts w:ascii="Arial" w:hAnsi="Arial" w:cs="Arial"/>
                <w:sz w:val="19"/>
                <w:szCs w:val="19"/>
              </w:rPr>
              <w:t>Manual on activities for advancement of women in health sector had been prepared and circulated among MOH units guiding gender equality activities in health sector.</w:t>
            </w:r>
          </w:p>
        </w:tc>
      </w:tr>
      <w:tr w:rsidR="00831399" w:rsidRPr="00E65146" w:rsidTr="00810A4A">
        <w:trPr>
          <w:trHeight w:val="200"/>
        </w:trPr>
        <w:tc>
          <w:tcPr>
            <w:tcW w:w="966" w:type="dxa"/>
          </w:tcPr>
          <w:p w:rsidR="00831399" w:rsidRPr="00075768" w:rsidRDefault="00831399" w:rsidP="00810A4A">
            <w:pPr>
              <w:keepLines/>
              <w:rPr>
                <w:rFonts w:ascii="Arial" w:hAnsi="Arial" w:cs="Arial"/>
                <w:sz w:val="19"/>
                <w:szCs w:val="19"/>
              </w:rPr>
            </w:pPr>
          </w:p>
        </w:tc>
        <w:tc>
          <w:tcPr>
            <w:tcW w:w="265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Provide gender and EM specialist support to the Joint Committee, including training on gender and EM issues.</w:t>
            </w:r>
          </w:p>
        </w:tc>
        <w:tc>
          <w:tcPr>
            <w:tcW w:w="1701"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 xml:space="preserve">PMU and Secretariat  HHR Committee </w:t>
            </w:r>
          </w:p>
        </w:tc>
        <w:tc>
          <w:tcPr>
            <w:tcW w:w="234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Project has engaged an international and a national gender and EM specialist to work on these issues throughout the project time.</w:t>
            </w:r>
          </w:p>
        </w:tc>
        <w:tc>
          <w:tcPr>
            <w:tcW w:w="2700"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International Consultant provided clear GEMS implementation guidelines in May 2012. National Consultant has been absent and failed in providing any support and training.</w:t>
            </w:r>
          </w:p>
        </w:tc>
        <w:tc>
          <w:tcPr>
            <w:tcW w:w="3544"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The national consultant had met in person with the Chair of JC and 5 members of JC to discuss about promoting gender equality in project implementation, especially to include more women in the JC and other project activities;</w:t>
            </w:r>
          </w:p>
        </w:tc>
      </w:tr>
      <w:tr w:rsidR="00831399" w:rsidRPr="00E65146" w:rsidTr="00810A4A">
        <w:trPr>
          <w:trHeight w:val="512"/>
        </w:trPr>
        <w:tc>
          <w:tcPr>
            <w:tcW w:w="966" w:type="dxa"/>
          </w:tcPr>
          <w:p w:rsidR="00831399" w:rsidRPr="00075768" w:rsidRDefault="00831399" w:rsidP="00810A4A">
            <w:pPr>
              <w:keepLines/>
              <w:rPr>
                <w:rFonts w:ascii="Arial" w:hAnsi="Arial" w:cs="Arial"/>
                <w:sz w:val="19"/>
                <w:szCs w:val="19"/>
              </w:rPr>
            </w:pPr>
          </w:p>
        </w:tc>
        <w:tc>
          <w:tcPr>
            <w:tcW w:w="265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Assist MOH Departments Personnel and Planning/Finance (Health Statistics and Informatics Division) to improve collection of sex and ethnicity-disaggregated data on the health workforce at all levels (including staffing, in-service training, compensation and promotion)</w:t>
            </w:r>
          </w:p>
        </w:tc>
        <w:tc>
          <w:tcPr>
            <w:tcW w:w="1701"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 xml:space="preserve">Secretariat HHR Committee , MOH/DOP </w:t>
            </w:r>
          </w:p>
          <w:p w:rsidR="00831399" w:rsidRPr="00075768" w:rsidRDefault="00831399" w:rsidP="00810A4A">
            <w:pPr>
              <w:keepLines/>
              <w:rPr>
                <w:rFonts w:ascii="Arial" w:hAnsi="Arial" w:cs="Arial"/>
                <w:sz w:val="19"/>
                <w:szCs w:val="19"/>
              </w:rPr>
            </w:pPr>
          </w:p>
        </w:tc>
        <w:tc>
          <w:tcPr>
            <w:tcW w:w="234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On going</w:t>
            </w:r>
          </w:p>
        </w:tc>
        <w:tc>
          <w:tcPr>
            <w:tcW w:w="2700"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MOH Dept of Manpower is in the process of developing the existing monitoring system with inclusion of gender and ethnicity indicators in data from province level monitoring.</w:t>
            </w:r>
          </w:p>
          <w:p w:rsidR="00831399" w:rsidRPr="00075768" w:rsidRDefault="00831399" w:rsidP="00810A4A">
            <w:pPr>
              <w:keepLines/>
              <w:rPr>
                <w:rFonts w:ascii="Arial" w:hAnsi="Arial" w:cs="Arial"/>
                <w:sz w:val="19"/>
                <w:szCs w:val="19"/>
              </w:rPr>
            </w:pPr>
          </w:p>
        </w:tc>
        <w:tc>
          <w:tcPr>
            <w:tcW w:w="3544"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Gender and EM disaggregated data have been implemented in project database, Department of Personnel and Department of Planning and Finance.</w:t>
            </w:r>
          </w:p>
        </w:tc>
      </w:tr>
      <w:tr w:rsidR="00831399" w:rsidRPr="00E65146" w:rsidTr="00810A4A">
        <w:trPr>
          <w:trHeight w:val="233"/>
        </w:trPr>
        <w:tc>
          <w:tcPr>
            <w:tcW w:w="966" w:type="dxa"/>
          </w:tcPr>
          <w:p w:rsidR="00831399" w:rsidRPr="00075768" w:rsidRDefault="00831399" w:rsidP="00810A4A">
            <w:pPr>
              <w:keepLines/>
              <w:rPr>
                <w:rFonts w:ascii="Arial" w:hAnsi="Arial" w:cs="Arial"/>
                <w:sz w:val="19"/>
                <w:szCs w:val="19"/>
              </w:rPr>
            </w:pPr>
          </w:p>
        </w:tc>
        <w:tc>
          <w:tcPr>
            <w:tcW w:w="265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Include gender and EM concerns in socioeconomic impact studies of the draft LET and implementing decrees.</w:t>
            </w:r>
          </w:p>
        </w:tc>
        <w:tc>
          <w:tcPr>
            <w:tcW w:w="1701"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MOH/DHL</w:t>
            </w:r>
          </w:p>
        </w:tc>
        <w:tc>
          <w:tcPr>
            <w:tcW w:w="234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In LET, there are in Article No. 4; No. 9 and No.86 these are specific to mention on Gender and EM.</w:t>
            </w:r>
          </w:p>
        </w:tc>
        <w:tc>
          <w:tcPr>
            <w:tcW w:w="2700"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 xml:space="preserve">The LET articles mention in general equality in access to treatment. It also mentions budget allocation to remote and poor areas. </w:t>
            </w:r>
          </w:p>
          <w:p w:rsidR="00831399" w:rsidRPr="00075768" w:rsidRDefault="00831399" w:rsidP="00810A4A">
            <w:pPr>
              <w:keepLines/>
              <w:rPr>
                <w:rFonts w:ascii="Arial" w:hAnsi="Arial" w:cs="Arial"/>
                <w:sz w:val="19"/>
                <w:szCs w:val="19"/>
              </w:rPr>
            </w:pPr>
          </w:p>
          <w:p w:rsidR="00831399" w:rsidRPr="00075768" w:rsidRDefault="00831399" w:rsidP="00810A4A">
            <w:pPr>
              <w:keepLines/>
              <w:rPr>
                <w:rFonts w:ascii="Arial" w:hAnsi="Arial" w:cs="Arial"/>
                <w:sz w:val="19"/>
                <w:szCs w:val="19"/>
              </w:rPr>
            </w:pPr>
            <w:r w:rsidRPr="00075768">
              <w:rPr>
                <w:rFonts w:ascii="Arial" w:hAnsi="Arial" w:cs="Arial"/>
                <w:sz w:val="19"/>
                <w:szCs w:val="19"/>
              </w:rPr>
              <w:t>LET is just being implemented and no impact studies have been undertaken yet.</w:t>
            </w:r>
          </w:p>
        </w:tc>
        <w:tc>
          <w:tcPr>
            <w:tcW w:w="3544"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MOH is preparing Draft of Government Decree for policy promoting health care for poor EM women in remote areas (Report 1079/BC-BYT 22 Oct. 2014);</w:t>
            </w:r>
          </w:p>
          <w:p w:rsidR="00831399" w:rsidRPr="00075768" w:rsidRDefault="00831399" w:rsidP="00810A4A">
            <w:pPr>
              <w:keepLines/>
              <w:rPr>
                <w:rFonts w:ascii="Arial" w:hAnsi="Arial" w:cs="Arial"/>
                <w:sz w:val="19"/>
                <w:szCs w:val="19"/>
              </w:rPr>
            </w:pPr>
          </w:p>
        </w:tc>
      </w:tr>
      <w:tr w:rsidR="00831399" w:rsidRPr="00E65146" w:rsidTr="00810A4A">
        <w:trPr>
          <w:trHeight w:val="647"/>
        </w:trPr>
        <w:tc>
          <w:tcPr>
            <w:tcW w:w="966" w:type="dxa"/>
          </w:tcPr>
          <w:p w:rsidR="00831399" w:rsidRPr="00075768" w:rsidRDefault="00831399" w:rsidP="00810A4A">
            <w:pPr>
              <w:keepLines/>
              <w:rPr>
                <w:rFonts w:ascii="Arial" w:hAnsi="Arial" w:cs="Arial"/>
                <w:sz w:val="19"/>
                <w:szCs w:val="19"/>
              </w:rPr>
            </w:pPr>
          </w:p>
        </w:tc>
        <w:tc>
          <w:tcPr>
            <w:tcW w:w="265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 xml:space="preserve">Promote that the LET includes provisions for rights to be treated with respect regardless of sex, ethnicity, age, and sexual orientation, and to be treated by a medical practitioner of the sex of the patient’s choice whenever possible. </w:t>
            </w:r>
          </w:p>
          <w:p w:rsidR="00831399" w:rsidRPr="00075768" w:rsidRDefault="00831399" w:rsidP="00810A4A">
            <w:pPr>
              <w:keepLines/>
              <w:rPr>
                <w:rFonts w:ascii="Arial" w:hAnsi="Arial" w:cs="Arial"/>
                <w:sz w:val="19"/>
                <w:szCs w:val="19"/>
              </w:rPr>
            </w:pPr>
          </w:p>
        </w:tc>
        <w:tc>
          <w:tcPr>
            <w:tcW w:w="1701" w:type="dxa"/>
          </w:tcPr>
          <w:p w:rsidR="00831399" w:rsidRPr="00075768" w:rsidRDefault="00831399" w:rsidP="00810A4A">
            <w:pPr>
              <w:keepLines/>
              <w:rPr>
                <w:rFonts w:ascii="Arial" w:hAnsi="Arial" w:cs="Arial"/>
                <w:sz w:val="19"/>
                <w:szCs w:val="19"/>
              </w:rPr>
            </w:pPr>
          </w:p>
        </w:tc>
        <w:tc>
          <w:tcPr>
            <w:tcW w:w="234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 xml:space="preserve">In LET, there is in Article   No. 9  </w:t>
            </w:r>
          </w:p>
          <w:p w:rsidR="00831399" w:rsidRPr="00075768" w:rsidRDefault="00831399" w:rsidP="00810A4A">
            <w:pPr>
              <w:keepLines/>
              <w:rPr>
                <w:rFonts w:ascii="Arial" w:hAnsi="Arial" w:cs="Arial"/>
                <w:sz w:val="19"/>
                <w:szCs w:val="19"/>
              </w:rPr>
            </w:pPr>
          </w:p>
        </w:tc>
        <w:tc>
          <w:tcPr>
            <w:tcW w:w="2700"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LET article 9 stipulates the right to be respected without distinction based on sex, ethnicity, age, religion, or social status. LET was issued 2009, i.e. before the Project started. The Project appears not to have any specific activity promoting</w:t>
            </w:r>
            <w:r w:rsidRPr="00075768">
              <w:rPr>
                <w:rFonts w:ascii="Arial" w:hAnsi="Arial" w:cs="Arial"/>
                <w:b/>
                <w:sz w:val="19"/>
                <w:szCs w:val="19"/>
              </w:rPr>
              <w:t xml:space="preserve"> </w:t>
            </w:r>
            <w:r w:rsidRPr="00075768">
              <w:rPr>
                <w:rFonts w:ascii="Arial" w:hAnsi="Arial" w:cs="Arial"/>
                <w:sz w:val="19"/>
                <w:szCs w:val="19"/>
              </w:rPr>
              <w:t xml:space="preserve">awareness of the equality content and the patient’s right of choice. Project provides training in LET for health practitioners but no public awareness raising. </w:t>
            </w:r>
          </w:p>
        </w:tc>
        <w:tc>
          <w:tcPr>
            <w:tcW w:w="3544"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 xml:space="preserve">MOH contributed to the Law on changes and revisions of the Law on Health Insurance dated 13 June 2014, according to which HI for children under 6, poor and EM people in remote areas is paid by the government even if they go to higher level of facilities without referal (Articles 12 and 22). </w:t>
            </w:r>
          </w:p>
        </w:tc>
      </w:tr>
      <w:tr w:rsidR="00831399" w:rsidRPr="00E65146" w:rsidTr="00810A4A">
        <w:trPr>
          <w:trHeight w:val="323"/>
        </w:trPr>
        <w:tc>
          <w:tcPr>
            <w:tcW w:w="966" w:type="dxa"/>
          </w:tcPr>
          <w:p w:rsidR="00831399" w:rsidRPr="00075768" w:rsidRDefault="00831399" w:rsidP="00810A4A">
            <w:pPr>
              <w:keepLines/>
              <w:rPr>
                <w:rFonts w:ascii="Arial" w:hAnsi="Arial" w:cs="Arial"/>
                <w:sz w:val="19"/>
                <w:szCs w:val="19"/>
              </w:rPr>
            </w:pPr>
          </w:p>
        </w:tc>
        <w:tc>
          <w:tcPr>
            <w:tcW w:w="265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Support women and EM targeted public awareness programs on the LET (patient rights) and consumer complaint system using appropriate language, communication methods and networks.</w:t>
            </w:r>
          </w:p>
        </w:tc>
        <w:tc>
          <w:tcPr>
            <w:tcW w:w="1701"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MOH/DHL</w:t>
            </w:r>
          </w:p>
          <w:p w:rsidR="00831399" w:rsidRPr="00075768" w:rsidRDefault="00831399" w:rsidP="00810A4A">
            <w:pPr>
              <w:keepLines/>
              <w:rPr>
                <w:rFonts w:ascii="Arial" w:hAnsi="Arial" w:cs="Arial"/>
                <w:sz w:val="19"/>
                <w:szCs w:val="19"/>
              </w:rPr>
            </w:pPr>
          </w:p>
        </w:tc>
        <w:tc>
          <w:tcPr>
            <w:tcW w:w="234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Will be developed with support of gender consultant</w:t>
            </w:r>
          </w:p>
        </w:tc>
        <w:tc>
          <w:tcPr>
            <w:tcW w:w="2700"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According to the PMU Component 1B Coordinator with staff, public awareness information to patients, such as EM and remote areas is not part of the project.</w:t>
            </w:r>
          </w:p>
          <w:p w:rsidR="00831399" w:rsidRPr="00075768" w:rsidRDefault="00831399" w:rsidP="00810A4A">
            <w:pPr>
              <w:keepLines/>
              <w:rPr>
                <w:rFonts w:ascii="Arial" w:hAnsi="Arial" w:cs="Arial"/>
                <w:sz w:val="19"/>
                <w:szCs w:val="19"/>
              </w:rPr>
            </w:pPr>
          </w:p>
        </w:tc>
        <w:tc>
          <w:tcPr>
            <w:tcW w:w="3544" w:type="dxa"/>
          </w:tcPr>
          <w:p w:rsidR="00831399" w:rsidRPr="00075768" w:rsidRDefault="00831399" w:rsidP="00810A4A">
            <w:pPr>
              <w:keepLines/>
              <w:rPr>
                <w:rFonts w:ascii="Arial" w:hAnsi="Arial" w:cs="Arial"/>
                <w:sz w:val="19"/>
                <w:szCs w:val="19"/>
              </w:rPr>
            </w:pPr>
          </w:p>
        </w:tc>
      </w:tr>
      <w:tr w:rsidR="00831399" w:rsidRPr="00E65146" w:rsidTr="00810A4A">
        <w:trPr>
          <w:trHeight w:val="350"/>
        </w:trPr>
        <w:tc>
          <w:tcPr>
            <w:tcW w:w="966" w:type="dxa"/>
          </w:tcPr>
          <w:p w:rsidR="00831399" w:rsidRPr="00075768" w:rsidRDefault="00831399" w:rsidP="00810A4A">
            <w:pPr>
              <w:keepLines/>
              <w:rPr>
                <w:rFonts w:ascii="Arial" w:hAnsi="Arial" w:cs="Arial"/>
                <w:sz w:val="19"/>
                <w:szCs w:val="19"/>
              </w:rPr>
            </w:pPr>
          </w:p>
        </w:tc>
        <w:tc>
          <w:tcPr>
            <w:tcW w:w="265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LET monitoring system will include gender and ethnicity-related indicators and all data will be disaggregate by sex and ethnicity</w:t>
            </w:r>
          </w:p>
        </w:tc>
        <w:tc>
          <w:tcPr>
            <w:tcW w:w="1701"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MOH/DHL</w:t>
            </w:r>
          </w:p>
          <w:p w:rsidR="00831399" w:rsidRPr="00075768" w:rsidRDefault="00831399" w:rsidP="00810A4A">
            <w:pPr>
              <w:keepLines/>
              <w:rPr>
                <w:rFonts w:ascii="Arial" w:hAnsi="Arial" w:cs="Arial"/>
                <w:sz w:val="19"/>
                <w:szCs w:val="19"/>
              </w:rPr>
            </w:pPr>
          </w:p>
        </w:tc>
        <w:tc>
          <w:tcPr>
            <w:tcW w:w="234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 xml:space="preserve">Will be developed </w:t>
            </w:r>
          </w:p>
        </w:tc>
        <w:tc>
          <w:tcPr>
            <w:tcW w:w="2700"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LET application forms as according to the LET ordinances include no notion of gender or ethnicity of the applicant. Only Annex 10 Form of Certificate of Practice Time include the title Mr/Mrs.  However, the online registration system currently used by hospital administrators for registering staff allows gender and ethnicity data.</w:t>
            </w:r>
          </w:p>
        </w:tc>
        <w:tc>
          <w:tcPr>
            <w:tcW w:w="3544" w:type="dxa"/>
          </w:tcPr>
          <w:p w:rsidR="00831399" w:rsidRPr="00075768" w:rsidRDefault="00831399" w:rsidP="00810A4A">
            <w:pPr>
              <w:keepLines/>
              <w:rPr>
                <w:rFonts w:ascii="Arial" w:hAnsi="Arial" w:cs="Arial"/>
                <w:sz w:val="19"/>
                <w:szCs w:val="19"/>
              </w:rPr>
            </w:pPr>
          </w:p>
        </w:tc>
      </w:tr>
      <w:tr w:rsidR="00831399" w:rsidRPr="00E65146" w:rsidTr="00810A4A">
        <w:tc>
          <w:tcPr>
            <w:tcW w:w="10375" w:type="dxa"/>
            <w:gridSpan w:val="5"/>
            <w:shd w:val="clear" w:color="auto" w:fill="auto"/>
          </w:tcPr>
          <w:p w:rsidR="00831399" w:rsidRPr="00075768" w:rsidRDefault="00831399" w:rsidP="00810A4A">
            <w:pPr>
              <w:keepLines/>
              <w:rPr>
                <w:rFonts w:ascii="Arial" w:hAnsi="Arial" w:cs="Arial"/>
                <w:b/>
                <w:sz w:val="19"/>
                <w:szCs w:val="19"/>
              </w:rPr>
            </w:pPr>
            <w:r w:rsidRPr="00075768">
              <w:rPr>
                <w:rFonts w:ascii="Arial" w:hAnsi="Arial" w:cs="Arial"/>
                <w:b/>
                <w:sz w:val="19"/>
                <w:szCs w:val="19"/>
              </w:rPr>
              <w:t>2. Higher Quality Human Resources Training</w:t>
            </w:r>
          </w:p>
        </w:tc>
        <w:tc>
          <w:tcPr>
            <w:tcW w:w="3544" w:type="dxa"/>
          </w:tcPr>
          <w:p w:rsidR="00831399" w:rsidRPr="00075768" w:rsidRDefault="00831399" w:rsidP="00810A4A">
            <w:pPr>
              <w:keepLines/>
              <w:rPr>
                <w:rFonts w:ascii="Arial" w:hAnsi="Arial" w:cs="Arial"/>
                <w:b/>
                <w:sz w:val="19"/>
                <w:szCs w:val="19"/>
              </w:rPr>
            </w:pPr>
          </w:p>
        </w:tc>
      </w:tr>
      <w:tr w:rsidR="00831399" w:rsidRPr="00E65146" w:rsidTr="00810A4A">
        <w:tc>
          <w:tcPr>
            <w:tcW w:w="10375" w:type="dxa"/>
            <w:gridSpan w:val="5"/>
            <w:shd w:val="clear" w:color="auto" w:fill="auto"/>
          </w:tcPr>
          <w:p w:rsidR="00831399" w:rsidRPr="00075768" w:rsidRDefault="00831399" w:rsidP="00810A4A">
            <w:pPr>
              <w:keepLines/>
              <w:rPr>
                <w:rFonts w:ascii="Arial" w:hAnsi="Arial" w:cs="Arial"/>
                <w:sz w:val="19"/>
                <w:szCs w:val="19"/>
              </w:rPr>
            </w:pPr>
            <w:r w:rsidRPr="00075768">
              <w:rPr>
                <w:rFonts w:ascii="Arial" w:hAnsi="Arial" w:cs="Arial"/>
                <w:b/>
                <w:sz w:val="19"/>
                <w:szCs w:val="19"/>
              </w:rPr>
              <w:t>Policy Measures</w:t>
            </w:r>
          </w:p>
        </w:tc>
        <w:tc>
          <w:tcPr>
            <w:tcW w:w="3544" w:type="dxa"/>
          </w:tcPr>
          <w:p w:rsidR="00831399" w:rsidRPr="00075768" w:rsidRDefault="00831399" w:rsidP="00810A4A">
            <w:pPr>
              <w:keepLines/>
              <w:rPr>
                <w:rFonts w:ascii="Arial" w:hAnsi="Arial" w:cs="Arial"/>
                <w:b/>
                <w:sz w:val="19"/>
                <w:szCs w:val="19"/>
              </w:rPr>
            </w:pPr>
          </w:p>
        </w:tc>
      </w:tr>
      <w:tr w:rsidR="00831399" w:rsidRPr="00E65146" w:rsidTr="00810A4A">
        <w:tc>
          <w:tcPr>
            <w:tcW w:w="966" w:type="dxa"/>
            <w:shd w:val="clear" w:color="auto" w:fill="auto"/>
          </w:tcPr>
          <w:p w:rsidR="00831399" w:rsidRPr="00075768" w:rsidRDefault="00831399" w:rsidP="00810A4A">
            <w:pPr>
              <w:keepLines/>
              <w:rPr>
                <w:rFonts w:ascii="Arial" w:hAnsi="Arial" w:cs="Arial"/>
                <w:b/>
                <w:sz w:val="19"/>
                <w:szCs w:val="19"/>
              </w:rPr>
            </w:pPr>
          </w:p>
        </w:tc>
        <w:tc>
          <w:tcPr>
            <w:tcW w:w="2659" w:type="dxa"/>
            <w:shd w:val="clear" w:color="auto" w:fill="auto"/>
          </w:tcPr>
          <w:p w:rsidR="00831399" w:rsidRPr="00075768" w:rsidRDefault="00831399" w:rsidP="00810A4A">
            <w:pPr>
              <w:keepLines/>
              <w:rPr>
                <w:rFonts w:ascii="Arial" w:hAnsi="Arial" w:cs="Arial"/>
                <w:sz w:val="19"/>
                <w:szCs w:val="19"/>
              </w:rPr>
            </w:pPr>
            <w:r w:rsidRPr="00075768">
              <w:rPr>
                <w:rFonts w:ascii="Arial" w:hAnsi="Arial" w:cs="Arial"/>
                <w:sz w:val="19"/>
                <w:szCs w:val="19"/>
              </w:rPr>
              <w:t>MOH to complete a policy impact review on increasing enrollment of EM students in health training, including the implementation of Decree 134 and Circular 13 with recommendations to address constraints.</w:t>
            </w:r>
          </w:p>
        </w:tc>
        <w:tc>
          <w:tcPr>
            <w:tcW w:w="1701" w:type="dxa"/>
            <w:vMerge w:val="restart"/>
            <w:shd w:val="clear" w:color="auto" w:fill="auto"/>
          </w:tcPr>
          <w:p w:rsidR="00831399" w:rsidRPr="00075768" w:rsidRDefault="00831399" w:rsidP="00810A4A">
            <w:pPr>
              <w:keepLines/>
              <w:rPr>
                <w:rFonts w:ascii="Arial" w:hAnsi="Arial" w:cs="Arial"/>
                <w:sz w:val="19"/>
                <w:szCs w:val="19"/>
              </w:rPr>
            </w:pPr>
          </w:p>
          <w:p w:rsidR="00831399" w:rsidRPr="00075768" w:rsidRDefault="00831399" w:rsidP="00810A4A">
            <w:pPr>
              <w:keepLines/>
              <w:rPr>
                <w:rFonts w:ascii="Arial" w:hAnsi="Arial" w:cs="Arial"/>
                <w:sz w:val="19"/>
                <w:szCs w:val="19"/>
              </w:rPr>
            </w:pPr>
            <w:r w:rsidRPr="00075768">
              <w:rPr>
                <w:rFonts w:ascii="Arial" w:hAnsi="Arial" w:cs="Arial"/>
                <w:sz w:val="19"/>
                <w:szCs w:val="19"/>
              </w:rPr>
              <w:t>MOH/DST training institutions;</w:t>
            </w:r>
          </w:p>
          <w:p w:rsidR="00831399" w:rsidRPr="00075768" w:rsidRDefault="00831399" w:rsidP="00810A4A">
            <w:pPr>
              <w:keepLines/>
              <w:rPr>
                <w:rFonts w:ascii="Arial" w:hAnsi="Arial" w:cs="Arial"/>
                <w:sz w:val="19"/>
                <w:szCs w:val="19"/>
              </w:rPr>
            </w:pPr>
            <w:r w:rsidRPr="00075768">
              <w:rPr>
                <w:rFonts w:ascii="Arial" w:hAnsi="Arial" w:cs="Arial"/>
                <w:sz w:val="19"/>
                <w:szCs w:val="19"/>
              </w:rPr>
              <w:t>Provincial health departments</w:t>
            </w:r>
          </w:p>
        </w:tc>
        <w:tc>
          <w:tcPr>
            <w:tcW w:w="234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Under preparation</w:t>
            </w:r>
          </w:p>
        </w:tc>
        <w:tc>
          <w:tcPr>
            <w:tcW w:w="2700"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Project prepared a report in 2013 on the impact of special entry programmes for EM students based on data from 34 provinces from the Ministry of Education.</w:t>
            </w:r>
          </w:p>
          <w:p w:rsidR="00831399" w:rsidRPr="00075768" w:rsidRDefault="00831399" w:rsidP="00810A4A">
            <w:pPr>
              <w:keepLines/>
              <w:rPr>
                <w:rFonts w:ascii="Arial" w:hAnsi="Arial" w:cs="Arial"/>
                <w:sz w:val="19"/>
                <w:szCs w:val="19"/>
              </w:rPr>
            </w:pPr>
          </w:p>
          <w:p w:rsidR="00831399" w:rsidRPr="00075768" w:rsidRDefault="00831399" w:rsidP="00810A4A">
            <w:pPr>
              <w:keepLines/>
              <w:rPr>
                <w:rFonts w:ascii="Arial" w:hAnsi="Arial" w:cs="Arial"/>
                <w:sz w:val="19"/>
                <w:szCs w:val="19"/>
              </w:rPr>
            </w:pPr>
            <w:r w:rsidRPr="00075768">
              <w:rPr>
                <w:rFonts w:ascii="Arial" w:hAnsi="Arial" w:cs="Arial"/>
                <w:sz w:val="19"/>
                <w:szCs w:val="19"/>
              </w:rPr>
              <w:t>New survey will be conducted in 2015.</w:t>
            </w:r>
          </w:p>
        </w:tc>
        <w:tc>
          <w:tcPr>
            <w:tcW w:w="3544" w:type="dxa"/>
          </w:tcPr>
          <w:p w:rsidR="00831399" w:rsidRPr="00075768" w:rsidRDefault="00831399" w:rsidP="00810A4A">
            <w:pPr>
              <w:keepLines/>
              <w:rPr>
                <w:rFonts w:ascii="Arial" w:hAnsi="Arial" w:cs="Arial"/>
                <w:sz w:val="19"/>
                <w:szCs w:val="19"/>
              </w:rPr>
            </w:pPr>
          </w:p>
        </w:tc>
      </w:tr>
      <w:tr w:rsidR="00831399" w:rsidRPr="00E65146" w:rsidTr="00810A4A">
        <w:tc>
          <w:tcPr>
            <w:tcW w:w="966" w:type="dxa"/>
            <w:shd w:val="clear" w:color="auto" w:fill="auto"/>
          </w:tcPr>
          <w:p w:rsidR="00831399" w:rsidRPr="00075768" w:rsidRDefault="00831399" w:rsidP="00810A4A">
            <w:pPr>
              <w:keepLines/>
              <w:rPr>
                <w:rFonts w:ascii="Arial" w:hAnsi="Arial" w:cs="Arial"/>
                <w:b/>
                <w:sz w:val="19"/>
                <w:szCs w:val="19"/>
              </w:rPr>
            </w:pPr>
          </w:p>
        </w:tc>
        <w:tc>
          <w:tcPr>
            <w:tcW w:w="2659" w:type="dxa"/>
            <w:shd w:val="clear" w:color="auto" w:fill="auto"/>
          </w:tcPr>
          <w:p w:rsidR="00831399" w:rsidRPr="00075768" w:rsidRDefault="00831399" w:rsidP="00810A4A">
            <w:pPr>
              <w:keepLines/>
              <w:rPr>
                <w:rFonts w:ascii="Arial" w:hAnsi="Arial" w:cs="Arial"/>
                <w:sz w:val="19"/>
                <w:szCs w:val="19"/>
              </w:rPr>
            </w:pPr>
            <w:r w:rsidRPr="00075768">
              <w:rPr>
                <w:rFonts w:ascii="Arial" w:hAnsi="Arial" w:cs="Arial"/>
                <w:sz w:val="19"/>
                <w:szCs w:val="19"/>
              </w:rPr>
              <w:t xml:space="preserve">MOH </w:t>
            </w:r>
            <w:r w:rsidRPr="00075768">
              <w:rPr>
                <w:rFonts w:ascii="Arial" w:hAnsi="Arial" w:cs="Arial"/>
                <w:bCs/>
                <w:iCs/>
                <w:color w:val="000000"/>
                <w:sz w:val="19"/>
                <w:szCs w:val="19"/>
              </w:rPr>
              <w:t xml:space="preserve">to </w:t>
            </w:r>
            <w:r w:rsidRPr="00075768">
              <w:rPr>
                <w:rFonts w:ascii="Arial" w:hAnsi="Arial" w:cs="Arial"/>
                <w:sz w:val="19"/>
                <w:szCs w:val="19"/>
              </w:rPr>
              <w:t>direct all provincial health departments to submit an in-service training plan and budget for women and EM district and commune health staff, and village health workers.</w:t>
            </w:r>
          </w:p>
        </w:tc>
        <w:tc>
          <w:tcPr>
            <w:tcW w:w="1701" w:type="dxa"/>
            <w:vMerge/>
            <w:shd w:val="clear" w:color="auto" w:fill="auto"/>
          </w:tcPr>
          <w:p w:rsidR="00831399" w:rsidRPr="00075768" w:rsidRDefault="00831399" w:rsidP="00810A4A">
            <w:pPr>
              <w:keepLines/>
              <w:rPr>
                <w:rFonts w:ascii="Arial" w:hAnsi="Arial" w:cs="Arial"/>
                <w:sz w:val="19"/>
                <w:szCs w:val="19"/>
              </w:rPr>
            </w:pPr>
          </w:p>
        </w:tc>
        <w:tc>
          <w:tcPr>
            <w:tcW w:w="234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Under preparation</w:t>
            </w:r>
          </w:p>
        </w:tc>
        <w:tc>
          <w:tcPr>
            <w:tcW w:w="2700"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Through contracting Thai Nguyen MU the project has developed 6 training modules for village and commune health workers. Medical training institutes PIUs will undertake piloting implementation from June 2014 until the end of the year.</w:t>
            </w:r>
          </w:p>
        </w:tc>
        <w:tc>
          <w:tcPr>
            <w:tcW w:w="3544"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6 training modules had completed. TOT workshops had been organized in April 2013 in the North and the South, and starting from June 2014 the modules have been used for training EM in 11 out of 17 PIUs where there are EM students.</w:t>
            </w:r>
          </w:p>
        </w:tc>
      </w:tr>
      <w:tr w:rsidR="00831399" w:rsidRPr="00E65146" w:rsidTr="00810A4A">
        <w:trPr>
          <w:trHeight w:val="332"/>
        </w:trPr>
        <w:tc>
          <w:tcPr>
            <w:tcW w:w="10375" w:type="dxa"/>
            <w:gridSpan w:val="5"/>
          </w:tcPr>
          <w:p w:rsidR="00831399" w:rsidRPr="00075768" w:rsidRDefault="00831399" w:rsidP="00810A4A">
            <w:pPr>
              <w:keepLines/>
              <w:rPr>
                <w:rFonts w:ascii="Arial" w:hAnsi="Arial" w:cs="Arial"/>
                <w:sz w:val="19"/>
                <w:szCs w:val="19"/>
              </w:rPr>
            </w:pPr>
            <w:r w:rsidRPr="00075768">
              <w:rPr>
                <w:rFonts w:ascii="Arial" w:hAnsi="Arial" w:cs="Arial"/>
                <w:b/>
                <w:sz w:val="19"/>
                <w:szCs w:val="19"/>
              </w:rPr>
              <w:t>Project Activities</w:t>
            </w:r>
          </w:p>
        </w:tc>
        <w:tc>
          <w:tcPr>
            <w:tcW w:w="3544" w:type="dxa"/>
          </w:tcPr>
          <w:p w:rsidR="00831399" w:rsidRPr="00075768" w:rsidRDefault="00831399" w:rsidP="00810A4A">
            <w:pPr>
              <w:keepLines/>
              <w:rPr>
                <w:rFonts w:ascii="Arial" w:hAnsi="Arial" w:cs="Arial"/>
                <w:b/>
                <w:sz w:val="19"/>
                <w:szCs w:val="19"/>
              </w:rPr>
            </w:pPr>
          </w:p>
        </w:tc>
      </w:tr>
      <w:tr w:rsidR="00831399" w:rsidRPr="00E65146" w:rsidTr="00810A4A">
        <w:trPr>
          <w:trHeight w:val="332"/>
        </w:trPr>
        <w:tc>
          <w:tcPr>
            <w:tcW w:w="966" w:type="dxa"/>
          </w:tcPr>
          <w:p w:rsidR="00831399" w:rsidRPr="00075768" w:rsidRDefault="00831399" w:rsidP="00810A4A">
            <w:pPr>
              <w:keepLines/>
              <w:rPr>
                <w:rFonts w:ascii="Arial" w:hAnsi="Arial" w:cs="Arial"/>
                <w:sz w:val="19"/>
                <w:szCs w:val="19"/>
              </w:rPr>
            </w:pPr>
          </w:p>
        </w:tc>
        <w:tc>
          <w:tcPr>
            <w:tcW w:w="265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 xml:space="preserve">Training needs analysis of teachers and managers to include separate section on specific needs of women and EM teachers. </w:t>
            </w:r>
          </w:p>
          <w:p w:rsidR="00831399" w:rsidRPr="00075768" w:rsidRDefault="00831399" w:rsidP="00810A4A">
            <w:pPr>
              <w:keepLines/>
              <w:rPr>
                <w:rFonts w:ascii="Arial" w:hAnsi="Arial" w:cs="Arial"/>
                <w:sz w:val="19"/>
                <w:szCs w:val="19"/>
              </w:rPr>
            </w:pPr>
          </w:p>
        </w:tc>
        <w:tc>
          <w:tcPr>
            <w:tcW w:w="1701"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MOH/DST</w:t>
            </w:r>
          </w:p>
          <w:p w:rsidR="00831399" w:rsidRPr="00075768" w:rsidRDefault="00831399" w:rsidP="00810A4A">
            <w:pPr>
              <w:keepLines/>
              <w:rPr>
                <w:rFonts w:ascii="Arial" w:hAnsi="Arial" w:cs="Arial"/>
                <w:sz w:val="19"/>
                <w:szCs w:val="19"/>
              </w:rPr>
            </w:pPr>
          </w:p>
        </w:tc>
        <w:tc>
          <w:tcPr>
            <w:tcW w:w="234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 xml:space="preserve">Assessment ongoing </w:t>
            </w:r>
          </w:p>
        </w:tc>
        <w:tc>
          <w:tcPr>
            <w:tcW w:w="2700"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 xml:space="preserve">A national consultant is undertaking training needs analysis. </w:t>
            </w:r>
          </w:p>
        </w:tc>
        <w:tc>
          <w:tcPr>
            <w:tcW w:w="3544"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National consultant had visited and worked with 6/17 participating universities in Hai Duong, Hai Phong, Hanoi, HCMC to raise gender awareness, to advice the PIUs to integrate gender into regular training, and provide gender materials for references for teaching purposes.</w:t>
            </w:r>
          </w:p>
        </w:tc>
      </w:tr>
      <w:tr w:rsidR="00831399" w:rsidRPr="00E65146" w:rsidTr="00810A4A">
        <w:trPr>
          <w:trHeight w:val="395"/>
        </w:trPr>
        <w:tc>
          <w:tcPr>
            <w:tcW w:w="966" w:type="dxa"/>
          </w:tcPr>
          <w:p w:rsidR="00831399" w:rsidRPr="00075768" w:rsidRDefault="00831399" w:rsidP="00810A4A">
            <w:pPr>
              <w:keepLines/>
              <w:rPr>
                <w:rFonts w:ascii="Arial" w:hAnsi="Arial" w:cs="Arial"/>
                <w:sz w:val="19"/>
                <w:szCs w:val="19"/>
              </w:rPr>
            </w:pPr>
          </w:p>
        </w:tc>
        <w:tc>
          <w:tcPr>
            <w:tcW w:w="2659" w:type="dxa"/>
          </w:tcPr>
          <w:p w:rsidR="00831399" w:rsidRPr="00075768" w:rsidRDefault="00831399" w:rsidP="00810A4A">
            <w:pPr>
              <w:keepLines/>
              <w:rPr>
                <w:rFonts w:ascii="Arial" w:hAnsi="Arial" w:cs="Arial"/>
                <w:sz w:val="19"/>
                <w:szCs w:val="19"/>
                <w:highlight w:val="yellow"/>
              </w:rPr>
            </w:pPr>
            <w:r w:rsidRPr="00075768">
              <w:rPr>
                <w:rFonts w:ascii="Arial" w:hAnsi="Arial" w:cs="Arial"/>
                <w:sz w:val="19"/>
                <w:szCs w:val="19"/>
              </w:rPr>
              <w:t xml:space="preserve">Ensure 40% women’s representation in training programs or at least proportionate to their representation in the relevant trainee pool. </w:t>
            </w:r>
          </w:p>
        </w:tc>
        <w:tc>
          <w:tcPr>
            <w:tcW w:w="1701"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PMU and training institutions</w:t>
            </w:r>
          </w:p>
        </w:tc>
        <w:tc>
          <w:tcPr>
            <w:tcW w:w="234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Over 50%</w:t>
            </w:r>
          </w:p>
        </w:tc>
        <w:tc>
          <w:tcPr>
            <w:tcW w:w="2700"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Female representation good in training activities because many nurses trained; nursing a typically female sector.</w:t>
            </w:r>
          </w:p>
          <w:p w:rsidR="00831399" w:rsidRPr="00075768" w:rsidRDefault="00831399" w:rsidP="00810A4A">
            <w:pPr>
              <w:keepLines/>
              <w:rPr>
                <w:rFonts w:ascii="Arial" w:hAnsi="Arial" w:cs="Arial"/>
                <w:sz w:val="19"/>
                <w:szCs w:val="19"/>
              </w:rPr>
            </w:pPr>
          </w:p>
          <w:p w:rsidR="00831399" w:rsidRPr="00075768" w:rsidRDefault="00831399" w:rsidP="00810A4A">
            <w:pPr>
              <w:keepLines/>
              <w:rPr>
                <w:rFonts w:ascii="Arial" w:hAnsi="Arial" w:cs="Arial"/>
                <w:sz w:val="19"/>
                <w:szCs w:val="19"/>
              </w:rPr>
            </w:pPr>
          </w:p>
        </w:tc>
        <w:tc>
          <w:tcPr>
            <w:tcW w:w="3544" w:type="dxa"/>
          </w:tcPr>
          <w:p w:rsidR="00831399" w:rsidRDefault="00831399" w:rsidP="00810A4A">
            <w:pPr>
              <w:keepLines/>
              <w:rPr>
                <w:rFonts w:ascii="Arial" w:hAnsi="Arial" w:cs="Arial"/>
                <w:sz w:val="19"/>
                <w:szCs w:val="19"/>
              </w:rPr>
            </w:pPr>
            <w:r w:rsidRPr="00075768">
              <w:rPr>
                <w:rFonts w:ascii="Arial" w:hAnsi="Arial" w:cs="Arial"/>
                <w:sz w:val="19"/>
                <w:szCs w:val="19"/>
              </w:rPr>
              <w:t>By July 2014, number of graduate students (MA and Ph.D.) supported by the project in all PIUs include 59 males and 124 females (67.8</w:t>
            </w:r>
            <w:r w:rsidR="00C17D96">
              <w:rPr>
                <w:rFonts w:ascii="Arial" w:hAnsi="Arial" w:cs="Arial"/>
                <w:sz w:val="19"/>
                <w:szCs w:val="19"/>
              </w:rPr>
              <w:t>%).</w:t>
            </w:r>
          </w:p>
          <w:p w:rsidR="00C17D96" w:rsidRPr="00075768" w:rsidRDefault="00C17D96" w:rsidP="00810A4A">
            <w:pPr>
              <w:keepLines/>
              <w:rPr>
                <w:rFonts w:ascii="Arial" w:hAnsi="Arial" w:cs="Arial"/>
                <w:sz w:val="19"/>
                <w:szCs w:val="19"/>
              </w:rPr>
            </w:pPr>
          </w:p>
          <w:p w:rsidR="00831399" w:rsidRPr="00075768" w:rsidRDefault="00831399" w:rsidP="00810A4A">
            <w:pPr>
              <w:keepLines/>
              <w:rPr>
                <w:rFonts w:ascii="Arial" w:hAnsi="Arial" w:cs="Arial"/>
                <w:sz w:val="19"/>
                <w:szCs w:val="19"/>
              </w:rPr>
            </w:pPr>
            <w:r w:rsidRPr="00075768">
              <w:rPr>
                <w:rFonts w:ascii="Arial" w:hAnsi="Arial" w:cs="Arial"/>
                <w:sz w:val="19"/>
                <w:szCs w:val="19"/>
              </w:rPr>
              <w:t>Data provided by PIUs show high proportion of women in all types of training (often over 50%);</w:t>
            </w:r>
          </w:p>
        </w:tc>
      </w:tr>
      <w:tr w:rsidR="00831399" w:rsidRPr="00E65146" w:rsidTr="00810A4A">
        <w:trPr>
          <w:trHeight w:val="260"/>
        </w:trPr>
        <w:tc>
          <w:tcPr>
            <w:tcW w:w="966" w:type="dxa"/>
          </w:tcPr>
          <w:p w:rsidR="00831399" w:rsidRPr="00075768" w:rsidRDefault="00831399" w:rsidP="00810A4A">
            <w:pPr>
              <w:keepLines/>
              <w:rPr>
                <w:rFonts w:ascii="Arial" w:hAnsi="Arial" w:cs="Arial"/>
                <w:sz w:val="19"/>
                <w:szCs w:val="19"/>
              </w:rPr>
            </w:pPr>
          </w:p>
        </w:tc>
        <w:tc>
          <w:tcPr>
            <w:tcW w:w="265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 xml:space="preserve">Reserve 40% quota for women teachers in study-tours to Universities in ASEAN region and teacher exchanges. </w:t>
            </w:r>
          </w:p>
        </w:tc>
        <w:tc>
          <w:tcPr>
            <w:tcW w:w="1701"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MOH/DST</w:t>
            </w:r>
          </w:p>
        </w:tc>
        <w:tc>
          <w:tcPr>
            <w:tcW w:w="234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PMU select scholarship holders for abroad training, gender quotas applied in selection.</w:t>
            </w:r>
          </w:p>
          <w:p w:rsidR="00831399" w:rsidRPr="00075768" w:rsidRDefault="00831399" w:rsidP="00810A4A">
            <w:pPr>
              <w:keepLines/>
              <w:rPr>
                <w:rFonts w:ascii="Arial" w:hAnsi="Arial" w:cs="Arial"/>
                <w:sz w:val="19"/>
                <w:szCs w:val="19"/>
              </w:rPr>
            </w:pPr>
            <w:r w:rsidRPr="00075768">
              <w:rPr>
                <w:rFonts w:ascii="Arial" w:hAnsi="Arial" w:cs="Arial"/>
                <w:sz w:val="19"/>
                <w:szCs w:val="19"/>
              </w:rPr>
              <w:t>Women teachers in study tours to Universities in ASIAN region: the rate is 61.3% (46 females/76 total person)</w:t>
            </w:r>
          </w:p>
        </w:tc>
        <w:tc>
          <w:tcPr>
            <w:tcW w:w="2700"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PMU select scholarship holders for abroad training, gender quotas applied in selection.</w:t>
            </w:r>
          </w:p>
          <w:p w:rsidR="00831399" w:rsidRPr="00075768" w:rsidRDefault="00831399" w:rsidP="00810A4A">
            <w:pPr>
              <w:keepLines/>
              <w:rPr>
                <w:rFonts w:ascii="Arial" w:hAnsi="Arial" w:cs="Arial"/>
                <w:sz w:val="19"/>
                <w:szCs w:val="19"/>
              </w:rPr>
            </w:pPr>
          </w:p>
        </w:tc>
        <w:tc>
          <w:tcPr>
            <w:tcW w:w="3544" w:type="dxa"/>
          </w:tcPr>
          <w:p w:rsidR="00831399" w:rsidRPr="00075768" w:rsidRDefault="00831399" w:rsidP="00810A4A">
            <w:pPr>
              <w:keepLines/>
              <w:rPr>
                <w:rFonts w:ascii="Arial" w:hAnsi="Arial" w:cs="Arial"/>
                <w:sz w:val="19"/>
                <w:szCs w:val="19"/>
              </w:rPr>
            </w:pPr>
          </w:p>
        </w:tc>
      </w:tr>
      <w:tr w:rsidR="00831399" w:rsidRPr="00E65146" w:rsidTr="00810A4A">
        <w:trPr>
          <w:trHeight w:val="169"/>
        </w:trPr>
        <w:tc>
          <w:tcPr>
            <w:tcW w:w="966" w:type="dxa"/>
          </w:tcPr>
          <w:p w:rsidR="00831399" w:rsidRPr="00075768" w:rsidRDefault="00831399" w:rsidP="00810A4A">
            <w:pPr>
              <w:keepLines/>
              <w:rPr>
                <w:rFonts w:ascii="Arial" w:hAnsi="Arial" w:cs="Arial"/>
                <w:sz w:val="19"/>
                <w:szCs w:val="19"/>
              </w:rPr>
            </w:pPr>
          </w:p>
        </w:tc>
        <w:tc>
          <w:tcPr>
            <w:tcW w:w="2659" w:type="dxa"/>
            <w:shd w:val="clear" w:color="auto" w:fill="auto"/>
          </w:tcPr>
          <w:p w:rsidR="00831399" w:rsidRPr="00075768" w:rsidRDefault="00831399" w:rsidP="00810A4A">
            <w:pPr>
              <w:keepLines/>
              <w:rPr>
                <w:rFonts w:ascii="Arial" w:hAnsi="Arial" w:cs="Arial"/>
                <w:sz w:val="19"/>
                <w:szCs w:val="19"/>
              </w:rPr>
            </w:pPr>
            <w:r w:rsidRPr="00075768">
              <w:rPr>
                <w:rFonts w:ascii="Arial" w:hAnsi="Arial" w:cs="Arial"/>
                <w:sz w:val="19"/>
                <w:szCs w:val="19"/>
              </w:rPr>
              <w:t>Ensure 10% EM representation in training programs or at least proportionate to their representation in the region served by the relevant training program.</w:t>
            </w:r>
          </w:p>
        </w:tc>
        <w:tc>
          <w:tcPr>
            <w:tcW w:w="1701"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PMU and training institutions</w:t>
            </w:r>
          </w:p>
        </w:tc>
        <w:tc>
          <w:tcPr>
            <w:tcW w:w="234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EM representation in training programs or at least proportionate to their representation in the region served by the relevant training program</w:t>
            </w:r>
          </w:p>
        </w:tc>
        <w:tc>
          <w:tcPr>
            <w:tcW w:w="2700"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Can be verified with data in the gender and ethnicity disaggregated project monitoring forms developed in May 2014.</w:t>
            </w:r>
          </w:p>
          <w:p w:rsidR="00831399" w:rsidRPr="00075768" w:rsidRDefault="00831399" w:rsidP="00810A4A">
            <w:pPr>
              <w:keepLines/>
              <w:rPr>
                <w:rFonts w:ascii="Arial" w:hAnsi="Arial" w:cs="Arial"/>
                <w:sz w:val="19"/>
                <w:szCs w:val="19"/>
              </w:rPr>
            </w:pPr>
          </w:p>
        </w:tc>
        <w:tc>
          <w:tcPr>
            <w:tcW w:w="3544"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EM are present in a few PIU, for example,in Medical and Pharmacial University of Can Tho in 2014, 508 EM students received fellowship from the project, among which 272 are women (53.5%), and 805 Kinh students (EM students account for 38.7%);</w:t>
            </w:r>
          </w:p>
        </w:tc>
      </w:tr>
      <w:tr w:rsidR="00831399" w:rsidRPr="00E65146" w:rsidTr="00810A4A">
        <w:trPr>
          <w:trHeight w:val="169"/>
        </w:trPr>
        <w:tc>
          <w:tcPr>
            <w:tcW w:w="966" w:type="dxa"/>
          </w:tcPr>
          <w:p w:rsidR="00831399" w:rsidRPr="00075768" w:rsidRDefault="00831399" w:rsidP="00810A4A">
            <w:pPr>
              <w:keepLines/>
              <w:rPr>
                <w:rFonts w:ascii="Arial" w:hAnsi="Arial" w:cs="Arial"/>
                <w:sz w:val="19"/>
                <w:szCs w:val="19"/>
              </w:rPr>
            </w:pPr>
          </w:p>
        </w:tc>
        <w:tc>
          <w:tcPr>
            <w:tcW w:w="265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Establish a quota of at least 50% of scholarships funded by the program for pre-service or in-service training are given to women.</w:t>
            </w:r>
          </w:p>
        </w:tc>
        <w:tc>
          <w:tcPr>
            <w:tcW w:w="1701"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MOH/PMU</w:t>
            </w:r>
          </w:p>
        </w:tc>
        <w:tc>
          <w:tcPr>
            <w:tcW w:w="234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PHD scholarship: 60% (8 female/20 total)</w:t>
            </w:r>
          </w:p>
          <w:p w:rsidR="00831399" w:rsidRPr="00075768" w:rsidRDefault="00831399" w:rsidP="00810A4A">
            <w:pPr>
              <w:keepLines/>
              <w:rPr>
                <w:rFonts w:ascii="Arial" w:hAnsi="Arial" w:cs="Arial"/>
                <w:sz w:val="19"/>
                <w:szCs w:val="19"/>
              </w:rPr>
            </w:pPr>
            <w:r w:rsidRPr="00075768">
              <w:rPr>
                <w:rFonts w:ascii="Arial" w:hAnsi="Arial" w:cs="Arial"/>
                <w:sz w:val="19"/>
                <w:szCs w:val="19"/>
              </w:rPr>
              <w:t>Master scholarship: 72.8% (67 females/92 total)</w:t>
            </w:r>
          </w:p>
        </w:tc>
        <w:tc>
          <w:tcPr>
            <w:tcW w:w="2700"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PhD scholarships: 40% female (wrong reporting from PMU)</w:t>
            </w:r>
          </w:p>
        </w:tc>
        <w:tc>
          <w:tcPr>
            <w:tcW w:w="3544"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Up to 30 July 2014, 124 female and 59 male from 17 PIUs received scholarships for MA and Ph.D.</w:t>
            </w:r>
          </w:p>
        </w:tc>
      </w:tr>
      <w:tr w:rsidR="00831399" w:rsidRPr="00E65146" w:rsidTr="00810A4A">
        <w:trPr>
          <w:trHeight w:val="169"/>
        </w:trPr>
        <w:tc>
          <w:tcPr>
            <w:tcW w:w="966" w:type="dxa"/>
          </w:tcPr>
          <w:p w:rsidR="00831399" w:rsidRPr="00075768" w:rsidRDefault="00831399" w:rsidP="00810A4A">
            <w:pPr>
              <w:keepLines/>
              <w:rPr>
                <w:rFonts w:ascii="Arial" w:hAnsi="Arial" w:cs="Arial"/>
                <w:sz w:val="19"/>
                <w:szCs w:val="19"/>
              </w:rPr>
            </w:pPr>
          </w:p>
        </w:tc>
        <w:tc>
          <w:tcPr>
            <w:tcW w:w="265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Ensure that any age limits for training supported by the program are the same for men and women.</w:t>
            </w:r>
          </w:p>
        </w:tc>
        <w:tc>
          <w:tcPr>
            <w:tcW w:w="1701"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PMU and MOH/DST</w:t>
            </w:r>
          </w:p>
        </w:tc>
        <w:tc>
          <w:tcPr>
            <w:tcW w:w="234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 xml:space="preserve">No age limits different for men and women </w:t>
            </w:r>
          </w:p>
          <w:p w:rsidR="00831399" w:rsidRPr="00075768" w:rsidRDefault="00831399" w:rsidP="00810A4A">
            <w:pPr>
              <w:keepLines/>
              <w:rPr>
                <w:rFonts w:ascii="Arial" w:hAnsi="Arial" w:cs="Arial"/>
                <w:sz w:val="19"/>
                <w:szCs w:val="19"/>
              </w:rPr>
            </w:pPr>
          </w:p>
        </w:tc>
        <w:tc>
          <w:tcPr>
            <w:tcW w:w="2700"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PMU declares no age limits are applied.</w:t>
            </w:r>
          </w:p>
        </w:tc>
        <w:tc>
          <w:tcPr>
            <w:tcW w:w="3544"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PMU declares no age limits are applied.</w:t>
            </w:r>
          </w:p>
        </w:tc>
      </w:tr>
      <w:tr w:rsidR="00831399" w:rsidRPr="00E65146" w:rsidTr="00810A4A">
        <w:trPr>
          <w:trHeight w:val="169"/>
        </w:trPr>
        <w:tc>
          <w:tcPr>
            <w:tcW w:w="966" w:type="dxa"/>
          </w:tcPr>
          <w:p w:rsidR="00831399" w:rsidRPr="00075768" w:rsidRDefault="00831399" w:rsidP="00810A4A">
            <w:pPr>
              <w:keepLines/>
              <w:rPr>
                <w:rFonts w:ascii="Arial" w:hAnsi="Arial" w:cs="Arial"/>
                <w:sz w:val="19"/>
                <w:szCs w:val="19"/>
              </w:rPr>
            </w:pPr>
          </w:p>
        </w:tc>
        <w:tc>
          <w:tcPr>
            <w:tcW w:w="2659" w:type="dxa"/>
          </w:tcPr>
          <w:p w:rsidR="00831399" w:rsidRPr="00075768" w:rsidRDefault="00831399" w:rsidP="00810A4A">
            <w:pPr>
              <w:keepLines/>
              <w:rPr>
                <w:rFonts w:ascii="Arial" w:hAnsi="Arial" w:cs="Arial"/>
                <w:sz w:val="19"/>
                <w:szCs w:val="19"/>
                <w:highlight w:val="yellow"/>
              </w:rPr>
            </w:pPr>
            <w:r w:rsidRPr="00075768">
              <w:rPr>
                <w:rFonts w:ascii="Arial" w:hAnsi="Arial" w:cs="Arial"/>
                <w:sz w:val="19"/>
                <w:szCs w:val="19"/>
              </w:rPr>
              <w:t xml:space="preserve">Ensure that support for training of nurses and midwives is prioritized. </w:t>
            </w:r>
          </w:p>
        </w:tc>
        <w:tc>
          <w:tcPr>
            <w:tcW w:w="1701"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MOH/DST</w:t>
            </w:r>
          </w:p>
        </w:tc>
        <w:tc>
          <w:tcPr>
            <w:tcW w:w="234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Nurses and midwives are given priority for appropriate training (i.e. training in Thailand)</w:t>
            </w:r>
          </w:p>
        </w:tc>
        <w:tc>
          <w:tcPr>
            <w:tcW w:w="2700"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To be verified by project monitoring data.</w:t>
            </w:r>
          </w:p>
        </w:tc>
        <w:tc>
          <w:tcPr>
            <w:tcW w:w="3544"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Among 183 graduate students receiving scholarships, 30 of them (22 are women) are studying nursing (27 in Thailand)</w:t>
            </w:r>
          </w:p>
        </w:tc>
      </w:tr>
      <w:tr w:rsidR="00831399" w:rsidRPr="00E65146" w:rsidTr="00810A4A">
        <w:trPr>
          <w:trHeight w:val="260"/>
        </w:trPr>
        <w:tc>
          <w:tcPr>
            <w:tcW w:w="966" w:type="dxa"/>
          </w:tcPr>
          <w:p w:rsidR="00831399" w:rsidRPr="00075768" w:rsidRDefault="00831399" w:rsidP="00810A4A">
            <w:pPr>
              <w:keepLines/>
              <w:rPr>
                <w:rFonts w:ascii="Arial" w:hAnsi="Arial" w:cs="Arial"/>
                <w:sz w:val="19"/>
                <w:szCs w:val="19"/>
              </w:rPr>
            </w:pPr>
          </w:p>
        </w:tc>
        <w:tc>
          <w:tcPr>
            <w:tcW w:w="2659" w:type="dxa"/>
            <w:shd w:val="clear" w:color="auto" w:fill="auto"/>
          </w:tcPr>
          <w:p w:rsidR="00831399" w:rsidRPr="00075768" w:rsidRDefault="00831399" w:rsidP="00810A4A">
            <w:pPr>
              <w:keepLines/>
              <w:rPr>
                <w:rFonts w:ascii="Arial" w:hAnsi="Arial" w:cs="Arial"/>
                <w:sz w:val="19"/>
                <w:szCs w:val="19"/>
              </w:rPr>
            </w:pPr>
            <w:r w:rsidRPr="00075768">
              <w:rPr>
                <w:rFonts w:ascii="Arial" w:hAnsi="Arial" w:cs="Arial"/>
                <w:sz w:val="19"/>
                <w:szCs w:val="19"/>
              </w:rPr>
              <w:t xml:space="preserve">Ensure that updating of medical curricula conform to the new National Standards and Guidelines on Reproductive Health </w:t>
            </w:r>
          </w:p>
        </w:tc>
        <w:tc>
          <w:tcPr>
            <w:tcW w:w="1701"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MOH/DST</w:t>
            </w:r>
          </w:p>
          <w:p w:rsidR="00831399" w:rsidRPr="00075768" w:rsidRDefault="00831399" w:rsidP="00810A4A">
            <w:pPr>
              <w:keepLines/>
              <w:rPr>
                <w:rFonts w:ascii="Arial" w:hAnsi="Arial" w:cs="Arial"/>
                <w:sz w:val="19"/>
                <w:szCs w:val="19"/>
              </w:rPr>
            </w:pPr>
          </w:p>
        </w:tc>
        <w:tc>
          <w:tcPr>
            <w:tcW w:w="2349" w:type="dxa"/>
          </w:tcPr>
          <w:p w:rsidR="00831399" w:rsidRPr="00075768" w:rsidRDefault="00831399" w:rsidP="00810A4A">
            <w:pPr>
              <w:keepLines/>
              <w:jc w:val="center"/>
              <w:rPr>
                <w:rFonts w:ascii="Arial" w:hAnsi="Arial" w:cs="Arial"/>
                <w:sz w:val="19"/>
                <w:szCs w:val="19"/>
              </w:rPr>
            </w:pPr>
          </w:p>
          <w:p w:rsidR="00831399" w:rsidRPr="00075768" w:rsidRDefault="00831399" w:rsidP="00810A4A">
            <w:pPr>
              <w:keepLines/>
              <w:jc w:val="center"/>
              <w:rPr>
                <w:rFonts w:ascii="Arial" w:hAnsi="Arial" w:cs="Arial"/>
                <w:sz w:val="19"/>
                <w:szCs w:val="19"/>
              </w:rPr>
            </w:pPr>
            <w:r w:rsidRPr="00075768">
              <w:rPr>
                <w:rFonts w:ascii="Arial" w:hAnsi="Arial" w:cs="Arial"/>
                <w:sz w:val="19"/>
                <w:szCs w:val="19"/>
              </w:rPr>
              <w:t>----</w:t>
            </w:r>
          </w:p>
        </w:tc>
        <w:tc>
          <w:tcPr>
            <w:tcW w:w="2700" w:type="dxa"/>
            <w:vMerge w:val="restart"/>
          </w:tcPr>
          <w:p w:rsidR="00831399" w:rsidRPr="00075768" w:rsidRDefault="00831399" w:rsidP="00810A4A">
            <w:pPr>
              <w:keepLines/>
              <w:rPr>
                <w:rFonts w:ascii="Arial" w:hAnsi="Arial" w:cs="Arial"/>
                <w:sz w:val="19"/>
                <w:szCs w:val="19"/>
              </w:rPr>
            </w:pPr>
            <w:r w:rsidRPr="00075768">
              <w:rPr>
                <w:rFonts w:ascii="Arial" w:hAnsi="Arial" w:cs="Arial"/>
                <w:sz w:val="19"/>
                <w:szCs w:val="19"/>
              </w:rPr>
              <w:t>According to Component 2 Coordinator medical curricula update is not a project activity</w:t>
            </w:r>
          </w:p>
        </w:tc>
        <w:tc>
          <w:tcPr>
            <w:tcW w:w="3544" w:type="dxa"/>
          </w:tcPr>
          <w:p w:rsidR="00831399" w:rsidRPr="00075768" w:rsidRDefault="00831399" w:rsidP="00810A4A">
            <w:pPr>
              <w:keepLines/>
              <w:rPr>
                <w:rFonts w:ascii="Arial" w:hAnsi="Arial" w:cs="Arial"/>
                <w:sz w:val="19"/>
                <w:szCs w:val="19"/>
              </w:rPr>
            </w:pPr>
          </w:p>
        </w:tc>
      </w:tr>
      <w:tr w:rsidR="00831399" w:rsidRPr="00E65146" w:rsidTr="00810A4A">
        <w:trPr>
          <w:trHeight w:val="350"/>
        </w:trPr>
        <w:tc>
          <w:tcPr>
            <w:tcW w:w="966" w:type="dxa"/>
          </w:tcPr>
          <w:p w:rsidR="00831399" w:rsidRPr="00075768" w:rsidRDefault="00831399" w:rsidP="00810A4A">
            <w:pPr>
              <w:keepLines/>
              <w:rPr>
                <w:rFonts w:ascii="Arial" w:hAnsi="Arial" w:cs="Arial"/>
                <w:sz w:val="19"/>
                <w:szCs w:val="19"/>
              </w:rPr>
            </w:pPr>
          </w:p>
        </w:tc>
        <w:tc>
          <w:tcPr>
            <w:tcW w:w="265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Integrate training on preventing/addressing domestic violence in pre-service training for health professionals.</w:t>
            </w:r>
          </w:p>
        </w:tc>
        <w:tc>
          <w:tcPr>
            <w:tcW w:w="1701"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MOH/DST and training institutions</w:t>
            </w:r>
          </w:p>
        </w:tc>
        <w:tc>
          <w:tcPr>
            <w:tcW w:w="234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Included in training curriculum</w:t>
            </w:r>
          </w:p>
        </w:tc>
        <w:tc>
          <w:tcPr>
            <w:tcW w:w="2700" w:type="dxa"/>
            <w:vMerge/>
          </w:tcPr>
          <w:p w:rsidR="00831399" w:rsidRPr="00075768" w:rsidRDefault="00831399" w:rsidP="00810A4A">
            <w:pPr>
              <w:keepLines/>
              <w:rPr>
                <w:rFonts w:ascii="Arial" w:hAnsi="Arial" w:cs="Arial"/>
                <w:sz w:val="19"/>
                <w:szCs w:val="19"/>
              </w:rPr>
            </w:pPr>
          </w:p>
        </w:tc>
        <w:tc>
          <w:tcPr>
            <w:tcW w:w="3544" w:type="dxa"/>
          </w:tcPr>
          <w:p w:rsidR="00831399" w:rsidRPr="00075768" w:rsidRDefault="00831399" w:rsidP="00810A4A">
            <w:pPr>
              <w:keepLines/>
              <w:rPr>
                <w:rFonts w:ascii="Arial" w:hAnsi="Arial" w:cs="Arial"/>
                <w:sz w:val="19"/>
                <w:szCs w:val="19"/>
              </w:rPr>
            </w:pPr>
          </w:p>
        </w:tc>
      </w:tr>
      <w:tr w:rsidR="00831399" w:rsidRPr="00E65146" w:rsidTr="00810A4A">
        <w:trPr>
          <w:trHeight w:val="512"/>
        </w:trPr>
        <w:tc>
          <w:tcPr>
            <w:tcW w:w="966" w:type="dxa"/>
          </w:tcPr>
          <w:p w:rsidR="00831399" w:rsidRPr="00075768" w:rsidRDefault="00831399" w:rsidP="00810A4A">
            <w:pPr>
              <w:keepLines/>
              <w:rPr>
                <w:rFonts w:ascii="Arial" w:hAnsi="Arial" w:cs="Arial"/>
                <w:sz w:val="19"/>
                <w:szCs w:val="19"/>
              </w:rPr>
            </w:pPr>
          </w:p>
        </w:tc>
        <w:tc>
          <w:tcPr>
            <w:tcW w:w="265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Support new training program for population/family planning workers especially females and EMs at province, district and commune levels.</w:t>
            </w:r>
          </w:p>
        </w:tc>
        <w:tc>
          <w:tcPr>
            <w:tcW w:w="1701"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MOH/DST and MOH/ Population Bureau</w:t>
            </w:r>
          </w:p>
        </w:tc>
        <w:tc>
          <w:tcPr>
            <w:tcW w:w="234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Under consideration</w:t>
            </w:r>
          </w:p>
        </w:tc>
        <w:tc>
          <w:tcPr>
            <w:tcW w:w="2700"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Included in the 6 short course in-service training modules developed by Thai Nguyen Medical University.</w:t>
            </w:r>
          </w:p>
          <w:p w:rsidR="00831399" w:rsidRPr="00075768" w:rsidRDefault="00831399" w:rsidP="00810A4A">
            <w:pPr>
              <w:keepLines/>
              <w:rPr>
                <w:rFonts w:ascii="Arial" w:hAnsi="Arial" w:cs="Arial"/>
                <w:sz w:val="19"/>
                <w:szCs w:val="19"/>
              </w:rPr>
            </w:pPr>
          </w:p>
        </w:tc>
        <w:tc>
          <w:tcPr>
            <w:tcW w:w="3544"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Materials for 6 training modules are completed.</w:t>
            </w:r>
          </w:p>
        </w:tc>
      </w:tr>
      <w:tr w:rsidR="00831399" w:rsidRPr="00E65146" w:rsidTr="00810A4A">
        <w:trPr>
          <w:trHeight w:val="323"/>
        </w:trPr>
        <w:tc>
          <w:tcPr>
            <w:tcW w:w="966" w:type="dxa"/>
          </w:tcPr>
          <w:p w:rsidR="00831399" w:rsidRPr="00075768" w:rsidRDefault="00831399" w:rsidP="00810A4A">
            <w:pPr>
              <w:keepLines/>
              <w:rPr>
                <w:rFonts w:ascii="Arial" w:hAnsi="Arial" w:cs="Arial"/>
                <w:sz w:val="19"/>
                <w:szCs w:val="19"/>
              </w:rPr>
            </w:pPr>
          </w:p>
        </w:tc>
        <w:tc>
          <w:tcPr>
            <w:tcW w:w="265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 xml:space="preserve">Design short modules in-service training courses for female health workers with family responsibilities and for health workers posted to remote areas, so that credit can be accumulated over time. </w:t>
            </w:r>
          </w:p>
        </w:tc>
        <w:tc>
          <w:tcPr>
            <w:tcW w:w="1701"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MOH/DST</w:t>
            </w:r>
          </w:p>
          <w:p w:rsidR="00831399" w:rsidRPr="00075768" w:rsidRDefault="00831399" w:rsidP="00810A4A">
            <w:pPr>
              <w:keepLines/>
              <w:rPr>
                <w:rFonts w:ascii="Arial" w:hAnsi="Arial" w:cs="Arial"/>
                <w:sz w:val="19"/>
                <w:szCs w:val="19"/>
              </w:rPr>
            </w:pPr>
          </w:p>
        </w:tc>
        <w:tc>
          <w:tcPr>
            <w:tcW w:w="234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Project signed Thai Nguyen Medical University to develop 6 short course in-service training modules.</w:t>
            </w:r>
          </w:p>
        </w:tc>
        <w:tc>
          <w:tcPr>
            <w:tcW w:w="2700"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The 6 modules developed by Thai Nguyen MU will be piloted from June until end of 2014.</w:t>
            </w:r>
          </w:p>
          <w:p w:rsidR="00831399" w:rsidRPr="00075768" w:rsidRDefault="00831399" w:rsidP="00810A4A">
            <w:pPr>
              <w:keepLines/>
              <w:rPr>
                <w:rFonts w:ascii="Arial" w:hAnsi="Arial" w:cs="Arial"/>
                <w:sz w:val="19"/>
                <w:szCs w:val="19"/>
              </w:rPr>
            </w:pPr>
          </w:p>
        </w:tc>
        <w:tc>
          <w:tcPr>
            <w:tcW w:w="3544"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Implemented in 11 PIUs where there are EM students.</w:t>
            </w:r>
          </w:p>
        </w:tc>
      </w:tr>
      <w:tr w:rsidR="00831399" w:rsidRPr="00E65146" w:rsidTr="00810A4A">
        <w:trPr>
          <w:trHeight w:val="169"/>
        </w:trPr>
        <w:tc>
          <w:tcPr>
            <w:tcW w:w="966" w:type="dxa"/>
          </w:tcPr>
          <w:p w:rsidR="00831399" w:rsidRPr="00075768" w:rsidRDefault="00831399" w:rsidP="00810A4A">
            <w:pPr>
              <w:keepLines/>
              <w:rPr>
                <w:rFonts w:ascii="Arial" w:hAnsi="Arial" w:cs="Arial"/>
                <w:sz w:val="19"/>
                <w:szCs w:val="19"/>
              </w:rPr>
            </w:pPr>
          </w:p>
        </w:tc>
        <w:tc>
          <w:tcPr>
            <w:tcW w:w="265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Establish a fund for female participants and participants from remote areas for in-service training to defray travel costs, childcare and other expenses.</w:t>
            </w:r>
          </w:p>
        </w:tc>
        <w:tc>
          <w:tcPr>
            <w:tcW w:w="1701"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PMU and MOH/DST</w:t>
            </w:r>
          </w:p>
        </w:tc>
        <w:tc>
          <w:tcPr>
            <w:tcW w:w="234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Establish a fund for female participants and participants from remote areas for in-service training to defray travel costs, and other expenses following the Government cost norms.</w:t>
            </w:r>
          </w:p>
        </w:tc>
        <w:tc>
          <w:tcPr>
            <w:tcW w:w="2700" w:type="dxa"/>
          </w:tcPr>
          <w:p w:rsidR="00831399" w:rsidRPr="00075768" w:rsidRDefault="00831399" w:rsidP="00810A4A">
            <w:pPr>
              <w:keepLines/>
              <w:rPr>
                <w:rFonts w:ascii="Arial" w:hAnsi="Arial" w:cs="Arial"/>
                <w:sz w:val="19"/>
                <w:szCs w:val="19"/>
              </w:rPr>
            </w:pPr>
          </w:p>
        </w:tc>
        <w:tc>
          <w:tcPr>
            <w:tcW w:w="3544" w:type="dxa"/>
          </w:tcPr>
          <w:p w:rsidR="00831399" w:rsidRPr="00075768" w:rsidRDefault="00831399" w:rsidP="00810A4A">
            <w:pPr>
              <w:keepLines/>
              <w:rPr>
                <w:rFonts w:ascii="Arial" w:hAnsi="Arial" w:cs="Arial"/>
                <w:sz w:val="19"/>
                <w:szCs w:val="19"/>
              </w:rPr>
            </w:pPr>
          </w:p>
        </w:tc>
      </w:tr>
      <w:tr w:rsidR="00831399" w:rsidRPr="00E65146" w:rsidTr="00810A4A">
        <w:trPr>
          <w:trHeight w:val="169"/>
        </w:trPr>
        <w:tc>
          <w:tcPr>
            <w:tcW w:w="966" w:type="dxa"/>
          </w:tcPr>
          <w:p w:rsidR="00831399" w:rsidRPr="00075768" w:rsidRDefault="00831399" w:rsidP="00810A4A">
            <w:pPr>
              <w:keepLines/>
              <w:rPr>
                <w:rFonts w:ascii="Arial" w:hAnsi="Arial" w:cs="Arial"/>
                <w:sz w:val="19"/>
                <w:szCs w:val="19"/>
              </w:rPr>
            </w:pPr>
          </w:p>
        </w:tc>
        <w:tc>
          <w:tcPr>
            <w:tcW w:w="265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Disaggregate all data on participation in training activities exchanges and study tours by sex and ethnicity and include in PMU progress reports.</w:t>
            </w:r>
          </w:p>
        </w:tc>
        <w:tc>
          <w:tcPr>
            <w:tcW w:w="1701"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PMU and training institutions</w:t>
            </w:r>
          </w:p>
        </w:tc>
        <w:tc>
          <w:tcPr>
            <w:tcW w:w="234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All data on participation in training activities, exchanges and study tours in PMU activity reports is disaggregated by sex and ethnicity.</w:t>
            </w:r>
          </w:p>
        </w:tc>
        <w:tc>
          <w:tcPr>
            <w:tcW w:w="2700"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Project monitoring forms were finalised in May 2014 with support from the International Consultant to the project M&amp;E consultant team: Project monitoring forms provide gender and ethnicity disaggregated data on all project-supported training and related activities.</w:t>
            </w:r>
          </w:p>
        </w:tc>
        <w:tc>
          <w:tcPr>
            <w:tcW w:w="3544"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Can be checked with study tour data.</w:t>
            </w:r>
          </w:p>
        </w:tc>
      </w:tr>
      <w:tr w:rsidR="00831399" w:rsidRPr="00E65146" w:rsidTr="00810A4A">
        <w:trPr>
          <w:trHeight w:val="575"/>
        </w:trPr>
        <w:tc>
          <w:tcPr>
            <w:tcW w:w="966" w:type="dxa"/>
          </w:tcPr>
          <w:p w:rsidR="00831399" w:rsidRPr="00075768" w:rsidRDefault="00831399" w:rsidP="00810A4A">
            <w:pPr>
              <w:keepLines/>
              <w:rPr>
                <w:rFonts w:ascii="Arial" w:hAnsi="Arial" w:cs="Arial"/>
                <w:sz w:val="19"/>
                <w:szCs w:val="19"/>
              </w:rPr>
            </w:pPr>
          </w:p>
        </w:tc>
        <w:tc>
          <w:tcPr>
            <w:tcW w:w="265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 xml:space="preserve">Ensure 10% EM representation in teacher exchanges and study tours or at least proportionate to their representation in the region served by the relevant training institutions. </w:t>
            </w:r>
          </w:p>
        </w:tc>
        <w:tc>
          <w:tcPr>
            <w:tcW w:w="1701"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PMU and participating institutions</w:t>
            </w:r>
          </w:p>
        </w:tc>
        <w:tc>
          <w:tcPr>
            <w:tcW w:w="234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Priority is given to EM teachers and women.</w:t>
            </w:r>
          </w:p>
        </w:tc>
        <w:tc>
          <w:tcPr>
            <w:tcW w:w="2700"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Can be verified with data in the gender and ethnicity disaggregated monitoring forms developed in May 2014.</w:t>
            </w:r>
          </w:p>
          <w:p w:rsidR="00831399" w:rsidRPr="00075768" w:rsidRDefault="00831399" w:rsidP="00810A4A">
            <w:pPr>
              <w:keepLines/>
              <w:rPr>
                <w:rFonts w:ascii="Arial" w:hAnsi="Arial" w:cs="Arial"/>
                <w:sz w:val="19"/>
                <w:szCs w:val="19"/>
              </w:rPr>
            </w:pPr>
          </w:p>
        </w:tc>
        <w:tc>
          <w:tcPr>
            <w:tcW w:w="3544" w:type="dxa"/>
          </w:tcPr>
          <w:p w:rsidR="00831399" w:rsidRPr="00075768" w:rsidRDefault="00831399" w:rsidP="00810A4A">
            <w:pPr>
              <w:keepLines/>
              <w:rPr>
                <w:rFonts w:ascii="Arial" w:hAnsi="Arial" w:cs="Arial"/>
                <w:sz w:val="19"/>
                <w:szCs w:val="19"/>
              </w:rPr>
            </w:pPr>
          </w:p>
        </w:tc>
      </w:tr>
      <w:tr w:rsidR="00831399" w:rsidRPr="00E65146" w:rsidTr="00810A4A">
        <w:trPr>
          <w:trHeight w:val="230"/>
        </w:trPr>
        <w:tc>
          <w:tcPr>
            <w:tcW w:w="966" w:type="dxa"/>
          </w:tcPr>
          <w:p w:rsidR="00831399" w:rsidRPr="00075768" w:rsidRDefault="00831399" w:rsidP="00810A4A">
            <w:pPr>
              <w:keepLines/>
              <w:rPr>
                <w:rFonts w:ascii="Arial" w:hAnsi="Arial" w:cs="Arial"/>
                <w:sz w:val="19"/>
                <w:szCs w:val="19"/>
              </w:rPr>
            </w:pPr>
          </w:p>
        </w:tc>
        <w:tc>
          <w:tcPr>
            <w:tcW w:w="265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Provide equitable opportunities for men and women to participate in international exchanges, and support English language training to facilitate these exchanges</w:t>
            </w:r>
          </w:p>
        </w:tc>
        <w:tc>
          <w:tcPr>
            <w:tcW w:w="1701"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PMU, MOH/DST and participating institutions</w:t>
            </w:r>
          </w:p>
        </w:tc>
        <w:tc>
          <w:tcPr>
            <w:tcW w:w="234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Project give equitable opportunities for men and women to participate in international exchanges, and support English language training to facilitate these exchanges.</w:t>
            </w:r>
          </w:p>
        </w:tc>
        <w:tc>
          <w:tcPr>
            <w:tcW w:w="2700"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Can be verified with data in the gender and ethnicity disaggregated project monitoring forms developed in May 2014.</w:t>
            </w:r>
          </w:p>
        </w:tc>
        <w:tc>
          <w:tcPr>
            <w:tcW w:w="3544" w:type="dxa"/>
          </w:tcPr>
          <w:p w:rsidR="00831399" w:rsidRPr="00075768" w:rsidRDefault="00831399" w:rsidP="00810A4A">
            <w:pPr>
              <w:keepLines/>
              <w:rPr>
                <w:rFonts w:ascii="Arial" w:hAnsi="Arial" w:cs="Arial"/>
                <w:sz w:val="19"/>
                <w:szCs w:val="19"/>
              </w:rPr>
            </w:pPr>
          </w:p>
        </w:tc>
      </w:tr>
      <w:tr w:rsidR="00831399" w:rsidRPr="00E65146" w:rsidTr="00810A4A">
        <w:trPr>
          <w:trHeight w:val="345"/>
        </w:trPr>
        <w:tc>
          <w:tcPr>
            <w:tcW w:w="966" w:type="dxa"/>
          </w:tcPr>
          <w:p w:rsidR="00831399" w:rsidRPr="00075768" w:rsidRDefault="00831399" w:rsidP="00810A4A">
            <w:pPr>
              <w:keepLines/>
              <w:rPr>
                <w:rFonts w:ascii="Arial" w:hAnsi="Arial" w:cs="Arial"/>
                <w:sz w:val="19"/>
                <w:szCs w:val="19"/>
              </w:rPr>
            </w:pPr>
          </w:p>
        </w:tc>
        <w:tc>
          <w:tcPr>
            <w:tcW w:w="265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 xml:space="preserve">Improve financial and other support to EM candidates for pre-service and in-service training, including scholarships for EM students to participate in health worker training. </w:t>
            </w:r>
          </w:p>
        </w:tc>
        <w:tc>
          <w:tcPr>
            <w:tcW w:w="1701"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MOH/DST</w:t>
            </w:r>
          </w:p>
        </w:tc>
        <w:tc>
          <w:tcPr>
            <w:tcW w:w="234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 xml:space="preserve">Project provides support to EM candidates for pre-service and in-service training, including scholarships for EM students to participate in health worker training. </w:t>
            </w:r>
          </w:p>
        </w:tc>
        <w:tc>
          <w:tcPr>
            <w:tcW w:w="2700"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Government cost norms very low with an additional 100,000VND/month.</w:t>
            </w:r>
          </w:p>
        </w:tc>
        <w:tc>
          <w:tcPr>
            <w:tcW w:w="3544" w:type="dxa"/>
          </w:tcPr>
          <w:p w:rsidR="00831399" w:rsidRPr="00075768" w:rsidRDefault="00831399" w:rsidP="00810A4A">
            <w:pPr>
              <w:keepLines/>
              <w:rPr>
                <w:rFonts w:ascii="Arial" w:hAnsi="Arial" w:cs="Arial"/>
                <w:sz w:val="19"/>
                <w:szCs w:val="19"/>
              </w:rPr>
            </w:pPr>
          </w:p>
        </w:tc>
      </w:tr>
      <w:tr w:rsidR="00831399" w:rsidRPr="00E65146" w:rsidTr="00810A4A">
        <w:trPr>
          <w:trHeight w:val="350"/>
        </w:trPr>
        <w:tc>
          <w:tcPr>
            <w:tcW w:w="966" w:type="dxa"/>
          </w:tcPr>
          <w:p w:rsidR="00831399" w:rsidRPr="00075768" w:rsidRDefault="00831399" w:rsidP="00810A4A">
            <w:pPr>
              <w:keepLines/>
              <w:rPr>
                <w:rFonts w:ascii="Arial" w:hAnsi="Arial" w:cs="Arial"/>
                <w:sz w:val="19"/>
                <w:szCs w:val="19"/>
              </w:rPr>
            </w:pPr>
          </w:p>
        </w:tc>
        <w:tc>
          <w:tcPr>
            <w:tcW w:w="2659" w:type="dxa"/>
          </w:tcPr>
          <w:p w:rsidR="00831399" w:rsidRPr="00075768" w:rsidRDefault="00831399" w:rsidP="00810A4A">
            <w:pPr>
              <w:keepLines/>
              <w:rPr>
                <w:rFonts w:ascii="Arial" w:hAnsi="Arial" w:cs="Arial"/>
                <w:sz w:val="19"/>
                <w:szCs w:val="19"/>
                <w:highlight w:val="yellow"/>
              </w:rPr>
            </w:pPr>
            <w:r w:rsidRPr="00075768">
              <w:rPr>
                <w:rFonts w:ascii="Arial" w:hAnsi="Arial" w:cs="Arial"/>
                <w:sz w:val="19"/>
                <w:szCs w:val="19"/>
              </w:rPr>
              <w:t>Ensure that at least 30% of scholarships and other financial support under the program are given to EM candidates.</w:t>
            </w:r>
          </w:p>
        </w:tc>
        <w:tc>
          <w:tcPr>
            <w:tcW w:w="1701"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PMU and training institutions</w:t>
            </w:r>
          </w:p>
        </w:tc>
        <w:tc>
          <w:tcPr>
            <w:tcW w:w="234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Project will give 30% of scholarships and other financial support under the program to EM candidates.</w:t>
            </w:r>
          </w:p>
        </w:tc>
        <w:tc>
          <w:tcPr>
            <w:tcW w:w="2700"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Can be verified with data in the gender and ethnicity disaggregated project monitoring forms developed in May 2014.</w:t>
            </w:r>
          </w:p>
        </w:tc>
        <w:tc>
          <w:tcPr>
            <w:tcW w:w="3544" w:type="dxa"/>
          </w:tcPr>
          <w:p w:rsidR="00831399" w:rsidRPr="00075768" w:rsidRDefault="00831399" w:rsidP="00810A4A">
            <w:pPr>
              <w:keepLines/>
              <w:rPr>
                <w:rFonts w:ascii="Arial" w:hAnsi="Arial" w:cs="Arial"/>
                <w:sz w:val="19"/>
                <w:szCs w:val="19"/>
              </w:rPr>
            </w:pPr>
          </w:p>
        </w:tc>
      </w:tr>
      <w:tr w:rsidR="00831399" w:rsidRPr="00E65146" w:rsidTr="00810A4A">
        <w:trPr>
          <w:trHeight w:val="197"/>
        </w:trPr>
        <w:tc>
          <w:tcPr>
            <w:tcW w:w="966" w:type="dxa"/>
          </w:tcPr>
          <w:p w:rsidR="00831399" w:rsidRPr="00075768" w:rsidRDefault="00831399" w:rsidP="00810A4A">
            <w:pPr>
              <w:keepLines/>
              <w:rPr>
                <w:rFonts w:ascii="Arial" w:hAnsi="Arial" w:cs="Arial"/>
                <w:sz w:val="19"/>
                <w:szCs w:val="19"/>
              </w:rPr>
            </w:pPr>
          </w:p>
        </w:tc>
        <w:tc>
          <w:tcPr>
            <w:tcW w:w="265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 xml:space="preserve">Provide support for preparatory (bridging) courses for EM students in the Provincial Ethnic Minority Schools. </w:t>
            </w:r>
          </w:p>
        </w:tc>
        <w:tc>
          <w:tcPr>
            <w:tcW w:w="1701"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MOH/DST</w:t>
            </w:r>
          </w:p>
        </w:tc>
        <w:tc>
          <w:tcPr>
            <w:tcW w:w="234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Provide support for preparatory (bridging) courses for EM students in the Provincial Ethnic Minority Schools in Thai Binh Medical University</w:t>
            </w:r>
          </w:p>
        </w:tc>
        <w:tc>
          <w:tcPr>
            <w:tcW w:w="2700" w:type="dxa"/>
          </w:tcPr>
          <w:p w:rsidR="00831399" w:rsidRPr="00075768" w:rsidRDefault="00831399" w:rsidP="00810A4A">
            <w:pPr>
              <w:keepLines/>
              <w:rPr>
                <w:rFonts w:ascii="Arial" w:hAnsi="Arial" w:cs="Arial"/>
                <w:sz w:val="19"/>
                <w:szCs w:val="19"/>
              </w:rPr>
            </w:pPr>
          </w:p>
        </w:tc>
        <w:tc>
          <w:tcPr>
            <w:tcW w:w="3544"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 xml:space="preserve">There is a national programme of </w:t>
            </w:r>
            <w:r w:rsidR="0028006A">
              <w:rPr>
                <w:rFonts w:ascii="Arial" w:hAnsi="Arial" w:cs="Arial"/>
                <w:sz w:val="19"/>
                <w:szCs w:val="19"/>
              </w:rPr>
              <w:t>Viet Nam</w:t>
            </w:r>
            <w:r w:rsidRPr="00075768">
              <w:rPr>
                <w:rFonts w:ascii="Arial" w:hAnsi="Arial" w:cs="Arial"/>
                <w:sz w:val="19"/>
                <w:szCs w:val="19"/>
              </w:rPr>
              <w:t xml:space="preserve"> Government to do this, which has been implemented for years.</w:t>
            </w:r>
          </w:p>
        </w:tc>
      </w:tr>
      <w:tr w:rsidR="00831399" w:rsidRPr="00E65146" w:rsidTr="00810A4A">
        <w:trPr>
          <w:trHeight w:val="345"/>
        </w:trPr>
        <w:tc>
          <w:tcPr>
            <w:tcW w:w="966" w:type="dxa"/>
          </w:tcPr>
          <w:p w:rsidR="00831399" w:rsidRPr="00075768" w:rsidRDefault="00831399" w:rsidP="00810A4A">
            <w:pPr>
              <w:keepLines/>
              <w:rPr>
                <w:rFonts w:ascii="Arial" w:hAnsi="Arial" w:cs="Arial"/>
                <w:sz w:val="19"/>
                <w:szCs w:val="19"/>
              </w:rPr>
            </w:pPr>
          </w:p>
        </w:tc>
        <w:tc>
          <w:tcPr>
            <w:tcW w:w="265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 xml:space="preserve">Implement scholarships for EM candidates for secondary or college level health worker training at provincial Secondary Medical Schools or College. </w:t>
            </w:r>
          </w:p>
        </w:tc>
        <w:tc>
          <w:tcPr>
            <w:tcW w:w="1701"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MOH/DST</w:t>
            </w:r>
          </w:p>
        </w:tc>
        <w:tc>
          <w:tcPr>
            <w:tcW w:w="234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Scholarships are given under the project scope</w:t>
            </w:r>
          </w:p>
        </w:tc>
        <w:tc>
          <w:tcPr>
            <w:tcW w:w="2700"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 xml:space="preserve">Government cost norms very low with an additional 100,000VND/month. </w:t>
            </w:r>
          </w:p>
        </w:tc>
        <w:tc>
          <w:tcPr>
            <w:tcW w:w="3544" w:type="dxa"/>
          </w:tcPr>
          <w:p w:rsidR="00831399" w:rsidRPr="00075768" w:rsidRDefault="00831399" w:rsidP="00810A4A">
            <w:pPr>
              <w:keepLines/>
              <w:rPr>
                <w:rFonts w:ascii="Arial" w:hAnsi="Arial" w:cs="Arial"/>
                <w:sz w:val="19"/>
                <w:szCs w:val="19"/>
              </w:rPr>
            </w:pPr>
          </w:p>
        </w:tc>
      </w:tr>
      <w:tr w:rsidR="00831399" w:rsidRPr="00E65146" w:rsidTr="00810A4A">
        <w:trPr>
          <w:trHeight w:val="305"/>
        </w:trPr>
        <w:tc>
          <w:tcPr>
            <w:tcW w:w="966" w:type="dxa"/>
            <w:vMerge w:val="restart"/>
          </w:tcPr>
          <w:p w:rsidR="00831399" w:rsidRPr="00075768" w:rsidRDefault="00831399" w:rsidP="00810A4A">
            <w:pPr>
              <w:keepLines/>
              <w:rPr>
                <w:rFonts w:ascii="Arial" w:hAnsi="Arial" w:cs="Arial"/>
                <w:sz w:val="19"/>
                <w:szCs w:val="19"/>
              </w:rPr>
            </w:pPr>
          </w:p>
        </w:tc>
        <w:tc>
          <w:tcPr>
            <w:tcW w:w="265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Ensure accessibility for women and EMs to in-service training networks for primary health care to be established by the project.</w:t>
            </w:r>
          </w:p>
        </w:tc>
        <w:tc>
          <w:tcPr>
            <w:tcW w:w="1701"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MOH/DST</w:t>
            </w:r>
          </w:p>
          <w:p w:rsidR="00831399" w:rsidRPr="00075768" w:rsidRDefault="00831399" w:rsidP="00810A4A">
            <w:pPr>
              <w:keepLines/>
              <w:rPr>
                <w:rFonts w:ascii="Arial" w:hAnsi="Arial" w:cs="Arial"/>
                <w:sz w:val="19"/>
                <w:szCs w:val="19"/>
              </w:rPr>
            </w:pPr>
          </w:p>
        </w:tc>
        <w:tc>
          <w:tcPr>
            <w:tcW w:w="234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Ongoing activity</w:t>
            </w:r>
          </w:p>
        </w:tc>
        <w:tc>
          <w:tcPr>
            <w:tcW w:w="2700"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Not clear if in-service training networks have been established by the project.</w:t>
            </w:r>
          </w:p>
        </w:tc>
        <w:tc>
          <w:tcPr>
            <w:tcW w:w="3544" w:type="dxa"/>
          </w:tcPr>
          <w:p w:rsidR="00831399" w:rsidRPr="00075768" w:rsidRDefault="00831399" w:rsidP="00810A4A">
            <w:pPr>
              <w:keepLines/>
              <w:rPr>
                <w:rFonts w:ascii="Arial" w:hAnsi="Arial" w:cs="Arial"/>
                <w:sz w:val="19"/>
                <w:szCs w:val="19"/>
              </w:rPr>
            </w:pPr>
          </w:p>
        </w:tc>
      </w:tr>
      <w:tr w:rsidR="00831399" w:rsidRPr="00E65146" w:rsidTr="00810A4A">
        <w:trPr>
          <w:trHeight w:val="345"/>
        </w:trPr>
        <w:tc>
          <w:tcPr>
            <w:tcW w:w="966" w:type="dxa"/>
            <w:vMerge/>
          </w:tcPr>
          <w:p w:rsidR="00831399" w:rsidRPr="00075768" w:rsidRDefault="00831399" w:rsidP="00810A4A">
            <w:pPr>
              <w:keepLines/>
              <w:rPr>
                <w:rFonts w:ascii="Arial" w:hAnsi="Arial" w:cs="Arial"/>
                <w:sz w:val="19"/>
                <w:szCs w:val="19"/>
              </w:rPr>
            </w:pPr>
          </w:p>
        </w:tc>
        <w:tc>
          <w:tcPr>
            <w:tcW w:w="265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Training needs assessment of rural health workers include separate sections on EM and gender considerations.</w:t>
            </w:r>
          </w:p>
        </w:tc>
        <w:tc>
          <w:tcPr>
            <w:tcW w:w="1701"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MOH/DST</w:t>
            </w:r>
          </w:p>
        </w:tc>
        <w:tc>
          <w:tcPr>
            <w:tcW w:w="234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Assessment under implementation</w:t>
            </w:r>
          </w:p>
        </w:tc>
        <w:tc>
          <w:tcPr>
            <w:tcW w:w="2700"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A national consultant is undertaking an assessment of rural health workers training needs.</w:t>
            </w:r>
          </w:p>
        </w:tc>
        <w:tc>
          <w:tcPr>
            <w:tcW w:w="3544" w:type="dxa"/>
          </w:tcPr>
          <w:p w:rsidR="00831399" w:rsidRPr="00075768" w:rsidRDefault="00831399" w:rsidP="00810A4A">
            <w:pPr>
              <w:keepLines/>
              <w:rPr>
                <w:rFonts w:ascii="Arial" w:hAnsi="Arial" w:cs="Arial"/>
                <w:sz w:val="19"/>
                <w:szCs w:val="19"/>
              </w:rPr>
            </w:pPr>
          </w:p>
        </w:tc>
      </w:tr>
      <w:tr w:rsidR="00831399" w:rsidRPr="00E65146" w:rsidTr="00810A4A">
        <w:trPr>
          <w:trHeight w:val="107"/>
        </w:trPr>
        <w:tc>
          <w:tcPr>
            <w:tcW w:w="966" w:type="dxa"/>
            <w:vMerge w:val="restart"/>
          </w:tcPr>
          <w:p w:rsidR="00831399" w:rsidRPr="00075768" w:rsidRDefault="00831399" w:rsidP="00810A4A">
            <w:pPr>
              <w:keepLines/>
              <w:rPr>
                <w:rFonts w:ascii="Arial" w:hAnsi="Arial" w:cs="Arial"/>
                <w:sz w:val="19"/>
                <w:szCs w:val="19"/>
              </w:rPr>
            </w:pPr>
          </w:p>
        </w:tc>
        <w:tc>
          <w:tcPr>
            <w:tcW w:w="265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Develop an improved contract for students from rural and remote areas receiving subsidized training.</w:t>
            </w:r>
          </w:p>
          <w:p w:rsidR="00831399" w:rsidRPr="00075768" w:rsidRDefault="00831399" w:rsidP="00810A4A">
            <w:pPr>
              <w:keepLines/>
              <w:rPr>
                <w:rFonts w:ascii="Arial" w:hAnsi="Arial" w:cs="Arial"/>
                <w:sz w:val="19"/>
                <w:szCs w:val="19"/>
              </w:rPr>
            </w:pPr>
          </w:p>
        </w:tc>
        <w:tc>
          <w:tcPr>
            <w:tcW w:w="1701"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MOH/DST</w:t>
            </w:r>
          </w:p>
        </w:tc>
        <w:tc>
          <w:tcPr>
            <w:tcW w:w="2349" w:type="dxa"/>
          </w:tcPr>
          <w:p w:rsidR="00831399" w:rsidRPr="00075768" w:rsidRDefault="00831399" w:rsidP="00810A4A">
            <w:pPr>
              <w:keepLines/>
              <w:rPr>
                <w:rFonts w:ascii="Arial" w:hAnsi="Arial" w:cs="Arial"/>
                <w:sz w:val="19"/>
                <w:szCs w:val="19"/>
              </w:rPr>
            </w:pPr>
          </w:p>
        </w:tc>
        <w:tc>
          <w:tcPr>
            <w:tcW w:w="2700" w:type="dxa"/>
            <w:vMerge w:val="restart"/>
          </w:tcPr>
          <w:p w:rsidR="00831399" w:rsidRPr="00075768" w:rsidRDefault="00831399" w:rsidP="00810A4A">
            <w:pPr>
              <w:keepLines/>
              <w:rPr>
                <w:rFonts w:ascii="Arial" w:hAnsi="Arial" w:cs="Arial"/>
                <w:sz w:val="19"/>
                <w:szCs w:val="19"/>
              </w:rPr>
            </w:pPr>
            <w:r w:rsidRPr="00075768">
              <w:rPr>
                <w:rFonts w:ascii="Arial" w:hAnsi="Arial" w:cs="Arial"/>
                <w:sz w:val="19"/>
                <w:szCs w:val="19"/>
              </w:rPr>
              <w:t xml:space="preserve">MOH is working on policy reform of the special entry programs for EM students and on policy to send newly graduated medical doctors to working in remote areas, and to improve the attendance of students on courses that normally attract few students. </w:t>
            </w:r>
          </w:p>
          <w:p w:rsidR="00831399" w:rsidRPr="00075768" w:rsidRDefault="00831399" w:rsidP="00810A4A">
            <w:pPr>
              <w:keepLines/>
              <w:rPr>
                <w:rFonts w:ascii="Arial" w:hAnsi="Arial" w:cs="Arial"/>
                <w:sz w:val="19"/>
                <w:szCs w:val="19"/>
              </w:rPr>
            </w:pPr>
          </w:p>
          <w:p w:rsidR="00831399" w:rsidRPr="00075768" w:rsidRDefault="00831399" w:rsidP="00810A4A">
            <w:pPr>
              <w:keepLines/>
              <w:rPr>
                <w:rFonts w:ascii="Arial" w:hAnsi="Arial" w:cs="Arial"/>
                <w:sz w:val="19"/>
                <w:szCs w:val="19"/>
              </w:rPr>
            </w:pPr>
            <w:r w:rsidRPr="00075768">
              <w:rPr>
                <w:rFonts w:ascii="Arial" w:hAnsi="Arial" w:cs="Arial"/>
                <w:sz w:val="19"/>
                <w:szCs w:val="19"/>
              </w:rPr>
              <w:t>Project has provided 76 scholarships for post-graduate students to attend courses with regularly few students for specialist studies.</w:t>
            </w:r>
          </w:p>
        </w:tc>
        <w:tc>
          <w:tcPr>
            <w:tcW w:w="3544" w:type="dxa"/>
          </w:tcPr>
          <w:p w:rsidR="00831399" w:rsidRPr="00075768" w:rsidRDefault="00831399" w:rsidP="00810A4A">
            <w:pPr>
              <w:keepLines/>
              <w:rPr>
                <w:rFonts w:ascii="Arial" w:hAnsi="Arial" w:cs="Arial"/>
                <w:sz w:val="19"/>
                <w:szCs w:val="19"/>
              </w:rPr>
            </w:pPr>
          </w:p>
        </w:tc>
      </w:tr>
      <w:tr w:rsidR="00831399" w:rsidRPr="00E65146" w:rsidTr="00810A4A">
        <w:trPr>
          <w:trHeight w:val="602"/>
        </w:trPr>
        <w:tc>
          <w:tcPr>
            <w:tcW w:w="966" w:type="dxa"/>
            <w:vMerge/>
          </w:tcPr>
          <w:p w:rsidR="00831399" w:rsidRPr="00075768" w:rsidRDefault="00831399" w:rsidP="00810A4A">
            <w:pPr>
              <w:keepLines/>
              <w:rPr>
                <w:rFonts w:ascii="Arial" w:hAnsi="Arial" w:cs="Arial"/>
                <w:sz w:val="19"/>
                <w:szCs w:val="19"/>
              </w:rPr>
            </w:pPr>
          </w:p>
        </w:tc>
        <w:tc>
          <w:tcPr>
            <w:tcW w:w="265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 xml:space="preserve">Develop plan to strengthen current weaknesses in the implementation of the “formation by address” and “special entry programs” for EMs, particularly to improve financial viability of the programs to students from remote areas and poor families. </w:t>
            </w:r>
          </w:p>
        </w:tc>
        <w:tc>
          <w:tcPr>
            <w:tcW w:w="1701"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MOH/DST</w:t>
            </w:r>
          </w:p>
        </w:tc>
        <w:tc>
          <w:tcPr>
            <w:tcW w:w="234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Will be considered</w:t>
            </w:r>
          </w:p>
        </w:tc>
        <w:tc>
          <w:tcPr>
            <w:tcW w:w="2700" w:type="dxa"/>
            <w:vMerge/>
          </w:tcPr>
          <w:p w:rsidR="00831399" w:rsidRPr="00075768" w:rsidRDefault="00831399" w:rsidP="00810A4A">
            <w:pPr>
              <w:keepLines/>
              <w:rPr>
                <w:rFonts w:ascii="Arial" w:hAnsi="Arial" w:cs="Arial"/>
                <w:sz w:val="19"/>
                <w:szCs w:val="19"/>
              </w:rPr>
            </w:pPr>
          </w:p>
        </w:tc>
        <w:tc>
          <w:tcPr>
            <w:tcW w:w="3544" w:type="dxa"/>
          </w:tcPr>
          <w:p w:rsidR="00831399" w:rsidRPr="00075768" w:rsidRDefault="00831399" w:rsidP="00810A4A">
            <w:pPr>
              <w:keepLines/>
              <w:rPr>
                <w:rFonts w:ascii="Arial" w:hAnsi="Arial" w:cs="Arial"/>
                <w:sz w:val="19"/>
                <w:szCs w:val="19"/>
              </w:rPr>
            </w:pPr>
          </w:p>
        </w:tc>
      </w:tr>
      <w:tr w:rsidR="00831399" w:rsidRPr="00E65146" w:rsidTr="00810A4A">
        <w:tc>
          <w:tcPr>
            <w:tcW w:w="10375" w:type="dxa"/>
            <w:gridSpan w:val="5"/>
            <w:shd w:val="clear" w:color="auto" w:fill="auto"/>
          </w:tcPr>
          <w:p w:rsidR="00831399" w:rsidRPr="00075768" w:rsidRDefault="00831399" w:rsidP="00810A4A">
            <w:pPr>
              <w:keepLines/>
              <w:rPr>
                <w:rFonts w:ascii="Arial" w:hAnsi="Arial" w:cs="Arial"/>
                <w:b/>
                <w:sz w:val="19"/>
                <w:szCs w:val="19"/>
              </w:rPr>
            </w:pPr>
            <w:r w:rsidRPr="00075768">
              <w:rPr>
                <w:rFonts w:ascii="Arial" w:hAnsi="Arial" w:cs="Arial"/>
                <w:b/>
                <w:sz w:val="19"/>
                <w:szCs w:val="19"/>
              </w:rPr>
              <w:t>3. Improved Management Systems in Health Service Delivery</w:t>
            </w:r>
          </w:p>
        </w:tc>
        <w:tc>
          <w:tcPr>
            <w:tcW w:w="3544" w:type="dxa"/>
          </w:tcPr>
          <w:p w:rsidR="00831399" w:rsidRPr="00075768" w:rsidRDefault="00831399" w:rsidP="00810A4A">
            <w:pPr>
              <w:keepLines/>
              <w:rPr>
                <w:rFonts w:ascii="Arial" w:hAnsi="Arial" w:cs="Arial"/>
                <w:b/>
                <w:sz w:val="19"/>
                <w:szCs w:val="19"/>
              </w:rPr>
            </w:pPr>
          </w:p>
        </w:tc>
      </w:tr>
      <w:tr w:rsidR="00831399" w:rsidRPr="00E65146" w:rsidTr="00810A4A">
        <w:tc>
          <w:tcPr>
            <w:tcW w:w="10375" w:type="dxa"/>
            <w:gridSpan w:val="5"/>
            <w:shd w:val="clear" w:color="auto" w:fill="auto"/>
          </w:tcPr>
          <w:p w:rsidR="00831399" w:rsidRPr="00075768" w:rsidRDefault="00831399" w:rsidP="00810A4A">
            <w:pPr>
              <w:keepLines/>
              <w:rPr>
                <w:rFonts w:ascii="Arial" w:hAnsi="Arial" w:cs="Arial"/>
                <w:sz w:val="19"/>
                <w:szCs w:val="19"/>
              </w:rPr>
            </w:pPr>
            <w:r w:rsidRPr="00075768">
              <w:rPr>
                <w:rFonts w:ascii="Arial" w:hAnsi="Arial" w:cs="Arial"/>
                <w:b/>
                <w:sz w:val="19"/>
                <w:szCs w:val="19"/>
              </w:rPr>
              <w:t>Policy Measures</w:t>
            </w:r>
          </w:p>
        </w:tc>
        <w:tc>
          <w:tcPr>
            <w:tcW w:w="3544" w:type="dxa"/>
          </w:tcPr>
          <w:p w:rsidR="00831399" w:rsidRPr="00075768" w:rsidRDefault="00831399" w:rsidP="00810A4A">
            <w:pPr>
              <w:keepLines/>
              <w:rPr>
                <w:rFonts w:ascii="Arial" w:hAnsi="Arial" w:cs="Arial"/>
                <w:b/>
                <w:sz w:val="19"/>
                <w:szCs w:val="19"/>
              </w:rPr>
            </w:pPr>
          </w:p>
        </w:tc>
      </w:tr>
      <w:tr w:rsidR="00831399" w:rsidRPr="00E65146" w:rsidTr="00810A4A">
        <w:tc>
          <w:tcPr>
            <w:tcW w:w="966" w:type="dxa"/>
            <w:shd w:val="clear" w:color="auto" w:fill="auto"/>
          </w:tcPr>
          <w:p w:rsidR="00831399" w:rsidRPr="00075768" w:rsidRDefault="00831399" w:rsidP="00810A4A">
            <w:pPr>
              <w:keepLines/>
              <w:rPr>
                <w:rFonts w:ascii="Arial" w:hAnsi="Arial" w:cs="Arial"/>
                <w:b/>
                <w:sz w:val="19"/>
                <w:szCs w:val="19"/>
              </w:rPr>
            </w:pPr>
          </w:p>
        </w:tc>
        <w:tc>
          <w:tcPr>
            <w:tcW w:w="2659" w:type="dxa"/>
            <w:shd w:val="clear" w:color="auto" w:fill="auto"/>
          </w:tcPr>
          <w:p w:rsidR="00831399" w:rsidRPr="00075768" w:rsidRDefault="00831399" w:rsidP="00810A4A">
            <w:pPr>
              <w:keepLines/>
              <w:rPr>
                <w:rFonts w:ascii="Arial" w:hAnsi="Arial" w:cs="Arial"/>
                <w:sz w:val="19"/>
                <w:szCs w:val="19"/>
              </w:rPr>
            </w:pPr>
            <w:r w:rsidRPr="00075768">
              <w:rPr>
                <w:rFonts w:ascii="Arial" w:hAnsi="Arial" w:cs="Arial"/>
                <w:sz w:val="19"/>
                <w:szCs w:val="19"/>
              </w:rPr>
              <w:t xml:space="preserve">At least 3 of the 20 care pathways piloted are for medical conditions that primarily affect women or are primary care focused (including for normal deliveries and Caesarian sections). </w:t>
            </w:r>
          </w:p>
        </w:tc>
        <w:tc>
          <w:tcPr>
            <w:tcW w:w="1701" w:type="dxa"/>
            <w:shd w:val="clear" w:color="auto" w:fill="auto"/>
          </w:tcPr>
          <w:p w:rsidR="00831399" w:rsidRPr="00075768" w:rsidRDefault="00831399" w:rsidP="00810A4A">
            <w:pPr>
              <w:keepLines/>
              <w:rPr>
                <w:rFonts w:ascii="Arial" w:hAnsi="Arial" w:cs="Arial"/>
                <w:sz w:val="19"/>
                <w:szCs w:val="19"/>
              </w:rPr>
            </w:pPr>
            <w:r w:rsidRPr="00075768">
              <w:rPr>
                <w:rFonts w:ascii="Arial" w:hAnsi="Arial" w:cs="Arial"/>
                <w:sz w:val="19"/>
                <w:szCs w:val="19"/>
              </w:rPr>
              <w:t>MOH/CCA and CMRU</w:t>
            </w:r>
          </w:p>
        </w:tc>
        <w:tc>
          <w:tcPr>
            <w:tcW w:w="234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 xml:space="preserve">Developed 5/26 care pathway piloted are for medical conditions that primarily affect women or are primary care focused (Benign neoplasm of breast D24; benign neopl of corpus uterine, Benign neoplasm of cervix D25; unspecified ovarian cysts N83; Single delivery by caesarean section O82; </w:t>
            </w:r>
            <w:r w:rsidRPr="00075768">
              <w:rPr>
                <w:rFonts w:ascii="Arial" w:hAnsi="Arial" w:cs="Arial"/>
                <w:bCs/>
                <w:sz w:val="19"/>
                <w:szCs w:val="19"/>
              </w:rPr>
              <w:t>Ectopic pregnancy)</w:t>
            </w:r>
          </w:p>
        </w:tc>
        <w:tc>
          <w:tcPr>
            <w:tcW w:w="2700"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26 care pathways of them 5 in female health and 1 in child health are being piloted in 34 hospitals.</w:t>
            </w:r>
          </w:p>
          <w:p w:rsidR="00831399" w:rsidRPr="00075768" w:rsidRDefault="00831399" w:rsidP="00810A4A">
            <w:pPr>
              <w:keepLines/>
              <w:rPr>
                <w:rFonts w:ascii="Arial" w:hAnsi="Arial" w:cs="Arial"/>
                <w:sz w:val="19"/>
                <w:szCs w:val="19"/>
              </w:rPr>
            </w:pPr>
          </w:p>
        </w:tc>
        <w:tc>
          <w:tcPr>
            <w:tcW w:w="3544" w:type="dxa"/>
          </w:tcPr>
          <w:p w:rsidR="00831399" w:rsidRPr="00075768" w:rsidRDefault="00831399" w:rsidP="00810A4A">
            <w:pPr>
              <w:keepLines/>
              <w:rPr>
                <w:rFonts w:ascii="Arial" w:hAnsi="Arial" w:cs="Arial"/>
                <w:sz w:val="19"/>
                <w:szCs w:val="19"/>
              </w:rPr>
            </w:pPr>
          </w:p>
        </w:tc>
      </w:tr>
      <w:tr w:rsidR="00831399" w:rsidRPr="00E65146" w:rsidTr="00810A4A">
        <w:tc>
          <w:tcPr>
            <w:tcW w:w="10375" w:type="dxa"/>
            <w:gridSpan w:val="5"/>
            <w:shd w:val="clear" w:color="auto" w:fill="auto"/>
          </w:tcPr>
          <w:p w:rsidR="00831399" w:rsidRPr="00075768" w:rsidRDefault="00831399" w:rsidP="00810A4A">
            <w:pPr>
              <w:keepLines/>
              <w:rPr>
                <w:rFonts w:ascii="Arial" w:hAnsi="Arial" w:cs="Arial"/>
                <w:sz w:val="19"/>
                <w:szCs w:val="19"/>
              </w:rPr>
            </w:pPr>
            <w:r w:rsidRPr="00075768">
              <w:rPr>
                <w:rFonts w:ascii="Arial" w:hAnsi="Arial" w:cs="Arial"/>
                <w:b/>
                <w:sz w:val="19"/>
                <w:szCs w:val="19"/>
              </w:rPr>
              <w:t>Project Activities</w:t>
            </w:r>
          </w:p>
        </w:tc>
        <w:tc>
          <w:tcPr>
            <w:tcW w:w="3544" w:type="dxa"/>
          </w:tcPr>
          <w:p w:rsidR="00831399" w:rsidRPr="00075768" w:rsidRDefault="00831399" w:rsidP="00810A4A">
            <w:pPr>
              <w:keepLines/>
              <w:rPr>
                <w:rFonts w:ascii="Arial" w:hAnsi="Arial" w:cs="Arial"/>
                <w:b/>
                <w:sz w:val="19"/>
                <w:szCs w:val="19"/>
              </w:rPr>
            </w:pPr>
          </w:p>
        </w:tc>
      </w:tr>
      <w:tr w:rsidR="00831399" w:rsidRPr="00E65146" w:rsidTr="00810A4A">
        <w:trPr>
          <w:trHeight w:val="96"/>
        </w:trPr>
        <w:tc>
          <w:tcPr>
            <w:tcW w:w="966" w:type="dxa"/>
          </w:tcPr>
          <w:p w:rsidR="00831399" w:rsidRPr="00075768" w:rsidRDefault="00831399" w:rsidP="00810A4A">
            <w:pPr>
              <w:keepLines/>
              <w:rPr>
                <w:rFonts w:ascii="Arial" w:hAnsi="Arial" w:cs="Arial"/>
                <w:sz w:val="19"/>
                <w:szCs w:val="19"/>
              </w:rPr>
            </w:pPr>
          </w:p>
        </w:tc>
        <w:tc>
          <w:tcPr>
            <w:tcW w:w="2659" w:type="dxa"/>
            <w:shd w:val="clear" w:color="auto" w:fill="auto"/>
          </w:tcPr>
          <w:p w:rsidR="00831399" w:rsidRPr="00075768" w:rsidRDefault="00831399" w:rsidP="00810A4A">
            <w:pPr>
              <w:keepLines/>
              <w:rPr>
                <w:rFonts w:ascii="Arial" w:hAnsi="Arial" w:cs="Arial"/>
                <w:sz w:val="19"/>
                <w:szCs w:val="19"/>
              </w:rPr>
            </w:pPr>
            <w:r w:rsidRPr="00075768">
              <w:rPr>
                <w:rFonts w:ascii="Arial" w:hAnsi="Arial" w:cs="Arial"/>
                <w:sz w:val="19"/>
                <w:szCs w:val="19"/>
              </w:rPr>
              <w:t>Appoint gender and EM focal points in the CMRU to provide support to CMRU staff on gender and EM concerns related to care pathways.</w:t>
            </w:r>
          </w:p>
        </w:tc>
        <w:tc>
          <w:tcPr>
            <w:tcW w:w="1701"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PMU and CMRU</w:t>
            </w:r>
          </w:p>
        </w:tc>
        <w:tc>
          <w:tcPr>
            <w:tcW w:w="234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2 persons (1 Hospital consultant and 1staff) are appointed</w:t>
            </w:r>
          </w:p>
        </w:tc>
        <w:tc>
          <w:tcPr>
            <w:tcW w:w="2700"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The appointed staff has no role to ensure gender and EM issues inclusions. There is no awareness of any specific gender or EM concerns</w:t>
            </w:r>
          </w:p>
        </w:tc>
        <w:tc>
          <w:tcPr>
            <w:tcW w:w="3544" w:type="dxa"/>
          </w:tcPr>
          <w:p w:rsidR="00831399" w:rsidRPr="00075768" w:rsidRDefault="00831399" w:rsidP="00810A4A">
            <w:pPr>
              <w:keepLines/>
              <w:rPr>
                <w:rFonts w:ascii="Arial" w:hAnsi="Arial" w:cs="Arial"/>
                <w:sz w:val="19"/>
                <w:szCs w:val="19"/>
              </w:rPr>
            </w:pPr>
          </w:p>
        </w:tc>
      </w:tr>
      <w:tr w:rsidR="00831399" w:rsidRPr="00E65146" w:rsidTr="00810A4A">
        <w:trPr>
          <w:trHeight w:val="91"/>
        </w:trPr>
        <w:tc>
          <w:tcPr>
            <w:tcW w:w="966" w:type="dxa"/>
          </w:tcPr>
          <w:p w:rsidR="00831399" w:rsidRPr="00075768" w:rsidRDefault="00831399" w:rsidP="00810A4A">
            <w:pPr>
              <w:keepLines/>
              <w:rPr>
                <w:rFonts w:ascii="Arial" w:hAnsi="Arial" w:cs="Arial"/>
                <w:sz w:val="19"/>
                <w:szCs w:val="19"/>
              </w:rPr>
            </w:pPr>
          </w:p>
        </w:tc>
        <w:tc>
          <w:tcPr>
            <w:tcW w:w="2659" w:type="dxa"/>
          </w:tcPr>
          <w:p w:rsidR="00831399" w:rsidRPr="00075768" w:rsidRDefault="00831399" w:rsidP="00810A4A">
            <w:pPr>
              <w:keepLines/>
              <w:rPr>
                <w:rFonts w:ascii="Arial" w:hAnsi="Arial" w:cs="Arial"/>
                <w:sz w:val="19"/>
                <w:szCs w:val="19"/>
                <w:highlight w:val="yellow"/>
              </w:rPr>
            </w:pPr>
            <w:r w:rsidRPr="00075768">
              <w:rPr>
                <w:rFonts w:ascii="Arial" w:hAnsi="Arial" w:cs="Arial"/>
                <w:sz w:val="19"/>
                <w:szCs w:val="19"/>
              </w:rPr>
              <w:t>Include all relevant levels of health staff (e.g., nurses and midwives) in development and costing of care pathways.</w:t>
            </w:r>
          </w:p>
        </w:tc>
        <w:tc>
          <w:tcPr>
            <w:tcW w:w="1701"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CMRU and hospitals</w:t>
            </w:r>
          </w:p>
        </w:tc>
        <w:tc>
          <w:tcPr>
            <w:tcW w:w="234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1,288 health staff have been involved in the development and costing of care pathways, 62% female (798/1288)</w:t>
            </w:r>
          </w:p>
        </w:tc>
        <w:tc>
          <w:tcPr>
            <w:tcW w:w="2700" w:type="dxa"/>
          </w:tcPr>
          <w:p w:rsidR="00831399" w:rsidRPr="00075768" w:rsidRDefault="00831399" w:rsidP="00810A4A">
            <w:pPr>
              <w:keepLines/>
              <w:rPr>
                <w:rFonts w:ascii="Arial" w:hAnsi="Arial" w:cs="Arial"/>
                <w:sz w:val="19"/>
                <w:szCs w:val="19"/>
              </w:rPr>
            </w:pPr>
          </w:p>
        </w:tc>
        <w:tc>
          <w:tcPr>
            <w:tcW w:w="3544" w:type="dxa"/>
          </w:tcPr>
          <w:p w:rsidR="00831399" w:rsidRPr="00075768" w:rsidRDefault="00831399" w:rsidP="00810A4A">
            <w:pPr>
              <w:keepLines/>
              <w:rPr>
                <w:rFonts w:ascii="Arial" w:hAnsi="Arial" w:cs="Arial"/>
                <w:sz w:val="19"/>
                <w:szCs w:val="19"/>
              </w:rPr>
            </w:pPr>
          </w:p>
        </w:tc>
      </w:tr>
      <w:tr w:rsidR="00831399" w:rsidRPr="00E65146" w:rsidTr="00810A4A">
        <w:trPr>
          <w:trHeight w:val="242"/>
        </w:trPr>
        <w:tc>
          <w:tcPr>
            <w:tcW w:w="966" w:type="dxa"/>
          </w:tcPr>
          <w:p w:rsidR="00831399" w:rsidRPr="00075768" w:rsidRDefault="00831399" w:rsidP="00810A4A">
            <w:pPr>
              <w:keepLines/>
              <w:rPr>
                <w:rFonts w:ascii="Arial" w:hAnsi="Arial" w:cs="Arial"/>
                <w:sz w:val="19"/>
                <w:szCs w:val="19"/>
              </w:rPr>
            </w:pPr>
          </w:p>
        </w:tc>
        <w:tc>
          <w:tcPr>
            <w:tcW w:w="265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Monitor and report on impacts of the care-pathway process and payments on patients related to gender, ethnicity or income level.</w:t>
            </w:r>
          </w:p>
        </w:tc>
        <w:tc>
          <w:tcPr>
            <w:tcW w:w="1701"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CMRU and hospitals</w:t>
            </w:r>
          </w:p>
        </w:tc>
        <w:tc>
          <w:tcPr>
            <w:tcW w:w="234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Will be done at later stage.</w:t>
            </w:r>
          </w:p>
        </w:tc>
        <w:tc>
          <w:tcPr>
            <w:tcW w:w="2700"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Impact monitoring not yet developed.</w:t>
            </w:r>
          </w:p>
        </w:tc>
        <w:tc>
          <w:tcPr>
            <w:tcW w:w="3544" w:type="dxa"/>
          </w:tcPr>
          <w:p w:rsidR="00831399" w:rsidRPr="00075768" w:rsidRDefault="00831399" w:rsidP="00810A4A">
            <w:pPr>
              <w:keepLines/>
              <w:rPr>
                <w:rFonts w:ascii="Arial" w:hAnsi="Arial" w:cs="Arial"/>
                <w:sz w:val="19"/>
                <w:szCs w:val="19"/>
              </w:rPr>
            </w:pPr>
          </w:p>
        </w:tc>
      </w:tr>
      <w:tr w:rsidR="00831399" w:rsidRPr="00E65146" w:rsidTr="00810A4A">
        <w:trPr>
          <w:trHeight w:val="291"/>
        </w:trPr>
        <w:tc>
          <w:tcPr>
            <w:tcW w:w="966" w:type="dxa"/>
          </w:tcPr>
          <w:p w:rsidR="00831399" w:rsidRPr="00075768" w:rsidRDefault="00831399" w:rsidP="00810A4A">
            <w:pPr>
              <w:keepLines/>
              <w:rPr>
                <w:rFonts w:ascii="Arial" w:hAnsi="Arial" w:cs="Arial"/>
                <w:sz w:val="19"/>
                <w:szCs w:val="19"/>
              </w:rPr>
            </w:pPr>
          </w:p>
        </w:tc>
        <w:tc>
          <w:tcPr>
            <w:tcW w:w="265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Ensure that all training related to the pilot promotes awareness of and sensitivity to gender and ethnic differences among patients</w:t>
            </w:r>
          </w:p>
        </w:tc>
        <w:tc>
          <w:tcPr>
            <w:tcW w:w="1701"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CMRU</w:t>
            </w:r>
          </w:p>
        </w:tc>
        <w:tc>
          <w:tcPr>
            <w:tcW w:w="234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All training related to the pilot promotes awareness of and sensitivity to gender and ethnic differences among patients</w:t>
            </w:r>
          </w:p>
        </w:tc>
        <w:tc>
          <w:tcPr>
            <w:tcW w:w="2700"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Three training courses arranged so far. No gender or EM awareness recognized by Component Coordinator and staff.</w:t>
            </w:r>
          </w:p>
        </w:tc>
        <w:tc>
          <w:tcPr>
            <w:tcW w:w="3544" w:type="dxa"/>
          </w:tcPr>
          <w:p w:rsidR="00831399" w:rsidRPr="00075768" w:rsidRDefault="00831399" w:rsidP="00810A4A">
            <w:pPr>
              <w:keepLines/>
              <w:rPr>
                <w:rFonts w:ascii="Arial" w:hAnsi="Arial" w:cs="Arial"/>
                <w:sz w:val="19"/>
                <w:szCs w:val="19"/>
              </w:rPr>
            </w:pPr>
          </w:p>
        </w:tc>
      </w:tr>
      <w:tr w:rsidR="00831399" w:rsidRPr="00E65146" w:rsidTr="00810A4A">
        <w:trPr>
          <w:trHeight w:val="288"/>
        </w:trPr>
        <w:tc>
          <w:tcPr>
            <w:tcW w:w="966" w:type="dxa"/>
          </w:tcPr>
          <w:p w:rsidR="00831399" w:rsidRPr="00075768" w:rsidRDefault="00831399" w:rsidP="00810A4A">
            <w:pPr>
              <w:keepLines/>
              <w:rPr>
                <w:rFonts w:ascii="Arial" w:hAnsi="Arial" w:cs="Arial"/>
                <w:sz w:val="19"/>
                <w:szCs w:val="19"/>
              </w:rPr>
            </w:pPr>
          </w:p>
        </w:tc>
        <w:tc>
          <w:tcPr>
            <w:tcW w:w="2659" w:type="dxa"/>
          </w:tcPr>
          <w:p w:rsidR="00831399" w:rsidRPr="00075768" w:rsidRDefault="00831399" w:rsidP="00810A4A">
            <w:pPr>
              <w:keepLines/>
              <w:rPr>
                <w:rFonts w:ascii="Arial" w:hAnsi="Arial" w:cs="Arial"/>
                <w:sz w:val="19"/>
                <w:szCs w:val="19"/>
                <w:highlight w:val="yellow"/>
              </w:rPr>
            </w:pPr>
            <w:r w:rsidRPr="00075768">
              <w:rPr>
                <w:rFonts w:ascii="Arial" w:hAnsi="Arial" w:cs="Arial"/>
                <w:sz w:val="19"/>
                <w:szCs w:val="19"/>
              </w:rPr>
              <w:t>Ensure representation of women and EMs in training related is proportionate to their representation in the underlying trainee pool.</w:t>
            </w:r>
          </w:p>
        </w:tc>
        <w:tc>
          <w:tcPr>
            <w:tcW w:w="1701"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CMRU</w:t>
            </w:r>
          </w:p>
        </w:tc>
        <w:tc>
          <w:tcPr>
            <w:tcW w:w="234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2 courses for care pathway development: 42% of participants female (110/261)</w:t>
            </w:r>
          </w:p>
          <w:p w:rsidR="00831399" w:rsidRPr="00075768" w:rsidRDefault="00831399" w:rsidP="00810A4A">
            <w:pPr>
              <w:keepLines/>
              <w:rPr>
                <w:rFonts w:ascii="Arial" w:hAnsi="Arial" w:cs="Arial"/>
                <w:sz w:val="19"/>
                <w:szCs w:val="19"/>
              </w:rPr>
            </w:pPr>
          </w:p>
        </w:tc>
        <w:tc>
          <w:tcPr>
            <w:tcW w:w="2700"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Added to this data, a training course was arranged in late 2013 with 1</w:t>
            </w:r>
            <w:r w:rsidR="00075768">
              <w:rPr>
                <w:rFonts w:ascii="Arial" w:hAnsi="Arial" w:cs="Arial"/>
                <w:sz w:val="19"/>
                <w:szCs w:val="19"/>
              </w:rPr>
              <w:t xml:space="preserve">29 participants, but no data on </w:t>
            </w:r>
            <w:r w:rsidRPr="00075768">
              <w:rPr>
                <w:rFonts w:ascii="Arial" w:hAnsi="Arial" w:cs="Arial"/>
                <w:sz w:val="19"/>
                <w:szCs w:val="19"/>
              </w:rPr>
              <w:t>participants’ gender.</w:t>
            </w:r>
          </w:p>
          <w:p w:rsidR="00831399" w:rsidRPr="00075768" w:rsidRDefault="00831399" w:rsidP="00810A4A">
            <w:pPr>
              <w:keepLines/>
              <w:rPr>
                <w:rFonts w:ascii="Arial" w:hAnsi="Arial" w:cs="Arial"/>
                <w:sz w:val="19"/>
                <w:szCs w:val="19"/>
              </w:rPr>
            </w:pPr>
            <w:r w:rsidRPr="00075768">
              <w:rPr>
                <w:rFonts w:ascii="Arial" w:hAnsi="Arial" w:cs="Arial"/>
                <w:sz w:val="19"/>
                <w:szCs w:val="19"/>
              </w:rPr>
              <w:t>Q3 and Q4 2014 more training of healthcare staff planned</w:t>
            </w:r>
          </w:p>
        </w:tc>
        <w:tc>
          <w:tcPr>
            <w:tcW w:w="3544" w:type="dxa"/>
          </w:tcPr>
          <w:p w:rsidR="00831399" w:rsidRPr="00075768" w:rsidRDefault="00831399" w:rsidP="00810A4A">
            <w:pPr>
              <w:keepLines/>
              <w:rPr>
                <w:rFonts w:ascii="Arial" w:hAnsi="Arial" w:cs="Arial"/>
                <w:sz w:val="19"/>
                <w:szCs w:val="19"/>
              </w:rPr>
            </w:pPr>
          </w:p>
        </w:tc>
      </w:tr>
      <w:tr w:rsidR="00831399" w:rsidRPr="00E65146" w:rsidTr="00810A4A">
        <w:trPr>
          <w:trHeight w:val="117"/>
        </w:trPr>
        <w:tc>
          <w:tcPr>
            <w:tcW w:w="966" w:type="dxa"/>
          </w:tcPr>
          <w:p w:rsidR="00831399" w:rsidRPr="00075768" w:rsidRDefault="00831399" w:rsidP="00810A4A">
            <w:pPr>
              <w:keepLines/>
              <w:rPr>
                <w:rFonts w:ascii="Arial" w:hAnsi="Arial" w:cs="Arial"/>
                <w:sz w:val="19"/>
                <w:szCs w:val="19"/>
              </w:rPr>
            </w:pPr>
          </w:p>
        </w:tc>
        <w:tc>
          <w:tcPr>
            <w:tcW w:w="265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Prioritize costing of normal deliveries, Caesarean sections and major obstetric complications.</w:t>
            </w:r>
          </w:p>
        </w:tc>
        <w:tc>
          <w:tcPr>
            <w:tcW w:w="1701"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CMRU</w:t>
            </w:r>
          </w:p>
        </w:tc>
        <w:tc>
          <w:tcPr>
            <w:tcW w:w="234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Prioritize costing of normal deliveries, Caesarean sections and major obstetric complications</w:t>
            </w:r>
          </w:p>
        </w:tc>
        <w:tc>
          <w:tcPr>
            <w:tcW w:w="2700" w:type="dxa"/>
          </w:tcPr>
          <w:p w:rsidR="00831399" w:rsidRPr="00075768" w:rsidRDefault="00831399" w:rsidP="00810A4A">
            <w:pPr>
              <w:keepLines/>
              <w:rPr>
                <w:rFonts w:ascii="Arial" w:hAnsi="Arial" w:cs="Arial"/>
                <w:sz w:val="19"/>
                <w:szCs w:val="19"/>
              </w:rPr>
            </w:pPr>
          </w:p>
        </w:tc>
        <w:tc>
          <w:tcPr>
            <w:tcW w:w="3544" w:type="dxa"/>
          </w:tcPr>
          <w:p w:rsidR="00831399" w:rsidRPr="00075768" w:rsidRDefault="00831399" w:rsidP="00810A4A">
            <w:pPr>
              <w:keepLines/>
              <w:rPr>
                <w:rFonts w:ascii="Arial" w:hAnsi="Arial" w:cs="Arial"/>
                <w:sz w:val="19"/>
                <w:szCs w:val="19"/>
              </w:rPr>
            </w:pPr>
          </w:p>
        </w:tc>
      </w:tr>
      <w:tr w:rsidR="00831399" w:rsidRPr="00E65146" w:rsidTr="00810A4A">
        <w:trPr>
          <w:trHeight w:val="114"/>
        </w:trPr>
        <w:tc>
          <w:tcPr>
            <w:tcW w:w="966" w:type="dxa"/>
          </w:tcPr>
          <w:p w:rsidR="00831399" w:rsidRPr="00075768" w:rsidRDefault="00831399" w:rsidP="00810A4A">
            <w:pPr>
              <w:keepLines/>
              <w:rPr>
                <w:rFonts w:ascii="Arial" w:hAnsi="Arial" w:cs="Arial"/>
                <w:sz w:val="19"/>
                <w:szCs w:val="19"/>
              </w:rPr>
            </w:pPr>
          </w:p>
        </w:tc>
        <w:tc>
          <w:tcPr>
            <w:tcW w:w="265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Study the financial viability of a case-based payment system in poor or remote areas, and related options to ensure that patients in these areas have access to quality health care.</w:t>
            </w:r>
          </w:p>
        </w:tc>
        <w:tc>
          <w:tcPr>
            <w:tcW w:w="1701"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CMRU</w:t>
            </w:r>
          </w:p>
        </w:tc>
        <w:tc>
          <w:tcPr>
            <w:tcW w:w="234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 xml:space="preserve">5 Hospitals (Son La, Quang Tri, Quang Nam, Hue, Soc Trang) presenting poor and remote areas. </w:t>
            </w:r>
          </w:p>
        </w:tc>
        <w:tc>
          <w:tcPr>
            <w:tcW w:w="2700"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 xml:space="preserve">The system is neither financially viable nor effective in providing services on equal basis to the poor and to those who are able to pay for the services. However, according to the Component Coordinator it is not among the tasks of the Component staff to assess the financial viability. </w:t>
            </w:r>
          </w:p>
        </w:tc>
        <w:tc>
          <w:tcPr>
            <w:tcW w:w="3544" w:type="dxa"/>
          </w:tcPr>
          <w:p w:rsidR="00831399" w:rsidRPr="00075768" w:rsidRDefault="00831399" w:rsidP="00810A4A">
            <w:pPr>
              <w:keepLines/>
              <w:rPr>
                <w:rFonts w:ascii="Arial" w:hAnsi="Arial" w:cs="Arial"/>
                <w:sz w:val="19"/>
                <w:szCs w:val="19"/>
              </w:rPr>
            </w:pPr>
          </w:p>
        </w:tc>
      </w:tr>
      <w:tr w:rsidR="00831399" w:rsidRPr="00E65146" w:rsidTr="00810A4A">
        <w:trPr>
          <w:trHeight w:val="462"/>
        </w:trPr>
        <w:tc>
          <w:tcPr>
            <w:tcW w:w="966" w:type="dxa"/>
          </w:tcPr>
          <w:p w:rsidR="00831399" w:rsidRPr="00075768" w:rsidRDefault="00831399" w:rsidP="00810A4A">
            <w:pPr>
              <w:keepLines/>
              <w:rPr>
                <w:rFonts w:ascii="Arial" w:hAnsi="Arial" w:cs="Arial"/>
                <w:sz w:val="19"/>
                <w:szCs w:val="19"/>
              </w:rPr>
            </w:pPr>
          </w:p>
        </w:tc>
        <w:tc>
          <w:tcPr>
            <w:tcW w:w="265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Ensure that equity considerations in the pilot are incorporated in any up scaling of the pilot and related system-wide changes (included documentation and training materials for future use)</w:t>
            </w:r>
          </w:p>
        </w:tc>
        <w:tc>
          <w:tcPr>
            <w:tcW w:w="1701"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CMRU</w:t>
            </w:r>
          </w:p>
        </w:tc>
        <w:tc>
          <w:tcPr>
            <w:tcW w:w="234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The training documents have developed are fitting that can apply for all the level and not differentiate on the gender and EM</w:t>
            </w:r>
          </w:p>
        </w:tc>
        <w:tc>
          <w:tcPr>
            <w:tcW w:w="2700" w:type="dxa"/>
          </w:tcPr>
          <w:p w:rsidR="00831399" w:rsidRPr="00075768" w:rsidRDefault="00831399" w:rsidP="00810A4A">
            <w:pPr>
              <w:keepLines/>
              <w:rPr>
                <w:rFonts w:ascii="Arial" w:hAnsi="Arial" w:cs="Arial"/>
                <w:sz w:val="19"/>
                <w:szCs w:val="19"/>
              </w:rPr>
            </w:pPr>
          </w:p>
        </w:tc>
        <w:tc>
          <w:tcPr>
            <w:tcW w:w="3544" w:type="dxa"/>
          </w:tcPr>
          <w:p w:rsidR="00831399" w:rsidRPr="00075768" w:rsidRDefault="00831399" w:rsidP="00810A4A">
            <w:pPr>
              <w:keepLines/>
              <w:rPr>
                <w:rFonts w:ascii="Arial" w:hAnsi="Arial" w:cs="Arial"/>
                <w:sz w:val="19"/>
                <w:szCs w:val="19"/>
              </w:rPr>
            </w:pPr>
          </w:p>
        </w:tc>
      </w:tr>
      <w:tr w:rsidR="00831399" w:rsidRPr="00E65146" w:rsidTr="00810A4A">
        <w:trPr>
          <w:trHeight w:val="395"/>
        </w:trPr>
        <w:tc>
          <w:tcPr>
            <w:tcW w:w="966" w:type="dxa"/>
          </w:tcPr>
          <w:p w:rsidR="00831399" w:rsidRPr="00075768" w:rsidRDefault="00831399" w:rsidP="00810A4A">
            <w:pPr>
              <w:keepLines/>
              <w:rPr>
                <w:rFonts w:ascii="Arial" w:hAnsi="Arial" w:cs="Arial"/>
                <w:sz w:val="19"/>
                <w:szCs w:val="19"/>
              </w:rPr>
            </w:pPr>
          </w:p>
        </w:tc>
        <w:tc>
          <w:tcPr>
            <w:tcW w:w="2659" w:type="dxa"/>
          </w:tcPr>
          <w:p w:rsidR="00831399" w:rsidRPr="00075768" w:rsidRDefault="00831399" w:rsidP="00810A4A">
            <w:pPr>
              <w:keepLines/>
              <w:rPr>
                <w:rFonts w:ascii="Arial" w:hAnsi="Arial" w:cs="Arial"/>
                <w:sz w:val="19"/>
                <w:szCs w:val="19"/>
                <w:highlight w:val="yellow"/>
              </w:rPr>
            </w:pPr>
            <w:r w:rsidRPr="00075768">
              <w:rPr>
                <w:rFonts w:ascii="Arial" w:hAnsi="Arial" w:cs="Arial"/>
                <w:sz w:val="19"/>
                <w:szCs w:val="19"/>
              </w:rPr>
              <w:t>Ensure that all training related to up scaling of the pilot promotes awareness of and sensitivity to gender and ethnic differences among patients</w:t>
            </w:r>
          </w:p>
        </w:tc>
        <w:tc>
          <w:tcPr>
            <w:tcW w:w="1701"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CMRU</w:t>
            </w:r>
          </w:p>
        </w:tc>
        <w:tc>
          <w:tcPr>
            <w:tcW w:w="234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Gender awareness in the training programs</w:t>
            </w:r>
          </w:p>
        </w:tc>
        <w:tc>
          <w:tcPr>
            <w:tcW w:w="2700"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So far no awareness among Component staff or in training programs on gender and ethnic considerations.</w:t>
            </w:r>
          </w:p>
        </w:tc>
        <w:tc>
          <w:tcPr>
            <w:tcW w:w="3544" w:type="dxa"/>
          </w:tcPr>
          <w:p w:rsidR="00831399" w:rsidRPr="00075768" w:rsidRDefault="00831399" w:rsidP="00810A4A">
            <w:pPr>
              <w:keepLines/>
              <w:rPr>
                <w:rFonts w:ascii="Arial" w:hAnsi="Arial" w:cs="Arial"/>
                <w:sz w:val="19"/>
                <w:szCs w:val="19"/>
              </w:rPr>
            </w:pPr>
          </w:p>
        </w:tc>
      </w:tr>
      <w:tr w:rsidR="00831399" w:rsidRPr="00E65146" w:rsidTr="00C17D96">
        <w:trPr>
          <w:trHeight w:val="274"/>
        </w:trPr>
        <w:tc>
          <w:tcPr>
            <w:tcW w:w="966" w:type="dxa"/>
          </w:tcPr>
          <w:p w:rsidR="00831399" w:rsidRPr="00075768" w:rsidRDefault="00831399" w:rsidP="00810A4A">
            <w:pPr>
              <w:keepLines/>
              <w:rPr>
                <w:rFonts w:ascii="Arial" w:hAnsi="Arial" w:cs="Arial"/>
                <w:sz w:val="19"/>
                <w:szCs w:val="19"/>
              </w:rPr>
            </w:pPr>
          </w:p>
        </w:tc>
        <w:tc>
          <w:tcPr>
            <w:tcW w:w="265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Ensure that the representation of women and EMs in this training is at least proportionate to their representation in the underlying trainee pool</w:t>
            </w:r>
          </w:p>
        </w:tc>
        <w:tc>
          <w:tcPr>
            <w:tcW w:w="1701"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CMRU</w:t>
            </w:r>
          </w:p>
        </w:tc>
        <w:tc>
          <w:tcPr>
            <w:tcW w:w="2349"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 xml:space="preserve">Priority is given to women and EM in training to achieve the target. </w:t>
            </w:r>
          </w:p>
        </w:tc>
        <w:tc>
          <w:tcPr>
            <w:tcW w:w="2700" w:type="dxa"/>
          </w:tcPr>
          <w:p w:rsidR="00831399" w:rsidRPr="00075768" w:rsidRDefault="00831399" w:rsidP="00810A4A">
            <w:pPr>
              <w:keepLines/>
              <w:rPr>
                <w:rFonts w:ascii="Arial" w:hAnsi="Arial" w:cs="Arial"/>
                <w:sz w:val="19"/>
                <w:szCs w:val="19"/>
              </w:rPr>
            </w:pPr>
            <w:r w:rsidRPr="00075768">
              <w:rPr>
                <w:rFonts w:ascii="Arial" w:hAnsi="Arial" w:cs="Arial"/>
                <w:sz w:val="19"/>
                <w:szCs w:val="19"/>
              </w:rPr>
              <w:t>To be verified through monitoring data.</w:t>
            </w:r>
          </w:p>
        </w:tc>
        <w:tc>
          <w:tcPr>
            <w:tcW w:w="3544" w:type="dxa"/>
          </w:tcPr>
          <w:p w:rsidR="00831399" w:rsidRPr="00075768" w:rsidRDefault="00831399" w:rsidP="00810A4A">
            <w:pPr>
              <w:keepLines/>
              <w:rPr>
                <w:rFonts w:ascii="Arial" w:hAnsi="Arial" w:cs="Arial"/>
                <w:sz w:val="19"/>
                <w:szCs w:val="19"/>
              </w:rPr>
            </w:pPr>
          </w:p>
        </w:tc>
      </w:tr>
    </w:tbl>
    <w:p w:rsidR="000F1EB0" w:rsidRPr="00E65146" w:rsidRDefault="000F1EB0" w:rsidP="000F1EB0">
      <w:pPr>
        <w:tabs>
          <w:tab w:val="left" w:pos="1980"/>
        </w:tabs>
        <w:rPr>
          <w:rFonts w:ascii="Arial" w:hAnsi="Arial" w:cs="Arial"/>
          <w:szCs w:val="22"/>
        </w:rPr>
      </w:pPr>
    </w:p>
    <w:p w:rsidR="000F1EB0" w:rsidRPr="00E65146" w:rsidRDefault="00FA251A" w:rsidP="006E0146">
      <w:pPr>
        <w:ind w:left="142"/>
        <w:rPr>
          <w:rFonts w:ascii="Arial" w:hAnsi="Arial" w:cs="Arial"/>
          <w:szCs w:val="22"/>
        </w:rPr>
      </w:pPr>
      <w:r w:rsidRPr="00F05CD3">
        <w:rPr>
          <w:rFonts w:ascii="Arial" w:hAnsi="Arial" w:cs="Arial"/>
          <w:b/>
          <w:sz w:val="18"/>
          <w:szCs w:val="18"/>
        </w:rPr>
        <w:t>Source:</w:t>
      </w:r>
      <w:r w:rsidRPr="00F05CD3">
        <w:rPr>
          <w:rFonts w:ascii="Arial" w:hAnsi="Arial" w:cs="Arial"/>
          <w:sz w:val="18"/>
          <w:szCs w:val="18"/>
        </w:rPr>
        <w:t xml:space="preserve"> HHRSDP, </w:t>
      </w:r>
      <w:r>
        <w:rPr>
          <w:rFonts w:ascii="Arial" w:hAnsi="Arial" w:cs="Arial"/>
          <w:sz w:val="18"/>
          <w:szCs w:val="18"/>
        </w:rPr>
        <w:t>Planning</w:t>
      </w:r>
      <w:r w:rsidRPr="00F05CD3">
        <w:rPr>
          <w:rFonts w:ascii="Arial" w:hAnsi="Arial" w:cs="Arial"/>
          <w:sz w:val="18"/>
          <w:szCs w:val="18"/>
        </w:rPr>
        <w:t xml:space="preserve"> Unit</w:t>
      </w:r>
      <w:r w:rsidR="00786DA7">
        <w:rPr>
          <w:rFonts w:ascii="Arial" w:hAnsi="Arial" w:cs="Arial"/>
          <w:sz w:val="18"/>
          <w:szCs w:val="18"/>
        </w:rPr>
        <w:t xml:space="preserve"> and National</w:t>
      </w:r>
      <w:r w:rsidR="00764045">
        <w:rPr>
          <w:rFonts w:ascii="Arial" w:hAnsi="Arial" w:cs="Arial"/>
          <w:sz w:val="18"/>
          <w:szCs w:val="18"/>
        </w:rPr>
        <w:t xml:space="preserve"> </w:t>
      </w:r>
      <w:r w:rsidR="00764045" w:rsidRPr="00764045">
        <w:rPr>
          <w:rFonts w:ascii="Arial" w:hAnsi="Arial" w:cs="Arial"/>
          <w:sz w:val="18"/>
          <w:szCs w:val="18"/>
        </w:rPr>
        <w:t>Gender and Ethnic Minority Specialist</w:t>
      </w:r>
    </w:p>
    <w:sectPr w:rsidR="000F1EB0" w:rsidRPr="00E65146" w:rsidSect="006E0146">
      <w:pgSz w:w="16820" w:h="11900" w:orient="landscape" w:code="9"/>
      <w:pgMar w:top="1440" w:right="1440" w:bottom="1440" w:left="1440" w:header="567"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1FF" w:rsidRDefault="00B941FF">
      <w:r>
        <w:separator/>
      </w:r>
    </w:p>
  </w:endnote>
  <w:endnote w:type="continuationSeparator" w:id="0">
    <w:p w:rsidR="00B941FF" w:rsidRDefault="00B94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5F7" w:rsidRDefault="00B545F7" w:rsidP="009F6E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545F7" w:rsidRDefault="00B545F7" w:rsidP="009F6E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545F7" w:rsidRDefault="00B545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5F7" w:rsidRPr="00FD78DB" w:rsidRDefault="00B545F7" w:rsidP="009F6E10">
    <w:pPr>
      <w:pStyle w:val="Footer"/>
      <w:framePr w:wrap="around" w:vAnchor="text" w:hAnchor="margin" w:xAlign="center" w:y="1"/>
      <w:rPr>
        <w:rStyle w:val="PageNumber"/>
        <w:rFonts w:ascii="Arial" w:hAnsi="Arial" w:cs="Arial"/>
        <w:sz w:val="18"/>
        <w:szCs w:val="18"/>
      </w:rPr>
    </w:pPr>
    <w:r w:rsidRPr="00FD78DB">
      <w:rPr>
        <w:rStyle w:val="PageNumber"/>
        <w:rFonts w:ascii="Arial" w:hAnsi="Arial" w:cs="Arial"/>
        <w:sz w:val="18"/>
        <w:szCs w:val="18"/>
      </w:rPr>
      <w:fldChar w:fldCharType="begin"/>
    </w:r>
    <w:r w:rsidRPr="00FD78DB">
      <w:rPr>
        <w:rStyle w:val="PageNumber"/>
        <w:rFonts w:ascii="Arial" w:hAnsi="Arial" w:cs="Arial"/>
        <w:sz w:val="18"/>
        <w:szCs w:val="18"/>
      </w:rPr>
      <w:instrText xml:space="preserve">PAGE  </w:instrText>
    </w:r>
    <w:r w:rsidRPr="00FD78DB">
      <w:rPr>
        <w:rStyle w:val="PageNumber"/>
        <w:rFonts w:ascii="Arial" w:hAnsi="Arial" w:cs="Arial"/>
        <w:sz w:val="18"/>
        <w:szCs w:val="18"/>
      </w:rPr>
      <w:fldChar w:fldCharType="separate"/>
    </w:r>
    <w:r w:rsidR="00C05C3D">
      <w:rPr>
        <w:rStyle w:val="PageNumber"/>
        <w:rFonts w:ascii="Arial" w:hAnsi="Arial" w:cs="Arial"/>
        <w:noProof/>
        <w:sz w:val="18"/>
        <w:szCs w:val="18"/>
      </w:rPr>
      <w:t>104</w:t>
    </w:r>
    <w:r w:rsidRPr="00FD78DB">
      <w:rPr>
        <w:rStyle w:val="PageNumber"/>
        <w:rFonts w:ascii="Arial" w:hAnsi="Arial" w:cs="Arial"/>
        <w:sz w:val="18"/>
        <w:szCs w:val="18"/>
      </w:rPr>
      <w:fldChar w:fldCharType="end"/>
    </w:r>
  </w:p>
  <w:p w:rsidR="00B545F7" w:rsidRDefault="00B545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C3D" w:rsidRDefault="00C05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1FF" w:rsidRDefault="00B941FF">
      <w:r>
        <w:separator/>
      </w:r>
    </w:p>
  </w:footnote>
  <w:footnote w:type="continuationSeparator" w:id="0">
    <w:p w:rsidR="00B941FF" w:rsidRDefault="00B941FF">
      <w:r>
        <w:continuationSeparator/>
      </w:r>
    </w:p>
  </w:footnote>
  <w:footnote w:id="1">
    <w:p w:rsidR="00B545F7" w:rsidRDefault="00B545F7">
      <w:pPr>
        <w:pStyle w:val="FootnoteText"/>
      </w:pPr>
      <w:r>
        <w:rPr>
          <w:rStyle w:val="FootnoteReference"/>
        </w:rPr>
        <w:footnoteRef/>
      </w:r>
      <w:r>
        <w:t xml:space="preserve"> In this report $ refers to USD unless otherwise stated.</w:t>
      </w:r>
    </w:p>
  </w:footnote>
  <w:footnote w:id="2">
    <w:p w:rsidR="00B545F7" w:rsidRDefault="00B545F7" w:rsidP="00FE44AB">
      <w:pPr>
        <w:pStyle w:val="FootnoteText"/>
      </w:pPr>
      <w:r w:rsidRPr="00FD6EB5">
        <w:rPr>
          <w:rStyle w:val="FootnoteReference"/>
          <w:rFonts w:eastAsia="MS Mincho"/>
        </w:rPr>
        <w:footnoteRef/>
      </w:r>
      <w:r>
        <w:t xml:space="preserve"> Law No.40/2009/QH12 dated 23/11/2009.</w:t>
      </w:r>
    </w:p>
  </w:footnote>
  <w:footnote w:id="3">
    <w:p w:rsidR="00B545F7" w:rsidRDefault="00B545F7" w:rsidP="0057598A">
      <w:pPr>
        <w:pStyle w:val="FootnoteText"/>
      </w:pPr>
      <w:r>
        <w:rPr>
          <w:rStyle w:val="FootnoteReference"/>
        </w:rPr>
        <w:footnoteRef/>
      </w:r>
      <w:r>
        <w:t xml:space="preserve"> Decision 816/BYT dated 16/03/2012.</w:t>
      </w:r>
    </w:p>
  </w:footnote>
  <w:footnote w:id="4">
    <w:p w:rsidR="00B545F7" w:rsidRPr="006A1448" w:rsidRDefault="00B545F7" w:rsidP="0057598A">
      <w:pPr>
        <w:pStyle w:val="FootnoteText"/>
        <w:rPr>
          <w:rFonts w:cs="Arial"/>
          <w:szCs w:val="18"/>
        </w:rPr>
      </w:pPr>
      <w:r w:rsidRPr="006A1448">
        <w:rPr>
          <w:rStyle w:val="FootnoteReference"/>
          <w:rFonts w:cs="Arial"/>
          <w:szCs w:val="18"/>
        </w:rPr>
        <w:footnoteRef/>
      </w:r>
      <w:r w:rsidRPr="006A1448">
        <w:rPr>
          <w:rFonts w:cs="Arial"/>
          <w:szCs w:val="18"/>
        </w:rPr>
        <w:t xml:space="preserve"> </w:t>
      </w:r>
      <w:r w:rsidRPr="00C91C28">
        <w:rPr>
          <w:rFonts w:cs="Arial"/>
          <w:szCs w:val="18"/>
        </w:rPr>
        <w:t>Decree No. 85/2012/ ND-CP dated 15.10/12 concerning the operational and financial mechanism</w:t>
      </w:r>
      <w:r>
        <w:rPr>
          <w:rFonts w:cs="Arial"/>
          <w:szCs w:val="18"/>
        </w:rPr>
        <w:t>s</w:t>
      </w:r>
      <w:r w:rsidRPr="00C91C28">
        <w:rPr>
          <w:rFonts w:cs="Arial"/>
          <w:szCs w:val="18"/>
        </w:rPr>
        <w:t xml:space="preserve"> for </w:t>
      </w:r>
      <w:r>
        <w:rPr>
          <w:rFonts w:cs="Arial"/>
          <w:szCs w:val="18"/>
        </w:rPr>
        <w:t xml:space="preserve">public health facilities and prices applied for </w:t>
      </w:r>
      <w:r w:rsidRPr="00C91C28">
        <w:rPr>
          <w:rFonts w:cs="Arial"/>
          <w:szCs w:val="18"/>
        </w:rPr>
        <w:t>health care services and treatments</w:t>
      </w:r>
      <w:r>
        <w:rPr>
          <w:rFonts w:cs="Arial"/>
          <w:szCs w:val="18"/>
        </w:rPr>
        <w:t xml:space="preserve"> in public health facilities.</w:t>
      </w:r>
    </w:p>
  </w:footnote>
  <w:footnote w:id="5">
    <w:p w:rsidR="00B545F7" w:rsidRDefault="00B545F7" w:rsidP="0057598A">
      <w:pPr>
        <w:pStyle w:val="FootnoteText"/>
      </w:pPr>
      <w:r>
        <w:rPr>
          <w:rStyle w:val="FootnoteReference"/>
        </w:rPr>
        <w:footnoteRef/>
      </w:r>
      <w:r>
        <w:t xml:space="preserve"> </w:t>
      </w:r>
      <w:r>
        <w:rPr>
          <w:rFonts w:cs="Arial"/>
          <w:i/>
        </w:rPr>
        <w:t>Viet Nam</w:t>
      </w:r>
      <w:r w:rsidRPr="00F81D31">
        <w:rPr>
          <w:rFonts w:cs="Arial"/>
          <w:i/>
        </w:rPr>
        <w:t xml:space="preserve"> Country Strategy 2007–</w:t>
      </w:r>
      <w:r>
        <w:rPr>
          <w:rFonts w:cs="Arial"/>
          <w:i/>
        </w:rPr>
        <w:t>20</w:t>
      </w:r>
      <w:r w:rsidRPr="00F81D31">
        <w:rPr>
          <w:rFonts w:cs="Arial"/>
          <w:i/>
        </w:rPr>
        <w:t>09.</w:t>
      </w:r>
    </w:p>
  </w:footnote>
  <w:footnote w:id="6">
    <w:p w:rsidR="00B545F7" w:rsidRDefault="00B545F7" w:rsidP="0057598A">
      <w:pPr>
        <w:pStyle w:val="FootnoteText"/>
      </w:pPr>
      <w:r>
        <w:rPr>
          <w:rStyle w:val="FootnoteReference"/>
        </w:rPr>
        <w:footnoteRef/>
      </w:r>
      <w:r>
        <w:t xml:space="preserve"> AusAID. </w:t>
      </w:r>
      <w:r>
        <w:rPr>
          <w:i/>
        </w:rPr>
        <w:t>Viet Nam</w:t>
      </w:r>
      <w:r w:rsidRPr="00644B99">
        <w:rPr>
          <w:i/>
        </w:rPr>
        <w:t xml:space="preserve"> Development Cooperation Report 2009</w:t>
      </w:r>
      <w:r>
        <w:t>, October 2010.</w:t>
      </w:r>
    </w:p>
  </w:footnote>
  <w:footnote w:id="7">
    <w:p w:rsidR="00B545F7" w:rsidRDefault="00B545F7" w:rsidP="0057598A">
      <w:pPr>
        <w:pStyle w:val="FootnoteText"/>
      </w:pPr>
      <w:r>
        <w:rPr>
          <w:rStyle w:val="FootnoteReference"/>
        </w:rPr>
        <w:footnoteRef/>
      </w:r>
      <w:r>
        <w:t xml:space="preserve"> </w:t>
      </w:r>
      <w:r w:rsidRPr="002203C2">
        <w:rPr>
          <w:rFonts w:cs="Arial"/>
          <w:i/>
        </w:rPr>
        <w:t>Australia – Viet Nam Joint AID Program Strategy 2010-2015</w:t>
      </w:r>
      <w:r>
        <w:rPr>
          <w:rFonts w:cs="Arial"/>
          <w:i/>
        </w:rPr>
        <w:t>.</w:t>
      </w:r>
    </w:p>
  </w:footnote>
  <w:footnote w:id="8">
    <w:p w:rsidR="00B545F7" w:rsidRPr="00D92201" w:rsidRDefault="00B545F7" w:rsidP="0057598A">
      <w:pPr>
        <w:pStyle w:val="FootnoteText"/>
        <w:rPr>
          <w:szCs w:val="18"/>
        </w:rPr>
      </w:pPr>
      <w:r w:rsidRPr="00D92201">
        <w:rPr>
          <w:rStyle w:val="FootnoteReference"/>
          <w:szCs w:val="18"/>
        </w:rPr>
        <w:footnoteRef/>
      </w:r>
      <w:r w:rsidRPr="00D92201">
        <w:rPr>
          <w:szCs w:val="18"/>
        </w:rPr>
        <w:t xml:space="preserve"> ADB. </w:t>
      </w:r>
      <w:r w:rsidRPr="00D92201">
        <w:rPr>
          <w:i/>
          <w:iCs/>
          <w:szCs w:val="18"/>
        </w:rPr>
        <w:t xml:space="preserve">Strategy 2020: The Long-Term Strategic Framework of the Asian Development Bank, 2008-2020. </w:t>
      </w:r>
      <w:r>
        <w:rPr>
          <w:szCs w:val="18"/>
        </w:rPr>
        <w:t xml:space="preserve"> Manila, 2008</w:t>
      </w:r>
    </w:p>
  </w:footnote>
  <w:footnote w:id="9">
    <w:p w:rsidR="00B545F7" w:rsidRPr="00D92201" w:rsidRDefault="00B545F7" w:rsidP="0057598A">
      <w:pPr>
        <w:pStyle w:val="FootnoteText"/>
        <w:rPr>
          <w:szCs w:val="18"/>
        </w:rPr>
      </w:pPr>
      <w:r w:rsidRPr="00D92201">
        <w:rPr>
          <w:rStyle w:val="FootnoteReference"/>
          <w:szCs w:val="18"/>
        </w:rPr>
        <w:footnoteRef/>
      </w:r>
      <w:r w:rsidRPr="00D92201">
        <w:rPr>
          <w:szCs w:val="18"/>
        </w:rPr>
        <w:t xml:space="preserve"> ADB. </w:t>
      </w:r>
      <w:r w:rsidRPr="00D92201">
        <w:rPr>
          <w:i/>
          <w:iCs/>
          <w:szCs w:val="18"/>
        </w:rPr>
        <w:t>Operational Plan for Improving Health Access and Outcomes Under Strategy 2020.</w:t>
      </w:r>
      <w:r>
        <w:rPr>
          <w:szCs w:val="18"/>
        </w:rPr>
        <w:t xml:space="preserve"> Manila, 2009</w:t>
      </w:r>
    </w:p>
  </w:footnote>
  <w:footnote w:id="10">
    <w:p w:rsidR="00B545F7" w:rsidRDefault="00B545F7" w:rsidP="00777CBC">
      <w:pPr>
        <w:widowControl w:val="0"/>
        <w:tabs>
          <w:tab w:val="left" w:pos="0"/>
          <w:tab w:val="left" w:pos="220"/>
        </w:tabs>
        <w:autoSpaceDE w:val="0"/>
        <w:autoSpaceDN w:val="0"/>
        <w:adjustRightInd w:val="0"/>
      </w:pPr>
      <w:r>
        <w:rPr>
          <w:rStyle w:val="FootnoteReference"/>
        </w:rPr>
        <w:footnoteRef/>
      </w:r>
      <w:r>
        <w:t xml:space="preserve">  </w:t>
      </w:r>
      <w:r w:rsidRPr="00171D22">
        <w:rPr>
          <w:rFonts w:ascii="Arial" w:hAnsi="Arial"/>
          <w:color w:val="000000"/>
          <w:sz w:val="18"/>
          <w:szCs w:val="18"/>
          <w:lang w:eastAsia="en-US"/>
        </w:rPr>
        <w:t>ADB. Country Strategy and Program Midterm Review: Viet Nam 2007–2010 (Appendix 4: Indicative Rolling  Country Operations Business Plan 2010–2012). Manila</w:t>
      </w:r>
      <w:r>
        <w:rPr>
          <w:rFonts w:ascii="Arial" w:hAnsi="Arial"/>
          <w:color w:val="000000"/>
          <w:sz w:val="18"/>
          <w:szCs w:val="18"/>
          <w:lang w:eastAsia="en-US"/>
        </w:rPr>
        <w:t>,</w:t>
      </w:r>
      <w:r w:rsidRPr="009C3E6D">
        <w:rPr>
          <w:rFonts w:ascii="Arial" w:hAnsi="Arial" w:cs="Arial"/>
          <w:sz w:val="18"/>
          <w:szCs w:val="18"/>
        </w:rPr>
        <w:t xml:space="preserve"> </w:t>
      </w:r>
      <w:r>
        <w:rPr>
          <w:rFonts w:ascii="Arial" w:hAnsi="Arial" w:cs="Arial"/>
          <w:sz w:val="18"/>
          <w:szCs w:val="18"/>
        </w:rPr>
        <w:t>2010</w:t>
      </w:r>
    </w:p>
  </w:footnote>
  <w:footnote w:id="11">
    <w:p w:rsidR="00B545F7" w:rsidRPr="006D70E6" w:rsidRDefault="00B545F7" w:rsidP="0057598A">
      <w:pPr>
        <w:rPr>
          <w:rFonts w:ascii="Arial" w:hAnsi="Arial" w:cs="Arial"/>
          <w:sz w:val="18"/>
          <w:szCs w:val="18"/>
        </w:rPr>
      </w:pPr>
      <w:r>
        <w:rPr>
          <w:rStyle w:val="FootnoteReference"/>
        </w:rPr>
        <w:footnoteRef/>
      </w:r>
      <w:r>
        <w:t xml:space="preserve"> </w:t>
      </w:r>
      <w:r w:rsidRPr="006D70E6">
        <w:rPr>
          <w:rFonts w:ascii="Arial" w:hAnsi="Arial" w:cs="Arial"/>
          <w:i/>
          <w:sz w:val="18"/>
          <w:szCs w:val="18"/>
        </w:rPr>
        <w:t>Summary of ADB Assistance to Viet Nam’s H</w:t>
      </w:r>
      <w:r w:rsidRPr="00515CD2">
        <w:rPr>
          <w:rFonts w:ascii="Arial" w:hAnsi="Arial" w:cs="Arial"/>
          <w:i/>
          <w:sz w:val="18"/>
          <w:szCs w:val="18"/>
        </w:rPr>
        <w:t xml:space="preserve">ealth </w:t>
      </w:r>
      <w:r w:rsidRPr="005A331F">
        <w:rPr>
          <w:rFonts w:ascii="Arial" w:hAnsi="Arial" w:cs="Arial"/>
          <w:i/>
          <w:sz w:val="18"/>
          <w:szCs w:val="18"/>
        </w:rPr>
        <w:t xml:space="preserve">Sector </w:t>
      </w:r>
      <w:r w:rsidRPr="005A331F">
        <w:rPr>
          <w:rFonts w:ascii="Arial" w:hAnsi="Arial" w:cs="Arial"/>
          <w:sz w:val="18"/>
          <w:szCs w:val="18"/>
        </w:rPr>
        <w:t>(</w:t>
      </w:r>
      <w:r>
        <w:rPr>
          <w:rFonts w:ascii="Arial" w:hAnsi="Arial" w:cs="Arial"/>
          <w:sz w:val="18"/>
          <w:szCs w:val="18"/>
        </w:rPr>
        <w:t>Draft).</w:t>
      </w:r>
      <w:r w:rsidRPr="00185E36">
        <w:rPr>
          <w:rFonts w:ascii="Arial" w:hAnsi="Arial" w:cs="Arial"/>
          <w:sz w:val="18"/>
          <w:szCs w:val="18"/>
        </w:rPr>
        <w:t xml:space="preserve"> 2015.</w:t>
      </w:r>
    </w:p>
  </w:footnote>
  <w:footnote w:id="12">
    <w:p w:rsidR="00B545F7" w:rsidRDefault="00B545F7" w:rsidP="00F167A8">
      <w:pPr>
        <w:pStyle w:val="FootnoteText"/>
      </w:pPr>
      <w:r w:rsidRPr="00FD6EB5">
        <w:rPr>
          <w:rStyle w:val="FootnoteReference"/>
          <w:rFonts w:eastAsia="MS Mincho"/>
        </w:rPr>
        <w:footnoteRef/>
      </w:r>
      <w:r>
        <w:t xml:space="preserve"> The revised DMF contained in the Project Administration Manual dated 25 March 2015 is used as the basis of this assessment.</w:t>
      </w:r>
    </w:p>
  </w:footnote>
  <w:footnote w:id="13">
    <w:p w:rsidR="00B545F7" w:rsidRDefault="00B545F7" w:rsidP="00E470AE">
      <w:pPr>
        <w:pStyle w:val="FootnoteText"/>
      </w:pPr>
      <w:r>
        <w:rPr>
          <w:rStyle w:val="FootnoteReference"/>
        </w:rPr>
        <w:footnoteRef/>
      </w:r>
      <w:r>
        <w:t xml:space="preserve"> The outcome data could not be presented as a percentage as denominator data on the total number of doctors and nurses in public facilities was not available.</w:t>
      </w:r>
    </w:p>
  </w:footnote>
  <w:footnote w:id="14">
    <w:p w:rsidR="00B545F7" w:rsidRDefault="00B545F7">
      <w:pPr>
        <w:pStyle w:val="FootnoteText"/>
      </w:pPr>
      <w:r>
        <w:rPr>
          <w:rStyle w:val="FootnoteReference"/>
        </w:rPr>
        <w:footnoteRef/>
      </w:r>
      <w:r>
        <w:t xml:space="preserve"> </w:t>
      </w:r>
      <w:r w:rsidRPr="00BA6D5D">
        <w:rPr>
          <w:rFonts w:cs="Arial"/>
        </w:rPr>
        <w:t>Circular 22/2013/TT-BYT</w:t>
      </w:r>
      <w:r>
        <w:rPr>
          <w:rFonts w:cs="Arial"/>
        </w:rPr>
        <w:t xml:space="preserve"> dated </w:t>
      </w:r>
      <w:r w:rsidRPr="00185E36">
        <w:rPr>
          <w:rFonts w:cs="Arial"/>
        </w:rPr>
        <w:t>09/08/2013</w:t>
      </w:r>
      <w:r>
        <w:rPr>
          <w:rFonts w:cs="Arial"/>
        </w:rPr>
        <w:t>.</w:t>
      </w:r>
    </w:p>
  </w:footnote>
  <w:footnote w:id="15">
    <w:p w:rsidR="00B545F7" w:rsidRDefault="00B545F7">
      <w:pPr>
        <w:pStyle w:val="FootnoteText"/>
      </w:pPr>
      <w:r>
        <w:rPr>
          <w:rStyle w:val="FootnoteReference"/>
        </w:rPr>
        <w:footnoteRef/>
      </w:r>
      <w:r>
        <w:t xml:space="preserve"> </w:t>
      </w:r>
      <w:r>
        <w:rPr>
          <w:rFonts w:cs="Arial"/>
        </w:rPr>
        <w:t>H</w:t>
      </w:r>
      <w:r w:rsidRPr="00BA6D5D">
        <w:rPr>
          <w:rFonts w:cs="Arial"/>
        </w:rPr>
        <w:t>ealth professionals</w:t>
      </w:r>
      <w:r>
        <w:rPr>
          <w:rFonts w:cs="Arial"/>
        </w:rPr>
        <w:t xml:space="preserve"> are required</w:t>
      </w:r>
      <w:r w:rsidRPr="00BA6D5D">
        <w:rPr>
          <w:rFonts w:cs="Arial"/>
        </w:rPr>
        <w:t xml:space="preserve"> to undertake 48 hours of CME every two years with an accredited provider</w:t>
      </w:r>
      <w:r>
        <w:rPr>
          <w:rFonts w:cs="Arial"/>
        </w:rPr>
        <w:t>.</w:t>
      </w:r>
    </w:p>
  </w:footnote>
  <w:footnote w:id="16">
    <w:p w:rsidR="00B545F7" w:rsidRDefault="00B545F7" w:rsidP="00F167A8">
      <w:pPr>
        <w:pStyle w:val="FootnoteText"/>
      </w:pPr>
      <w:r w:rsidRPr="00FD6EB5">
        <w:rPr>
          <w:rStyle w:val="FootnoteReference"/>
          <w:rFonts w:eastAsia="MS Mincho"/>
        </w:rPr>
        <w:footnoteRef/>
      </w:r>
      <w:r>
        <w:t xml:space="preserve"> The </w:t>
      </w:r>
      <w:r w:rsidRPr="00A83E11">
        <w:rPr>
          <w:rFonts w:cs="Arial"/>
        </w:rPr>
        <w:t>Health Professional Education and Training for Health System Reforms Project</w:t>
      </w:r>
      <w:r>
        <w:rPr>
          <w:rFonts w:cs="Arial"/>
        </w:rPr>
        <w:t>.</w:t>
      </w:r>
    </w:p>
  </w:footnote>
  <w:footnote w:id="17">
    <w:p w:rsidR="00B545F7" w:rsidRDefault="00B545F7" w:rsidP="00F167A8">
      <w:pPr>
        <w:pStyle w:val="FootnoteText"/>
      </w:pPr>
      <w:r w:rsidRPr="00FD6EB5">
        <w:rPr>
          <w:rStyle w:val="FootnoteReference"/>
          <w:rFonts w:eastAsia="MS Mincho"/>
        </w:rPr>
        <w:footnoteRef/>
      </w:r>
      <w:r>
        <w:t xml:space="preserve"> Source: PMU Financial Management Consultant. </w:t>
      </w:r>
      <w:r>
        <w:rPr>
          <w:rFonts w:cs="Arial"/>
        </w:rPr>
        <w:t>The total of $15.8m exceeds the loan amount of $15.0m due to exchange rate fluctuations.</w:t>
      </w:r>
    </w:p>
  </w:footnote>
  <w:footnote w:id="18">
    <w:p w:rsidR="00B545F7" w:rsidRDefault="00B545F7" w:rsidP="00F167A8">
      <w:pPr>
        <w:pStyle w:val="FootnoteText"/>
      </w:pPr>
      <w:r w:rsidRPr="00FD6EB5">
        <w:rPr>
          <w:rStyle w:val="FootnoteReference"/>
          <w:rFonts w:eastAsia="MS Mincho"/>
        </w:rPr>
        <w:footnoteRef/>
      </w:r>
      <w:r>
        <w:t xml:space="preserve"> MoH </w:t>
      </w:r>
      <w:r w:rsidRPr="00F07E89">
        <w:rPr>
          <w:rFonts w:cs="Arial"/>
        </w:rPr>
        <w:t>noted that the ninth policy action is difficult to achieve given the time frame within which compliance is required and made a commitment to complete this policy action under the project</w:t>
      </w:r>
      <w:r>
        <w:rPr>
          <w:rFonts w:cs="Arial"/>
        </w:rPr>
        <w:t xml:space="preserve"> loan.</w:t>
      </w:r>
    </w:p>
  </w:footnote>
  <w:footnote w:id="19">
    <w:p w:rsidR="00B545F7" w:rsidRDefault="00B545F7" w:rsidP="00F167A8">
      <w:pPr>
        <w:pStyle w:val="FootnoteText"/>
      </w:pPr>
      <w:r w:rsidRPr="00FD6EB5">
        <w:rPr>
          <w:rStyle w:val="FootnoteReference"/>
          <w:rFonts w:eastAsia="MS Mincho"/>
        </w:rPr>
        <w:footnoteRef/>
      </w:r>
      <w:r>
        <w:t xml:space="preserve"> Source: PMU Financial Management Consultant. </w:t>
      </w:r>
      <w:r>
        <w:rPr>
          <w:rFonts w:cs="Arial"/>
        </w:rPr>
        <w:t>The total of $15.48m exceeds the loan amount of $15.0m due to exchange rate fluctuations.</w:t>
      </w:r>
    </w:p>
  </w:footnote>
  <w:footnote w:id="20">
    <w:p w:rsidR="00B545F7" w:rsidRDefault="00B545F7" w:rsidP="00F167A8">
      <w:pPr>
        <w:pStyle w:val="FootnoteText"/>
      </w:pPr>
      <w:r w:rsidRPr="00FD6EB5">
        <w:rPr>
          <w:rStyle w:val="FootnoteReference"/>
          <w:rFonts w:eastAsia="MS Mincho"/>
        </w:rPr>
        <w:footnoteRef/>
      </w:r>
      <w:r>
        <w:t xml:space="preserve"> 15 May 2015.</w:t>
      </w:r>
    </w:p>
  </w:footnote>
  <w:footnote w:id="21">
    <w:p w:rsidR="00B545F7" w:rsidRDefault="00B545F7" w:rsidP="00F167A8">
      <w:pPr>
        <w:pStyle w:val="FootnoteText"/>
      </w:pPr>
      <w:r w:rsidRPr="00FD6EB5">
        <w:rPr>
          <w:rStyle w:val="FootnoteReference"/>
          <w:rFonts w:eastAsia="MS Mincho"/>
        </w:rPr>
        <w:footnoteRef/>
      </w:r>
      <w:r>
        <w:t xml:space="preserve"> Aide Memoire. ADB Review Mission. May 18-22.</w:t>
      </w:r>
    </w:p>
  </w:footnote>
  <w:footnote w:id="22">
    <w:p w:rsidR="00B545F7" w:rsidRPr="008469EC" w:rsidRDefault="00B545F7" w:rsidP="00F167A8">
      <w:pPr>
        <w:overflowPunct w:val="0"/>
        <w:autoSpaceDE w:val="0"/>
        <w:autoSpaceDN w:val="0"/>
        <w:adjustRightInd w:val="0"/>
        <w:ind w:left="142" w:hanging="142"/>
        <w:textAlignment w:val="baseline"/>
        <w:rPr>
          <w:rFonts w:cs="Arial"/>
          <w:color w:val="3366FF"/>
          <w:sz w:val="18"/>
          <w:szCs w:val="18"/>
        </w:rPr>
      </w:pPr>
      <w:r w:rsidRPr="00FD6EB5">
        <w:rPr>
          <w:rStyle w:val="FootnoteReference"/>
          <w:rFonts w:eastAsia="MS Mincho"/>
        </w:rPr>
        <w:footnoteRef/>
      </w:r>
      <w:r>
        <w:t xml:space="preserve"> </w:t>
      </w:r>
      <w:r w:rsidRPr="008469EC">
        <w:rPr>
          <w:rFonts w:ascii="Arial" w:hAnsi="Arial"/>
          <w:snapToGrid w:val="0"/>
          <w:color w:val="000000"/>
          <w:sz w:val="18"/>
          <w:lang w:eastAsia="en-US"/>
        </w:rPr>
        <w:t>Decis</w:t>
      </w:r>
      <w:r>
        <w:rPr>
          <w:rFonts w:ascii="Arial" w:hAnsi="Arial"/>
          <w:snapToGrid w:val="0"/>
          <w:color w:val="000000"/>
          <w:sz w:val="18"/>
          <w:lang w:eastAsia="en-US"/>
        </w:rPr>
        <w:t>i</w:t>
      </w:r>
      <w:r w:rsidRPr="008469EC">
        <w:rPr>
          <w:rFonts w:ascii="Arial" w:hAnsi="Arial"/>
          <w:snapToGrid w:val="0"/>
          <w:color w:val="000000"/>
          <w:sz w:val="18"/>
          <w:lang w:eastAsia="en-US"/>
        </w:rPr>
        <w:t xml:space="preserve">on 1301/QD-BYT date 21/4/2010 concerning </w:t>
      </w:r>
      <w:r>
        <w:rPr>
          <w:rFonts w:ascii="Arial" w:hAnsi="Arial"/>
          <w:snapToGrid w:val="0"/>
          <w:color w:val="000000"/>
          <w:sz w:val="18"/>
          <w:lang w:eastAsia="en-US"/>
        </w:rPr>
        <w:t xml:space="preserve">the </w:t>
      </w:r>
      <w:r w:rsidRPr="008469EC">
        <w:rPr>
          <w:rFonts w:ascii="Arial" w:hAnsi="Arial"/>
          <w:snapToGrid w:val="0"/>
          <w:color w:val="000000"/>
          <w:sz w:val="18"/>
          <w:lang w:eastAsia="en-US"/>
        </w:rPr>
        <w:t>Establis</w:t>
      </w:r>
      <w:r>
        <w:rPr>
          <w:rFonts w:ascii="Arial" w:hAnsi="Arial"/>
          <w:snapToGrid w:val="0"/>
          <w:color w:val="000000"/>
          <w:sz w:val="18"/>
          <w:lang w:eastAsia="en-US"/>
        </w:rPr>
        <w:t>h</w:t>
      </w:r>
      <w:r w:rsidRPr="008469EC">
        <w:rPr>
          <w:rFonts w:ascii="Arial" w:hAnsi="Arial"/>
          <w:snapToGrid w:val="0"/>
          <w:color w:val="000000"/>
          <w:sz w:val="18"/>
          <w:lang w:eastAsia="en-US"/>
        </w:rPr>
        <w:t>ment of the Joint Commit</w:t>
      </w:r>
      <w:r>
        <w:rPr>
          <w:rFonts w:ascii="Arial" w:hAnsi="Arial"/>
          <w:snapToGrid w:val="0"/>
          <w:color w:val="000000"/>
          <w:sz w:val="18"/>
          <w:lang w:eastAsia="en-US"/>
        </w:rPr>
        <w:t>tee for execution of Health Human Resource D</w:t>
      </w:r>
      <w:r w:rsidRPr="008469EC">
        <w:rPr>
          <w:rFonts w:ascii="Arial" w:hAnsi="Arial"/>
          <w:snapToGrid w:val="0"/>
          <w:color w:val="000000"/>
          <w:sz w:val="18"/>
          <w:lang w:eastAsia="en-US"/>
        </w:rPr>
        <w:t>evelopment for period 2010-2015.</w:t>
      </w:r>
    </w:p>
  </w:footnote>
  <w:footnote w:id="23">
    <w:p w:rsidR="00B545F7" w:rsidRPr="00136D8C" w:rsidRDefault="00B545F7" w:rsidP="00F167A8">
      <w:pPr>
        <w:pStyle w:val="FootnoteText"/>
      </w:pPr>
      <w:r w:rsidRPr="00FD6EB5">
        <w:rPr>
          <w:rStyle w:val="FootnoteReference"/>
          <w:rFonts w:eastAsia="MS Mincho"/>
        </w:rPr>
        <w:footnoteRef/>
      </w:r>
      <w:r>
        <w:t xml:space="preserve"> </w:t>
      </w:r>
      <w:r w:rsidRPr="008469EC">
        <w:t>Decision No 1283 QD-BYT date</w:t>
      </w:r>
      <w:r>
        <w:t>d 20/4/2012</w:t>
      </w:r>
      <w:r w:rsidRPr="008469EC">
        <w:t xml:space="preserve"> and Decision No 3651 QD-BYT date 16/9/2014</w:t>
      </w:r>
      <w:r>
        <w:t>,</w:t>
      </w:r>
      <w:r w:rsidRPr="008469EC">
        <w:t xml:space="preserve"> </w:t>
      </w:r>
      <w:r>
        <w:t>concerning</w:t>
      </w:r>
      <w:r w:rsidRPr="008469EC">
        <w:t xml:space="preserve"> Strengthening the Committee for </w:t>
      </w:r>
      <w:r>
        <w:t>the Execution of Health Human Resource D</w:t>
      </w:r>
      <w:r w:rsidRPr="008469EC">
        <w:t>evelopment</w:t>
      </w:r>
      <w:r>
        <w:t>.</w:t>
      </w:r>
    </w:p>
  </w:footnote>
  <w:footnote w:id="24">
    <w:p w:rsidR="00B545F7" w:rsidRDefault="00B545F7" w:rsidP="00F167A8">
      <w:pPr>
        <w:pStyle w:val="FootnoteText"/>
      </w:pPr>
      <w:r w:rsidRPr="00FD6EB5">
        <w:rPr>
          <w:rStyle w:val="FootnoteReference"/>
          <w:rFonts w:eastAsia="MS Mincho"/>
        </w:rPr>
        <w:footnoteRef/>
      </w:r>
      <w:r>
        <w:t xml:space="preserve"> Policy Action 1: R</w:t>
      </w:r>
      <w:r w:rsidRPr="00484B66">
        <w:t xml:space="preserve">eport on HHR </w:t>
      </w:r>
      <w:r>
        <w:t>Reform, Planning and Management. May 2013</w:t>
      </w:r>
    </w:p>
  </w:footnote>
  <w:footnote w:id="25">
    <w:p w:rsidR="00B545F7" w:rsidRDefault="00B545F7" w:rsidP="00F167A8">
      <w:pPr>
        <w:pStyle w:val="FootnoteText"/>
      </w:pPr>
      <w:r w:rsidRPr="00FD6EB5">
        <w:rPr>
          <w:rStyle w:val="FootnoteReference"/>
          <w:rFonts w:eastAsia="MS Mincho"/>
        </w:rPr>
        <w:footnoteRef/>
      </w:r>
      <w:r>
        <w:t xml:space="preserve"> Decision 816/2012/BYT (16/03/2012) approving the ‘Pan for Health Human Resource Development 2012-2020.’</w:t>
      </w:r>
    </w:p>
  </w:footnote>
  <w:footnote w:id="26">
    <w:p w:rsidR="00B545F7" w:rsidRDefault="00B545F7" w:rsidP="00F167A8">
      <w:pPr>
        <w:pStyle w:val="FootnoteText"/>
      </w:pPr>
      <w:r w:rsidRPr="00FD6EB5">
        <w:rPr>
          <w:rStyle w:val="FootnoteReference"/>
          <w:rFonts w:eastAsia="MS Mincho"/>
        </w:rPr>
        <w:footnoteRef/>
      </w:r>
      <w:r>
        <w:t xml:space="preserve"> </w:t>
      </w:r>
      <w:r w:rsidRPr="00692A3E">
        <w:t>Decision 319/2013/QĐ-TTg</w:t>
      </w:r>
      <w:r>
        <w:t xml:space="preserve"> approving a plan for </w:t>
      </w:r>
      <w:r w:rsidRPr="00692A3E">
        <w:t xml:space="preserve">training and development of human health sector workers </w:t>
      </w:r>
      <w:r>
        <w:t>in key under-resourced specialties of tuberculosis</w:t>
      </w:r>
      <w:r w:rsidRPr="00692A3E">
        <w:t xml:space="preserve">, leprosy, mental </w:t>
      </w:r>
      <w:r>
        <w:t>health</w:t>
      </w:r>
      <w:r w:rsidRPr="00692A3E">
        <w:t xml:space="preserve">, forensics and pathology </w:t>
      </w:r>
      <w:r>
        <w:t>for the period 2013-2020.</w:t>
      </w:r>
    </w:p>
  </w:footnote>
  <w:footnote w:id="27">
    <w:p w:rsidR="00B545F7" w:rsidRPr="006E3179" w:rsidRDefault="00B545F7" w:rsidP="00F167A8">
      <w:pPr>
        <w:pStyle w:val="FootnoteText"/>
        <w:rPr>
          <w:b/>
        </w:rPr>
      </w:pPr>
      <w:r w:rsidRPr="00FD6EB5">
        <w:rPr>
          <w:rStyle w:val="FootnoteReference"/>
          <w:rFonts w:eastAsia="MS Mincho"/>
        </w:rPr>
        <w:footnoteRef/>
      </w:r>
      <w:r>
        <w:rPr>
          <w:rFonts w:cs="Arial"/>
        </w:rPr>
        <w:t xml:space="preserve"> </w:t>
      </w:r>
      <w:r w:rsidRPr="00950237">
        <w:rPr>
          <w:rFonts w:cs="Arial"/>
        </w:rPr>
        <w:t>Aide Memoire. Mid Term Review Mission, September 2013</w:t>
      </w:r>
      <w:r>
        <w:rPr>
          <w:rFonts w:cs="Arial"/>
        </w:rPr>
        <w:t xml:space="preserve">: </w:t>
      </w:r>
      <w:r w:rsidRPr="00950237">
        <w:t xml:space="preserve">Other outputs include </w:t>
      </w:r>
      <w:r w:rsidRPr="00950237">
        <w:rPr>
          <w:rFonts w:cs="Arial"/>
        </w:rPr>
        <w:t xml:space="preserve">Decisions on reducing hospital overcrowding, promoting health care on islands and in coastal regions, a roadmap for universal health coverage, encouraging specialization in less popular specialties, secondment of staff, health promotion, HIV/AIDS, food safety, and population and reproductive health. </w:t>
      </w:r>
    </w:p>
  </w:footnote>
  <w:footnote w:id="28">
    <w:p w:rsidR="00B545F7" w:rsidRDefault="00B545F7" w:rsidP="00F167A8">
      <w:pPr>
        <w:pStyle w:val="FootnoteText"/>
      </w:pPr>
      <w:r w:rsidRPr="00FD6EB5">
        <w:rPr>
          <w:rStyle w:val="FootnoteReference"/>
          <w:rFonts w:eastAsia="MS Mincho"/>
        </w:rPr>
        <w:footnoteRef/>
      </w:r>
      <w:r>
        <w:t xml:space="preserve"> MoH has established the a new Department on Registration and L</w:t>
      </w:r>
      <w:r w:rsidRPr="008D6F42">
        <w:t>icensing</w:t>
      </w:r>
      <w:r>
        <w:t xml:space="preserve"> within the </w:t>
      </w:r>
      <w:r>
        <w:rPr>
          <w:rFonts w:cs="Arial"/>
        </w:rPr>
        <w:t>Administration</w:t>
      </w:r>
      <w:r w:rsidRPr="009F6E10">
        <w:rPr>
          <w:rFonts w:cs="Arial"/>
        </w:rPr>
        <w:t xml:space="preserve"> of Medical Services</w:t>
      </w:r>
    </w:p>
  </w:footnote>
  <w:footnote w:id="29">
    <w:p w:rsidR="00B545F7" w:rsidRDefault="00B545F7">
      <w:pPr>
        <w:pStyle w:val="FootnoteText"/>
      </w:pPr>
      <w:r>
        <w:rPr>
          <w:rStyle w:val="FootnoteReference"/>
        </w:rPr>
        <w:footnoteRef/>
      </w:r>
      <w:r>
        <w:t xml:space="preserve"> </w:t>
      </w:r>
      <w:r w:rsidRPr="00777CBC">
        <w:rPr>
          <w:rFonts w:cs="Arial"/>
        </w:rPr>
        <w:t>Circular 41 was a tranche two policy action supported under the program loan</w:t>
      </w:r>
    </w:p>
  </w:footnote>
  <w:footnote w:id="30">
    <w:p w:rsidR="00B545F7" w:rsidRDefault="00B545F7" w:rsidP="00F167A8">
      <w:pPr>
        <w:pStyle w:val="FootnoteText"/>
      </w:pPr>
      <w:r w:rsidRPr="00FD6EB5">
        <w:rPr>
          <w:rStyle w:val="FootnoteReference"/>
          <w:rFonts w:eastAsia="MS Mincho"/>
        </w:rPr>
        <w:footnoteRef/>
      </w:r>
      <w:r>
        <w:t xml:space="preserve"> Decree 87/2011/ND-CP providing broad guidance on</w:t>
      </w:r>
      <w:r w:rsidRPr="00F07E89">
        <w:rPr>
          <w:rFonts w:cs="Arial"/>
        </w:rPr>
        <w:t xml:space="preserve"> the interpretation of articles within LET for implementation purposes. It includes a timetable for the registration of private and public practitioners and facilities.</w:t>
      </w:r>
    </w:p>
  </w:footnote>
  <w:footnote w:id="31">
    <w:p w:rsidR="00B545F7" w:rsidRPr="00307539" w:rsidRDefault="00B545F7" w:rsidP="00F167A8">
      <w:pPr>
        <w:pStyle w:val="FootnoteText"/>
        <w:rPr>
          <w:rFonts w:cs="Arial"/>
          <w:b/>
        </w:rPr>
      </w:pPr>
      <w:r w:rsidRPr="00FD6EB5">
        <w:rPr>
          <w:rStyle w:val="FootnoteReference"/>
          <w:rFonts w:eastAsia="MS Mincho"/>
        </w:rPr>
        <w:footnoteRef/>
      </w:r>
      <w:r>
        <w:t xml:space="preserve"> </w:t>
      </w:r>
      <w:r w:rsidRPr="00307539">
        <w:t xml:space="preserve">The engagement of a Policy Specialist (Health Workforce regulation) from the Victorian Department of health and Human Services following a project study tour is </w:t>
      </w:r>
      <w:r>
        <w:t>an example</w:t>
      </w:r>
      <w:r w:rsidRPr="00307539">
        <w:t xml:space="preserve"> of Australia’s value to add the strengthening of the LET and the</w:t>
      </w:r>
      <w:r>
        <w:rPr>
          <w:rFonts w:cs="Arial"/>
        </w:rPr>
        <w:t xml:space="preserve"> establishment of the registration and licensing system.</w:t>
      </w:r>
    </w:p>
  </w:footnote>
  <w:footnote w:id="32">
    <w:p w:rsidR="00B545F7" w:rsidRPr="00D42707" w:rsidRDefault="00B545F7" w:rsidP="00F167A8">
      <w:pPr>
        <w:widowControl w:val="0"/>
        <w:autoSpaceDE w:val="0"/>
        <w:autoSpaceDN w:val="0"/>
        <w:adjustRightInd w:val="0"/>
        <w:ind w:left="142" w:hanging="142"/>
        <w:jc w:val="both"/>
        <w:rPr>
          <w:rFonts w:ascii="Arial" w:hAnsi="Arial" w:cs="Arial"/>
        </w:rPr>
      </w:pPr>
      <w:r w:rsidRPr="00FD6EB5">
        <w:rPr>
          <w:rStyle w:val="FootnoteReference"/>
          <w:rFonts w:eastAsia="MS Mincho"/>
        </w:rPr>
        <w:footnoteRef/>
      </w:r>
      <w:r>
        <w:t xml:space="preserve"> </w:t>
      </w:r>
      <w:r w:rsidRPr="00307539">
        <w:rPr>
          <w:rFonts w:ascii="Arial" w:hAnsi="Arial"/>
          <w:snapToGrid w:val="0"/>
          <w:color w:val="000000"/>
          <w:sz w:val="18"/>
          <w:lang w:eastAsia="en-US"/>
        </w:rPr>
        <w:t>This work includes the development of standardized approach to determining Scope of Practice when issuing practice certificates (as required under article 25 of the LET)</w:t>
      </w:r>
      <w:r>
        <w:rPr>
          <w:rFonts w:ascii="Arial" w:hAnsi="Arial"/>
          <w:snapToGrid w:val="0"/>
          <w:color w:val="000000"/>
          <w:sz w:val="18"/>
          <w:lang w:eastAsia="en-US"/>
        </w:rPr>
        <w:t>.</w:t>
      </w:r>
    </w:p>
  </w:footnote>
  <w:footnote w:id="33">
    <w:p w:rsidR="00B545F7" w:rsidRDefault="00B545F7" w:rsidP="00F167A8">
      <w:pPr>
        <w:pStyle w:val="FootnoteText"/>
      </w:pPr>
      <w:r w:rsidRPr="00FD6EB5">
        <w:rPr>
          <w:rStyle w:val="FootnoteReference"/>
          <w:rFonts w:eastAsia="MS Mincho"/>
        </w:rPr>
        <w:footnoteRef/>
      </w:r>
      <w:r>
        <w:t xml:space="preserve"> </w:t>
      </w:r>
      <w:r w:rsidRPr="007E6CB3">
        <w:rPr>
          <w:rFonts w:cs="Arial"/>
        </w:rPr>
        <w:t>Plan 1439/KH BYT for National Training on Health Professionals Licensing and Relicensing f</w:t>
      </w:r>
      <w:r>
        <w:rPr>
          <w:rFonts w:cs="Arial"/>
        </w:rPr>
        <w:t xml:space="preserve">or the period 2013 to 2015, </w:t>
      </w:r>
      <w:r w:rsidRPr="007E6CB3">
        <w:rPr>
          <w:rFonts w:cs="Arial"/>
        </w:rPr>
        <w:t>approved by MoH 28 December 2012.</w:t>
      </w:r>
    </w:p>
  </w:footnote>
  <w:footnote w:id="34">
    <w:p w:rsidR="00B545F7" w:rsidRDefault="00B545F7" w:rsidP="00F167A8">
      <w:pPr>
        <w:pStyle w:val="FootnoteText"/>
      </w:pPr>
      <w:r w:rsidRPr="00FD6EB5">
        <w:rPr>
          <w:rStyle w:val="FootnoteReference"/>
          <w:rFonts w:eastAsia="MS Mincho"/>
        </w:rPr>
        <w:footnoteRef/>
      </w:r>
      <w:r>
        <w:t xml:space="preserve"> </w:t>
      </w:r>
      <w:r w:rsidRPr="007930FB">
        <w:t>Official Letter No. 1356/BYT-KCB on 3/15/2013</w:t>
      </w:r>
      <w:r>
        <w:t xml:space="preserve"> instructing the use of the registration and licensing database by all 63 provinces.</w:t>
      </w:r>
    </w:p>
  </w:footnote>
  <w:footnote w:id="35">
    <w:p w:rsidR="00B545F7" w:rsidRDefault="00B545F7" w:rsidP="00F167A8">
      <w:pPr>
        <w:pStyle w:val="FootnoteText"/>
      </w:pPr>
      <w:r w:rsidRPr="00FD6EB5">
        <w:rPr>
          <w:rStyle w:val="FootnoteReference"/>
          <w:rFonts w:eastAsia="MS Mincho"/>
        </w:rPr>
        <w:footnoteRef/>
      </w:r>
      <w:r>
        <w:t xml:space="preserve"> National Firm for E</w:t>
      </w:r>
      <w:r w:rsidRPr="000F6396">
        <w:t xml:space="preserve">nhancement of </w:t>
      </w:r>
      <w:r>
        <w:t xml:space="preserve">the </w:t>
      </w:r>
      <w:r w:rsidRPr="000F6396">
        <w:t>Natio</w:t>
      </w:r>
      <w:r>
        <w:t>nal Registration and Licensing S</w:t>
      </w:r>
      <w:r w:rsidRPr="000F6396">
        <w:t>ystem</w:t>
      </w:r>
      <w:r>
        <w:t>.</w:t>
      </w:r>
    </w:p>
  </w:footnote>
  <w:footnote w:id="36">
    <w:p w:rsidR="00B545F7" w:rsidRDefault="00B545F7" w:rsidP="00F167A8">
      <w:pPr>
        <w:pStyle w:val="FootnoteText"/>
      </w:pPr>
      <w:r w:rsidRPr="00FD6EB5">
        <w:rPr>
          <w:rStyle w:val="FootnoteReference"/>
          <w:rFonts w:eastAsia="MS Mincho"/>
        </w:rPr>
        <w:footnoteRef/>
      </w:r>
      <w:r>
        <w:t xml:space="preserve"> </w:t>
      </w:r>
      <w:r w:rsidRPr="008818CD">
        <w:rPr>
          <w:rFonts w:cs="Arial"/>
          <w:snapToGrid/>
        </w:rPr>
        <w:t xml:space="preserve">The modules cover: (i) Online registration for medical facility licensing; (ii) Functional requirements for linking health human resource management at medical service facilities; (iii) Patient complaints and feedback; (iv) Management of Continuous Medical Education for practitioners; (v) Online registration for certification of health </w:t>
      </w:r>
      <w:r w:rsidRPr="008818CD">
        <w:t xml:space="preserve">professionals; (vi) Integrated certification and licensing management; (vii) Functional requirements </w:t>
      </w:r>
      <w:r>
        <w:t>for data analysis and reporting.</w:t>
      </w:r>
    </w:p>
  </w:footnote>
  <w:footnote w:id="37">
    <w:p w:rsidR="00B545F7" w:rsidRDefault="00B545F7" w:rsidP="00F167A8">
      <w:pPr>
        <w:pStyle w:val="FootnoteText"/>
      </w:pPr>
      <w:r w:rsidRPr="00FD6EB5">
        <w:rPr>
          <w:rStyle w:val="FootnoteReference"/>
          <w:rFonts w:eastAsia="MS Mincho"/>
        </w:rPr>
        <w:footnoteRef/>
      </w:r>
      <w:r>
        <w:t xml:space="preserve"> </w:t>
      </w:r>
      <w:r w:rsidRPr="00F75B9F">
        <w:rPr>
          <w:rFonts w:cs="Arial"/>
        </w:rPr>
        <w:t xml:space="preserve">The </w:t>
      </w:r>
      <w:r>
        <w:rPr>
          <w:rFonts w:cs="Arial"/>
        </w:rPr>
        <w:t>intended outputs under sub-component 2B were (i) Six</w:t>
      </w:r>
      <w:r w:rsidRPr="00F75B9F">
        <w:rPr>
          <w:rFonts w:cs="Arial"/>
        </w:rPr>
        <w:t xml:space="preserve"> prioritized universities met national teaching qual</w:t>
      </w:r>
      <w:r>
        <w:rPr>
          <w:rFonts w:cs="Arial"/>
        </w:rPr>
        <w:t>ity accreditation standards; (ii) Three</w:t>
      </w:r>
      <w:r w:rsidRPr="00F75B9F">
        <w:rPr>
          <w:rFonts w:cs="Arial"/>
        </w:rPr>
        <w:t xml:space="preserve"> courses in each prioritized training institutions accredited under</w:t>
      </w:r>
      <w:r>
        <w:rPr>
          <w:rFonts w:cs="Arial"/>
        </w:rPr>
        <w:t xml:space="preserve"> continuing education system.</w:t>
      </w:r>
    </w:p>
  </w:footnote>
  <w:footnote w:id="38">
    <w:p w:rsidR="00B545F7" w:rsidRDefault="00B545F7" w:rsidP="00F167A8">
      <w:pPr>
        <w:pStyle w:val="FootnoteText"/>
      </w:pPr>
      <w:r w:rsidRPr="00FD6EB5">
        <w:rPr>
          <w:rStyle w:val="FootnoteReference"/>
          <w:rFonts w:eastAsia="MS Mincho"/>
        </w:rPr>
        <w:footnoteRef/>
      </w:r>
      <w:r>
        <w:t xml:space="preserve"> Aide Memoire. ADB Review Mission. May 18-22.</w:t>
      </w:r>
    </w:p>
  </w:footnote>
  <w:footnote w:id="39">
    <w:p w:rsidR="00B545F7" w:rsidRDefault="00B545F7" w:rsidP="00F167A8">
      <w:pPr>
        <w:pStyle w:val="FootnoteText"/>
      </w:pPr>
      <w:r w:rsidRPr="00FD6EB5">
        <w:rPr>
          <w:rStyle w:val="FootnoteReference"/>
          <w:rFonts w:eastAsia="MS Mincho"/>
        </w:rPr>
        <w:footnoteRef/>
      </w:r>
      <w:r>
        <w:t xml:space="preserve"> Appendix 3 of the PAM.</w:t>
      </w:r>
    </w:p>
  </w:footnote>
  <w:footnote w:id="40">
    <w:p w:rsidR="00B545F7" w:rsidRDefault="00B545F7" w:rsidP="00F167A8">
      <w:pPr>
        <w:pStyle w:val="FootnoteText"/>
      </w:pPr>
      <w:r w:rsidRPr="00A13276">
        <w:footnoteRef/>
      </w:r>
      <w:r>
        <w:t xml:space="preserve"> </w:t>
      </w:r>
      <w:r w:rsidRPr="004B14E8">
        <w:t>1. Hanoi Medical University</w:t>
      </w:r>
      <w:r>
        <w:t>; 2. Ha Noi</w:t>
      </w:r>
      <w:r w:rsidRPr="004B14E8">
        <w:t xml:space="preserve"> Pha</w:t>
      </w:r>
      <w:r>
        <w:t>rma</w:t>
      </w:r>
      <w:r w:rsidRPr="004B14E8">
        <w:t>cy University</w:t>
      </w:r>
      <w:r>
        <w:t>3. HCM Medical and Pharma</w:t>
      </w:r>
      <w:r w:rsidRPr="004B14E8">
        <w:t>cy U</w:t>
      </w:r>
      <w:r>
        <w:t>niversity; 4. Can Tho Medical and Pharma</w:t>
      </w:r>
      <w:r w:rsidRPr="004B14E8">
        <w:t>cy U</w:t>
      </w:r>
      <w:r>
        <w:t xml:space="preserve">niversity; </w:t>
      </w:r>
      <w:r w:rsidRPr="004B14E8">
        <w:t>5. Thai</w:t>
      </w:r>
      <w:r>
        <w:t xml:space="preserve"> Binh Medical and Pharma</w:t>
      </w:r>
      <w:r w:rsidRPr="004B14E8">
        <w:t>cy U</w:t>
      </w:r>
      <w:r>
        <w:t>niversity; 6</w:t>
      </w:r>
      <w:r w:rsidRPr="004B14E8">
        <w:t>. Haiphong Medical and Pha</w:t>
      </w:r>
      <w:r>
        <w:t>rma</w:t>
      </w:r>
      <w:r w:rsidRPr="004B14E8">
        <w:t>cy U</w:t>
      </w:r>
      <w:r>
        <w:t>niversity; 7. Nam D</w:t>
      </w:r>
      <w:r w:rsidRPr="004B14E8">
        <w:t>inh Nursing U</w:t>
      </w:r>
      <w:r>
        <w:t xml:space="preserve">niversity; </w:t>
      </w:r>
      <w:r w:rsidRPr="004B14E8">
        <w:t>8. Hai</w:t>
      </w:r>
      <w:r>
        <w:t xml:space="preserve"> Duong Pharma</w:t>
      </w:r>
      <w:r w:rsidRPr="004B14E8">
        <w:t>cy College</w:t>
      </w:r>
      <w:r>
        <w:t xml:space="preserve">; 9. Da Nang Medical and </w:t>
      </w:r>
      <w:r w:rsidRPr="004B14E8">
        <w:t>Pha</w:t>
      </w:r>
      <w:r>
        <w:t>r</w:t>
      </w:r>
      <w:r w:rsidRPr="004B14E8">
        <w:t>macy Technical U</w:t>
      </w:r>
      <w:r>
        <w:t>niversity.</w:t>
      </w:r>
    </w:p>
  </w:footnote>
  <w:footnote w:id="41">
    <w:p w:rsidR="00B545F7" w:rsidRDefault="00B545F7" w:rsidP="00F167A8">
      <w:pPr>
        <w:pStyle w:val="FootnoteText"/>
      </w:pPr>
      <w:r w:rsidRPr="00FD6EB5">
        <w:rPr>
          <w:rStyle w:val="FootnoteReference"/>
          <w:rFonts w:eastAsia="MS Mincho"/>
        </w:rPr>
        <w:footnoteRef/>
      </w:r>
      <w:r>
        <w:t xml:space="preserve"> The final 8 packages under phase 3 have been contracted with completion expected in September 2015.</w:t>
      </w:r>
    </w:p>
  </w:footnote>
  <w:footnote w:id="42">
    <w:p w:rsidR="00B545F7" w:rsidRPr="006B3E78" w:rsidRDefault="00B545F7" w:rsidP="00F167A8">
      <w:pPr>
        <w:pStyle w:val="FootnoteText"/>
        <w:rPr>
          <w:rFonts w:cs="Arial"/>
          <w:szCs w:val="18"/>
        </w:rPr>
      </w:pPr>
      <w:r w:rsidRPr="00FD6EB5">
        <w:rPr>
          <w:rStyle w:val="FootnoteReference"/>
          <w:rFonts w:eastAsia="MS Mincho" w:cs="Arial"/>
          <w:sz w:val="18"/>
          <w:szCs w:val="18"/>
        </w:rPr>
        <w:footnoteRef/>
      </w:r>
      <w:r w:rsidRPr="006B3E78">
        <w:rPr>
          <w:rFonts w:cs="Arial"/>
          <w:szCs w:val="18"/>
        </w:rPr>
        <w:t xml:space="preserve"> </w:t>
      </w:r>
      <w:r w:rsidRPr="000C3D88">
        <w:rPr>
          <w:rFonts w:cs="Arial"/>
          <w:snapToGrid/>
          <w:color w:val="auto"/>
          <w:szCs w:val="18"/>
          <w:lang w:eastAsia="zh-CN"/>
        </w:rPr>
        <w:t>65/2007/QD-BGDDT date 01/11/2007</w:t>
      </w:r>
      <w:r>
        <w:rPr>
          <w:rFonts w:cs="Arial"/>
          <w:snapToGrid/>
          <w:color w:val="auto"/>
          <w:szCs w:val="18"/>
          <w:lang w:eastAsia="zh-CN"/>
        </w:rPr>
        <w:t>.</w:t>
      </w:r>
    </w:p>
  </w:footnote>
  <w:footnote w:id="43">
    <w:p w:rsidR="00B545F7" w:rsidRPr="006B3E78" w:rsidRDefault="00B545F7" w:rsidP="00F167A8">
      <w:pPr>
        <w:jc w:val="both"/>
        <w:rPr>
          <w:rFonts w:ascii="Arial" w:hAnsi="Arial" w:cs="Arial"/>
          <w:snapToGrid w:val="0"/>
          <w:color w:val="000000"/>
          <w:sz w:val="18"/>
          <w:szCs w:val="18"/>
          <w:lang w:eastAsia="en-US"/>
        </w:rPr>
      </w:pPr>
      <w:r w:rsidRPr="00FD6EB5">
        <w:rPr>
          <w:rStyle w:val="FootnoteReference"/>
          <w:rFonts w:eastAsia="MS Mincho" w:cs="Arial"/>
          <w:sz w:val="18"/>
          <w:szCs w:val="18"/>
        </w:rPr>
        <w:footnoteRef/>
      </w:r>
      <w:r w:rsidRPr="006B3E78">
        <w:rPr>
          <w:rFonts w:ascii="Arial" w:hAnsi="Arial" w:cs="Arial"/>
          <w:sz w:val="18"/>
          <w:szCs w:val="18"/>
        </w:rPr>
        <w:t xml:space="preserve"> </w:t>
      </w:r>
      <w:r w:rsidRPr="000C3D88">
        <w:rPr>
          <w:rFonts w:ascii="Arial" w:hAnsi="Arial"/>
          <w:snapToGrid w:val="0"/>
          <w:color w:val="000000"/>
          <w:sz w:val="18"/>
          <w:lang w:eastAsia="en-US"/>
        </w:rPr>
        <w:t>Thai Binh Medical University; Hue University of Medicine and Pharmacy; HCMC University of Medicine and Pharmacy; Can Tho University of M</w:t>
      </w:r>
      <w:r>
        <w:rPr>
          <w:rFonts w:ascii="Arial" w:hAnsi="Arial"/>
          <w:snapToGrid w:val="0"/>
          <w:color w:val="000000"/>
          <w:sz w:val="18"/>
          <w:lang w:eastAsia="en-US"/>
        </w:rPr>
        <w:t>edicine and Pharmacy. Thai Nguye</w:t>
      </w:r>
      <w:r w:rsidRPr="000C3D88">
        <w:rPr>
          <w:rFonts w:ascii="Arial" w:hAnsi="Arial"/>
          <w:snapToGrid w:val="0"/>
          <w:color w:val="000000"/>
          <w:sz w:val="18"/>
          <w:lang w:eastAsia="en-US"/>
        </w:rPr>
        <w:t>n University of Medicine and Pharmacy, Nam Dinh University of Nursing, Hai Phong University of Medicine and Pharmacy, Ha Noi Medical University, Pham Ngoc Thach University of Medicine.</w:t>
      </w:r>
    </w:p>
  </w:footnote>
  <w:footnote w:id="44">
    <w:p w:rsidR="00B545F7" w:rsidRPr="001501FD" w:rsidRDefault="00B545F7" w:rsidP="00F167A8">
      <w:pPr>
        <w:pStyle w:val="FootnoteText"/>
        <w:rPr>
          <w:rFonts w:cs="Arial"/>
          <w:szCs w:val="18"/>
        </w:rPr>
      </w:pPr>
      <w:r w:rsidRPr="00FD6EB5">
        <w:rPr>
          <w:rStyle w:val="FootnoteReference"/>
          <w:rFonts w:eastAsia="MS Mincho" w:cs="Arial"/>
          <w:sz w:val="18"/>
          <w:szCs w:val="18"/>
        </w:rPr>
        <w:footnoteRef/>
      </w:r>
      <w:r w:rsidRPr="001501FD">
        <w:rPr>
          <w:rFonts w:cs="Arial"/>
          <w:szCs w:val="18"/>
        </w:rPr>
        <w:t xml:space="preserve"> HHRSDP. </w:t>
      </w:r>
      <w:r>
        <w:rPr>
          <w:rFonts w:cs="Arial"/>
          <w:i/>
          <w:szCs w:val="18"/>
        </w:rPr>
        <w:t>Report on Result of Survey on Quality of Medical Universities and Nursing Schools</w:t>
      </w:r>
      <w:r w:rsidRPr="001501FD">
        <w:rPr>
          <w:rFonts w:cs="Arial"/>
          <w:szCs w:val="18"/>
        </w:rPr>
        <w:t>, Ha Noi 2013</w:t>
      </w:r>
    </w:p>
  </w:footnote>
  <w:footnote w:id="45">
    <w:p w:rsidR="00B545F7" w:rsidRPr="001501FD" w:rsidRDefault="00B545F7" w:rsidP="00F167A8">
      <w:pPr>
        <w:pStyle w:val="FootnoteText"/>
        <w:rPr>
          <w:rFonts w:cs="Arial"/>
          <w:szCs w:val="18"/>
        </w:rPr>
      </w:pPr>
      <w:r w:rsidRPr="00FD6EB5">
        <w:rPr>
          <w:rStyle w:val="FootnoteReference"/>
          <w:rFonts w:eastAsia="MS Mincho" w:cs="Arial"/>
          <w:sz w:val="18"/>
          <w:szCs w:val="18"/>
        </w:rPr>
        <w:footnoteRef/>
      </w:r>
      <w:r w:rsidRPr="001501FD">
        <w:rPr>
          <w:rFonts w:cs="Arial"/>
          <w:szCs w:val="18"/>
        </w:rPr>
        <w:t xml:space="preserve"> HHRSDP. </w:t>
      </w:r>
      <w:r>
        <w:rPr>
          <w:rFonts w:cs="Arial"/>
          <w:i/>
          <w:szCs w:val="18"/>
        </w:rPr>
        <w:t>Report on the Results of Building and Piloting a Set of tools for education quality assessment in Medical Universities</w:t>
      </w:r>
      <w:r w:rsidRPr="001501FD">
        <w:rPr>
          <w:rFonts w:cs="Arial"/>
          <w:i/>
          <w:szCs w:val="18"/>
        </w:rPr>
        <w:t xml:space="preserve">, </w:t>
      </w:r>
      <w:r w:rsidRPr="001501FD">
        <w:rPr>
          <w:rFonts w:cs="Arial"/>
          <w:szCs w:val="18"/>
        </w:rPr>
        <w:t>Ha Noi 2014</w:t>
      </w:r>
      <w:r>
        <w:rPr>
          <w:rFonts w:cs="Arial"/>
          <w:szCs w:val="18"/>
        </w:rPr>
        <w:t>.</w:t>
      </w:r>
    </w:p>
  </w:footnote>
  <w:footnote w:id="46">
    <w:p w:rsidR="00B545F7" w:rsidRPr="005804BD" w:rsidRDefault="00B545F7" w:rsidP="00F167A8">
      <w:pPr>
        <w:jc w:val="both"/>
        <w:rPr>
          <w:rFonts w:ascii="Arial" w:hAnsi="Arial"/>
          <w:snapToGrid w:val="0"/>
          <w:color w:val="000000"/>
          <w:sz w:val="18"/>
          <w:lang w:eastAsia="en-US"/>
        </w:rPr>
      </w:pPr>
      <w:r w:rsidRPr="00FD6EB5">
        <w:rPr>
          <w:rStyle w:val="FootnoteReference"/>
          <w:rFonts w:eastAsia="MS Mincho" w:cs="Arial"/>
          <w:sz w:val="18"/>
          <w:szCs w:val="18"/>
        </w:rPr>
        <w:footnoteRef/>
      </w:r>
      <w:r w:rsidRPr="001501FD">
        <w:rPr>
          <w:rFonts w:ascii="Arial" w:hAnsi="Arial" w:cs="Arial"/>
          <w:sz w:val="18"/>
          <w:szCs w:val="18"/>
        </w:rPr>
        <w:t xml:space="preserve"> </w:t>
      </w:r>
      <w:r w:rsidRPr="00102A42">
        <w:rPr>
          <w:rFonts w:ascii="Arial" w:hAnsi="Arial"/>
          <w:snapToGrid w:val="0"/>
          <w:color w:val="000000"/>
          <w:sz w:val="18"/>
          <w:lang w:eastAsia="en-US"/>
        </w:rPr>
        <w:t>Thai Binh Medical University; Hue University of Medicine and Pharmacy; HCMC University of Medicine and Pharmacy; Can Tho University of Medicine and Pharmacy.</w:t>
      </w:r>
    </w:p>
  </w:footnote>
  <w:footnote w:id="47">
    <w:p w:rsidR="00B545F7" w:rsidRPr="00FD6EB5" w:rsidRDefault="00B545F7" w:rsidP="00F167A8">
      <w:pPr>
        <w:widowControl w:val="0"/>
        <w:tabs>
          <w:tab w:val="left" w:pos="220"/>
          <w:tab w:val="left" w:pos="720"/>
        </w:tabs>
        <w:autoSpaceDE w:val="0"/>
        <w:autoSpaceDN w:val="0"/>
        <w:adjustRightInd w:val="0"/>
        <w:rPr>
          <w:rFonts w:ascii="Arial" w:eastAsia="MS Mincho" w:hAnsi="Arial" w:cs="Arial"/>
          <w:sz w:val="18"/>
          <w:szCs w:val="18"/>
          <w:lang w:eastAsia="en-US"/>
        </w:rPr>
      </w:pPr>
      <w:r w:rsidRPr="00FD6EB5">
        <w:rPr>
          <w:rStyle w:val="FootnoteReference"/>
          <w:rFonts w:eastAsia="MS Mincho"/>
          <w:sz w:val="18"/>
          <w:szCs w:val="18"/>
        </w:rPr>
        <w:footnoteRef/>
      </w:r>
      <w:r w:rsidRPr="001501FD">
        <w:rPr>
          <w:sz w:val="18"/>
          <w:szCs w:val="18"/>
        </w:rPr>
        <w:t xml:space="preserve"> </w:t>
      </w:r>
      <w:r w:rsidRPr="00FD6EB5">
        <w:rPr>
          <w:rFonts w:ascii="Arial" w:eastAsia="MS Mincho" w:hAnsi="Arial" w:cs="Arial"/>
          <w:sz w:val="18"/>
          <w:szCs w:val="18"/>
          <w:lang w:eastAsia="en-US"/>
        </w:rPr>
        <w:t xml:space="preserve">AUN standards: 42.86% fully matched, 28.57 were partially matched and 28.57% were unmatched. </w:t>
      </w:r>
    </w:p>
  </w:footnote>
  <w:footnote w:id="48">
    <w:p w:rsidR="00B545F7" w:rsidRPr="00FD6EB5" w:rsidRDefault="00B545F7" w:rsidP="00F167A8">
      <w:pPr>
        <w:widowControl w:val="0"/>
        <w:tabs>
          <w:tab w:val="left" w:pos="220"/>
          <w:tab w:val="left" w:pos="720"/>
        </w:tabs>
        <w:autoSpaceDE w:val="0"/>
        <w:autoSpaceDN w:val="0"/>
        <w:adjustRightInd w:val="0"/>
        <w:rPr>
          <w:rFonts w:ascii="Arial" w:eastAsia="MS Mincho" w:hAnsi="Arial" w:cs="Arial"/>
          <w:sz w:val="18"/>
          <w:szCs w:val="18"/>
          <w:lang w:eastAsia="en-US"/>
        </w:rPr>
      </w:pPr>
      <w:r w:rsidRPr="00FD6EB5">
        <w:rPr>
          <w:rStyle w:val="FootnoteReference"/>
          <w:rFonts w:eastAsia="MS Mincho"/>
          <w:sz w:val="18"/>
          <w:szCs w:val="18"/>
        </w:rPr>
        <w:footnoteRef/>
      </w:r>
      <w:r w:rsidRPr="001501FD">
        <w:rPr>
          <w:sz w:val="18"/>
          <w:szCs w:val="18"/>
        </w:rPr>
        <w:t xml:space="preserve"> </w:t>
      </w:r>
      <w:r w:rsidRPr="00FD6EB5">
        <w:rPr>
          <w:rFonts w:ascii="Arial" w:eastAsia="MS Mincho" w:hAnsi="Arial" w:cs="Arial"/>
          <w:sz w:val="18"/>
          <w:szCs w:val="18"/>
          <w:lang w:eastAsia="en-US"/>
        </w:rPr>
        <w:t xml:space="preserve">WFME medical program standards: 27% fully matched, 43% partially matched and only 30% not matched. </w:t>
      </w:r>
    </w:p>
  </w:footnote>
  <w:footnote w:id="49">
    <w:p w:rsidR="00B545F7" w:rsidRDefault="00B545F7" w:rsidP="00F167A8">
      <w:pPr>
        <w:pStyle w:val="FootnoteText"/>
      </w:pPr>
      <w:r w:rsidRPr="00FD6EB5">
        <w:rPr>
          <w:rStyle w:val="FootnoteReference"/>
          <w:rFonts w:eastAsia="MS Mincho"/>
        </w:rPr>
        <w:footnoteRef/>
      </w:r>
      <w:r>
        <w:t xml:space="preserve"> This was the maximum scholarship amount set by PMU. The actual amount, up to this threshold, is determined by each PIU.</w:t>
      </w:r>
    </w:p>
  </w:footnote>
  <w:footnote w:id="50">
    <w:p w:rsidR="00B545F7" w:rsidRPr="001501FD" w:rsidRDefault="00B545F7" w:rsidP="00F167A8">
      <w:pPr>
        <w:pStyle w:val="FootnoteText"/>
        <w:rPr>
          <w:szCs w:val="18"/>
        </w:rPr>
      </w:pPr>
      <w:r w:rsidRPr="00FD6EB5">
        <w:rPr>
          <w:rStyle w:val="FootnoteReference"/>
          <w:rFonts w:eastAsia="MS Mincho"/>
          <w:sz w:val="18"/>
          <w:szCs w:val="18"/>
        </w:rPr>
        <w:footnoteRef/>
      </w:r>
      <w:r w:rsidRPr="001501FD">
        <w:rPr>
          <w:szCs w:val="18"/>
        </w:rPr>
        <w:t xml:space="preserve"> Stakeholders from Hue University of Medicine and Pharmacy highlighted the prioritization of scholarships to EM health workers as an example of strengthening the </w:t>
      </w:r>
      <w:r w:rsidRPr="001501FD">
        <w:rPr>
          <w:rFonts w:cs="Arial"/>
          <w:szCs w:val="18"/>
        </w:rPr>
        <w:t>special entry programs for EM students.</w:t>
      </w:r>
    </w:p>
  </w:footnote>
  <w:footnote w:id="51">
    <w:p w:rsidR="00B545F7" w:rsidRDefault="00B545F7" w:rsidP="00F167A8">
      <w:pPr>
        <w:pStyle w:val="FootnoteText"/>
      </w:pPr>
      <w:r w:rsidRPr="00FD6EB5">
        <w:rPr>
          <w:rStyle w:val="FootnoteReference"/>
          <w:rFonts w:eastAsia="MS Mincho"/>
          <w:sz w:val="18"/>
          <w:szCs w:val="18"/>
        </w:rPr>
        <w:footnoteRef/>
      </w:r>
      <w:r w:rsidRPr="001501FD">
        <w:rPr>
          <w:szCs w:val="18"/>
        </w:rPr>
        <w:t xml:space="preserve"> Developed by Tay Nguyen</w:t>
      </w:r>
      <w:r>
        <w:rPr>
          <w:szCs w:val="18"/>
        </w:rPr>
        <w:t xml:space="preserve"> University</w:t>
      </w:r>
      <w:r w:rsidRPr="001501FD">
        <w:rPr>
          <w:szCs w:val="18"/>
        </w:rPr>
        <w:t xml:space="preserve"> Faculty of Medicine.</w:t>
      </w:r>
    </w:p>
  </w:footnote>
  <w:footnote w:id="52">
    <w:p w:rsidR="00B545F7" w:rsidRDefault="00B545F7" w:rsidP="00F167A8">
      <w:pPr>
        <w:pStyle w:val="FootnoteText"/>
      </w:pPr>
      <w:r w:rsidRPr="00FD6EB5">
        <w:rPr>
          <w:rStyle w:val="FootnoteReference"/>
          <w:rFonts w:eastAsia="MS Mincho"/>
        </w:rPr>
        <w:footnoteRef/>
      </w:r>
      <w:r>
        <w:t xml:space="preserve"> </w:t>
      </w:r>
      <w:r w:rsidRPr="001501FD">
        <w:rPr>
          <w:szCs w:val="18"/>
        </w:rPr>
        <w:t>HPTF take students on social practice requiring commune health staff to serve as instructors.</w:t>
      </w:r>
    </w:p>
  </w:footnote>
  <w:footnote w:id="53">
    <w:p w:rsidR="00B545F7" w:rsidRDefault="00B545F7" w:rsidP="00F167A8">
      <w:pPr>
        <w:pStyle w:val="FootnoteText"/>
      </w:pPr>
      <w:r w:rsidRPr="00FD6EB5">
        <w:rPr>
          <w:rStyle w:val="FootnoteReference"/>
          <w:rFonts w:eastAsia="MS Mincho"/>
        </w:rPr>
        <w:footnoteRef/>
      </w:r>
      <w:r>
        <w:t xml:space="preserve"> Aide Memoire. ADB Review Mission. May 18-22.</w:t>
      </w:r>
    </w:p>
  </w:footnote>
  <w:footnote w:id="54">
    <w:p w:rsidR="00B545F7" w:rsidRDefault="00B545F7" w:rsidP="00F167A8">
      <w:pPr>
        <w:pStyle w:val="FootnoteText"/>
      </w:pPr>
      <w:r w:rsidRPr="00FD6EB5">
        <w:rPr>
          <w:rStyle w:val="FootnoteReference"/>
          <w:rFonts w:eastAsia="MS Mincho"/>
        </w:rPr>
        <w:footnoteRef/>
      </w:r>
      <w:r>
        <w:t xml:space="preserve"> 2 Central hospitals, 11 provincial hospitals, and 21 district hospitals.</w:t>
      </w:r>
    </w:p>
  </w:footnote>
  <w:footnote w:id="55">
    <w:p w:rsidR="00B545F7" w:rsidRDefault="00B545F7" w:rsidP="0029752C">
      <w:pPr>
        <w:pStyle w:val="FootnoteText"/>
      </w:pPr>
      <w:r w:rsidRPr="00FD6EB5">
        <w:rPr>
          <w:rStyle w:val="FootnoteReference"/>
          <w:rFonts w:eastAsia="MS Mincho"/>
        </w:rPr>
        <w:footnoteRef/>
      </w:r>
      <w:r>
        <w:t xml:space="preserve"> In comparison with case types not following CP’s in treatment.</w:t>
      </w:r>
    </w:p>
  </w:footnote>
  <w:footnote w:id="56">
    <w:p w:rsidR="00B545F7" w:rsidRDefault="00B545F7" w:rsidP="0029752C">
      <w:pPr>
        <w:pStyle w:val="FootnoteText"/>
      </w:pPr>
      <w:r w:rsidRPr="00FD6EB5">
        <w:rPr>
          <w:rStyle w:val="FootnoteReference"/>
          <w:rFonts w:eastAsia="MS Mincho"/>
        </w:rPr>
        <w:footnoteRef/>
      </w:r>
      <w:r>
        <w:t xml:space="preserve"> Adequate data available for 24 case types.</w:t>
      </w:r>
    </w:p>
  </w:footnote>
  <w:footnote w:id="57">
    <w:p w:rsidR="00B545F7" w:rsidRDefault="00B545F7" w:rsidP="00F167A8">
      <w:pPr>
        <w:pStyle w:val="FootnoteText"/>
      </w:pPr>
      <w:r w:rsidRPr="00FD6EB5">
        <w:rPr>
          <w:rStyle w:val="FootnoteReference"/>
          <w:rFonts w:eastAsia="MS Mincho"/>
        </w:rPr>
        <w:footnoteRef/>
      </w:r>
      <w:r>
        <w:t xml:space="preserve"> Stakeholders cited as an example international review of the Quality Standard for the Hospital Management of Acute Stroke, developed in collaboration with the UK National Institute of Health Care and Excellence.</w:t>
      </w:r>
    </w:p>
  </w:footnote>
  <w:footnote w:id="58">
    <w:p w:rsidR="00B545F7" w:rsidRDefault="00B545F7" w:rsidP="00F167A8">
      <w:pPr>
        <w:pStyle w:val="FootnoteText"/>
      </w:pPr>
      <w:r w:rsidRPr="00FD6EB5">
        <w:rPr>
          <w:rStyle w:val="FootnoteReference"/>
          <w:rFonts w:eastAsia="MS Mincho"/>
        </w:rPr>
        <w:footnoteRef/>
      </w:r>
      <w:r>
        <w:t xml:space="preserve"> International Clinical Data/Statistical Specialist.</w:t>
      </w:r>
    </w:p>
  </w:footnote>
  <w:footnote w:id="59">
    <w:p w:rsidR="00B545F7" w:rsidRDefault="00B545F7" w:rsidP="00F167A8">
      <w:pPr>
        <w:pStyle w:val="FootnoteText"/>
      </w:pPr>
      <w:r w:rsidRPr="00FD6EB5">
        <w:rPr>
          <w:rStyle w:val="FootnoteReference"/>
          <w:rFonts w:eastAsia="MS Mincho"/>
        </w:rPr>
        <w:footnoteRef/>
      </w:r>
      <w:r w:rsidRPr="007273C2">
        <w:t xml:space="preserve"> </w:t>
      </w:r>
      <w:r>
        <w:t xml:space="preserve">Under phase 1 of the </w:t>
      </w:r>
      <w:r w:rsidRPr="007273C2">
        <w:rPr>
          <w:rFonts w:cs="Arial"/>
        </w:rPr>
        <w:t>Developing Better Health Initiative.</w:t>
      </w:r>
    </w:p>
  </w:footnote>
  <w:footnote w:id="60">
    <w:p w:rsidR="00B545F7" w:rsidRDefault="00B545F7">
      <w:pPr>
        <w:pStyle w:val="FootnoteText"/>
      </w:pPr>
      <w:r>
        <w:rPr>
          <w:rStyle w:val="FootnoteReference"/>
        </w:rPr>
        <w:footnoteRef/>
      </w:r>
      <w:r>
        <w:t xml:space="preserve"> AUD12 million equivalent.</w:t>
      </w:r>
    </w:p>
  </w:footnote>
  <w:footnote w:id="61">
    <w:p w:rsidR="00B545F7" w:rsidRDefault="00B545F7" w:rsidP="000A56CA">
      <w:pPr>
        <w:pStyle w:val="FootnoteText"/>
      </w:pPr>
      <w:r>
        <w:rPr>
          <w:rStyle w:val="FootnoteReference"/>
        </w:rPr>
        <w:footnoteRef/>
      </w:r>
      <w:r>
        <w:t xml:space="preserve"> 31 December 2014.</w:t>
      </w:r>
    </w:p>
  </w:footnote>
  <w:footnote w:id="62">
    <w:p w:rsidR="00B545F7" w:rsidRDefault="00B545F7" w:rsidP="000A56CA">
      <w:pPr>
        <w:pStyle w:val="FootnoteText"/>
      </w:pPr>
      <w:r>
        <w:rPr>
          <w:rStyle w:val="FootnoteReference"/>
        </w:rPr>
        <w:footnoteRef/>
      </w:r>
      <w:r>
        <w:t xml:space="preserve"> Aide Memoire, ADB Review Mission, 20 August – 2 September 2013.</w:t>
      </w:r>
    </w:p>
  </w:footnote>
  <w:footnote w:id="63">
    <w:p w:rsidR="00B545F7" w:rsidRDefault="00B545F7" w:rsidP="000A56CA">
      <w:pPr>
        <w:pStyle w:val="FootnoteText"/>
      </w:pPr>
      <w:r>
        <w:rPr>
          <w:rStyle w:val="FootnoteReference"/>
        </w:rPr>
        <w:footnoteRef/>
      </w:r>
      <w:r>
        <w:t xml:space="preserve"> This included the allocation of 1.3m in grant funding resulting from exchange rate gains that was previously unallocated.</w:t>
      </w:r>
    </w:p>
  </w:footnote>
  <w:footnote w:id="64">
    <w:p w:rsidR="00B545F7" w:rsidRDefault="00B545F7" w:rsidP="000A56CA">
      <w:pPr>
        <w:pStyle w:val="FootnoteText"/>
      </w:pPr>
      <w:r>
        <w:rPr>
          <w:rStyle w:val="FootnoteReference"/>
        </w:rPr>
        <w:footnoteRef/>
      </w:r>
      <w:r>
        <w:t xml:space="preserve"> Based on disbursement data at 15 May 2015.</w:t>
      </w:r>
    </w:p>
  </w:footnote>
  <w:footnote w:id="65">
    <w:p w:rsidR="00B545F7" w:rsidRDefault="00B545F7" w:rsidP="000A56CA">
      <w:pPr>
        <w:pStyle w:val="FootnoteText"/>
      </w:pPr>
      <w:r>
        <w:rPr>
          <w:rStyle w:val="FootnoteReference"/>
        </w:rPr>
        <w:footnoteRef/>
      </w:r>
      <w:r>
        <w:t xml:space="preserve"> Aide Memoire, ADB Review Mission, 11 April – 25 April 2013.</w:t>
      </w:r>
    </w:p>
  </w:footnote>
  <w:footnote w:id="66">
    <w:p w:rsidR="00B545F7" w:rsidRDefault="00B545F7" w:rsidP="000A56CA">
      <w:pPr>
        <w:pStyle w:val="FootnoteText"/>
      </w:pPr>
      <w:r>
        <w:rPr>
          <w:rStyle w:val="FootnoteReference"/>
        </w:rPr>
        <w:footnoteRef/>
      </w:r>
      <w:r>
        <w:t xml:space="preserve"> Aide Memoire, ADB Review Mission, 18 May – 22 May 2015.</w:t>
      </w:r>
    </w:p>
  </w:footnote>
  <w:footnote w:id="67">
    <w:p w:rsidR="00B545F7" w:rsidRDefault="00B545F7" w:rsidP="000A56CA">
      <w:pPr>
        <w:pStyle w:val="FootnoteText"/>
      </w:pPr>
      <w:r>
        <w:rPr>
          <w:rStyle w:val="FootnoteReference"/>
        </w:rPr>
        <w:footnoteRef/>
      </w:r>
      <w:r>
        <w:t xml:space="preserve"> Decision</w:t>
      </w:r>
      <w:r w:rsidRPr="00911E44">
        <w:t xml:space="preserve"> </w:t>
      </w:r>
      <w:r w:rsidRPr="009F26E0">
        <w:t>1338/QD-BYT</w:t>
      </w:r>
      <w:r w:rsidRPr="00911E44">
        <w:t xml:space="preserve"> 22 April 2010</w:t>
      </w:r>
      <w:r>
        <w:t>.</w:t>
      </w:r>
    </w:p>
  </w:footnote>
  <w:footnote w:id="68">
    <w:p w:rsidR="00B545F7" w:rsidRDefault="00B545F7">
      <w:pPr>
        <w:pStyle w:val="FootnoteText"/>
      </w:pPr>
      <w:r>
        <w:rPr>
          <w:rStyle w:val="FootnoteReference"/>
        </w:rPr>
        <w:footnoteRef/>
      </w:r>
      <w:r>
        <w:t xml:space="preserve"> Aide Memoire, MTR Mission, 20 August – 2 September 2013.</w:t>
      </w:r>
    </w:p>
  </w:footnote>
  <w:footnote w:id="69">
    <w:p w:rsidR="00B545F7" w:rsidRDefault="00B545F7" w:rsidP="000A56CA">
      <w:pPr>
        <w:pStyle w:val="FootnoteText"/>
      </w:pPr>
      <w:r>
        <w:rPr>
          <w:rStyle w:val="FootnoteReference"/>
        </w:rPr>
        <w:footnoteRef/>
      </w:r>
      <w:r>
        <w:t xml:space="preserve"> Inputs at implementation </w:t>
      </w:r>
      <w:r w:rsidRPr="009E4607">
        <w:rPr>
          <w:color w:val="auto"/>
        </w:rPr>
        <w:t>are</w:t>
      </w:r>
      <w:r>
        <w:t xml:space="preserve"> based on the most recent Procurement Plan and Consultant Input Roster contained in the PAM dated 24 March 2015.</w:t>
      </w:r>
    </w:p>
  </w:footnote>
  <w:footnote w:id="70">
    <w:p w:rsidR="00B545F7" w:rsidRDefault="00B545F7" w:rsidP="000A56CA">
      <w:pPr>
        <w:pStyle w:val="FootnoteText"/>
      </w:pPr>
      <w:r>
        <w:rPr>
          <w:rStyle w:val="FootnoteReference"/>
        </w:rPr>
        <w:footnoteRef/>
      </w:r>
      <w:r>
        <w:t xml:space="preserve"> Inputs at inception are based on the Procurement Plan and Consultant Input Roster contained in the PAM dated 13 October 2011.</w:t>
      </w:r>
    </w:p>
  </w:footnote>
  <w:footnote w:id="71">
    <w:p w:rsidR="00B545F7" w:rsidRDefault="00B545F7" w:rsidP="000A56CA">
      <w:pPr>
        <w:pStyle w:val="FootnoteText"/>
      </w:pPr>
      <w:r>
        <w:rPr>
          <w:rStyle w:val="FootnoteReference"/>
        </w:rPr>
        <w:footnoteRef/>
      </w:r>
      <w:r>
        <w:t xml:space="preserve"> </w:t>
      </w:r>
      <w:r w:rsidRPr="004D1BAE">
        <w:rPr>
          <w:rFonts w:cs="Arial"/>
          <w:color w:val="auto"/>
          <w:szCs w:val="18"/>
        </w:rPr>
        <w:t>International HR Development Specialist – Support Joint Committee and National HR Unit: HR Planning, Policy Development and Management Activities</w:t>
      </w:r>
      <w:r>
        <w:rPr>
          <w:rFonts w:cs="Arial"/>
          <w:color w:val="auto"/>
          <w:szCs w:val="18"/>
        </w:rPr>
        <w:t>.</w:t>
      </w:r>
    </w:p>
  </w:footnote>
  <w:footnote w:id="72">
    <w:p w:rsidR="00B545F7" w:rsidRDefault="00B545F7" w:rsidP="000A56CA">
      <w:pPr>
        <w:pStyle w:val="FootnoteText"/>
      </w:pPr>
      <w:r>
        <w:rPr>
          <w:rStyle w:val="FootnoteReference"/>
        </w:rPr>
        <w:footnoteRef/>
      </w:r>
      <w:r>
        <w:t xml:space="preserve"> </w:t>
      </w:r>
      <w:r w:rsidRPr="004D1BAE">
        <w:rPr>
          <w:rFonts w:cs="Arial"/>
          <w:color w:val="auto"/>
          <w:szCs w:val="18"/>
        </w:rPr>
        <w:t>International HR Development Specialist – Support DMSA: Implementation of Legislation on Examination and Treatment</w:t>
      </w:r>
      <w:r>
        <w:rPr>
          <w:rFonts w:cs="Arial"/>
          <w:color w:val="auto"/>
          <w:szCs w:val="18"/>
        </w:rPr>
        <w:t>.</w:t>
      </w:r>
    </w:p>
  </w:footnote>
  <w:footnote w:id="73">
    <w:p w:rsidR="00B545F7" w:rsidRDefault="00B545F7" w:rsidP="000A56CA">
      <w:pPr>
        <w:pStyle w:val="FootnoteText"/>
      </w:pPr>
      <w:r>
        <w:rPr>
          <w:rStyle w:val="FootnoteReference"/>
        </w:rPr>
        <w:footnoteRef/>
      </w:r>
      <w:r w:rsidRPr="004D1BAE">
        <w:rPr>
          <w:rFonts w:cs="Arial"/>
          <w:color w:val="auto"/>
          <w:szCs w:val="18"/>
        </w:rPr>
        <w:t>International HR Development Specialist – Support Health Professional Training Facilities: Development of HR Planning and Management Capacity</w:t>
      </w:r>
      <w:r>
        <w:rPr>
          <w:rFonts w:cs="Arial"/>
          <w:color w:val="auto"/>
          <w:szCs w:val="18"/>
        </w:rPr>
        <w:t>.</w:t>
      </w:r>
    </w:p>
  </w:footnote>
  <w:footnote w:id="74">
    <w:p w:rsidR="00B545F7" w:rsidRDefault="00B545F7" w:rsidP="000A56CA">
      <w:pPr>
        <w:pStyle w:val="FootnoteText"/>
      </w:pPr>
      <w:r>
        <w:rPr>
          <w:rStyle w:val="FootnoteReference"/>
        </w:rPr>
        <w:footnoteRef/>
      </w:r>
      <w:r>
        <w:t xml:space="preserve"> </w:t>
      </w:r>
      <w:r w:rsidRPr="00DF4D26">
        <w:rPr>
          <w:rFonts w:cs="Arial"/>
          <w:color w:val="auto"/>
          <w:szCs w:val="18"/>
        </w:rPr>
        <w:t xml:space="preserve">The reduction was due primarily to the non-recruitment of </w:t>
      </w:r>
      <w:r>
        <w:rPr>
          <w:rFonts w:cs="Arial"/>
          <w:color w:val="auto"/>
          <w:szCs w:val="18"/>
        </w:rPr>
        <w:t>three</w:t>
      </w:r>
      <w:r w:rsidRPr="00DF4D26">
        <w:rPr>
          <w:rFonts w:cs="Arial"/>
          <w:color w:val="auto"/>
          <w:szCs w:val="18"/>
        </w:rPr>
        <w:t xml:space="preserve"> training specialist positions under component 2 and the reduction in inputs for </w:t>
      </w:r>
      <w:r>
        <w:rPr>
          <w:rFonts w:cs="Arial"/>
          <w:color w:val="auto"/>
          <w:szCs w:val="18"/>
        </w:rPr>
        <w:t>three</w:t>
      </w:r>
      <w:r w:rsidRPr="00DF4D26">
        <w:rPr>
          <w:rFonts w:cs="Arial"/>
          <w:color w:val="auto"/>
          <w:szCs w:val="18"/>
        </w:rPr>
        <w:t xml:space="preserve"> casemix specialists under component 3.</w:t>
      </w:r>
      <w:r>
        <w:rPr>
          <w:rFonts w:cs="Arial"/>
          <w:sz w:val="20"/>
        </w:rPr>
        <w:t xml:space="preserve">   </w:t>
      </w:r>
    </w:p>
  </w:footnote>
  <w:footnote w:id="75">
    <w:p w:rsidR="00B545F7" w:rsidRDefault="00B545F7">
      <w:pPr>
        <w:pStyle w:val="FootnoteText"/>
      </w:pPr>
      <w:r>
        <w:rPr>
          <w:rStyle w:val="FootnoteReference"/>
        </w:rPr>
        <w:footnoteRef/>
      </w:r>
      <w:r>
        <w:t xml:space="preserve"> </w:t>
      </w:r>
      <w:r>
        <w:rPr>
          <w:rFonts w:cs="Arial"/>
        </w:rPr>
        <w:t>R</w:t>
      </w:r>
      <w:r w:rsidRPr="00D33652">
        <w:rPr>
          <w:rFonts w:cs="Arial"/>
        </w:rPr>
        <w:t xml:space="preserve">eview and issuance of </w:t>
      </w:r>
      <w:r>
        <w:rPr>
          <w:rFonts w:cs="Arial"/>
        </w:rPr>
        <w:t xml:space="preserve">a </w:t>
      </w:r>
      <w:r w:rsidRPr="00D33652">
        <w:rPr>
          <w:rFonts w:cs="Arial"/>
        </w:rPr>
        <w:t>no objection</w:t>
      </w:r>
      <w:r>
        <w:rPr>
          <w:rFonts w:cs="Arial"/>
        </w:rPr>
        <w:t xml:space="preserve"> letter</w:t>
      </w:r>
      <w:r w:rsidRPr="00D33652">
        <w:rPr>
          <w:rFonts w:cs="Arial"/>
        </w:rPr>
        <w:t xml:space="preserve"> by ADB prior to final approval by MoH</w:t>
      </w:r>
      <w:r>
        <w:rPr>
          <w:rFonts w:cs="Arial"/>
        </w:rPr>
        <w:t>.</w:t>
      </w:r>
    </w:p>
  </w:footnote>
  <w:footnote w:id="76">
    <w:p w:rsidR="00B545F7" w:rsidRDefault="00B545F7" w:rsidP="00BC1520">
      <w:pPr>
        <w:pStyle w:val="FootnoteText"/>
      </w:pPr>
      <w:r>
        <w:rPr>
          <w:rStyle w:val="FootnoteReference"/>
        </w:rPr>
        <w:footnoteRef/>
      </w:r>
      <w:r>
        <w:t xml:space="preserve"> Procurement Plan October 2011.</w:t>
      </w:r>
    </w:p>
  </w:footnote>
  <w:footnote w:id="77">
    <w:p w:rsidR="00B545F7" w:rsidRDefault="00B545F7" w:rsidP="00BC1520">
      <w:pPr>
        <w:pStyle w:val="FootnoteText"/>
      </w:pPr>
      <w:r>
        <w:rPr>
          <w:rStyle w:val="FootnoteReference"/>
        </w:rPr>
        <w:footnoteRef/>
      </w:r>
      <w:r>
        <w:t xml:space="preserve"> Procurement Plan 04 July 2014.</w:t>
      </w:r>
    </w:p>
  </w:footnote>
  <w:footnote w:id="78">
    <w:p w:rsidR="00B545F7" w:rsidRDefault="00B545F7" w:rsidP="00BC1520">
      <w:pPr>
        <w:pStyle w:val="FootnoteText"/>
      </w:pPr>
      <w:r>
        <w:rPr>
          <w:rStyle w:val="FootnoteReference"/>
        </w:rPr>
        <w:footnoteRef/>
      </w:r>
      <w:r>
        <w:t xml:space="preserve"> </w:t>
      </w:r>
      <w:r w:rsidRPr="00C90F49">
        <w:rPr>
          <w:szCs w:val="18"/>
        </w:rPr>
        <w:t xml:space="preserve">Comprising </w:t>
      </w:r>
      <w:r w:rsidRPr="00C90F49">
        <w:rPr>
          <w:rFonts w:cs="Arial"/>
          <w:szCs w:val="18"/>
        </w:rPr>
        <w:t>6 months</w:t>
      </w:r>
      <w:r>
        <w:rPr>
          <w:rFonts w:cs="Arial"/>
          <w:szCs w:val="18"/>
        </w:rPr>
        <w:t xml:space="preserve"> for</w:t>
      </w:r>
      <w:r w:rsidRPr="00C90F49">
        <w:rPr>
          <w:rFonts w:cs="Arial"/>
          <w:szCs w:val="18"/>
        </w:rPr>
        <w:t xml:space="preserve"> </w:t>
      </w:r>
      <w:r>
        <w:rPr>
          <w:rFonts w:cs="Arial"/>
          <w:szCs w:val="18"/>
        </w:rPr>
        <w:t>MoH’s review and approval of</w:t>
      </w:r>
      <w:r w:rsidRPr="00C90F49">
        <w:rPr>
          <w:rFonts w:cs="Arial"/>
          <w:szCs w:val="18"/>
        </w:rPr>
        <w:t xml:space="preserve"> </w:t>
      </w:r>
      <w:r>
        <w:rPr>
          <w:rFonts w:cs="Arial"/>
          <w:szCs w:val="18"/>
        </w:rPr>
        <w:t>bidding results</w:t>
      </w:r>
      <w:r w:rsidRPr="00C90F49">
        <w:rPr>
          <w:rFonts w:cs="Arial"/>
          <w:szCs w:val="18"/>
        </w:rPr>
        <w:t xml:space="preserve"> and 4-5 months for contract execution including hand-over, acceptance and contract liquidation.</w:t>
      </w:r>
    </w:p>
  </w:footnote>
  <w:footnote w:id="79">
    <w:p w:rsidR="00B545F7" w:rsidRDefault="00B545F7" w:rsidP="00BC1520">
      <w:pPr>
        <w:pStyle w:val="FootnoteText"/>
      </w:pPr>
      <w:r>
        <w:rPr>
          <w:rStyle w:val="FootnoteReference"/>
        </w:rPr>
        <w:footnoteRef/>
      </w:r>
      <w:r>
        <w:t xml:space="preserve"> </w:t>
      </w:r>
      <w:r w:rsidRPr="001246D3">
        <w:rPr>
          <w:rFonts w:cs="Arial"/>
          <w:szCs w:val="18"/>
        </w:rPr>
        <w:t xml:space="preserve">The Project organizes bidding in batches. </w:t>
      </w:r>
      <w:r>
        <w:rPr>
          <w:rFonts w:cs="Arial"/>
          <w:szCs w:val="18"/>
        </w:rPr>
        <w:t>Consequently</w:t>
      </w:r>
      <w:r w:rsidRPr="001246D3">
        <w:rPr>
          <w:rFonts w:cs="Arial"/>
          <w:szCs w:val="18"/>
        </w:rPr>
        <w:t xml:space="preserve"> </w:t>
      </w:r>
      <w:r>
        <w:rPr>
          <w:rFonts w:cs="Arial"/>
          <w:szCs w:val="18"/>
        </w:rPr>
        <w:t xml:space="preserve">a </w:t>
      </w:r>
      <w:r w:rsidRPr="001246D3">
        <w:rPr>
          <w:rFonts w:cs="Arial"/>
          <w:szCs w:val="18"/>
        </w:rPr>
        <w:t>delay in any single step</w:t>
      </w:r>
      <w:r>
        <w:rPr>
          <w:rFonts w:cs="Arial"/>
          <w:szCs w:val="18"/>
        </w:rPr>
        <w:t xml:space="preserve"> </w:t>
      </w:r>
      <w:r w:rsidRPr="001246D3">
        <w:rPr>
          <w:rFonts w:cs="Arial"/>
          <w:szCs w:val="18"/>
        </w:rPr>
        <w:t>dela</w:t>
      </w:r>
      <w:r>
        <w:rPr>
          <w:rFonts w:cs="Arial"/>
          <w:szCs w:val="18"/>
        </w:rPr>
        <w:t>ys</w:t>
      </w:r>
      <w:r w:rsidRPr="001246D3">
        <w:rPr>
          <w:rFonts w:cs="Arial"/>
          <w:szCs w:val="18"/>
        </w:rPr>
        <w:t xml:space="preserve"> the whole process</w:t>
      </w:r>
      <w:r>
        <w:rPr>
          <w:rFonts w:cs="Arial"/>
          <w:szCs w:val="18"/>
        </w:rPr>
        <w:t>.</w:t>
      </w:r>
    </w:p>
  </w:footnote>
  <w:footnote w:id="80">
    <w:p w:rsidR="00B545F7" w:rsidRDefault="00B545F7">
      <w:pPr>
        <w:pStyle w:val="FootnoteText"/>
      </w:pPr>
      <w:r>
        <w:rPr>
          <w:rStyle w:val="FootnoteReference"/>
        </w:rPr>
        <w:footnoteRef/>
      </w:r>
      <w:r>
        <w:t xml:space="preserve"> For example, the Health Care in the South Central Coast Region Project</w:t>
      </w:r>
    </w:p>
  </w:footnote>
  <w:footnote w:id="81">
    <w:p w:rsidR="00B545F7" w:rsidRDefault="00B545F7" w:rsidP="006A6E48">
      <w:pPr>
        <w:pStyle w:val="FootnoteText"/>
      </w:pPr>
      <w:r>
        <w:rPr>
          <w:rStyle w:val="FootnoteReference"/>
        </w:rPr>
        <w:footnoteRef/>
      </w:r>
      <w:r>
        <w:t xml:space="preserve"> Aide Memoire, ADB Review Mission, 11 April – 25 April 2013.</w:t>
      </w:r>
    </w:p>
  </w:footnote>
  <w:footnote w:id="82">
    <w:p w:rsidR="00B545F7" w:rsidRDefault="00B545F7" w:rsidP="00BC1520">
      <w:pPr>
        <w:pStyle w:val="FootnoteText"/>
      </w:pPr>
      <w:r>
        <w:rPr>
          <w:rStyle w:val="FootnoteReference"/>
        </w:rPr>
        <w:footnoteRef/>
      </w:r>
      <w:r>
        <w:t xml:space="preserve"> For example: (i) Preventive Health System Support Project; (ii) Health Care in the South Central Coast Region Project.</w:t>
      </w:r>
    </w:p>
  </w:footnote>
  <w:footnote w:id="83">
    <w:p w:rsidR="00B545F7" w:rsidRDefault="00B545F7" w:rsidP="00387208">
      <w:pPr>
        <w:pStyle w:val="FootnoteText"/>
      </w:pPr>
      <w:r>
        <w:rPr>
          <w:rStyle w:val="FootnoteReference"/>
        </w:rPr>
        <w:footnoteRef/>
      </w:r>
      <w:r>
        <w:t xml:space="preserve"> </w:t>
      </w:r>
      <w:r w:rsidRPr="002150CD">
        <w:rPr>
          <w:rFonts w:cs="Arial"/>
          <w:szCs w:val="18"/>
        </w:rPr>
        <w:t>This challenge is recognized by the Joint Annual Health Review</w:t>
      </w:r>
      <w:r>
        <w:rPr>
          <w:rFonts w:cs="Arial"/>
          <w:szCs w:val="18"/>
        </w:rPr>
        <w:t xml:space="preserve">. In the </w:t>
      </w:r>
      <w:r w:rsidRPr="002150CD">
        <w:rPr>
          <w:rFonts w:cs="Arial"/>
          <w:szCs w:val="18"/>
        </w:rPr>
        <w:t xml:space="preserve">annual assessment of </w:t>
      </w:r>
      <w:r>
        <w:rPr>
          <w:rFonts w:cs="Arial"/>
          <w:szCs w:val="18"/>
        </w:rPr>
        <w:t>Viet Nam</w:t>
      </w:r>
      <w:r w:rsidRPr="002150CD">
        <w:rPr>
          <w:rFonts w:cs="Arial"/>
          <w:szCs w:val="18"/>
        </w:rPr>
        <w:t xml:space="preserve">’s progress towards the MDGs, </w:t>
      </w:r>
      <w:r>
        <w:rPr>
          <w:rFonts w:cs="Arial"/>
          <w:szCs w:val="18"/>
        </w:rPr>
        <w:t>maternal mortality indicators have</w:t>
      </w:r>
      <w:r w:rsidRPr="002150CD">
        <w:rPr>
          <w:rFonts w:cs="Arial"/>
          <w:szCs w:val="18"/>
          <w:lang w:eastAsia="zh-CN"/>
        </w:rPr>
        <w:t xml:space="preserve"> </w:t>
      </w:r>
      <w:r w:rsidRPr="002150CD">
        <w:rPr>
          <w:rFonts w:cs="Arial"/>
          <w:szCs w:val="18"/>
        </w:rPr>
        <w:t>been</w:t>
      </w:r>
      <w:r w:rsidRPr="002150CD">
        <w:rPr>
          <w:rFonts w:cs="Arial"/>
          <w:szCs w:val="18"/>
          <w:lang w:eastAsia="zh-CN"/>
        </w:rPr>
        <w:t xml:space="preserve"> replaced by </w:t>
      </w:r>
      <w:r>
        <w:rPr>
          <w:rFonts w:cs="Arial"/>
          <w:szCs w:val="18"/>
          <w:lang w:eastAsia="zh-CN"/>
        </w:rPr>
        <w:t>indicators measuring ‘</w:t>
      </w:r>
      <w:r w:rsidRPr="002150CD">
        <w:rPr>
          <w:rFonts w:cs="Arial"/>
          <w:szCs w:val="18"/>
          <w:lang w:eastAsia="zh-CN"/>
        </w:rPr>
        <w:t>the proportion of women who received antenatal care consisting of at least 3 visits, one in each of the trimester of pregnancy</w:t>
      </w:r>
      <w:r>
        <w:rPr>
          <w:rFonts w:cs="Arial"/>
          <w:szCs w:val="18"/>
          <w:lang w:eastAsia="zh-CN"/>
        </w:rPr>
        <w:t>.’</w:t>
      </w:r>
    </w:p>
  </w:footnote>
  <w:footnote w:id="84">
    <w:p w:rsidR="00B545F7" w:rsidRDefault="00B545F7">
      <w:pPr>
        <w:pStyle w:val="FootnoteText"/>
      </w:pPr>
      <w:r>
        <w:rPr>
          <w:rStyle w:val="FootnoteReference"/>
        </w:rPr>
        <w:footnoteRef/>
      </w:r>
      <w:r>
        <w:t xml:space="preserve"> </w:t>
      </w:r>
      <w:r w:rsidRPr="006A03A7">
        <w:rPr>
          <w:rFonts w:cs="Arial"/>
        </w:rPr>
        <w:t xml:space="preserve">The </w:t>
      </w:r>
      <w:r>
        <w:rPr>
          <w:rFonts w:cs="Arial"/>
        </w:rPr>
        <w:t>Viet Nam</w:t>
      </w:r>
      <w:r w:rsidRPr="006A03A7">
        <w:rPr>
          <w:rFonts w:cs="Arial"/>
        </w:rPr>
        <w:t xml:space="preserve"> Health and Living Standards Survey is one data</w:t>
      </w:r>
      <w:r w:rsidRPr="0070784F">
        <w:rPr>
          <w:rFonts w:cs="Arial"/>
        </w:rPr>
        <w:t xml:space="preserve"> source, however the data set was not available to the ICE team.</w:t>
      </w:r>
    </w:p>
  </w:footnote>
  <w:footnote w:id="85">
    <w:p w:rsidR="00B545F7" w:rsidRDefault="00B545F7" w:rsidP="0029582D">
      <w:pPr>
        <w:pStyle w:val="FootnoteText"/>
      </w:pPr>
      <w:r>
        <w:rPr>
          <w:rStyle w:val="FootnoteReference"/>
        </w:rPr>
        <w:footnoteRef/>
      </w:r>
      <w:r>
        <w:t xml:space="preserve"> The </w:t>
      </w:r>
      <w:r>
        <w:rPr>
          <w:rFonts w:cs="Arial"/>
        </w:rPr>
        <w:t>World Bank funded Health Professional Education and Training for Health System Reforms Project.</w:t>
      </w:r>
    </w:p>
  </w:footnote>
  <w:footnote w:id="86">
    <w:p w:rsidR="00B545F7" w:rsidRDefault="00B545F7" w:rsidP="0029582D">
      <w:pPr>
        <w:pStyle w:val="FootnoteText"/>
      </w:pPr>
      <w:r>
        <w:rPr>
          <w:rStyle w:val="FootnoteReference"/>
        </w:rPr>
        <w:footnoteRef/>
      </w:r>
      <w:r>
        <w:t xml:space="preserve"> </w:t>
      </w:r>
      <w:r>
        <w:rPr>
          <w:rFonts w:cs="Arial"/>
          <w:szCs w:val="18"/>
        </w:rPr>
        <w:t xml:space="preserve">HHRSDP. </w:t>
      </w:r>
      <w:r>
        <w:rPr>
          <w:rFonts w:cs="Arial"/>
          <w:i/>
          <w:szCs w:val="18"/>
        </w:rPr>
        <w:t>Monitoring and Evaluation Report</w:t>
      </w:r>
      <w:r>
        <w:rPr>
          <w:rFonts w:cs="Arial"/>
          <w:szCs w:val="18"/>
        </w:rPr>
        <w:t>. January 2015.</w:t>
      </w:r>
    </w:p>
  </w:footnote>
  <w:footnote w:id="87">
    <w:p w:rsidR="00B545F7" w:rsidRDefault="00B545F7" w:rsidP="0029582D">
      <w:pPr>
        <w:pStyle w:val="FootnoteText"/>
      </w:pPr>
      <w:r>
        <w:rPr>
          <w:rStyle w:val="FootnoteReference"/>
        </w:rPr>
        <w:footnoteRef/>
      </w:r>
      <w:r>
        <w:t xml:space="preserve"> Data was unavailable for Hai Phong Medical and Pharmacy University.</w:t>
      </w:r>
    </w:p>
  </w:footnote>
  <w:footnote w:id="88">
    <w:p w:rsidR="00B545F7" w:rsidRDefault="00B545F7" w:rsidP="0029582D">
      <w:pPr>
        <w:pStyle w:val="FootnoteText"/>
      </w:pPr>
      <w:r>
        <w:rPr>
          <w:rStyle w:val="FootnoteReference"/>
        </w:rPr>
        <w:footnoteRef/>
      </w:r>
      <w:r>
        <w:t xml:space="preserve"> Equipment for Hue University of Medicine and Pharmacy was procured through the program loan.</w:t>
      </w:r>
    </w:p>
  </w:footnote>
  <w:footnote w:id="89">
    <w:p w:rsidR="00B545F7" w:rsidRDefault="00B545F7" w:rsidP="0029582D">
      <w:pPr>
        <w:pStyle w:val="FootnoteText"/>
      </w:pPr>
      <w:r>
        <w:rPr>
          <w:rStyle w:val="FootnoteReference"/>
        </w:rPr>
        <w:footnoteRef/>
      </w:r>
      <w:r>
        <w:t xml:space="preserve"> To the date of loan closing on 30 June 2016.</w:t>
      </w:r>
    </w:p>
  </w:footnote>
  <w:footnote w:id="90">
    <w:p w:rsidR="00B545F7" w:rsidRPr="007C5C4B" w:rsidRDefault="00B545F7" w:rsidP="00A560E4">
      <w:pPr>
        <w:rPr>
          <w:rFonts w:ascii="Arial" w:hAnsi="Arial" w:cs="Arial"/>
          <w:sz w:val="18"/>
          <w:szCs w:val="18"/>
        </w:rPr>
      </w:pPr>
      <w:r>
        <w:rPr>
          <w:rStyle w:val="FootnoteReference"/>
        </w:rPr>
        <w:footnoteRef/>
      </w:r>
      <w:r>
        <w:t xml:space="preserve"> </w:t>
      </w:r>
      <w:r w:rsidRPr="007C5C4B">
        <w:rPr>
          <w:rFonts w:ascii="Arial" w:hAnsi="Arial" w:cs="Arial"/>
          <w:sz w:val="18"/>
          <w:szCs w:val="18"/>
        </w:rPr>
        <w:t>On 10 June 2015 ADB issued a no objection letter for ADB to work with the GoV to reallocate the remaining grant contribution for disbursement by the project closing date.</w:t>
      </w:r>
    </w:p>
    <w:p w:rsidR="00B545F7" w:rsidRDefault="00B545F7">
      <w:pPr>
        <w:pStyle w:val="FootnoteText"/>
      </w:pPr>
    </w:p>
  </w:footnote>
  <w:footnote w:id="91">
    <w:p w:rsidR="00B545F7" w:rsidRDefault="00B545F7" w:rsidP="00103A07">
      <w:pPr>
        <w:pStyle w:val="FootnoteText"/>
      </w:pPr>
      <w:r>
        <w:rPr>
          <w:rStyle w:val="FootnoteReference"/>
        </w:rPr>
        <w:footnoteRef/>
      </w:r>
      <w:r>
        <w:t xml:space="preserve"> </w:t>
      </w:r>
      <w:r w:rsidRPr="00A96BF0">
        <w:t>TA-7029 (VIE)</w:t>
      </w:r>
      <w:r>
        <w:t>.</w:t>
      </w:r>
    </w:p>
  </w:footnote>
  <w:footnote w:id="92">
    <w:p w:rsidR="00B545F7" w:rsidRDefault="00B545F7" w:rsidP="00103A07">
      <w:pPr>
        <w:pStyle w:val="FootnoteText"/>
      </w:pPr>
      <w:r>
        <w:rPr>
          <w:rStyle w:val="FootnoteReference"/>
        </w:rPr>
        <w:footnoteRef/>
      </w:r>
      <w:r>
        <w:t xml:space="preserve"> The analysis noted t</w:t>
      </w:r>
      <w:r w:rsidRPr="00C95EC9">
        <w:t xml:space="preserve">he health workforce is predominantly female, but the majority of women are concentrated in lower-level positions. </w:t>
      </w:r>
      <w:r>
        <w:t>Review of 2006 data found</w:t>
      </w:r>
      <w:r w:rsidRPr="00C95EC9">
        <w:t xml:space="preserve"> 98% of midwives, 69% of nurses and 50% of assistant doctors were women, while only 35% of full doctors and 28-29% of health professionals with Masters and PhD degrees were women. Only a small percentage of women hold senior positions in the Ministry of Health or provincial health departments.</w:t>
      </w:r>
    </w:p>
  </w:footnote>
  <w:footnote w:id="93">
    <w:p w:rsidR="00B545F7" w:rsidRDefault="00B545F7" w:rsidP="00103A07">
      <w:pPr>
        <w:pStyle w:val="FootnoteText"/>
      </w:pPr>
      <w:r>
        <w:rPr>
          <w:rStyle w:val="FootnoteReference"/>
        </w:rPr>
        <w:footnoteRef/>
      </w:r>
      <w:r>
        <w:t xml:space="preserve"> The analysis noted that the MoH’s </w:t>
      </w:r>
      <w:r w:rsidRPr="00C95EC9">
        <w:t>goals to increase the proportion of women in higher-level positions in the health sector are undermined by the Ministry’s regulations establishing more stringent age limits for women’s participation in training and other career development activities.</w:t>
      </w:r>
    </w:p>
  </w:footnote>
  <w:footnote w:id="94">
    <w:p w:rsidR="00B545F7" w:rsidRDefault="00B545F7" w:rsidP="00103A07">
      <w:pPr>
        <w:pStyle w:val="FootnoteText"/>
      </w:pPr>
      <w:r>
        <w:rPr>
          <w:rStyle w:val="FootnoteReference"/>
        </w:rPr>
        <w:footnoteRef/>
      </w:r>
      <w:r>
        <w:t xml:space="preserve"> The National Gender and Ethnic Minority Specialist was not mobilized during this period.</w:t>
      </w:r>
    </w:p>
  </w:footnote>
  <w:footnote w:id="95">
    <w:p w:rsidR="00B545F7" w:rsidRDefault="00B545F7" w:rsidP="00777CBC">
      <w:r>
        <w:rPr>
          <w:rStyle w:val="FootnoteReference"/>
        </w:rPr>
        <w:footnoteRef/>
      </w:r>
      <w:r>
        <w:t xml:space="preserve"> </w:t>
      </w:r>
      <w:r w:rsidRPr="00BF02A9">
        <w:rPr>
          <w:rFonts w:ascii="Arial" w:hAnsi="Arial"/>
          <w:snapToGrid w:val="0"/>
          <w:color w:val="000000"/>
          <w:sz w:val="18"/>
          <w:lang w:eastAsia="en-US"/>
        </w:rPr>
        <w:t>International Gender and Social Development Consultant</w:t>
      </w:r>
      <w:r>
        <w:rPr>
          <w:rFonts w:ascii="Arial" w:hAnsi="Arial"/>
          <w:i/>
          <w:snapToGrid w:val="0"/>
          <w:color w:val="000000"/>
          <w:sz w:val="18"/>
          <w:lang w:eastAsia="en-US"/>
        </w:rPr>
        <w:t xml:space="preserve">. </w:t>
      </w:r>
      <w:r w:rsidRPr="00BF02A9">
        <w:rPr>
          <w:rFonts w:ascii="Arial" w:hAnsi="Arial"/>
          <w:i/>
          <w:snapToGrid w:val="0"/>
          <w:color w:val="000000"/>
          <w:sz w:val="18"/>
          <w:lang w:eastAsia="en-US"/>
        </w:rPr>
        <w:t>Review of the Gender and Ethnic Minority Strategy (GEMS) Implementation Status by end of May 2014</w:t>
      </w:r>
      <w:r>
        <w:rPr>
          <w:rFonts w:ascii="Arial" w:hAnsi="Arial"/>
          <w:snapToGrid w:val="0"/>
          <w:color w:val="000000"/>
          <w:sz w:val="18"/>
          <w:lang w:eastAsia="en-US"/>
        </w:rPr>
        <w:t xml:space="preserve">. </w:t>
      </w:r>
      <w:r w:rsidRPr="00BF02A9">
        <w:rPr>
          <w:rFonts w:ascii="Arial" w:hAnsi="Arial"/>
          <w:snapToGrid w:val="0"/>
          <w:color w:val="000000"/>
          <w:sz w:val="18"/>
          <w:lang w:eastAsia="en-US"/>
        </w:rPr>
        <w:t>June 14, 2014</w:t>
      </w:r>
      <w:r>
        <w:rPr>
          <w:rFonts w:ascii="Arial" w:hAnsi="Arial"/>
          <w:snapToGrid w:val="0"/>
          <w:color w:val="000000"/>
          <w:sz w:val="18"/>
          <w:lang w:eastAsia="en-US"/>
        </w:rPr>
        <w:t>.</w:t>
      </w:r>
    </w:p>
  </w:footnote>
  <w:footnote w:id="96">
    <w:p w:rsidR="00B545F7" w:rsidRPr="00824ABB" w:rsidRDefault="00B545F7" w:rsidP="00103A07">
      <w:pPr>
        <w:rPr>
          <w:rFonts w:ascii="Calibri" w:hAnsi="Calibri"/>
          <w:sz w:val="22"/>
        </w:rPr>
      </w:pPr>
      <w:r>
        <w:rPr>
          <w:rStyle w:val="FootnoteReference"/>
        </w:rPr>
        <w:footnoteRef/>
      </w:r>
      <w:r>
        <w:t xml:space="preserve"> </w:t>
      </w:r>
      <w:r w:rsidRPr="00BF02A9">
        <w:rPr>
          <w:rFonts w:ascii="Arial" w:hAnsi="Arial"/>
          <w:snapToGrid w:val="0"/>
          <w:color w:val="000000"/>
          <w:sz w:val="18"/>
          <w:lang w:eastAsia="en-US"/>
        </w:rPr>
        <w:t>International Gender and Social Development Consultant</w:t>
      </w:r>
      <w:r>
        <w:rPr>
          <w:rFonts w:ascii="Arial" w:hAnsi="Arial"/>
          <w:snapToGrid w:val="0"/>
          <w:color w:val="000000"/>
          <w:sz w:val="18"/>
          <w:lang w:eastAsia="en-US"/>
        </w:rPr>
        <w:t xml:space="preserve">. </w:t>
      </w:r>
      <w:r w:rsidRPr="00BF02A9">
        <w:rPr>
          <w:rFonts w:ascii="Arial" w:hAnsi="Arial"/>
          <w:i/>
          <w:snapToGrid w:val="0"/>
          <w:color w:val="000000"/>
          <w:sz w:val="18"/>
          <w:lang w:eastAsia="en-US"/>
        </w:rPr>
        <w:t>Review of the Gender and Ethnic Minority Strategy (GEMS) Implementation Status by end of May 2014</w:t>
      </w:r>
      <w:r>
        <w:rPr>
          <w:rFonts w:ascii="Arial" w:hAnsi="Arial"/>
          <w:snapToGrid w:val="0"/>
          <w:color w:val="000000"/>
          <w:sz w:val="18"/>
          <w:lang w:eastAsia="en-US"/>
        </w:rPr>
        <w:t>. June 14</w:t>
      </w:r>
      <w:r w:rsidRPr="00BF02A9">
        <w:rPr>
          <w:rFonts w:ascii="Arial" w:hAnsi="Arial"/>
          <w:snapToGrid w:val="0"/>
          <w:color w:val="000000"/>
          <w:sz w:val="18"/>
          <w:lang w:eastAsia="en-US"/>
        </w:rPr>
        <w:t xml:space="preserve"> 2014</w:t>
      </w:r>
      <w:r>
        <w:rPr>
          <w:rFonts w:ascii="Arial" w:hAnsi="Arial"/>
          <w:snapToGrid w:val="0"/>
          <w:color w:val="000000"/>
          <w:sz w:val="18"/>
          <w:lang w:eastAsia="en-US"/>
        </w:rPr>
        <w:t>.</w:t>
      </w:r>
    </w:p>
    <w:p w:rsidR="00B545F7" w:rsidRDefault="00B545F7" w:rsidP="00103A07">
      <w:pPr>
        <w:pStyle w:val="FootnoteText"/>
      </w:pPr>
    </w:p>
  </w:footnote>
  <w:footnote w:id="97">
    <w:p w:rsidR="00B545F7" w:rsidRDefault="00B545F7" w:rsidP="00831399">
      <w:pPr>
        <w:pStyle w:val="FootnoteText"/>
      </w:pPr>
      <w:r w:rsidRPr="00FD6EB5">
        <w:rPr>
          <w:rStyle w:val="FootnoteReference"/>
          <w:rFonts w:eastAsia="MS Mincho"/>
        </w:rPr>
        <w:footnoteRef/>
      </w:r>
      <w:r>
        <w:t xml:space="preserve"> Revisions to the DMF were discussed with, and approved by ADB during the MTR Mission.</w:t>
      </w:r>
    </w:p>
  </w:footnote>
  <w:footnote w:id="98">
    <w:p w:rsidR="00B545F7" w:rsidRDefault="00B545F7" w:rsidP="00831399">
      <w:pPr>
        <w:pStyle w:val="FootnoteText"/>
      </w:pPr>
      <w:r w:rsidRPr="00FD6EB5">
        <w:rPr>
          <w:rStyle w:val="FootnoteReference"/>
          <w:rFonts w:eastAsia="MS Mincho"/>
        </w:rPr>
        <w:footnoteRef/>
      </w:r>
      <w:r>
        <w:t xml:space="preserve"> The PMU’s planning consultant served as a focal point for reporting of monitoring data.</w:t>
      </w:r>
    </w:p>
  </w:footnote>
  <w:footnote w:id="99">
    <w:p w:rsidR="00B545F7" w:rsidRPr="00B471C4" w:rsidRDefault="00B545F7" w:rsidP="00B471C4">
      <w:pPr>
        <w:jc w:val="both"/>
        <w:rPr>
          <w:rFonts w:ascii="Arial" w:hAnsi="Arial" w:cs="Arial"/>
          <w:sz w:val="18"/>
          <w:szCs w:val="18"/>
        </w:rPr>
      </w:pPr>
      <w:r w:rsidRPr="00FD6EB5">
        <w:rPr>
          <w:rStyle w:val="FootnoteReference"/>
          <w:rFonts w:eastAsia="MS Mincho"/>
        </w:rPr>
        <w:footnoteRef/>
      </w:r>
      <w:r>
        <w:t xml:space="preserve"> </w:t>
      </w:r>
      <w:r w:rsidRPr="008B6842">
        <w:rPr>
          <w:rFonts w:ascii="Arial" w:hAnsi="Arial" w:cs="Arial"/>
          <w:sz w:val="18"/>
          <w:szCs w:val="18"/>
        </w:rPr>
        <w:t xml:space="preserve">(i) Number of EM students graduated from each of the six prioritized medical universities by the end of 2011, by gender; (ii) Average length of stay (ALOS) for each of the 26 piloted case-type in year 2011. </w:t>
      </w:r>
    </w:p>
  </w:footnote>
  <w:footnote w:id="100">
    <w:p w:rsidR="00B545F7" w:rsidRDefault="00B545F7" w:rsidP="00831399">
      <w:pPr>
        <w:pStyle w:val="FootnoteText"/>
      </w:pPr>
      <w:r w:rsidRPr="00FD6EB5">
        <w:rPr>
          <w:rStyle w:val="FootnoteReference"/>
          <w:rFonts w:eastAsia="MS Mincho"/>
        </w:rPr>
        <w:footnoteRef/>
      </w:r>
      <w:r>
        <w:t xml:space="preserve"> Aide Memoire, MTR Mission, </w:t>
      </w:r>
      <w:r w:rsidRPr="00AC2BF5">
        <w:t>20 August – 2 September 2013</w:t>
      </w:r>
      <w:r>
        <w:t>.</w:t>
      </w:r>
    </w:p>
  </w:footnote>
  <w:footnote w:id="101">
    <w:p w:rsidR="00B545F7" w:rsidRDefault="00B545F7" w:rsidP="00831399">
      <w:pPr>
        <w:pStyle w:val="FootnoteText"/>
      </w:pPr>
      <w:r w:rsidRPr="00FD6EB5">
        <w:rPr>
          <w:rStyle w:val="FootnoteReference"/>
          <w:rFonts w:eastAsia="MS Mincho"/>
        </w:rPr>
        <w:footnoteRef/>
      </w:r>
      <w:r>
        <w:t xml:space="preserve"> This requirement is stated in the PAM.</w:t>
      </w:r>
    </w:p>
  </w:footnote>
  <w:footnote w:id="102">
    <w:p w:rsidR="00B545F7" w:rsidRDefault="00B545F7">
      <w:pPr>
        <w:pStyle w:val="FootnoteText"/>
      </w:pPr>
      <w:r>
        <w:rPr>
          <w:rStyle w:val="FootnoteReference"/>
        </w:rPr>
        <w:footnoteRef/>
      </w:r>
      <w:r>
        <w:t xml:space="preserve"> The ICE team was provided with examples of training assessments. The content of these focused primarily on evaluation of the training delivery (i.e. process evaluation) rather than post-training assessment of the application of training outcomes.</w:t>
      </w:r>
    </w:p>
  </w:footnote>
  <w:footnote w:id="103">
    <w:p w:rsidR="00B545F7" w:rsidRDefault="00B545F7">
      <w:pPr>
        <w:pStyle w:val="FootnoteText"/>
      </w:pPr>
      <w:r>
        <w:rPr>
          <w:rStyle w:val="FootnoteReference"/>
        </w:rPr>
        <w:footnoteRef/>
      </w:r>
      <w:r>
        <w:t xml:space="preserve"> Contained in the PAM.</w:t>
      </w:r>
    </w:p>
  </w:footnote>
  <w:footnote w:id="104">
    <w:p w:rsidR="00B545F7" w:rsidRDefault="00B545F7" w:rsidP="00831399">
      <w:pPr>
        <w:pStyle w:val="FootnoteText"/>
      </w:pPr>
      <w:r w:rsidRPr="00FD6EB5">
        <w:rPr>
          <w:rStyle w:val="FootnoteReference"/>
          <w:rFonts w:eastAsia="MS Mincho"/>
        </w:rPr>
        <w:footnoteRef/>
      </w:r>
      <w:r>
        <w:t xml:space="preserve"> </w:t>
      </w:r>
      <w:r>
        <w:rPr>
          <w:rFonts w:cs="Arial"/>
        </w:rPr>
        <w:t>Despite the data being available through secondary sources.</w:t>
      </w:r>
    </w:p>
  </w:footnote>
  <w:footnote w:id="105">
    <w:p w:rsidR="00B545F7" w:rsidRDefault="00B545F7" w:rsidP="00831399">
      <w:pPr>
        <w:pStyle w:val="FootnoteText"/>
      </w:pPr>
      <w:r w:rsidRPr="00FD6EB5">
        <w:rPr>
          <w:rStyle w:val="FootnoteReference"/>
          <w:rFonts w:eastAsia="MS Mincho"/>
        </w:rPr>
        <w:footnoteRef/>
      </w:r>
      <w:r>
        <w:t xml:space="preserve"> (i) The </w:t>
      </w:r>
      <w:r w:rsidRPr="00297C40">
        <w:t>number of Ethnic Minority students graduating from six prioritized medical universities; (ii) The number of health professionals from central and provincial level institutions undertaking placements in rural and underserved areas</w:t>
      </w:r>
      <w:r>
        <w:t>.</w:t>
      </w:r>
    </w:p>
  </w:footnote>
  <w:footnote w:id="106">
    <w:p w:rsidR="00B545F7" w:rsidRDefault="00B545F7" w:rsidP="00831399">
      <w:pPr>
        <w:pStyle w:val="FootnoteText"/>
      </w:pPr>
      <w:r w:rsidRPr="00FD6EB5">
        <w:rPr>
          <w:rStyle w:val="FootnoteReference"/>
          <w:rFonts w:eastAsia="MS Mincho"/>
        </w:rPr>
        <w:footnoteRef/>
      </w:r>
      <w:r>
        <w:t xml:space="preserve"> For example, breakdown of data by gender and EM status.</w:t>
      </w:r>
    </w:p>
  </w:footnote>
  <w:footnote w:id="107">
    <w:p w:rsidR="00B545F7" w:rsidRDefault="00B545F7" w:rsidP="00831399">
      <w:pPr>
        <w:pStyle w:val="FootnoteText"/>
      </w:pPr>
      <w:r w:rsidRPr="00FD6EB5">
        <w:rPr>
          <w:rStyle w:val="FootnoteReference"/>
          <w:rFonts w:eastAsia="MS Mincho"/>
        </w:rPr>
        <w:footnoteRef/>
      </w:r>
      <w:r>
        <w:t xml:space="preserve"> </w:t>
      </w:r>
      <w:r>
        <w:rPr>
          <w:rFonts w:cs="Arial"/>
        </w:rPr>
        <w:t xml:space="preserve">For example, data on the percentage of </w:t>
      </w:r>
      <w:r w:rsidRPr="001E284C">
        <w:rPr>
          <w:rFonts w:cs="Arial"/>
        </w:rPr>
        <w:t xml:space="preserve">doctors </w:t>
      </w:r>
      <w:r w:rsidRPr="00BA2D04">
        <w:rPr>
          <w:rFonts w:cs="Arial"/>
        </w:rPr>
        <w:t>and nurses practicing in public facilities registered</w:t>
      </w:r>
      <w:r>
        <w:rPr>
          <w:rFonts w:cs="Arial"/>
        </w:rPr>
        <w:t xml:space="preserve"> presented as an absolute number due to the lack of appropriate denominator data.</w:t>
      </w:r>
    </w:p>
  </w:footnote>
  <w:footnote w:id="108">
    <w:p w:rsidR="00B545F7" w:rsidRDefault="00B545F7" w:rsidP="004B0B88">
      <w:pPr>
        <w:pStyle w:val="FootnoteText"/>
        <w:ind w:left="0" w:firstLine="0"/>
      </w:pPr>
      <w:r>
        <w:rPr>
          <w:rStyle w:val="FootnoteReference"/>
        </w:rPr>
        <w:footnoteRef/>
      </w:r>
      <w:r>
        <w:t xml:space="preserve">  </w:t>
      </w:r>
      <w:r w:rsidRPr="001E4646">
        <w:t>http://www.who.int/evidence/about/en/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C3D" w:rsidRDefault="00C05C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C3D" w:rsidRDefault="00C05C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C3D" w:rsidRDefault="00C05C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45C76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FAB48948"/>
    <w:lvl w:ilvl="0">
      <w:start w:val="1"/>
      <w:numFmt w:val="upperRoman"/>
      <w:lvlText w:val="%1."/>
      <w:lvlJc w:val="left"/>
      <w:pPr>
        <w:ind w:left="720" w:hanging="720"/>
      </w:pPr>
      <w:rPr>
        <w:rFonts w:hint="default"/>
      </w:rPr>
    </w:lvl>
    <w:lvl w:ilvl="1">
      <w:start w:val="1"/>
      <w:numFmt w:val="upperLetter"/>
      <w:pStyle w:val="Heading2"/>
      <w:lvlText w:val="%2."/>
      <w:lvlJc w:val="left"/>
      <w:pPr>
        <w:ind w:left="720" w:hanging="720"/>
      </w:pPr>
      <w:rPr>
        <w:rFonts w:hint="default"/>
        <w:sz w:val="22"/>
      </w:rPr>
    </w:lvl>
    <w:lvl w:ilvl="2">
      <w:start w:val="1"/>
      <w:numFmt w:val="upperRoman"/>
      <w:pStyle w:val="Heading3"/>
      <w:lvlText w:val="%3."/>
      <w:lvlJc w:val="right"/>
      <w:pPr>
        <w:ind w:left="1080" w:hanging="360"/>
      </w:pPr>
      <w:rPr>
        <w:rFonts w:hint="default"/>
        <w:b/>
        <w:color w:val="auto"/>
      </w:rPr>
    </w:lvl>
    <w:lvl w:ilvl="3">
      <w:start w:val="1"/>
      <w:numFmt w:val="lowerLetter"/>
      <w:lvlText w:val="%4."/>
      <w:lvlJc w:val="left"/>
      <w:pPr>
        <w:ind w:left="2160" w:hanging="720"/>
      </w:pPr>
      <w:rPr>
        <w:rFonts w:hint="default"/>
      </w:rPr>
    </w:lvl>
    <w:lvl w:ilvl="4">
      <w:start w:val="1"/>
      <w:numFmt w:val="lowerRoman"/>
      <w:lvlText w:val="%5."/>
      <w:lvlJc w:val="left"/>
      <w:pPr>
        <w:ind w:left="2880" w:hanging="720"/>
      </w:pPr>
      <w:rPr>
        <w:rFonts w:hint="default"/>
      </w:rPr>
    </w:lvl>
    <w:lvl w:ilvl="5">
      <w:start w:val="1"/>
      <w:numFmt w:val="none"/>
      <w:pStyle w:val="Heading6"/>
      <w:suff w:val="nothing"/>
      <w:lvlText w:val=""/>
      <w:lvlJc w:val="left"/>
      <w:pPr>
        <w:ind w:left="4320" w:hanging="720"/>
      </w:pPr>
      <w:rPr>
        <w:rFonts w:hint="default"/>
      </w:rPr>
    </w:lvl>
    <w:lvl w:ilvl="6">
      <w:start w:val="1"/>
      <w:numFmt w:val="none"/>
      <w:suff w:val="nothing"/>
      <w:lvlText w:val=""/>
      <w:lvlJc w:val="left"/>
      <w:pPr>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2">
    <w:nsid w:val="0D0B0618"/>
    <w:multiLevelType w:val="multilevel"/>
    <w:tmpl w:val="413C1BBE"/>
    <w:lvl w:ilvl="0">
      <w:start w:val="1"/>
      <w:numFmt w:val="upperRoman"/>
      <w:lvlText w:val="%1."/>
      <w:lvlJc w:val="right"/>
      <w:pPr>
        <w:ind w:left="360" w:hanging="360"/>
      </w:pPr>
      <w:rPr>
        <w:rFonts w:hint="default"/>
      </w:rPr>
    </w:lvl>
    <w:lvl w:ilvl="1">
      <w:start w:val="1"/>
      <w:numFmt w:val="upperLetter"/>
      <w:lvlText w:val="%2."/>
      <w:lvlJc w:val="left"/>
      <w:pPr>
        <w:ind w:left="1080" w:hanging="360"/>
      </w:pPr>
      <w:rPr>
        <w:rFonts w:hint="default"/>
      </w:rPr>
    </w:lvl>
    <w:lvl w:ilvl="2">
      <w:start w:val="1"/>
      <w:numFmt w:val="decimal"/>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nsid w:val="112F5ADF"/>
    <w:multiLevelType w:val="hybridMultilevel"/>
    <w:tmpl w:val="7486B7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564227"/>
    <w:multiLevelType w:val="hybridMultilevel"/>
    <w:tmpl w:val="63260E16"/>
    <w:lvl w:ilvl="0" w:tplc="7E7CD8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FA33BF"/>
    <w:multiLevelType w:val="hybridMultilevel"/>
    <w:tmpl w:val="4CF6050C"/>
    <w:lvl w:ilvl="0" w:tplc="242C0DF6">
      <w:start w:val="1"/>
      <w:numFmt w:val="bullet"/>
      <w:lvlText w:val=""/>
      <w:lvlJc w:val="left"/>
      <w:pPr>
        <w:tabs>
          <w:tab w:val="num" w:pos="216"/>
        </w:tabs>
        <w:ind w:left="216" w:hanging="216"/>
      </w:pPr>
      <w:rPr>
        <w:rFonts w:ascii="Symbol" w:hAnsi="Symbol" w:hint="default"/>
      </w:rPr>
    </w:lvl>
    <w:lvl w:ilvl="1" w:tplc="72FA838E">
      <w:start w:val="1"/>
      <w:numFmt w:val="bullet"/>
      <w:lvlText w:val=""/>
      <w:lvlJc w:val="left"/>
      <w:pPr>
        <w:tabs>
          <w:tab w:val="num" w:pos="936"/>
        </w:tabs>
        <w:ind w:left="936" w:hanging="216"/>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87C0F4C"/>
    <w:multiLevelType w:val="multilevel"/>
    <w:tmpl w:val="7D5EF1D6"/>
    <w:lvl w:ilvl="0">
      <w:start w:val="1"/>
      <w:numFmt w:val="upperRoman"/>
      <w:lvlText w:val="%1."/>
      <w:lvlJc w:val="left"/>
      <w:pPr>
        <w:ind w:left="720" w:hanging="720"/>
      </w:pPr>
      <w:rPr>
        <w:rFonts w:hint="default"/>
      </w:rPr>
    </w:lvl>
    <w:lvl w:ilvl="1">
      <w:start w:val="1"/>
      <w:numFmt w:val="upperLetter"/>
      <w:lvlText w:val="%2."/>
      <w:lvlJc w:val="left"/>
      <w:pPr>
        <w:ind w:left="720" w:hanging="720"/>
      </w:pPr>
      <w:rPr>
        <w:rFonts w:hint="default"/>
        <w:sz w:val="22"/>
      </w:rPr>
    </w:lvl>
    <w:lvl w:ilvl="2">
      <w:start w:val="1"/>
      <w:numFmt w:val="upperRoman"/>
      <w:lvlText w:val="%3."/>
      <w:lvlJc w:val="left"/>
      <w:pPr>
        <w:ind w:left="1440" w:hanging="720"/>
      </w:pPr>
      <w:rPr>
        <w:rFonts w:hint="default"/>
        <w:b/>
        <w:color w:val="auto"/>
      </w:rPr>
    </w:lvl>
    <w:lvl w:ilvl="3">
      <w:start w:val="1"/>
      <w:numFmt w:val="lowerLetter"/>
      <w:lvlText w:val="%4."/>
      <w:lvlJc w:val="left"/>
      <w:pPr>
        <w:ind w:left="2160" w:hanging="720"/>
      </w:pPr>
      <w:rPr>
        <w:rFonts w:hint="default"/>
      </w:rPr>
    </w:lvl>
    <w:lvl w:ilvl="4">
      <w:start w:val="1"/>
      <w:numFmt w:val="lowerRoman"/>
      <w:lvlText w:val="%5."/>
      <w:lvlJc w:val="left"/>
      <w:pPr>
        <w:ind w:left="2880" w:hanging="720"/>
      </w:pPr>
      <w:rPr>
        <w:rFonts w:hint="default"/>
      </w:rPr>
    </w:lvl>
    <w:lvl w:ilvl="5">
      <w:start w:val="1"/>
      <w:numFmt w:val="none"/>
      <w:suff w:val="nothing"/>
      <w:lvlText w:val=""/>
      <w:lvlJc w:val="left"/>
      <w:pPr>
        <w:ind w:left="4320" w:hanging="720"/>
      </w:pPr>
      <w:rPr>
        <w:rFonts w:hint="default"/>
      </w:rPr>
    </w:lvl>
    <w:lvl w:ilvl="6">
      <w:start w:val="1"/>
      <w:numFmt w:val="none"/>
      <w:suff w:val="nothing"/>
      <w:lvlText w:val=""/>
      <w:lvlJc w:val="left"/>
      <w:pPr>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7">
    <w:nsid w:val="193E1F7E"/>
    <w:multiLevelType w:val="hybridMultilevel"/>
    <w:tmpl w:val="BD64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766407"/>
    <w:multiLevelType w:val="hybridMultilevel"/>
    <w:tmpl w:val="462C84A2"/>
    <w:lvl w:ilvl="0" w:tplc="68526E5E">
      <w:start w:val="1"/>
      <w:numFmt w:val="bullet"/>
      <w:lvlText w:val=""/>
      <w:lvlJc w:val="left"/>
      <w:pPr>
        <w:tabs>
          <w:tab w:val="num" w:pos="216"/>
        </w:tabs>
        <w:ind w:left="216" w:hanging="216"/>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DBF5BD8"/>
    <w:multiLevelType w:val="multilevel"/>
    <w:tmpl w:val="E286E0D2"/>
    <w:lvl w:ilvl="0">
      <w:start w:val="1"/>
      <w:numFmt w:val="upperRoman"/>
      <w:lvlText w:val="%1."/>
      <w:lvlJc w:val="left"/>
      <w:pPr>
        <w:ind w:left="720" w:hanging="720"/>
      </w:pPr>
      <w:rPr>
        <w:rFonts w:hint="default"/>
      </w:rPr>
    </w:lvl>
    <w:lvl w:ilvl="1">
      <w:start w:val="1"/>
      <w:numFmt w:val="upperLetter"/>
      <w:lvlText w:val="%2."/>
      <w:lvlJc w:val="left"/>
      <w:pPr>
        <w:ind w:left="720" w:hanging="720"/>
      </w:pPr>
      <w:rPr>
        <w:rFonts w:hint="default"/>
        <w:sz w:val="22"/>
      </w:rPr>
    </w:lvl>
    <w:lvl w:ilvl="2">
      <w:start w:val="1"/>
      <w:numFmt w:val="upperLetter"/>
      <w:lvlText w:val="%3."/>
      <w:lvlJc w:val="left"/>
      <w:pPr>
        <w:ind w:left="1080" w:hanging="360"/>
      </w:pPr>
      <w:rPr>
        <w:rFonts w:hint="default"/>
        <w:b/>
        <w:color w:val="auto"/>
      </w:rPr>
    </w:lvl>
    <w:lvl w:ilvl="3">
      <w:start w:val="1"/>
      <w:numFmt w:val="lowerLetter"/>
      <w:lvlText w:val="%4."/>
      <w:lvlJc w:val="left"/>
      <w:pPr>
        <w:ind w:left="2160" w:hanging="720"/>
      </w:pPr>
      <w:rPr>
        <w:rFonts w:hint="default"/>
      </w:rPr>
    </w:lvl>
    <w:lvl w:ilvl="4">
      <w:start w:val="1"/>
      <w:numFmt w:val="lowerRoman"/>
      <w:lvlText w:val="%5."/>
      <w:lvlJc w:val="left"/>
      <w:pPr>
        <w:ind w:left="2880" w:hanging="720"/>
      </w:pPr>
      <w:rPr>
        <w:rFonts w:hint="default"/>
      </w:rPr>
    </w:lvl>
    <w:lvl w:ilvl="5">
      <w:start w:val="1"/>
      <w:numFmt w:val="none"/>
      <w:suff w:val="nothing"/>
      <w:lvlText w:val=""/>
      <w:lvlJc w:val="left"/>
      <w:pPr>
        <w:ind w:left="4320" w:hanging="720"/>
      </w:pPr>
      <w:rPr>
        <w:rFonts w:hint="default"/>
      </w:rPr>
    </w:lvl>
    <w:lvl w:ilvl="6">
      <w:start w:val="1"/>
      <w:numFmt w:val="none"/>
      <w:suff w:val="nothing"/>
      <w:lvlText w:val=""/>
      <w:lvlJc w:val="left"/>
      <w:pPr>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10">
    <w:nsid w:val="20093E41"/>
    <w:multiLevelType w:val="hybridMultilevel"/>
    <w:tmpl w:val="D0A2977A"/>
    <w:lvl w:ilvl="0" w:tplc="D976003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046602F"/>
    <w:multiLevelType w:val="multilevel"/>
    <w:tmpl w:val="E286E0D2"/>
    <w:lvl w:ilvl="0">
      <w:start w:val="1"/>
      <w:numFmt w:val="upperRoman"/>
      <w:lvlText w:val="%1."/>
      <w:lvlJc w:val="left"/>
      <w:pPr>
        <w:ind w:left="720" w:hanging="720"/>
      </w:pPr>
      <w:rPr>
        <w:rFonts w:hint="default"/>
      </w:rPr>
    </w:lvl>
    <w:lvl w:ilvl="1">
      <w:start w:val="1"/>
      <w:numFmt w:val="upperLetter"/>
      <w:lvlText w:val="%2."/>
      <w:lvlJc w:val="left"/>
      <w:pPr>
        <w:ind w:left="720" w:hanging="720"/>
      </w:pPr>
      <w:rPr>
        <w:rFonts w:hint="default"/>
        <w:sz w:val="22"/>
      </w:rPr>
    </w:lvl>
    <w:lvl w:ilvl="2">
      <w:start w:val="1"/>
      <w:numFmt w:val="upperLetter"/>
      <w:lvlText w:val="%3."/>
      <w:lvlJc w:val="left"/>
      <w:pPr>
        <w:ind w:left="1080" w:hanging="360"/>
      </w:pPr>
      <w:rPr>
        <w:rFonts w:hint="default"/>
        <w:b/>
        <w:color w:val="auto"/>
      </w:rPr>
    </w:lvl>
    <w:lvl w:ilvl="3">
      <w:start w:val="1"/>
      <w:numFmt w:val="lowerLetter"/>
      <w:lvlText w:val="%4."/>
      <w:lvlJc w:val="left"/>
      <w:pPr>
        <w:ind w:left="2160" w:hanging="720"/>
      </w:pPr>
      <w:rPr>
        <w:rFonts w:hint="default"/>
      </w:rPr>
    </w:lvl>
    <w:lvl w:ilvl="4">
      <w:start w:val="1"/>
      <w:numFmt w:val="lowerRoman"/>
      <w:lvlText w:val="%5."/>
      <w:lvlJc w:val="left"/>
      <w:pPr>
        <w:ind w:left="2880" w:hanging="720"/>
      </w:pPr>
      <w:rPr>
        <w:rFonts w:hint="default"/>
      </w:rPr>
    </w:lvl>
    <w:lvl w:ilvl="5">
      <w:start w:val="1"/>
      <w:numFmt w:val="none"/>
      <w:suff w:val="nothing"/>
      <w:lvlText w:val=""/>
      <w:lvlJc w:val="left"/>
      <w:pPr>
        <w:ind w:left="4320" w:hanging="720"/>
      </w:pPr>
      <w:rPr>
        <w:rFonts w:hint="default"/>
      </w:rPr>
    </w:lvl>
    <w:lvl w:ilvl="6">
      <w:start w:val="1"/>
      <w:numFmt w:val="none"/>
      <w:suff w:val="nothing"/>
      <w:lvlText w:val=""/>
      <w:lvlJc w:val="left"/>
      <w:pPr>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12">
    <w:nsid w:val="2877264F"/>
    <w:multiLevelType w:val="multilevel"/>
    <w:tmpl w:val="7D5EF1D6"/>
    <w:lvl w:ilvl="0">
      <w:start w:val="1"/>
      <w:numFmt w:val="upperRoman"/>
      <w:lvlText w:val="%1."/>
      <w:lvlJc w:val="left"/>
      <w:pPr>
        <w:ind w:left="720" w:hanging="720"/>
      </w:pPr>
      <w:rPr>
        <w:rFonts w:hint="default"/>
      </w:rPr>
    </w:lvl>
    <w:lvl w:ilvl="1">
      <w:start w:val="1"/>
      <w:numFmt w:val="upperLetter"/>
      <w:lvlText w:val="%2."/>
      <w:lvlJc w:val="left"/>
      <w:pPr>
        <w:ind w:left="720" w:hanging="720"/>
      </w:pPr>
      <w:rPr>
        <w:rFonts w:hint="default"/>
        <w:sz w:val="22"/>
      </w:rPr>
    </w:lvl>
    <w:lvl w:ilvl="2">
      <w:start w:val="1"/>
      <w:numFmt w:val="upperRoman"/>
      <w:lvlText w:val="%3."/>
      <w:lvlJc w:val="left"/>
      <w:pPr>
        <w:ind w:left="1440" w:hanging="720"/>
      </w:pPr>
      <w:rPr>
        <w:rFonts w:hint="default"/>
        <w:b/>
        <w:color w:val="auto"/>
      </w:rPr>
    </w:lvl>
    <w:lvl w:ilvl="3">
      <w:start w:val="1"/>
      <w:numFmt w:val="lowerLetter"/>
      <w:lvlText w:val="%4."/>
      <w:lvlJc w:val="left"/>
      <w:pPr>
        <w:ind w:left="2160" w:hanging="720"/>
      </w:pPr>
      <w:rPr>
        <w:rFonts w:hint="default"/>
      </w:rPr>
    </w:lvl>
    <w:lvl w:ilvl="4">
      <w:start w:val="1"/>
      <w:numFmt w:val="lowerRoman"/>
      <w:lvlText w:val="%5."/>
      <w:lvlJc w:val="left"/>
      <w:pPr>
        <w:ind w:left="2880" w:hanging="720"/>
      </w:pPr>
      <w:rPr>
        <w:rFonts w:hint="default"/>
      </w:rPr>
    </w:lvl>
    <w:lvl w:ilvl="5">
      <w:start w:val="1"/>
      <w:numFmt w:val="none"/>
      <w:suff w:val="nothing"/>
      <w:lvlText w:val=""/>
      <w:lvlJc w:val="left"/>
      <w:pPr>
        <w:ind w:left="4320" w:hanging="720"/>
      </w:pPr>
      <w:rPr>
        <w:rFonts w:hint="default"/>
      </w:rPr>
    </w:lvl>
    <w:lvl w:ilvl="6">
      <w:start w:val="1"/>
      <w:numFmt w:val="none"/>
      <w:suff w:val="nothing"/>
      <w:lvlText w:val=""/>
      <w:lvlJc w:val="left"/>
      <w:pPr>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13">
    <w:nsid w:val="2AA941E5"/>
    <w:multiLevelType w:val="hybridMultilevel"/>
    <w:tmpl w:val="833CF580"/>
    <w:lvl w:ilvl="0" w:tplc="04090019">
      <w:start w:val="1"/>
      <w:numFmt w:val="lowerRoman"/>
      <w:lvlText w:val="(%1)"/>
      <w:lvlJc w:val="left"/>
      <w:pPr>
        <w:ind w:left="720" w:hanging="360"/>
      </w:pPr>
      <w:rPr>
        <w:rFonts w:ascii="Arial" w:hAnsi="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426A3E"/>
    <w:multiLevelType w:val="hybridMultilevel"/>
    <w:tmpl w:val="BD3078A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3">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DE32FE"/>
    <w:multiLevelType w:val="multilevel"/>
    <w:tmpl w:val="7D5EF1D6"/>
    <w:lvl w:ilvl="0">
      <w:start w:val="1"/>
      <w:numFmt w:val="upperRoman"/>
      <w:lvlText w:val="%1."/>
      <w:lvlJc w:val="left"/>
      <w:pPr>
        <w:ind w:left="720" w:hanging="720"/>
      </w:pPr>
      <w:rPr>
        <w:rFonts w:hint="default"/>
      </w:rPr>
    </w:lvl>
    <w:lvl w:ilvl="1">
      <w:start w:val="1"/>
      <w:numFmt w:val="upperLetter"/>
      <w:lvlText w:val="%2."/>
      <w:lvlJc w:val="left"/>
      <w:pPr>
        <w:ind w:left="720" w:hanging="720"/>
      </w:pPr>
      <w:rPr>
        <w:rFonts w:hint="default"/>
        <w:sz w:val="22"/>
      </w:rPr>
    </w:lvl>
    <w:lvl w:ilvl="2">
      <w:start w:val="1"/>
      <w:numFmt w:val="upperRoman"/>
      <w:lvlText w:val="%3."/>
      <w:lvlJc w:val="left"/>
      <w:pPr>
        <w:ind w:left="1440" w:hanging="720"/>
      </w:pPr>
      <w:rPr>
        <w:rFonts w:hint="default"/>
        <w:b/>
        <w:color w:val="auto"/>
      </w:rPr>
    </w:lvl>
    <w:lvl w:ilvl="3">
      <w:start w:val="1"/>
      <w:numFmt w:val="lowerLetter"/>
      <w:lvlText w:val="%4."/>
      <w:lvlJc w:val="left"/>
      <w:pPr>
        <w:ind w:left="2160" w:hanging="720"/>
      </w:pPr>
      <w:rPr>
        <w:rFonts w:hint="default"/>
      </w:rPr>
    </w:lvl>
    <w:lvl w:ilvl="4">
      <w:start w:val="1"/>
      <w:numFmt w:val="lowerRoman"/>
      <w:lvlText w:val="%5."/>
      <w:lvlJc w:val="left"/>
      <w:pPr>
        <w:ind w:left="2880" w:hanging="720"/>
      </w:pPr>
      <w:rPr>
        <w:rFonts w:hint="default"/>
      </w:rPr>
    </w:lvl>
    <w:lvl w:ilvl="5">
      <w:start w:val="1"/>
      <w:numFmt w:val="none"/>
      <w:suff w:val="nothing"/>
      <w:lvlText w:val=""/>
      <w:lvlJc w:val="left"/>
      <w:pPr>
        <w:ind w:left="4320" w:hanging="720"/>
      </w:pPr>
      <w:rPr>
        <w:rFonts w:hint="default"/>
      </w:rPr>
    </w:lvl>
    <w:lvl w:ilvl="6">
      <w:start w:val="1"/>
      <w:numFmt w:val="none"/>
      <w:suff w:val="nothing"/>
      <w:lvlText w:val=""/>
      <w:lvlJc w:val="left"/>
      <w:pPr>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16">
    <w:nsid w:val="30C367B2"/>
    <w:multiLevelType w:val="hybridMultilevel"/>
    <w:tmpl w:val="B1989162"/>
    <w:lvl w:ilvl="0" w:tplc="242C0DF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0E63439"/>
    <w:multiLevelType w:val="multilevel"/>
    <w:tmpl w:val="7D5EF1D6"/>
    <w:lvl w:ilvl="0">
      <w:start w:val="1"/>
      <w:numFmt w:val="upperRoman"/>
      <w:lvlText w:val="%1."/>
      <w:lvlJc w:val="left"/>
      <w:pPr>
        <w:ind w:left="720" w:hanging="720"/>
      </w:pPr>
      <w:rPr>
        <w:rFonts w:hint="default"/>
      </w:rPr>
    </w:lvl>
    <w:lvl w:ilvl="1">
      <w:start w:val="1"/>
      <w:numFmt w:val="upperLetter"/>
      <w:lvlText w:val="%2."/>
      <w:lvlJc w:val="left"/>
      <w:pPr>
        <w:ind w:left="720" w:hanging="720"/>
      </w:pPr>
      <w:rPr>
        <w:rFonts w:hint="default"/>
        <w:sz w:val="22"/>
      </w:rPr>
    </w:lvl>
    <w:lvl w:ilvl="2">
      <w:start w:val="1"/>
      <w:numFmt w:val="upperRoman"/>
      <w:lvlText w:val="%3."/>
      <w:lvlJc w:val="left"/>
      <w:pPr>
        <w:ind w:left="1440" w:hanging="720"/>
      </w:pPr>
      <w:rPr>
        <w:rFonts w:hint="default"/>
        <w:b/>
        <w:color w:val="auto"/>
      </w:rPr>
    </w:lvl>
    <w:lvl w:ilvl="3">
      <w:start w:val="1"/>
      <w:numFmt w:val="lowerLetter"/>
      <w:lvlText w:val="%4."/>
      <w:lvlJc w:val="left"/>
      <w:pPr>
        <w:ind w:left="2160" w:hanging="720"/>
      </w:pPr>
      <w:rPr>
        <w:rFonts w:hint="default"/>
      </w:rPr>
    </w:lvl>
    <w:lvl w:ilvl="4">
      <w:start w:val="1"/>
      <w:numFmt w:val="lowerRoman"/>
      <w:lvlText w:val="%5."/>
      <w:lvlJc w:val="left"/>
      <w:pPr>
        <w:ind w:left="2880" w:hanging="720"/>
      </w:pPr>
      <w:rPr>
        <w:rFonts w:hint="default"/>
      </w:rPr>
    </w:lvl>
    <w:lvl w:ilvl="5">
      <w:start w:val="1"/>
      <w:numFmt w:val="none"/>
      <w:suff w:val="nothing"/>
      <w:lvlText w:val=""/>
      <w:lvlJc w:val="left"/>
      <w:pPr>
        <w:ind w:left="4320" w:hanging="720"/>
      </w:pPr>
      <w:rPr>
        <w:rFonts w:hint="default"/>
      </w:rPr>
    </w:lvl>
    <w:lvl w:ilvl="6">
      <w:start w:val="1"/>
      <w:numFmt w:val="none"/>
      <w:suff w:val="nothing"/>
      <w:lvlText w:val=""/>
      <w:lvlJc w:val="left"/>
      <w:pPr>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18">
    <w:nsid w:val="39EA0533"/>
    <w:multiLevelType w:val="hybridMultilevel"/>
    <w:tmpl w:val="83E8D28C"/>
    <w:lvl w:ilvl="0" w:tplc="242C0DF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4532494B"/>
    <w:multiLevelType w:val="hybridMultilevel"/>
    <w:tmpl w:val="59AC7EAC"/>
    <w:lvl w:ilvl="0" w:tplc="8DD0FDAC">
      <w:start w:val="20"/>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C435B4"/>
    <w:multiLevelType w:val="hybridMultilevel"/>
    <w:tmpl w:val="2356FCDE"/>
    <w:lvl w:ilvl="0" w:tplc="6E4E1164">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7625103"/>
    <w:multiLevelType w:val="multilevel"/>
    <w:tmpl w:val="6B16A898"/>
    <w:lvl w:ilvl="0">
      <w:start w:val="1"/>
      <w:numFmt w:val="decimal"/>
      <w:lvlText w:val="APPENDIX %1: "/>
      <w:lvlJc w:val="left"/>
      <w:pPr>
        <w:ind w:left="720" w:hanging="720"/>
      </w:pPr>
      <w:rPr>
        <w:rFonts w:hint="default"/>
        <w:sz w:val="22"/>
      </w:rPr>
    </w:lvl>
    <w:lvl w:ilvl="1">
      <w:start w:val="1"/>
      <w:numFmt w:val="upperLetter"/>
      <w:lvlText w:val="%2."/>
      <w:lvlJc w:val="left"/>
      <w:pPr>
        <w:ind w:left="720" w:hanging="720"/>
      </w:pPr>
      <w:rPr>
        <w:rFonts w:hint="default"/>
      </w:rPr>
    </w:lvl>
    <w:lvl w:ilvl="2">
      <w:start w:val="1"/>
      <w:numFmt w:val="upperRoman"/>
      <w:lvlText w:val="%3."/>
      <w:lvlJc w:val="left"/>
      <w:pPr>
        <w:ind w:left="1440" w:hanging="720"/>
      </w:pPr>
      <w:rPr>
        <w:rFonts w:hint="default"/>
      </w:rPr>
    </w:lvl>
    <w:lvl w:ilvl="3">
      <w:start w:val="1"/>
      <w:numFmt w:val="lowerLetter"/>
      <w:lvlText w:val="%4."/>
      <w:lvlJc w:val="left"/>
      <w:pPr>
        <w:ind w:left="2160" w:hanging="720"/>
      </w:pPr>
      <w:rPr>
        <w:rFonts w:hint="default"/>
      </w:rPr>
    </w:lvl>
    <w:lvl w:ilvl="4">
      <w:start w:val="1"/>
      <w:numFmt w:val="lowerRoman"/>
      <w:lvlText w:val="%5."/>
      <w:lvlJc w:val="left"/>
      <w:pPr>
        <w:ind w:left="2880" w:hanging="720"/>
      </w:pPr>
      <w:rPr>
        <w:rFonts w:hint="default"/>
      </w:rPr>
    </w:lvl>
    <w:lvl w:ilvl="5">
      <w:start w:val="1"/>
      <w:numFmt w:val="none"/>
      <w:suff w:val="nothing"/>
      <w:lvlText w:val=""/>
      <w:lvlJc w:val="left"/>
      <w:pPr>
        <w:ind w:left="4320" w:hanging="720"/>
      </w:pPr>
      <w:rPr>
        <w:rFonts w:hint="default"/>
      </w:rPr>
    </w:lvl>
    <w:lvl w:ilvl="6">
      <w:start w:val="1"/>
      <w:numFmt w:val="none"/>
      <w:suff w:val="nothing"/>
      <w:lvlText w:val=""/>
      <w:lvlJc w:val="left"/>
      <w:pPr>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22">
    <w:nsid w:val="4BBF14F8"/>
    <w:multiLevelType w:val="multilevel"/>
    <w:tmpl w:val="7D5EF1D6"/>
    <w:lvl w:ilvl="0">
      <w:start w:val="1"/>
      <w:numFmt w:val="upperRoman"/>
      <w:lvlText w:val="%1."/>
      <w:lvlJc w:val="left"/>
      <w:pPr>
        <w:ind w:left="720" w:hanging="720"/>
      </w:pPr>
      <w:rPr>
        <w:rFonts w:hint="default"/>
      </w:rPr>
    </w:lvl>
    <w:lvl w:ilvl="1">
      <w:start w:val="1"/>
      <w:numFmt w:val="upperLetter"/>
      <w:lvlText w:val="%2."/>
      <w:lvlJc w:val="left"/>
      <w:pPr>
        <w:ind w:left="720" w:hanging="720"/>
      </w:pPr>
      <w:rPr>
        <w:rFonts w:hint="default"/>
        <w:sz w:val="22"/>
      </w:rPr>
    </w:lvl>
    <w:lvl w:ilvl="2">
      <w:start w:val="1"/>
      <w:numFmt w:val="upperRoman"/>
      <w:lvlText w:val="%3."/>
      <w:lvlJc w:val="left"/>
      <w:pPr>
        <w:ind w:left="1440" w:hanging="720"/>
      </w:pPr>
      <w:rPr>
        <w:rFonts w:hint="default"/>
        <w:b/>
        <w:color w:val="auto"/>
      </w:rPr>
    </w:lvl>
    <w:lvl w:ilvl="3">
      <w:start w:val="1"/>
      <w:numFmt w:val="lowerLetter"/>
      <w:lvlText w:val="%4."/>
      <w:lvlJc w:val="left"/>
      <w:pPr>
        <w:ind w:left="2160" w:hanging="720"/>
      </w:pPr>
      <w:rPr>
        <w:rFonts w:hint="default"/>
      </w:rPr>
    </w:lvl>
    <w:lvl w:ilvl="4">
      <w:start w:val="1"/>
      <w:numFmt w:val="lowerRoman"/>
      <w:lvlText w:val="%5."/>
      <w:lvlJc w:val="left"/>
      <w:pPr>
        <w:ind w:left="2880" w:hanging="720"/>
      </w:pPr>
      <w:rPr>
        <w:rFonts w:hint="default"/>
      </w:rPr>
    </w:lvl>
    <w:lvl w:ilvl="5">
      <w:start w:val="1"/>
      <w:numFmt w:val="none"/>
      <w:suff w:val="nothing"/>
      <w:lvlText w:val=""/>
      <w:lvlJc w:val="left"/>
      <w:pPr>
        <w:ind w:left="4320" w:hanging="720"/>
      </w:pPr>
      <w:rPr>
        <w:rFonts w:hint="default"/>
      </w:rPr>
    </w:lvl>
    <w:lvl w:ilvl="6">
      <w:start w:val="1"/>
      <w:numFmt w:val="none"/>
      <w:suff w:val="nothing"/>
      <w:lvlText w:val=""/>
      <w:lvlJc w:val="left"/>
      <w:pPr>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23">
    <w:nsid w:val="4CE36C94"/>
    <w:multiLevelType w:val="hybridMultilevel"/>
    <w:tmpl w:val="4E660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F5A7952"/>
    <w:multiLevelType w:val="hybridMultilevel"/>
    <w:tmpl w:val="7486B7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31643E"/>
    <w:multiLevelType w:val="multilevel"/>
    <w:tmpl w:val="7D5EF1D6"/>
    <w:lvl w:ilvl="0">
      <w:start w:val="1"/>
      <w:numFmt w:val="upperRoman"/>
      <w:lvlText w:val="%1."/>
      <w:lvlJc w:val="left"/>
      <w:pPr>
        <w:ind w:left="720" w:hanging="720"/>
      </w:pPr>
      <w:rPr>
        <w:rFonts w:hint="default"/>
      </w:rPr>
    </w:lvl>
    <w:lvl w:ilvl="1">
      <w:start w:val="1"/>
      <w:numFmt w:val="upperLetter"/>
      <w:lvlText w:val="%2."/>
      <w:lvlJc w:val="left"/>
      <w:pPr>
        <w:ind w:left="720" w:hanging="720"/>
      </w:pPr>
      <w:rPr>
        <w:rFonts w:hint="default"/>
        <w:sz w:val="22"/>
      </w:rPr>
    </w:lvl>
    <w:lvl w:ilvl="2">
      <w:start w:val="1"/>
      <w:numFmt w:val="upperRoman"/>
      <w:lvlText w:val="%3."/>
      <w:lvlJc w:val="left"/>
      <w:pPr>
        <w:ind w:left="1440" w:hanging="720"/>
      </w:pPr>
      <w:rPr>
        <w:rFonts w:hint="default"/>
        <w:b/>
        <w:color w:val="auto"/>
      </w:rPr>
    </w:lvl>
    <w:lvl w:ilvl="3">
      <w:start w:val="1"/>
      <w:numFmt w:val="lowerLetter"/>
      <w:lvlText w:val="%4."/>
      <w:lvlJc w:val="left"/>
      <w:pPr>
        <w:ind w:left="2160" w:hanging="720"/>
      </w:pPr>
      <w:rPr>
        <w:rFonts w:hint="default"/>
      </w:rPr>
    </w:lvl>
    <w:lvl w:ilvl="4">
      <w:start w:val="1"/>
      <w:numFmt w:val="lowerRoman"/>
      <w:lvlText w:val="%5."/>
      <w:lvlJc w:val="left"/>
      <w:pPr>
        <w:ind w:left="2880" w:hanging="720"/>
      </w:pPr>
      <w:rPr>
        <w:rFonts w:hint="default"/>
      </w:rPr>
    </w:lvl>
    <w:lvl w:ilvl="5">
      <w:start w:val="1"/>
      <w:numFmt w:val="none"/>
      <w:suff w:val="nothing"/>
      <w:lvlText w:val=""/>
      <w:lvlJc w:val="left"/>
      <w:pPr>
        <w:ind w:left="4320" w:hanging="720"/>
      </w:pPr>
      <w:rPr>
        <w:rFonts w:hint="default"/>
      </w:rPr>
    </w:lvl>
    <w:lvl w:ilvl="6">
      <w:start w:val="1"/>
      <w:numFmt w:val="none"/>
      <w:suff w:val="nothing"/>
      <w:lvlText w:val=""/>
      <w:lvlJc w:val="left"/>
      <w:pPr>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26">
    <w:nsid w:val="61751BC5"/>
    <w:multiLevelType w:val="hybridMultilevel"/>
    <w:tmpl w:val="B83EC4E2"/>
    <w:lvl w:ilvl="0" w:tplc="96142592">
      <w:start w:val="1"/>
      <w:numFmt w:val="bullet"/>
      <w:lvlText w:val=""/>
      <w:lvlJc w:val="left"/>
      <w:pPr>
        <w:tabs>
          <w:tab w:val="num" w:pos="720"/>
        </w:tabs>
        <w:ind w:left="720" w:hanging="360"/>
      </w:pPr>
      <w:rPr>
        <w:rFonts w:ascii="Symbol" w:hAnsi="Symbol" w:hint="default"/>
      </w:rPr>
    </w:lvl>
    <w:lvl w:ilvl="1" w:tplc="B71C2314" w:tentative="1">
      <w:start w:val="1"/>
      <w:numFmt w:val="bullet"/>
      <w:lvlText w:val="o"/>
      <w:lvlJc w:val="left"/>
      <w:pPr>
        <w:tabs>
          <w:tab w:val="num" w:pos="1440"/>
        </w:tabs>
        <w:ind w:left="1440" w:hanging="360"/>
      </w:pPr>
      <w:rPr>
        <w:rFonts w:ascii="Courier New" w:hAnsi="Courier New" w:cs="Courier New" w:hint="default"/>
      </w:rPr>
    </w:lvl>
    <w:lvl w:ilvl="2" w:tplc="123E1898" w:tentative="1">
      <w:start w:val="1"/>
      <w:numFmt w:val="bullet"/>
      <w:lvlText w:val=""/>
      <w:lvlJc w:val="left"/>
      <w:pPr>
        <w:tabs>
          <w:tab w:val="num" w:pos="2160"/>
        </w:tabs>
        <w:ind w:left="2160" w:hanging="360"/>
      </w:pPr>
      <w:rPr>
        <w:rFonts w:ascii="Wingdings" w:hAnsi="Wingdings" w:hint="default"/>
      </w:rPr>
    </w:lvl>
    <w:lvl w:ilvl="3" w:tplc="D5CA36D6" w:tentative="1">
      <w:start w:val="1"/>
      <w:numFmt w:val="bullet"/>
      <w:lvlText w:val=""/>
      <w:lvlJc w:val="left"/>
      <w:pPr>
        <w:tabs>
          <w:tab w:val="num" w:pos="2880"/>
        </w:tabs>
        <w:ind w:left="2880" w:hanging="360"/>
      </w:pPr>
      <w:rPr>
        <w:rFonts w:ascii="Symbol" w:hAnsi="Symbol" w:hint="default"/>
      </w:rPr>
    </w:lvl>
    <w:lvl w:ilvl="4" w:tplc="26923D18" w:tentative="1">
      <w:start w:val="1"/>
      <w:numFmt w:val="bullet"/>
      <w:lvlText w:val="o"/>
      <w:lvlJc w:val="left"/>
      <w:pPr>
        <w:tabs>
          <w:tab w:val="num" w:pos="3600"/>
        </w:tabs>
        <w:ind w:left="3600" w:hanging="360"/>
      </w:pPr>
      <w:rPr>
        <w:rFonts w:ascii="Courier New" w:hAnsi="Courier New" w:cs="Courier New" w:hint="default"/>
      </w:rPr>
    </w:lvl>
    <w:lvl w:ilvl="5" w:tplc="325C5C96" w:tentative="1">
      <w:start w:val="1"/>
      <w:numFmt w:val="bullet"/>
      <w:lvlText w:val=""/>
      <w:lvlJc w:val="left"/>
      <w:pPr>
        <w:tabs>
          <w:tab w:val="num" w:pos="4320"/>
        </w:tabs>
        <w:ind w:left="4320" w:hanging="360"/>
      </w:pPr>
      <w:rPr>
        <w:rFonts w:ascii="Wingdings" w:hAnsi="Wingdings" w:hint="default"/>
      </w:rPr>
    </w:lvl>
    <w:lvl w:ilvl="6" w:tplc="82B82FD4" w:tentative="1">
      <w:start w:val="1"/>
      <w:numFmt w:val="bullet"/>
      <w:lvlText w:val=""/>
      <w:lvlJc w:val="left"/>
      <w:pPr>
        <w:tabs>
          <w:tab w:val="num" w:pos="5040"/>
        </w:tabs>
        <w:ind w:left="5040" w:hanging="360"/>
      </w:pPr>
      <w:rPr>
        <w:rFonts w:ascii="Symbol" w:hAnsi="Symbol" w:hint="default"/>
      </w:rPr>
    </w:lvl>
    <w:lvl w:ilvl="7" w:tplc="52944914" w:tentative="1">
      <w:start w:val="1"/>
      <w:numFmt w:val="bullet"/>
      <w:lvlText w:val="o"/>
      <w:lvlJc w:val="left"/>
      <w:pPr>
        <w:tabs>
          <w:tab w:val="num" w:pos="5760"/>
        </w:tabs>
        <w:ind w:left="5760" w:hanging="360"/>
      </w:pPr>
      <w:rPr>
        <w:rFonts w:ascii="Courier New" w:hAnsi="Courier New" w:cs="Courier New" w:hint="default"/>
      </w:rPr>
    </w:lvl>
    <w:lvl w:ilvl="8" w:tplc="D5802466" w:tentative="1">
      <w:start w:val="1"/>
      <w:numFmt w:val="bullet"/>
      <w:lvlText w:val=""/>
      <w:lvlJc w:val="left"/>
      <w:pPr>
        <w:tabs>
          <w:tab w:val="num" w:pos="6480"/>
        </w:tabs>
        <w:ind w:left="6480" w:hanging="360"/>
      </w:pPr>
      <w:rPr>
        <w:rFonts w:ascii="Wingdings" w:hAnsi="Wingdings" w:hint="default"/>
      </w:rPr>
    </w:lvl>
  </w:abstractNum>
  <w:abstractNum w:abstractNumId="27">
    <w:nsid w:val="651D4D24"/>
    <w:multiLevelType w:val="multilevel"/>
    <w:tmpl w:val="AB2ADE58"/>
    <w:lvl w:ilvl="0">
      <w:start w:val="1"/>
      <w:numFmt w:val="upperRoman"/>
      <w:lvlText w:val="%1."/>
      <w:lvlJc w:val="right"/>
      <w:pPr>
        <w:ind w:left="360" w:hanging="360"/>
      </w:pPr>
      <w:rPr>
        <w:rFonts w:hint="default"/>
        <w:sz w:val="22"/>
        <w:szCs w:val="22"/>
      </w:rPr>
    </w:lvl>
    <w:lvl w:ilvl="1">
      <w:start w:val="1"/>
      <w:numFmt w:val="upperLetter"/>
      <w:lvlText w:val="%2."/>
      <w:lvlJc w:val="left"/>
      <w:pPr>
        <w:ind w:left="1080" w:hanging="360"/>
      </w:pPr>
      <w:rPr>
        <w:rFonts w:hint="default"/>
      </w:rPr>
    </w:lvl>
    <w:lvl w:ilvl="2">
      <w:start w:val="1"/>
      <w:numFmt w:val="decimal"/>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nsid w:val="67073C98"/>
    <w:multiLevelType w:val="multilevel"/>
    <w:tmpl w:val="7D5EF1D6"/>
    <w:lvl w:ilvl="0">
      <w:start w:val="1"/>
      <w:numFmt w:val="upperRoman"/>
      <w:lvlText w:val="%1."/>
      <w:lvlJc w:val="left"/>
      <w:pPr>
        <w:ind w:left="720" w:hanging="720"/>
      </w:pPr>
      <w:rPr>
        <w:rFonts w:hint="default"/>
      </w:rPr>
    </w:lvl>
    <w:lvl w:ilvl="1">
      <w:start w:val="1"/>
      <w:numFmt w:val="upperLetter"/>
      <w:lvlText w:val="%2."/>
      <w:lvlJc w:val="left"/>
      <w:pPr>
        <w:ind w:left="720" w:hanging="720"/>
      </w:pPr>
      <w:rPr>
        <w:rFonts w:hint="default"/>
        <w:sz w:val="22"/>
      </w:rPr>
    </w:lvl>
    <w:lvl w:ilvl="2">
      <w:start w:val="1"/>
      <w:numFmt w:val="upperRoman"/>
      <w:lvlText w:val="%3."/>
      <w:lvlJc w:val="left"/>
      <w:pPr>
        <w:ind w:left="1440" w:hanging="720"/>
      </w:pPr>
      <w:rPr>
        <w:rFonts w:hint="default"/>
        <w:b/>
        <w:color w:val="auto"/>
      </w:rPr>
    </w:lvl>
    <w:lvl w:ilvl="3">
      <w:start w:val="1"/>
      <w:numFmt w:val="lowerLetter"/>
      <w:lvlText w:val="%4."/>
      <w:lvlJc w:val="left"/>
      <w:pPr>
        <w:ind w:left="2160" w:hanging="720"/>
      </w:pPr>
      <w:rPr>
        <w:rFonts w:hint="default"/>
      </w:rPr>
    </w:lvl>
    <w:lvl w:ilvl="4">
      <w:start w:val="1"/>
      <w:numFmt w:val="lowerRoman"/>
      <w:lvlText w:val="%5."/>
      <w:lvlJc w:val="left"/>
      <w:pPr>
        <w:ind w:left="2880" w:hanging="720"/>
      </w:pPr>
      <w:rPr>
        <w:rFonts w:hint="default"/>
      </w:rPr>
    </w:lvl>
    <w:lvl w:ilvl="5">
      <w:start w:val="1"/>
      <w:numFmt w:val="none"/>
      <w:suff w:val="nothing"/>
      <w:lvlText w:val=""/>
      <w:lvlJc w:val="left"/>
      <w:pPr>
        <w:ind w:left="4320" w:hanging="720"/>
      </w:pPr>
      <w:rPr>
        <w:rFonts w:hint="default"/>
      </w:rPr>
    </w:lvl>
    <w:lvl w:ilvl="6">
      <w:start w:val="1"/>
      <w:numFmt w:val="none"/>
      <w:suff w:val="nothing"/>
      <w:lvlText w:val=""/>
      <w:lvlJc w:val="left"/>
      <w:pPr>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29">
    <w:nsid w:val="6BB24E2A"/>
    <w:multiLevelType w:val="hybridMultilevel"/>
    <w:tmpl w:val="CBB68DEA"/>
    <w:lvl w:ilvl="0" w:tplc="B7DA9DFC">
      <w:start w:val="1"/>
      <w:numFmt w:val="bullet"/>
      <w:lvlText w:val=""/>
      <w:lvlJc w:val="left"/>
      <w:pPr>
        <w:tabs>
          <w:tab w:val="num" w:pos="216"/>
        </w:tabs>
        <w:ind w:left="216" w:hanging="216"/>
      </w:pPr>
      <w:rPr>
        <w:rFonts w:ascii="Symbol" w:hAnsi="Symbol" w:hint="default"/>
      </w:rPr>
    </w:lvl>
    <w:lvl w:ilvl="1" w:tplc="04090003">
      <w:start w:val="1"/>
      <w:numFmt w:val="bullet"/>
      <w:lvlText w:val=""/>
      <w:lvlJc w:val="left"/>
      <w:pPr>
        <w:tabs>
          <w:tab w:val="num" w:pos="576"/>
        </w:tabs>
        <w:ind w:left="576" w:hanging="216"/>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706F2102"/>
    <w:multiLevelType w:val="hybridMultilevel"/>
    <w:tmpl w:val="1E669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A80905"/>
    <w:multiLevelType w:val="hybridMultilevel"/>
    <w:tmpl w:val="54B896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F60A2D"/>
    <w:multiLevelType w:val="hybridMultilevel"/>
    <w:tmpl w:val="1AFC9CA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7"/>
  </w:num>
  <w:num w:numId="6">
    <w:abstractNumId w:val="32"/>
  </w:num>
  <w:num w:numId="7">
    <w:abstractNumId w:val="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9"/>
  </w:num>
  <w:num w:numId="10">
    <w:abstractNumId w:val="10"/>
  </w:num>
  <w:num w:numId="11">
    <w:abstractNumId w:val="8"/>
  </w:num>
  <w:num w:numId="12">
    <w:abstractNumId w:val="5"/>
  </w:num>
  <w:num w:numId="13">
    <w:abstractNumId w:val="18"/>
  </w:num>
  <w:num w:numId="14">
    <w:abstractNumId w:val="20"/>
  </w:num>
  <w:num w:numId="15">
    <w:abstractNumId w:val="16"/>
  </w:num>
  <w:num w:numId="16">
    <w:abstractNumId w:val="30"/>
  </w:num>
  <w:num w:numId="17">
    <w:abstractNumId w:val="23"/>
  </w:num>
  <w:num w:numId="18">
    <w:abstractNumId w:val="7"/>
  </w:num>
  <w:num w:numId="19">
    <w:abstractNumId w:val="4"/>
  </w:num>
  <w:num w:numId="20">
    <w:abstractNumId w:val="31"/>
  </w:num>
  <w:num w:numId="21">
    <w:abstractNumId w:val="1"/>
  </w:num>
  <w:num w:numId="22">
    <w:abstractNumId w:val="25"/>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2"/>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3"/>
  </w:num>
  <w:num w:numId="30">
    <w:abstractNumId w:val="19"/>
  </w:num>
  <w:num w:numId="31">
    <w:abstractNumId w:val="14"/>
  </w:num>
  <w:num w:numId="32">
    <w:abstractNumId w:val="1"/>
  </w:num>
  <w:num w:numId="33">
    <w:abstractNumId w:val="1"/>
  </w:num>
  <w:num w:numId="34">
    <w:abstractNumId w:val="1"/>
  </w:num>
  <w:num w:numId="35">
    <w:abstractNumId w:val="1"/>
  </w:num>
  <w:num w:numId="36">
    <w:abstractNumId w:val="28"/>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7"/>
  </w:num>
  <w:num w:numId="40">
    <w:abstractNumId w:val="1"/>
  </w:num>
  <w:num w:numId="41">
    <w:abstractNumId w:val="6"/>
  </w:num>
  <w:num w:numId="42">
    <w:abstractNumId w:val="22"/>
  </w:num>
  <w:num w:numId="43">
    <w:abstractNumId w:val="15"/>
  </w:num>
  <w:num w:numId="44">
    <w:abstractNumId w:val="1"/>
  </w:num>
  <w:num w:numId="45">
    <w:abstractNumId w:val="1"/>
  </w:num>
  <w:num w:numId="46">
    <w:abstractNumId w:val="1"/>
  </w:num>
  <w:num w:numId="47">
    <w:abstractNumId w:val="1"/>
  </w:num>
  <w:num w:numId="48">
    <w:abstractNumId w:val="9"/>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num>
  <w:num w:numId="51">
    <w:abstractNumId w:val="1"/>
  </w:num>
  <w:num w:numId="52">
    <w:abstractNumId w:val="1"/>
  </w:num>
  <w:num w:numId="53">
    <w:abstractNumId w:val="1"/>
  </w:num>
  <w:num w:numId="54">
    <w:abstractNumId w:val="1"/>
  </w:num>
  <w:num w:numId="55">
    <w:abstractNumId w:val="1"/>
  </w:num>
  <w:num w:numId="56">
    <w:abstractNumId w:val="3"/>
  </w:num>
  <w:num w:numId="57">
    <w:abstractNumId w:val="0"/>
  </w:num>
  <w:num w:numId="58">
    <w:abstractNumId w:val="1"/>
  </w:num>
  <w:num w:numId="59">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F84"/>
    <w:rsid w:val="0000046F"/>
    <w:rsid w:val="00000936"/>
    <w:rsid w:val="0000358A"/>
    <w:rsid w:val="0000432F"/>
    <w:rsid w:val="00007639"/>
    <w:rsid w:val="0001053F"/>
    <w:rsid w:val="0001088B"/>
    <w:rsid w:val="000114FB"/>
    <w:rsid w:val="0001642A"/>
    <w:rsid w:val="00016B92"/>
    <w:rsid w:val="000229F1"/>
    <w:rsid w:val="00024D5F"/>
    <w:rsid w:val="000269E2"/>
    <w:rsid w:val="0003411B"/>
    <w:rsid w:val="00035E1C"/>
    <w:rsid w:val="00037551"/>
    <w:rsid w:val="00040DEC"/>
    <w:rsid w:val="00041444"/>
    <w:rsid w:val="0004444B"/>
    <w:rsid w:val="000444B7"/>
    <w:rsid w:val="0004532B"/>
    <w:rsid w:val="00050537"/>
    <w:rsid w:val="00051BD7"/>
    <w:rsid w:val="000525F6"/>
    <w:rsid w:val="00052969"/>
    <w:rsid w:val="0005682F"/>
    <w:rsid w:val="00061987"/>
    <w:rsid w:val="00062E42"/>
    <w:rsid w:val="000630ED"/>
    <w:rsid w:val="000650E1"/>
    <w:rsid w:val="000656A6"/>
    <w:rsid w:val="0007113A"/>
    <w:rsid w:val="0007289C"/>
    <w:rsid w:val="000733F4"/>
    <w:rsid w:val="00075178"/>
    <w:rsid w:val="00075768"/>
    <w:rsid w:val="0007717D"/>
    <w:rsid w:val="00080495"/>
    <w:rsid w:val="00080A24"/>
    <w:rsid w:val="0008182F"/>
    <w:rsid w:val="0008490D"/>
    <w:rsid w:val="00084945"/>
    <w:rsid w:val="00084B1A"/>
    <w:rsid w:val="000858D0"/>
    <w:rsid w:val="000869FE"/>
    <w:rsid w:val="00087B28"/>
    <w:rsid w:val="0009289D"/>
    <w:rsid w:val="0009444E"/>
    <w:rsid w:val="0009599A"/>
    <w:rsid w:val="00095D13"/>
    <w:rsid w:val="000A0596"/>
    <w:rsid w:val="000A28C4"/>
    <w:rsid w:val="000A2D92"/>
    <w:rsid w:val="000A47E4"/>
    <w:rsid w:val="000A56CA"/>
    <w:rsid w:val="000A5EB3"/>
    <w:rsid w:val="000A65F1"/>
    <w:rsid w:val="000A715B"/>
    <w:rsid w:val="000B14FC"/>
    <w:rsid w:val="000B1A4B"/>
    <w:rsid w:val="000B3117"/>
    <w:rsid w:val="000C0169"/>
    <w:rsid w:val="000C03FC"/>
    <w:rsid w:val="000C2519"/>
    <w:rsid w:val="000C367D"/>
    <w:rsid w:val="000C5297"/>
    <w:rsid w:val="000C53F5"/>
    <w:rsid w:val="000C5E6F"/>
    <w:rsid w:val="000D0467"/>
    <w:rsid w:val="000D0D2B"/>
    <w:rsid w:val="000D1A4E"/>
    <w:rsid w:val="000D363F"/>
    <w:rsid w:val="000D59A3"/>
    <w:rsid w:val="000D6A41"/>
    <w:rsid w:val="000D74F8"/>
    <w:rsid w:val="000E1982"/>
    <w:rsid w:val="000E592E"/>
    <w:rsid w:val="000E5C73"/>
    <w:rsid w:val="000F1DBD"/>
    <w:rsid w:val="000F1E69"/>
    <w:rsid w:val="000F1EB0"/>
    <w:rsid w:val="000F54CA"/>
    <w:rsid w:val="000F54D0"/>
    <w:rsid w:val="000F572E"/>
    <w:rsid w:val="000F6396"/>
    <w:rsid w:val="00100C7A"/>
    <w:rsid w:val="00100FBE"/>
    <w:rsid w:val="00101322"/>
    <w:rsid w:val="0010388B"/>
    <w:rsid w:val="00103A07"/>
    <w:rsid w:val="001050CB"/>
    <w:rsid w:val="00105BCD"/>
    <w:rsid w:val="00112B07"/>
    <w:rsid w:val="001131B3"/>
    <w:rsid w:val="00113D51"/>
    <w:rsid w:val="001157B8"/>
    <w:rsid w:val="00117998"/>
    <w:rsid w:val="00120651"/>
    <w:rsid w:val="00121673"/>
    <w:rsid w:val="001221C6"/>
    <w:rsid w:val="001238D0"/>
    <w:rsid w:val="00126EA7"/>
    <w:rsid w:val="00131ABA"/>
    <w:rsid w:val="00133B7A"/>
    <w:rsid w:val="00133C32"/>
    <w:rsid w:val="00135D65"/>
    <w:rsid w:val="00136F02"/>
    <w:rsid w:val="00137881"/>
    <w:rsid w:val="00141179"/>
    <w:rsid w:val="00142D85"/>
    <w:rsid w:val="00143C8E"/>
    <w:rsid w:val="001453C3"/>
    <w:rsid w:val="00146235"/>
    <w:rsid w:val="00146A91"/>
    <w:rsid w:val="001479FA"/>
    <w:rsid w:val="001518E6"/>
    <w:rsid w:val="00151AC6"/>
    <w:rsid w:val="00152346"/>
    <w:rsid w:val="001545D8"/>
    <w:rsid w:val="00155859"/>
    <w:rsid w:val="0015713F"/>
    <w:rsid w:val="00157CA6"/>
    <w:rsid w:val="00160D71"/>
    <w:rsid w:val="0016274E"/>
    <w:rsid w:val="00162F96"/>
    <w:rsid w:val="00163775"/>
    <w:rsid w:val="00163A6D"/>
    <w:rsid w:val="001655E2"/>
    <w:rsid w:val="00166445"/>
    <w:rsid w:val="00166597"/>
    <w:rsid w:val="00176A97"/>
    <w:rsid w:val="00177173"/>
    <w:rsid w:val="00180DC5"/>
    <w:rsid w:val="00182D51"/>
    <w:rsid w:val="001858E2"/>
    <w:rsid w:val="00185E36"/>
    <w:rsid w:val="00186695"/>
    <w:rsid w:val="00187285"/>
    <w:rsid w:val="0018733C"/>
    <w:rsid w:val="00192308"/>
    <w:rsid w:val="001923B1"/>
    <w:rsid w:val="00192A0A"/>
    <w:rsid w:val="00194B7C"/>
    <w:rsid w:val="001A128B"/>
    <w:rsid w:val="001A1AC1"/>
    <w:rsid w:val="001A23A7"/>
    <w:rsid w:val="001A47D4"/>
    <w:rsid w:val="001A484B"/>
    <w:rsid w:val="001A5AD9"/>
    <w:rsid w:val="001B05EA"/>
    <w:rsid w:val="001B44C7"/>
    <w:rsid w:val="001B6DC7"/>
    <w:rsid w:val="001C0917"/>
    <w:rsid w:val="001C2C06"/>
    <w:rsid w:val="001C5549"/>
    <w:rsid w:val="001C6067"/>
    <w:rsid w:val="001D1CAE"/>
    <w:rsid w:val="001D3BC2"/>
    <w:rsid w:val="001D503E"/>
    <w:rsid w:val="001D59BF"/>
    <w:rsid w:val="001D6A75"/>
    <w:rsid w:val="001D7631"/>
    <w:rsid w:val="001D7F1A"/>
    <w:rsid w:val="001E2C39"/>
    <w:rsid w:val="001E3DEC"/>
    <w:rsid w:val="001E4433"/>
    <w:rsid w:val="001E4646"/>
    <w:rsid w:val="001E4770"/>
    <w:rsid w:val="001E56F1"/>
    <w:rsid w:val="001F17A7"/>
    <w:rsid w:val="001F29FA"/>
    <w:rsid w:val="001F3877"/>
    <w:rsid w:val="001F5070"/>
    <w:rsid w:val="00202039"/>
    <w:rsid w:val="00207E07"/>
    <w:rsid w:val="00212168"/>
    <w:rsid w:val="0021358E"/>
    <w:rsid w:val="00214E7F"/>
    <w:rsid w:val="00215098"/>
    <w:rsid w:val="0021511F"/>
    <w:rsid w:val="00221592"/>
    <w:rsid w:val="00224A16"/>
    <w:rsid w:val="00226DDF"/>
    <w:rsid w:val="00231F37"/>
    <w:rsid w:val="002337FB"/>
    <w:rsid w:val="002366F3"/>
    <w:rsid w:val="00236ECA"/>
    <w:rsid w:val="00240762"/>
    <w:rsid w:val="002411E2"/>
    <w:rsid w:val="00242F34"/>
    <w:rsid w:val="00243163"/>
    <w:rsid w:val="0024787B"/>
    <w:rsid w:val="0025023B"/>
    <w:rsid w:val="00250A99"/>
    <w:rsid w:val="0025105C"/>
    <w:rsid w:val="00254127"/>
    <w:rsid w:val="00255835"/>
    <w:rsid w:val="00256818"/>
    <w:rsid w:val="00256B55"/>
    <w:rsid w:val="00257239"/>
    <w:rsid w:val="0026185C"/>
    <w:rsid w:val="00261C3A"/>
    <w:rsid w:val="002620F7"/>
    <w:rsid w:val="0026303E"/>
    <w:rsid w:val="00264B56"/>
    <w:rsid w:val="0027268C"/>
    <w:rsid w:val="00272B35"/>
    <w:rsid w:val="00274496"/>
    <w:rsid w:val="00275B1C"/>
    <w:rsid w:val="00275D85"/>
    <w:rsid w:val="00276698"/>
    <w:rsid w:val="0028006A"/>
    <w:rsid w:val="00281219"/>
    <w:rsid w:val="0028191F"/>
    <w:rsid w:val="002821E5"/>
    <w:rsid w:val="002833A6"/>
    <w:rsid w:val="00283463"/>
    <w:rsid w:val="0028387D"/>
    <w:rsid w:val="00284362"/>
    <w:rsid w:val="00284EB8"/>
    <w:rsid w:val="00285CDE"/>
    <w:rsid w:val="002872DB"/>
    <w:rsid w:val="00287816"/>
    <w:rsid w:val="00290B3B"/>
    <w:rsid w:val="00290BAE"/>
    <w:rsid w:val="00291F25"/>
    <w:rsid w:val="00292DF9"/>
    <w:rsid w:val="0029378E"/>
    <w:rsid w:val="00294AD6"/>
    <w:rsid w:val="0029582D"/>
    <w:rsid w:val="00296172"/>
    <w:rsid w:val="00296A93"/>
    <w:rsid w:val="0029752C"/>
    <w:rsid w:val="00297816"/>
    <w:rsid w:val="002A0A83"/>
    <w:rsid w:val="002A0E41"/>
    <w:rsid w:val="002A0E6A"/>
    <w:rsid w:val="002A0E72"/>
    <w:rsid w:val="002A1359"/>
    <w:rsid w:val="002A1B1C"/>
    <w:rsid w:val="002A3114"/>
    <w:rsid w:val="002A31C4"/>
    <w:rsid w:val="002A32C4"/>
    <w:rsid w:val="002A4610"/>
    <w:rsid w:val="002A4B2A"/>
    <w:rsid w:val="002A65C6"/>
    <w:rsid w:val="002B0B2F"/>
    <w:rsid w:val="002B1559"/>
    <w:rsid w:val="002B3425"/>
    <w:rsid w:val="002B64A2"/>
    <w:rsid w:val="002B7986"/>
    <w:rsid w:val="002C195D"/>
    <w:rsid w:val="002C3B87"/>
    <w:rsid w:val="002C7BAB"/>
    <w:rsid w:val="002D1AF8"/>
    <w:rsid w:val="002D4893"/>
    <w:rsid w:val="002D5375"/>
    <w:rsid w:val="002D7140"/>
    <w:rsid w:val="002D73E3"/>
    <w:rsid w:val="002E0225"/>
    <w:rsid w:val="002E1BF5"/>
    <w:rsid w:val="002E25D3"/>
    <w:rsid w:val="002E27BE"/>
    <w:rsid w:val="002E2F57"/>
    <w:rsid w:val="002E46AF"/>
    <w:rsid w:val="002E47BB"/>
    <w:rsid w:val="002E4AEC"/>
    <w:rsid w:val="002E5405"/>
    <w:rsid w:val="002E7351"/>
    <w:rsid w:val="002E73CE"/>
    <w:rsid w:val="002F0122"/>
    <w:rsid w:val="002F22F9"/>
    <w:rsid w:val="002F2C3F"/>
    <w:rsid w:val="002F4917"/>
    <w:rsid w:val="002F4CCB"/>
    <w:rsid w:val="002F5949"/>
    <w:rsid w:val="002F5A36"/>
    <w:rsid w:val="002F6899"/>
    <w:rsid w:val="002F7F84"/>
    <w:rsid w:val="003011B8"/>
    <w:rsid w:val="00301312"/>
    <w:rsid w:val="00301AAA"/>
    <w:rsid w:val="00303A5A"/>
    <w:rsid w:val="00304A9C"/>
    <w:rsid w:val="003063BD"/>
    <w:rsid w:val="00306551"/>
    <w:rsid w:val="00307431"/>
    <w:rsid w:val="003079A5"/>
    <w:rsid w:val="00310361"/>
    <w:rsid w:val="00310C5C"/>
    <w:rsid w:val="00311125"/>
    <w:rsid w:val="0031416D"/>
    <w:rsid w:val="00317332"/>
    <w:rsid w:val="00317E32"/>
    <w:rsid w:val="00320076"/>
    <w:rsid w:val="0032041C"/>
    <w:rsid w:val="00322971"/>
    <w:rsid w:val="00323FB7"/>
    <w:rsid w:val="0032508A"/>
    <w:rsid w:val="00325813"/>
    <w:rsid w:val="00325847"/>
    <w:rsid w:val="0033524A"/>
    <w:rsid w:val="003378DD"/>
    <w:rsid w:val="00341956"/>
    <w:rsid w:val="003419C8"/>
    <w:rsid w:val="00346E1B"/>
    <w:rsid w:val="0035197E"/>
    <w:rsid w:val="003521E6"/>
    <w:rsid w:val="00352AF9"/>
    <w:rsid w:val="0035730B"/>
    <w:rsid w:val="003644AE"/>
    <w:rsid w:val="00364675"/>
    <w:rsid w:val="0036490A"/>
    <w:rsid w:val="00364B25"/>
    <w:rsid w:val="00364F50"/>
    <w:rsid w:val="00365F89"/>
    <w:rsid w:val="003669B2"/>
    <w:rsid w:val="00366D67"/>
    <w:rsid w:val="00367CD7"/>
    <w:rsid w:val="003701FE"/>
    <w:rsid w:val="00371FD2"/>
    <w:rsid w:val="00372FA1"/>
    <w:rsid w:val="00374125"/>
    <w:rsid w:val="0037521B"/>
    <w:rsid w:val="00376AAF"/>
    <w:rsid w:val="003777FC"/>
    <w:rsid w:val="00377B02"/>
    <w:rsid w:val="00380F9A"/>
    <w:rsid w:val="00381C2B"/>
    <w:rsid w:val="0038334D"/>
    <w:rsid w:val="00385380"/>
    <w:rsid w:val="00386395"/>
    <w:rsid w:val="003869DC"/>
    <w:rsid w:val="00387208"/>
    <w:rsid w:val="00387A5E"/>
    <w:rsid w:val="003923FF"/>
    <w:rsid w:val="00392735"/>
    <w:rsid w:val="00394032"/>
    <w:rsid w:val="00394BF0"/>
    <w:rsid w:val="00397523"/>
    <w:rsid w:val="00397E71"/>
    <w:rsid w:val="00397FEF"/>
    <w:rsid w:val="003A39BE"/>
    <w:rsid w:val="003A3B2F"/>
    <w:rsid w:val="003A51B5"/>
    <w:rsid w:val="003A6670"/>
    <w:rsid w:val="003B4698"/>
    <w:rsid w:val="003C01AA"/>
    <w:rsid w:val="003C260D"/>
    <w:rsid w:val="003C2D5B"/>
    <w:rsid w:val="003C3860"/>
    <w:rsid w:val="003C38ED"/>
    <w:rsid w:val="003C468D"/>
    <w:rsid w:val="003C5756"/>
    <w:rsid w:val="003C788E"/>
    <w:rsid w:val="003D0890"/>
    <w:rsid w:val="003D2991"/>
    <w:rsid w:val="003D42EC"/>
    <w:rsid w:val="003D4918"/>
    <w:rsid w:val="003D5F66"/>
    <w:rsid w:val="003D7AB8"/>
    <w:rsid w:val="003E09B2"/>
    <w:rsid w:val="003E25FF"/>
    <w:rsid w:val="003E2DF7"/>
    <w:rsid w:val="003E3DCF"/>
    <w:rsid w:val="003E5318"/>
    <w:rsid w:val="003E537A"/>
    <w:rsid w:val="003E5D70"/>
    <w:rsid w:val="003E61BD"/>
    <w:rsid w:val="003F0702"/>
    <w:rsid w:val="003F4E23"/>
    <w:rsid w:val="003F6311"/>
    <w:rsid w:val="00400DF1"/>
    <w:rsid w:val="00401507"/>
    <w:rsid w:val="004019DB"/>
    <w:rsid w:val="00401E26"/>
    <w:rsid w:val="00402AB7"/>
    <w:rsid w:val="00402F23"/>
    <w:rsid w:val="0040520A"/>
    <w:rsid w:val="00407D17"/>
    <w:rsid w:val="00410720"/>
    <w:rsid w:val="004125B5"/>
    <w:rsid w:val="0041383F"/>
    <w:rsid w:val="00413B24"/>
    <w:rsid w:val="004140FD"/>
    <w:rsid w:val="004208EF"/>
    <w:rsid w:val="00420F87"/>
    <w:rsid w:val="00421226"/>
    <w:rsid w:val="0042516C"/>
    <w:rsid w:val="004261E6"/>
    <w:rsid w:val="00430525"/>
    <w:rsid w:val="00431EF7"/>
    <w:rsid w:val="004350B5"/>
    <w:rsid w:val="00444B2B"/>
    <w:rsid w:val="00444D8B"/>
    <w:rsid w:val="00445351"/>
    <w:rsid w:val="0044643C"/>
    <w:rsid w:val="00446801"/>
    <w:rsid w:val="00447066"/>
    <w:rsid w:val="00451086"/>
    <w:rsid w:val="00451333"/>
    <w:rsid w:val="0045322E"/>
    <w:rsid w:val="004533AA"/>
    <w:rsid w:val="00454C0B"/>
    <w:rsid w:val="004554DB"/>
    <w:rsid w:val="00457FD1"/>
    <w:rsid w:val="00462929"/>
    <w:rsid w:val="004632E8"/>
    <w:rsid w:val="0046605C"/>
    <w:rsid w:val="00470D01"/>
    <w:rsid w:val="00470DAF"/>
    <w:rsid w:val="004725F4"/>
    <w:rsid w:val="004751B2"/>
    <w:rsid w:val="00476ED5"/>
    <w:rsid w:val="004772A2"/>
    <w:rsid w:val="00480E5D"/>
    <w:rsid w:val="00481565"/>
    <w:rsid w:val="00481C3F"/>
    <w:rsid w:val="00481F67"/>
    <w:rsid w:val="004825A0"/>
    <w:rsid w:val="00483352"/>
    <w:rsid w:val="00484604"/>
    <w:rsid w:val="00486376"/>
    <w:rsid w:val="004869DF"/>
    <w:rsid w:val="0048773C"/>
    <w:rsid w:val="004903DA"/>
    <w:rsid w:val="00491776"/>
    <w:rsid w:val="004949E4"/>
    <w:rsid w:val="004A4BD9"/>
    <w:rsid w:val="004A5EEA"/>
    <w:rsid w:val="004A6B9D"/>
    <w:rsid w:val="004B09E9"/>
    <w:rsid w:val="004B0B88"/>
    <w:rsid w:val="004B14E8"/>
    <w:rsid w:val="004B2883"/>
    <w:rsid w:val="004B3EA3"/>
    <w:rsid w:val="004B3F61"/>
    <w:rsid w:val="004B4D77"/>
    <w:rsid w:val="004B6C1B"/>
    <w:rsid w:val="004B7614"/>
    <w:rsid w:val="004C0425"/>
    <w:rsid w:val="004C045B"/>
    <w:rsid w:val="004C1140"/>
    <w:rsid w:val="004C2E5C"/>
    <w:rsid w:val="004C40E0"/>
    <w:rsid w:val="004C4BBA"/>
    <w:rsid w:val="004C6223"/>
    <w:rsid w:val="004D0585"/>
    <w:rsid w:val="004D40AE"/>
    <w:rsid w:val="004D7501"/>
    <w:rsid w:val="004E03E3"/>
    <w:rsid w:val="004E3D36"/>
    <w:rsid w:val="004E545D"/>
    <w:rsid w:val="004E586D"/>
    <w:rsid w:val="004E6284"/>
    <w:rsid w:val="004E7E72"/>
    <w:rsid w:val="004F0E67"/>
    <w:rsid w:val="004F385B"/>
    <w:rsid w:val="004F6C30"/>
    <w:rsid w:val="005018B3"/>
    <w:rsid w:val="0050193A"/>
    <w:rsid w:val="00502045"/>
    <w:rsid w:val="005023C7"/>
    <w:rsid w:val="005030F5"/>
    <w:rsid w:val="00503E2E"/>
    <w:rsid w:val="0050553D"/>
    <w:rsid w:val="00505D2E"/>
    <w:rsid w:val="00505DCE"/>
    <w:rsid w:val="00510207"/>
    <w:rsid w:val="00513D0D"/>
    <w:rsid w:val="00514F7C"/>
    <w:rsid w:val="00515CD2"/>
    <w:rsid w:val="00520171"/>
    <w:rsid w:val="00520575"/>
    <w:rsid w:val="00521924"/>
    <w:rsid w:val="005231FA"/>
    <w:rsid w:val="005243B3"/>
    <w:rsid w:val="005249AD"/>
    <w:rsid w:val="00526E5A"/>
    <w:rsid w:val="005273B1"/>
    <w:rsid w:val="005308E2"/>
    <w:rsid w:val="00531175"/>
    <w:rsid w:val="00531AB9"/>
    <w:rsid w:val="00531BCE"/>
    <w:rsid w:val="00532B07"/>
    <w:rsid w:val="00533D0F"/>
    <w:rsid w:val="00534D42"/>
    <w:rsid w:val="00542014"/>
    <w:rsid w:val="00542948"/>
    <w:rsid w:val="005438BF"/>
    <w:rsid w:val="00544BF9"/>
    <w:rsid w:val="0054502D"/>
    <w:rsid w:val="0054712F"/>
    <w:rsid w:val="00547A9C"/>
    <w:rsid w:val="00550EB2"/>
    <w:rsid w:val="0055230F"/>
    <w:rsid w:val="00554762"/>
    <w:rsid w:val="00554CAC"/>
    <w:rsid w:val="0055577B"/>
    <w:rsid w:val="005557FE"/>
    <w:rsid w:val="00561617"/>
    <w:rsid w:val="0056184A"/>
    <w:rsid w:val="00566C4A"/>
    <w:rsid w:val="005677D6"/>
    <w:rsid w:val="00567A46"/>
    <w:rsid w:val="005720D6"/>
    <w:rsid w:val="00573CA8"/>
    <w:rsid w:val="00574E70"/>
    <w:rsid w:val="0057519B"/>
    <w:rsid w:val="0057598A"/>
    <w:rsid w:val="005762B1"/>
    <w:rsid w:val="00576871"/>
    <w:rsid w:val="00580758"/>
    <w:rsid w:val="00583184"/>
    <w:rsid w:val="00584FE1"/>
    <w:rsid w:val="00586EF6"/>
    <w:rsid w:val="0059131A"/>
    <w:rsid w:val="00591365"/>
    <w:rsid w:val="00593DF1"/>
    <w:rsid w:val="00593F8D"/>
    <w:rsid w:val="00594638"/>
    <w:rsid w:val="00594F33"/>
    <w:rsid w:val="005956C8"/>
    <w:rsid w:val="00597DB3"/>
    <w:rsid w:val="005A1AB5"/>
    <w:rsid w:val="005A3183"/>
    <w:rsid w:val="005A323C"/>
    <w:rsid w:val="005A331F"/>
    <w:rsid w:val="005A3425"/>
    <w:rsid w:val="005A55C9"/>
    <w:rsid w:val="005A580B"/>
    <w:rsid w:val="005A6CD6"/>
    <w:rsid w:val="005A6DCB"/>
    <w:rsid w:val="005A7884"/>
    <w:rsid w:val="005B1845"/>
    <w:rsid w:val="005B19F4"/>
    <w:rsid w:val="005B235E"/>
    <w:rsid w:val="005B2A99"/>
    <w:rsid w:val="005B2D17"/>
    <w:rsid w:val="005B520D"/>
    <w:rsid w:val="005B52E4"/>
    <w:rsid w:val="005B77C3"/>
    <w:rsid w:val="005C1BDC"/>
    <w:rsid w:val="005C5067"/>
    <w:rsid w:val="005C742E"/>
    <w:rsid w:val="005D019F"/>
    <w:rsid w:val="005D0896"/>
    <w:rsid w:val="005D4F00"/>
    <w:rsid w:val="005D76F2"/>
    <w:rsid w:val="005E0D60"/>
    <w:rsid w:val="005E106F"/>
    <w:rsid w:val="005E1126"/>
    <w:rsid w:val="005E6F5C"/>
    <w:rsid w:val="005E7894"/>
    <w:rsid w:val="005F2503"/>
    <w:rsid w:val="005F42EF"/>
    <w:rsid w:val="005F50DA"/>
    <w:rsid w:val="005F6A6B"/>
    <w:rsid w:val="005F7E7E"/>
    <w:rsid w:val="006046FC"/>
    <w:rsid w:val="0060587F"/>
    <w:rsid w:val="00606220"/>
    <w:rsid w:val="00610357"/>
    <w:rsid w:val="00610A8E"/>
    <w:rsid w:val="00610AD9"/>
    <w:rsid w:val="006114AB"/>
    <w:rsid w:val="0061252E"/>
    <w:rsid w:val="00612D1D"/>
    <w:rsid w:val="00613FC9"/>
    <w:rsid w:val="00615770"/>
    <w:rsid w:val="00616DD8"/>
    <w:rsid w:val="00621F95"/>
    <w:rsid w:val="006225AC"/>
    <w:rsid w:val="00622A3F"/>
    <w:rsid w:val="006231DB"/>
    <w:rsid w:val="0062342E"/>
    <w:rsid w:val="0062376C"/>
    <w:rsid w:val="0062662E"/>
    <w:rsid w:val="00626E4B"/>
    <w:rsid w:val="0063082B"/>
    <w:rsid w:val="00630ED9"/>
    <w:rsid w:val="00632D87"/>
    <w:rsid w:val="00633B6F"/>
    <w:rsid w:val="006360AF"/>
    <w:rsid w:val="0063784A"/>
    <w:rsid w:val="00637960"/>
    <w:rsid w:val="0064216F"/>
    <w:rsid w:val="00642437"/>
    <w:rsid w:val="006439C8"/>
    <w:rsid w:val="00644811"/>
    <w:rsid w:val="006465B7"/>
    <w:rsid w:val="006467D0"/>
    <w:rsid w:val="00646F42"/>
    <w:rsid w:val="00650A05"/>
    <w:rsid w:val="00650B6E"/>
    <w:rsid w:val="006518DD"/>
    <w:rsid w:val="006522FC"/>
    <w:rsid w:val="0065444C"/>
    <w:rsid w:val="00654920"/>
    <w:rsid w:val="0065678D"/>
    <w:rsid w:val="00657028"/>
    <w:rsid w:val="00657C7C"/>
    <w:rsid w:val="00661DFD"/>
    <w:rsid w:val="006628C0"/>
    <w:rsid w:val="00664F19"/>
    <w:rsid w:val="006654AA"/>
    <w:rsid w:val="006669BE"/>
    <w:rsid w:val="00666D61"/>
    <w:rsid w:val="00671FD4"/>
    <w:rsid w:val="00674F28"/>
    <w:rsid w:val="00675E56"/>
    <w:rsid w:val="006766AE"/>
    <w:rsid w:val="006770E9"/>
    <w:rsid w:val="00680B39"/>
    <w:rsid w:val="00681918"/>
    <w:rsid w:val="0068288F"/>
    <w:rsid w:val="00690F7C"/>
    <w:rsid w:val="00692A3E"/>
    <w:rsid w:val="006934B5"/>
    <w:rsid w:val="00693D90"/>
    <w:rsid w:val="0069486D"/>
    <w:rsid w:val="00694F71"/>
    <w:rsid w:val="00696465"/>
    <w:rsid w:val="00697BA7"/>
    <w:rsid w:val="006A03A7"/>
    <w:rsid w:val="006A2590"/>
    <w:rsid w:val="006A31EE"/>
    <w:rsid w:val="006A40BC"/>
    <w:rsid w:val="006A6C06"/>
    <w:rsid w:val="006A6E48"/>
    <w:rsid w:val="006B1D6C"/>
    <w:rsid w:val="006B3899"/>
    <w:rsid w:val="006B3AF5"/>
    <w:rsid w:val="006B3D06"/>
    <w:rsid w:val="006B4593"/>
    <w:rsid w:val="006B4AF0"/>
    <w:rsid w:val="006B55B4"/>
    <w:rsid w:val="006B57C8"/>
    <w:rsid w:val="006B5F77"/>
    <w:rsid w:val="006B7E57"/>
    <w:rsid w:val="006C0F87"/>
    <w:rsid w:val="006C4A12"/>
    <w:rsid w:val="006C5AFD"/>
    <w:rsid w:val="006C5C15"/>
    <w:rsid w:val="006C5DAF"/>
    <w:rsid w:val="006C7FC4"/>
    <w:rsid w:val="006D0D46"/>
    <w:rsid w:val="006D25B0"/>
    <w:rsid w:val="006D3847"/>
    <w:rsid w:val="006D512E"/>
    <w:rsid w:val="006D5932"/>
    <w:rsid w:val="006D64DA"/>
    <w:rsid w:val="006D650F"/>
    <w:rsid w:val="006D74E4"/>
    <w:rsid w:val="006E0146"/>
    <w:rsid w:val="006E08F1"/>
    <w:rsid w:val="006E11DC"/>
    <w:rsid w:val="006E1D76"/>
    <w:rsid w:val="006E3179"/>
    <w:rsid w:val="006E3872"/>
    <w:rsid w:val="006E70C6"/>
    <w:rsid w:val="006F02FE"/>
    <w:rsid w:val="006F1DA4"/>
    <w:rsid w:val="006F370D"/>
    <w:rsid w:val="006F3B1D"/>
    <w:rsid w:val="006F429F"/>
    <w:rsid w:val="006F437E"/>
    <w:rsid w:val="006F439B"/>
    <w:rsid w:val="006F4600"/>
    <w:rsid w:val="006F5F2E"/>
    <w:rsid w:val="006F7D5B"/>
    <w:rsid w:val="0070039E"/>
    <w:rsid w:val="00701CBA"/>
    <w:rsid w:val="00702C79"/>
    <w:rsid w:val="007036D6"/>
    <w:rsid w:val="00703D9E"/>
    <w:rsid w:val="00704921"/>
    <w:rsid w:val="007050EB"/>
    <w:rsid w:val="00705C26"/>
    <w:rsid w:val="00716871"/>
    <w:rsid w:val="0071728D"/>
    <w:rsid w:val="00717C9C"/>
    <w:rsid w:val="00720569"/>
    <w:rsid w:val="00721C6F"/>
    <w:rsid w:val="00722303"/>
    <w:rsid w:val="00723829"/>
    <w:rsid w:val="00735B5D"/>
    <w:rsid w:val="00736D6C"/>
    <w:rsid w:val="00736F92"/>
    <w:rsid w:val="007377CC"/>
    <w:rsid w:val="00737BD6"/>
    <w:rsid w:val="00743E9D"/>
    <w:rsid w:val="00745C24"/>
    <w:rsid w:val="0075200B"/>
    <w:rsid w:val="00752C85"/>
    <w:rsid w:val="00753551"/>
    <w:rsid w:val="00754320"/>
    <w:rsid w:val="00754B31"/>
    <w:rsid w:val="00754F23"/>
    <w:rsid w:val="007600E9"/>
    <w:rsid w:val="00760819"/>
    <w:rsid w:val="00762FC0"/>
    <w:rsid w:val="00764045"/>
    <w:rsid w:val="00766ACB"/>
    <w:rsid w:val="0077569E"/>
    <w:rsid w:val="00776CAC"/>
    <w:rsid w:val="00777CBC"/>
    <w:rsid w:val="007810AB"/>
    <w:rsid w:val="0078296B"/>
    <w:rsid w:val="0078423F"/>
    <w:rsid w:val="007845D5"/>
    <w:rsid w:val="00786459"/>
    <w:rsid w:val="00786BED"/>
    <w:rsid w:val="00786DA7"/>
    <w:rsid w:val="0078738C"/>
    <w:rsid w:val="007915BE"/>
    <w:rsid w:val="00792AE3"/>
    <w:rsid w:val="007930FB"/>
    <w:rsid w:val="00794E75"/>
    <w:rsid w:val="007973B4"/>
    <w:rsid w:val="00797A39"/>
    <w:rsid w:val="00797EAD"/>
    <w:rsid w:val="007A050B"/>
    <w:rsid w:val="007A1112"/>
    <w:rsid w:val="007A412A"/>
    <w:rsid w:val="007A5822"/>
    <w:rsid w:val="007A5DDD"/>
    <w:rsid w:val="007A7472"/>
    <w:rsid w:val="007B06C2"/>
    <w:rsid w:val="007B22EC"/>
    <w:rsid w:val="007B2A54"/>
    <w:rsid w:val="007B38AE"/>
    <w:rsid w:val="007B3FE8"/>
    <w:rsid w:val="007B437C"/>
    <w:rsid w:val="007B5C7A"/>
    <w:rsid w:val="007C187B"/>
    <w:rsid w:val="007C2FFB"/>
    <w:rsid w:val="007C3C36"/>
    <w:rsid w:val="007C6FB4"/>
    <w:rsid w:val="007C7191"/>
    <w:rsid w:val="007C7E1B"/>
    <w:rsid w:val="007D1180"/>
    <w:rsid w:val="007D2C60"/>
    <w:rsid w:val="007D50C5"/>
    <w:rsid w:val="007D6A7E"/>
    <w:rsid w:val="007D76C4"/>
    <w:rsid w:val="007E3E90"/>
    <w:rsid w:val="007E474B"/>
    <w:rsid w:val="007E6CB3"/>
    <w:rsid w:val="007F1A31"/>
    <w:rsid w:val="007F2399"/>
    <w:rsid w:val="007F25B3"/>
    <w:rsid w:val="007F2632"/>
    <w:rsid w:val="007F27EC"/>
    <w:rsid w:val="007F40B6"/>
    <w:rsid w:val="007F4332"/>
    <w:rsid w:val="00810A4A"/>
    <w:rsid w:val="00810F19"/>
    <w:rsid w:val="00811F3E"/>
    <w:rsid w:val="0081448C"/>
    <w:rsid w:val="00820EAE"/>
    <w:rsid w:val="00821551"/>
    <w:rsid w:val="00823833"/>
    <w:rsid w:val="00824A8A"/>
    <w:rsid w:val="008259D1"/>
    <w:rsid w:val="00827913"/>
    <w:rsid w:val="008304B3"/>
    <w:rsid w:val="008311F9"/>
    <w:rsid w:val="00831399"/>
    <w:rsid w:val="008319D4"/>
    <w:rsid w:val="00831B84"/>
    <w:rsid w:val="00831D98"/>
    <w:rsid w:val="0083264E"/>
    <w:rsid w:val="00833BC9"/>
    <w:rsid w:val="00833BF7"/>
    <w:rsid w:val="0083545E"/>
    <w:rsid w:val="00835B6A"/>
    <w:rsid w:val="00837061"/>
    <w:rsid w:val="00845BAF"/>
    <w:rsid w:val="0084683F"/>
    <w:rsid w:val="0085067F"/>
    <w:rsid w:val="008522B3"/>
    <w:rsid w:val="00854BC7"/>
    <w:rsid w:val="0086066C"/>
    <w:rsid w:val="00860869"/>
    <w:rsid w:val="00861126"/>
    <w:rsid w:val="0086208E"/>
    <w:rsid w:val="0086235F"/>
    <w:rsid w:val="008628C9"/>
    <w:rsid w:val="00862F6C"/>
    <w:rsid w:val="00862FEC"/>
    <w:rsid w:val="00863743"/>
    <w:rsid w:val="00865490"/>
    <w:rsid w:val="008720BC"/>
    <w:rsid w:val="008732A7"/>
    <w:rsid w:val="0087494F"/>
    <w:rsid w:val="00875403"/>
    <w:rsid w:val="008827A4"/>
    <w:rsid w:val="00884761"/>
    <w:rsid w:val="0088722C"/>
    <w:rsid w:val="00887CB9"/>
    <w:rsid w:val="0089399B"/>
    <w:rsid w:val="0089567F"/>
    <w:rsid w:val="008A3A7B"/>
    <w:rsid w:val="008A46B3"/>
    <w:rsid w:val="008A5870"/>
    <w:rsid w:val="008A5D3F"/>
    <w:rsid w:val="008A7AC7"/>
    <w:rsid w:val="008B022F"/>
    <w:rsid w:val="008B111F"/>
    <w:rsid w:val="008B447A"/>
    <w:rsid w:val="008B5109"/>
    <w:rsid w:val="008B574F"/>
    <w:rsid w:val="008B646E"/>
    <w:rsid w:val="008C3E23"/>
    <w:rsid w:val="008C41E0"/>
    <w:rsid w:val="008C4374"/>
    <w:rsid w:val="008C5FC6"/>
    <w:rsid w:val="008C74C1"/>
    <w:rsid w:val="008C7D00"/>
    <w:rsid w:val="008D1DDD"/>
    <w:rsid w:val="008D3FD4"/>
    <w:rsid w:val="008D7E0B"/>
    <w:rsid w:val="008E023A"/>
    <w:rsid w:val="008E02FC"/>
    <w:rsid w:val="008E097C"/>
    <w:rsid w:val="008E0CB6"/>
    <w:rsid w:val="008E1465"/>
    <w:rsid w:val="008E15F4"/>
    <w:rsid w:val="008E1987"/>
    <w:rsid w:val="008E2F00"/>
    <w:rsid w:val="008E35BA"/>
    <w:rsid w:val="008E3782"/>
    <w:rsid w:val="008E3B29"/>
    <w:rsid w:val="008E3DFC"/>
    <w:rsid w:val="008E430D"/>
    <w:rsid w:val="008E66ED"/>
    <w:rsid w:val="008F14D1"/>
    <w:rsid w:val="008F2A42"/>
    <w:rsid w:val="008F3E12"/>
    <w:rsid w:val="008F5AD8"/>
    <w:rsid w:val="008F6575"/>
    <w:rsid w:val="008F7C5A"/>
    <w:rsid w:val="008F7D4B"/>
    <w:rsid w:val="00902F9D"/>
    <w:rsid w:val="00904E81"/>
    <w:rsid w:val="00910A12"/>
    <w:rsid w:val="00916430"/>
    <w:rsid w:val="00916F8A"/>
    <w:rsid w:val="009210CB"/>
    <w:rsid w:val="00922A94"/>
    <w:rsid w:val="00922C0F"/>
    <w:rsid w:val="00923852"/>
    <w:rsid w:val="00923EC3"/>
    <w:rsid w:val="00924C99"/>
    <w:rsid w:val="009263DB"/>
    <w:rsid w:val="00927BF0"/>
    <w:rsid w:val="00930E7D"/>
    <w:rsid w:val="009327E1"/>
    <w:rsid w:val="00934DA4"/>
    <w:rsid w:val="00936B50"/>
    <w:rsid w:val="009432A7"/>
    <w:rsid w:val="00944767"/>
    <w:rsid w:val="00945210"/>
    <w:rsid w:val="00950237"/>
    <w:rsid w:val="009530D4"/>
    <w:rsid w:val="00954296"/>
    <w:rsid w:val="00962192"/>
    <w:rsid w:val="0096259B"/>
    <w:rsid w:val="0096296F"/>
    <w:rsid w:val="00966673"/>
    <w:rsid w:val="009668D7"/>
    <w:rsid w:val="009702E9"/>
    <w:rsid w:val="009716C6"/>
    <w:rsid w:val="0097559C"/>
    <w:rsid w:val="00976DE4"/>
    <w:rsid w:val="00981B3A"/>
    <w:rsid w:val="00981BB9"/>
    <w:rsid w:val="0098315D"/>
    <w:rsid w:val="00985F2C"/>
    <w:rsid w:val="00986BB0"/>
    <w:rsid w:val="00986BED"/>
    <w:rsid w:val="00987B88"/>
    <w:rsid w:val="00990750"/>
    <w:rsid w:val="0099153F"/>
    <w:rsid w:val="0099158E"/>
    <w:rsid w:val="00992225"/>
    <w:rsid w:val="009A6106"/>
    <w:rsid w:val="009A649E"/>
    <w:rsid w:val="009A79A2"/>
    <w:rsid w:val="009B2FA4"/>
    <w:rsid w:val="009B4581"/>
    <w:rsid w:val="009B6B47"/>
    <w:rsid w:val="009B7E53"/>
    <w:rsid w:val="009C0004"/>
    <w:rsid w:val="009C1CD7"/>
    <w:rsid w:val="009C1D95"/>
    <w:rsid w:val="009C22B1"/>
    <w:rsid w:val="009C586B"/>
    <w:rsid w:val="009C64EC"/>
    <w:rsid w:val="009C7BBC"/>
    <w:rsid w:val="009D08D2"/>
    <w:rsid w:val="009D0D37"/>
    <w:rsid w:val="009D0F54"/>
    <w:rsid w:val="009D24C9"/>
    <w:rsid w:val="009D566A"/>
    <w:rsid w:val="009D7488"/>
    <w:rsid w:val="009D7B60"/>
    <w:rsid w:val="009D7B91"/>
    <w:rsid w:val="009E1A74"/>
    <w:rsid w:val="009E46E7"/>
    <w:rsid w:val="009E5E1D"/>
    <w:rsid w:val="009E6616"/>
    <w:rsid w:val="009E76B6"/>
    <w:rsid w:val="009F0530"/>
    <w:rsid w:val="009F3F9A"/>
    <w:rsid w:val="009F3FF2"/>
    <w:rsid w:val="009F41D6"/>
    <w:rsid w:val="009F4DBD"/>
    <w:rsid w:val="009F5770"/>
    <w:rsid w:val="009F6E10"/>
    <w:rsid w:val="00A00DD8"/>
    <w:rsid w:val="00A01DB7"/>
    <w:rsid w:val="00A03092"/>
    <w:rsid w:val="00A0386C"/>
    <w:rsid w:val="00A068F4"/>
    <w:rsid w:val="00A06DCC"/>
    <w:rsid w:val="00A1103A"/>
    <w:rsid w:val="00A11A3E"/>
    <w:rsid w:val="00A13AE7"/>
    <w:rsid w:val="00A14DF2"/>
    <w:rsid w:val="00A15C72"/>
    <w:rsid w:val="00A17BA5"/>
    <w:rsid w:val="00A20477"/>
    <w:rsid w:val="00A21BB4"/>
    <w:rsid w:val="00A2272D"/>
    <w:rsid w:val="00A24407"/>
    <w:rsid w:val="00A267BA"/>
    <w:rsid w:val="00A30722"/>
    <w:rsid w:val="00A31345"/>
    <w:rsid w:val="00A327AF"/>
    <w:rsid w:val="00A330DD"/>
    <w:rsid w:val="00A37EDE"/>
    <w:rsid w:val="00A40214"/>
    <w:rsid w:val="00A44299"/>
    <w:rsid w:val="00A44B80"/>
    <w:rsid w:val="00A451C1"/>
    <w:rsid w:val="00A500FF"/>
    <w:rsid w:val="00A50C99"/>
    <w:rsid w:val="00A560E4"/>
    <w:rsid w:val="00A56BA7"/>
    <w:rsid w:val="00A61D09"/>
    <w:rsid w:val="00A63A22"/>
    <w:rsid w:val="00A64BFC"/>
    <w:rsid w:val="00A657CE"/>
    <w:rsid w:val="00A6778B"/>
    <w:rsid w:val="00A709BB"/>
    <w:rsid w:val="00A71BD8"/>
    <w:rsid w:val="00A71E68"/>
    <w:rsid w:val="00A736AE"/>
    <w:rsid w:val="00A73E7A"/>
    <w:rsid w:val="00A742BD"/>
    <w:rsid w:val="00A80C3A"/>
    <w:rsid w:val="00A81797"/>
    <w:rsid w:val="00A81804"/>
    <w:rsid w:val="00A81874"/>
    <w:rsid w:val="00A8321A"/>
    <w:rsid w:val="00A84347"/>
    <w:rsid w:val="00A846C6"/>
    <w:rsid w:val="00A847AA"/>
    <w:rsid w:val="00A85814"/>
    <w:rsid w:val="00A865D6"/>
    <w:rsid w:val="00A91ABD"/>
    <w:rsid w:val="00A92DC3"/>
    <w:rsid w:val="00A96BF0"/>
    <w:rsid w:val="00AA2A4C"/>
    <w:rsid w:val="00AA305E"/>
    <w:rsid w:val="00AA4F86"/>
    <w:rsid w:val="00AA51B2"/>
    <w:rsid w:val="00AA624A"/>
    <w:rsid w:val="00AA74DC"/>
    <w:rsid w:val="00AB05C0"/>
    <w:rsid w:val="00AB0952"/>
    <w:rsid w:val="00AB2A2B"/>
    <w:rsid w:val="00AB6153"/>
    <w:rsid w:val="00AB7745"/>
    <w:rsid w:val="00AC1FFD"/>
    <w:rsid w:val="00AC3170"/>
    <w:rsid w:val="00AC317C"/>
    <w:rsid w:val="00AC35FC"/>
    <w:rsid w:val="00AC3BDE"/>
    <w:rsid w:val="00AD0B02"/>
    <w:rsid w:val="00AD1270"/>
    <w:rsid w:val="00AD146D"/>
    <w:rsid w:val="00AD17CC"/>
    <w:rsid w:val="00AD2F0B"/>
    <w:rsid w:val="00AD68BA"/>
    <w:rsid w:val="00AD6F18"/>
    <w:rsid w:val="00AD7AEF"/>
    <w:rsid w:val="00AE18A7"/>
    <w:rsid w:val="00AE26D9"/>
    <w:rsid w:val="00AE46F3"/>
    <w:rsid w:val="00AE5D32"/>
    <w:rsid w:val="00AE79BF"/>
    <w:rsid w:val="00AF4238"/>
    <w:rsid w:val="00AF53B2"/>
    <w:rsid w:val="00AF565C"/>
    <w:rsid w:val="00AF5D12"/>
    <w:rsid w:val="00AF6463"/>
    <w:rsid w:val="00AF646B"/>
    <w:rsid w:val="00B01A24"/>
    <w:rsid w:val="00B043DE"/>
    <w:rsid w:val="00B078F1"/>
    <w:rsid w:val="00B07B2F"/>
    <w:rsid w:val="00B07B95"/>
    <w:rsid w:val="00B1115D"/>
    <w:rsid w:val="00B11CBA"/>
    <w:rsid w:val="00B12FF3"/>
    <w:rsid w:val="00B1444F"/>
    <w:rsid w:val="00B1544E"/>
    <w:rsid w:val="00B2048F"/>
    <w:rsid w:val="00B2559E"/>
    <w:rsid w:val="00B25F63"/>
    <w:rsid w:val="00B26B9F"/>
    <w:rsid w:val="00B26E0E"/>
    <w:rsid w:val="00B278D5"/>
    <w:rsid w:val="00B3208E"/>
    <w:rsid w:val="00B328B9"/>
    <w:rsid w:val="00B32A6C"/>
    <w:rsid w:val="00B32B94"/>
    <w:rsid w:val="00B352C9"/>
    <w:rsid w:val="00B3604B"/>
    <w:rsid w:val="00B3624F"/>
    <w:rsid w:val="00B405CF"/>
    <w:rsid w:val="00B44363"/>
    <w:rsid w:val="00B4562D"/>
    <w:rsid w:val="00B471C4"/>
    <w:rsid w:val="00B50295"/>
    <w:rsid w:val="00B5036E"/>
    <w:rsid w:val="00B51004"/>
    <w:rsid w:val="00B5145F"/>
    <w:rsid w:val="00B52A31"/>
    <w:rsid w:val="00B545F7"/>
    <w:rsid w:val="00B55B87"/>
    <w:rsid w:val="00B6027D"/>
    <w:rsid w:val="00B60FE7"/>
    <w:rsid w:val="00B65AB7"/>
    <w:rsid w:val="00B664E2"/>
    <w:rsid w:val="00B71E97"/>
    <w:rsid w:val="00B739EA"/>
    <w:rsid w:val="00B76F3D"/>
    <w:rsid w:val="00B77948"/>
    <w:rsid w:val="00B80145"/>
    <w:rsid w:val="00B803F7"/>
    <w:rsid w:val="00B80ECF"/>
    <w:rsid w:val="00B81303"/>
    <w:rsid w:val="00B8308A"/>
    <w:rsid w:val="00B836B0"/>
    <w:rsid w:val="00B840B9"/>
    <w:rsid w:val="00B85A2E"/>
    <w:rsid w:val="00B86DE4"/>
    <w:rsid w:val="00B87ADA"/>
    <w:rsid w:val="00B92145"/>
    <w:rsid w:val="00B941FF"/>
    <w:rsid w:val="00B9478E"/>
    <w:rsid w:val="00B959E0"/>
    <w:rsid w:val="00BA1FFC"/>
    <w:rsid w:val="00BA339E"/>
    <w:rsid w:val="00BA4E98"/>
    <w:rsid w:val="00BA54E3"/>
    <w:rsid w:val="00BA6D5D"/>
    <w:rsid w:val="00BB670B"/>
    <w:rsid w:val="00BB7A2C"/>
    <w:rsid w:val="00BC0A44"/>
    <w:rsid w:val="00BC1520"/>
    <w:rsid w:val="00BC1823"/>
    <w:rsid w:val="00BC2E78"/>
    <w:rsid w:val="00BC41B3"/>
    <w:rsid w:val="00BC5D06"/>
    <w:rsid w:val="00BD2C43"/>
    <w:rsid w:val="00BD35CC"/>
    <w:rsid w:val="00BD35D0"/>
    <w:rsid w:val="00BD505B"/>
    <w:rsid w:val="00BD556F"/>
    <w:rsid w:val="00BE0053"/>
    <w:rsid w:val="00BE0C8A"/>
    <w:rsid w:val="00BE13EA"/>
    <w:rsid w:val="00BE51BC"/>
    <w:rsid w:val="00BE648C"/>
    <w:rsid w:val="00BF02A9"/>
    <w:rsid w:val="00BF087C"/>
    <w:rsid w:val="00BF1C94"/>
    <w:rsid w:val="00BF1D0B"/>
    <w:rsid w:val="00BF2399"/>
    <w:rsid w:val="00BF27DE"/>
    <w:rsid w:val="00BF3947"/>
    <w:rsid w:val="00BF4366"/>
    <w:rsid w:val="00BF56A7"/>
    <w:rsid w:val="00C00CD7"/>
    <w:rsid w:val="00C01AD3"/>
    <w:rsid w:val="00C02F09"/>
    <w:rsid w:val="00C03189"/>
    <w:rsid w:val="00C0364A"/>
    <w:rsid w:val="00C0370B"/>
    <w:rsid w:val="00C05821"/>
    <w:rsid w:val="00C05C3D"/>
    <w:rsid w:val="00C06966"/>
    <w:rsid w:val="00C100C8"/>
    <w:rsid w:val="00C110D7"/>
    <w:rsid w:val="00C12A4A"/>
    <w:rsid w:val="00C12BC8"/>
    <w:rsid w:val="00C12F3D"/>
    <w:rsid w:val="00C165BF"/>
    <w:rsid w:val="00C17D96"/>
    <w:rsid w:val="00C20FCF"/>
    <w:rsid w:val="00C31152"/>
    <w:rsid w:val="00C316F9"/>
    <w:rsid w:val="00C32D45"/>
    <w:rsid w:val="00C32F5D"/>
    <w:rsid w:val="00C3434C"/>
    <w:rsid w:val="00C3460F"/>
    <w:rsid w:val="00C36780"/>
    <w:rsid w:val="00C40A66"/>
    <w:rsid w:val="00C41114"/>
    <w:rsid w:val="00C41E38"/>
    <w:rsid w:val="00C44C51"/>
    <w:rsid w:val="00C47D50"/>
    <w:rsid w:val="00C522F2"/>
    <w:rsid w:val="00C53225"/>
    <w:rsid w:val="00C532D6"/>
    <w:rsid w:val="00C539B5"/>
    <w:rsid w:val="00C549EF"/>
    <w:rsid w:val="00C571BB"/>
    <w:rsid w:val="00C57C07"/>
    <w:rsid w:val="00C60871"/>
    <w:rsid w:val="00C65D6E"/>
    <w:rsid w:val="00C6607D"/>
    <w:rsid w:val="00C667CA"/>
    <w:rsid w:val="00C67B2B"/>
    <w:rsid w:val="00C721F8"/>
    <w:rsid w:val="00C7507B"/>
    <w:rsid w:val="00C76E33"/>
    <w:rsid w:val="00C778DF"/>
    <w:rsid w:val="00C8132F"/>
    <w:rsid w:val="00C81499"/>
    <w:rsid w:val="00C82ACA"/>
    <w:rsid w:val="00C8358C"/>
    <w:rsid w:val="00C84026"/>
    <w:rsid w:val="00C87F50"/>
    <w:rsid w:val="00C906B6"/>
    <w:rsid w:val="00C95EC9"/>
    <w:rsid w:val="00C96861"/>
    <w:rsid w:val="00CA3FB4"/>
    <w:rsid w:val="00CA464A"/>
    <w:rsid w:val="00CA4846"/>
    <w:rsid w:val="00CA4C0A"/>
    <w:rsid w:val="00CA718F"/>
    <w:rsid w:val="00CB1807"/>
    <w:rsid w:val="00CB3997"/>
    <w:rsid w:val="00CB3A7C"/>
    <w:rsid w:val="00CB5745"/>
    <w:rsid w:val="00CB59B9"/>
    <w:rsid w:val="00CB5B20"/>
    <w:rsid w:val="00CC0352"/>
    <w:rsid w:val="00CC109C"/>
    <w:rsid w:val="00CC2D6B"/>
    <w:rsid w:val="00CC4835"/>
    <w:rsid w:val="00CC5FA0"/>
    <w:rsid w:val="00CC6C58"/>
    <w:rsid w:val="00CD3436"/>
    <w:rsid w:val="00CD5162"/>
    <w:rsid w:val="00CD5B8D"/>
    <w:rsid w:val="00CE37D0"/>
    <w:rsid w:val="00CE45A2"/>
    <w:rsid w:val="00CE6CD4"/>
    <w:rsid w:val="00CF0FEB"/>
    <w:rsid w:val="00CF28A2"/>
    <w:rsid w:val="00CF5B5C"/>
    <w:rsid w:val="00D00B51"/>
    <w:rsid w:val="00D020A0"/>
    <w:rsid w:val="00D02995"/>
    <w:rsid w:val="00D03EFB"/>
    <w:rsid w:val="00D04861"/>
    <w:rsid w:val="00D04DB6"/>
    <w:rsid w:val="00D04F1F"/>
    <w:rsid w:val="00D057C0"/>
    <w:rsid w:val="00D05E19"/>
    <w:rsid w:val="00D113E1"/>
    <w:rsid w:val="00D116FA"/>
    <w:rsid w:val="00D11EEA"/>
    <w:rsid w:val="00D13874"/>
    <w:rsid w:val="00D140C5"/>
    <w:rsid w:val="00D15A26"/>
    <w:rsid w:val="00D16D65"/>
    <w:rsid w:val="00D2058E"/>
    <w:rsid w:val="00D21A64"/>
    <w:rsid w:val="00D21B1F"/>
    <w:rsid w:val="00D22002"/>
    <w:rsid w:val="00D220A4"/>
    <w:rsid w:val="00D23F06"/>
    <w:rsid w:val="00D24550"/>
    <w:rsid w:val="00D25E8E"/>
    <w:rsid w:val="00D267A8"/>
    <w:rsid w:val="00D279A5"/>
    <w:rsid w:val="00D30C23"/>
    <w:rsid w:val="00D312F3"/>
    <w:rsid w:val="00D31C8A"/>
    <w:rsid w:val="00D31F4C"/>
    <w:rsid w:val="00D33652"/>
    <w:rsid w:val="00D41F64"/>
    <w:rsid w:val="00D475F5"/>
    <w:rsid w:val="00D47997"/>
    <w:rsid w:val="00D50DA0"/>
    <w:rsid w:val="00D563BB"/>
    <w:rsid w:val="00D56F81"/>
    <w:rsid w:val="00D57EF9"/>
    <w:rsid w:val="00D6402A"/>
    <w:rsid w:val="00D652B7"/>
    <w:rsid w:val="00D65EFA"/>
    <w:rsid w:val="00D6789F"/>
    <w:rsid w:val="00D67C8C"/>
    <w:rsid w:val="00D75107"/>
    <w:rsid w:val="00D77899"/>
    <w:rsid w:val="00D77CC5"/>
    <w:rsid w:val="00D8085C"/>
    <w:rsid w:val="00D80D58"/>
    <w:rsid w:val="00D811D7"/>
    <w:rsid w:val="00D82865"/>
    <w:rsid w:val="00D83932"/>
    <w:rsid w:val="00D844D4"/>
    <w:rsid w:val="00D84D20"/>
    <w:rsid w:val="00D85FBF"/>
    <w:rsid w:val="00D87FFB"/>
    <w:rsid w:val="00D90140"/>
    <w:rsid w:val="00D9185B"/>
    <w:rsid w:val="00D91C6F"/>
    <w:rsid w:val="00D91E64"/>
    <w:rsid w:val="00DA0042"/>
    <w:rsid w:val="00DA085C"/>
    <w:rsid w:val="00DA1692"/>
    <w:rsid w:val="00DA569C"/>
    <w:rsid w:val="00DA57ED"/>
    <w:rsid w:val="00DA60AB"/>
    <w:rsid w:val="00DA61D5"/>
    <w:rsid w:val="00DB0571"/>
    <w:rsid w:val="00DB5209"/>
    <w:rsid w:val="00DB6804"/>
    <w:rsid w:val="00DC2154"/>
    <w:rsid w:val="00DC752C"/>
    <w:rsid w:val="00DC7A71"/>
    <w:rsid w:val="00DD1024"/>
    <w:rsid w:val="00DD35FB"/>
    <w:rsid w:val="00DD6CB3"/>
    <w:rsid w:val="00DE3F3D"/>
    <w:rsid w:val="00DE7C4A"/>
    <w:rsid w:val="00DF1354"/>
    <w:rsid w:val="00DF2BFA"/>
    <w:rsid w:val="00DF3343"/>
    <w:rsid w:val="00DF3B97"/>
    <w:rsid w:val="00DF4A8B"/>
    <w:rsid w:val="00DF4D62"/>
    <w:rsid w:val="00DF632E"/>
    <w:rsid w:val="00DF69E0"/>
    <w:rsid w:val="00DF7CB4"/>
    <w:rsid w:val="00E00015"/>
    <w:rsid w:val="00E002CC"/>
    <w:rsid w:val="00E01341"/>
    <w:rsid w:val="00E0160E"/>
    <w:rsid w:val="00E01982"/>
    <w:rsid w:val="00E05BDB"/>
    <w:rsid w:val="00E05DC4"/>
    <w:rsid w:val="00E065CA"/>
    <w:rsid w:val="00E06628"/>
    <w:rsid w:val="00E105A0"/>
    <w:rsid w:val="00E110EB"/>
    <w:rsid w:val="00E130DC"/>
    <w:rsid w:val="00E13FFB"/>
    <w:rsid w:val="00E140CB"/>
    <w:rsid w:val="00E14483"/>
    <w:rsid w:val="00E14EA1"/>
    <w:rsid w:val="00E15641"/>
    <w:rsid w:val="00E15D02"/>
    <w:rsid w:val="00E20B4C"/>
    <w:rsid w:val="00E23B88"/>
    <w:rsid w:val="00E265A6"/>
    <w:rsid w:val="00E30785"/>
    <w:rsid w:val="00E327EE"/>
    <w:rsid w:val="00E35113"/>
    <w:rsid w:val="00E374B3"/>
    <w:rsid w:val="00E4007E"/>
    <w:rsid w:val="00E40E9E"/>
    <w:rsid w:val="00E43E20"/>
    <w:rsid w:val="00E4620A"/>
    <w:rsid w:val="00E470AE"/>
    <w:rsid w:val="00E524E3"/>
    <w:rsid w:val="00E52B06"/>
    <w:rsid w:val="00E54327"/>
    <w:rsid w:val="00E54B73"/>
    <w:rsid w:val="00E552B1"/>
    <w:rsid w:val="00E56A65"/>
    <w:rsid w:val="00E65146"/>
    <w:rsid w:val="00E65C3A"/>
    <w:rsid w:val="00E6627E"/>
    <w:rsid w:val="00E7057E"/>
    <w:rsid w:val="00E714FA"/>
    <w:rsid w:val="00E747EF"/>
    <w:rsid w:val="00E76241"/>
    <w:rsid w:val="00E76246"/>
    <w:rsid w:val="00E81083"/>
    <w:rsid w:val="00E82470"/>
    <w:rsid w:val="00E82919"/>
    <w:rsid w:val="00E82FC7"/>
    <w:rsid w:val="00E8379E"/>
    <w:rsid w:val="00E83B3A"/>
    <w:rsid w:val="00E87192"/>
    <w:rsid w:val="00E8768D"/>
    <w:rsid w:val="00E90F04"/>
    <w:rsid w:val="00E93E8D"/>
    <w:rsid w:val="00E95B67"/>
    <w:rsid w:val="00E95C90"/>
    <w:rsid w:val="00E95EB0"/>
    <w:rsid w:val="00E96353"/>
    <w:rsid w:val="00EA1347"/>
    <w:rsid w:val="00EA2A21"/>
    <w:rsid w:val="00EA2A27"/>
    <w:rsid w:val="00EB4277"/>
    <w:rsid w:val="00EB471B"/>
    <w:rsid w:val="00EB61EA"/>
    <w:rsid w:val="00EC4E22"/>
    <w:rsid w:val="00ED030A"/>
    <w:rsid w:val="00ED17DE"/>
    <w:rsid w:val="00ED2D6A"/>
    <w:rsid w:val="00ED323C"/>
    <w:rsid w:val="00ED4913"/>
    <w:rsid w:val="00ED6AF6"/>
    <w:rsid w:val="00EE4C90"/>
    <w:rsid w:val="00EE4E98"/>
    <w:rsid w:val="00EE51F7"/>
    <w:rsid w:val="00EE5328"/>
    <w:rsid w:val="00EE72B8"/>
    <w:rsid w:val="00EF1E50"/>
    <w:rsid w:val="00EF39D5"/>
    <w:rsid w:val="00EF4FBB"/>
    <w:rsid w:val="00EF52FD"/>
    <w:rsid w:val="00EF7FAF"/>
    <w:rsid w:val="00F00120"/>
    <w:rsid w:val="00F00658"/>
    <w:rsid w:val="00F00761"/>
    <w:rsid w:val="00F0077D"/>
    <w:rsid w:val="00F01DB7"/>
    <w:rsid w:val="00F02319"/>
    <w:rsid w:val="00F0333C"/>
    <w:rsid w:val="00F03686"/>
    <w:rsid w:val="00F05CD3"/>
    <w:rsid w:val="00F07E89"/>
    <w:rsid w:val="00F12051"/>
    <w:rsid w:val="00F120CC"/>
    <w:rsid w:val="00F136B5"/>
    <w:rsid w:val="00F136CA"/>
    <w:rsid w:val="00F15336"/>
    <w:rsid w:val="00F167A8"/>
    <w:rsid w:val="00F2325A"/>
    <w:rsid w:val="00F23F56"/>
    <w:rsid w:val="00F3189E"/>
    <w:rsid w:val="00F346A3"/>
    <w:rsid w:val="00F35C31"/>
    <w:rsid w:val="00F40559"/>
    <w:rsid w:val="00F41FFD"/>
    <w:rsid w:val="00F4230B"/>
    <w:rsid w:val="00F42FED"/>
    <w:rsid w:val="00F43618"/>
    <w:rsid w:val="00F43772"/>
    <w:rsid w:val="00F438DC"/>
    <w:rsid w:val="00F43E61"/>
    <w:rsid w:val="00F44768"/>
    <w:rsid w:val="00F44967"/>
    <w:rsid w:val="00F451AD"/>
    <w:rsid w:val="00F454A9"/>
    <w:rsid w:val="00F464DA"/>
    <w:rsid w:val="00F46EF6"/>
    <w:rsid w:val="00F50B44"/>
    <w:rsid w:val="00F51D64"/>
    <w:rsid w:val="00F52E69"/>
    <w:rsid w:val="00F60318"/>
    <w:rsid w:val="00F6080F"/>
    <w:rsid w:val="00F66924"/>
    <w:rsid w:val="00F676BE"/>
    <w:rsid w:val="00F67F00"/>
    <w:rsid w:val="00F70A4D"/>
    <w:rsid w:val="00F70EB3"/>
    <w:rsid w:val="00F7122D"/>
    <w:rsid w:val="00F72017"/>
    <w:rsid w:val="00F72A57"/>
    <w:rsid w:val="00F80243"/>
    <w:rsid w:val="00F80315"/>
    <w:rsid w:val="00F81918"/>
    <w:rsid w:val="00F84620"/>
    <w:rsid w:val="00F85AE4"/>
    <w:rsid w:val="00F902B4"/>
    <w:rsid w:val="00F9036F"/>
    <w:rsid w:val="00F91A14"/>
    <w:rsid w:val="00F96F53"/>
    <w:rsid w:val="00FA251A"/>
    <w:rsid w:val="00FA269F"/>
    <w:rsid w:val="00FA2C9A"/>
    <w:rsid w:val="00FA2FCC"/>
    <w:rsid w:val="00FA5225"/>
    <w:rsid w:val="00FA650A"/>
    <w:rsid w:val="00FB15A1"/>
    <w:rsid w:val="00FB1889"/>
    <w:rsid w:val="00FB1BEE"/>
    <w:rsid w:val="00FB1E18"/>
    <w:rsid w:val="00FB23C0"/>
    <w:rsid w:val="00FB484D"/>
    <w:rsid w:val="00FB4E12"/>
    <w:rsid w:val="00FB662B"/>
    <w:rsid w:val="00FC084F"/>
    <w:rsid w:val="00FC24D3"/>
    <w:rsid w:val="00FC4283"/>
    <w:rsid w:val="00FC5D55"/>
    <w:rsid w:val="00FC6284"/>
    <w:rsid w:val="00FD3F03"/>
    <w:rsid w:val="00FD49A3"/>
    <w:rsid w:val="00FD6EB5"/>
    <w:rsid w:val="00FD70B5"/>
    <w:rsid w:val="00FD78DB"/>
    <w:rsid w:val="00FD7B81"/>
    <w:rsid w:val="00FE14A1"/>
    <w:rsid w:val="00FE1DBE"/>
    <w:rsid w:val="00FE2361"/>
    <w:rsid w:val="00FE44AB"/>
    <w:rsid w:val="00FE46EC"/>
    <w:rsid w:val="00FE470E"/>
    <w:rsid w:val="00FE5862"/>
    <w:rsid w:val="00FF15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No Spacing" w:qFormat="1"/>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zh-CN"/>
    </w:rPr>
  </w:style>
  <w:style w:type="paragraph" w:styleId="Heading1">
    <w:name w:val="heading 1"/>
    <w:basedOn w:val="Normal"/>
    <w:next w:val="Normal"/>
    <w:link w:val="Heading1Char"/>
    <w:qFormat/>
    <w:rsid w:val="00E714F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714FA"/>
    <w:pPr>
      <w:keepNext/>
      <w:numPr>
        <w:ilvl w:val="1"/>
        <w:numId w:val="40"/>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714FA"/>
    <w:pPr>
      <w:keepNext/>
      <w:numPr>
        <w:ilvl w:val="2"/>
        <w:numId w:val="40"/>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52346"/>
    <w:pPr>
      <w:keepNext/>
      <w:spacing w:before="240" w:after="60"/>
      <w:outlineLvl w:val="3"/>
    </w:pPr>
    <w:rPr>
      <w:rFonts w:ascii="Cambria" w:eastAsia="MS Mincho" w:hAnsi="Cambria"/>
      <w:b/>
      <w:bCs/>
      <w:sz w:val="28"/>
      <w:szCs w:val="28"/>
    </w:rPr>
  </w:style>
  <w:style w:type="paragraph" w:styleId="Heading5">
    <w:name w:val="heading 5"/>
    <w:basedOn w:val="Normal"/>
    <w:next w:val="Normal"/>
    <w:link w:val="Heading5Char"/>
    <w:qFormat/>
    <w:rsid w:val="004B0B88"/>
    <w:pPr>
      <w:spacing w:after="240"/>
      <w:ind w:left="2880" w:hanging="720"/>
      <w:jc w:val="both"/>
      <w:outlineLvl w:val="4"/>
    </w:pPr>
    <w:rPr>
      <w:rFonts w:ascii="Arial" w:hAnsi="Arial"/>
      <w:b/>
      <w:sz w:val="22"/>
      <w:lang w:eastAsia="en-US"/>
    </w:rPr>
  </w:style>
  <w:style w:type="paragraph" w:styleId="Heading6">
    <w:name w:val="heading 6"/>
    <w:basedOn w:val="Normal"/>
    <w:next w:val="Normal"/>
    <w:link w:val="Heading6Char"/>
    <w:qFormat/>
    <w:rsid w:val="000A47E4"/>
    <w:pPr>
      <w:keepNext/>
      <w:numPr>
        <w:ilvl w:val="5"/>
        <w:numId w:val="40"/>
      </w:numPr>
      <w:outlineLvl w:val="5"/>
    </w:pPr>
    <w:rPr>
      <w:b/>
      <w:bCs/>
      <w:sz w:val="24"/>
      <w:szCs w:val="24"/>
      <w:lang w:val="en-AU" w:eastAsia="en-US"/>
    </w:rPr>
  </w:style>
  <w:style w:type="paragraph" w:styleId="Heading7">
    <w:name w:val="heading 7"/>
    <w:basedOn w:val="Normal"/>
    <w:next w:val="Normal"/>
    <w:link w:val="Heading7Char"/>
    <w:qFormat/>
    <w:rsid w:val="004B0B88"/>
    <w:pPr>
      <w:spacing w:before="240" w:after="60"/>
      <w:ind w:left="5040" w:hanging="720"/>
      <w:jc w:val="both"/>
      <w:outlineLvl w:val="6"/>
    </w:pPr>
    <w:rPr>
      <w:rFonts w:ascii="Arial" w:hAnsi="Arial"/>
      <w:lang w:eastAsia="en-US"/>
    </w:rPr>
  </w:style>
  <w:style w:type="paragraph" w:styleId="Heading8">
    <w:name w:val="heading 8"/>
    <w:basedOn w:val="Normal"/>
    <w:next w:val="Normal"/>
    <w:link w:val="Heading8Char"/>
    <w:qFormat/>
    <w:rsid w:val="004B0B88"/>
    <w:pPr>
      <w:spacing w:before="240" w:after="60"/>
      <w:ind w:left="5760" w:hanging="720"/>
      <w:jc w:val="both"/>
      <w:outlineLvl w:val="7"/>
    </w:pPr>
    <w:rPr>
      <w:rFonts w:ascii="Arial" w:hAnsi="Arial"/>
      <w:i/>
      <w:lang w:eastAsia="en-US"/>
    </w:rPr>
  </w:style>
  <w:style w:type="paragraph" w:styleId="Heading9">
    <w:name w:val="heading 9"/>
    <w:basedOn w:val="Normal"/>
    <w:next w:val="Normal"/>
    <w:link w:val="Heading9Char"/>
    <w:qFormat/>
    <w:rsid w:val="004B0B88"/>
    <w:pPr>
      <w:spacing w:before="240" w:after="60"/>
      <w:ind w:left="6480" w:hanging="720"/>
      <w:jc w:val="both"/>
      <w:outlineLvl w:val="8"/>
    </w:pPr>
    <w:rPr>
      <w:rFonts w:ascii="Arial" w:hAnsi="Arial"/>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8315D"/>
    <w:rPr>
      <w:rFonts w:ascii="Arial" w:hAnsi="Arial" w:cs="Arial"/>
      <w:b/>
      <w:bCs/>
      <w:kern w:val="32"/>
      <w:sz w:val="32"/>
      <w:szCs w:val="32"/>
      <w:lang w:val="en-US" w:eastAsia="zh-CN"/>
    </w:rPr>
  </w:style>
  <w:style w:type="character" w:customStyle="1" w:styleId="Heading2Char">
    <w:name w:val="Heading 2 Char"/>
    <w:link w:val="Heading2"/>
    <w:rsid w:val="0098315D"/>
    <w:rPr>
      <w:rFonts w:ascii="Arial" w:hAnsi="Arial" w:cs="Arial"/>
      <w:b/>
      <w:bCs/>
      <w:i/>
      <w:iCs/>
      <w:sz w:val="28"/>
      <w:szCs w:val="28"/>
      <w:lang w:val="en-US" w:eastAsia="zh-CN"/>
    </w:rPr>
  </w:style>
  <w:style w:type="character" w:customStyle="1" w:styleId="Heading3Char">
    <w:name w:val="Heading 3 Char"/>
    <w:link w:val="Heading3"/>
    <w:rsid w:val="00AB05C0"/>
    <w:rPr>
      <w:rFonts w:ascii="Arial" w:hAnsi="Arial" w:cs="Arial"/>
      <w:b/>
      <w:bCs/>
      <w:sz w:val="26"/>
      <w:szCs w:val="26"/>
    </w:rPr>
  </w:style>
  <w:style w:type="character" w:customStyle="1" w:styleId="Heading4Char">
    <w:name w:val="Heading 4 Char"/>
    <w:link w:val="Heading4"/>
    <w:rsid w:val="00152346"/>
    <w:rPr>
      <w:rFonts w:ascii="Cambria" w:eastAsia="MS Mincho" w:hAnsi="Cambria" w:cs="Times New Roman"/>
      <w:b/>
      <w:bCs/>
      <w:sz w:val="28"/>
      <w:szCs w:val="28"/>
      <w:lang w:val="en-US" w:eastAsia="zh-CN"/>
    </w:rPr>
  </w:style>
  <w:style w:type="character" w:customStyle="1" w:styleId="Heading6Char">
    <w:name w:val="Heading 6 Char"/>
    <w:link w:val="Heading6"/>
    <w:rsid w:val="0057598A"/>
    <w:rPr>
      <w:b/>
      <w:bCs/>
      <w:sz w:val="24"/>
      <w:szCs w:val="24"/>
    </w:rPr>
  </w:style>
  <w:style w:type="paragraph" w:styleId="BodyText">
    <w:name w:val="Body Text"/>
    <w:basedOn w:val="Normal"/>
    <w:rPr>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jc w:val="center"/>
    </w:pPr>
    <w:rPr>
      <w:sz w:val="24"/>
      <w:szCs w:val="24"/>
    </w:rPr>
  </w:style>
  <w:style w:type="table" w:styleId="TableGrid">
    <w:name w:val="Table Grid"/>
    <w:basedOn w:val="TableNormal"/>
    <w:rsid w:val="001D5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31B84"/>
    <w:rPr>
      <w:rFonts w:ascii="Tahoma" w:hAnsi="Tahoma" w:cs="Tahoma"/>
      <w:sz w:val="16"/>
      <w:szCs w:val="16"/>
    </w:rPr>
  </w:style>
  <w:style w:type="character" w:customStyle="1" w:styleId="BalloonTextChar">
    <w:name w:val="Balloon Text Char"/>
    <w:link w:val="BalloonText"/>
    <w:uiPriority w:val="99"/>
    <w:semiHidden/>
    <w:rsid w:val="0057598A"/>
    <w:rPr>
      <w:rFonts w:ascii="Tahoma" w:hAnsi="Tahoma" w:cs="Tahoma"/>
      <w:sz w:val="16"/>
      <w:szCs w:val="16"/>
      <w:lang w:val="en-US" w:eastAsia="zh-CN"/>
    </w:rPr>
  </w:style>
  <w:style w:type="paragraph" w:customStyle="1" w:styleId="NormColon">
    <w:name w:val="Norm_Colon"/>
    <w:basedOn w:val="Normal"/>
    <w:rsid w:val="004208EF"/>
    <w:pPr>
      <w:tabs>
        <w:tab w:val="num" w:pos="1191"/>
      </w:tabs>
      <w:ind w:left="1191" w:hanging="397"/>
    </w:pPr>
    <w:rPr>
      <w:sz w:val="24"/>
      <w:szCs w:val="24"/>
      <w:lang w:val="en-AU" w:eastAsia="en-US"/>
    </w:rPr>
  </w:style>
  <w:style w:type="character" w:styleId="PageNumber">
    <w:name w:val="page number"/>
    <w:basedOn w:val="DefaultParagraphFont"/>
    <w:rsid w:val="00586EF6"/>
  </w:style>
  <w:style w:type="paragraph" w:customStyle="1" w:styleId="Summary">
    <w:name w:val="Summary"/>
    <w:basedOn w:val="Normal"/>
    <w:rsid w:val="00954296"/>
    <w:pPr>
      <w:suppressAutoHyphens/>
      <w:spacing w:before="320" w:line="320" w:lineRule="atLeast"/>
      <w:jc w:val="both"/>
    </w:pPr>
    <w:rPr>
      <w:sz w:val="22"/>
      <w:lang w:val="en-AU" w:eastAsia="en-US"/>
    </w:rPr>
  </w:style>
  <w:style w:type="paragraph" w:customStyle="1" w:styleId="DocName">
    <w:name w:val="DocName"/>
    <w:basedOn w:val="Normal"/>
    <w:link w:val="DocNameChar"/>
    <w:rsid w:val="00E714FA"/>
    <w:pPr>
      <w:spacing w:after="120"/>
      <w:jc w:val="center"/>
    </w:pPr>
    <w:rPr>
      <w:rFonts w:ascii="Arial" w:hAnsi="Arial"/>
      <w:b/>
      <w:bCs/>
      <w:sz w:val="28"/>
      <w:szCs w:val="24"/>
      <w:lang w:val="en-AU" w:eastAsia="en-US"/>
    </w:rPr>
  </w:style>
  <w:style w:type="character" w:customStyle="1" w:styleId="DocNameChar">
    <w:name w:val="DocName Char"/>
    <w:link w:val="DocName"/>
    <w:rsid w:val="00E714FA"/>
    <w:rPr>
      <w:rFonts w:ascii="Arial" w:hAnsi="Arial"/>
      <w:b/>
      <w:bCs/>
      <w:sz w:val="28"/>
      <w:szCs w:val="24"/>
      <w:lang w:val="en-AU" w:eastAsia="en-US" w:bidi="ar-SA"/>
    </w:rPr>
  </w:style>
  <w:style w:type="paragraph" w:customStyle="1" w:styleId="Table-normal-text">
    <w:name w:val="Table-normal-text"/>
    <w:basedOn w:val="Normal"/>
    <w:rsid w:val="00E714FA"/>
    <w:pPr>
      <w:spacing w:before="60"/>
    </w:pPr>
    <w:rPr>
      <w:rFonts w:ascii="Arial" w:hAnsi="Arial"/>
      <w:szCs w:val="24"/>
      <w:lang w:val="en-AU" w:eastAsia="en-US"/>
    </w:rPr>
  </w:style>
  <w:style w:type="paragraph" w:styleId="TOC1">
    <w:name w:val="toc 1"/>
    <w:basedOn w:val="Normal"/>
    <w:next w:val="Normal"/>
    <w:autoRedefine/>
    <w:uiPriority w:val="39"/>
    <w:rsid w:val="00EE4E98"/>
    <w:pPr>
      <w:tabs>
        <w:tab w:val="right" w:leader="dot" w:pos="9000"/>
      </w:tabs>
      <w:spacing w:before="240"/>
    </w:pPr>
    <w:rPr>
      <w:rFonts w:ascii="Arial" w:hAnsi="Arial" w:cs="Arial"/>
      <w:b/>
      <w:bCs/>
      <w:caps/>
      <w:noProof/>
      <w:sz w:val="22"/>
      <w:lang w:val="en-AU" w:eastAsia="en-US"/>
    </w:rPr>
  </w:style>
  <w:style w:type="table" w:customStyle="1" w:styleId="Tablewithheader">
    <w:name w:val="Table with header"/>
    <w:basedOn w:val="TableNormal"/>
    <w:rsid w:val="00E714FA"/>
    <w:rPr>
      <w:rFonts w:ascii="Arial" w:hAnsi="Arial"/>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customStyle="1" w:styleId="List-bullet-2">
    <w:name w:val="List-bullet-2"/>
    <w:basedOn w:val="Normal"/>
    <w:link w:val="List-bullet-2Char"/>
    <w:rsid w:val="006628C0"/>
    <w:pPr>
      <w:tabs>
        <w:tab w:val="num" w:pos="1021"/>
      </w:tabs>
      <w:spacing w:before="20"/>
      <w:ind w:left="1021" w:hanging="301"/>
    </w:pPr>
    <w:rPr>
      <w:rFonts w:ascii="Arial" w:hAnsi="Arial" w:cs="Arial"/>
      <w:sz w:val="18"/>
      <w:szCs w:val="22"/>
      <w:lang w:val="en-AU" w:eastAsia="en-US"/>
    </w:rPr>
  </w:style>
  <w:style w:type="character" w:customStyle="1" w:styleId="List-bullet-2Char">
    <w:name w:val="List-bullet-2 Char"/>
    <w:link w:val="List-bullet-2"/>
    <w:rsid w:val="006628C0"/>
    <w:rPr>
      <w:rFonts w:ascii="Arial" w:hAnsi="Arial" w:cs="Arial"/>
      <w:sz w:val="18"/>
      <w:szCs w:val="22"/>
    </w:rPr>
  </w:style>
  <w:style w:type="paragraph" w:customStyle="1" w:styleId="List-bullet-1">
    <w:name w:val="List-bullet-1"/>
    <w:basedOn w:val="Normal"/>
    <w:link w:val="List-bullet-1Char"/>
    <w:rsid w:val="006628C0"/>
    <w:pPr>
      <w:tabs>
        <w:tab w:val="num" w:pos="720"/>
      </w:tabs>
      <w:spacing w:before="40"/>
      <w:ind w:left="720" w:hanging="363"/>
    </w:pPr>
    <w:rPr>
      <w:rFonts w:ascii="Arial" w:hAnsi="Arial" w:cs="Arial"/>
      <w:sz w:val="18"/>
      <w:szCs w:val="22"/>
      <w:lang w:val="en-AU" w:eastAsia="en-AU"/>
    </w:rPr>
  </w:style>
  <w:style w:type="character" w:customStyle="1" w:styleId="List-bullet-1Char">
    <w:name w:val="List-bullet-1 Char"/>
    <w:link w:val="List-bullet-1"/>
    <w:rsid w:val="006628C0"/>
    <w:rPr>
      <w:rFonts w:ascii="Arial" w:hAnsi="Arial" w:cs="Arial"/>
      <w:sz w:val="18"/>
      <w:szCs w:val="22"/>
      <w:lang w:eastAsia="en-AU"/>
    </w:rPr>
  </w:style>
  <w:style w:type="character" w:styleId="FootnoteReference">
    <w:name w:val="footnote reference"/>
    <w:aliases w:val="ftref,16 Point,Superscript 6 Point,(NECG) Footnote Reference,Footnote + Arial,10 pt,Black,Ref,de nota al pie,footnote ref,footnote number Char,BVI fnr,BVI fnr Car Car,BVI fnr Car,BVI fnr Car Car Car Car Char Char"/>
    <w:link w:val="footnotenumber"/>
    <w:uiPriority w:val="99"/>
    <w:qFormat/>
    <w:rsid w:val="00E524E3"/>
    <w:rPr>
      <w:rFonts w:ascii="Arial" w:hAnsi="Arial"/>
      <w:sz w:val="22"/>
      <w:vertAlign w:val="superscript"/>
    </w:rPr>
  </w:style>
  <w:style w:type="paragraph" w:customStyle="1" w:styleId="footnotenumber">
    <w:name w:val="footnote number"/>
    <w:basedOn w:val="Normal"/>
    <w:next w:val="FootnoteText"/>
    <w:link w:val="FootnoteReference"/>
    <w:uiPriority w:val="99"/>
    <w:rsid w:val="0057598A"/>
    <w:pPr>
      <w:spacing w:after="160" w:line="240" w:lineRule="exact"/>
    </w:pPr>
    <w:rPr>
      <w:rFonts w:ascii="Arial" w:hAnsi="Arial"/>
      <w:sz w:val="22"/>
      <w:vertAlign w:val="superscript"/>
      <w:lang w:val="en-AU" w:eastAsia="en-US"/>
    </w:rPr>
  </w:style>
  <w:style w:type="paragraph" w:styleId="FootnoteText">
    <w:name w:val="footnote text"/>
    <w:aliases w:val="Nbpage Moens,single space,Fußnote,Footnote Text Char1 Char,Footnote Text Char Char Char,Footnote Text Char Char Char Char Char,Footnote Text Char Char Char Char Char Char Char Char Char Char,ft,Footnote,ALTS FOOTNOTE,fn,FOOTNOTES,Geneva 9"/>
    <w:basedOn w:val="Normal"/>
    <w:link w:val="FootnoteTextChar"/>
    <w:uiPriority w:val="99"/>
    <w:qFormat/>
    <w:rsid w:val="00E524E3"/>
    <w:pPr>
      <w:tabs>
        <w:tab w:val="left" w:pos="187"/>
      </w:tabs>
      <w:ind w:left="187" w:hanging="187"/>
      <w:jc w:val="both"/>
    </w:pPr>
    <w:rPr>
      <w:rFonts w:ascii="Arial" w:hAnsi="Arial"/>
      <w:snapToGrid w:val="0"/>
      <w:color w:val="000000"/>
      <w:sz w:val="18"/>
      <w:lang w:eastAsia="en-US"/>
    </w:rPr>
  </w:style>
  <w:style w:type="character" w:customStyle="1" w:styleId="FootnoteTextChar">
    <w:name w:val="Footnote Text Char"/>
    <w:aliases w:val="Nbpage Moens Char,single space Char,Fußnote Char,Footnote Text Char1 Char Char,Footnote Text Char Char Char Char,Footnote Text Char Char Char Char Char Char,Footnote Text Char Char Char Char Char Char Char Char Char Char Char,ft Char"/>
    <w:link w:val="FootnoteText"/>
    <w:uiPriority w:val="99"/>
    <w:locked/>
    <w:rsid w:val="00E524E3"/>
    <w:rPr>
      <w:rFonts w:ascii="Arial" w:hAnsi="Arial"/>
      <w:snapToGrid w:val="0"/>
      <w:color w:val="000000"/>
      <w:sz w:val="18"/>
      <w:lang w:val="en-US" w:eastAsia="en-US" w:bidi="ar-SA"/>
    </w:rPr>
  </w:style>
  <w:style w:type="paragraph" w:customStyle="1" w:styleId="ExecSummsub-bullets">
    <w:name w:val="ExecSumm sub-bullets"/>
    <w:basedOn w:val="Normal"/>
    <w:rsid w:val="002A3114"/>
    <w:pPr>
      <w:widowControl w:val="0"/>
      <w:tabs>
        <w:tab w:val="num" w:pos="1440"/>
        <w:tab w:val="left" w:pos="6164"/>
      </w:tabs>
      <w:ind w:left="1440" w:hanging="360"/>
    </w:pPr>
    <w:rPr>
      <w:rFonts w:cs="Tahoma"/>
      <w:sz w:val="24"/>
      <w:szCs w:val="24"/>
      <w:lang w:eastAsia="en-US"/>
    </w:rPr>
  </w:style>
  <w:style w:type="paragraph" w:customStyle="1" w:styleId="ExecSummmainbullets">
    <w:name w:val="ExecSumm main bullets"/>
    <w:basedOn w:val="Normal"/>
    <w:rsid w:val="002A3114"/>
    <w:pPr>
      <w:widowControl w:val="0"/>
      <w:tabs>
        <w:tab w:val="num" w:pos="720"/>
        <w:tab w:val="left" w:pos="6164"/>
      </w:tabs>
      <w:ind w:left="720" w:hanging="360"/>
    </w:pPr>
    <w:rPr>
      <w:sz w:val="24"/>
      <w:szCs w:val="24"/>
      <w:lang w:eastAsia="en-US"/>
    </w:rPr>
  </w:style>
  <w:style w:type="character" w:customStyle="1" w:styleId="CharChar">
    <w:name w:val="Char Char"/>
    <w:rsid w:val="002A3114"/>
    <w:rPr>
      <w:rFonts w:ascii="Arial" w:hAnsi="Arial"/>
      <w:noProof/>
      <w:lang w:val="en-US" w:eastAsia="en-US"/>
    </w:rPr>
  </w:style>
  <w:style w:type="character" w:customStyle="1" w:styleId="Style7">
    <w:name w:val="Style7"/>
    <w:uiPriority w:val="1"/>
    <w:rsid w:val="00D21A64"/>
    <w:rPr>
      <w:color w:val="000000"/>
    </w:rPr>
  </w:style>
  <w:style w:type="character" w:styleId="CommentReference">
    <w:name w:val="annotation reference"/>
    <w:uiPriority w:val="99"/>
    <w:unhideWhenUsed/>
    <w:rsid w:val="00F44967"/>
    <w:rPr>
      <w:sz w:val="18"/>
      <w:szCs w:val="18"/>
    </w:rPr>
  </w:style>
  <w:style w:type="paragraph" w:styleId="CommentText">
    <w:name w:val="annotation text"/>
    <w:basedOn w:val="Normal"/>
    <w:link w:val="CommentTextChar"/>
    <w:unhideWhenUsed/>
    <w:rsid w:val="00F44967"/>
    <w:rPr>
      <w:rFonts w:ascii="Cambria" w:eastAsia="MS Mincho" w:hAnsi="Cambria"/>
      <w:sz w:val="24"/>
      <w:szCs w:val="24"/>
      <w:lang w:eastAsia="en-US"/>
    </w:rPr>
  </w:style>
  <w:style w:type="character" w:customStyle="1" w:styleId="CommentTextChar">
    <w:name w:val="Comment Text Char"/>
    <w:link w:val="CommentText"/>
    <w:rsid w:val="00F44967"/>
    <w:rPr>
      <w:rFonts w:ascii="Cambria" w:eastAsia="MS Mincho" w:hAnsi="Cambria"/>
      <w:sz w:val="24"/>
      <w:szCs w:val="24"/>
      <w:lang w:val="en-US"/>
    </w:rPr>
  </w:style>
  <w:style w:type="paragraph" w:customStyle="1" w:styleId="ColorfulList-Accent11">
    <w:name w:val="Colorful List - Accent 11"/>
    <w:basedOn w:val="Normal"/>
    <w:link w:val="ColorfulList-Accent1Char"/>
    <w:uiPriority w:val="34"/>
    <w:qFormat/>
    <w:rsid w:val="00F44967"/>
    <w:pPr>
      <w:ind w:left="720"/>
      <w:contextualSpacing/>
    </w:pPr>
    <w:rPr>
      <w:rFonts w:ascii="Cambria" w:eastAsia="MS Mincho" w:hAnsi="Cambria"/>
      <w:sz w:val="24"/>
      <w:szCs w:val="24"/>
      <w:lang w:eastAsia="en-US"/>
    </w:rPr>
  </w:style>
  <w:style w:type="character" w:customStyle="1" w:styleId="ColorfulList-Accent1Char">
    <w:name w:val="Colorful List - Accent 1 Char"/>
    <w:link w:val="ColorfulList-Accent11"/>
    <w:uiPriority w:val="34"/>
    <w:locked/>
    <w:rsid w:val="00E83B3A"/>
    <w:rPr>
      <w:rFonts w:ascii="Cambria" w:eastAsia="MS Mincho" w:hAnsi="Cambria"/>
      <w:sz w:val="24"/>
      <w:szCs w:val="24"/>
      <w:lang w:val="en-US"/>
    </w:rPr>
  </w:style>
  <w:style w:type="character" w:styleId="Strong">
    <w:name w:val="Strong"/>
    <w:uiPriority w:val="22"/>
    <w:qFormat/>
    <w:rsid w:val="00692A3E"/>
    <w:rPr>
      <w:b/>
      <w:bCs/>
    </w:rPr>
  </w:style>
  <w:style w:type="paragraph" w:styleId="HTMLPreformatted">
    <w:name w:val="HTML Preformatted"/>
    <w:basedOn w:val="Normal"/>
    <w:link w:val="HTMLPreformattedChar"/>
    <w:uiPriority w:val="99"/>
    <w:unhideWhenUsed/>
    <w:rsid w:val="00692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lang w:val="en-AU" w:eastAsia="en-US"/>
    </w:rPr>
  </w:style>
  <w:style w:type="character" w:customStyle="1" w:styleId="HTMLPreformattedChar">
    <w:name w:val="HTML Preformatted Char"/>
    <w:link w:val="HTMLPreformatted"/>
    <w:uiPriority w:val="99"/>
    <w:rsid w:val="00692A3E"/>
    <w:rPr>
      <w:rFonts w:ascii="Courier" w:hAnsi="Courier" w:cs="Courier"/>
    </w:rPr>
  </w:style>
  <w:style w:type="paragraph" w:styleId="CommentSubject">
    <w:name w:val="annotation subject"/>
    <w:basedOn w:val="CommentText"/>
    <w:next w:val="CommentText"/>
    <w:link w:val="CommentSubjectChar"/>
    <w:uiPriority w:val="99"/>
    <w:rsid w:val="009210CB"/>
    <w:rPr>
      <w:rFonts w:ascii="Times New Roman" w:eastAsia="Times New Roman" w:hAnsi="Times New Roman"/>
      <w:b/>
      <w:bCs/>
      <w:sz w:val="20"/>
      <w:szCs w:val="20"/>
      <w:lang w:eastAsia="zh-CN"/>
    </w:rPr>
  </w:style>
  <w:style w:type="character" w:customStyle="1" w:styleId="CommentSubjectChar">
    <w:name w:val="Comment Subject Char"/>
    <w:link w:val="CommentSubject"/>
    <w:uiPriority w:val="99"/>
    <w:rsid w:val="009210CB"/>
    <w:rPr>
      <w:rFonts w:ascii="Cambria" w:eastAsia="MS Mincho" w:hAnsi="Cambria"/>
      <w:b/>
      <w:bCs/>
      <w:sz w:val="24"/>
      <w:szCs w:val="24"/>
      <w:lang w:val="en-US" w:eastAsia="zh-CN"/>
    </w:rPr>
  </w:style>
  <w:style w:type="paragraph" w:styleId="ListBullet">
    <w:name w:val="List Bullet"/>
    <w:basedOn w:val="Normal"/>
    <w:autoRedefine/>
    <w:rsid w:val="00A8321A"/>
    <w:pPr>
      <w:tabs>
        <w:tab w:val="num" w:pos="717"/>
      </w:tabs>
      <w:spacing w:after="60"/>
      <w:ind w:left="714" w:hanging="357"/>
    </w:pPr>
    <w:rPr>
      <w:rFonts w:eastAsia="Calibri"/>
      <w:szCs w:val="22"/>
      <w:lang w:val="en-GB" w:eastAsia="en-US"/>
    </w:rPr>
  </w:style>
  <w:style w:type="character" w:styleId="Hyperlink">
    <w:name w:val="Hyperlink"/>
    <w:uiPriority w:val="99"/>
    <w:rsid w:val="00D02995"/>
    <w:rPr>
      <w:color w:val="0000FF"/>
      <w:u w:val="single"/>
    </w:rPr>
  </w:style>
  <w:style w:type="paragraph" w:customStyle="1" w:styleId="Style3">
    <w:name w:val="Style 3"/>
    <w:basedOn w:val="Normal"/>
    <w:rsid w:val="00152346"/>
    <w:pPr>
      <w:widowControl w:val="0"/>
      <w:autoSpaceDE w:val="0"/>
      <w:autoSpaceDN w:val="0"/>
      <w:spacing w:before="252"/>
      <w:ind w:firstLine="72"/>
      <w:jc w:val="both"/>
    </w:pPr>
    <w:rPr>
      <w:rFonts w:ascii="Verdana" w:eastAsia="SimSun" w:hAnsi="Verdana" w:cs="Verdana"/>
      <w:sz w:val="21"/>
      <w:szCs w:val="21"/>
      <w:lang w:eastAsia="en-US"/>
    </w:rPr>
  </w:style>
  <w:style w:type="character" w:styleId="FollowedHyperlink">
    <w:name w:val="FollowedHyperlink"/>
    <w:uiPriority w:val="99"/>
    <w:rsid w:val="00FC6284"/>
    <w:rPr>
      <w:color w:val="800080"/>
      <w:u w:val="single"/>
    </w:rPr>
  </w:style>
  <w:style w:type="paragraph" w:styleId="NormalWeb">
    <w:name w:val="Normal (Web)"/>
    <w:basedOn w:val="Normal"/>
    <w:uiPriority w:val="99"/>
    <w:unhideWhenUsed/>
    <w:rsid w:val="0057598A"/>
    <w:pPr>
      <w:spacing w:before="100" w:beforeAutospacing="1" w:after="100" w:afterAutospacing="1"/>
    </w:pPr>
    <w:rPr>
      <w:rFonts w:ascii="Times" w:eastAsia="MS Mincho" w:hAnsi="Times"/>
      <w:lang w:val="en-AU" w:eastAsia="en-US"/>
    </w:rPr>
  </w:style>
  <w:style w:type="paragraph" w:customStyle="1" w:styleId="Default">
    <w:name w:val="Default"/>
    <w:uiPriority w:val="99"/>
    <w:rsid w:val="00151AC6"/>
    <w:pPr>
      <w:widowControl w:val="0"/>
      <w:autoSpaceDE w:val="0"/>
      <w:autoSpaceDN w:val="0"/>
      <w:adjustRightInd w:val="0"/>
    </w:pPr>
    <w:rPr>
      <w:rFonts w:ascii="Arial" w:eastAsia="MS Mincho" w:hAnsi="Arial" w:cs="Arial"/>
      <w:color w:val="000000"/>
      <w:sz w:val="24"/>
      <w:szCs w:val="24"/>
      <w:lang w:val="en-US" w:eastAsia="en-US"/>
    </w:rPr>
  </w:style>
  <w:style w:type="paragraph" w:styleId="TOC2">
    <w:name w:val="toc 2"/>
    <w:basedOn w:val="Normal"/>
    <w:next w:val="Normal"/>
    <w:autoRedefine/>
    <w:uiPriority w:val="39"/>
    <w:rsid w:val="00F81918"/>
    <w:pPr>
      <w:tabs>
        <w:tab w:val="left" w:pos="810"/>
        <w:tab w:val="right" w:leader="dot" w:pos="9016"/>
      </w:tabs>
      <w:ind w:left="200"/>
    </w:pPr>
    <w:rPr>
      <w:rFonts w:ascii="Arial" w:hAnsi="Arial"/>
      <w:sz w:val="22"/>
    </w:rPr>
  </w:style>
  <w:style w:type="paragraph" w:styleId="TOC3">
    <w:name w:val="toc 3"/>
    <w:basedOn w:val="Normal"/>
    <w:next w:val="Normal"/>
    <w:autoRedefine/>
    <w:uiPriority w:val="39"/>
    <w:rsid w:val="00F81918"/>
    <w:pPr>
      <w:tabs>
        <w:tab w:val="left" w:pos="810"/>
        <w:tab w:val="left" w:pos="990"/>
        <w:tab w:val="right" w:leader="dot" w:pos="9016"/>
      </w:tabs>
      <w:ind w:left="400"/>
    </w:pPr>
    <w:rPr>
      <w:rFonts w:ascii="Arial" w:hAnsi="Arial"/>
      <w:sz w:val="21"/>
    </w:rPr>
  </w:style>
  <w:style w:type="paragraph" w:styleId="TOC4">
    <w:name w:val="toc 4"/>
    <w:basedOn w:val="Normal"/>
    <w:next w:val="Normal"/>
    <w:autoRedefine/>
    <w:rsid w:val="002B1559"/>
    <w:pPr>
      <w:ind w:left="600"/>
    </w:pPr>
  </w:style>
  <w:style w:type="paragraph" w:styleId="TOC5">
    <w:name w:val="toc 5"/>
    <w:basedOn w:val="Normal"/>
    <w:next w:val="Normal"/>
    <w:autoRedefine/>
    <w:rsid w:val="002B1559"/>
    <w:pPr>
      <w:ind w:left="800"/>
    </w:pPr>
  </w:style>
  <w:style w:type="paragraph" w:styleId="TOC6">
    <w:name w:val="toc 6"/>
    <w:basedOn w:val="Normal"/>
    <w:next w:val="Normal"/>
    <w:autoRedefine/>
    <w:rsid w:val="002B1559"/>
    <w:pPr>
      <w:ind w:left="1000"/>
    </w:pPr>
  </w:style>
  <w:style w:type="paragraph" w:styleId="TOC7">
    <w:name w:val="toc 7"/>
    <w:basedOn w:val="Normal"/>
    <w:next w:val="Normal"/>
    <w:autoRedefine/>
    <w:rsid w:val="002B1559"/>
    <w:pPr>
      <w:ind w:left="1200"/>
    </w:pPr>
  </w:style>
  <w:style w:type="paragraph" w:styleId="TOC8">
    <w:name w:val="toc 8"/>
    <w:basedOn w:val="Normal"/>
    <w:next w:val="Normal"/>
    <w:autoRedefine/>
    <w:rsid w:val="002B1559"/>
    <w:pPr>
      <w:ind w:left="1400"/>
    </w:pPr>
  </w:style>
  <w:style w:type="paragraph" w:styleId="TOC9">
    <w:name w:val="toc 9"/>
    <w:basedOn w:val="Normal"/>
    <w:next w:val="Normal"/>
    <w:autoRedefine/>
    <w:rsid w:val="002B1559"/>
    <w:pPr>
      <w:ind w:left="1600"/>
    </w:pPr>
  </w:style>
  <w:style w:type="character" w:customStyle="1" w:styleId="x41">
    <w:name w:val="x41"/>
    <w:rsid w:val="009E6616"/>
    <w:rPr>
      <w:rFonts w:ascii="Tahoma" w:hAnsi="Tahoma" w:cs="Tahoma" w:hint="default"/>
      <w:color w:val="3C3C3C"/>
      <w:sz w:val="20"/>
      <w:szCs w:val="20"/>
    </w:rPr>
  </w:style>
  <w:style w:type="paragraph" w:customStyle="1" w:styleId="TOCHeading1">
    <w:name w:val="TOC Heading1"/>
    <w:basedOn w:val="Heading1"/>
    <w:next w:val="Normal"/>
    <w:uiPriority w:val="39"/>
    <w:unhideWhenUsed/>
    <w:qFormat/>
    <w:rsid w:val="00095D13"/>
    <w:pPr>
      <w:keepLines/>
      <w:spacing w:before="480" w:after="0" w:line="276" w:lineRule="auto"/>
      <w:outlineLvl w:val="9"/>
    </w:pPr>
    <w:rPr>
      <w:rFonts w:ascii="Calibri" w:eastAsia="MS Gothic" w:hAnsi="Calibri" w:cs="Times New Roman"/>
      <w:color w:val="365F91"/>
      <w:kern w:val="0"/>
      <w:sz w:val="28"/>
      <w:szCs w:val="28"/>
      <w:lang w:eastAsia="ja-JP"/>
    </w:rPr>
  </w:style>
  <w:style w:type="paragraph" w:customStyle="1" w:styleId="ColorfulShading-Accent11">
    <w:name w:val="Colorful Shading - Accent 11"/>
    <w:hidden/>
    <w:uiPriority w:val="71"/>
    <w:rsid w:val="00284EB8"/>
    <w:rPr>
      <w:lang w:val="en-US" w:eastAsia="zh-CN"/>
    </w:rPr>
  </w:style>
  <w:style w:type="character" w:customStyle="1" w:styleId="Heading5Char">
    <w:name w:val="Heading 5 Char"/>
    <w:link w:val="Heading5"/>
    <w:rsid w:val="004B0B88"/>
    <w:rPr>
      <w:rFonts w:ascii="Arial" w:hAnsi="Arial"/>
      <w:b/>
      <w:sz w:val="22"/>
      <w:lang w:val="en-US"/>
    </w:rPr>
  </w:style>
  <w:style w:type="character" w:customStyle="1" w:styleId="Heading7Char">
    <w:name w:val="Heading 7 Char"/>
    <w:link w:val="Heading7"/>
    <w:rsid w:val="004B0B88"/>
    <w:rPr>
      <w:rFonts w:ascii="Arial" w:hAnsi="Arial"/>
      <w:lang w:val="en-US"/>
    </w:rPr>
  </w:style>
  <w:style w:type="character" w:customStyle="1" w:styleId="Heading8Char">
    <w:name w:val="Heading 8 Char"/>
    <w:link w:val="Heading8"/>
    <w:rsid w:val="004B0B88"/>
    <w:rPr>
      <w:rFonts w:ascii="Arial" w:hAnsi="Arial"/>
      <w:i/>
      <w:lang w:val="en-US"/>
    </w:rPr>
  </w:style>
  <w:style w:type="character" w:customStyle="1" w:styleId="Heading9Char">
    <w:name w:val="Heading 9 Char"/>
    <w:link w:val="Heading9"/>
    <w:rsid w:val="004B0B88"/>
    <w:rPr>
      <w:rFonts w:ascii="Arial" w:hAnsi="Arial"/>
      <w:i/>
      <w:sz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No Spacing" w:qFormat="1"/>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zh-CN"/>
    </w:rPr>
  </w:style>
  <w:style w:type="paragraph" w:styleId="Heading1">
    <w:name w:val="heading 1"/>
    <w:basedOn w:val="Normal"/>
    <w:next w:val="Normal"/>
    <w:link w:val="Heading1Char"/>
    <w:qFormat/>
    <w:rsid w:val="00E714F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714FA"/>
    <w:pPr>
      <w:keepNext/>
      <w:numPr>
        <w:ilvl w:val="1"/>
        <w:numId w:val="40"/>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714FA"/>
    <w:pPr>
      <w:keepNext/>
      <w:numPr>
        <w:ilvl w:val="2"/>
        <w:numId w:val="40"/>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52346"/>
    <w:pPr>
      <w:keepNext/>
      <w:spacing w:before="240" w:after="60"/>
      <w:outlineLvl w:val="3"/>
    </w:pPr>
    <w:rPr>
      <w:rFonts w:ascii="Cambria" w:eastAsia="MS Mincho" w:hAnsi="Cambria"/>
      <w:b/>
      <w:bCs/>
      <w:sz w:val="28"/>
      <w:szCs w:val="28"/>
    </w:rPr>
  </w:style>
  <w:style w:type="paragraph" w:styleId="Heading5">
    <w:name w:val="heading 5"/>
    <w:basedOn w:val="Normal"/>
    <w:next w:val="Normal"/>
    <w:link w:val="Heading5Char"/>
    <w:qFormat/>
    <w:rsid w:val="004B0B88"/>
    <w:pPr>
      <w:spacing w:after="240"/>
      <w:ind w:left="2880" w:hanging="720"/>
      <w:jc w:val="both"/>
      <w:outlineLvl w:val="4"/>
    </w:pPr>
    <w:rPr>
      <w:rFonts w:ascii="Arial" w:hAnsi="Arial"/>
      <w:b/>
      <w:sz w:val="22"/>
      <w:lang w:eastAsia="en-US"/>
    </w:rPr>
  </w:style>
  <w:style w:type="paragraph" w:styleId="Heading6">
    <w:name w:val="heading 6"/>
    <w:basedOn w:val="Normal"/>
    <w:next w:val="Normal"/>
    <w:link w:val="Heading6Char"/>
    <w:qFormat/>
    <w:rsid w:val="000A47E4"/>
    <w:pPr>
      <w:keepNext/>
      <w:numPr>
        <w:ilvl w:val="5"/>
        <w:numId w:val="40"/>
      </w:numPr>
      <w:outlineLvl w:val="5"/>
    </w:pPr>
    <w:rPr>
      <w:b/>
      <w:bCs/>
      <w:sz w:val="24"/>
      <w:szCs w:val="24"/>
      <w:lang w:val="en-AU" w:eastAsia="en-US"/>
    </w:rPr>
  </w:style>
  <w:style w:type="paragraph" w:styleId="Heading7">
    <w:name w:val="heading 7"/>
    <w:basedOn w:val="Normal"/>
    <w:next w:val="Normal"/>
    <w:link w:val="Heading7Char"/>
    <w:qFormat/>
    <w:rsid w:val="004B0B88"/>
    <w:pPr>
      <w:spacing w:before="240" w:after="60"/>
      <w:ind w:left="5040" w:hanging="720"/>
      <w:jc w:val="both"/>
      <w:outlineLvl w:val="6"/>
    </w:pPr>
    <w:rPr>
      <w:rFonts w:ascii="Arial" w:hAnsi="Arial"/>
      <w:lang w:eastAsia="en-US"/>
    </w:rPr>
  </w:style>
  <w:style w:type="paragraph" w:styleId="Heading8">
    <w:name w:val="heading 8"/>
    <w:basedOn w:val="Normal"/>
    <w:next w:val="Normal"/>
    <w:link w:val="Heading8Char"/>
    <w:qFormat/>
    <w:rsid w:val="004B0B88"/>
    <w:pPr>
      <w:spacing w:before="240" w:after="60"/>
      <w:ind w:left="5760" w:hanging="720"/>
      <w:jc w:val="both"/>
      <w:outlineLvl w:val="7"/>
    </w:pPr>
    <w:rPr>
      <w:rFonts w:ascii="Arial" w:hAnsi="Arial"/>
      <w:i/>
      <w:lang w:eastAsia="en-US"/>
    </w:rPr>
  </w:style>
  <w:style w:type="paragraph" w:styleId="Heading9">
    <w:name w:val="heading 9"/>
    <w:basedOn w:val="Normal"/>
    <w:next w:val="Normal"/>
    <w:link w:val="Heading9Char"/>
    <w:qFormat/>
    <w:rsid w:val="004B0B88"/>
    <w:pPr>
      <w:spacing w:before="240" w:after="60"/>
      <w:ind w:left="6480" w:hanging="720"/>
      <w:jc w:val="both"/>
      <w:outlineLvl w:val="8"/>
    </w:pPr>
    <w:rPr>
      <w:rFonts w:ascii="Arial" w:hAnsi="Arial"/>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8315D"/>
    <w:rPr>
      <w:rFonts w:ascii="Arial" w:hAnsi="Arial" w:cs="Arial"/>
      <w:b/>
      <w:bCs/>
      <w:kern w:val="32"/>
      <w:sz w:val="32"/>
      <w:szCs w:val="32"/>
      <w:lang w:val="en-US" w:eastAsia="zh-CN"/>
    </w:rPr>
  </w:style>
  <w:style w:type="character" w:customStyle="1" w:styleId="Heading2Char">
    <w:name w:val="Heading 2 Char"/>
    <w:link w:val="Heading2"/>
    <w:rsid w:val="0098315D"/>
    <w:rPr>
      <w:rFonts w:ascii="Arial" w:hAnsi="Arial" w:cs="Arial"/>
      <w:b/>
      <w:bCs/>
      <w:i/>
      <w:iCs/>
      <w:sz w:val="28"/>
      <w:szCs w:val="28"/>
      <w:lang w:val="en-US" w:eastAsia="zh-CN"/>
    </w:rPr>
  </w:style>
  <w:style w:type="character" w:customStyle="1" w:styleId="Heading3Char">
    <w:name w:val="Heading 3 Char"/>
    <w:link w:val="Heading3"/>
    <w:rsid w:val="00AB05C0"/>
    <w:rPr>
      <w:rFonts w:ascii="Arial" w:hAnsi="Arial" w:cs="Arial"/>
      <w:b/>
      <w:bCs/>
      <w:sz w:val="26"/>
      <w:szCs w:val="26"/>
    </w:rPr>
  </w:style>
  <w:style w:type="character" w:customStyle="1" w:styleId="Heading4Char">
    <w:name w:val="Heading 4 Char"/>
    <w:link w:val="Heading4"/>
    <w:rsid w:val="00152346"/>
    <w:rPr>
      <w:rFonts w:ascii="Cambria" w:eastAsia="MS Mincho" w:hAnsi="Cambria" w:cs="Times New Roman"/>
      <w:b/>
      <w:bCs/>
      <w:sz w:val="28"/>
      <w:szCs w:val="28"/>
      <w:lang w:val="en-US" w:eastAsia="zh-CN"/>
    </w:rPr>
  </w:style>
  <w:style w:type="character" w:customStyle="1" w:styleId="Heading6Char">
    <w:name w:val="Heading 6 Char"/>
    <w:link w:val="Heading6"/>
    <w:rsid w:val="0057598A"/>
    <w:rPr>
      <w:b/>
      <w:bCs/>
      <w:sz w:val="24"/>
      <w:szCs w:val="24"/>
    </w:rPr>
  </w:style>
  <w:style w:type="paragraph" w:styleId="BodyText">
    <w:name w:val="Body Text"/>
    <w:basedOn w:val="Normal"/>
    <w:rPr>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jc w:val="center"/>
    </w:pPr>
    <w:rPr>
      <w:sz w:val="24"/>
      <w:szCs w:val="24"/>
    </w:rPr>
  </w:style>
  <w:style w:type="table" w:styleId="TableGrid">
    <w:name w:val="Table Grid"/>
    <w:basedOn w:val="TableNormal"/>
    <w:rsid w:val="001D5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31B84"/>
    <w:rPr>
      <w:rFonts w:ascii="Tahoma" w:hAnsi="Tahoma" w:cs="Tahoma"/>
      <w:sz w:val="16"/>
      <w:szCs w:val="16"/>
    </w:rPr>
  </w:style>
  <w:style w:type="character" w:customStyle="1" w:styleId="BalloonTextChar">
    <w:name w:val="Balloon Text Char"/>
    <w:link w:val="BalloonText"/>
    <w:uiPriority w:val="99"/>
    <w:semiHidden/>
    <w:rsid w:val="0057598A"/>
    <w:rPr>
      <w:rFonts w:ascii="Tahoma" w:hAnsi="Tahoma" w:cs="Tahoma"/>
      <w:sz w:val="16"/>
      <w:szCs w:val="16"/>
      <w:lang w:val="en-US" w:eastAsia="zh-CN"/>
    </w:rPr>
  </w:style>
  <w:style w:type="paragraph" w:customStyle="1" w:styleId="NormColon">
    <w:name w:val="Norm_Colon"/>
    <w:basedOn w:val="Normal"/>
    <w:rsid w:val="004208EF"/>
    <w:pPr>
      <w:tabs>
        <w:tab w:val="num" w:pos="1191"/>
      </w:tabs>
      <w:ind w:left="1191" w:hanging="397"/>
    </w:pPr>
    <w:rPr>
      <w:sz w:val="24"/>
      <w:szCs w:val="24"/>
      <w:lang w:val="en-AU" w:eastAsia="en-US"/>
    </w:rPr>
  </w:style>
  <w:style w:type="character" w:styleId="PageNumber">
    <w:name w:val="page number"/>
    <w:basedOn w:val="DefaultParagraphFont"/>
    <w:rsid w:val="00586EF6"/>
  </w:style>
  <w:style w:type="paragraph" w:customStyle="1" w:styleId="Summary">
    <w:name w:val="Summary"/>
    <w:basedOn w:val="Normal"/>
    <w:rsid w:val="00954296"/>
    <w:pPr>
      <w:suppressAutoHyphens/>
      <w:spacing w:before="320" w:line="320" w:lineRule="atLeast"/>
      <w:jc w:val="both"/>
    </w:pPr>
    <w:rPr>
      <w:sz w:val="22"/>
      <w:lang w:val="en-AU" w:eastAsia="en-US"/>
    </w:rPr>
  </w:style>
  <w:style w:type="paragraph" w:customStyle="1" w:styleId="DocName">
    <w:name w:val="DocName"/>
    <w:basedOn w:val="Normal"/>
    <w:link w:val="DocNameChar"/>
    <w:rsid w:val="00E714FA"/>
    <w:pPr>
      <w:spacing w:after="120"/>
      <w:jc w:val="center"/>
    </w:pPr>
    <w:rPr>
      <w:rFonts w:ascii="Arial" w:hAnsi="Arial"/>
      <w:b/>
      <w:bCs/>
      <w:sz w:val="28"/>
      <w:szCs w:val="24"/>
      <w:lang w:val="en-AU" w:eastAsia="en-US"/>
    </w:rPr>
  </w:style>
  <w:style w:type="character" w:customStyle="1" w:styleId="DocNameChar">
    <w:name w:val="DocName Char"/>
    <w:link w:val="DocName"/>
    <w:rsid w:val="00E714FA"/>
    <w:rPr>
      <w:rFonts w:ascii="Arial" w:hAnsi="Arial"/>
      <w:b/>
      <w:bCs/>
      <w:sz w:val="28"/>
      <w:szCs w:val="24"/>
      <w:lang w:val="en-AU" w:eastAsia="en-US" w:bidi="ar-SA"/>
    </w:rPr>
  </w:style>
  <w:style w:type="paragraph" w:customStyle="1" w:styleId="Table-normal-text">
    <w:name w:val="Table-normal-text"/>
    <w:basedOn w:val="Normal"/>
    <w:rsid w:val="00E714FA"/>
    <w:pPr>
      <w:spacing w:before="60"/>
    </w:pPr>
    <w:rPr>
      <w:rFonts w:ascii="Arial" w:hAnsi="Arial"/>
      <w:szCs w:val="24"/>
      <w:lang w:val="en-AU" w:eastAsia="en-US"/>
    </w:rPr>
  </w:style>
  <w:style w:type="paragraph" w:styleId="TOC1">
    <w:name w:val="toc 1"/>
    <w:basedOn w:val="Normal"/>
    <w:next w:val="Normal"/>
    <w:autoRedefine/>
    <w:uiPriority w:val="39"/>
    <w:rsid w:val="00EE4E98"/>
    <w:pPr>
      <w:tabs>
        <w:tab w:val="right" w:leader="dot" w:pos="9000"/>
      </w:tabs>
      <w:spacing w:before="240"/>
    </w:pPr>
    <w:rPr>
      <w:rFonts w:ascii="Arial" w:hAnsi="Arial" w:cs="Arial"/>
      <w:b/>
      <w:bCs/>
      <w:caps/>
      <w:noProof/>
      <w:sz w:val="22"/>
      <w:lang w:val="en-AU" w:eastAsia="en-US"/>
    </w:rPr>
  </w:style>
  <w:style w:type="table" w:customStyle="1" w:styleId="Tablewithheader">
    <w:name w:val="Table with header"/>
    <w:basedOn w:val="TableNormal"/>
    <w:rsid w:val="00E714FA"/>
    <w:rPr>
      <w:rFonts w:ascii="Arial" w:hAnsi="Arial"/>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customStyle="1" w:styleId="List-bullet-2">
    <w:name w:val="List-bullet-2"/>
    <w:basedOn w:val="Normal"/>
    <w:link w:val="List-bullet-2Char"/>
    <w:rsid w:val="006628C0"/>
    <w:pPr>
      <w:tabs>
        <w:tab w:val="num" w:pos="1021"/>
      </w:tabs>
      <w:spacing w:before="20"/>
      <w:ind w:left="1021" w:hanging="301"/>
    </w:pPr>
    <w:rPr>
      <w:rFonts w:ascii="Arial" w:hAnsi="Arial" w:cs="Arial"/>
      <w:sz w:val="18"/>
      <w:szCs w:val="22"/>
      <w:lang w:val="en-AU" w:eastAsia="en-US"/>
    </w:rPr>
  </w:style>
  <w:style w:type="character" w:customStyle="1" w:styleId="List-bullet-2Char">
    <w:name w:val="List-bullet-2 Char"/>
    <w:link w:val="List-bullet-2"/>
    <w:rsid w:val="006628C0"/>
    <w:rPr>
      <w:rFonts w:ascii="Arial" w:hAnsi="Arial" w:cs="Arial"/>
      <w:sz w:val="18"/>
      <w:szCs w:val="22"/>
    </w:rPr>
  </w:style>
  <w:style w:type="paragraph" w:customStyle="1" w:styleId="List-bullet-1">
    <w:name w:val="List-bullet-1"/>
    <w:basedOn w:val="Normal"/>
    <w:link w:val="List-bullet-1Char"/>
    <w:rsid w:val="006628C0"/>
    <w:pPr>
      <w:tabs>
        <w:tab w:val="num" w:pos="720"/>
      </w:tabs>
      <w:spacing w:before="40"/>
      <w:ind w:left="720" w:hanging="363"/>
    </w:pPr>
    <w:rPr>
      <w:rFonts w:ascii="Arial" w:hAnsi="Arial" w:cs="Arial"/>
      <w:sz w:val="18"/>
      <w:szCs w:val="22"/>
      <w:lang w:val="en-AU" w:eastAsia="en-AU"/>
    </w:rPr>
  </w:style>
  <w:style w:type="character" w:customStyle="1" w:styleId="List-bullet-1Char">
    <w:name w:val="List-bullet-1 Char"/>
    <w:link w:val="List-bullet-1"/>
    <w:rsid w:val="006628C0"/>
    <w:rPr>
      <w:rFonts w:ascii="Arial" w:hAnsi="Arial" w:cs="Arial"/>
      <w:sz w:val="18"/>
      <w:szCs w:val="22"/>
      <w:lang w:eastAsia="en-AU"/>
    </w:rPr>
  </w:style>
  <w:style w:type="character" w:styleId="FootnoteReference">
    <w:name w:val="footnote reference"/>
    <w:aliases w:val="ftref,16 Point,Superscript 6 Point,(NECG) Footnote Reference,Footnote + Arial,10 pt,Black,Ref,de nota al pie,footnote ref,footnote number Char,BVI fnr,BVI fnr Car Car,BVI fnr Car,BVI fnr Car Car Car Car Char Char"/>
    <w:link w:val="footnotenumber"/>
    <w:uiPriority w:val="99"/>
    <w:qFormat/>
    <w:rsid w:val="00E524E3"/>
    <w:rPr>
      <w:rFonts w:ascii="Arial" w:hAnsi="Arial"/>
      <w:sz w:val="22"/>
      <w:vertAlign w:val="superscript"/>
    </w:rPr>
  </w:style>
  <w:style w:type="paragraph" w:customStyle="1" w:styleId="footnotenumber">
    <w:name w:val="footnote number"/>
    <w:basedOn w:val="Normal"/>
    <w:next w:val="FootnoteText"/>
    <w:link w:val="FootnoteReference"/>
    <w:uiPriority w:val="99"/>
    <w:rsid w:val="0057598A"/>
    <w:pPr>
      <w:spacing w:after="160" w:line="240" w:lineRule="exact"/>
    </w:pPr>
    <w:rPr>
      <w:rFonts w:ascii="Arial" w:hAnsi="Arial"/>
      <w:sz w:val="22"/>
      <w:vertAlign w:val="superscript"/>
      <w:lang w:val="en-AU" w:eastAsia="en-US"/>
    </w:rPr>
  </w:style>
  <w:style w:type="paragraph" w:styleId="FootnoteText">
    <w:name w:val="footnote text"/>
    <w:aliases w:val="Nbpage Moens,single space,Fußnote,Footnote Text Char1 Char,Footnote Text Char Char Char,Footnote Text Char Char Char Char Char,Footnote Text Char Char Char Char Char Char Char Char Char Char,ft,Footnote,ALTS FOOTNOTE,fn,FOOTNOTES,Geneva 9"/>
    <w:basedOn w:val="Normal"/>
    <w:link w:val="FootnoteTextChar"/>
    <w:uiPriority w:val="99"/>
    <w:qFormat/>
    <w:rsid w:val="00E524E3"/>
    <w:pPr>
      <w:tabs>
        <w:tab w:val="left" w:pos="187"/>
      </w:tabs>
      <w:ind w:left="187" w:hanging="187"/>
      <w:jc w:val="both"/>
    </w:pPr>
    <w:rPr>
      <w:rFonts w:ascii="Arial" w:hAnsi="Arial"/>
      <w:snapToGrid w:val="0"/>
      <w:color w:val="000000"/>
      <w:sz w:val="18"/>
      <w:lang w:eastAsia="en-US"/>
    </w:rPr>
  </w:style>
  <w:style w:type="character" w:customStyle="1" w:styleId="FootnoteTextChar">
    <w:name w:val="Footnote Text Char"/>
    <w:aliases w:val="Nbpage Moens Char,single space Char,Fußnote Char,Footnote Text Char1 Char Char,Footnote Text Char Char Char Char,Footnote Text Char Char Char Char Char Char,Footnote Text Char Char Char Char Char Char Char Char Char Char Char,ft Char"/>
    <w:link w:val="FootnoteText"/>
    <w:uiPriority w:val="99"/>
    <w:locked/>
    <w:rsid w:val="00E524E3"/>
    <w:rPr>
      <w:rFonts w:ascii="Arial" w:hAnsi="Arial"/>
      <w:snapToGrid w:val="0"/>
      <w:color w:val="000000"/>
      <w:sz w:val="18"/>
      <w:lang w:val="en-US" w:eastAsia="en-US" w:bidi="ar-SA"/>
    </w:rPr>
  </w:style>
  <w:style w:type="paragraph" w:customStyle="1" w:styleId="ExecSummsub-bullets">
    <w:name w:val="ExecSumm sub-bullets"/>
    <w:basedOn w:val="Normal"/>
    <w:rsid w:val="002A3114"/>
    <w:pPr>
      <w:widowControl w:val="0"/>
      <w:tabs>
        <w:tab w:val="num" w:pos="1440"/>
        <w:tab w:val="left" w:pos="6164"/>
      </w:tabs>
      <w:ind w:left="1440" w:hanging="360"/>
    </w:pPr>
    <w:rPr>
      <w:rFonts w:cs="Tahoma"/>
      <w:sz w:val="24"/>
      <w:szCs w:val="24"/>
      <w:lang w:eastAsia="en-US"/>
    </w:rPr>
  </w:style>
  <w:style w:type="paragraph" w:customStyle="1" w:styleId="ExecSummmainbullets">
    <w:name w:val="ExecSumm main bullets"/>
    <w:basedOn w:val="Normal"/>
    <w:rsid w:val="002A3114"/>
    <w:pPr>
      <w:widowControl w:val="0"/>
      <w:tabs>
        <w:tab w:val="num" w:pos="720"/>
        <w:tab w:val="left" w:pos="6164"/>
      </w:tabs>
      <w:ind w:left="720" w:hanging="360"/>
    </w:pPr>
    <w:rPr>
      <w:sz w:val="24"/>
      <w:szCs w:val="24"/>
      <w:lang w:eastAsia="en-US"/>
    </w:rPr>
  </w:style>
  <w:style w:type="character" w:customStyle="1" w:styleId="CharChar">
    <w:name w:val="Char Char"/>
    <w:rsid w:val="002A3114"/>
    <w:rPr>
      <w:rFonts w:ascii="Arial" w:hAnsi="Arial"/>
      <w:noProof/>
      <w:lang w:val="en-US" w:eastAsia="en-US"/>
    </w:rPr>
  </w:style>
  <w:style w:type="character" w:customStyle="1" w:styleId="Style7">
    <w:name w:val="Style7"/>
    <w:uiPriority w:val="1"/>
    <w:rsid w:val="00D21A64"/>
    <w:rPr>
      <w:color w:val="000000"/>
    </w:rPr>
  </w:style>
  <w:style w:type="character" w:styleId="CommentReference">
    <w:name w:val="annotation reference"/>
    <w:uiPriority w:val="99"/>
    <w:unhideWhenUsed/>
    <w:rsid w:val="00F44967"/>
    <w:rPr>
      <w:sz w:val="18"/>
      <w:szCs w:val="18"/>
    </w:rPr>
  </w:style>
  <w:style w:type="paragraph" w:styleId="CommentText">
    <w:name w:val="annotation text"/>
    <w:basedOn w:val="Normal"/>
    <w:link w:val="CommentTextChar"/>
    <w:unhideWhenUsed/>
    <w:rsid w:val="00F44967"/>
    <w:rPr>
      <w:rFonts w:ascii="Cambria" w:eastAsia="MS Mincho" w:hAnsi="Cambria"/>
      <w:sz w:val="24"/>
      <w:szCs w:val="24"/>
      <w:lang w:eastAsia="en-US"/>
    </w:rPr>
  </w:style>
  <w:style w:type="character" w:customStyle="1" w:styleId="CommentTextChar">
    <w:name w:val="Comment Text Char"/>
    <w:link w:val="CommentText"/>
    <w:rsid w:val="00F44967"/>
    <w:rPr>
      <w:rFonts w:ascii="Cambria" w:eastAsia="MS Mincho" w:hAnsi="Cambria"/>
      <w:sz w:val="24"/>
      <w:szCs w:val="24"/>
      <w:lang w:val="en-US"/>
    </w:rPr>
  </w:style>
  <w:style w:type="paragraph" w:customStyle="1" w:styleId="ColorfulList-Accent11">
    <w:name w:val="Colorful List - Accent 11"/>
    <w:basedOn w:val="Normal"/>
    <w:link w:val="ColorfulList-Accent1Char"/>
    <w:uiPriority w:val="34"/>
    <w:qFormat/>
    <w:rsid w:val="00F44967"/>
    <w:pPr>
      <w:ind w:left="720"/>
      <w:contextualSpacing/>
    </w:pPr>
    <w:rPr>
      <w:rFonts w:ascii="Cambria" w:eastAsia="MS Mincho" w:hAnsi="Cambria"/>
      <w:sz w:val="24"/>
      <w:szCs w:val="24"/>
      <w:lang w:eastAsia="en-US"/>
    </w:rPr>
  </w:style>
  <w:style w:type="character" w:customStyle="1" w:styleId="ColorfulList-Accent1Char">
    <w:name w:val="Colorful List - Accent 1 Char"/>
    <w:link w:val="ColorfulList-Accent11"/>
    <w:uiPriority w:val="34"/>
    <w:locked/>
    <w:rsid w:val="00E83B3A"/>
    <w:rPr>
      <w:rFonts w:ascii="Cambria" w:eastAsia="MS Mincho" w:hAnsi="Cambria"/>
      <w:sz w:val="24"/>
      <w:szCs w:val="24"/>
      <w:lang w:val="en-US"/>
    </w:rPr>
  </w:style>
  <w:style w:type="character" w:styleId="Strong">
    <w:name w:val="Strong"/>
    <w:uiPriority w:val="22"/>
    <w:qFormat/>
    <w:rsid w:val="00692A3E"/>
    <w:rPr>
      <w:b/>
      <w:bCs/>
    </w:rPr>
  </w:style>
  <w:style w:type="paragraph" w:styleId="HTMLPreformatted">
    <w:name w:val="HTML Preformatted"/>
    <w:basedOn w:val="Normal"/>
    <w:link w:val="HTMLPreformattedChar"/>
    <w:uiPriority w:val="99"/>
    <w:unhideWhenUsed/>
    <w:rsid w:val="00692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lang w:val="en-AU" w:eastAsia="en-US"/>
    </w:rPr>
  </w:style>
  <w:style w:type="character" w:customStyle="1" w:styleId="HTMLPreformattedChar">
    <w:name w:val="HTML Preformatted Char"/>
    <w:link w:val="HTMLPreformatted"/>
    <w:uiPriority w:val="99"/>
    <w:rsid w:val="00692A3E"/>
    <w:rPr>
      <w:rFonts w:ascii="Courier" w:hAnsi="Courier" w:cs="Courier"/>
    </w:rPr>
  </w:style>
  <w:style w:type="paragraph" w:styleId="CommentSubject">
    <w:name w:val="annotation subject"/>
    <w:basedOn w:val="CommentText"/>
    <w:next w:val="CommentText"/>
    <w:link w:val="CommentSubjectChar"/>
    <w:uiPriority w:val="99"/>
    <w:rsid w:val="009210CB"/>
    <w:rPr>
      <w:rFonts w:ascii="Times New Roman" w:eastAsia="Times New Roman" w:hAnsi="Times New Roman"/>
      <w:b/>
      <w:bCs/>
      <w:sz w:val="20"/>
      <w:szCs w:val="20"/>
      <w:lang w:eastAsia="zh-CN"/>
    </w:rPr>
  </w:style>
  <w:style w:type="character" w:customStyle="1" w:styleId="CommentSubjectChar">
    <w:name w:val="Comment Subject Char"/>
    <w:link w:val="CommentSubject"/>
    <w:uiPriority w:val="99"/>
    <w:rsid w:val="009210CB"/>
    <w:rPr>
      <w:rFonts w:ascii="Cambria" w:eastAsia="MS Mincho" w:hAnsi="Cambria"/>
      <w:b/>
      <w:bCs/>
      <w:sz w:val="24"/>
      <w:szCs w:val="24"/>
      <w:lang w:val="en-US" w:eastAsia="zh-CN"/>
    </w:rPr>
  </w:style>
  <w:style w:type="paragraph" w:styleId="ListBullet">
    <w:name w:val="List Bullet"/>
    <w:basedOn w:val="Normal"/>
    <w:autoRedefine/>
    <w:rsid w:val="00A8321A"/>
    <w:pPr>
      <w:tabs>
        <w:tab w:val="num" w:pos="717"/>
      </w:tabs>
      <w:spacing w:after="60"/>
      <w:ind w:left="714" w:hanging="357"/>
    </w:pPr>
    <w:rPr>
      <w:rFonts w:eastAsia="Calibri"/>
      <w:szCs w:val="22"/>
      <w:lang w:val="en-GB" w:eastAsia="en-US"/>
    </w:rPr>
  </w:style>
  <w:style w:type="character" w:styleId="Hyperlink">
    <w:name w:val="Hyperlink"/>
    <w:uiPriority w:val="99"/>
    <w:rsid w:val="00D02995"/>
    <w:rPr>
      <w:color w:val="0000FF"/>
      <w:u w:val="single"/>
    </w:rPr>
  </w:style>
  <w:style w:type="paragraph" w:customStyle="1" w:styleId="Style3">
    <w:name w:val="Style 3"/>
    <w:basedOn w:val="Normal"/>
    <w:rsid w:val="00152346"/>
    <w:pPr>
      <w:widowControl w:val="0"/>
      <w:autoSpaceDE w:val="0"/>
      <w:autoSpaceDN w:val="0"/>
      <w:spacing w:before="252"/>
      <w:ind w:firstLine="72"/>
      <w:jc w:val="both"/>
    </w:pPr>
    <w:rPr>
      <w:rFonts w:ascii="Verdana" w:eastAsia="SimSun" w:hAnsi="Verdana" w:cs="Verdana"/>
      <w:sz w:val="21"/>
      <w:szCs w:val="21"/>
      <w:lang w:eastAsia="en-US"/>
    </w:rPr>
  </w:style>
  <w:style w:type="character" w:styleId="FollowedHyperlink">
    <w:name w:val="FollowedHyperlink"/>
    <w:uiPriority w:val="99"/>
    <w:rsid w:val="00FC6284"/>
    <w:rPr>
      <w:color w:val="800080"/>
      <w:u w:val="single"/>
    </w:rPr>
  </w:style>
  <w:style w:type="paragraph" w:styleId="NormalWeb">
    <w:name w:val="Normal (Web)"/>
    <w:basedOn w:val="Normal"/>
    <w:uiPriority w:val="99"/>
    <w:unhideWhenUsed/>
    <w:rsid w:val="0057598A"/>
    <w:pPr>
      <w:spacing w:before="100" w:beforeAutospacing="1" w:after="100" w:afterAutospacing="1"/>
    </w:pPr>
    <w:rPr>
      <w:rFonts w:ascii="Times" w:eastAsia="MS Mincho" w:hAnsi="Times"/>
      <w:lang w:val="en-AU" w:eastAsia="en-US"/>
    </w:rPr>
  </w:style>
  <w:style w:type="paragraph" w:customStyle="1" w:styleId="Default">
    <w:name w:val="Default"/>
    <w:uiPriority w:val="99"/>
    <w:rsid w:val="00151AC6"/>
    <w:pPr>
      <w:widowControl w:val="0"/>
      <w:autoSpaceDE w:val="0"/>
      <w:autoSpaceDN w:val="0"/>
      <w:adjustRightInd w:val="0"/>
    </w:pPr>
    <w:rPr>
      <w:rFonts w:ascii="Arial" w:eastAsia="MS Mincho" w:hAnsi="Arial" w:cs="Arial"/>
      <w:color w:val="000000"/>
      <w:sz w:val="24"/>
      <w:szCs w:val="24"/>
      <w:lang w:val="en-US" w:eastAsia="en-US"/>
    </w:rPr>
  </w:style>
  <w:style w:type="paragraph" w:styleId="TOC2">
    <w:name w:val="toc 2"/>
    <w:basedOn w:val="Normal"/>
    <w:next w:val="Normal"/>
    <w:autoRedefine/>
    <w:uiPriority w:val="39"/>
    <w:rsid w:val="00F81918"/>
    <w:pPr>
      <w:tabs>
        <w:tab w:val="left" w:pos="810"/>
        <w:tab w:val="right" w:leader="dot" w:pos="9016"/>
      </w:tabs>
      <w:ind w:left="200"/>
    </w:pPr>
    <w:rPr>
      <w:rFonts w:ascii="Arial" w:hAnsi="Arial"/>
      <w:sz w:val="22"/>
    </w:rPr>
  </w:style>
  <w:style w:type="paragraph" w:styleId="TOC3">
    <w:name w:val="toc 3"/>
    <w:basedOn w:val="Normal"/>
    <w:next w:val="Normal"/>
    <w:autoRedefine/>
    <w:uiPriority w:val="39"/>
    <w:rsid w:val="00F81918"/>
    <w:pPr>
      <w:tabs>
        <w:tab w:val="left" w:pos="810"/>
        <w:tab w:val="left" w:pos="990"/>
        <w:tab w:val="right" w:leader="dot" w:pos="9016"/>
      </w:tabs>
      <w:ind w:left="400"/>
    </w:pPr>
    <w:rPr>
      <w:rFonts w:ascii="Arial" w:hAnsi="Arial"/>
      <w:sz w:val="21"/>
    </w:rPr>
  </w:style>
  <w:style w:type="paragraph" w:styleId="TOC4">
    <w:name w:val="toc 4"/>
    <w:basedOn w:val="Normal"/>
    <w:next w:val="Normal"/>
    <w:autoRedefine/>
    <w:rsid w:val="002B1559"/>
    <w:pPr>
      <w:ind w:left="600"/>
    </w:pPr>
  </w:style>
  <w:style w:type="paragraph" w:styleId="TOC5">
    <w:name w:val="toc 5"/>
    <w:basedOn w:val="Normal"/>
    <w:next w:val="Normal"/>
    <w:autoRedefine/>
    <w:rsid w:val="002B1559"/>
    <w:pPr>
      <w:ind w:left="800"/>
    </w:pPr>
  </w:style>
  <w:style w:type="paragraph" w:styleId="TOC6">
    <w:name w:val="toc 6"/>
    <w:basedOn w:val="Normal"/>
    <w:next w:val="Normal"/>
    <w:autoRedefine/>
    <w:rsid w:val="002B1559"/>
    <w:pPr>
      <w:ind w:left="1000"/>
    </w:pPr>
  </w:style>
  <w:style w:type="paragraph" w:styleId="TOC7">
    <w:name w:val="toc 7"/>
    <w:basedOn w:val="Normal"/>
    <w:next w:val="Normal"/>
    <w:autoRedefine/>
    <w:rsid w:val="002B1559"/>
    <w:pPr>
      <w:ind w:left="1200"/>
    </w:pPr>
  </w:style>
  <w:style w:type="paragraph" w:styleId="TOC8">
    <w:name w:val="toc 8"/>
    <w:basedOn w:val="Normal"/>
    <w:next w:val="Normal"/>
    <w:autoRedefine/>
    <w:rsid w:val="002B1559"/>
    <w:pPr>
      <w:ind w:left="1400"/>
    </w:pPr>
  </w:style>
  <w:style w:type="paragraph" w:styleId="TOC9">
    <w:name w:val="toc 9"/>
    <w:basedOn w:val="Normal"/>
    <w:next w:val="Normal"/>
    <w:autoRedefine/>
    <w:rsid w:val="002B1559"/>
    <w:pPr>
      <w:ind w:left="1600"/>
    </w:pPr>
  </w:style>
  <w:style w:type="character" w:customStyle="1" w:styleId="x41">
    <w:name w:val="x41"/>
    <w:rsid w:val="009E6616"/>
    <w:rPr>
      <w:rFonts w:ascii="Tahoma" w:hAnsi="Tahoma" w:cs="Tahoma" w:hint="default"/>
      <w:color w:val="3C3C3C"/>
      <w:sz w:val="20"/>
      <w:szCs w:val="20"/>
    </w:rPr>
  </w:style>
  <w:style w:type="paragraph" w:customStyle="1" w:styleId="TOCHeading1">
    <w:name w:val="TOC Heading1"/>
    <w:basedOn w:val="Heading1"/>
    <w:next w:val="Normal"/>
    <w:uiPriority w:val="39"/>
    <w:unhideWhenUsed/>
    <w:qFormat/>
    <w:rsid w:val="00095D13"/>
    <w:pPr>
      <w:keepLines/>
      <w:spacing w:before="480" w:after="0" w:line="276" w:lineRule="auto"/>
      <w:outlineLvl w:val="9"/>
    </w:pPr>
    <w:rPr>
      <w:rFonts w:ascii="Calibri" w:eastAsia="MS Gothic" w:hAnsi="Calibri" w:cs="Times New Roman"/>
      <w:color w:val="365F91"/>
      <w:kern w:val="0"/>
      <w:sz w:val="28"/>
      <w:szCs w:val="28"/>
      <w:lang w:eastAsia="ja-JP"/>
    </w:rPr>
  </w:style>
  <w:style w:type="paragraph" w:customStyle="1" w:styleId="ColorfulShading-Accent11">
    <w:name w:val="Colorful Shading - Accent 11"/>
    <w:hidden/>
    <w:uiPriority w:val="71"/>
    <w:rsid w:val="00284EB8"/>
    <w:rPr>
      <w:lang w:val="en-US" w:eastAsia="zh-CN"/>
    </w:rPr>
  </w:style>
  <w:style w:type="character" w:customStyle="1" w:styleId="Heading5Char">
    <w:name w:val="Heading 5 Char"/>
    <w:link w:val="Heading5"/>
    <w:rsid w:val="004B0B88"/>
    <w:rPr>
      <w:rFonts w:ascii="Arial" w:hAnsi="Arial"/>
      <w:b/>
      <w:sz w:val="22"/>
      <w:lang w:val="en-US"/>
    </w:rPr>
  </w:style>
  <w:style w:type="character" w:customStyle="1" w:styleId="Heading7Char">
    <w:name w:val="Heading 7 Char"/>
    <w:link w:val="Heading7"/>
    <w:rsid w:val="004B0B88"/>
    <w:rPr>
      <w:rFonts w:ascii="Arial" w:hAnsi="Arial"/>
      <w:lang w:val="en-US"/>
    </w:rPr>
  </w:style>
  <w:style w:type="character" w:customStyle="1" w:styleId="Heading8Char">
    <w:name w:val="Heading 8 Char"/>
    <w:link w:val="Heading8"/>
    <w:rsid w:val="004B0B88"/>
    <w:rPr>
      <w:rFonts w:ascii="Arial" w:hAnsi="Arial"/>
      <w:i/>
      <w:lang w:val="en-US"/>
    </w:rPr>
  </w:style>
  <w:style w:type="character" w:customStyle="1" w:styleId="Heading9Char">
    <w:name w:val="Heading 9 Char"/>
    <w:link w:val="Heading9"/>
    <w:rsid w:val="004B0B88"/>
    <w:rPr>
      <w:rFonts w:ascii="Arial" w:hAnsi="Arial"/>
      <w:i/>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5865">
      <w:bodyDiv w:val="1"/>
      <w:marLeft w:val="0"/>
      <w:marRight w:val="0"/>
      <w:marTop w:val="0"/>
      <w:marBottom w:val="0"/>
      <w:divBdr>
        <w:top w:val="none" w:sz="0" w:space="0" w:color="auto"/>
        <w:left w:val="none" w:sz="0" w:space="0" w:color="auto"/>
        <w:bottom w:val="none" w:sz="0" w:space="0" w:color="auto"/>
        <w:right w:val="none" w:sz="0" w:space="0" w:color="auto"/>
      </w:divBdr>
    </w:div>
    <w:div w:id="54548900">
      <w:bodyDiv w:val="1"/>
      <w:marLeft w:val="0"/>
      <w:marRight w:val="0"/>
      <w:marTop w:val="0"/>
      <w:marBottom w:val="0"/>
      <w:divBdr>
        <w:top w:val="none" w:sz="0" w:space="0" w:color="auto"/>
        <w:left w:val="none" w:sz="0" w:space="0" w:color="auto"/>
        <w:bottom w:val="none" w:sz="0" w:space="0" w:color="auto"/>
        <w:right w:val="none" w:sz="0" w:space="0" w:color="auto"/>
      </w:divBdr>
    </w:div>
    <w:div w:id="112098225">
      <w:bodyDiv w:val="1"/>
      <w:marLeft w:val="0"/>
      <w:marRight w:val="0"/>
      <w:marTop w:val="0"/>
      <w:marBottom w:val="0"/>
      <w:divBdr>
        <w:top w:val="none" w:sz="0" w:space="0" w:color="auto"/>
        <w:left w:val="none" w:sz="0" w:space="0" w:color="auto"/>
        <w:bottom w:val="none" w:sz="0" w:space="0" w:color="auto"/>
        <w:right w:val="none" w:sz="0" w:space="0" w:color="auto"/>
      </w:divBdr>
    </w:div>
    <w:div w:id="133565075">
      <w:bodyDiv w:val="1"/>
      <w:marLeft w:val="0"/>
      <w:marRight w:val="0"/>
      <w:marTop w:val="0"/>
      <w:marBottom w:val="0"/>
      <w:divBdr>
        <w:top w:val="none" w:sz="0" w:space="0" w:color="auto"/>
        <w:left w:val="none" w:sz="0" w:space="0" w:color="auto"/>
        <w:bottom w:val="none" w:sz="0" w:space="0" w:color="auto"/>
        <w:right w:val="none" w:sz="0" w:space="0" w:color="auto"/>
      </w:divBdr>
    </w:div>
    <w:div w:id="195509759">
      <w:bodyDiv w:val="1"/>
      <w:marLeft w:val="0"/>
      <w:marRight w:val="0"/>
      <w:marTop w:val="0"/>
      <w:marBottom w:val="0"/>
      <w:divBdr>
        <w:top w:val="none" w:sz="0" w:space="0" w:color="auto"/>
        <w:left w:val="none" w:sz="0" w:space="0" w:color="auto"/>
        <w:bottom w:val="none" w:sz="0" w:space="0" w:color="auto"/>
        <w:right w:val="none" w:sz="0" w:space="0" w:color="auto"/>
      </w:divBdr>
    </w:div>
    <w:div w:id="235675162">
      <w:bodyDiv w:val="1"/>
      <w:marLeft w:val="0"/>
      <w:marRight w:val="0"/>
      <w:marTop w:val="0"/>
      <w:marBottom w:val="0"/>
      <w:divBdr>
        <w:top w:val="none" w:sz="0" w:space="0" w:color="auto"/>
        <w:left w:val="none" w:sz="0" w:space="0" w:color="auto"/>
        <w:bottom w:val="none" w:sz="0" w:space="0" w:color="auto"/>
        <w:right w:val="none" w:sz="0" w:space="0" w:color="auto"/>
      </w:divBdr>
    </w:div>
    <w:div w:id="279805653">
      <w:bodyDiv w:val="1"/>
      <w:marLeft w:val="0"/>
      <w:marRight w:val="0"/>
      <w:marTop w:val="0"/>
      <w:marBottom w:val="0"/>
      <w:divBdr>
        <w:top w:val="none" w:sz="0" w:space="0" w:color="auto"/>
        <w:left w:val="none" w:sz="0" w:space="0" w:color="auto"/>
        <w:bottom w:val="none" w:sz="0" w:space="0" w:color="auto"/>
        <w:right w:val="none" w:sz="0" w:space="0" w:color="auto"/>
      </w:divBdr>
    </w:div>
    <w:div w:id="323627680">
      <w:bodyDiv w:val="1"/>
      <w:marLeft w:val="0"/>
      <w:marRight w:val="0"/>
      <w:marTop w:val="0"/>
      <w:marBottom w:val="0"/>
      <w:divBdr>
        <w:top w:val="none" w:sz="0" w:space="0" w:color="auto"/>
        <w:left w:val="none" w:sz="0" w:space="0" w:color="auto"/>
        <w:bottom w:val="none" w:sz="0" w:space="0" w:color="auto"/>
        <w:right w:val="none" w:sz="0" w:space="0" w:color="auto"/>
      </w:divBdr>
    </w:div>
    <w:div w:id="325130932">
      <w:bodyDiv w:val="1"/>
      <w:marLeft w:val="0"/>
      <w:marRight w:val="0"/>
      <w:marTop w:val="0"/>
      <w:marBottom w:val="0"/>
      <w:divBdr>
        <w:top w:val="none" w:sz="0" w:space="0" w:color="auto"/>
        <w:left w:val="none" w:sz="0" w:space="0" w:color="auto"/>
        <w:bottom w:val="none" w:sz="0" w:space="0" w:color="auto"/>
        <w:right w:val="none" w:sz="0" w:space="0" w:color="auto"/>
      </w:divBdr>
    </w:div>
    <w:div w:id="377172602">
      <w:bodyDiv w:val="1"/>
      <w:marLeft w:val="0"/>
      <w:marRight w:val="0"/>
      <w:marTop w:val="0"/>
      <w:marBottom w:val="0"/>
      <w:divBdr>
        <w:top w:val="none" w:sz="0" w:space="0" w:color="auto"/>
        <w:left w:val="none" w:sz="0" w:space="0" w:color="auto"/>
        <w:bottom w:val="none" w:sz="0" w:space="0" w:color="auto"/>
        <w:right w:val="none" w:sz="0" w:space="0" w:color="auto"/>
      </w:divBdr>
    </w:div>
    <w:div w:id="451749897">
      <w:bodyDiv w:val="1"/>
      <w:marLeft w:val="0"/>
      <w:marRight w:val="0"/>
      <w:marTop w:val="0"/>
      <w:marBottom w:val="0"/>
      <w:divBdr>
        <w:top w:val="none" w:sz="0" w:space="0" w:color="auto"/>
        <w:left w:val="none" w:sz="0" w:space="0" w:color="auto"/>
        <w:bottom w:val="none" w:sz="0" w:space="0" w:color="auto"/>
        <w:right w:val="none" w:sz="0" w:space="0" w:color="auto"/>
      </w:divBdr>
    </w:div>
    <w:div w:id="508301845">
      <w:bodyDiv w:val="1"/>
      <w:marLeft w:val="0"/>
      <w:marRight w:val="0"/>
      <w:marTop w:val="0"/>
      <w:marBottom w:val="0"/>
      <w:divBdr>
        <w:top w:val="none" w:sz="0" w:space="0" w:color="auto"/>
        <w:left w:val="none" w:sz="0" w:space="0" w:color="auto"/>
        <w:bottom w:val="none" w:sz="0" w:space="0" w:color="auto"/>
        <w:right w:val="none" w:sz="0" w:space="0" w:color="auto"/>
      </w:divBdr>
    </w:div>
    <w:div w:id="549613737">
      <w:bodyDiv w:val="1"/>
      <w:marLeft w:val="0"/>
      <w:marRight w:val="0"/>
      <w:marTop w:val="0"/>
      <w:marBottom w:val="0"/>
      <w:divBdr>
        <w:top w:val="none" w:sz="0" w:space="0" w:color="auto"/>
        <w:left w:val="none" w:sz="0" w:space="0" w:color="auto"/>
        <w:bottom w:val="none" w:sz="0" w:space="0" w:color="auto"/>
        <w:right w:val="none" w:sz="0" w:space="0" w:color="auto"/>
      </w:divBdr>
    </w:div>
    <w:div w:id="556207324">
      <w:bodyDiv w:val="1"/>
      <w:marLeft w:val="0"/>
      <w:marRight w:val="0"/>
      <w:marTop w:val="0"/>
      <w:marBottom w:val="0"/>
      <w:divBdr>
        <w:top w:val="none" w:sz="0" w:space="0" w:color="auto"/>
        <w:left w:val="none" w:sz="0" w:space="0" w:color="auto"/>
        <w:bottom w:val="none" w:sz="0" w:space="0" w:color="auto"/>
        <w:right w:val="none" w:sz="0" w:space="0" w:color="auto"/>
      </w:divBdr>
    </w:div>
    <w:div w:id="595284542">
      <w:bodyDiv w:val="1"/>
      <w:marLeft w:val="0"/>
      <w:marRight w:val="0"/>
      <w:marTop w:val="0"/>
      <w:marBottom w:val="0"/>
      <w:divBdr>
        <w:top w:val="none" w:sz="0" w:space="0" w:color="auto"/>
        <w:left w:val="none" w:sz="0" w:space="0" w:color="auto"/>
        <w:bottom w:val="none" w:sz="0" w:space="0" w:color="auto"/>
        <w:right w:val="none" w:sz="0" w:space="0" w:color="auto"/>
      </w:divBdr>
    </w:div>
    <w:div w:id="597756188">
      <w:bodyDiv w:val="1"/>
      <w:marLeft w:val="0"/>
      <w:marRight w:val="0"/>
      <w:marTop w:val="0"/>
      <w:marBottom w:val="0"/>
      <w:divBdr>
        <w:top w:val="none" w:sz="0" w:space="0" w:color="auto"/>
        <w:left w:val="none" w:sz="0" w:space="0" w:color="auto"/>
        <w:bottom w:val="none" w:sz="0" w:space="0" w:color="auto"/>
        <w:right w:val="none" w:sz="0" w:space="0" w:color="auto"/>
      </w:divBdr>
    </w:div>
    <w:div w:id="608388911">
      <w:bodyDiv w:val="1"/>
      <w:marLeft w:val="0"/>
      <w:marRight w:val="0"/>
      <w:marTop w:val="0"/>
      <w:marBottom w:val="0"/>
      <w:divBdr>
        <w:top w:val="none" w:sz="0" w:space="0" w:color="auto"/>
        <w:left w:val="none" w:sz="0" w:space="0" w:color="auto"/>
        <w:bottom w:val="none" w:sz="0" w:space="0" w:color="auto"/>
        <w:right w:val="none" w:sz="0" w:space="0" w:color="auto"/>
      </w:divBdr>
    </w:div>
    <w:div w:id="656492329">
      <w:bodyDiv w:val="1"/>
      <w:marLeft w:val="0"/>
      <w:marRight w:val="0"/>
      <w:marTop w:val="0"/>
      <w:marBottom w:val="0"/>
      <w:divBdr>
        <w:top w:val="none" w:sz="0" w:space="0" w:color="auto"/>
        <w:left w:val="none" w:sz="0" w:space="0" w:color="auto"/>
        <w:bottom w:val="none" w:sz="0" w:space="0" w:color="auto"/>
        <w:right w:val="none" w:sz="0" w:space="0" w:color="auto"/>
      </w:divBdr>
    </w:div>
    <w:div w:id="663122540">
      <w:bodyDiv w:val="1"/>
      <w:marLeft w:val="0"/>
      <w:marRight w:val="0"/>
      <w:marTop w:val="0"/>
      <w:marBottom w:val="0"/>
      <w:divBdr>
        <w:top w:val="none" w:sz="0" w:space="0" w:color="auto"/>
        <w:left w:val="none" w:sz="0" w:space="0" w:color="auto"/>
        <w:bottom w:val="none" w:sz="0" w:space="0" w:color="auto"/>
        <w:right w:val="none" w:sz="0" w:space="0" w:color="auto"/>
      </w:divBdr>
    </w:div>
    <w:div w:id="748694340">
      <w:bodyDiv w:val="1"/>
      <w:marLeft w:val="0"/>
      <w:marRight w:val="0"/>
      <w:marTop w:val="0"/>
      <w:marBottom w:val="0"/>
      <w:divBdr>
        <w:top w:val="none" w:sz="0" w:space="0" w:color="auto"/>
        <w:left w:val="none" w:sz="0" w:space="0" w:color="auto"/>
        <w:bottom w:val="none" w:sz="0" w:space="0" w:color="auto"/>
        <w:right w:val="none" w:sz="0" w:space="0" w:color="auto"/>
      </w:divBdr>
    </w:div>
    <w:div w:id="796526798">
      <w:bodyDiv w:val="1"/>
      <w:marLeft w:val="0"/>
      <w:marRight w:val="0"/>
      <w:marTop w:val="0"/>
      <w:marBottom w:val="0"/>
      <w:divBdr>
        <w:top w:val="none" w:sz="0" w:space="0" w:color="auto"/>
        <w:left w:val="none" w:sz="0" w:space="0" w:color="auto"/>
        <w:bottom w:val="none" w:sz="0" w:space="0" w:color="auto"/>
        <w:right w:val="none" w:sz="0" w:space="0" w:color="auto"/>
      </w:divBdr>
    </w:div>
    <w:div w:id="820191631">
      <w:bodyDiv w:val="1"/>
      <w:marLeft w:val="0"/>
      <w:marRight w:val="0"/>
      <w:marTop w:val="0"/>
      <w:marBottom w:val="0"/>
      <w:divBdr>
        <w:top w:val="none" w:sz="0" w:space="0" w:color="auto"/>
        <w:left w:val="none" w:sz="0" w:space="0" w:color="auto"/>
        <w:bottom w:val="none" w:sz="0" w:space="0" w:color="auto"/>
        <w:right w:val="none" w:sz="0" w:space="0" w:color="auto"/>
      </w:divBdr>
      <w:divsChild>
        <w:div w:id="237060052">
          <w:marLeft w:val="0"/>
          <w:marRight w:val="0"/>
          <w:marTop w:val="96"/>
          <w:marBottom w:val="240"/>
          <w:divBdr>
            <w:top w:val="none" w:sz="0" w:space="0" w:color="auto"/>
            <w:left w:val="none" w:sz="0" w:space="0" w:color="auto"/>
            <w:bottom w:val="none" w:sz="0" w:space="0" w:color="auto"/>
            <w:right w:val="none" w:sz="0" w:space="0" w:color="auto"/>
          </w:divBdr>
        </w:div>
        <w:div w:id="788666413">
          <w:marLeft w:val="0"/>
          <w:marRight w:val="0"/>
          <w:marTop w:val="96"/>
          <w:marBottom w:val="240"/>
          <w:divBdr>
            <w:top w:val="none" w:sz="0" w:space="0" w:color="auto"/>
            <w:left w:val="none" w:sz="0" w:space="0" w:color="auto"/>
            <w:bottom w:val="none" w:sz="0" w:space="0" w:color="auto"/>
            <w:right w:val="none" w:sz="0" w:space="0" w:color="auto"/>
          </w:divBdr>
        </w:div>
        <w:div w:id="1592660954">
          <w:marLeft w:val="0"/>
          <w:marRight w:val="0"/>
          <w:marTop w:val="96"/>
          <w:marBottom w:val="240"/>
          <w:divBdr>
            <w:top w:val="none" w:sz="0" w:space="0" w:color="auto"/>
            <w:left w:val="none" w:sz="0" w:space="0" w:color="auto"/>
            <w:bottom w:val="none" w:sz="0" w:space="0" w:color="auto"/>
            <w:right w:val="none" w:sz="0" w:space="0" w:color="auto"/>
          </w:divBdr>
        </w:div>
        <w:div w:id="1695110061">
          <w:marLeft w:val="0"/>
          <w:marRight w:val="0"/>
          <w:marTop w:val="96"/>
          <w:marBottom w:val="240"/>
          <w:divBdr>
            <w:top w:val="none" w:sz="0" w:space="0" w:color="auto"/>
            <w:left w:val="none" w:sz="0" w:space="0" w:color="auto"/>
            <w:bottom w:val="none" w:sz="0" w:space="0" w:color="auto"/>
            <w:right w:val="none" w:sz="0" w:space="0" w:color="auto"/>
          </w:divBdr>
        </w:div>
        <w:div w:id="1720351695">
          <w:marLeft w:val="0"/>
          <w:marRight w:val="0"/>
          <w:marTop w:val="96"/>
          <w:marBottom w:val="240"/>
          <w:divBdr>
            <w:top w:val="none" w:sz="0" w:space="0" w:color="auto"/>
            <w:left w:val="none" w:sz="0" w:space="0" w:color="auto"/>
            <w:bottom w:val="none" w:sz="0" w:space="0" w:color="auto"/>
            <w:right w:val="none" w:sz="0" w:space="0" w:color="auto"/>
          </w:divBdr>
        </w:div>
      </w:divsChild>
    </w:div>
    <w:div w:id="834228295">
      <w:bodyDiv w:val="1"/>
      <w:marLeft w:val="0"/>
      <w:marRight w:val="0"/>
      <w:marTop w:val="0"/>
      <w:marBottom w:val="0"/>
      <w:divBdr>
        <w:top w:val="none" w:sz="0" w:space="0" w:color="auto"/>
        <w:left w:val="none" w:sz="0" w:space="0" w:color="auto"/>
        <w:bottom w:val="none" w:sz="0" w:space="0" w:color="auto"/>
        <w:right w:val="none" w:sz="0" w:space="0" w:color="auto"/>
      </w:divBdr>
    </w:div>
    <w:div w:id="863908144">
      <w:bodyDiv w:val="1"/>
      <w:marLeft w:val="0"/>
      <w:marRight w:val="0"/>
      <w:marTop w:val="0"/>
      <w:marBottom w:val="0"/>
      <w:divBdr>
        <w:top w:val="none" w:sz="0" w:space="0" w:color="auto"/>
        <w:left w:val="none" w:sz="0" w:space="0" w:color="auto"/>
        <w:bottom w:val="none" w:sz="0" w:space="0" w:color="auto"/>
        <w:right w:val="none" w:sz="0" w:space="0" w:color="auto"/>
      </w:divBdr>
    </w:div>
    <w:div w:id="952905666">
      <w:bodyDiv w:val="1"/>
      <w:marLeft w:val="0"/>
      <w:marRight w:val="0"/>
      <w:marTop w:val="0"/>
      <w:marBottom w:val="0"/>
      <w:divBdr>
        <w:top w:val="none" w:sz="0" w:space="0" w:color="auto"/>
        <w:left w:val="none" w:sz="0" w:space="0" w:color="auto"/>
        <w:bottom w:val="none" w:sz="0" w:space="0" w:color="auto"/>
        <w:right w:val="none" w:sz="0" w:space="0" w:color="auto"/>
      </w:divBdr>
    </w:div>
    <w:div w:id="980573653">
      <w:bodyDiv w:val="1"/>
      <w:marLeft w:val="0"/>
      <w:marRight w:val="0"/>
      <w:marTop w:val="0"/>
      <w:marBottom w:val="0"/>
      <w:divBdr>
        <w:top w:val="none" w:sz="0" w:space="0" w:color="auto"/>
        <w:left w:val="none" w:sz="0" w:space="0" w:color="auto"/>
        <w:bottom w:val="none" w:sz="0" w:space="0" w:color="auto"/>
        <w:right w:val="none" w:sz="0" w:space="0" w:color="auto"/>
      </w:divBdr>
    </w:div>
    <w:div w:id="999963225">
      <w:bodyDiv w:val="1"/>
      <w:marLeft w:val="0"/>
      <w:marRight w:val="0"/>
      <w:marTop w:val="0"/>
      <w:marBottom w:val="0"/>
      <w:divBdr>
        <w:top w:val="none" w:sz="0" w:space="0" w:color="auto"/>
        <w:left w:val="none" w:sz="0" w:space="0" w:color="auto"/>
        <w:bottom w:val="none" w:sz="0" w:space="0" w:color="auto"/>
        <w:right w:val="none" w:sz="0" w:space="0" w:color="auto"/>
      </w:divBdr>
    </w:div>
    <w:div w:id="1025209831">
      <w:bodyDiv w:val="1"/>
      <w:marLeft w:val="0"/>
      <w:marRight w:val="0"/>
      <w:marTop w:val="0"/>
      <w:marBottom w:val="0"/>
      <w:divBdr>
        <w:top w:val="none" w:sz="0" w:space="0" w:color="auto"/>
        <w:left w:val="none" w:sz="0" w:space="0" w:color="auto"/>
        <w:bottom w:val="none" w:sz="0" w:space="0" w:color="auto"/>
        <w:right w:val="none" w:sz="0" w:space="0" w:color="auto"/>
      </w:divBdr>
    </w:div>
    <w:div w:id="1036002948">
      <w:bodyDiv w:val="1"/>
      <w:marLeft w:val="0"/>
      <w:marRight w:val="0"/>
      <w:marTop w:val="0"/>
      <w:marBottom w:val="0"/>
      <w:divBdr>
        <w:top w:val="none" w:sz="0" w:space="0" w:color="auto"/>
        <w:left w:val="none" w:sz="0" w:space="0" w:color="auto"/>
        <w:bottom w:val="none" w:sz="0" w:space="0" w:color="auto"/>
        <w:right w:val="none" w:sz="0" w:space="0" w:color="auto"/>
      </w:divBdr>
    </w:div>
    <w:div w:id="1081947114">
      <w:bodyDiv w:val="1"/>
      <w:marLeft w:val="0"/>
      <w:marRight w:val="0"/>
      <w:marTop w:val="0"/>
      <w:marBottom w:val="0"/>
      <w:divBdr>
        <w:top w:val="none" w:sz="0" w:space="0" w:color="auto"/>
        <w:left w:val="none" w:sz="0" w:space="0" w:color="auto"/>
        <w:bottom w:val="none" w:sz="0" w:space="0" w:color="auto"/>
        <w:right w:val="none" w:sz="0" w:space="0" w:color="auto"/>
      </w:divBdr>
    </w:div>
    <w:div w:id="1115715718">
      <w:bodyDiv w:val="1"/>
      <w:marLeft w:val="0"/>
      <w:marRight w:val="0"/>
      <w:marTop w:val="0"/>
      <w:marBottom w:val="0"/>
      <w:divBdr>
        <w:top w:val="none" w:sz="0" w:space="0" w:color="auto"/>
        <w:left w:val="none" w:sz="0" w:space="0" w:color="auto"/>
        <w:bottom w:val="none" w:sz="0" w:space="0" w:color="auto"/>
        <w:right w:val="none" w:sz="0" w:space="0" w:color="auto"/>
      </w:divBdr>
    </w:div>
    <w:div w:id="1135564747">
      <w:bodyDiv w:val="1"/>
      <w:marLeft w:val="0"/>
      <w:marRight w:val="0"/>
      <w:marTop w:val="0"/>
      <w:marBottom w:val="0"/>
      <w:divBdr>
        <w:top w:val="none" w:sz="0" w:space="0" w:color="auto"/>
        <w:left w:val="none" w:sz="0" w:space="0" w:color="auto"/>
        <w:bottom w:val="none" w:sz="0" w:space="0" w:color="auto"/>
        <w:right w:val="none" w:sz="0" w:space="0" w:color="auto"/>
      </w:divBdr>
    </w:div>
    <w:div w:id="1194852513">
      <w:bodyDiv w:val="1"/>
      <w:marLeft w:val="0"/>
      <w:marRight w:val="0"/>
      <w:marTop w:val="0"/>
      <w:marBottom w:val="0"/>
      <w:divBdr>
        <w:top w:val="none" w:sz="0" w:space="0" w:color="auto"/>
        <w:left w:val="none" w:sz="0" w:space="0" w:color="auto"/>
        <w:bottom w:val="none" w:sz="0" w:space="0" w:color="auto"/>
        <w:right w:val="none" w:sz="0" w:space="0" w:color="auto"/>
      </w:divBdr>
    </w:div>
    <w:div w:id="1230728275">
      <w:bodyDiv w:val="1"/>
      <w:marLeft w:val="0"/>
      <w:marRight w:val="0"/>
      <w:marTop w:val="0"/>
      <w:marBottom w:val="0"/>
      <w:divBdr>
        <w:top w:val="none" w:sz="0" w:space="0" w:color="auto"/>
        <w:left w:val="none" w:sz="0" w:space="0" w:color="auto"/>
        <w:bottom w:val="none" w:sz="0" w:space="0" w:color="auto"/>
        <w:right w:val="none" w:sz="0" w:space="0" w:color="auto"/>
      </w:divBdr>
    </w:div>
    <w:div w:id="1232815067">
      <w:bodyDiv w:val="1"/>
      <w:marLeft w:val="0"/>
      <w:marRight w:val="0"/>
      <w:marTop w:val="0"/>
      <w:marBottom w:val="0"/>
      <w:divBdr>
        <w:top w:val="none" w:sz="0" w:space="0" w:color="auto"/>
        <w:left w:val="none" w:sz="0" w:space="0" w:color="auto"/>
        <w:bottom w:val="none" w:sz="0" w:space="0" w:color="auto"/>
        <w:right w:val="none" w:sz="0" w:space="0" w:color="auto"/>
      </w:divBdr>
    </w:div>
    <w:div w:id="1248883486">
      <w:bodyDiv w:val="1"/>
      <w:marLeft w:val="0"/>
      <w:marRight w:val="0"/>
      <w:marTop w:val="0"/>
      <w:marBottom w:val="0"/>
      <w:divBdr>
        <w:top w:val="none" w:sz="0" w:space="0" w:color="auto"/>
        <w:left w:val="none" w:sz="0" w:space="0" w:color="auto"/>
        <w:bottom w:val="none" w:sz="0" w:space="0" w:color="auto"/>
        <w:right w:val="none" w:sz="0" w:space="0" w:color="auto"/>
      </w:divBdr>
    </w:div>
    <w:div w:id="1288272451">
      <w:bodyDiv w:val="1"/>
      <w:marLeft w:val="0"/>
      <w:marRight w:val="0"/>
      <w:marTop w:val="0"/>
      <w:marBottom w:val="0"/>
      <w:divBdr>
        <w:top w:val="none" w:sz="0" w:space="0" w:color="auto"/>
        <w:left w:val="none" w:sz="0" w:space="0" w:color="auto"/>
        <w:bottom w:val="none" w:sz="0" w:space="0" w:color="auto"/>
        <w:right w:val="none" w:sz="0" w:space="0" w:color="auto"/>
      </w:divBdr>
    </w:div>
    <w:div w:id="1305696204">
      <w:bodyDiv w:val="1"/>
      <w:marLeft w:val="0"/>
      <w:marRight w:val="0"/>
      <w:marTop w:val="0"/>
      <w:marBottom w:val="0"/>
      <w:divBdr>
        <w:top w:val="none" w:sz="0" w:space="0" w:color="auto"/>
        <w:left w:val="none" w:sz="0" w:space="0" w:color="auto"/>
        <w:bottom w:val="none" w:sz="0" w:space="0" w:color="auto"/>
        <w:right w:val="none" w:sz="0" w:space="0" w:color="auto"/>
      </w:divBdr>
    </w:div>
    <w:div w:id="1335717895">
      <w:bodyDiv w:val="1"/>
      <w:marLeft w:val="0"/>
      <w:marRight w:val="0"/>
      <w:marTop w:val="0"/>
      <w:marBottom w:val="0"/>
      <w:divBdr>
        <w:top w:val="none" w:sz="0" w:space="0" w:color="auto"/>
        <w:left w:val="none" w:sz="0" w:space="0" w:color="auto"/>
        <w:bottom w:val="none" w:sz="0" w:space="0" w:color="auto"/>
        <w:right w:val="none" w:sz="0" w:space="0" w:color="auto"/>
      </w:divBdr>
    </w:div>
    <w:div w:id="1340935715">
      <w:bodyDiv w:val="1"/>
      <w:marLeft w:val="0"/>
      <w:marRight w:val="0"/>
      <w:marTop w:val="0"/>
      <w:marBottom w:val="0"/>
      <w:divBdr>
        <w:top w:val="none" w:sz="0" w:space="0" w:color="auto"/>
        <w:left w:val="none" w:sz="0" w:space="0" w:color="auto"/>
        <w:bottom w:val="none" w:sz="0" w:space="0" w:color="auto"/>
        <w:right w:val="none" w:sz="0" w:space="0" w:color="auto"/>
      </w:divBdr>
    </w:div>
    <w:div w:id="1371566318">
      <w:bodyDiv w:val="1"/>
      <w:marLeft w:val="0"/>
      <w:marRight w:val="0"/>
      <w:marTop w:val="0"/>
      <w:marBottom w:val="0"/>
      <w:divBdr>
        <w:top w:val="none" w:sz="0" w:space="0" w:color="auto"/>
        <w:left w:val="none" w:sz="0" w:space="0" w:color="auto"/>
        <w:bottom w:val="none" w:sz="0" w:space="0" w:color="auto"/>
        <w:right w:val="none" w:sz="0" w:space="0" w:color="auto"/>
      </w:divBdr>
    </w:div>
    <w:div w:id="1550024530">
      <w:bodyDiv w:val="1"/>
      <w:marLeft w:val="0"/>
      <w:marRight w:val="0"/>
      <w:marTop w:val="0"/>
      <w:marBottom w:val="0"/>
      <w:divBdr>
        <w:top w:val="none" w:sz="0" w:space="0" w:color="auto"/>
        <w:left w:val="none" w:sz="0" w:space="0" w:color="auto"/>
        <w:bottom w:val="none" w:sz="0" w:space="0" w:color="auto"/>
        <w:right w:val="none" w:sz="0" w:space="0" w:color="auto"/>
      </w:divBdr>
    </w:div>
    <w:div w:id="1594896731">
      <w:bodyDiv w:val="1"/>
      <w:marLeft w:val="0"/>
      <w:marRight w:val="0"/>
      <w:marTop w:val="0"/>
      <w:marBottom w:val="0"/>
      <w:divBdr>
        <w:top w:val="none" w:sz="0" w:space="0" w:color="auto"/>
        <w:left w:val="none" w:sz="0" w:space="0" w:color="auto"/>
        <w:bottom w:val="none" w:sz="0" w:space="0" w:color="auto"/>
        <w:right w:val="none" w:sz="0" w:space="0" w:color="auto"/>
      </w:divBdr>
    </w:div>
    <w:div w:id="1614632208">
      <w:bodyDiv w:val="1"/>
      <w:marLeft w:val="0"/>
      <w:marRight w:val="0"/>
      <w:marTop w:val="0"/>
      <w:marBottom w:val="0"/>
      <w:divBdr>
        <w:top w:val="none" w:sz="0" w:space="0" w:color="auto"/>
        <w:left w:val="none" w:sz="0" w:space="0" w:color="auto"/>
        <w:bottom w:val="none" w:sz="0" w:space="0" w:color="auto"/>
        <w:right w:val="none" w:sz="0" w:space="0" w:color="auto"/>
      </w:divBdr>
    </w:div>
    <w:div w:id="1670710754">
      <w:bodyDiv w:val="1"/>
      <w:marLeft w:val="0"/>
      <w:marRight w:val="0"/>
      <w:marTop w:val="0"/>
      <w:marBottom w:val="0"/>
      <w:divBdr>
        <w:top w:val="none" w:sz="0" w:space="0" w:color="auto"/>
        <w:left w:val="none" w:sz="0" w:space="0" w:color="auto"/>
        <w:bottom w:val="none" w:sz="0" w:space="0" w:color="auto"/>
        <w:right w:val="none" w:sz="0" w:space="0" w:color="auto"/>
      </w:divBdr>
    </w:div>
    <w:div w:id="1729957703">
      <w:bodyDiv w:val="1"/>
      <w:marLeft w:val="0"/>
      <w:marRight w:val="0"/>
      <w:marTop w:val="0"/>
      <w:marBottom w:val="0"/>
      <w:divBdr>
        <w:top w:val="none" w:sz="0" w:space="0" w:color="auto"/>
        <w:left w:val="none" w:sz="0" w:space="0" w:color="auto"/>
        <w:bottom w:val="none" w:sz="0" w:space="0" w:color="auto"/>
        <w:right w:val="none" w:sz="0" w:space="0" w:color="auto"/>
      </w:divBdr>
    </w:div>
    <w:div w:id="1782188656">
      <w:bodyDiv w:val="1"/>
      <w:marLeft w:val="0"/>
      <w:marRight w:val="0"/>
      <w:marTop w:val="0"/>
      <w:marBottom w:val="0"/>
      <w:divBdr>
        <w:top w:val="none" w:sz="0" w:space="0" w:color="auto"/>
        <w:left w:val="none" w:sz="0" w:space="0" w:color="auto"/>
        <w:bottom w:val="none" w:sz="0" w:space="0" w:color="auto"/>
        <w:right w:val="none" w:sz="0" w:space="0" w:color="auto"/>
      </w:divBdr>
    </w:div>
    <w:div w:id="1858036826">
      <w:bodyDiv w:val="1"/>
      <w:marLeft w:val="0"/>
      <w:marRight w:val="0"/>
      <w:marTop w:val="0"/>
      <w:marBottom w:val="0"/>
      <w:divBdr>
        <w:top w:val="none" w:sz="0" w:space="0" w:color="auto"/>
        <w:left w:val="none" w:sz="0" w:space="0" w:color="auto"/>
        <w:bottom w:val="none" w:sz="0" w:space="0" w:color="auto"/>
        <w:right w:val="none" w:sz="0" w:space="0" w:color="auto"/>
      </w:divBdr>
      <w:divsChild>
        <w:div w:id="262349245">
          <w:marLeft w:val="0"/>
          <w:marRight w:val="0"/>
          <w:marTop w:val="96"/>
          <w:marBottom w:val="240"/>
          <w:divBdr>
            <w:top w:val="none" w:sz="0" w:space="0" w:color="auto"/>
            <w:left w:val="none" w:sz="0" w:space="0" w:color="auto"/>
            <w:bottom w:val="none" w:sz="0" w:space="0" w:color="auto"/>
            <w:right w:val="none" w:sz="0" w:space="0" w:color="auto"/>
          </w:divBdr>
        </w:div>
        <w:div w:id="292953286">
          <w:marLeft w:val="0"/>
          <w:marRight w:val="0"/>
          <w:marTop w:val="96"/>
          <w:marBottom w:val="240"/>
          <w:divBdr>
            <w:top w:val="none" w:sz="0" w:space="0" w:color="auto"/>
            <w:left w:val="none" w:sz="0" w:space="0" w:color="auto"/>
            <w:bottom w:val="none" w:sz="0" w:space="0" w:color="auto"/>
            <w:right w:val="none" w:sz="0" w:space="0" w:color="auto"/>
          </w:divBdr>
        </w:div>
        <w:div w:id="327561208">
          <w:marLeft w:val="0"/>
          <w:marRight w:val="0"/>
          <w:marTop w:val="96"/>
          <w:marBottom w:val="240"/>
          <w:divBdr>
            <w:top w:val="none" w:sz="0" w:space="0" w:color="auto"/>
            <w:left w:val="none" w:sz="0" w:space="0" w:color="auto"/>
            <w:bottom w:val="none" w:sz="0" w:space="0" w:color="auto"/>
            <w:right w:val="none" w:sz="0" w:space="0" w:color="auto"/>
          </w:divBdr>
        </w:div>
        <w:div w:id="561143117">
          <w:marLeft w:val="0"/>
          <w:marRight w:val="0"/>
          <w:marTop w:val="96"/>
          <w:marBottom w:val="240"/>
          <w:divBdr>
            <w:top w:val="none" w:sz="0" w:space="0" w:color="auto"/>
            <w:left w:val="none" w:sz="0" w:space="0" w:color="auto"/>
            <w:bottom w:val="none" w:sz="0" w:space="0" w:color="auto"/>
            <w:right w:val="none" w:sz="0" w:space="0" w:color="auto"/>
          </w:divBdr>
        </w:div>
        <w:div w:id="1298488999">
          <w:marLeft w:val="0"/>
          <w:marRight w:val="0"/>
          <w:marTop w:val="96"/>
          <w:marBottom w:val="240"/>
          <w:divBdr>
            <w:top w:val="none" w:sz="0" w:space="0" w:color="auto"/>
            <w:left w:val="none" w:sz="0" w:space="0" w:color="auto"/>
            <w:bottom w:val="none" w:sz="0" w:space="0" w:color="auto"/>
            <w:right w:val="none" w:sz="0" w:space="0" w:color="auto"/>
          </w:divBdr>
        </w:div>
        <w:div w:id="2074960155">
          <w:marLeft w:val="0"/>
          <w:marRight w:val="0"/>
          <w:marTop w:val="96"/>
          <w:marBottom w:val="240"/>
          <w:divBdr>
            <w:top w:val="none" w:sz="0" w:space="0" w:color="auto"/>
            <w:left w:val="none" w:sz="0" w:space="0" w:color="auto"/>
            <w:bottom w:val="none" w:sz="0" w:space="0" w:color="auto"/>
            <w:right w:val="none" w:sz="0" w:space="0" w:color="auto"/>
          </w:divBdr>
        </w:div>
      </w:divsChild>
    </w:div>
    <w:div w:id="1919098349">
      <w:bodyDiv w:val="1"/>
      <w:marLeft w:val="0"/>
      <w:marRight w:val="0"/>
      <w:marTop w:val="0"/>
      <w:marBottom w:val="0"/>
      <w:divBdr>
        <w:top w:val="none" w:sz="0" w:space="0" w:color="auto"/>
        <w:left w:val="none" w:sz="0" w:space="0" w:color="auto"/>
        <w:bottom w:val="none" w:sz="0" w:space="0" w:color="auto"/>
        <w:right w:val="none" w:sz="0" w:space="0" w:color="auto"/>
      </w:divBdr>
    </w:div>
    <w:div w:id="1925650538">
      <w:bodyDiv w:val="1"/>
      <w:marLeft w:val="0"/>
      <w:marRight w:val="0"/>
      <w:marTop w:val="0"/>
      <w:marBottom w:val="0"/>
      <w:divBdr>
        <w:top w:val="none" w:sz="0" w:space="0" w:color="auto"/>
        <w:left w:val="none" w:sz="0" w:space="0" w:color="auto"/>
        <w:bottom w:val="none" w:sz="0" w:space="0" w:color="auto"/>
        <w:right w:val="none" w:sz="0" w:space="0" w:color="auto"/>
      </w:divBdr>
    </w:div>
    <w:div w:id="1946840730">
      <w:bodyDiv w:val="1"/>
      <w:marLeft w:val="0"/>
      <w:marRight w:val="0"/>
      <w:marTop w:val="0"/>
      <w:marBottom w:val="0"/>
      <w:divBdr>
        <w:top w:val="none" w:sz="0" w:space="0" w:color="auto"/>
        <w:left w:val="none" w:sz="0" w:space="0" w:color="auto"/>
        <w:bottom w:val="none" w:sz="0" w:space="0" w:color="auto"/>
        <w:right w:val="none" w:sz="0" w:space="0" w:color="auto"/>
      </w:divBdr>
    </w:div>
    <w:div w:id="1967276861">
      <w:bodyDiv w:val="1"/>
      <w:marLeft w:val="0"/>
      <w:marRight w:val="0"/>
      <w:marTop w:val="0"/>
      <w:marBottom w:val="0"/>
      <w:divBdr>
        <w:top w:val="none" w:sz="0" w:space="0" w:color="auto"/>
        <w:left w:val="none" w:sz="0" w:space="0" w:color="auto"/>
        <w:bottom w:val="none" w:sz="0" w:space="0" w:color="auto"/>
        <w:right w:val="none" w:sz="0" w:space="0" w:color="auto"/>
      </w:divBdr>
    </w:div>
    <w:div w:id="1999071334">
      <w:bodyDiv w:val="1"/>
      <w:marLeft w:val="0"/>
      <w:marRight w:val="0"/>
      <w:marTop w:val="0"/>
      <w:marBottom w:val="0"/>
      <w:divBdr>
        <w:top w:val="none" w:sz="0" w:space="0" w:color="auto"/>
        <w:left w:val="none" w:sz="0" w:space="0" w:color="auto"/>
        <w:bottom w:val="none" w:sz="0" w:space="0" w:color="auto"/>
        <w:right w:val="none" w:sz="0" w:space="0" w:color="auto"/>
      </w:divBdr>
    </w:div>
    <w:div w:id="2124491975">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en.wikipedia.org/wiki/Ho_Chi_Minh_City_Medicine_and_Pharmacy_University" TargetMode="External"/><Relationship Id="rId2" Type="http://schemas.openxmlformats.org/officeDocument/2006/relationships/numbering" Target="numbering.xml"/><Relationship Id="rId16" Type="http://schemas.openxmlformats.org/officeDocument/2006/relationships/hyperlink" Target="http://en.wikipedia.org/wiki/Ho_Chi_Minh_City_Medicine_and_Pharmacy_University"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en.wikipedia.org/wiki/Ho_Chi_Minh_City_Medicine_and_Pharmacy_University"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46B0CC-CDDD-4965-B4DE-9D04C667F79A}"/>
</file>

<file path=customXml/itemProps2.xml><?xml version="1.0" encoding="utf-8"?>
<ds:datastoreItem xmlns:ds="http://schemas.openxmlformats.org/officeDocument/2006/customXml" ds:itemID="{C77CD19D-E409-456D-9686-C8C7C4DE592D}"/>
</file>

<file path=customXml/itemProps3.xml><?xml version="1.0" encoding="utf-8"?>
<ds:datastoreItem xmlns:ds="http://schemas.openxmlformats.org/officeDocument/2006/customXml" ds:itemID="{3075498A-BA2B-4922-8AD1-635A1D2B7AFD}"/>
</file>

<file path=customXml/itemProps4.xml><?xml version="1.0" encoding="utf-8"?>
<ds:datastoreItem xmlns:ds="http://schemas.openxmlformats.org/officeDocument/2006/customXml" ds:itemID="{5CB581F1-C27F-45CC-8F2E-0957ED2868B7}"/>
</file>

<file path=docProps/app.xml><?xml version="1.0" encoding="utf-8"?>
<Properties xmlns="http://schemas.openxmlformats.org/officeDocument/2006/extended-properties" xmlns:vt="http://schemas.openxmlformats.org/officeDocument/2006/docPropsVTypes">
  <Template>11EF8A39</Template>
  <TotalTime>0</TotalTime>
  <Pages>111</Pages>
  <Words>32965</Words>
  <Characters>187907</Characters>
  <Application>Microsoft Office Word</Application>
  <DocSecurity>0</DocSecurity>
  <Lines>1565</Lines>
  <Paragraphs>440</Paragraphs>
  <ScaleCrop>false</ScaleCrop>
  <Company/>
  <LinksUpToDate>false</LinksUpToDate>
  <CharactersWithSpaces>220432</CharactersWithSpaces>
  <SharedDoc>false</SharedDoc>
  <HLinks>
    <vt:vector size="408" baseType="variant">
      <vt:variant>
        <vt:i4>6881290</vt:i4>
      </vt:variant>
      <vt:variant>
        <vt:i4>708</vt:i4>
      </vt:variant>
      <vt:variant>
        <vt:i4>0</vt:i4>
      </vt:variant>
      <vt:variant>
        <vt:i4>5</vt:i4>
      </vt:variant>
      <vt:variant>
        <vt:lpwstr>http://en.wikipedia.org/wiki/Ho_Chi_Minh_City_Medicine_and_Pharmacy_University</vt:lpwstr>
      </vt:variant>
      <vt:variant>
        <vt:lpwstr/>
      </vt:variant>
      <vt:variant>
        <vt:i4>6881290</vt:i4>
      </vt:variant>
      <vt:variant>
        <vt:i4>705</vt:i4>
      </vt:variant>
      <vt:variant>
        <vt:i4>0</vt:i4>
      </vt:variant>
      <vt:variant>
        <vt:i4>5</vt:i4>
      </vt:variant>
      <vt:variant>
        <vt:lpwstr>http://en.wikipedia.org/wiki/Ho_Chi_Minh_City_Medicine_and_Pharmacy_University</vt:lpwstr>
      </vt:variant>
      <vt:variant>
        <vt:lpwstr/>
      </vt:variant>
      <vt:variant>
        <vt:i4>6881290</vt:i4>
      </vt:variant>
      <vt:variant>
        <vt:i4>702</vt:i4>
      </vt:variant>
      <vt:variant>
        <vt:i4>0</vt:i4>
      </vt:variant>
      <vt:variant>
        <vt:i4>5</vt:i4>
      </vt:variant>
      <vt:variant>
        <vt:lpwstr>http://en.wikipedia.org/wiki/Ho_Chi_Minh_City_Medicine_and_Pharmacy_University</vt:lpwstr>
      </vt:variant>
      <vt:variant>
        <vt:lpwstr/>
      </vt:variant>
      <vt:variant>
        <vt:i4>1638406</vt:i4>
      </vt:variant>
      <vt:variant>
        <vt:i4>386</vt:i4>
      </vt:variant>
      <vt:variant>
        <vt:i4>0</vt:i4>
      </vt:variant>
      <vt:variant>
        <vt:i4>5</vt:i4>
      </vt:variant>
      <vt:variant>
        <vt:lpwstr/>
      </vt:variant>
      <vt:variant>
        <vt:lpwstr>_Toc423359367</vt:lpwstr>
      </vt:variant>
      <vt:variant>
        <vt:i4>1638407</vt:i4>
      </vt:variant>
      <vt:variant>
        <vt:i4>380</vt:i4>
      </vt:variant>
      <vt:variant>
        <vt:i4>0</vt:i4>
      </vt:variant>
      <vt:variant>
        <vt:i4>5</vt:i4>
      </vt:variant>
      <vt:variant>
        <vt:lpwstr/>
      </vt:variant>
      <vt:variant>
        <vt:lpwstr>_Toc423359366</vt:lpwstr>
      </vt:variant>
      <vt:variant>
        <vt:i4>1638404</vt:i4>
      </vt:variant>
      <vt:variant>
        <vt:i4>374</vt:i4>
      </vt:variant>
      <vt:variant>
        <vt:i4>0</vt:i4>
      </vt:variant>
      <vt:variant>
        <vt:i4>5</vt:i4>
      </vt:variant>
      <vt:variant>
        <vt:lpwstr/>
      </vt:variant>
      <vt:variant>
        <vt:lpwstr>_Toc423359365</vt:lpwstr>
      </vt:variant>
      <vt:variant>
        <vt:i4>1638405</vt:i4>
      </vt:variant>
      <vt:variant>
        <vt:i4>368</vt:i4>
      </vt:variant>
      <vt:variant>
        <vt:i4>0</vt:i4>
      </vt:variant>
      <vt:variant>
        <vt:i4>5</vt:i4>
      </vt:variant>
      <vt:variant>
        <vt:lpwstr/>
      </vt:variant>
      <vt:variant>
        <vt:lpwstr>_Toc423359364</vt:lpwstr>
      </vt:variant>
      <vt:variant>
        <vt:i4>1638402</vt:i4>
      </vt:variant>
      <vt:variant>
        <vt:i4>362</vt:i4>
      </vt:variant>
      <vt:variant>
        <vt:i4>0</vt:i4>
      </vt:variant>
      <vt:variant>
        <vt:i4>5</vt:i4>
      </vt:variant>
      <vt:variant>
        <vt:lpwstr/>
      </vt:variant>
      <vt:variant>
        <vt:lpwstr>_Toc423359363</vt:lpwstr>
      </vt:variant>
      <vt:variant>
        <vt:i4>1638403</vt:i4>
      </vt:variant>
      <vt:variant>
        <vt:i4>356</vt:i4>
      </vt:variant>
      <vt:variant>
        <vt:i4>0</vt:i4>
      </vt:variant>
      <vt:variant>
        <vt:i4>5</vt:i4>
      </vt:variant>
      <vt:variant>
        <vt:lpwstr/>
      </vt:variant>
      <vt:variant>
        <vt:lpwstr>_Toc423359362</vt:lpwstr>
      </vt:variant>
      <vt:variant>
        <vt:i4>1638400</vt:i4>
      </vt:variant>
      <vt:variant>
        <vt:i4>350</vt:i4>
      </vt:variant>
      <vt:variant>
        <vt:i4>0</vt:i4>
      </vt:variant>
      <vt:variant>
        <vt:i4>5</vt:i4>
      </vt:variant>
      <vt:variant>
        <vt:lpwstr/>
      </vt:variant>
      <vt:variant>
        <vt:lpwstr>_Toc423359361</vt:lpwstr>
      </vt:variant>
      <vt:variant>
        <vt:i4>1638401</vt:i4>
      </vt:variant>
      <vt:variant>
        <vt:i4>344</vt:i4>
      </vt:variant>
      <vt:variant>
        <vt:i4>0</vt:i4>
      </vt:variant>
      <vt:variant>
        <vt:i4>5</vt:i4>
      </vt:variant>
      <vt:variant>
        <vt:lpwstr/>
      </vt:variant>
      <vt:variant>
        <vt:lpwstr>_Toc423359360</vt:lpwstr>
      </vt:variant>
      <vt:variant>
        <vt:i4>1703944</vt:i4>
      </vt:variant>
      <vt:variant>
        <vt:i4>338</vt:i4>
      </vt:variant>
      <vt:variant>
        <vt:i4>0</vt:i4>
      </vt:variant>
      <vt:variant>
        <vt:i4>5</vt:i4>
      </vt:variant>
      <vt:variant>
        <vt:lpwstr/>
      </vt:variant>
      <vt:variant>
        <vt:lpwstr>_Toc423359359</vt:lpwstr>
      </vt:variant>
      <vt:variant>
        <vt:i4>1703945</vt:i4>
      </vt:variant>
      <vt:variant>
        <vt:i4>332</vt:i4>
      </vt:variant>
      <vt:variant>
        <vt:i4>0</vt:i4>
      </vt:variant>
      <vt:variant>
        <vt:i4>5</vt:i4>
      </vt:variant>
      <vt:variant>
        <vt:lpwstr/>
      </vt:variant>
      <vt:variant>
        <vt:lpwstr>_Toc423359358</vt:lpwstr>
      </vt:variant>
      <vt:variant>
        <vt:i4>1703942</vt:i4>
      </vt:variant>
      <vt:variant>
        <vt:i4>326</vt:i4>
      </vt:variant>
      <vt:variant>
        <vt:i4>0</vt:i4>
      </vt:variant>
      <vt:variant>
        <vt:i4>5</vt:i4>
      </vt:variant>
      <vt:variant>
        <vt:lpwstr/>
      </vt:variant>
      <vt:variant>
        <vt:lpwstr>_Toc423359357</vt:lpwstr>
      </vt:variant>
      <vt:variant>
        <vt:i4>1703943</vt:i4>
      </vt:variant>
      <vt:variant>
        <vt:i4>320</vt:i4>
      </vt:variant>
      <vt:variant>
        <vt:i4>0</vt:i4>
      </vt:variant>
      <vt:variant>
        <vt:i4>5</vt:i4>
      </vt:variant>
      <vt:variant>
        <vt:lpwstr/>
      </vt:variant>
      <vt:variant>
        <vt:lpwstr>_Toc423359356</vt:lpwstr>
      </vt:variant>
      <vt:variant>
        <vt:i4>1703940</vt:i4>
      </vt:variant>
      <vt:variant>
        <vt:i4>314</vt:i4>
      </vt:variant>
      <vt:variant>
        <vt:i4>0</vt:i4>
      </vt:variant>
      <vt:variant>
        <vt:i4>5</vt:i4>
      </vt:variant>
      <vt:variant>
        <vt:lpwstr/>
      </vt:variant>
      <vt:variant>
        <vt:lpwstr>_Toc423359355</vt:lpwstr>
      </vt:variant>
      <vt:variant>
        <vt:i4>1703941</vt:i4>
      </vt:variant>
      <vt:variant>
        <vt:i4>308</vt:i4>
      </vt:variant>
      <vt:variant>
        <vt:i4>0</vt:i4>
      </vt:variant>
      <vt:variant>
        <vt:i4>5</vt:i4>
      </vt:variant>
      <vt:variant>
        <vt:lpwstr/>
      </vt:variant>
      <vt:variant>
        <vt:lpwstr>_Toc423359354</vt:lpwstr>
      </vt:variant>
      <vt:variant>
        <vt:i4>1703938</vt:i4>
      </vt:variant>
      <vt:variant>
        <vt:i4>302</vt:i4>
      </vt:variant>
      <vt:variant>
        <vt:i4>0</vt:i4>
      </vt:variant>
      <vt:variant>
        <vt:i4>5</vt:i4>
      </vt:variant>
      <vt:variant>
        <vt:lpwstr/>
      </vt:variant>
      <vt:variant>
        <vt:lpwstr>_Toc423359353</vt:lpwstr>
      </vt:variant>
      <vt:variant>
        <vt:i4>1703939</vt:i4>
      </vt:variant>
      <vt:variant>
        <vt:i4>296</vt:i4>
      </vt:variant>
      <vt:variant>
        <vt:i4>0</vt:i4>
      </vt:variant>
      <vt:variant>
        <vt:i4>5</vt:i4>
      </vt:variant>
      <vt:variant>
        <vt:lpwstr/>
      </vt:variant>
      <vt:variant>
        <vt:lpwstr>_Toc423359352</vt:lpwstr>
      </vt:variant>
      <vt:variant>
        <vt:i4>1703936</vt:i4>
      </vt:variant>
      <vt:variant>
        <vt:i4>290</vt:i4>
      </vt:variant>
      <vt:variant>
        <vt:i4>0</vt:i4>
      </vt:variant>
      <vt:variant>
        <vt:i4>5</vt:i4>
      </vt:variant>
      <vt:variant>
        <vt:lpwstr/>
      </vt:variant>
      <vt:variant>
        <vt:lpwstr>_Toc423359351</vt:lpwstr>
      </vt:variant>
      <vt:variant>
        <vt:i4>1703937</vt:i4>
      </vt:variant>
      <vt:variant>
        <vt:i4>284</vt:i4>
      </vt:variant>
      <vt:variant>
        <vt:i4>0</vt:i4>
      </vt:variant>
      <vt:variant>
        <vt:i4>5</vt:i4>
      </vt:variant>
      <vt:variant>
        <vt:lpwstr/>
      </vt:variant>
      <vt:variant>
        <vt:lpwstr>_Toc423359350</vt:lpwstr>
      </vt:variant>
      <vt:variant>
        <vt:i4>1769480</vt:i4>
      </vt:variant>
      <vt:variant>
        <vt:i4>278</vt:i4>
      </vt:variant>
      <vt:variant>
        <vt:i4>0</vt:i4>
      </vt:variant>
      <vt:variant>
        <vt:i4>5</vt:i4>
      </vt:variant>
      <vt:variant>
        <vt:lpwstr/>
      </vt:variant>
      <vt:variant>
        <vt:lpwstr>_Toc423359349</vt:lpwstr>
      </vt:variant>
      <vt:variant>
        <vt:i4>1769481</vt:i4>
      </vt:variant>
      <vt:variant>
        <vt:i4>272</vt:i4>
      </vt:variant>
      <vt:variant>
        <vt:i4>0</vt:i4>
      </vt:variant>
      <vt:variant>
        <vt:i4>5</vt:i4>
      </vt:variant>
      <vt:variant>
        <vt:lpwstr/>
      </vt:variant>
      <vt:variant>
        <vt:lpwstr>_Toc423359348</vt:lpwstr>
      </vt:variant>
      <vt:variant>
        <vt:i4>1769478</vt:i4>
      </vt:variant>
      <vt:variant>
        <vt:i4>266</vt:i4>
      </vt:variant>
      <vt:variant>
        <vt:i4>0</vt:i4>
      </vt:variant>
      <vt:variant>
        <vt:i4>5</vt:i4>
      </vt:variant>
      <vt:variant>
        <vt:lpwstr/>
      </vt:variant>
      <vt:variant>
        <vt:lpwstr>_Toc423359347</vt:lpwstr>
      </vt:variant>
      <vt:variant>
        <vt:i4>1769479</vt:i4>
      </vt:variant>
      <vt:variant>
        <vt:i4>260</vt:i4>
      </vt:variant>
      <vt:variant>
        <vt:i4>0</vt:i4>
      </vt:variant>
      <vt:variant>
        <vt:i4>5</vt:i4>
      </vt:variant>
      <vt:variant>
        <vt:lpwstr/>
      </vt:variant>
      <vt:variant>
        <vt:lpwstr>_Toc423359346</vt:lpwstr>
      </vt:variant>
      <vt:variant>
        <vt:i4>1769476</vt:i4>
      </vt:variant>
      <vt:variant>
        <vt:i4>254</vt:i4>
      </vt:variant>
      <vt:variant>
        <vt:i4>0</vt:i4>
      </vt:variant>
      <vt:variant>
        <vt:i4>5</vt:i4>
      </vt:variant>
      <vt:variant>
        <vt:lpwstr/>
      </vt:variant>
      <vt:variant>
        <vt:lpwstr>_Toc423359345</vt:lpwstr>
      </vt:variant>
      <vt:variant>
        <vt:i4>1769477</vt:i4>
      </vt:variant>
      <vt:variant>
        <vt:i4>248</vt:i4>
      </vt:variant>
      <vt:variant>
        <vt:i4>0</vt:i4>
      </vt:variant>
      <vt:variant>
        <vt:i4>5</vt:i4>
      </vt:variant>
      <vt:variant>
        <vt:lpwstr/>
      </vt:variant>
      <vt:variant>
        <vt:lpwstr>_Toc423359344</vt:lpwstr>
      </vt:variant>
      <vt:variant>
        <vt:i4>1769474</vt:i4>
      </vt:variant>
      <vt:variant>
        <vt:i4>242</vt:i4>
      </vt:variant>
      <vt:variant>
        <vt:i4>0</vt:i4>
      </vt:variant>
      <vt:variant>
        <vt:i4>5</vt:i4>
      </vt:variant>
      <vt:variant>
        <vt:lpwstr/>
      </vt:variant>
      <vt:variant>
        <vt:lpwstr>_Toc423359343</vt:lpwstr>
      </vt:variant>
      <vt:variant>
        <vt:i4>1769475</vt:i4>
      </vt:variant>
      <vt:variant>
        <vt:i4>236</vt:i4>
      </vt:variant>
      <vt:variant>
        <vt:i4>0</vt:i4>
      </vt:variant>
      <vt:variant>
        <vt:i4>5</vt:i4>
      </vt:variant>
      <vt:variant>
        <vt:lpwstr/>
      </vt:variant>
      <vt:variant>
        <vt:lpwstr>_Toc423359342</vt:lpwstr>
      </vt:variant>
      <vt:variant>
        <vt:i4>1769472</vt:i4>
      </vt:variant>
      <vt:variant>
        <vt:i4>230</vt:i4>
      </vt:variant>
      <vt:variant>
        <vt:i4>0</vt:i4>
      </vt:variant>
      <vt:variant>
        <vt:i4>5</vt:i4>
      </vt:variant>
      <vt:variant>
        <vt:lpwstr/>
      </vt:variant>
      <vt:variant>
        <vt:lpwstr>_Toc423359341</vt:lpwstr>
      </vt:variant>
      <vt:variant>
        <vt:i4>1769473</vt:i4>
      </vt:variant>
      <vt:variant>
        <vt:i4>224</vt:i4>
      </vt:variant>
      <vt:variant>
        <vt:i4>0</vt:i4>
      </vt:variant>
      <vt:variant>
        <vt:i4>5</vt:i4>
      </vt:variant>
      <vt:variant>
        <vt:lpwstr/>
      </vt:variant>
      <vt:variant>
        <vt:lpwstr>_Toc423359340</vt:lpwstr>
      </vt:variant>
      <vt:variant>
        <vt:i4>1835016</vt:i4>
      </vt:variant>
      <vt:variant>
        <vt:i4>218</vt:i4>
      </vt:variant>
      <vt:variant>
        <vt:i4>0</vt:i4>
      </vt:variant>
      <vt:variant>
        <vt:i4>5</vt:i4>
      </vt:variant>
      <vt:variant>
        <vt:lpwstr/>
      </vt:variant>
      <vt:variant>
        <vt:lpwstr>_Toc423359339</vt:lpwstr>
      </vt:variant>
      <vt:variant>
        <vt:i4>1835017</vt:i4>
      </vt:variant>
      <vt:variant>
        <vt:i4>212</vt:i4>
      </vt:variant>
      <vt:variant>
        <vt:i4>0</vt:i4>
      </vt:variant>
      <vt:variant>
        <vt:i4>5</vt:i4>
      </vt:variant>
      <vt:variant>
        <vt:lpwstr/>
      </vt:variant>
      <vt:variant>
        <vt:lpwstr>_Toc423359338</vt:lpwstr>
      </vt:variant>
      <vt:variant>
        <vt:i4>1835014</vt:i4>
      </vt:variant>
      <vt:variant>
        <vt:i4>206</vt:i4>
      </vt:variant>
      <vt:variant>
        <vt:i4>0</vt:i4>
      </vt:variant>
      <vt:variant>
        <vt:i4>5</vt:i4>
      </vt:variant>
      <vt:variant>
        <vt:lpwstr/>
      </vt:variant>
      <vt:variant>
        <vt:lpwstr>_Toc423359337</vt:lpwstr>
      </vt:variant>
      <vt:variant>
        <vt:i4>1835015</vt:i4>
      </vt:variant>
      <vt:variant>
        <vt:i4>200</vt:i4>
      </vt:variant>
      <vt:variant>
        <vt:i4>0</vt:i4>
      </vt:variant>
      <vt:variant>
        <vt:i4>5</vt:i4>
      </vt:variant>
      <vt:variant>
        <vt:lpwstr/>
      </vt:variant>
      <vt:variant>
        <vt:lpwstr>_Toc423359336</vt:lpwstr>
      </vt:variant>
      <vt:variant>
        <vt:i4>1835012</vt:i4>
      </vt:variant>
      <vt:variant>
        <vt:i4>194</vt:i4>
      </vt:variant>
      <vt:variant>
        <vt:i4>0</vt:i4>
      </vt:variant>
      <vt:variant>
        <vt:i4>5</vt:i4>
      </vt:variant>
      <vt:variant>
        <vt:lpwstr/>
      </vt:variant>
      <vt:variant>
        <vt:lpwstr>_Toc423359335</vt:lpwstr>
      </vt:variant>
      <vt:variant>
        <vt:i4>1835013</vt:i4>
      </vt:variant>
      <vt:variant>
        <vt:i4>188</vt:i4>
      </vt:variant>
      <vt:variant>
        <vt:i4>0</vt:i4>
      </vt:variant>
      <vt:variant>
        <vt:i4>5</vt:i4>
      </vt:variant>
      <vt:variant>
        <vt:lpwstr/>
      </vt:variant>
      <vt:variant>
        <vt:lpwstr>_Toc423359334</vt:lpwstr>
      </vt:variant>
      <vt:variant>
        <vt:i4>1835010</vt:i4>
      </vt:variant>
      <vt:variant>
        <vt:i4>182</vt:i4>
      </vt:variant>
      <vt:variant>
        <vt:i4>0</vt:i4>
      </vt:variant>
      <vt:variant>
        <vt:i4>5</vt:i4>
      </vt:variant>
      <vt:variant>
        <vt:lpwstr/>
      </vt:variant>
      <vt:variant>
        <vt:lpwstr>_Toc423359333</vt:lpwstr>
      </vt:variant>
      <vt:variant>
        <vt:i4>1835011</vt:i4>
      </vt:variant>
      <vt:variant>
        <vt:i4>176</vt:i4>
      </vt:variant>
      <vt:variant>
        <vt:i4>0</vt:i4>
      </vt:variant>
      <vt:variant>
        <vt:i4>5</vt:i4>
      </vt:variant>
      <vt:variant>
        <vt:lpwstr/>
      </vt:variant>
      <vt:variant>
        <vt:lpwstr>_Toc423359332</vt:lpwstr>
      </vt:variant>
      <vt:variant>
        <vt:i4>1835008</vt:i4>
      </vt:variant>
      <vt:variant>
        <vt:i4>170</vt:i4>
      </vt:variant>
      <vt:variant>
        <vt:i4>0</vt:i4>
      </vt:variant>
      <vt:variant>
        <vt:i4>5</vt:i4>
      </vt:variant>
      <vt:variant>
        <vt:lpwstr/>
      </vt:variant>
      <vt:variant>
        <vt:lpwstr>_Toc423359331</vt:lpwstr>
      </vt:variant>
      <vt:variant>
        <vt:i4>1835009</vt:i4>
      </vt:variant>
      <vt:variant>
        <vt:i4>164</vt:i4>
      </vt:variant>
      <vt:variant>
        <vt:i4>0</vt:i4>
      </vt:variant>
      <vt:variant>
        <vt:i4>5</vt:i4>
      </vt:variant>
      <vt:variant>
        <vt:lpwstr/>
      </vt:variant>
      <vt:variant>
        <vt:lpwstr>_Toc423359330</vt:lpwstr>
      </vt:variant>
      <vt:variant>
        <vt:i4>1900552</vt:i4>
      </vt:variant>
      <vt:variant>
        <vt:i4>158</vt:i4>
      </vt:variant>
      <vt:variant>
        <vt:i4>0</vt:i4>
      </vt:variant>
      <vt:variant>
        <vt:i4>5</vt:i4>
      </vt:variant>
      <vt:variant>
        <vt:lpwstr/>
      </vt:variant>
      <vt:variant>
        <vt:lpwstr>_Toc423359329</vt:lpwstr>
      </vt:variant>
      <vt:variant>
        <vt:i4>1900553</vt:i4>
      </vt:variant>
      <vt:variant>
        <vt:i4>152</vt:i4>
      </vt:variant>
      <vt:variant>
        <vt:i4>0</vt:i4>
      </vt:variant>
      <vt:variant>
        <vt:i4>5</vt:i4>
      </vt:variant>
      <vt:variant>
        <vt:lpwstr/>
      </vt:variant>
      <vt:variant>
        <vt:lpwstr>_Toc423359328</vt:lpwstr>
      </vt:variant>
      <vt:variant>
        <vt:i4>1900550</vt:i4>
      </vt:variant>
      <vt:variant>
        <vt:i4>146</vt:i4>
      </vt:variant>
      <vt:variant>
        <vt:i4>0</vt:i4>
      </vt:variant>
      <vt:variant>
        <vt:i4>5</vt:i4>
      </vt:variant>
      <vt:variant>
        <vt:lpwstr/>
      </vt:variant>
      <vt:variant>
        <vt:lpwstr>_Toc423359327</vt:lpwstr>
      </vt:variant>
      <vt:variant>
        <vt:i4>1900551</vt:i4>
      </vt:variant>
      <vt:variant>
        <vt:i4>140</vt:i4>
      </vt:variant>
      <vt:variant>
        <vt:i4>0</vt:i4>
      </vt:variant>
      <vt:variant>
        <vt:i4>5</vt:i4>
      </vt:variant>
      <vt:variant>
        <vt:lpwstr/>
      </vt:variant>
      <vt:variant>
        <vt:lpwstr>_Toc423359326</vt:lpwstr>
      </vt:variant>
      <vt:variant>
        <vt:i4>1900548</vt:i4>
      </vt:variant>
      <vt:variant>
        <vt:i4>134</vt:i4>
      </vt:variant>
      <vt:variant>
        <vt:i4>0</vt:i4>
      </vt:variant>
      <vt:variant>
        <vt:i4>5</vt:i4>
      </vt:variant>
      <vt:variant>
        <vt:lpwstr/>
      </vt:variant>
      <vt:variant>
        <vt:lpwstr>_Toc423359325</vt:lpwstr>
      </vt:variant>
      <vt:variant>
        <vt:i4>1900549</vt:i4>
      </vt:variant>
      <vt:variant>
        <vt:i4>128</vt:i4>
      </vt:variant>
      <vt:variant>
        <vt:i4>0</vt:i4>
      </vt:variant>
      <vt:variant>
        <vt:i4>5</vt:i4>
      </vt:variant>
      <vt:variant>
        <vt:lpwstr/>
      </vt:variant>
      <vt:variant>
        <vt:lpwstr>_Toc423359324</vt:lpwstr>
      </vt:variant>
      <vt:variant>
        <vt:i4>1900546</vt:i4>
      </vt:variant>
      <vt:variant>
        <vt:i4>122</vt:i4>
      </vt:variant>
      <vt:variant>
        <vt:i4>0</vt:i4>
      </vt:variant>
      <vt:variant>
        <vt:i4>5</vt:i4>
      </vt:variant>
      <vt:variant>
        <vt:lpwstr/>
      </vt:variant>
      <vt:variant>
        <vt:lpwstr>_Toc423359323</vt:lpwstr>
      </vt:variant>
      <vt:variant>
        <vt:i4>1900547</vt:i4>
      </vt:variant>
      <vt:variant>
        <vt:i4>116</vt:i4>
      </vt:variant>
      <vt:variant>
        <vt:i4>0</vt:i4>
      </vt:variant>
      <vt:variant>
        <vt:i4>5</vt:i4>
      </vt:variant>
      <vt:variant>
        <vt:lpwstr/>
      </vt:variant>
      <vt:variant>
        <vt:lpwstr>_Toc423359322</vt:lpwstr>
      </vt:variant>
      <vt:variant>
        <vt:i4>1900544</vt:i4>
      </vt:variant>
      <vt:variant>
        <vt:i4>110</vt:i4>
      </vt:variant>
      <vt:variant>
        <vt:i4>0</vt:i4>
      </vt:variant>
      <vt:variant>
        <vt:i4>5</vt:i4>
      </vt:variant>
      <vt:variant>
        <vt:lpwstr/>
      </vt:variant>
      <vt:variant>
        <vt:lpwstr>_Toc423359321</vt:lpwstr>
      </vt:variant>
      <vt:variant>
        <vt:i4>1900545</vt:i4>
      </vt:variant>
      <vt:variant>
        <vt:i4>104</vt:i4>
      </vt:variant>
      <vt:variant>
        <vt:i4>0</vt:i4>
      </vt:variant>
      <vt:variant>
        <vt:i4>5</vt:i4>
      </vt:variant>
      <vt:variant>
        <vt:lpwstr/>
      </vt:variant>
      <vt:variant>
        <vt:lpwstr>_Toc423359320</vt:lpwstr>
      </vt:variant>
      <vt:variant>
        <vt:i4>1966088</vt:i4>
      </vt:variant>
      <vt:variant>
        <vt:i4>98</vt:i4>
      </vt:variant>
      <vt:variant>
        <vt:i4>0</vt:i4>
      </vt:variant>
      <vt:variant>
        <vt:i4>5</vt:i4>
      </vt:variant>
      <vt:variant>
        <vt:lpwstr/>
      </vt:variant>
      <vt:variant>
        <vt:lpwstr>_Toc423359319</vt:lpwstr>
      </vt:variant>
      <vt:variant>
        <vt:i4>1966089</vt:i4>
      </vt:variant>
      <vt:variant>
        <vt:i4>92</vt:i4>
      </vt:variant>
      <vt:variant>
        <vt:i4>0</vt:i4>
      </vt:variant>
      <vt:variant>
        <vt:i4>5</vt:i4>
      </vt:variant>
      <vt:variant>
        <vt:lpwstr/>
      </vt:variant>
      <vt:variant>
        <vt:lpwstr>_Toc423359318</vt:lpwstr>
      </vt:variant>
      <vt:variant>
        <vt:i4>1966086</vt:i4>
      </vt:variant>
      <vt:variant>
        <vt:i4>86</vt:i4>
      </vt:variant>
      <vt:variant>
        <vt:i4>0</vt:i4>
      </vt:variant>
      <vt:variant>
        <vt:i4>5</vt:i4>
      </vt:variant>
      <vt:variant>
        <vt:lpwstr/>
      </vt:variant>
      <vt:variant>
        <vt:lpwstr>_Toc423359317</vt:lpwstr>
      </vt:variant>
      <vt:variant>
        <vt:i4>1966087</vt:i4>
      </vt:variant>
      <vt:variant>
        <vt:i4>80</vt:i4>
      </vt:variant>
      <vt:variant>
        <vt:i4>0</vt:i4>
      </vt:variant>
      <vt:variant>
        <vt:i4>5</vt:i4>
      </vt:variant>
      <vt:variant>
        <vt:lpwstr/>
      </vt:variant>
      <vt:variant>
        <vt:lpwstr>_Toc423359316</vt:lpwstr>
      </vt:variant>
      <vt:variant>
        <vt:i4>1966084</vt:i4>
      </vt:variant>
      <vt:variant>
        <vt:i4>74</vt:i4>
      </vt:variant>
      <vt:variant>
        <vt:i4>0</vt:i4>
      </vt:variant>
      <vt:variant>
        <vt:i4>5</vt:i4>
      </vt:variant>
      <vt:variant>
        <vt:lpwstr/>
      </vt:variant>
      <vt:variant>
        <vt:lpwstr>_Toc423359315</vt:lpwstr>
      </vt:variant>
      <vt:variant>
        <vt:i4>1966085</vt:i4>
      </vt:variant>
      <vt:variant>
        <vt:i4>68</vt:i4>
      </vt:variant>
      <vt:variant>
        <vt:i4>0</vt:i4>
      </vt:variant>
      <vt:variant>
        <vt:i4>5</vt:i4>
      </vt:variant>
      <vt:variant>
        <vt:lpwstr/>
      </vt:variant>
      <vt:variant>
        <vt:lpwstr>_Toc423359314</vt:lpwstr>
      </vt:variant>
      <vt:variant>
        <vt:i4>1966082</vt:i4>
      </vt:variant>
      <vt:variant>
        <vt:i4>62</vt:i4>
      </vt:variant>
      <vt:variant>
        <vt:i4>0</vt:i4>
      </vt:variant>
      <vt:variant>
        <vt:i4>5</vt:i4>
      </vt:variant>
      <vt:variant>
        <vt:lpwstr/>
      </vt:variant>
      <vt:variant>
        <vt:lpwstr>_Toc423359313</vt:lpwstr>
      </vt:variant>
      <vt:variant>
        <vt:i4>1966083</vt:i4>
      </vt:variant>
      <vt:variant>
        <vt:i4>56</vt:i4>
      </vt:variant>
      <vt:variant>
        <vt:i4>0</vt:i4>
      </vt:variant>
      <vt:variant>
        <vt:i4>5</vt:i4>
      </vt:variant>
      <vt:variant>
        <vt:lpwstr/>
      </vt:variant>
      <vt:variant>
        <vt:lpwstr>_Toc423359312</vt:lpwstr>
      </vt:variant>
      <vt:variant>
        <vt:i4>1966080</vt:i4>
      </vt:variant>
      <vt:variant>
        <vt:i4>50</vt:i4>
      </vt:variant>
      <vt:variant>
        <vt:i4>0</vt:i4>
      </vt:variant>
      <vt:variant>
        <vt:i4>5</vt:i4>
      </vt:variant>
      <vt:variant>
        <vt:lpwstr/>
      </vt:variant>
      <vt:variant>
        <vt:lpwstr>_Toc423359311</vt:lpwstr>
      </vt:variant>
      <vt:variant>
        <vt:i4>1966081</vt:i4>
      </vt:variant>
      <vt:variant>
        <vt:i4>44</vt:i4>
      </vt:variant>
      <vt:variant>
        <vt:i4>0</vt:i4>
      </vt:variant>
      <vt:variant>
        <vt:i4>5</vt:i4>
      </vt:variant>
      <vt:variant>
        <vt:lpwstr/>
      </vt:variant>
      <vt:variant>
        <vt:lpwstr>_Toc423359310</vt:lpwstr>
      </vt:variant>
      <vt:variant>
        <vt:i4>2031624</vt:i4>
      </vt:variant>
      <vt:variant>
        <vt:i4>38</vt:i4>
      </vt:variant>
      <vt:variant>
        <vt:i4>0</vt:i4>
      </vt:variant>
      <vt:variant>
        <vt:i4>5</vt:i4>
      </vt:variant>
      <vt:variant>
        <vt:lpwstr/>
      </vt:variant>
      <vt:variant>
        <vt:lpwstr>_Toc423359309</vt:lpwstr>
      </vt:variant>
      <vt:variant>
        <vt:i4>2031625</vt:i4>
      </vt:variant>
      <vt:variant>
        <vt:i4>32</vt:i4>
      </vt:variant>
      <vt:variant>
        <vt:i4>0</vt:i4>
      </vt:variant>
      <vt:variant>
        <vt:i4>5</vt:i4>
      </vt:variant>
      <vt:variant>
        <vt:lpwstr/>
      </vt:variant>
      <vt:variant>
        <vt:lpwstr>_Toc423359308</vt:lpwstr>
      </vt:variant>
      <vt:variant>
        <vt:i4>2031622</vt:i4>
      </vt:variant>
      <vt:variant>
        <vt:i4>26</vt:i4>
      </vt:variant>
      <vt:variant>
        <vt:i4>0</vt:i4>
      </vt:variant>
      <vt:variant>
        <vt:i4>5</vt:i4>
      </vt:variant>
      <vt:variant>
        <vt:lpwstr/>
      </vt:variant>
      <vt:variant>
        <vt:lpwstr>_Toc423359307</vt:lpwstr>
      </vt:variant>
      <vt:variant>
        <vt:i4>2031623</vt:i4>
      </vt:variant>
      <vt:variant>
        <vt:i4>20</vt:i4>
      </vt:variant>
      <vt:variant>
        <vt:i4>0</vt:i4>
      </vt:variant>
      <vt:variant>
        <vt:i4>5</vt:i4>
      </vt:variant>
      <vt:variant>
        <vt:lpwstr/>
      </vt:variant>
      <vt:variant>
        <vt:lpwstr>_Toc423359306</vt:lpwstr>
      </vt:variant>
      <vt:variant>
        <vt:i4>2031620</vt:i4>
      </vt:variant>
      <vt:variant>
        <vt:i4>14</vt:i4>
      </vt:variant>
      <vt:variant>
        <vt:i4>0</vt:i4>
      </vt:variant>
      <vt:variant>
        <vt:i4>5</vt:i4>
      </vt:variant>
      <vt:variant>
        <vt:lpwstr/>
      </vt:variant>
      <vt:variant>
        <vt:lpwstr>_Toc423359305</vt:lpwstr>
      </vt:variant>
      <vt:variant>
        <vt:i4>2031621</vt:i4>
      </vt:variant>
      <vt:variant>
        <vt:i4>8</vt:i4>
      </vt:variant>
      <vt:variant>
        <vt:i4>0</vt:i4>
      </vt:variant>
      <vt:variant>
        <vt:i4>5</vt:i4>
      </vt:variant>
      <vt:variant>
        <vt:lpwstr/>
      </vt:variant>
      <vt:variant>
        <vt:lpwstr>_Toc423359304</vt:lpwstr>
      </vt:variant>
      <vt:variant>
        <vt:i4>2031618</vt:i4>
      </vt:variant>
      <vt:variant>
        <vt:i4>2</vt:i4>
      </vt:variant>
      <vt:variant>
        <vt:i4>0</vt:i4>
      </vt:variant>
      <vt:variant>
        <vt:i4>5</vt:i4>
      </vt:variant>
      <vt:variant>
        <vt:lpwstr/>
      </vt:variant>
      <vt:variant>
        <vt:lpwstr>_Toc423359303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2016-02-11T00:49:00Z</dcterms:created>
  <dcterms:modified xsi:type="dcterms:W3CDTF">2016-02-11T00:49:00Z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4ef5b317-b651-4338-8946-2daab123cbeb</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1018300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