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46C" w:rsidRDefault="0060746C">
      <w:bookmarkStart w:id="0" w:name="_GoBack"/>
      <w:bookmarkEnd w:id="0"/>
    </w:p>
    <w:p w:rsidR="001156D2" w:rsidRPr="00B7236E" w:rsidRDefault="001156D2" w:rsidP="00B7236E">
      <w:pPr>
        <w:jc w:val="center"/>
        <w:rPr>
          <w:b/>
          <w:sz w:val="24"/>
        </w:rPr>
      </w:pPr>
      <w:r w:rsidRPr="00B7236E">
        <w:rPr>
          <w:b/>
          <w:sz w:val="24"/>
        </w:rPr>
        <w:t>Mid-term Review of the Australia – World Bank Partnership</w:t>
      </w:r>
    </w:p>
    <w:p w:rsidR="00B7236E" w:rsidRPr="00B7236E" w:rsidRDefault="00B7236E" w:rsidP="00B7236E">
      <w:pPr>
        <w:jc w:val="center"/>
        <w:rPr>
          <w:b/>
          <w:sz w:val="24"/>
        </w:rPr>
      </w:pPr>
      <w:r w:rsidRPr="00B7236E">
        <w:rPr>
          <w:b/>
          <w:sz w:val="24"/>
        </w:rPr>
        <w:t>Management Response</w:t>
      </w:r>
    </w:p>
    <w:tbl>
      <w:tblPr>
        <w:tblStyle w:val="TableGrid"/>
        <w:tblW w:w="0" w:type="auto"/>
        <w:tblLook w:val="04A0" w:firstRow="1" w:lastRow="0" w:firstColumn="1" w:lastColumn="0" w:noHBand="0" w:noVBand="1"/>
        <w:tblCaption w:val="Management responses"/>
        <w:tblDescription w:val="Table sets out each finding/recommendation, and what the agreed follow-up is, the timeline and responsibility for follow up."/>
      </w:tblPr>
      <w:tblGrid>
        <w:gridCol w:w="6059"/>
        <w:gridCol w:w="4958"/>
        <w:gridCol w:w="1141"/>
        <w:gridCol w:w="2016"/>
      </w:tblGrid>
      <w:tr w:rsidR="001156D2" w:rsidRPr="00B7236E" w:rsidTr="00F75F1A">
        <w:trPr>
          <w:tblHeader/>
        </w:trPr>
        <w:tc>
          <w:tcPr>
            <w:tcW w:w="6062" w:type="dxa"/>
          </w:tcPr>
          <w:p w:rsidR="001156D2" w:rsidRPr="00B7236E" w:rsidRDefault="001156D2" w:rsidP="00B7236E">
            <w:pPr>
              <w:jc w:val="center"/>
              <w:rPr>
                <w:b/>
              </w:rPr>
            </w:pPr>
            <w:r w:rsidRPr="00B7236E">
              <w:rPr>
                <w:b/>
              </w:rPr>
              <w:t>Findings/Recommendations</w:t>
            </w:r>
          </w:p>
        </w:tc>
        <w:tc>
          <w:tcPr>
            <w:tcW w:w="4961" w:type="dxa"/>
          </w:tcPr>
          <w:p w:rsidR="001156D2" w:rsidRPr="00B7236E" w:rsidRDefault="001156D2" w:rsidP="00B7236E">
            <w:pPr>
              <w:jc w:val="center"/>
              <w:rPr>
                <w:b/>
              </w:rPr>
            </w:pPr>
            <w:r w:rsidRPr="00B7236E">
              <w:rPr>
                <w:b/>
              </w:rPr>
              <w:t>Agreed Follow-up</w:t>
            </w:r>
          </w:p>
        </w:tc>
        <w:tc>
          <w:tcPr>
            <w:tcW w:w="1134" w:type="dxa"/>
          </w:tcPr>
          <w:p w:rsidR="001156D2" w:rsidRPr="00B7236E" w:rsidRDefault="001156D2" w:rsidP="00B7236E">
            <w:pPr>
              <w:jc w:val="center"/>
              <w:rPr>
                <w:b/>
              </w:rPr>
            </w:pPr>
            <w:r w:rsidRPr="00B7236E">
              <w:rPr>
                <w:b/>
              </w:rPr>
              <w:t>Timeline</w:t>
            </w:r>
          </w:p>
        </w:tc>
        <w:tc>
          <w:tcPr>
            <w:tcW w:w="2017" w:type="dxa"/>
          </w:tcPr>
          <w:p w:rsidR="001156D2" w:rsidRPr="00B7236E" w:rsidRDefault="001156D2" w:rsidP="00B7236E">
            <w:pPr>
              <w:jc w:val="center"/>
              <w:rPr>
                <w:b/>
              </w:rPr>
            </w:pPr>
            <w:r w:rsidRPr="00B7236E">
              <w:rPr>
                <w:b/>
              </w:rPr>
              <w:t>Responsibility</w:t>
            </w:r>
          </w:p>
        </w:tc>
      </w:tr>
      <w:tr w:rsidR="00B7236E" w:rsidTr="00B7236E">
        <w:tc>
          <w:tcPr>
            <w:tcW w:w="6062" w:type="dxa"/>
          </w:tcPr>
          <w:p w:rsidR="00B7236E" w:rsidRPr="0084631E" w:rsidRDefault="00B7236E" w:rsidP="00B7236E">
            <w:pPr>
              <w:pStyle w:val="NoSpacing"/>
              <w:rPr>
                <w:b/>
              </w:rPr>
            </w:pPr>
            <w:r w:rsidRPr="0084631E">
              <w:rPr>
                <w:b/>
              </w:rPr>
              <w:t>Ensure ABP is completed successfully</w:t>
            </w:r>
          </w:p>
          <w:p w:rsidR="00B7236E" w:rsidRDefault="00B7236E" w:rsidP="002B07FE"/>
        </w:tc>
        <w:tc>
          <w:tcPr>
            <w:tcW w:w="4961" w:type="dxa"/>
          </w:tcPr>
          <w:p w:rsidR="00B7236E" w:rsidRDefault="00B7236E" w:rsidP="002B07FE"/>
        </w:tc>
        <w:tc>
          <w:tcPr>
            <w:tcW w:w="1134" w:type="dxa"/>
          </w:tcPr>
          <w:p w:rsidR="00B7236E" w:rsidRDefault="00B7236E" w:rsidP="002B07FE"/>
        </w:tc>
        <w:tc>
          <w:tcPr>
            <w:tcW w:w="2017" w:type="dxa"/>
          </w:tcPr>
          <w:p w:rsidR="00B7236E" w:rsidRDefault="00B7236E" w:rsidP="002B07FE"/>
        </w:tc>
      </w:tr>
      <w:tr w:rsidR="00B7236E" w:rsidTr="00B7236E">
        <w:tc>
          <w:tcPr>
            <w:tcW w:w="6062" w:type="dxa"/>
          </w:tcPr>
          <w:p w:rsidR="00B7236E" w:rsidRPr="003439FE" w:rsidRDefault="00B7236E" w:rsidP="004D3EAA">
            <w:pPr>
              <w:pStyle w:val="NoSpacing"/>
              <w:numPr>
                <w:ilvl w:val="0"/>
                <w:numId w:val="1"/>
              </w:numPr>
              <w:spacing w:before="120" w:after="120"/>
              <w:ind w:left="426"/>
              <w:jc w:val="both"/>
            </w:pPr>
            <w:r w:rsidRPr="003439FE">
              <w:t xml:space="preserve">Accelerating implementation of on-going activities. </w:t>
            </w:r>
          </w:p>
          <w:p w:rsidR="00B7236E" w:rsidRPr="003439FE" w:rsidRDefault="00B7236E" w:rsidP="003439FE">
            <w:pPr>
              <w:pStyle w:val="NoSpacing"/>
              <w:spacing w:before="120" w:after="120"/>
              <w:ind w:left="66"/>
              <w:jc w:val="both"/>
            </w:pPr>
          </w:p>
        </w:tc>
        <w:tc>
          <w:tcPr>
            <w:tcW w:w="4961" w:type="dxa"/>
          </w:tcPr>
          <w:p w:rsidR="00B7236E" w:rsidRDefault="00B7236E" w:rsidP="002B07FE">
            <w:r>
              <w:t>Agreed.  Implementation schedule to be updated and be discussed at Steering Committee meeting</w:t>
            </w:r>
          </w:p>
        </w:tc>
        <w:tc>
          <w:tcPr>
            <w:tcW w:w="1134" w:type="dxa"/>
          </w:tcPr>
          <w:p w:rsidR="00B7236E" w:rsidRDefault="00B7236E" w:rsidP="002B07FE">
            <w:r>
              <w:t>December 2014</w:t>
            </w:r>
          </w:p>
        </w:tc>
        <w:tc>
          <w:tcPr>
            <w:tcW w:w="2017" w:type="dxa"/>
          </w:tcPr>
          <w:p w:rsidR="00B7236E" w:rsidRDefault="00B7236E" w:rsidP="002B07FE">
            <w:r>
              <w:t>WB – ABP management and thematic teams in consultation with DFAT thematic teams</w:t>
            </w:r>
          </w:p>
        </w:tc>
      </w:tr>
      <w:tr w:rsidR="00B7236E" w:rsidTr="00B7236E">
        <w:tc>
          <w:tcPr>
            <w:tcW w:w="6062" w:type="dxa"/>
          </w:tcPr>
          <w:p w:rsidR="00B7236E" w:rsidRPr="003439FE" w:rsidRDefault="00B7236E" w:rsidP="004D3EAA">
            <w:pPr>
              <w:pStyle w:val="NoSpacing"/>
              <w:numPr>
                <w:ilvl w:val="0"/>
                <w:numId w:val="1"/>
              </w:numPr>
              <w:spacing w:before="120" w:after="120"/>
              <w:ind w:left="426"/>
              <w:jc w:val="both"/>
            </w:pPr>
            <w:r w:rsidRPr="003439FE">
              <w:t>Initiating recently shortlisted activities immediately while ensuring they have realistic timetables.</w:t>
            </w:r>
          </w:p>
        </w:tc>
        <w:tc>
          <w:tcPr>
            <w:tcW w:w="4961" w:type="dxa"/>
          </w:tcPr>
          <w:p w:rsidR="00B7236E" w:rsidRDefault="00B7236E" w:rsidP="002B07FE">
            <w:r>
              <w:t>Agreed.  To be reviewed at the Steering Committee meeting</w:t>
            </w:r>
          </w:p>
        </w:tc>
        <w:tc>
          <w:tcPr>
            <w:tcW w:w="1134" w:type="dxa"/>
          </w:tcPr>
          <w:p w:rsidR="00B7236E" w:rsidRDefault="00B7236E" w:rsidP="002B07FE">
            <w:r>
              <w:t>December 2014</w:t>
            </w:r>
          </w:p>
        </w:tc>
        <w:tc>
          <w:tcPr>
            <w:tcW w:w="2017" w:type="dxa"/>
          </w:tcPr>
          <w:p w:rsidR="00B7236E" w:rsidRDefault="00B7236E" w:rsidP="002B07FE">
            <w:r>
              <w:t>Two co-chairs of ABP Steering Committee</w:t>
            </w:r>
          </w:p>
        </w:tc>
      </w:tr>
      <w:tr w:rsidR="00B7236E" w:rsidTr="00B7236E">
        <w:tc>
          <w:tcPr>
            <w:tcW w:w="6062" w:type="dxa"/>
          </w:tcPr>
          <w:p w:rsidR="00B7236E" w:rsidRPr="003439FE" w:rsidRDefault="00B7236E" w:rsidP="004D3EAA">
            <w:pPr>
              <w:pStyle w:val="NoSpacing"/>
              <w:numPr>
                <w:ilvl w:val="0"/>
                <w:numId w:val="1"/>
              </w:numPr>
              <w:spacing w:before="120" w:after="120"/>
              <w:ind w:left="426"/>
              <w:jc w:val="both"/>
            </w:pPr>
            <w:r w:rsidRPr="003439FE">
              <w:t>Clawing back funds from slow-moving tasks</w:t>
            </w:r>
          </w:p>
        </w:tc>
        <w:tc>
          <w:tcPr>
            <w:tcW w:w="4961" w:type="dxa"/>
          </w:tcPr>
          <w:p w:rsidR="00B7236E" w:rsidRDefault="004D3EAA" w:rsidP="004D3EAA">
            <w:r>
              <w:t xml:space="preserve">Agreed. WB to discuss and review implementation progress with thematic teams and submit  a proposal to be discussed at the ABP Retreat </w:t>
            </w:r>
          </w:p>
        </w:tc>
        <w:tc>
          <w:tcPr>
            <w:tcW w:w="1134" w:type="dxa"/>
          </w:tcPr>
          <w:p w:rsidR="00B7236E" w:rsidRDefault="004D3EAA" w:rsidP="002B07FE">
            <w:r>
              <w:t>June 2015</w:t>
            </w:r>
          </w:p>
        </w:tc>
        <w:tc>
          <w:tcPr>
            <w:tcW w:w="2017" w:type="dxa"/>
          </w:tcPr>
          <w:p w:rsidR="00B7236E" w:rsidRDefault="004D3EAA" w:rsidP="002B07FE">
            <w:r>
              <w:t>WB – ABP management and thematic teams in consultation with DFAT thematic teams</w:t>
            </w:r>
          </w:p>
        </w:tc>
      </w:tr>
      <w:tr w:rsidR="00B7236E" w:rsidTr="00B7236E">
        <w:tc>
          <w:tcPr>
            <w:tcW w:w="6062" w:type="dxa"/>
          </w:tcPr>
          <w:p w:rsidR="00B7236E" w:rsidRPr="003439FE" w:rsidRDefault="00B7236E" w:rsidP="004D3EAA">
            <w:pPr>
              <w:pStyle w:val="NoSpacing"/>
              <w:numPr>
                <w:ilvl w:val="0"/>
                <w:numId w:val="1"/>
              </w:numPr>
              <w:spacing w:before="120" w:after="120"/>
              <w:ind w:left="426"/>
              <w:jc w:val="both"/>
            </w:pPr>
            <w:r w:rsidRPr="003439FE">
              <w:t>Climate Change, Green Growth and Gender</w:t>
            </w:r>
          </w:p>
        </w:tc>
        <w:tc>
          <w:tcPr>
            <w:tcW w:w="4961" w:type="dxa"/>
          </w:tcPr>
          <w:p w:rsidR="00B7236E" w:rsidRDefault="004D3EAA" w:rsidP="002B07FE">
            <w:r>
              <w:t>Agreed.  DFAT Gender Consultant to work with WB Gender Adviser and submit a review to Steering Committee for decision</w:t>
            </w:r>
          </w:p>
        </w:tc>
        <w:tc>
          <w:tcPr>
            <w:tcW w:w="1134" w:type="dxa"/>
          </w:tcPr>
          <w:p w:rsidR="00B7236E" w:rsidRDefault="004D3EAA" w:rsidP="002B07FE">
            <w:r>
              <w:t>June 2015</w:t>
            </w:r>
          </w:p>
        </w:tc>
        <w:tc>
          <w:tcPr>
            <w:tcW w:w="2017" w:type="dxa"/>
          </w:tcPr>
          <w:p w:rsidR="00B7236E" w:rsidRDefault="004D3EAA" w:rsidP="004D3EAA">
            <w:r>
              <w:t>DFAT Gender Consultant and WB Gender Adviser</w:t>
            </w:r>
          </w:p>
        </w:tc>
      </w:tr>
      <w:tr w:rsidR="006A0642" w:rsidTr="00B7236E">
        <w:tc>
          <w:tcPr>
            <w:tcW w:w="6062" w:type="dxa"/>
          </w:tcPr>
          <w:p w:rsidR="006A0642" w:rsidRPr="004D3EAA" w:rsidRDefault="006A0642" w:rsidP="002B07FE">
            <w:pPr>
              <w:rPr>
                <w:b/>
              </w:rPr>
            </w:pPr>
            <w:r w:rsidRPr="004D3EAA">
              <w:rPr>
                <w:b/>
              </w:rPr>
              <w:t>Strengthen Bank-DFAT cooperation</w:t>
            </w:r>
          </w:p>
        </w:tc>
        <w:tc>
          <w:tcPr>
            <w:tcW w:w="4961" w:type="dxa"/>
          </w:tcPr>
          <w:p w:rsidR="006A0642" w:rsidRDefault="006A0642" w:rsidP="002B07FE"/>
        </w:tc>
        <w:tc>
          <w:tcPr>
            <w:tcW w:w="1134" w:type="dxa"/>
          </w:tcPr>
          <w:p w:rsidR="006A0642" w:rsidRDefault="006A0642" w:rsidP="002B07FE"/>
        </w:tc>
        <w:tc>
          <w:tcPr>
            <w:tcW w:w="2017" w:type="dxa"/>
          </w:tcPr>
          <w:p w:rsidR="006A0642" w:rsidRDefault="006A0642" w:rsidP="002B07FE"/>
        </w:tc>
      </w:tr>
      <w:tr w:rsidR="006A0642" w:rsidTr="00B7236E">
        <w:tc>
          <w:tcPr>
            <w:tcW w:w="6062" w:type="dxa"/>
          </w:tcPr>
          <w:p w:rsidR="006A0642" w:rsidRPr="00B55E25" w:rsidRDefault="006A0642" w:rsidP="004D3EAA">
            <w:pPr>
              <w:pStyle w:val="NoSpacing"/>
              <w:numPr>
                <w:ilvl w:val="0"/>
                <w:numId w:val="1"/>
              </w:numPr>
              <w:spacing w:before="120" w:after="120"/>
              <w:ind w:left="426"/>
              <w:jc w:val="both"/>
            </w:pPr>
            <w:r w:rsidRPr="00B55E25">
              <w:t xml:space="preserve">Senior Bank managers (President, Vice Presidents, and Senior Global Practice Directors) visiting Hanoi should meet with the Australian Ambassador and/or the DFAT Development Counselor to discuss topics of common </w:t>
            </w:r>
            <w:r w:rsidRPr="00B55E25">
              <w:lastRenderedPageBreak/>
              <w:t>interest.</w:t>
            </w:r>
          </w:p>
        </w:tc>
        <w:tc>
          <w:tcPr>
            <w:tcW w:w="4961" w:type="dxa"/>
          </w:tcPr>
          <w:p w:rsidR="006A0642" w:rsidRDefault="003439FE" w:rsidP="002B07FE">
            <w:r>
              <w:lastRenderedPageBreak/>
              <w:t>A</w:t>
            </w:r>
            <w:r w:rsidR="00273002">
              <w:t>greed</w:t>
            </w:r>
          </w:p>
          <w:p w:rsidR="009556FC" w:rsidRDefault="009556FC" w:rsidP="002B07FE">
            <w:r w:rsidRPr="00B86513">
              <w:rPr>
                <w:color w:val="FF0000"/>
              </w:rPr>
              <w:t>(Vice President Axel Von Trotsenburg met with Ambassador in November 2015)</w:t>
            </w:r>
          </w:p>
        </w:tc>
        <w:tc>
          <w:tcPr>
            <w:tcW w:w="1134" w:type="dxa"/>
          </w:tcPr>
          <w:p w:rsidR="006A0642" w:rsidRDefault="00273002" w:rsidP="002B07FE">
            <w:r>
              <w:t>On-going</w:t>
            </w:r>
          </w:p>
        </w:tc>
        <w:tc>
          <w:tcPr>
            <w:tcW w:w="2017" w:type="dxa"/>
          </w:tcPr>
          <w:p w:rsidR="006A0642" w:rsidRDefault="003439FE" w:rsidP="002B07FE">
            <w:r>
              <w:t>WB and DFAT ABP management teams</w:t>
            </w:r>
          </w:p>
        </w:tc>
      </w:tr>
      <w:tr w:rsidR="006A0642" w:rsidTr="00B7236E">
        <w:tc>
          <w:tcPr>
            <w:tcW w:w="6062" w:type="dxa"/>
          </w:tcPr>
          <w:p w:rsidR="006A0642" w:rsidRPr="00B55E25" w:rsidRDefault="006A0642" w:rsidP="004D3EAA">
            <w:pPr>
              <w:pStyle w:val="NoSpacing"/>
              <w:numPr>
                <w:ilvl w:val="0"/>
                <w:numId w:val="1"/>
              </w:numPr>
              <w:spacing w:before="120" w:after="120"/>
              <w:ind w:left="426"/>
              <w:jc w:val="both"/>
            </w:pPr>
            <w:r w:rsidRPr="00B55E25">
              <w:lastRenderedPageBreak/>
              <w:t>The Bank’s Vietnam Country Director and the Australian Ambassador to Vietnam should meet once a quarter to discuss development issues in Vietnam and to review progress of ABP.</w:t>
            </w:r>
          </w:p>
        </w:tc>
        <w:tc>
          <w:tcPr>
            <w:tcW w:w="4961" w:type="dxa"/>
          </w:tcPr>
          <w:p w:rsidR="006A0642" w:rsidRDefault="003439FE" w:rsidP="002B07FE">
            <w:r>
              <w:t>A</w:t>
            </w:r>
            <w:r w:rsidR="00273002">
              <w:t>greed</w:t>
            </w:r>
          </w:p>
        </w:tc>
        <w:tc>
          <w:tcPr>
            <w:tcW w:w="1134" w:type="dxa"/>
          </w:tcPr>
          <w:p w:rsidR="006A0642" w:rsidRDefault="00B7236E" w:rsidP="002B07FE">
            <w:r>
              <w:t>On-going</w:t>
            </w:r>
          </w:p>
        </w:tc>
        <w:tc>
          <w:tcPr>
            <w:tcW w:w="2017" w:type="dxa"/>
          </w:tcPr>
          <w:p w:rsidR="006A0642" w:rsidRDefault="00B7236E" w:rsidP="00B7236E">
            <w:r>
              <w:t>WB and DFAT ABP management teams</w:t>
            </w:r>
          </w:p>
        </w:tc>
      </w:tr>
      <w:tr w:rsidR="006A0642" w:rsidTr="00B7236E">
        <w:tc>
          <w:tcPr>
            <w:tcW w:w="6062" w:type="dxa"/>
          </w:tcPr>
          <w:p w:rsidR="006A0642" w:rsidRPr="00B55E25" w:rsidRDefault="006A0642" w:rsidP="004D3EAA">
            <w:pPr>
              <w:pStyle w:val="NoSpacing"/>
              <w:numPr>
                <w:ilvl w:val="0"/>
                <w:numId w:val="1"/>
              </w:numPr>
              <w:spacing w:before="120" w:after="120"/>
              <w:ind w:left="426"/>
              <w:jc w:val="both"/>
            </w:pPr>
            <w:r w:rsidRPr="00B55E25">
              <w:t>DFAT should convey to Bank ABP colleagues the ABP tasks that DFAT considers high priority and the desired mode of collaboration on these tasks.</w:t>
            </w:r>
          </w:p>
        </w:tc>
        <w:tc>
          <w:tcPr>
            <w:tcW w:w="4961" w:type="dxa"/>
          </w:tcPr>
          <w:p w:rsidR="006A0642" w:rsidRDefault="00273002" w:rsidP="002B07FE">
            <w:r>
              <w:t>Message to be delivered in the ABP Planning day</w:t>
            </w:r>
          </w:p>
        </w:tc>
        <w:tc>
          <w:tcPr>
            <w:tcW w:w="1134" w:type="dxa"/>
          </w:tcPr>
          <w:p w:rsidR="006A0642" w:rsidRDefault="00B7236E" w:rsidP="002B07FE">
            <w:r>
              <w:t>On-going</w:t>
            </w:r>
          </w:p>
        </w:tc>
        <w:tc>
          <w:tcPr>
            <w:tcW w:w="2017" w:type="dxa"/>
          </w:tcPr>
          <w:p w:rsidR="006A0642" w:rsidRDefault="00B7236E" w:rsidP="002B07FE">
            <w:r>
              <w:t>DFAT Economic &amp; Development Counsellor and Portfolio Manager</w:t>
            </w:r>
          </w:p>
        </w:tc>
      </w:tr>
      <w:tr w:rsidR="006A0642" w:rsidTr="00B7236E">
        <w:tc>
          <w:tcPr>
            <w:tcW w:w="6062" w:type="dxa"/>
          </w:tcPr>
          <w:p w:rsidR="006A0642" w:rsidRPr="004D4621" w:rsidRDefault="006A0642" w:rsidP="004D3EAA">
            <w:pPr>
              <w:pStyle w:val="NoSpacing"/>
              <w:numPr>
                <w:ilvl w:val="0"/>
                <w:numId w:val="1"/>
              </w:numPr>
              <w:spacing w:before="120" w:after="120"/>
              <w:ind w:left="426"/>
              <w:jc w:val="both"/>
            </w:pPr>
            <w:r w:rsidRPr="004D4621">
              <w:t>A retreat should be held at an early date for Bank and DFAT staff working on ABP to improve mutual understanding of the structures and processes of the two organizations, expectations of each side from the other, communication standards and protocols, etc.</w:t>
            </w:r>
          </w:p>
        </w:tc>
        <w:tc>
          <w:tcPr>
            <w:tcW w:w="4961" w:type="dxa"/>
          </w:tcPr>
          <w:p w:rsidR="006A0642" w:rsidRDefault="003439FE" w:rsidP="002B07FE">
            <w:r>
              <w:t>A</w:t>
            </w:r>
            <w:r w:rsidR="00273002">
              <w:t>greed</w:t>
            </w:r>
          </w:p>
        </w:tc>
        <w:tc>
          <w:tcPr>
            <w:tcW w:w="1134" w:type="dxa"/>
          </w:tcPr>
          <w:p w:rsidR="006A0642" w:rsidRDefault="00B7236E" w:rsidP="002B07FE">
            <w:r>
              <w:t>June 2015</w:t>
            </w:r>
          </w:p>
        </w:tc>
        <w:tc>
          <w:tcPr>
            <w:tcW w:w="2017" w:type="dxa"/>
          </w:tcPr>
          <w:p w:rsidR="006A0642" w:rsidRDefault="00B7236E" w:rsidP="002B07FE">
            <w:r>
              <w:t>WB and DFAT ABP management teams</w:t>
            </w:r>
          </w:p>
        </w:tc>
      </w:tr>
      <w:tr w:rsidR="006A0642" w:rsidTr="00B7236E">
        <w:tc>
          <w:tcPr>
            <w:tcW w:w="6062" w:type="dxa"/>
          </w:tcPr>
          <w:p w:rsidR="006A0642" w:rsidRPr="004D4621" w:rsidRDefault="006A0642" w:rsidP="004D3EAA">
            <w:pPr>
              <w:pStyle w:val="NoSpacing"/>
              <w:numPr>
                <w:ilvl w:val="0"/>
                <w:numId w:val="1"/>
              </w:numPr>
              <w:spacing w:before="120" w:after="120"/>
              <w:ind w:left="426"/>
              <w:jc w:val="both"/>
            </w:pPr>
            <w:r w:rsidRPr="004D4621">
              <w:t>Bank and DFAT management should clarify membership of the Steering Committee and increase the frequency of Steering Committee meetings and ABP progress reports.</w:t>
            </w:r>
          </w:p>
        </w:tc>
        <w:tc>
          <w:tcPr>
            <w:tcW w:w="4961" w:type="dxa"/>
          </w:tcPr>
          <w:p w:rsidR="006A0642" w:rsidRDefault="003439FE" w:rsidP="002B07FE">
            <w:r>
              <w:t xml:space="preserve">Agreed. </w:t>
            </w:r>
            <w:r w:rsidR="00273002">
              <w:t xml:space="preserve">To be discussed </w:t>
            </w:r>
            <w:r w:rsidR="00CC2DEF">
              <w:t>at the Steering Committee meeting on 11 December 2014</w:t>
            </w:r>
          </w:p>
        </w:tc>
        <w:tc>
          <w:tcPr>
            <w:tcW w:w="1134" w:type="dxa"/>
          </w:tcPr>
          <w:p w:rsidR="006A0642" w:rsidRDefault="00B7236E" w:rsidP="002B07FE">
            <w:r>
              <w:t>December 2014</w:t>
            </w:r>
          </w:p>
        </w:tc>
        <w:tc>
          <w:tcPr>
            <w:tcW w:w="2017" w:type="dxa"/>
          </w:tcPr>
          <w:p w:rsidR="006A0642" w:rsidRDefault="00B7236E" w:rsidP="002B07FE">
            <w:r>
              <w:t xml:space="preserve">Two co-chairs of ABP Steering Committee </w:t>
            </w:r>
          </w:p>
        </w:tc>
      </w:tr>
    </w:tbl>
    <w:p w:rsidR="001156D2" w:rsidRDefault="001156D2"/>
    <w:sectPr w:rsidR="001156D2" w:rsidSect="001156D2">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77A" w:rsidRDefault="0084677A" w:rsidP="0084677A">
      <w:pPr>
        <w:spacing w:after="0" w:line="240" w:lineRule="auto"/>
      </w:pPr>
      <w:r>
        <w:separator/>
      </w:r>
    </w:p>
  </w:endnote>
  <w:endnote w:type="continuationSeparator" w:id="0">
    <w:p w:rsidR="0084677A" w:rsidRDefault="0084677A" w:rsidP="0084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7A" w:rsidRDefault="00846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7A" w:rsidRDefault="008467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7A" w:rsidRDefault="00846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77A" w:rsidRDefault="0084677A" w:rsidP="0084677A">
      <w:pPr>
        <w:spacing w:after="0" w:line="240" w:lineRule="auto"/>
      </w:pPr>
      <w:r>
        <w:separator/>
      </w:r>
    </w:p>
  </w:footnote>
  <w:footnote w:type="continuationSeparator" w:id="0">
    <w:p w:rsidR="0084677A" w:rsidRDefault="0084677A" w:rsidP="00846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7A" w:rsidRDefault="00846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7A" w:rsidRDefault="00846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7A" w:rsidRDefault="00846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0840"/>
    <w:multiLevelType w:val="hybridMultilevel"/>
    <w:tmpl w:val="4FF848CE"/>
    <w:lvl w:ilvl="0" w:tplc="76147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F86688"/>
    <w:multiLevelType w:val="hybridMultilevel"/>
    <w:tmpl w:val="6EA8ABB6"/>
    <w:lvl w:ilvl="0" w:tplc="76147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D2"/>
    <w:rsid w:val="001156D2"/>
    <w:rsid w:val="001672B7"/>
    <w:rsid w:val="00273002"/>
    <w:rsid w:val="002C5FFC"/>
    <w:rsid w:val="003439FE"/>
    <w:rsid w:val="004D3EAA"/>
    <w:rsid w:val="0060746C"/>
    <w:rsid w:val="006A0642"/>
    <w:rsid w:val="0084677A"/>
    <w:rsid w:val="009556FC"/>
    <w:rsid w:val="00B41E83"/>
    <w:rsid w:val="00B7236E"/>
    <w:rsid w:val="00B86513"/>
    <w:rsid w:val="00CC2DEF"/>
    <w:rsid w:val="00EE1CFB"/>
    <w:rsid w:val="00F75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0642"/>
    <w:pPr>
      <w:spacing w:after="0" w:line="240" w:lineRule="auto"/>
    </w:pPr>
    <w:rPr>
      <w:rFonts w:eastAsiaTheme="minorEastAsia"/>
      <w:lang w:val="en-US"/>
    </w:rPr>
  </w:style>
  <w:style w:type="paragraph" w:styleId="Header">
    <w:name w:val="header"/>
    <w:basedOn w:val="Normal"/>
    <w:link w:val="HeaderChar"/>
    <w:uiPriority w:val="99"/>
    <w:unhideWhenUsed/>
    <w:rsid w:val="00846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7A"/>
  </w:style>
  <w:style w:type="paragraph" w:styleId="Footer">
    <w:name w:val="footer"/>
    <w:basedOn w:val="Normal"/>
    <w:link w:val="FooterChar"/>
    <w:uiPriority w:val="99"/>
    <w:unhideWhenUsed/>
    <w:rsid w:val="00846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0642"/>
    <w:pPr>
      <w:spacing w:after="0" w:line="240" w:lineRule="auto"/>
    </w:pPr>
    <w:rPr>
      <w:rFonts w:eastAsiaTheme="minorEastAsia"/>
      <w:lang w:val="en-US"/>
    </w:rPr>
  </w:style>
  <w:style w:type="paragraph" w:styleId="Header">
    <w:name w:val="header"/>
    <w:basedOn w:val="Normal"/>
    <w:link w:val="HeaderChar"/>
    <w:uiPriority w:val="99"/>
    <w:unhideWhenUsed/>
    <w:rsid w:val="00846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7A"/>
  </w:style>
  <w:style w:type="paragraph" w:styleId="Footer">
    <w:name w:val="footer"/>
    <w:basedOn w:val="Normal"/>
    <w:link w:val="FooterChar"/>
    <w:uiPriority w:val="99"/>
    <w:unhideWhenUsed/>
    <w:rsid w:val="00846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3305A4-233F-41A9-8033-8A7D9FF3681B}"/>
</file>

<file path=customXml/itemProps2.xml><?xml version="1.0" encoding="utf-8"?>
<ds:datastoreItem xmlns:ds="http://schemas.openxmlformats.org/officeDocument/2006/customXml" ds:itemID="{26B02DCC-516E-44DC-9C18-C883C291AFC8}"/>
</file>

<file path=customXml/itemProps3.xml><?xml version="1.0" encoding="utf-8"?>
<ds:datastoreItem xmlns:ds="http://schemas.openxmlformats.org/officeDocument/2006/customXml" ds:itemID="{934F08F6-B40B-4B29-8EA8-3DAD0C33EAEB}"/>
</file>

<file path=docProps/app.xml><?xml version="1.0" encoding="utf-8"?>
<Properties xmlns="http://schemas.openxmlformats.org/officeDocument/2006/extended-properties" xmlns:vt="http://schemas.openxmlformats.org/officeDocument/2006/docPropsVTypes">
  <Template>5C33C0C1</Template>
  <TotalTime>0</TotalTime>
  <Pages>2</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2016-02-17T22:38:00Z</dcterms:created>
  <dcterms:modified xsi:type="dcterms:W3CDTF">2016-02-17T22:38:00Z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ed51b45b-f3d9-42c9-8d22-5ffaa08ca7b4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1017600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