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6A" w:rsidRDefault="0059146A" w:rsidP="005B5769">
      <w:pPr>
        <w:pStyle w:val="ListBullet"/>
        <w:tabs>
          <w:tab w:val="clear" w:pos="284"/>
        </w:tabs>
      </w:pPr>
      <w:bookmarkStart w:id="0" w:name="_GoBack"/>
      <w:bookmarkEnd w:id="0"/>
    </w:p>
    <w:p w:rsidR="0059146A" w:rsidRDefault="0059146A" w:rsidP="005B5769">
      <w:pPr>
        <w:pStyle w:val="ListBullet"/>
        <w:tabs>
          <w:tab w:val="clear" w:pos="284"/>
        </w:tabs>
      </w:pPr>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3580D448" wp14:editId="2A5CA7FF">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3FA5B34F" wp14:editId="52DCB716">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6F2817">
        <w:rPr>
          <w:spacing w:val="-20"/>
          <w:sz w:val="60"/>
        </w:rPr>
        <w:t>Aid Program Performance</w:t>
      </w:r>
    </w:p>
    <w:p w:rsidR="00C6626C" w:rsidRPr="002A51CA" w:rsidRDefault="00C6626C" w:rsidP="002A51CA">
      <w:pPr>
        <w:pStyle w:val="Title"/>
        <w:spacing w:after="120" w:line="600" w:lineRule="exact"/>
        <w:rPr>
          <w:spacing w:val="-20"/>
          <w:sz w:val="60"/>
        </w:rPr>
      </w:pPr>
      <w:r w:rsidRPr="002A51CA">
        <w:rPr>
          <w:spacing w:val="-20"/>
          <w:sz w:val="60"/>
        </w:rPr>
        <w:t>Report 201</w:t>
      </w:r>
      <w:r w:rsidR="00055688">
        <w:rPr>
          <w:spacing w:val="-20"/>
          <w:sz w:val="60"/>
        </w:rPr>
        <w:t>7</w:t>
      </w:r>
      <w:r w:rsidRPr="002A51CA">
        <w:rPr>
          <w:spacing w:val="-20"/>
          <w:sz w:val="60"/>
        </w:rPr>
        <w:t>-1</w:t>
      </w:r>
      <w:r w:rsidR="00055688">
        <w:rPr>
          <w:spacing w:val="-20"/>
          <w:sz w:val="60"/>
        </w:rPr>
        <w:t>8</w:t>
      </w:r>
    </w:p>
    <w:p w:rsidR="00C6626C" w:rsidRDefault="006F2817" w:rsidP="00A56F14">
      <w:r>
        <w:rPr>
          <w:sz w:val="40"/>
        </w:rPr>
        <w:t>Vietnam</w:t>
      </w:r>
    </w:p>
    <w:p w:rsidR="00C6626C" w:rsidRPr="002A51CA" w:rsidRDefault="00211EB9" w:rsidP="00A56F14">
      <w:pPr>
        <w:rPr>
          <w:sz w:val="24"/>
        </w:rPr>
      </w:pPr>
      <w:r>
        <w:rPr>
          <w:sz w:val="24"/>
        </w:rPr>
        <w:t>October</w:t>
      </w:r>
      <w:r w:rsidRPr="002A51CA">
        <w:rPr>
          <w:sz w:val="24"/>
        </w:rPr>
        <w:t xml:space="preserve"> </w:t>
      </w:r>
      <w:r w:rsidR="00C6626C" w:rsidRPr="002A51CA">
        <w:rPr>
          <w:sz w:val="24"/>
        </w:rPr>
        <w:t>201</w:t>
      </w:r>
      <w:r w:rsidR="00055688">
        <w:rPr>
          <w:sz w:val="24"/>
        </w:rPr>
        <w:t>8</w:t>
      </w:r>
    </w:p>
    <w:p w:rsidR="00C6626C" w:rsidRDefault="00C6626C" w:rsidP="00A56F14">
      <w:pPr>
        <w:sectPr w:rsidR="00C6626C" w:rsidSect="00C6626C">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p>
    <w:p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lastRenderedPageBreak/>
        <w:t>Key Messages</w:t>
      </w:r>
    </w:p>
    <w:p w:rsidR="0004659E" w:rsidRPr="00A85500" w:rsidRDefault="00385DFD" w:rsidP="0004659E">
      <w:pPr>
        <w:spacing w:after="120"/>
      </w:pPr>
      <w:r w:rsidRPr="00A85500">
        <w:t>This report summarises the performance of Australia’s aid program in</w:t>
      </w:r>
      <w:r w:rsidR="00341A45" w:rsidRPr="00A85500">
        <w:t xml:space="preserve"> Vietnam</w:t>
      </w:r>
      <w:r w:rsidRPr="00A85500">
        <w:t xml:space="preserve"> from July 201</w:t>
      </w:r>
      <w:r w:rsidR="002D37BC" w:rsidRPr="00A85500">
        <w:t>7</w:t>
      </w:r>
      <w:r w:rsidRPr="00A85500">
        <w:t xml:space="preserve"> to June 201</w:t>
      </w:r>
      <w:r w:rsidR="002D37BC" w:rsidRPr="00A85500">
        <w:t>8</w:t>
      </w:r>
      <w:r w:rsidRPr="00A85500">
        <w:t xml:space="preserve"> against the </w:t>
      </w:r>
      <w:r w:rsidR="00341A45" w:rsidRPr="00A85500">
        <w:t xml:space="preserve">Vietnam </w:t>
      </w:r>
      <w:r w:rsidR="008D4FB4">
        <w:t>Aid Investment Plan</w:t>
      </w:r>
      <w:r w:rsidRPr="00A85500">
        <w:t xml:space="preserve"> </w:t>
      </w:r>
      <w:r w:rsidR="008D4FB4">
        <w:t xml:space="preserve">(AIP) </w:t>
      </w:r>
      <w:r w:rsidR="00341A45" w:rsidRPr="00A85500">
        <w:t>2015-16 to 2019-20</w:t>
      </w:r>
      <w:r w:rsidRPr="00A85500">
        <w:t>.</w:t>
      </w:r>
      <w:r w:rsidR="00C12636" w:rsidRPr="00A85500">
        <w:t xml:space="preserve"> Overall, the Vietnam aid program is assessed as being on-track.</w:t>
      </w:r>
      <w:r w:rsidR="00A92E2F" w:rsidRPr="00A85500">
        <w:t xml:space="preserve"> </w:t>
      </w:r>
      <w:r w:rsidR="008D4FB4">
        <w:t xml:space="preserve">The last year saw a </w:t>
      </w:r>
      <w:r w:rsidR="0004659E" w:rsidRPr="00A85500">
        <w:t xml:space="preserve">continuation of the transition, commenced in 2015-16, away from a traditional donor-recipient aid relationship towards an economic partnership with the </w:t>
      </w:r>
      <w:r w:rsidR="008D4FB4" w:rsidRPr="00A85500">
        <w:t>Government of Vietnam</w:t>
      </w:r>
      <w:r w:rsidR="008D4FB4">
        <w:t xml:space="preserve"> (</w:t>
      </w:r>
      <w:proofErr w:type="spellStart"/>
      <w:r w:rsidR="008D4FB4">
        <w:t>GoV</w:t>
      </w:r>
      <w:proofErr w:type="spellEnd"/>
      <w:r w:rsidR="008D4FB4">
        <w:t>).</w:t>
      </w:r>
    </w:p>
    <w:p w:rsidR="006766D5" w:rsidRPr="00A85500" w:rsidRDefault="006766D5" w:rsidP="006766D5">
      <w:pPr>
        <w:spacing w:after="120"/>
      </w:pPr>
      <w:r w:rsidRPr="00A85500">
        <w:t>Australia’s development assistance continues to be highly valued by Vietnam. Senior leaders regularly acknowledge (publicly and privately) Australia’s longstanding support for Vietnam’s economic devel</w:t>
      </w:r>
      <w:r>
        <w:t>opment. All of our programs receive</w:t>
      </w:r>
      <w:r w:rsidRPr="00A85500">
        <w:t xml:space="preserve"> enthusiastic support and engagement from Government officials</w:t>
      </w:r>
      <w:r>
        <w:t xml:space="preserve"> in each of our key sectors and at the senior political level</w:t>
      </w:r>
      <w:r w:rsidRPr="00A85500">
        <w:t xml:space="preserve">. </w:t>
      </w:r>
      <w:r>
        <w:t xml:space="preserve">The elevation of our bilateral relationship to a Strategic Partnership has enhanced Australia’s reputation. </w:t>
      </w:r>
      <w:r w:rsidRPr="00A85500">
        <w:t xml:space="preserve">Our access to senior decision-makers and influencers is better than ever, in large part because we have shown a willingness to be flexible and responsive to requests for </w:t>
      </w:r>
      <w:r w:rsidR="0006526A">
        <w:t>assistance in key reform areas.</w:t>
      </w:r>
    </w:p>
    <w:p w:rsidR="006766D5" w:rsidRPr="00A85500" w:rsidRDefault="006766D5" w:rsidP="006766D5">
      <w:pPr>
        <w:spacing w:after="120"/>
      </w:pPr>
      <w:r w:rsidRPr="00A85500">
        <w:t>The program is well</w:t>
      </w:r>
      <w:r w:rsidR="0006526A">
        <w:t>-</w:t>
      </w:r>
      <w:r w:rsidRPr="00A85500">
        <w:t xml:space="preserve">aligned to Australia’s national interests. The Foreign Policy White Paper was well received in Vietnam, in particular for its messages about the paramount importance to Australia’s national interests of a stable and prosperous Indo Pacific, Australia’s support for ASEAN, and our strong stance on the South China Sea. </w:t>
      </w:r>
      <w:r w:rsidR="00EA7907">
        <w:t>The White Paper has been</w:t>
      </w:r>
      <w:r w:rsidRPr="00A85500">
        <w:t xml:space="preserve"> an excellent advocacy tool and a useful framework for assessing the relevance </w:t>
      </w:r>
      <w:r w:rsidR="0006526A">
        <w:t>of our aid investments.</w:t>
      </w:r>
    </w:p>
    <w:p w:rsidR="0004659E" w:rsidRPr="00A85500" w:rsidRDefault="002B79F6" w:rsidP="0004659E">
      <w:pPr>
        <w:spacing w:after="120"/>
      </w:pPr>
      <w:r w:rsidRPr="00A85500">
        <w:t xml:space="preserve">Three programs – </w:t>
      </w:r>
      <w:r w:rsidR="0004659E" w:rsidRPr="00A85500">
        <w:t xml:space="preserve">the Cao </w:t>
      </w:r>
      <w:proofErr w:type="spellStart"/>
      <w:r w:rsidR="0004659E" w:rsidRPr="00A85500">
        <w:t>Lanh</w:t>
      </w:r>
      <w:proofErr w:type="spellEnd"/>
      <w:r w:rsidR="0004659E" w:rsidRPr="00A85500">
        <w:t xml:space="preserve"> </w:t>
      </w:r>
      <w:r w:rsidR="0060222C">
        <w:t>B</w:t>
      </w:r>
      <w:r w:rsidR="0004659E" w:rsidRPr="00A85500">
        <w:t>ridge construction project, the Restructuring for a more Competitive Vietnam (RCV) program</w:t>
      </w:r>
      <w:r w:rsidR="0065245F">
        <w:t>,</w:t>
      </w:r>
      <w:r w:rsidR="0004659E" w:rsidRPr="00A85500">
        <w:t xml:space="preserve"> and the </w:t>
      </w:r>
      <w:r w:rsidR="008D4FB4" w:rsidRPr="00A85500">
        <w:t xml:space="preserve">Integrated Coastal Management Program </w:t>
      </w:r>
      <w:r w:rsidRPr="00A85500">
        <w:t xml:space="preserve">(ICMP) – </w:t>
      </w:r>
      <w:r w:rsidR="00A92E2F" w:rsidRPr="00A85500">
        <w:t xml:space="preserve">were completed this year. </w:t>
      </w:r>
      <w:r w:rsidR="008D4FB4">
        <w:t>Department of Foreign Affairs and Trade (DFAT) staff at the Australian Embassy in Hanoi</w:t>
      </w:r>
      <w:r w:rsidRPr="00A85500">
        <w:t xml:space="preserve"> completed designs, secured </w:t>
      </w:r>
      <w:proofErr w:type="spellStart"/>
      <w:r w:rsidR="008D4FB4">
        <w:t>GoV</w:t>
      </w:r>
      <w:proofErr w:type="spellEnd"/>
      <w:r w:rsidRPr="00A85500">
        <w:t xml:space="preserve"> approval, and commenced implementation of four new programs: </w:t>
      </w:r>
      <w:r w:rsidR="008D4FB4">
        <w:rPr>
          <w:i/>
        </w:rPr>
        <w:t>Aus4T</w:t>
      </w:r>
      <w:r w:rsidRPr="008D4FB4">
        <w:rPr>
          <w:i/>
        </w:rPr>
        <w:t>ransport</w:t>
      </w:r>
      <w:r w:rsidR="008D4FB4">
        <w:t>,</w:t>
      </w:r>
      <w:r w:rsidRPr="00A85500">
        <w:t xml:space="preserve"> </w:t>
      </w:r>
      <w:r w:rsidR="008D4FB4">
        <w:rPr>
          <w:i/>
        </w:rPr>
        <w:t>Aus4R</w:t>
      </w:r>
      <w:r w:rsidRPr="008D4FB4">
        <w:rPr>
          <w:i/>
        </w:rPr>
        <w:t>eform</w:t>
      </w:r>
      <w:r w:rsidR="008D4FB4">
        <w:t>,</w:t>
      </w:r>
      <w:r w:rsidRPr="00A85500">
        <w:t xml:space="preserve"> </w:t>
      </w:r>
      <w:r w:rsidR="00356E2B" w:rsidRPr="00A85500">
        <w:t xml:space="preserve">the non-scholarship components of </w:t>
      </w:r>
      <w:r w:rsidR="008D4FB4">
        <w:rPr>
          <w:i/>
        </w:rPr>
        <w:t>Aus4S</w:t>
      </w:r>
      <w:r w:rsidRPr="008D4FB4">
        <w:rPr>
          <w:i/>
        </w:rPr>
        <w:t>kills</w:t>
      </w:r>
      <w:r w:rsidR="008D4FB4">
        <w:t>,</w:t>
      </w:r>
      <w:r w:rsidR="0004659E" w:rsidRPr="00A85500">
        <w:t xml:space="preserve"> </w:t>
      </w:r>
      <w:r w:rsidRPr="00A85500">
        <w:t xml:space="preserve">and </w:t>
      </w:r>
      <w:r w:rsidRPr="008D4FB4">
        <w:rPr>
          <w:i/>
        </w:rPr>
        <w:t>Aus4Equality</w:t>
      </w:r>
      <w:r w:rsidRPr="00A85500">
        <w:t>.</w:t>
      </w:r>
    </w:p>
    <w:p w:rsidR="0004659E" w:rsidRPr="00A85500" w:rsidRDefault="002B79F6" w:rsidP="0004659E">
      <w:pPr>
        <w:spacing w:after="120"/>
      </w:pPr>
      <w:r w:rsidRPr="00A85500">
        <w:t xml:space="preserve">A further two </w:t>
      </w:r>
      <w:r w:rsidR="0004659E" w:rsidRPr="00A85500">
        <w:t xml:space="preserve">programs </w:t>
      </w:r>
      <w:r w:rsidRPr="00A85500">
        <w:t>did not commence in 2017-18 as expected.</w:t>
      </w:r>
      <w:r w:rsidR="0004659E" w:rsidRPr="00A85500">
        <w:t xml:space="preserve"> </w:t>
      </w:r>
      <w:r w:rsidR="008026F1" w:rsidRPr="00A85500">
        <w:t xml:space="preserve">The </w:t>
      </w:r>
      <w:proofErr w:type="spellStart"/>
      <w:r w:rsidR="008D4FB4">
        <w:t>GoV</w:t>
      </w:r>
      <w:proofErr w:type="spellEnd"/>
      <w:r w:rsidR="008026F1" w:rsidRPr="00A85500">
        <w:t xml:space="preserve"> </w:t>
      </w:r>
      <w:r w:rsidR="008D4FB4">
        <w:t>is</w:t>
      </w:r>
      <w:r w:rsidR="008026F1" w:rsidRPr="00A85500">
        <w:t xml:space="preserve"> yet </w:t>
      </w:r>
      <w:r w:rsidR="008D4FB4">
        <w:t>to approve</w:t>
      </w:r>
      <w:r w:rsidR="008026F1" w:rsidRPr="00A85500">
        <w:t xml:space="preserve"> </w:t>
      </w:r>
      <w:r w:rsidR="008026F1" w:rsidRPr="008D4FB4">
        <w:rPr>
          <w:i/>
        </w:rPr>
        <w:t>Aus4Water</w:t>
      </w:r>
      <w:r w:rsidR="008026F1" w:rsidRPr="00A85500">
        <w:t xml:space="preserve"> due to </w:t>
      </w:r>
      <w:r w:rsidR="00667285" w:rsidRPr="00A85500">
        <w:t xml:space="preserve">additional inter-governmental consultation required to approve </w:t>
      </w:r>
      <w:r w:rsidR="00195629" w:rsidRPr="00A85500">
        <w:t>the private sector delivery mechanism</w:t>
      </w:r>
      <w:r w:rsidR="00667285" w:rsidRPr="00A85500">
        <w:t>.</w:t>
      </w:r>
      <w:r w:rsidR="00667285" w:rsidRPr="00A85500">
        <w:rPr>
          <w:i/>
        </w:rPr>
        <w:t xml:space="preserve">  </w:t>
      </w:r>
      <w:r w:rsidR="008D4FB4">
        <w:t xml:space="preserve">The </w:t>
      </w:r>
      <w:r w:rsidR="008D4FB4" w:rsidRPr="008D4FB4">
        <w:rPr>
          <w:i/>
        </w:rPr>
        <w:t>Aus4I</w:t>
      </w:r>
      <w:r w:rsidR="0004659E" w:rsidRPr="008D4FB4">
        <w:rPr>
          <w:i/>
        </w:rPr>
        <w:t>nnovation</w:t>
      </w:r>
      <w:r w:rsidR="0004659E" w:rsidRPr="00A85500">
        <w:t xml:space="preserve"> program design took a year lo</w:t>
      </w:r>
      <w:r w:rsidR="008026F1" w:rsidRPr="00A85500">
        <w:t xml:space="preserve">nger than planned to complete </w:t>
      </w:r>
      <w:r w:rsidR="0004659E" w:rsidRPr="00A85500">
        <w:t>due to</w:t>
      </w:r>
      <w:r w:rsidR="00B96BF0" w:rsidRPr="00A85500">
        <w:t xml:space="preserve"> a range of challenges including</w:t>
      </w:r>
      <w:r w:rsidR="0004659E" w:rsidRPr="00A85500">
        <w:t xml:space="preserve"> personnel changes </w:t>
      </w:r>
      <w:r w:rsidR="008026F1" w:rsidRPr="00A85500">
        <w:t xml:space="preserve">at Post. </w:t>
      </w:r>
      <w:r w:rsidR="00EA7907">
        <w:t>I</w:t>
      </w:r>
      <w:r w:rsidR="008026F1" w:rsidRPr="00A85500">
        <w:t xml:space="preserve">mplementation </w:t>
      </w:r>
      <w:r w:rsidR="00EA7907">
        <w:t xml:space="preserve">is now expected to commence </w:t>
      </w:r>
      <w:r w:rsidR="008026F1" w:rsidRPr="00A85500">
        <w:t>in early 2019.</w:t>
      </w:r>
    </w:p>
    <w:p w:rsidR="0004659E" w:rsidRPr="00A85500" w:rsidRDefault="008026F1" w:rsidP="0004659E">
      <w:pPr>
        <w:spacing w:after="120"/>
      </w:pPr>
      <w:r w:rsidRPr="00A85500">
        <w:t>I</w:t>
      </w:r>
      <w:r w:rsidR="0004659E" w:rsidRPr="00A85500">
        <w:t xml:space="preserve">mplementation delays experienced in 2016-17 and 2017-18 </w:t>
      </w:r>
      <w:r w:rsidR="0006526A">
        <w:t>have</w:t>
      </w:r>
      <w:r w:rsidRPr="00A85500">
        <w:t xml:space="preserve"> meant </w:t>
      </w:r>
      <w:r w:rsidR="0004659E" w:rsidRPr="00A85500">
        <w:t xml:space="preserve">that there were </w:t>
      </w:r>
      <w:r w:rsidR="00FA5D51" w:rsidRPr="00A85500">
        <w:t>few</w:t>
      </w:r>
      <w:r w:rsidR="0004659E" w:rsidRPr="00A85500">
        <w:t xml:space="preserve"> formal evaluations or reviews undertaken this year</w:t>
      </w:r>
      <w:r w:rsidRPr="00A85500">
        <w:t xml:space="preserve">. </w:t>
      </w:r>
      <w:r w:rsidR="0004659E" w:rsidRPr="00A85500">
        <w:t xml:space="preserve">Consequently, we have drawn </w:t>
      </w:r>
      <w:r w:rsidR="00B96BF0" w:rsidRPr="00A85500">
        <w:t xml:space="preserve">predominantly </w:t>
      </w:r>
      <w:r w:rsidR="00C12636" w:rsidRPr="00A85500">
        <w:t>on the 2018 Aid Quality C</w:t>
      </w:r>
      <w:r w:rsidR="0004659E" w:rsidRPr="00A85500">
        <w:t xml:space="preserve">heck </w:t>
      </w:r>
      <w:r w:rsidR="00C12636" w:rsidRPr="00A85500">
        <w:t xml:space="preserve">(AQC) </w:t>
      </w:r>
      <w:r w:rsidR="0004659E" w:rsidRPr="00A85500">
        <w:t xml:space="preserve">reports to make judgements </w:t>
      </w:r>
      <w:r w:rsidRPr="00A85500">
        <w:t>about</w:t>
      </w:r>
      <w:r w:rsidR="0004659E" w:rsidRPr="00A85500">
        <w:t xml:space="preserve"> effectiveness this year. The newly completed </w:t>
      </w:r>
      <w:r w:rsidR="00DA6794" w:rsidRPr="00A85500">
        <w:rPr>
          <w:rFonts w:eastAsia="Calibri Light" w:cs="Times New Roman"/>
        </w:rPr>
        <w:t>Performance Assessment Framework</w:t>
      </w:r>
      <w:r w:rsidR="0004659E" w:rsidRPr="00A85500">
        <w:t xml:space="preserve"> (PAF) and an increased number of scheduled evaluations in 2</w:t>
      </w:r>
      <w:r w:rsidR="00C12636" w:rsidRPr="00A85500">
        <w:t>018-19 will provide a broader evidence base next year with which to assess performance</w:t>
      </w:r>
      <w:r w:rsidR="0004659E" w:rsidRPr="00A85500">
        <w:t>.</w:t>
      </w:r>
      <w:r w:rsidR="002C56CE" w:rsidRPr="00A85500">
        <w:t xml:space="preserve"> Notably, 100 per cent of investments were rated as performing satisfactorily on gender equality at the annual </w:t>
      </w:r>
      <w:r w:rsidR="006B52B8">
        <w:t>AQC</w:t>
      </w:r>
      <w:r w:rsidR="002C56CE" w:rsidRPr="00A85500">
        <w:t>, reflecting the effectiveness of the whole-of-Embassy Gender Equality Strategy and Action Plan.</w:t>
      </w:r>
    </w:p>
    <w:p w:rsidR="0004659E" w:rsidRPr="00A85500" w:rsidRDefault="0004659E" w:rsidP="0004659E">
      <w:pPr>
        <w:spacing w:after="120"/>
      </w:pPr>
      <w:r w:rsidRPr="00A85500">
        <w:t>Progress against the first objective</w:t>
      </w:r>
      <w:r w:rsidR="008D4FB4">
        <w:t xml:space="preserve"> of the AIP</w:t>
      </w:r>
      <w:r w:rsidRPr="00A85500">
        <w:t xml:space="preserve"> – </w:t>
      </w:r>
      <w:r w:rsidR="006B52B8">
        <w:rPr>
          <w:i/>
        </w:rPr>
        <w:t>e</w:t>
      </w:r>
      <w:r w:rsidRPr="00A85500">
        <w:rPr>
          <w:i/>
        </w:rPr>
        <w:t>nabling and engaging the private sector for development</w:t>
      </w:r>
      <w:r w:rsidR="006B52B8">
        <w:t xml:space="preserve"> – </w:t>
      </w:r>
      <w:r w:rsidRPr="00A85500">
        <w:t>has been rated as amber. This rating refle</w:t>
      </w:r>
      <w:r w:rsidR="008D4FB4">
        <w:t xml:space="preserve">cts that </w:t>
      </w:r>
      <w:r w:rsidR="008D4FB4">
        <w:rPr>
          <w:i/>
        </w:rPr>
        <w:t>Aus4I</w:t>
      </w:r>
      <w:r w:rsidR="00C12636" w:rsidRPr="008D4FB4">
        <w:rPr>
          <w:i/>
        </w:rPr>
        <w:t>nnovation</w:t>
      </w:r>
      <w:r w:rsidR="008D4FB4">
        <w:t xml:space="preserve"> and </w:t>
      </w:r>
      <w:r w:rsidR="008D4FB4" w:rsidRPr="008D4FB4">
        <w:rPr>
          <w:i/>
        </w:rPr>
        <w:t>Aus4W</w:t>
      </w:r>
      <w:r w:rsidR="00C12636" w:rsidRPr="008D4FB4">
        <w:rPr>
          <w:i/>
        </w:rPr>
        <w:t>ater</w:t>
      </w:r>
      <w:r w:rsidR="00131CE9">
        <w:t xml:space="preserve"> </w:t>
      </w:r>
      <w:r w:rsidRPr="00A85500">
        <w:t xml:space="preserve">did not commence implementation as planned. Other programs under this objective, including </w:t>
      </w:r>
      <w:r w:rsidR="008D4FB4">
        <w:rPr>
          <w:i/>
        </w:rPr>
        <w:t>Aus4R</w:t>
      </w:r>
      <w:r w:rsidRPr="008D4FB4">
        <w:rPr>
          <w:i/>
        </w:rPr>
        <w:t>eform</w:t>
      </w:r>
      <w:r w:rsidRPr="00A85500">
        <w:t xml:space="preserve"> and </w:t>
      </w:r>
      <w:r w:rsidR="008D4FB4">
        <w:rPr>
          <w:i/>
        </w:rPr>
        <w:t>Aus4T</w:t>
      </w:r>
      <w:r w:rsidRPr="008D4FB4">
        <w:rPr>
          <w:i/>
        </w:rPr>
        <w:t>ransport</w:t>
      </w:r>
      <w:r w:rsidRPr="00A85500">
        <w:t xml:space="preserve"> are progressing well</w:t>
      </w:r>
      <w:r w:rsidR="006B52B8">
        <w:t>. B</w:t>
      </w:r>
      <w:r w:rsidRPr="00A85500">
        <w:t xml:space="preserve">oth were assessed during the annual quality check process as being highly relevant to Vietnam’s development context and Australia’s influence agenda. The </w:t>
      </w:r>
      <w:r w:rsidR="0068608E" w:rsidRPr="008D4FB4">
        <w:rPr>
          <w:i/>
        </w:rPr>
        <w:t xml:space="preserve">Australia </w:t>
      </w:r>
      <w:r w:rsidR="0068608E">
        <w:rPr>
          <w:i/>
        </w:rPr>
        <w:t xml:space="preserve">World </w:t>
      </w:r>
      <w:r w:rsidR="0068608E" w:rsidRPr="008D4FB4">
        <w:rPr>
          <w:i/>
        </w:rPr>
        <w:t>Bank Partnership Phase 2</w:t>
      </w:r>
      <w:r w:rsidR="0068608E">
        <w:t xml:space="preserve"> </w:t>
      </w:r>
      <w:r w:rsidR="008D4FB4">
        <w:t>(ABP2)</w:t>
      </w:r>
      <w:r w:rsidRPr="00A85500">
        <w:t xml:space="preserve"> is similarly well placed to impact on Vietnam’s development pathway. </w:t>
      </w:r>
      <w:r w:rsidR="00EA7907">
        <w:t xml:space="preserve">DFAT’s </w:t>
      </w:r>
      <w:r w:rsidR="008D4FB4">
        <w:t xml:space="preserve">Office of Development Effectiveness </w:t>
      </w:r>
      <w:r w:rsidR="0068608E">
        <w:t xml:space="preserve">(ODE) </w:t>
      </w:r>
      <w:r w:rsidR="008D4FB4">
        <w:t xml:space="preserve">found that all three of these programs </w:t>
      </w:r>
      <w:r w:rsidR="0068608E">
        <w:t>were making valuable contributions to the economic reform agenda and are well placed to address major barriers to economic transition in Vietnam.</w:t>
      </w:r>
      <w:r w:rsidR="0006526A">
        <w:rPr>
          <w:rStyle w:val="FootnoteReference"/>
        </w:rPr>
        <w:footnoteReference w:id="1"/>
      </w:r>
    </w:p>
    <w:p w:rsidR="00683F0A" w:rsidRDefault="00683F0A" w:rsidP="0004659E">
      <w:pPr>
        <w:spacing w:after="120"/>
      </w:pPr>
    </w:p>
    <w:p w:rsidR="0004659E" w:rsidRPr="00A85500" w:rsidRDefault="0004659E" w:rsidP="0004659E">
      <w:pPr>
        <w:spacing w:after="120"/>
      </w:pPr>
      <w:r w:rsidRPr="00A85500">
        <w:lastRenderedPageBreak/>
        <w:t xml:space="preserve">Progress against the second objective – </w:t>
      </w:r>
      <w:r w:rsidRPr="00A85500">
        <w:rPr>
          <w:i/>
        </w:rPr>
        <w:t>assisting the development and employment of a highly skilled workforce</w:t>
      </w:r>
      <w:r w:rsidRPr="00A85500">
        <w:t xml:space="preserve"> – has been rated as green. Implementation of the non-scholarship components of the </w:t>
      </w:r>
      <w:r w:rsidR="007C62D4" w:rsidRPr="00441FA9">
        <w:rPr>
          <w:i/>
        </w:rPr>
        <w:t>Aus4Skills</w:t>
      </w:r>
      <w:r w:rsidR="007C62D4">
        <w:t xml:space="preserve"> </w:t>
      </w:r>
      <w:r w:rsidRPr="00A85500">
        <w:t>initiative</w:t>
      </w:r>
      <w:r w:rsidR="00131CE9">
        <w:t xml:space="preserve"> is progressing well following its</w:t>
      </w:r>
      <w:r w:rsidRPr="00A85500">
        <w:t xml:space="preserve"> launch in July 2017. A mid-term review of the program, currently underway, should help us to make any necessary adjustments</w:t>
      </w:r>
      <w:r w:rsidR="0068608E">
        <w:t xml:space="preserve"> to ensure it meets end of program outcomes</w:t>
      </w:r>
      <w:r w:rsidR="0006526A">
        <w:t>.</w:t>
      </w:r>
    </w:p>
    <w:p w:rsidR="0004659E" w:rsidRPr="00A85500" w:rsidRDefault="0004659E" w:rsidP="0004659E">
      <w:pPr>
        <w:spacing w:after="120"/>
      </w:pPr>
      <w:r w:rsidRPr="00A85500">
        <w:t xml:space="preserve">Progress against the third objective – </w:t>
      </w:r>
      <w:r w:rsidRPr="00A85500">
        <w:rPr>
          <w:i/>
        </w:rPr>
        <w:t>promoting women’s economic empowerment, including ethnic minorities</w:t>
      </w:r>
      <w:r w:rsidRPr="00A85500">
        <w:t xml:space="preserve"> – has also been rated as green</w:t>
      </w:r>
      <w:r w:rsidR="00356E2B" w:rsidRPr="00A85500">
        <w:t xml:space="preserve"> with major investments back on track after delays in approval and implementation in 2016-17</w:t>
      </w:r>
      <w:r w:rsidR="00131CE9">
        <w:t>. Australia is the</w:t>
      </w:r>
      <w:r w:rsidRPr="00A85500">
        <w:t xml:space="preserve"> leader in gender equality progra</w:t>
      </w:r>
      <w:r w:rsidR="00356E2B" w:rsidRPr="00A85500">
        <w:t xml:space="preserve">mming and advocacy in Vietnam and </w:t>
      </w:r>
      <w:r w:rsidR="00131CE9">
        <w:t xml:space="preserve">is </w:t>
      </w:r>
      <w:r w:rsidR="00356E2B" w:rsidRPr="00A85500">
        <w:t>well</w:t>
      </w:r>
      <w:r w:rsidR="0006526A">
        <w:t>-</w:t>
      </w:r>
      <w:r w:rsidR="00356E2B" w:rsidRPr="00A85500">
        <w:t>positioned to further influence gender-inclusive policy and legislative reform</w:t>
      </w:r>
      <w:r w:rsidR="006766D5">
        <w:t>, particularly through our</w:t>
      </w:r>
      <w:r w:rsidR="00A30C01">
        <w:t xml:space="preserve"> ongoing engagement on revising</w:t>
      </w:r>
      <w:r w:rsidR="006766D5">
        <w:t xml:space="preserve"> Vietnam’s Labour Code.</w:t>
      </w:r>
    </w:p>
    <w:p w:rsidR="0004659E" w:rsidRPr="00A85500" w:rsidRDefault="0004659E" w:rsidP="00100F5A">
      <w:pPr>
        <w:spacing w:after="120"/>
      </w:pPr>
      <w:r w:rsidRPr="00A85500">
        <w:t>We faced a number of challenges</w:t>
      </w:r>
      <w:r w:rsidR="00B96BF0" w:rsidRPr="00A85500">
        <w:t xml:space="preserve"> to effective implementation</w:t>
      </w:r>
      <w:r w:rsidRPr="00A85500">
        <w:t xml:space="preserve"> this year. The first was </w:t>
      </w:r>
      <w:r w:rsidR="00100F5A" w:rsidRPr="00A85500">
        <w:t xml:space="preserve">ongoing difficulties </w:t>
      </w:r>
      <w:r w:rsidR="00C12636" w:rsidRPr="00A85500">
        <w:t xml:space="preserve">faced by all donors in navigating </w:t>
      </w:r>
      <w:proofErr w:type="spellStart"/>
      <w:r w:rsidR="008D4FB4">
        <w:t>GoV</w:t>
      </w:r>
      <w:proofErr w:type="spellEnd"/>
      <w:r w:rsidR="00C12636" w:rsidRPr="00A85500">
        <w:t xml:space="preserve"> approvals for O</w:t>
      </w:r>
      <w:r w:rsidR="00100F5A" w:rsidRPr="00A85500">
        <w:t xml:space="preserve">verseas </w:t>
      </w:r>
      <w:r w:rsidR="00C12636" w:rsidRPr="00A85500">
        <w:t>D</w:t>
      </w:r>
      <w:r w:rsidR="00100F5A" w:rsidRPr="00A85500">
        <w:t xml:space="preserve">evelopment </w:t>
      </w:r>
      <w:r w:rsidR="00C12636" w:rsidRPr="00A85500">
        <w:t>A</w:t>
      </w:r>
      <w:r w:rsidR="00100F5A" w:rsidRPr="00A85500">
        <w:t>ssistance (ODA)</w:t>
      </w:r>
      <w:r w:rsidR="00C12636" w:rsidRPr="00A85500">
        <w:t xml:space="preserve"> projects </w:t>
      </w:r>
      <w:r w:rsidR="00100F5A" w:rsidRPr="00A85500">
        <w:t xml:space="preserve">following </w:t>
      </w:r>
      <w:r w:rsidRPr="00A85500">
        <w:t>the revision of Decree 16</w:t>
      </w:r>
      <w:r w:rsidR="00100F5A" w:rsidRPr="00A85500">
        <w:t xml:space="preserve"> in 2016.</w:t>
      </w:r>
      <w:r w:rsidR="0006526A" w:rsidRPr="00A85500">
        <w:rPr>
          <w:rStyle w:val="FootnoteReference"/>
        </w:rPr>
        <w:footnoteReference w:id="2"/>
      </w:r>
      <w:r w:rsidR="00100F5A" w:rsidRPr="00A85500">
        <w:t xml:space="preserve"> Investments over $2 million require a three-stage approval by the </w:t>
      </w:r>
      <w:proofErr w:type="spellStart"/>
      <w:r w:rsidR="008D4FB4">
        <w:t>GoV</w:t>
      </w:r>
      <w:proofErr w:type="spellEnd"/>
      <w:r w:rsidR="00100F5A" w:rsidRPr="00A85500">
        <w:t>, including sign off twice (separately) by the Prime Minister</w:t>
      </w:r>
      <w:r w:rsidRPr="00A85500">
        <w:t xml:space="preserve">. </w:t>
      </w:r>
      <w:r w:rsidR="00356E2B" w:rsidRPr="00A85500">
        <w:t>This has proven to be a cumbersome and complicated process to manage, and despite joint development partner advocacy (to which Australia was a central player)</w:t>
      </w:r>
      <w:r w:rsidR="00C80E70" w:rsidRPr="00A85500">
        <w:t xml:space="preserve"> in the past year, Decree 16 continues to cause significant approval delays, including for our </w:t>
      </w:r>
      <w:r w:rsidR="00C80E70" w:rsidRPr="0068608E">
        <w:rPr>
          <w:i/>
        </w:rPr>
        <w:t>Aus4Water</w:t>
      </w:r>
      <w:r w:rsidR="00C80E70" w:rsidRPr="00A85500">
        <w:t xml:space="preserve"> program.</w:t>
      </w:r>
    </w:p>
    <w:p w:rsidR="0004659E" w:rsidRPr="00A85500" w:rsidRDefault="0004659E" w:rsidP="0004659E">
      <w:pPr>
        <w:spacing w:after="120"/>
      </w:pPr>
      <w:r w:rsidRPr="00A85500">
        <w:t>A second challenge was that workloads for A-</w:t>
      </w:r>
      <w:r w:rsidR="00B1576B">
        <w:t>b</w:t>
      </w:r>
      <w:r w:rsidRPr="00A85500">
        <w:t>ased staff throughout the year were unsustainably high. This was due to a number of</w:t>
      </w:r>
      <w:r w:rsidR="00100F5A" w:rsidRPr="00A85500">
        <w:t xml:space="preserve"> factors: Vietnam’s </w:t>
      </w:r>
      <w:r w:rsidR="002F4129">
        <w:t>Asia-Pacific Economic Cooperation</w:t>
      </w:r>
      <w:r w:rsidR="00C41FF3">
        <w:t xml:space="preserve"> (</w:t>
      </w:r>
      <w:r w:rsidR="00C41FF3" w:rsidRPr="00A85500">
        <w:t>APEC</w:t>
      </w:r>
      <w:r w:rsidR="002F4129">
        <w:t xml:space="preserve">) </w:t>
      </w:r>
      <w:r w:rsidR="00100F5A" w:rsidRPr="00A85500">
        <w:t>host</w:t>
      </w:r>
      <w:r w:rsidRPr="00A85500">
        <w:t xml:space="preserve"> year; </w:t>
      </w:r>
      <w:r w:rsidR="00B4226C" w:rsidRPr="00A85500">
        <w:t>m</w:t>
      </w:r>
      <w:r w:rsidR="00727173">
        <w:t>ore high-level visits than previously</w:t>
      </w:r>
      <w:r w:rsidR="00B4226C" w:rsidRPr="00A85500">
        <w:t>; a large</w:t>
      </w:r>
      <w:r w:rsidRPr="00A85500">
        <w:t xml:space="preserve"> proportion of programs in their first year of opera</w:t>
      </w:r>
      <w:r w:rsidR="0068608E">
        <w:t>tion; and staff turnover within the Embassy</w:t>
      </w:r>
      <w:r w:rsidRPr="00A85500">
        <w:t>.</w:t>
      </w:r>
    </w:p>
    <w:p w:rsidR="0004659E" w:rsidRPr="00A85500" w:rsidRDefault="006B52B8" w:rsidP="0004659E">
      <w:pPr>
        <w:spacing w:after="120"/>
      </w:pPr>
      <w:r>
        <w:t>A third, and related</w:t>
      </w:r>
      <w:r w:rsidR="0004659E" w:rsidRPr="00A85500">
        <w:t xml:space="preserve"> challenge</w:t>
      </w:r>
      <w:r>
        <w:t>,</w:t>
      </w:r>
      <w:r w:rsidR="0004659E" w:rsidRPr="00A85500">
        <w:t xml:space="preserve"> was program fragmentation. Between 2014 and 2016 the number of active agreements being managed by the Post was reduced from 116 to 47. This number rose to 54 during 2017 in part because delays in implementation of some of our larger programs prompted us to invest in several </w:t>
      </w:r>
      <w:r w:rsidR="00B4226C" w:rsidRPr="00A85500">
        <w:t>short-term</w:t>
      </w:r>
      <w:r w:rsidR="0004659E" w:rsidRPr="00A85500">
        <w:t xml:space="preserve"> </w:t>
      </w:r>
      <w:r w:rsidR="00B4226C" w:rsidRPr="00A85500">
        <w:t>activities to bridge implementation</w:t>
      </w:r>
      <w:r w:rsidR="0004659E" w:rsidRPr="00A85500">
        <w:t xml:space="preserve"> gap</w:t>
      </w:r>
      <w:r w:rsidR="00B4226C" w:rsidRPr="00A85500">
        <w:t>s</w:t>
      </w:r>
      <w:r w:rsidR="0004659E" w:rsidRPr="00A85500">
        <w:t>. This fragmentation has complicated program monitorin</w:t>
      </w:r>
      <w:r w:rsidR="00F30CE7" w:rsidRPr="00A85500">
        <w:t>g and increased workloads for</w:t>
      </w:r>
      <w:r w:rsidR="0004659E" w:rsidRPr="00A85500">
        <w:t xml:space="preserve"> staff.</w:t>
      </w:r>
    </w:p>
    <w:p w:rsidR="0004659E" w:rsidRPr="00A85500" w:rsidRDefault="0004659E" w:rsidP="0004659E">
      <w:pPr>
        <w:spacing w:after="120"/>
      </w:pPr>
      <w:r w:rsidRPr="00A85500">
        <w:t>The final challenge</w:t>
      </w:r>
      <w:r w:rsidR="00B4226C" w:rsidRPr="00A85500">
        <w:t xml:space="preserve"> </w:t>
      </w:r>
      <w:r w:rsidRPr="00A85500">
        <w:t xml:space="preserve">is that we do not yet have agreement to a format for the proposed annual </w:t>
      </w:r>
      <w:r w:rsidR="007C62D4">
        <w:t>M</w:t>
      </w:r>
      <w:r w:rsidRPr="00A85500">
        <w:t>inisterial</w:t>
      </w:r>
      <w:r w:rsidR="007C62D4">
        <w:t>-level</w:t>
      </w:r>
      <w:r w:rsidRPr="00A85500">
        <w:t xml:space="preserve"> Economic Partnership Meeting referenced in the Joint Statement on the Australia Vietnam Strategic Partnership</w:t>
      </w:r>
      <w:r w:rsidR="006B52B8">
        <w:t xml:space="preserve"> that is proposed to replace</w:t>
      </w:r>
      <w:r w:rsidR="00E8076D">
        <w:t xml:space="preserve"> the biennial aid high-level consultations (HLC), the last of which was held in March 2017</w:t>
      </w:r>
      <w:r w:rsidRPr="00A85500">
        <w:t>.</w:t>
      </w:r>
      <w:r w:rsidR="00E8076D">
        <w:t xml:space="preserve"> We will</w:t>
      </w:r>
      <w:r w:rsidR="006B52B8">
        <w:t xml:space="preserve"> </w:t>
      </w:r>
      <w:r w:rsidRPr="00A85500">
        <w:t>continue to push for agreement to a format and date for the f</w:t>
      </w:r>
      <w:r w:rsidR="00E8076D">
        <w:t>irst of these meetings in 2019, but may need to consider holding one final set of HLCs if we cannot secure an agreed date in the first quarter of 2019.</w:t>
      </w:r>
    </w:p>
    <w:p w:rsidR="0004659E" w:rsidRPr="00A85500" w:rsidRDefault="0004659E" w:rsidP="0004659E">
      <w:pPr>
        <w:spacing w:after="120"/>
      </w:pPr>
      <w:r w:rsidRPr="00A85500">
        <w:t xml:space="preserve">The </w:t>
      </w:r>
      <w:r w:rsidR="008D4FB4">
        <w:t>AIP</w:t>
      </w:r>
      <w:r w:rsidRPr="00A85500">
        <w:t xml:space="preserve"> 2015-20 is now past its mid-point and a planned mid-term review was not undertaken in 2017-18</w:t>
      </w:r>
      <w:r w:rsidR="00A92E2F" w:rsidRPr="00A85500">
        <w:t xml:space="preserve"> due to several signature initiatives still being at early stages of implementation</w:t>
      </w:r>
      <w:r w:rsidR="0068608E">
        <w:t xml:space="preserve"> following lengthy </w:t>
      </w:r>
      <w:proofErr w:type="spellStart"/>
      <w:r w:rsidR="0068608E">
        <w:t>GoV</w:t>
      </w:r>
      <w:proofErr w:type="spellEnd"/>
      <w:r w:rsidR="0068608E">
        <w:t xml:space="preserve"> approval delays</w:t>
      </w:r>
      <w:r w:rsidRPr="00A85500">
        <w:t xml:space="preserve">. There have been significant </w:t>
      </w:r>
      <w:r w:rsidR="00A92E2F" w:rsidRPr="00A85500">
        <w:t xml:space="preserve">changes since the AIP was </w:t>
      </w:r>
      <w:r w:rsidRPr="00A85500">
        <w:t xml:space="preserve">published in 2015, including to the operating environment, the profile of </w:t>
      </w:r>
      <w:r w:rsidRPr="009C6664">
        <w:t xml:space="preserve">Asia regional </w:t>
      </w:r>
      <w:r w:rsidRPr="00A85500">
        <w:t>initiatives</w:t>
      </w:r>
      <w:r w:rsidR="00B4226C" w:rsidRPr="00A85500">
        <w:t>,</w:t>
      </w:r>
      <w:r w:rsidRPr="00A85500">
        <w:t xml:space="preserve"> and the bilateral</w:t>
      </w:r>
      <w:r w:rsidR="0068608E">
        <w:t xml:space="preserve"> aid</w:t>
      </w:r>
      <w:r w:rsidRPr="00A85500">
        <w:t xml:space="preserve"> budget for Vietnam. </w:t>
      </w:r>
      <w:r w:rsidR="00E8076D">
        <w:t>W</w:t>
      </w:r>
      <w:r w:rsidR="009554B0">
        <w:t xml:space="preserve">hilst </w:t>
      </w:r>
      <w:r w:rsidRPr="00A85500">
        <w:t xml:space="preserve">the three </w:t>
      </w:r>
      <w:r w:rsidR="00E8076D">
        <w:t xml:space="preserve">AIP </w:t>
      </w:r>
      <w:r w:rsidRPr="00A85500">
        <w:t xml:space="preserve">objectives agreed in 2014-15 </w:t>
      </w:r>
      <w:r w:rsidR="009554B0">
        <w:t>have been effective in supporting Vietnam’s transition to this point, pl</w:t>
      </w:r>
      <w:r w:rsidR="006766D5">
        <w:t xml:space="preserve">anning for the next AIP </w:t>
      </w:r>
      <w:r w:rsidR="009554B0">
        <w:t xml:space="preserve">will need to account for a different set of priorities that help build capacity to mobilise domestic resources, develop capital markets, </w:t>
      </w:r>
      <w:r w:rsidR="006766D5">
        <w:t xml:space="preserve">and </w:t>
      </w:r>
      <w:r w:rsidR="009554B0">
        <w:t>reform public financial management</w:t>
      </w:r>
      <w:r w:rsidR="006766D5">
        <w:t>.</w:t>
      </w:r>
    </w:p>
    <w:p w:rsidR="0004659E" w:rsidRPr="00A85500" w:rsidRDefault="0004659E" w:rsidP="0004659E">
      <w:pPr>
        <w:spacing w:after="120"/>
      </w:pPr>
      <w:r w:rsidRPr="00A85500">
        <w:t>We propose to conduct an AIP review early in 2019 and then immediately commence development of a new AIP for 2020 and beyond. In line w</w:t>
      </w:r>
      <w:r w:rsidR="0068608E">
        <w:t>ith current guidance, Post</w:t>
      </w:r>
      <w:r w:rsidR="00B4226C" w:rsidRPr="00A85500">
        <w:t xml:space="preserve"> </w:t>
      </w:r>
      <w:r w:rsidR="007C62D4">
        <w:t xml:space="preserve">will </w:t>
      </w:r>
      <w:r w:rsidR="00B4226C" w:rsidRPr="00A85500">
        <w:t xml:space="preserve">aim to develop </w:t>
      </w:r>
      <w:r w:rsidRPr="00A85500">
        <w:t xml:space="preserve">this AIP in tandem with an integrated country strategy. It should also take into account Vietnam’s next </w:t>
      </w:r>
      <w:r w:rsidR="0068608E" w:rsidRPr="00A85500">
        <w:t>Socio</w:t>
      </w:r>
      <w:r w:rsidR="00C90460">
        <w:t>-</w:t>
      </w:r>
      <w:r w:rsidR="0068608E" w:rsidRPr="00A85500">
        <w:t>Economic Development Plan</w:t>
      </w:r>
      <w:r w:rsidR="0068608E">
        <w:t xml:space="preserve"> (SEDP)</w:t>
      </w:r>
      <w:r w:rsidR="00442C7E" w:rsidRPr="00A85500">
        <w:t xml:space="preserve"> 2021</w:t>
      </w:r>
      <w:r w:rsidR="00B4226C" w:rsidRPr="00A85500">
        <w:t xml:space="preserve">-25 </w:t>
      </w:r>
      <w:r w:rsidR="00F30CE7" w:rsidRPr="00A85500">
        <w:t xml:space="preserve">led by the </w:t>
      </w:r>
      <w:r w:rsidR="00672886">
        <w:t>Ministry of Planning and Investment (</w:t>
      </w:r>
      <w:r w:rsidR="0068608E">
        <w:t>MPI</w:t>
      </w:r>
      <w:r w:rsidR="00672886">
        <w:t>)</w:t>
      </w:r>
      <w:r w:rsidRPr="00A85500">
        <w:t>.</w:t>
      </w:r>
    </w:p>
    <w:p w:rsidR="00C6626C" w:rsidRPr="00C61187" w:rsidRDefault="00A84F92" w:rsidP="002A51CA">
      <w:pPr>
        <w:pStyle w:val="ListBullet"/>
        <w:tabs>
          <w:tab w:val="clear" w:pos="284"/>
        </w:tabs>
        <w:spacing w:before="360"/>
        <w:rPr>
          <w:kern w:val="28"/>
        </w:rPr>
      </w:pPr>
      <w:r>
        <w:rPr>
          <w:rFonts w:asciiTheme="majorHAnsi" w:eastAsiaTheme="majorEastAsia" w:hAnsiTheme="majorHAnsi" w:cstheme="majorBidi"/>
          <w:caps/>
          <w:color w:val="495965" w:themeColor="text2"/>
          <w:sz w:val="38"/>
          <w:szCs w:val="26"/>
          <w:lang w:val="en-GB" w:eastAsia="en-US"/>
        </w:rPr>
        <w:t>Context</w:t>
      </w:r>
    </w:p>
    <w:p w:rsidR="00C244C8" w:rsidRPr="00A85500" w:rsidRDefault="00C244C8" w:rsidP="00C244C8">
      <w:r w:rsidRPr="00A85500">
        <w:t xml:space="preserve">Vietnam </w:t>
      </w:r>
      <w:r w:rsidR="00E34E9D" w:rsidRPr="00A85500">
        <w:t xml:space="preserve">is </w:t>
      </w:r>
      <w:r w:rsidR="00442C7E" w:rsidRPr="00A85500">
        <w:t xml:space="preserve">transitioning rapidly to a </w:t>
      </w:r>
      <w:r w:rsidRPr="00A85500">
        <w:t>middle-income</w:t>
      </w:r>
      <w:r w:rsidR="00442C7E" w:rsidRPr="00A85500">
        <w:t xml:space="preserve"> country</w:t>
      </w:r>
      <w:r w:rsidRPr="00A85500">
        <w:t>.  It has enjoyed an av</w:t>
      </w:r>
      <w:r w:rsidR="00C90460">
        <w:t>erage rate of growth of 6.5 </w:t>
      </w:r>
      <w:r w:rsidRPr="00A85500">
        <w:t xml:space="preserve">per cent per annum since 2000 and has brought 40 million people out of poverty since it initiated </w:t>
      </w:r>
      <w:r w:rsidRPr="00A85500">
        <w:lastRenderedPageBreak/>
        <w:t xml:space="preserve">market-oriented reforms in 1986. In 2017-18, </w:t>
      </w:r>
      <w:r w:rsidR="007C62D4">
        <w:t>Vietnam</w:t>
      </w:r>
      <w:r w:rsidR="007C62D4" w:rsidRPr="00A85500">
        <w:t xml:space="preserve"> </w:t>
      </w:r>
      <w:r w:rsidRPr="00A85500">
        <w:t xml:space="preserve">continued to implement its </w:t>
      </w:r>
      <w:r w:rsidR="0068608E">
        <w:t>SEDP 2016-20</w:t>
      </w:r>
      <w:r w:rsidRPr="00A85500">
        <w:t>, adopted a National Action Plan on Sustainable Development</w:t>
      </w:r>
      <w:r w:rsidR="00BE6B92">
        <w:t>,</w:t>
      </w:r>
      <w:r w:rsidRPr="00A85500">
        <w:t xml:space="preserve"> and agreed to a medium-term plan for further growth, the (Australian-funded) </w:t>
      </w:r>
      <w:r w:rsidRPr="00A85500">
        <w:rPr>
          <w:i/>
        </w:rPr>
        <w:t>Vietnam 2035 Report</w:t>
      </w:r>
      <w:r w:rsidR="00C90460">
        <w:t>.</w:t>
      </w:r>
    </w:p>
    <w:p w:rsidR="00C244C8" w:rsidRPr="00A85500" w:rsidRDefault="00C244C8" w:rsidP="00C244C8">
      <w:r w:rsidRPr="00A85500">
        <w:t>Record foreign direct investment in export-oriented manufacturing, low labour costs and using trade agreements to drive domestic market reforms have been critical components of Vietnam’s growth to date.  The si</w:t>
      </w:r>
      <w:r w:rsidR="009339D9">
        <w:t xml:space="preserve">gning of the TPP-11 and </w:t>
      </w:r>
      <w:r w:rsidRPr="00A85500">
        <w:t>European Union</w:t>
      </w:r>
      <w:r w:rsidR="009339D9">
        <w:t>-Vietnam</w:t>
      </w:r>
      <w:r w:rsidRPr="00A85500">
        <w:t xml:space="preserve"> </w:t>
      </w:r>
      <w:r w:rsidR="00C41FF3">
        <w:t>Free Trade Agreement</w:t>
      </w:r>
      <w:r w:rsidR="00867723">
        <w:t xml:space="preserve"> </w:t>
      </w:r>
      <w:r w:rsidR="00C90460">
        <w:t>will allow further reforms.</w:t>
      </w:r>
    </w:p>
    <w:p w:rsidR="00C244C8" w:rsidRPr="00A85500" w:rsidRDefault="00C244C8" w:rsidP="00C244C8">
      <w:r w:rsidRPr="00A85500">
        <w:t>A range of obstacles to continuing growth loom large, among them: low productivity</w:t>
      </w:r>
      <w:r w:rsidR="00C90460">
        <w:t>;</w:t>
      </w:r>
      <w:r w:rsidRPr="00A85500">
        <w:t xml:space="preserve"> pockets of entrenched poverty</w:t>
      </w:r>
      <w:r w:rsidR="00C90460">
        <w:t>;</w:t>
      </w:r>
      <w:r w:rsidRPr="00A85500">
        <w:t xml:space="preserve"> inefficient State Owned Enterprises (SOEs)</w:t>
      </w:r>
      <w:r w:rsidR="00C90460">
        <w:t>;</w:t>
      </w:r>
      <w:r w:rsidRPr="00A85500">
        <w:t xml:space="preserve"> vulnerability to climate change and natural disasters</w:t>
      </w:r>
      <w:r w:rsidR="00C90460">
        <w:t>;</w:t>
      </w:r>
      <w:r w:rsidRPr="00A85500">
        <w:t xml:space="preserve"> weak institutions and constrained fiscal space</w:t>
      </w:r>
      <w:r w:rsidR="00C90460">
        <w:t>;</w:t>
      </w:r>
      <w:r w:rsidR="002C56CE" w:rsidRPr="00A85500">
        <w:t xml:space="preserve"> and the future of jobs</w:t>
      </w:r>
      <w:r w:rsidR="00C90460">
        <w:t>,</w:t>
      </w:r>
      <w:r w:rsidR="002C56CE" w:rsidRPr="00A85500">
        <w:t xml:space="preserve"> particularly for women in transition from labour-intensive to technology-intensive industries. </w:t>
      </w:r>
      <w:r w:rsidRPr="00A85500">
        <w:t xml:space="preserve">Vietnam will graduate from </w:t>
      </w:r>
      <w:r w:rsidR="00442C7E" w:rsidRPr="00A85500">
        <w:t xml:space="preserve">Multilateral </w:t>
      </w:r>
      <w:r w:rsidRPr="00A85500">
        <w:t xml:space="preserve">Development Bank </w:t>
      </w:r>
      <w:r w:rsidR="0084260A">
        <w:t xml:space="preserve">(MDB) </w:t>
      </w:r>
      <w:r w:rsidRPr="00A85500">
        <w:t xml:space="preserve">concessional finance </w:t>
      </w:r>
      <w:r w:rsidR="00442C7E" w:rsidRPr="00A85500">
        <w:t xml:space="preserve">at the end of 2018 </w:t>
      </w:r>
      <w:r w:rsidRPr="00A85500">
        <w:t xml:space="preserve">at the same </w:t>
      </w:r>
      <w:r w:rsidR="00341489" w:rsidRPr="00A85500">
        <w:t xml:space="preserve">time </w:t>
      </w:r>
      <w:r w:rsidRPr="00A85500">
        <w:t>as public debt approaches the legally mandated ceiling of 65 per cent of GDP, slowing spending on national development.</w:t>
      </w:r>
    </w:p>
    <w:p w:rsidR="0068608E" w:rsidRDefault="0024748D" w:rsidP="0068608E">
      <w:r>
        <w:t xml:space="preserve">Vietnam has achieved impressive poverty reduction through </w:t>
      </w:r>
      <w:r w:rsidR="0068608E">
        <w:t xml:space="preserve">sustained </w:t>
      </w:r>
      <w:r>
        <w:t>industrial development fuelled by m</w:t>
      </w:r>
      <w:r w:rsidRPr="0024748D">
        <w:t>ass employment in low-skilled sectors such as textiles</w:t>
      </w:r>
      <w:r>
        <w:t xml:space="preserve"> and manufacturing</w:t>
      </w:r>
      <w:r w:rsidRPr="0024748D">
        <w:t>.</w:t>
      </w:r>
      <w:r w:rsidR="0068608E">
        <w:t xml:space="preserve"> </w:t>
      </w:r>
      <w:r>
        <w:t>However, it faces many of the conditions that can lead to the ‘</w:t>
      </w:r>
      <w:r w:rsidR="00E2086F">
        <w:t>middle-</w:t>
      </w:r>
      <w:r>
        <w:t xml:space="preserve">income trap’. The abundance of </w:t>
      </w:r>
      <w:r w:rsidR="0068608E">
        <w:t>surplus labour</w:t>
      </w:r>
      <w:r>
        <w:t xml:space="preserve"> will eventually run out,</w:t>
      </w:r>
      <w:r w:rsidR="0068608E">
        <w:t xml:space="preserve"> wages </w:t>
      </w:r>
      <w:r>
        <w:t xml:space="preserve">will </w:t>
      </w:r>
      <w:r w:rsidR="0068608E">
        <w:t>increase</w:t>
      </w:r>
      <w:r>
        <w:t>, and the economy may lose</w:t>
      </w:r>
      <w:r w:rsidR="0068608E">
        <w:t xml:space="preserve"> its labour-cost advantage. </w:t>
      </w:r>
      <w:r>
        <w:t>C</w:t>
      </w:r>
      <w:r w:rsidR="0068608E">
        <w:t xml:space="preserve">ontinued growth </w:t>
      </w:r>
      <w:r>
        <w:t>will require</w:t>
      </w:r>
      <w:r w:rsidR="0068608E">
        <w:t xml:space="preserve"> further structural shift</w:t>
      </w:r>
      <w:r>
        <w:t>s</w:t>
      </w:r>
      <w:r w:rsidR="0068608E">
        <w:t xml:space="preserve"> towards more specialised, hig</w:t>
      </w:r>
      <w:r>
        <w:t xml:space="preserve">her-productivity manufacturing. </w:t>
      </w:r>
      <w:r w:rsidR="00C90460">
        <w:t>Escaping the middle</w:t>
      </w:r>
      <w:r w:rsidR="00C90460">
        <w:noBreakHyphen/>
      </w:r>
      <w:r w:rsidR="0068608E">
        <w:t xml:space="preserve">income trap </w:t>
      </w:r>
      <w:r>
        <w:t>will need</w:t>
      </w:r>
      <w:r w:rsidR="0068608E">
        <w:t xml:space="preserve"> more sophistica</w:t>
      </w:r>
      <w:r>
        <w:t>ted policies and institutions.</w:t>
      </w:r>
      <w:r w:rsidR="0068608E">
        <w:t xml:space="preserve"> </w:t>
      </w:r>
      <w:r w:rsidR="00727173">
        <w:t xml:space="preserve">As ODE has identified, </w:t>
      </w:r>
      <w:r>
        <w:t>“</w:t>
      </w:r>
      <w:r w:rsidR="0068608E">
        <w:t>Government intervention is needed to stimulate entrepreneurship, attract new technologies, build human capacity, upgrade infrastructure, improve the business environment and manage rapidly growing cities</w:t>
      </w:r>
      <w:r>
        <w:t>.</w:t>
      </w:r>
      <w:r w:rsidR="00C90460">
        <w:t>”</w:t>
      </w:r>
      <w:r w:rsidR="00C90460">
        <w:rPr>
          <w:rStyle w:val="FootnoteReference"/>
        </w:rPr>
        <w:footnoteReference w:id="3"/>
      </w:r>
    </w:p>
    <w:p w:rsidR="00862F24" w:rsidRDefault="00862F24" w:rsidP="0068608E">
      <w:r w:rsidRPr="00862F24">
        <w:t xml:space="preserve">Vietnam’s gender equality progress reflects a friction between the needs of industrialisation and the </w:t>
      </w:r>
      <w:r w:rsidR="00131CE9">
        <w:t>traditional</w:t>
      </w:r>
      <w:r w:rsidRPr="00862F24">
        <w:t xml:space="preserve"> status of women as carers. Women’s labour force participation is high </w:t>
      </w:r>
      <w:r w:rsidR="00131CE9">
        <w:t>(73.</w:t>
      </w:r>
      <w:r w:rsidR="00C90460">
        <w:t xml:space="preserve">2 </w:t>
      </w:r>
      <w:r w:rsidR="00E2086F">
        <w:t xml:space="preserve">per cent compared with 83.5 </w:t>
      </w:r>
      <w:r w:rsidR="00131CE9">
        <w:t>per cent for men), but</w:t>
      </w:r>
      <w:r w:rsidRPr="00862F24">
        <w:t xml:space="preserve"> the wage gap stands at 12.6 per cent and </w:t>
      </w:r>
      <w:r>
        <w:t>is widening.</w:t>
      </w:r>
      <w:r>
        <w:rPr>
          <w:rStyle w:val="FootnoteReference"/>
        </w:rPr>
        <w:footnoteReference w:id="4"/>
      </w:r>
      <w:r w:rsidRPr="00862F24">
        <w:t xml:space="preserve"> </w:t>
      </w:r>
      <w:r w:rsidR="00131CE9">
        <w:t>While o</w:t>
      </w:r>
      <w:r w:rsidRPr="00862F24">
        <w:t>ne of the</w:t>
      </w:r>
      <w:r w:rsidR="00B35D9D">
        <w:t xml:space="preserve"> current</w:t>
      </w:r>
      <w:r w:rsidRPr="00862F24">
        <w:t xml:space="preserve"> ‘top four’ political leaders is a woman (</w:t>
      </w:r>
      <w:r w:rsidR="00131CE9">
        <w:t xml:space="preserve">Chair of the National Assembly), </w:t>
      </w:r>
      <w:r w:rsidRPr="00862F24">
        <w:t xml:space="preserve">only one </w:t>
      </w:r>
      <w:r w:rsidR="00131CE9">
        <w:t>Ministry</w:t>
      </w:r>
      <w:r w:rsidRPr="00862F24">
        <w:t xml:space="preserve"> is led by a woman (health). Women account for 26.7 per cen</w:t>
      </w:r>
      <w:r>
        <w:t>t of National Assembly seats,</w:t>
      </w:r>
      <w:r>
        <w:rPr>
          <w:rStyle w:val="FootnoteReference"/>
        </w:rPr>
        <w:footnoteReference w:id="5"/>
      </w:r>
      <w:r w:rsidR="00B35D9D">
        <w:t xml:space="preserve"> and comprise 15.8 per cent of P</w:t>
      </w:r>
      <w:r w:rsidRPr="00862F24">
        <w:t xml:space="preserve">olitburo members. </w:t>
      </w:r>
      <w:r w:rsidR="00131CE9">
        <w:t>W</w:t>
      </w:r>
      <w:r w:rsidRPr="00862F24">
        <w:t>omen spend an extra 120 minutes daily on unpaid care work. Vietnam’s ageing population means the dependency ratio will peak in the near term, with the demands of elderly care adding to women’s existing child care responsibilities. One in every three women have experienced lifetime sexual and/or physical violence from their partner, but few women (13 per</w:t>
      </w:r>
      <w:r>
        <w:t xml:space="preserve"> cent) have ever sought help.</w:t>
      </w:r>
      <w:r>
        <w:rPr>
          <w:rStyle w:val="FootnoteReference"/>
        </w:rPr>
        <w:footnoteReference w:id="6"/>
      </w:r>
    </w:p>
    <w:p w:rsidR="00C244C8" w:rsidRPr="00A85500" w:rsidRDefault="00C244C8" w:rsidP="00C244C8">
      <w:r w:rsidRPr="00A85500">
        <w:t>Like other countries, Vietnam is also grappling with the profound changes associated with the shift t</w:t>
      </w:r>
      <w:r w:rsidR="009339D9">
        <w:t xml:space="preserve">o digitisation and automation. </w:t>
      </w:r>
      <w:r w:rsidRPr="00A85500">
        <w:t xml:space="preserve">A signature initiative of Prime Minister </w:t>
      </w:r>
      <w:proofErr w:type="spellStart"/>
      <w:r w:rsidRPr="00A85500">
        <w:t>Phuc</w:t>
      </w:r>
      <w:proofErr w:type="spellEnd"/>
      <w:r w:rsidRPr="00A85500">
        <w:t xml:space="preserve"> is a directive to overcome Vietnam’s skills shortages, and low value-add in manufacturing, so </w:t>
      </w:r>
      <w:r w:rsidR="00C90460">
        <w:t>Vietnam</w:t>
      </w:r>
      <w:r w:rsidRPr="00A85500">
        <w:t xml:space="preserve"> can access the opportunities of Industry 4.0.</w:t>
      </w:r>
    </w:p>
    <w:p w:rsidR="00C244C8" w:rsidRPr="00A85500" w:rsidRDefault="00C244C8" w:rsidP="00C244C8">
      <w:r w:rsidRPr="00A85500">
        <w:t xml:space="preserve">Our </w:t>
      </w:r>
      <w:r w:rsidR="008D4FB4">
        <w:t>AIP</w:t>
      </w:r>
      <w:r w:rsidR="002C56CE" w:rsidRPr="00A85500">
        <w:t xml:space="preserve"> </w:t>
      </w:r>
      <w:r w:rsidRPr="00A85500">
        <w:t>201</w:t>
      </w:r>
      <w:r w:rsidR="0068608E">
        <w:t>5</w:t>
      </w:r>
      <w:r w:rsidRPr="00A85500">
        <w:t>-20</w:t>
      </w:r>
      <w:r w:rsidR="00727173">
        <w:t xml:space="preserve"> intersects well with Vietnam’s own plans for economic transition. </w:t>
      </w:r>
      <w:r w:rsidRPr="00A85500">
        <w:t>In 2017-18, we accelerated new investments to enable the private sector, promote human capital development</w:t>
      </w:r>
      <w:r w:rsidR="002C56CE" w:rsidRPr="00A85500">
        <w:t xml:space="preserve"> and women’s economic </w:t>
      </w:r>
      <w:r w:rsidR="005351A9">
        <w:t>potential</w:t>
      </w:r>
      <w:r w:rsidR="002C56CE" w:rsidRPr="00A85500">
        <w:t>,</w:t>
      </w:r>
      <w:r w:rsidRPr="00A85500">
        <w:t xml:space="preserve"> and ensure the benefits </w:t>
      </w:r>
      <w:r w:rsidR="009339D9">
        <w:t>of growth reach</w:t>
      </w:r>
      <w:r w:rsidR="00C90460">
        <w:t>ed</w:t>
      </w:r>
      <w:r w:rsidR="009339D9">
        <w:t xml:space="preserve"> the poorest. </w:t>
      </w:r>
      <w:r w:rsidRPr="00A85500">
        <w:t>These new investments formed part of a broader shift away from a traditional dono</w:t>
      </w:r>
      <w:r w:rsidR="0068608E">
        <w:t>r-recipient aid relationship. T</w:t>
      </w:r>
      <w:r w:rsidRPr="00A85500">
        <w:t>hrough</w:t>
      </w:r>
      <w:r w:rsidR="0068608E">
        <w:t xml:space="preserve"> the Strategic Partnership, </w:t>
      </w:r>
      <w:r w:rsidRPr="00A85500">
        <w:t xml:space="preserve">Australia </w:t>
      </w:r>
      <w:r w:rsidR="00341489" w:rsidRPr="00A85500">
        <w:t xml:space="preserve">and Vietnam committed to </w:t>
      </w:r>
      <w:r w:rsidRPr="00A85500">
        <w:t>formally integrate Ministerial oversight of our bilateral aid and trade cooperation into a single economic partnership forum to maximise our support for Vietnam’s growth and development.  In 2017-18, we were Vietnam’s 6</w:t>
      </w:r>
      <w:r w:rsidRPr="00A85500">
        <w:rPr>
          <w:vertAlign w:val="superscript"/>
        </w:rPr>
        <w:t>th</w:t>
      </w:r>
      <w:r w:rsidR="00FC31D9">
        <w:t>-</w:t>
      </w:r>
      <w:r w:rsidRPr="00A85500">
        <w:t>largest grant-based donor</w:t>
      </w:r>
      <w:r w:rsidR="00D73937" w:rsidRPr="00A85500">
        <w:rPr>
          <w:rStyle w:val="FootnoteReference"/>
        </w:rPr>
        <w:footnoteReference w:id="7"/>
      </w:r>
      <w:r w:rsidRPr="00A85500">
        <w:t xml:space="preserve"> and its 15</w:t>
      </w:r>
      <w:r w:rsidRPr="00A85500">
        <w:rPr>
          <w:vertAlign w:val="superscript"/>
        </w:rPr>
        <w:t>th</w:t>
      </w:r>
      <w:r w:rsidRPr="00A85500">
        <w:t xml:space="preserve"> largest merchandise trading partner, a solid foundation on which we </w:t>
      </w:r>
      <w:r w:rsidR="00672886">
        <w:t xml:space="preserve">have </w:t>
      </w:r>
      <w:r w:rsidRPr="00A85500">
        <w:t>built our growing partnership.</w:t>
      </w:r>
    </w:p>
    <w:p w:rsidR="00B35D9D" w:rsidRDefault="00B35D9D">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rsidR="00C6626C" w:rsidRPr="002A51CA" w:rsidRDefault="00C6626C"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Expenditure</w:t>
      </w:r>
    </w:p>
    <w:p w:rsidR="005950EA" w:rsidRDefault="0078152E" w:rsidP="00CB0572">
      <w:pPr>
        <w:spacing w:after="120"/>
      </w:pPr>
      <w:r w:rsidRPr="00A85500">
        <w:t xml:space="preserve">Total ODA expenditure for 2017-18 </w:t>
      </w:r>
      <w:r w:rsidR="00B87252" w:rsidRPr="00A85500">
        <w:t xml:space="preserve">is </w:t>
      </w:r>
      <w:r w:rsidRPr="00A85500">
        <w:t>set out in Table 1</w:t>
      </w:r>
      <w:r w:rsidR="00B87252" w:rsidRPr="00A85500">
        <w:t xml:space="preserve">. Expenditure </w:t>
      </w:r>
      <w:r w:rsidR="00727173">
        <w:t xml:space="preserve">was marginally lower than </w:t>
      </w:r>
      <w:r w:rsidR="00B87252" w:rsidRPr="00A85500">
        <w:t>last financial year</w:t>
      </w:r>
      <w:r w:rsidR="008F7DBE" w:rsidRPr="00A85500">
        <w:t xml:space="preserve">. </w:t>
      </w:r>
      <w:r w:rsidR="00CA70C1" w:rsidRPr="00A85500">
        <w:t xml:space="preserve">Objective 1 </w:t>
      </w:r>
      <w:r w:rsidR="008F7DBE" w:rsidRPr="00A85500">
        <w:t xml:space="preserve">saw a five per cent decrease </w:t>
      </w:r>
      <w:r w:rsidR="00CA70C1" w:rsidRPr="00A85500">
        <w:t>due to</w:t>
      </w:r>
      <w:r w:rsidRPr="00A85500">
        <w:t xml:space="preserve"> completion of the </w:t>
      </w:r>
      <w:r w:rsidRPr="00A85500">
        <w:rPr>
          <w:i/>
        </w:rPr>
        <w:t xml:space="preserve">Cao </w:t>
      </w:r>
      <w:proofErr w:type="spellStart"/>
      <w:r w:rsidRPr="00A85500">
        <w:rPr>
          <w:i/>
        </w:rPr>
        <w:t>Lanh</w:t>
      </w:r>
      <w:proofErr w:type="spellEnd"/>
      <w:r w:rsidRPr="00A85500">
        <w:rPr>
          <w:i/>
        </w:rPr>
        <w:t xml:space="preserve"> Bridge</w:t>
      </w:r>
      <w:r w:rsidRPr="00A85500">
        <w:t xml:space="preserve"> and</w:t>
      </w:r>
      <w:r w:rsidR="008F7DBE" w:rsidRPr="00A85500">
        <w:t xml:space="preserve"> </w:t>
      </w:r>
      <w:r w:rsidR="005950EA">
        <w:rPr>
          <w:i/>
        </w:rPr>
        <w:t>RCV</w:t>
      </w:r>
      <w:r w:rsidR="008F7DBE" w:rsidRPr="00A85500">
        <w:t xml:space="preserve"> programs in 2018</w:t>
      </w:r>
      <w:r w:rsidRPr="00A85500">
        <w:t>.</w:t>
      </w:r>
      <w:r w:rsidR="008F7DBE" w:rsidRPr="00A85500">
        <w:t xml:space="preserve"> As the new initiatives </w:t>
      </w:r>
      <w:r w:rsidR="008F7DBE" w:rsidRPr="00A85500">
        <w:rPr>
          <w:i/>
        </w:rPr>
        <w:t>Aus4Reform</w:t>
      </w:r>
      <w:r w:rsidR="00856D28" w:rsidRPr="00A85500">
        <w:rPr>
          <w:i/>
        </w:rPr>
        <w:t>, Aus4Innovation</w:t>
      </w:r>
      <w:r w:rsidR="008F7DBE" w:rsidRPr="00A85500">
        <w:rPr>
          <w:i/>
        </w:rPr>
        <w:t xml:space="preserve"> </w:t>
      </w:r>
      <w:r w:rsidR="008F7DBE" w:rsidRPr="00A85500">
        <w:t>and</w:t>
      </w:r>
      <w:r w:rsidR="008F7DBE" w:rsidRPr="00A85500">
        <w:rPr>
          <w:i/>
        </w:rPr>
        <w:t xml:space="preserve"> Aus4Transport</w:t>
      </w:r>
      <w:r w:rsidRPr="00A85500">
        <w:t xml:space="preserve"> </w:t>
      </w:r>
      <w:r w:rsidR="00856D28" w:rsidRPr="00A85500">
        <w:t>hit</w:t>
      </w:r>
      <w:r w:rsidR="008F7DBE" w:rsidRPr="00A85500">
        <w:t xml:space="preserve"> full implementation in 2018-19, </w:t>
      </w:r>
      <w:r w:rsidR="008B3CE4">
        <w:t>O</w:t>
      </w:r>
      <w:r w:rsidR="00856D28" w:rsidRPr="00A85500">
        <w:t>bjective 1 expenditure should</w:t>
      </w:r>
      <w:r w:rsidR="008F7DBE" w:rsidRPr="00A85500">
        <w:t xml:space="preserve"> stabilise. Spending on Objective 2 remained largely unchanged</w:t>
      </w:r>
      <w:r w:rsidR="00856D28" w:rsidRPr="00A85500">
        <w:t xml:space="preserve"> reflecting </w:t>
      </w:r>
      <w:r w:rsidR="00856D28" w:rsidRPr="00A85500">
        <w:rPr>
          <w:i/>
        </w:rPr>
        <w:t xml:space="preserve">Aus4Skills </w:t>
      </w:r>
      <w:r w:rsidR="005950EA">
        <w:t>being a more mature program</w:t>
      </w:r>
      <w:r w:rsidR="008F7DBE" w:rsidRPr="00A85500">
        <w:t xml:space="preserve">. Expenditure for </w:t>
      </w:r>
      <w:r w:rsidRPr="00A85500">
        <w:t xml:space="preserve">Objective 3 </w:t>
      </w:r>
      <w:r w:rsidR="008F7DBE" w:rsidRPr="00A85500">
        <w:t xml:space="preserve">remained low, however has seen a significant increase in comparison to last </w:t>
      </w:r>
      <w:r w:rsidR="005950EA">
        <w:t>year</w:t>
      </w:r>
      <w:r w:rsidR="00856D28" w:rsidRPr="00A85500">
        <w:t>, up by six per cent, albeit off a very low base.</w:t>
      </w:r>
      <w:r w:rsidR="008F7DBE" w:rsidRPr="00A85500">
        <w:t xml:space="preserve"> </w:t>
      </w:r>
      <w:r w:rsidR="008B3CE4">
        <w:t>T</w:t>
      </w:r>
      <w:r w:rsidR="008F7DBE" w:rsidRPr="00A85500">
        <w:t xml:space="preserve">he key investment under Objective 3, </w:t>
      </w:r>
      <w:r w:rsidR="008F7DBE" w:rsidRPr="00A85500">
        <w:rPr>
          <w:i/>
        </w:rPr>
        <w:t xml:space="preserve">Aus4Equality, </w:t>
      </w:r>
      <w:r w:rsidR="008F7DBE" w:rsidRPr="00A85500">
        <w:t xml:space="preserve">was launched in November 2017 and completed the inception phase in July 2018. </w:t>
      </w:r>
      <w:r w:rsidR="00856D28" w:rsidRPr="00A85500">
        <w:t xml:space="preserve">We therefore expect expenditure to </w:t>
      </w:r>
      <w:r w:rsidR="008B3CE4">
        <w:t>accelerate in the next</w:t>
      </w:r>
      <w:r w:rsidRPr="00A85500">
        <w:t xml:space="preserve"> reporting period </w:t>
      </w:r>
      <w:r w:rsidR="00856D28" w:rsidRPr="00A85500">
        <w:t>as this investment reaches</w:t>
      </w:r>
      <w:r w:rsidR="00CA70C1" w:rsidRPr="00A85500">
        <w:t xml:space="preserve"> full implementation. </w:t>
      </w:r>
      <w:r w:rsidR="00856D28" w:rsidRPr="00A85500">
        <w:t>Funding for emerging initiatives on</w:t>
      </w:r>
      <w:r w:rsidRPr="00A85500">
        <w:t xml:space="preserve"> </w:t>
      </w:r>
      <w:r w:rsidR="00CB0572">
        <w:t>h</w:t>
      </w:r>
      <w:r w:rsidRPr="00A85500">
        <w:t xml:space="preserve">uman </w:t>
      </w:r>
      <w:r w:rsidR="00CB0572">
        <w:t>r</w:t>
      </w:r>
      <w:r w:rsidRPr="00A85500">
        <w:t>ight</w:t>
      </w:r>
      <w:r w:rsidR="00CA70C1" w:rsidRPr="00A85500">
        <w:t>s</w:t>
      </w:r>
      <w:r w:rsidRPr="00A85500">
        <w:t xml:space="preserve">, </w:t>
      </w:r>
      <w:r w:rsidR="00856D28" w:rsidRPr="00A85500">
        <w:t>and</w:t>
      </w:r>
      <w:r w:rsidR="00CA70C1" w:rsidRPr="00A85500">
        <w:t xml:space="preserve"> </w:t>
      </w:r>
      <w:r w:rsidRPr="00A85500">
        <w:t>contribution</w:t>
      </w:r>
      <w:r w:rsidR="00856D28" w:rsidRPr="00A85500">
        <w:t>s to</w:t>
      </w:r>
      <w:r w:rsidR="00CA70C1" w:rsidRPr="00A85500">
        <w:t xml:space="preserve"> </w:t>
      </w:r>
      <w:r w:rsidRPr="00A85500">
        <w:t xml:space="preserve">new </w:t>
      </w:r>
      <w:r w:rsidR="005950EA">
        <w:t>r</w:t>
      </w:r>
      <w:r w:rsidR="00856D28" w:rsidRPr="00A85500">
        <w:t>egional investments agreed at the Australia-</w:t>
      </w:r>
      <w:r w:rsidRPr="00A85500">
        <w:t xml:space="preserve">ASEAN </w:t>
      </w:r>
      <w:r w:rsidR="00856D28" w:rsidRPr="00A85500">
        <w:t xml:space="preserve">Special Summit </w:t>
      </w:r>
      <w:r w:rsidR="00BE6B92">
        <w:t>p</w:t>
      </w:r>
      <w:r w:rsidRPr="00A85500">
        <w:t>rogram</w:t>
      </w:r>
      <w:r w:rsidR="00856D28" w:rsidRPr="00A85500">
        <w:t xml:space="preserve"> wil</w:t>
      </w:r>
      <w:r w:rsidR="00727173">
        <w:t>l likely increase expenditure next year</w:t>
      </w:r>
      <w:r w:rsidR="00856D28" w:rsidRPr="00A85500">
        <w:t>.</w:t>
      </w:r>
      <w:r w:rsidRPr="00A85500">
        <w:t xml:space="preserve"> The Aid Management </w:t>
      </w:r>
      <w:r w:rsidR="00BC4C11">
        <w:t xml:space="preserve">Steering </w:t>
      </w:r>
      <w:r w:rsidRPr="00A85500">
        <w:t xml:space="preserve">Committee mechanism has been effective in closely monitoring </w:t>
      </w:r>
      <w:r w:rsidR="00856D28" w:rsidRPr="00A85500">
        <w:t xml:space="preserve">expenditure </w:t>
      </w:r>
      <w:r w:rsidRPr="00A85500">
        <w:t>and making decision</w:t>
      </w:r>
      <w:r w:rsidR="00CA70C1" w:rsidRPr="00A85500">
        <w:t>s</w:t>
      </w:r>
      <w:r w:rsidRPr="00A85500">
        <w:t xml:space="preserve"> to reallocate fund</w:t>
      </w:r>
      <w:r w:rsidR="00CA70C1" w:rsidRPr="00A85500">
        <w:t>s</w:t>
      </w:r>
      <w:r w:rsidRPr="00A85500">
        <w:t xml:space="preserve"> to mitigate t</w:t>
      </w:r>
      <w:r w:rsidR="00CA70C1" w:rsidRPr="00A85500">
        <w:t>he impacts of low disbursement</w:t>
      </w:r>
      <w:r w:rsidR="00856D28" w:rsidRPr="00A85500">
        <w:t xml:space="preserve"> from delayed </w:t>
      </w:r>
      <w:proofErr w:type="spellStart"/>
      <w:r w:rsidR="008D4FB4">
        <w:t>GoV</w:t>
      </w:r>
      <w:proofErr w:type="spellEnd"/>
      <w:r w:rsidR="00856D28" w:rsidRPr="00A85500">
        <w:t xml:space="preserve"> approvals</w:t>
      </w:r>
      <w:r w:rsidR="00CA70C1" w:rsidRPr="00A85500">
        <w:t>.</w:t>
      </w:r>
    </w:p>
    <w:tbl>
      <w:tblPr>
        <w:tblW w:w="9639" w:type="dxa"/>
        <w:tblLook w:val="04A0" w:firstRow="1" w:lastRow="0" w:firstColumn="1" w:lastColumn="0" w:noHBand="0" w:noVBand="1"/>
      </w:tblPr>
      <w:tblGrid>
        <w:gridCol w:w="7069"/>
        <w:gridCol w:w="1153"/>
        <w:gridCol w:w="1417"/>
      </w:tblGrid>
      <w:tr w:rsidR="0086193D" w:rsidRPr="00A85500" w:rsidTr="00BC4C11">
        <w:trPr>
          <w:trHeight w:val="312"/>
        </w:trPr>
        <w:tc>
          <w:tcPr>
            <w:tcW w:w="9639" w:type="dxa"/>
            <w:gridSpan w:val="3"/>
            <w:tcBorders>
              <w:top w:val="nil"/>
              <w:left w:val="nil"/>
              <w:bottom w:val="single" w:sz="8" w:space="0" w:color="auto"/>
              <w:right w:val="nil"/>
            </w:tcBorders>
            <w:shd w:val="clear" w:color="auto" w:fill="auto"/>
            <w:noWrap/>
            <w:vAlign w:val="bottom"/>
            <w:hideMark/>
          </w:tcPr>
          <w:p w:rsidR="0086193D" w:rsidRPr="00A85500" w:rsidRDefault="002A51CA" w:rsidP="00CB0572">
            <w:pPr>
              <w:suppressAutoHyphens w:val="0"/>
              <w:spacing w:before="0" w:after="0" w:line="240" w:lineRule="auto"/>
              <w:rPr>
                <w:rFonts w:ascii="Arial" w:eastAsia="Times New Roman" w:hAnsi="Arial" w:cs="Arial"/>
                <w:b/>
                <w:bCs/>
                <w:sz w:val="20"/>
                <w:szCs w:val="20"/>
                <w:lang w:val="en-AU" w:eastAsia="en-AU"/>
              </w:rPr>
            </w:pPr>
            <w:r w:rsidRPr="00A85500">
              <w:rPr>
                <w:b/>
                <w:sz w:val="24"/>
              </w:rPr>
              <w:t xml:space="preserve">Table </w:t>
            </w:r>
            <w:r w:rsidRPr="00A85500">
              <w:rPr>
                <w:b/>
                <w:sz w:val="24"/>
              </w:rPr>
              <w:fldChar w:fldCharType="begin"/>
            </w:r>
            <w:r w:rsidRPr="00A85500">
              <w:rPr>
                <w:b/>
                <w:sz w:val="24"/>
              </w:rPr>
              <w:instrText xml:space="preserve"> SEQ Table \* ARABIC </w:instrText>
            </w:r>
            <w:r w:rsidRPr="00A85500">
              <w:rPr>
                <w:b/>
                <w:sz w:val="24"/>
              </w:rPr>
              <w:fldChar w:fldCharType="separate"/>
            </w:r>
            <w:r w:rsidR="002C6590">
              <w:rPr>
                <w:b/>
                <w:noProof/>
                <w:sz w:val="24"/>
              </w:rPr>
              <w:t>1</w:t>
            </w:r>
            <w:r w:rsidRPr="00A85500">
              <w:rPr>
                <w:b/>
                <w:noProof/>
                <w:sz w:val="24"/>
              </w:rPr>
              <w:fldChar w:fldCharType="end"/>
            </w:r>
            <w:r w:rsidRPr="00A85500">
              <w:rPr>
                <w:b/>
                <w:sz w:val="24"/>
              </w:rPr>
              <w:t xml:space="preserve"> Total ODA Expenditure in FY 201</w:t>
            </w:r>
            <w:r w:rsidR="002D37BC" w:rsidRPr="00A85500">
              <w:rPr>
                <w:b/>
                <w:sz w:val="24"/>
              </w:rPr>
              <w:t>7</w:t>
            </w:r>
            <w:r w:rsidRPr="00A85500">
              <w:rPr>
                <w:b/>
                <w:sz w:val="24"/>
              </w:rPr>
              <w:t>-1</w:t>
            </w:r>
            <w:r w:rsidR="002D37BC" w:rsidRPr="00A85500">
              <w:rPr>
                <w:b/>
                <w:sz w:val="24"/>
              </w:rPr>
              <w:t>8</w:t>
            </w:r>
          </w:p>
        </w:tc>
      </w:tr>
      <w:tr w:rsidR="0086193D" w:rsidRPr="00A3623F" w:rsidTr="00BC4C11">
        <w:trPr>
          <w:trHeight w:val="396"/>
        </w:trPr>
        <w:tc>
          <w:tcPr>
            <w:tcW w:w="7069" w:type="dxa"/>
            <w:tcBorders>
              <w:top w:val="nil"/>
              <w:left w:val="nil"/>
              <w:bottom w:val="nil"/>
              <w:right w:val="nil"/>
            </w:tcBorders>
            <w:shd w:val="clear" w:color="auto" w:fill="auto"/>
            <w:noWrap/>
            <w:vAlign w:val="center"/>
            <w:hideMark/>
          </w:tcPr>
          <w:p w:rsidR="0086193D" w:rsidRPr="00A3623F" w:rsidRDefault="0086193D" w:rsidP="00CB0572">
            <w:pPr>
              <w:spacing w:before="0" w:after="0"/>
              <w:rPr>
                <w:rFonts w:eastAsia="Times New Roman" w:cs="Times New Roman"/>
                <w:b/>
                <w:bCs/>
                <w:sz w:val="18"/>
                <w:szCs w:val="18"/>
                <w:lang w:val="en-AU" w:eastAsia="en-AU"/>
              </w:rPr>
            </w:pPr>
            <w:r w:rsidRPr="00A3623F">
              <w:rPr>
                <w:b/>
                <w:sz w:val="18"/>
                <w:szCs w:val="18"/>
              </w:rPr>
              <w:t>Objective</w:t>
            </w:r>
          </w:p>
        </w:tc>
        <w:tc>
          <w:tcPr>
            <w:tcW w:w="1153" w:type="dxa"/>
            <w:tcBorders>
              <w:top w:val="nil"/>
              <w:left w:val="nil"/>
              <w:bottom w:val="nil"/>
              <w:right w:val="nil"/>
            </w:tcBorders>
            <w:shd w:val="clear" w:color="auto" w:fill="auto"/>
            <w:vAlign w:val="center"/>
            <w:hideMark/>
          </w:tcPr>
          <w:p w:rsidR="0086193D" w:rsidRPr="00A3623F" w:rsidRDefault="0086193D" w:rsidP="00CB0572">
            <w:pPr>
              <w:spacing w:before="0" w:after="0"/>
              <w:jc w:val="center"/>
              <w:rPr>
                <w:b/>
                <w:sz w:val="18"/>
                <w:szCs w:val="18"/>
              </w:rPr>
            </w:pPr>
            <w:r w:rsidRPr="00A3623F">
              <w:rPr>
                <w:b/>
                <w:sz w:val="18"/>
                <w:szCs w:val="18"/>
              </w:rPr>
              <w:t>A$ million</w:t>
            </w:r>
          </w:p>
        </w:tc>
        <w:tc>
          <w:tcPr>
            <w:tcW w:w="1417" w:type="dxa"/>
            <w:tcBorders>
              <w:top w:val="nil"/>
              <w:left w:val="nil"/>
              <w:bottom w:val="nil"/>
              <w:right w:val="nil"/>
            </w:tcBorders>
            <w:shd w:val="clear" w:color="auto" w:fill="auto"/>
            <w:vAlign w:val="center"/>
            <w:hideMark/>
          </w:tcPr>
          <w:p w:rsidR="0086193D" w:rsidRPr="00A3623F" w:rsidRDefault="0086193D" w:rsidP="00CB0572">
            <w:pPr>
              <w:spacing w:before="0" w:after="0"/>
              <w:jc w:val="center"/>
              <w:rPr>
                <w:b/>
                <w:sz w:val="18"/>
                <w:szCs w:val="18"/>
              </w:rPr>
            </w:pPr>
            <w:r w:rsidRPr="00A3623F">
              <w:rPr>
                <w:b/>
                <w:sz w:val="18"/>
                <w:szCs w:val="18"/>
              </w:rPr>
              <w:t>% of total ODA</w:t>
            </w:r>
          </w:p>
        </w:tc>
      </w:tr>
      <w:tr w:rsidR="0086193D" w:rsidRPr="00A3623F" w:rsidTr="00BC4C11">
        <w:trPr>
          <w:trHeight w:val="372"/>
        </w:trPr>
        <w:tc>
          <w:tcPr>
            <w:tcW w:w="7069" w:type="dxa"/>
            <w:tcBorders>
              <w:top w:val="nil"/>
              <w:left w:val="nil"/>
              <w:bottom w:val="nil"/>
              <w:right w:val="nil"/>
            </w:tcBorders>
            <w:shd w:val="clear" w:color="auto" w:fill="auto"/>
            <w:vAlign w:val="center"/>
            <w:hideMark/>
          </w:tcPr>
          <w:p w:rsidR="0086193D" w:rsidRPr="00A3623F" w:rsidRDefault="00CB0572" w:rsidP="00CB0572">
            <w:pPr>
              <w:suppressAutoHyphens w:val="0"/>
              <w:spacing w:before="0" w:after="0" w:line="240" w:lineRule="auto"/>
              <w:rPr>
                <w:rFonts w:eastAsia="Times New Roman" w:cs="Times New Roman"/>
                <w:sz w:val="18"/>
                <w:szCs w:val="18"/>
                <w:lang w:val="en-AU" w:eastAsia="en-AU"/>
              </w:rPr>
            </w:pPr>
            <w:r w:rsidRPr="00A3623F">
              <w:rPr>
                <w:rFonts w:eastAsia="Times New Roman" w:cs="Times New Roman"/>
                <w:sz w:val="18"/>
                <w:szCs w:val="18"/>
                <w:lang w:val="en-AU" w:eastAsia="en-AU"/>
              </w:rPr>
              <w:t>O</w:t>
            </w:r>
            <w:r w:rsidR="0086193D" w:rsidRPr="00A3623F">
              <w:rPr>
                <w:rFonts w:eastAsia="Times New Roman" w:cs="Times New Roman"/>
                <w:sz w:val="18"/>
                <w:szCs w:val="18"/>
                <w:lang w:val="en-AU" w:eastAsia="en-AU"/>
              </w:rPr>
              <w:t>bjective 1: Enabling and engaging the private sector for development</w:t>
            </w:r>
          </w:p>
        </w:tc>
        <w:tc>
          <w:tcPr>
            <w:tcW w:w="1153" w:type="dxa"/>
            <w:tcBorders>
              <w:top w:val="nil"/>
              <w:left w:val="nil"/>
              <w:bottom w:val="nil"/>
              <w:right w:val="nil"/>
            </w:tcBorders>
            <w:shd w:val="clear" w:color="auto" w:fill="auto"/>
            <w:noWrap/>
            <w:vAlign w:val="center"/>
            <w:hideMark/>
          </w:tcPr>
          <w:p w:rsidR="0086193D" w:rsidRPr="00A3623F" w:rsidRDefault="0086193D" w:rsidP="00CB0572">
            <w:pPr>
              <w:suppressAutoHyphens w:val="0"/>
              <w:spacing w:before="0" w:after="0" w:line="240" w:lineRule="auto"/>
              <w:jc w:val="center"/>
              <w:rPr>
                <w:rFonts w:eastAsia="Times New Roman" w:cs="Times New Roman"/>
                <w:sz w:val="18"/>
                <w:szCs w:val="18"/>
                <w:lang w:val="en-AU" w:eastAsia="en-AU"/>
              </w:rPr>
            </w:pPr>
            <w:r w:rsidRPr="00A3623F">
              <w:rPr>
                <w:rFonts w:eastAsia="Times New Roman" w:cs="Times New Roman"/>
                <w:sz w:val="18"/>
                <w:szCs w:val="18"/>
                <w:lang w:val="en-AU" w:eastAsia="en-AU"/>
              </w:rPr>
              <w:t>25.60</w:t>
            </w:r>
          </w:p>
        </w:tc>
        <w:tc>
          <w:tcPr>
            <w:tcW w:w="1417" w:type="dxa"/>
            <w:tcBorders>
              <w:top w:val="nil"/>
              <w:left w:val="nil"/>
              <w:bottom w:val="nil"/>
              <w:right w:val="nil"/>
            </w:tcBorders>
            <w:shd w:val="clear" w:color="auto" w:fill="auto"/>
            <w:noWrap/>
            <w:vAlign w:val="center"/>
            <w:hideMark/>
          </w:tcPr>
          <w:p w:rsidR="0086193D" w:rsidRPr="00A3623F" w:rsidRDefault="0086193D" w:rsidP="00CB0572">
            <w:pPr>
              <w:suppressAutoHyphens w:val="0"/>
              <w:spacing w:before="0" w:after="0" w:line="240" w:lineRule="auto"/>
              <w:jc w:val="center"/>
              <w:rPr>
                <w:rFonts w:eastAsia="Times New Roman" w:cs="Times New Roman"/>
                <w:sz w:val="18"/>
                <w:szCs w:val="18"/>
                <w:lang w:val="en-AU" w:eastAsia="en-AU"/>
              </w:rPr>
            </w:pPr>
            <w:r w:rsidRPr="00A3623F">
              <w:rPr>
                <w:rFonts w:eastAsia="Times New Roman" w:cs="Times New Roman"/>
                <w:sz w:val="18"/>
                <w:szCs w:val="18"/>
                <w:lang w:val="en-AU" w:eastAsia="en-AU"/>
              </w:rPr>
              <w:t>31%</w:t>
            </w:r>
          </w:p>
        </w:tc>
      </w:tr>
      <w:tr w:rsidR="0086193D" w:rsidRPr="00A3623F" w:rsidTr="00BC4C11">
        <w:trPr>
          <w:trHeight w:val="372"/>
        </w:trPr>
        <w:tc>
          <w:tcPr>
            <w:tcW w:w="7069" w:type="dxa"/>
            <w:tcBorders>
              <w:top w:val="nil"/>
              <w:left w:val="nil"/>
              <w:bottom w:val="nil"/>
              <w:right w:val="nil"/>
            </w:tcBorders>
            <w:shd w:val="clear" w:color="auto" w:fill="auto"/>
            <w:vAlign w:val="center"/>
            <w:hideMark/>
          </w:tcPr>
          <w:p w:rsidR="0086193D" w:rsidRPr="00A3623F" w:rsidRDefault="0086193D" w:rsidP="00CB0572">
            <w:pPr>
              <w:suppressAutoHyphens w:val="0"/>
              <w:spacing w:before="0" w:after="0" w:line="240" w:lineRule="auto"/>
              <w:rPr>
                <w:rFonts w:eastAsia="Times New Roman" w:cs="Times New Roman"/>
                <w:sz w:val="18"/>
                <w:szCs w:val="18"/>
                <w:lang w:val="en-AU" w:eastAsia="en-AU"/>
              </w:rPr>
            </w:pPr>
            <w:r w:rsidRPr="00A3623F">
              <w:rPr>
                <w:rFonts w:eastAsia="Times New Roman" w:cs="Times New Roman"/>
                <w:sz w:val="18"/>
                <w:szCs w:val="18"/>
                <w:lang w:val="en-AU" w:eastAsia="en-AU"/>
              </w:rPr>
              <w:t>Objective 2: Assisting the development and employment of a highly skilled workforce</w:t>
            </w:r>
          </w:p>
        </w:tc>
        <w:tc>
          <w:tcPr>
            <w:tcW w:w="1153" w:type="dxa"/>
            <w:tcBorders>
              <w:top w:val="nil"/>
              <w:left w:val="nil"/>
              <w:bottom w:val="nil"/>
              <w:right w:val="nil"/>
            </w:tcBorders>
            <w:shd w:val="clear" w:color="auto" w:fill="auto"/>
            <w:noWrap/>
            <w:vAlign w:val="center"/>
            <w:hideMark/>
          </w:tcPr>
          <w:p w:rsidR="0086193D" w:rsidRPr="00A3623F" w:rsidRDefault="0086193D" w:rsidP="00CB0572">
            <w:pPr>
              <w:suppressAutoHyphens w:val="0"/>
              <w:spacing w:before="0" w:after="0" w:line="240" w:lineRule="auto"/>
              <w:jc w:val="center"/>
              <w:rPr>
                <w:rFonts w:eastAsia="Times New Roman" w:cs="Times New Roman"/>
                <w:sz w:val="18"/>
                <w:szCs w:val="18"/>
                <w:lang w:val="en-AU" w:eastAsia="en-AU"/>
              </w:rPr>
            </w:pPr>
            <w:r w:rsidRPr="00A3623F">
              <w:rPr>
                <w:rFonts w:eastAsia="Times New Roman" w:cs="Times New Roman"/>
                <w:sz w:val="18"/>
                <w:szCs w:val="18"/>
                <w:lang w:val="en-AU" w:eastAsia="en-AU"/>
              </w:rPr>
              <w:t>25.60</w:t>
            </w:r>
          </w:p>
        </w:tc>
        <w:tc>
          <w:tcPr>
            <w:tcW w:w="1417" w:type="dxa"/>
            <w:tcBorders>
              <w:top w:val="nil"/>
              <w:left w:val="nil"/>
              <w:bottom w:val="nil"/>
              <w:right w:val="nil"/>
            </w:tcBorders>
            <w:shd w:val="clear" w:color="auto" w:fill="auto"/>
            <w:noWrap/>
            <w:vAlign w:val="center"/>
            <w:hideMark/>
          </w:tcPr>
          <w:p w:rsidR="0086193D" w:rsidRPr="00A3623F" w:rsidRDefault="0086193D" w:rsidP="00CB0572">
            <w:pPr>
              <w:suppressAutoHyphens w:val="0"/>
              <w:spacing w:before="0" w:after="0" w:line="240" w:lineRule="auto"/>
              <w:jc w:val="center"/>
              <w:rPr>
                <w:rFonts w:eastAsia="Times New Roman" w:cs="Times New Roman"/>
                <w:sz w:val="18"/>
                <w:szCs w:val="18"/>
                <w:lang w:val="en-AU" w:eastAsia="en-AU"/>
              </w:rPr>
            </w:pPr>
            <w:r w:rsidRPr="00A3623F">
              <w:rPr>
                <w:rFonts w:eastAsia="Times New Roman" w:cs="Times New Roman"/>
                <w:sz w:val="18"/>
                <w:szCs w:val="18"/>
                <w:lang w:val="en-AU" w:eastAsia="en-AU"/>
              </w:rPr>
              <w:t>31%</w:t>
            </w:r>
          </w:p>
        </w:tc>
      </w:tr>
      <w:tr w:rsidR="0086193D" w:rsidRPr="00A3623F" w:rsidTr="00BC4C11">
        <w:trPr>
          <w:trHeight w:val="372"/>
        </w:trPr>
        <w:tc>
          <w:tcPr>
            <w:tcW w:w="7069" w:type="dxa"/>
            <w:tcBorders>
              <w:top w:val="nil"/>
              <w:left w:val="nil"/>
              <w:bottom w:val="nil"/>
              <w:right w:val="nil"/>
            </w:tcBorders>
            <w:shd w:val="clear" w:color="auto" w:fill="auto"/>
            <w:vAlign w:val="center"/>
            <w:hideMark/>
          </w:tcPr>
          <w:p w:rsidR="0086193D" w:rsidRPr="00A3623F" w:rsidRDefault="0086193D" w:rsidP="00CB0572">
            <w:pPr>
              <w:suppressAutoHyphens w:val="0"/>
              <w:spacing w:before="0" w:after="0" w:line="240" w:lineRule="auto"/>
              <w:rPr>
                <w:rFonts w:eastAsia="Times New Roman" w:cs="Times New Roman"/>
                <w:sz w:val="18"/>
                <w:szCs w:val="18"/>
                <w:lang w:val="en-AU" w:eastAsia="en-AU"/>
              </w:rPr>
            </w:pPr>
            <w:r w:rsidRPr="00A3623F">
              <w:rPr>
                <w:rFonts w:eastAsia="Times New Roman" w:cs="Times New Roman"/>
                <w:sz w:val="18"/>
                <w:szCs w:val="18"/>
                <w:lang w:val="en-AU" w:eastAsia="en-AU"/>
              </w:rPr>
              <w:t>Objective 3: Promoting women’s economic empowe</w:t>
            </w:r>
            <w:r w:rsidR="00CB0572" w:rsidRPr="00A3623F">
              <w:rPr>
                <w:rFonts w:eastAsia="Times New Roman" w:cs="Times New Roman"/>
                <w:sz w:val="18"/>
                <w:szCs w:val="18"/>
                <w:lang w:val="en-AU" w:eastAsia="en-AU"/>
              </w:rPr>
              <w:t>rment, including ethnic minorities</w:t>
            </w:r>
          </w:p>
        </w:tc>
        <w:tc>
          <w:tcPr>
            <w:tcW w:w="1153" w:type="dxa"/>
            <w:tcBorders>
              <w:top w:val="nil"/>
              <w:left w:val="nil"/>
              <w:bottom w:val="nil"/>
              <w:right w:val="nil"/>
            </w:tcBorders>
            <w:shd w:val="clear" w:color="auto" w:fill="auto"/>
            <w:noWrap/>
            <w:vAlign w:val="center"/>
            <w:hideMark/>
          </w:tcPr>
          <w:p w:rsidR="0086193D" w:rsidRPr="00A3623F" w:rsidRDefault="0086193D" w:rsidP="00CB0572">
            <w:pPr>
              <w:suppressAutoHyphens w:val="0"/>
              <w:spacing w:before="0" w:after="0" w:line="240" w:lineRule="auto"/>
              <w:jc w:val="center"/>
              <w:rPr>
                <w:rFonts w:eastAsia="Times New Roman" w:cs="Times New Roman"/>
                <w:sz w:val="18"/>
                <w:szCs w:val="18"/>
                <w:lang w:val="en-AU" w:eastAsia="en-AU"/>
              </w:rPr>
            </w:pPr>
            <w:r w:rsidRPr="00A3623F">
              <w:rPr>
                <w:rFonts w:eastAsia="Times New Roman" w:cs="Times New Roman"/>
                <w:sz w:val="18"/>
                <w:szCs w:val="18"/>
                <w:lang w:val="en-AU" w:eastAsia="en-AU"/>
              </w:rPr>
              <w:t>5.10</w:t>
            </w:r>
          </w:p>
        </w:tc>
        <w:tc>
          <w:tcPr>
            <w:tcW w:w="1417" w:type="dxa"/>
            <w:tcBorders>
              <w:top w:val="nil"/>
              <w:left w:val="nil"/>
              <w:bottom w:val="nil"/>
              <w:right w:val="nil"/>
            </w:tcBorders>
            <w:shd w:val="clear" w:color="auto" w:fill="auto"/>
            <w:noWrap/>
            <w:vAlign w:val="center"/>
            <w:hideMark/>
          </w:tcPr>
          <w:p w:rsidR="0086193D" w:rsidRPr="00A3623F" w:rsidRDefault="0086193D" w:rsidP="00CB0572">
            <w:pPr>
              <w:suppressAutoHyphens w:val="0"/>
              <w:spacing w:before="0" w:after="0" w:line="240" w:lineRule="auto"/>
              <w:jc w:val="center"/>
              <w:rPr>
                <w:rFonts w:eastAsia="Times New Roman" w:cs="Times New Roman"/>
                <w:sz w:val="18"/>
                <w:szCs w:val="18"/>
                <w:lang w:val="en-AU" w:eastAsia="en-AU"/>
              </w:rPr>
            </w:pPr>
            <w:r w:rsidRPr="00A3623F">
              <w:rPr>
                <w:rFonts w:eastAsia="Times New Roman" w:cs="Times New Roman"/>
                <w:sz w:val="18"/>
                <w:szCs w:val="18"/>
                <w:lang w:val="en-AU" w:eastAsia="en-AU"/>
              </w:rPr>
              <w:t>6%</w:t>
            </w:r>
          </w:p>
        </w:tc>
      </w:tr>
      <w:tr w:rsidR="0086193D" w:rsidRPr="00A3623F" w:rsidTr="00BC4C11">
        <w:trPr>
          <w:trHeight w:val="396"/>
        </w:trPr>
        <w:tc>
          <w:tcPr>
            <w:tcW w:w="7069" w:type="dxa"/>
            <w:tcBorders>
              <w:top w:val="nil"/>
              <w:left w:val="nil"/>
              <w:bottom w:val="nil"/>
              <w:right w:val="nil"/>
            </w:tcBorders>
            <w:shd w:val="clear" w:color="auto" w:fill="auto"/>
            <w:noWrap/>
            <w:vAlign w:val="center"/>
            <w:hideMark/>
          </w:tcPr>
          <w:p w:rsidR="0086193D" w:rsidRPr="00A3623F" w:rsidRDefault="0086193D" w:rsidP="00CB0572">
            <w:pPr>
              <w:suppressAutoHyphens w:val="0"/>
              <w:spacing w:before="0" w:after="0" w:line="240" w:lineRule="auto"/>
              <w:rPr>
                <w:rFonts w:eastAsia="Times New Roman" w:cs="Times New Roman"/>
                <w:b/>
                <w:bCs/>
                <w:i/>
                <w:iCs/>
                <w:sz w:val="18"/>
                <w:szCs w:val="18"/>
                <w:lang w:val="en-AU" w:eastAsia="en-AU"/>
              </w:rPr>
            </w:pPr>
            <w:r w:rsidRPr="00A3623F">
              <w:rPr>
                <w:rFonts w:eastAsia="Times New Roman" w:cs="Times New Roman"/>
                <w:b/>
                <w:bCs/>
                <w:i/>
                <w:iCs/>
                <w:sz w:val="18"/>
                <w:szCs w:val="18"/>
                <w:lang w:val="en-AU" w:eastAsia="en-AU"/>
              </w:rPr>
              <w:t>Sub-Total Bilateral</w:t>
            </w:r>
          </w:p>
        </w:tc>
        <w:tc>
          <w:tcPr>
            <w:tcW w:w="1153" w:type="dxa"/>
            <w:tcBorders>
              <w:top w:val="nil"/>
              <w:left w:val="nil"/>
              <w:bottom w:val="nil"/>
              <w:right w:val="nil"/>
            </w:tcBorders>
            <w:shd w:val="clear" w:color="auto" w:fill="auto"/>
            <w:noWrap/>
            <w:vAlign w:val="center"/>
            <w:hideMark/>
          </w:tcPr>
          <w:p w:rsidR="0086193D" w:rsidRPr="00A3623F" w:rsidRDefault="0086193D" w:rsidP="00CB0572">
            <w:pPr>
              <w:suppressAutoHyphens w:val="0"/>
              <w:spacing w:before="0" w:after="0" w:line="240" w:lineRule="auto"/>
              <w:jc w:val="center"/>
              <w:rPr>
                <w:rFonts w:eastAsia="Times New Roman" w:cs="Times New Roman"/>
                <w:b/>
                <w:bCs/>
                <w:i/>
                <w:sz w:val="18"/>
                <w:szCs w:val="18"/>
                <w:lang w:val="en-AU" w:eastAsia="en-AU"/>
              </w:rPr>
            </w:pPr>
            <w:r w:rsidRPr="00A3623F">
              <w:rPr>
                <w:rFonts w:eastAsia="Times New Roman" w:cs="Times New Roman"/>
                <w:b/>
                <w:bCs/>
                <w:i/>
                <w:sz w:val="18"/>
                <w:szCs w:val="18"/>
                <w:lang w:val="en-AU" w:eastAsia="en-AU"/>
              </w:rPr>
              <w:t>56.30</w:t>
            </w:r>
          </w:p>
        </w:tc>
        <w:tc>
          <w:tcPr>
            <w:tcW w:w="1417" w:type="dxa"/>
            <w:tcBorders>
              <w:top w:val="nil"/>
              <w:left w:val="nil"/>
              <w:bottom w:val="nil"/>
              <w:right w:val="nil"/>
            </w:tcBorders>
            <w:shd w:val="clear" w:color="auto" w:fill="auto"/>
            <w:noWrap/>
            <w:vAlign w:val="center"/>
            <w:hideMark/>
          </w:tcPr>
          <w:p w:rsidR="0086193D" w:rsidRPr="00A3623F" w:rsidRDefault="0086193D" w:rsidP="00CB0572">
            <w:pPr>
              <w:suppressAutoHyphens w:val="0"/>
              <w:spacing w:before="0" w:after="0" w:line="240" w:lineRule="auto"/>
              <w:jc w:val="center"/>
              <w:rPr>
                <w:rFonts w:eastAsia="Times New Roman" w:cs="Times New Roman"/>
                <w:b/>
                <w:bCs/>
                <w:i/>
                <w:sz w:val="18"/>
                <w:szCs w:val="18"/>
                <w:lang w:val="en-AU" w:eastAsia="en-AU"/>
              </w:rPr>
            </w:pPr>
            <w:r w:rsidRPr="00A3623F">
              <w:rPr>
                <w:rFonts w:eastAsia="Times New Roman" w:cs="Times New Roman"/>
                <w:b/>
                <w:bCs/>
                <w:i/>
                <w:sz w:val="18"/>
                <w:szCs w:val="18"/>
                <w:lang w:val="en-AU" w:eastAsia="en-AU"/>
              </w:rPr>
              <w:t>69%</w:t>
            </w:r>
          </w:p>
        </w:tc>
      </w:tr>
      <w:tr w:rsidR="0086193D" w:rsidRPr="00A3623F" w:rsidTr="00BC4C11">
        <w:trPr>
          <w:trHeight w:val="300"/>
        </w:trPr>
        <w:tc>
          <w:tcPr>
            <w:tcW w:w="7069" w:type="dxa"/>
            <w:tcBorders>
              <w:top w:val="nil"/>
              <w:left w:val="nil"/>
              <w:bottom w:val="nil"/>
              <w:right w:val="nil"/>
            </w:tcBorders>
            <w:shd w:val="clear" w:color="auto" w:fill="auto"/>
            <w:vAlign w:val="center"/>
            <w:hideMark/>
          </w:tcPr>
          <w:p w:rsidR="0086193D" w:rsidRPr="00A3623F" w:rsidRDefault="0086193D" w:rsidP="00CB0572">
            <w:pPr>
              <w:suppressAutoHyphens w:val="0"/>
              <w:spacing w:before="0" w:after="0" w:line="240" w:lineRule="auto"/>
              <w:rPr>
                <w:rFonts w:eastAsia="Times New Roman" w:cs="Times New Roman"/>
                <w:sz w:val="18"/>
                <w:szCs w:val="18"/>
                <w:lang w:val="en-AU" w:eastAsia="en-AU"/>
              </w:rPr>
            </w:pPr>
            <w:r w:rsidRPr="00A3623F">
              <w:rPr>
                <w:rFonts w:eastAsia="Times New Roman" w:cs="Times New Roman"/>
                <w:sz w:val="18"/>
                <w:szCs w:val="18"/>
                <w:lang w:val="en-AU" w:eastAsia="en-AU"/>
              </w:rPr>
              <w:t>Regional and Global</w:t>
            </w:r>
          </w:p>
        </w:tc>
        <w:tc>
          <w:tcPr>
            <w:tcW w:w="1153" w:type="dxa"/>
            <w:tcBorders>
              <w:top w:val="nil"/>
              <w:left w:val="nil"/>
              <w:bottom w:val="nil"/>
              <w:right w:val="nil"/>
            </w:tcBorders>
            <w:shd w:val="clear" w:color="auto" w:fill="auto"/>
            <w:noWrap/>
            <w:vAlign w:val="center"/>
            <w:hideMark/>
          </w:tcPr>
          <w:p w:rsidR="0086193D" w:rsidRPr="00A3623F" w:rsidRDefault="0086193D" w:rsidP="00CB0572">
            <w:pPr>
              <w:suppressAutoHyphens w:val="0"/>
              <w:spacing w:before="0" w:after="0" w:line="240" w:lineRule="auto"/>
              <w:jc w:val="center"/>
              <w:rPr>
                <w:rFonts w:eastAsia="Times New Roman" w:cs="Times New Roman"/>
                <w:sz w:val="18"/>
                <w:szCs w:val="18"/>
                <w:lang w:val="en-AU" w:eastAsia="en-AU"/>
              </w:rPr>
            </w:pPr>
            <w:r w:rsidRPr="00A3623F">
              <w:rPr>
                <w:rFonts w:eastAsia="Times New Roman" w:cs="Times New Roman"/>
                <w:sz w:val="18"/>
                <w:szCs w:val="18"/>
                <w:lang w:val="en-AU" w:eastAsia="en-AU"/>
              </w:rPr>
              <w:t>20.00</w:t>
            </w:r>
          </w:p>
        </w:tc>
        <w:tc>
          <w:tcPr>
            <w:tcW w:w="1417" w:type="dxa"/>
            <w:tcBorders>
              <w:top w:val="nil"/>
              <w:left w:val="nil"/>
              <w:bottom w:val="nil"/>
              <w:right w:val="nil"/>
            </w:tcBorders>
            <w:shd w:val="clear" w:color="auto" w:fill="auto"/>
            <w:noWrap/>
            <w:vAlign w:val="center"/>
            <w:hideMark/>
          </w:tcPr>
          <w:p w:rsidR="0086193D" w:rsidRPr="00A3623F" w:rsidRDefault="0086193D" w:rsidP="00CB0572">
            <w:pPr>
              <w:suppressAutoHyphens w:val="0"/>
              <w:spacing w:before="0" w:after="0" w:line="240" w:lineRule="auto"/>
              <w:jc w:val="center"/>
              <w:rPr>
                <w:rFonts w:eastAsia="Times New Roman" w:cs="Times New Roman"/>
                <w:sz w:val="18"/>
                <w:szCs w:val="18"/>
                <w:lang w:val="en-AU" w:eastAsia="en-AU"/>
              </w:rPr>
            </w:pPr>
            <w:r w:rsidRPr="00A3623F">
              <w:rPr>
                <w:rFonts w:eastAsia="Times New Roman" w:cs="Times New Roman"/>
                <w:sz w:val="18"/>
                <w:szCs w:val="18"/>
                <w:lang w:val="en-AU" w:eastAsia="en-AU"/>
              </w:rPr>
              <w:t>24%</w:t>
            </w:r>
          </w:p>
        </w:tc>
      </w:tr>
      <w:tr w:rsidR="0086193D" w:rsidRPr="00A3623F" w:rsidTr="00BC4C11">
        <w:trPr>
          <w:trHeight w:val="300"/>
        </w:trPr>
        <w:tc>
          <w:tcPr>
            <w:tcW w:w="7069" w:type="dxa"/>
            <w:tcBorders>
              <w:top w:val="nil"/>
              <w:left w:val="nil"/>
              <w:right w:val="nil"/>
            </w:tcBorders>
            <w:shd w:val="clear" w:color="auto" w:fill="auto"/>
            <w:vAlign w:val="center"/>
            <w:hideMark/>
          </w:tcPr>
          <w:p w:rsidR="0086193D" w:rsidRPr="00A3623F" w:rsidRDefault="0086193D" w:rsidP="00CB0572">
            <w:pPr>
              <w:suppressAutoHyphens w:val="0"/>
              <w:spacing w:before="0" w:after="0" w:line="240" w:lineRule="auto"/>
              <w:rPr>
                <w:rFonts w:eastAsia="Times New Roman" w:cs="Times New Roman"/>
                <w:sz w:val="18"/>
                <w:szCs w:val="18"/>
                <w:lang w:val="en-AU" w:eastAsia="en-AU"/>
              </w:rPr>
            </w:pPr>
            <w:r w:rsidRPr="00A3623F">
              <w:rPr>
                <w:rFonts w:eastAsia="Times New Roman" w:cs="Times New Roman"/>
                <w:sz w:val="18"/>
                <w:szCs w:val="18"/>
                <w:lang w:val="en-AU" w:eastAsia="en-AU"/>
              </w:rPr>
              <w:t>Other Government Departments</w:t>
            </w:r>
          </w:p>
        </w:tc>
        <w:tc>
          <w:tcPr>
            <w:tcW w:w="1153" w:type="dxa"/>
            <w:tcBorders>
              <w:top w:val="nil"/>
              <w:left w:val="nil"/>
              <w:right w:val="nil"/>
            </w:tcBorders>
            <w:shd w:val="clear" w:color="auto" w:fill="auto"/>
            <w:noWrap/>
            <w:vAlign w:val="center"/>
            <w:hideMark/>
          </w:tcPr>
          <w:p w:rsidR="0086193D" w:rsidRPr="00A3623F" w:rsidRDefault="0086193D" w:rsidP="00CB0572">
            <w:pPr>
              <w:suppressAutoHyphens w:val="0"/>
              <w:spacing w:before="0" w:after="0" w:line="240" w:lineRule="auto"/>
              <w:jc w:val="center"/>
              <w:rPr>
                <w:rFonts w:eastAsia="Times New Roman" w:cs="Times New Roman"/>
                <w:sz w:val="18"/>
                <w:szCs w:val="18"/>
                <w:lang w:val="en-AU" w:eastAsia="en-AU"/>
              </w:rPr>
            </w:pPr>
            <w:r w:rsidRPr="00A3623F">
              <w:rPr>
                <w:rFonts w:eastAsia="Times New Roman" w:cs="Times New Roman"/>
                <w:sz w:val="18"/>
                <w:szCs w:val="18"/>
                <w:lang w:val="en-AU" w:eastAsia="en-AU"/>
              </w:rPr>
              <w:t>5.70</w:t>
            </w:r>
          </w:p>
        </w:tc>
        <w:tc>
          <w:tcPr>
            <w:tcW w:w="1417" w:type="dxa"/>
            <w:tcBorders>
              <w:top w:val="nil"/>
              <w:left w:val="nil"/>
              <w:right w:val="nil"/>
            </w:tcBorders>
            <w:shd w:val="clear" w:color="auto" w:fill="auto"/>
            <w:noWrap/>
            <w:vAlign w:val="center"/>
            <w:hideMark/>
          </w:tcPr>
          <w:p w:rsidR="0086193D" w:rsidRPr="00A3623F" w:rsidRDefault="0086193D" w:rsidP="00CB0572">
            <w:pPr>
              <w:suppressAutoHyphens w:val="0"/>
              <w:spacing w:before="0" w:after="0" w:line="240" w:lineRule="auto"/>
              <w:jc w:val="center"/>
              <w:rPr>
                <w:rFonts w:eastAsia="Times New Roman" w:cs="Times New Roman"/>
                <w:sz w:val="18"/>
                <w:szCs w:val="18"/>
                <w:lang w:val="en-AU" w:eastAsia="en-AU"/>
              </w:rPr>
            </w:pPr>
            <w:r w:rsidRPr="00A3623F">
              <w:rPr>
                <w:rFonts w:eastAsia="Times New Roman" w:cs="Times New Roman"/>
                <w:sz w:val="18"/>
                <w:szCs w:val="18"/>
                <w:lang w:val="en-AU" w:eastAsia="en-AU"/>
              </w:rPr>
              <w:t>7%</w:t>
            </w:r>
          </w:p>
        </w:tc>
      </w:tr>
      <w:tr w:rsidR="0086193D" w:rsidRPr="00A3623F" w:rsidTr="00BC4C11">
        <w:trPr>
          <w:trHeight w:val="396"/>
        </w:trPr>
        <w:tc>
          <w:tcPr>
            <w:tcW w:w="7069" w:type="dxa"/>
            <w:tcBorders>
              <w:top w:val="nil"/>
              <w:left w:val="nil"/>
              <w:bottom w:val="single" w:sz="4" w:space="0" w:color="auto"/>
              <w:right w:val="nil"/>
            </w:tcBorders>
            <w:shd w:val="clear" w:color="auto" w:fill="auto"/>
            <w:noWrap/>
            <w:vAlign w:val="center"/>
            <w:hideMark/>
          </w:tcPr>
          <w:p w:rsidR="0086193D" w:rsidRPr="00A3623F" w:rsidRDefault="0086193D" w:rsidP="00CB0572">
            <w:pPr>
              <w:suppressAutoHyphens w:val="0"/>
              <w:spacing w:before="0" w:after="0" w:line="240" w:lineRule="auto"/>
              <w:rPr>
                <w:rFonts w:eastAsia="Times New Roman" w:cs="Times New Roman"/>
                <w:b/>
                <w:bCs/>
                <w:sz w:val="18"/>
                <w:szCs w:val="18"/>
                <w:lang w:val="en-AU" w:eastAsia="en-AU"/>
              </w:rPr>
            </w:pPr>
            <w:r w:rsidRPr="00A3623F">
              <w:rPr>
                <w:rFonts w:eastAsia="Times New Roman" w:cs="Times New Roman"/>
                <w:b/>
                <w:bCs/>
                <w:sz w:val="18"/>
                <w:szCs w:val="18"/>
                <w:lang w:val="en-AU" w:eastAsia="en-AU"/>
              </w:rPr>
              <w:t>Total ODA Expenditure</w:t>
            </w:r>
          </w:p>
        </w:tc>
        <w:tc>
          <w:tcPr>
            <w:tcW w:w="1153" w:type="dxa"/>
            <w:tcBorders>
              <w:top w:val="nil"/>
              <w:left w:val="nil"/>
              <w:bottom w:val="single" w:sz="4" w:space="0" w:color="auto"/>
              <w:right w:val="nil"/>
            </w:tcBorders>
            <w:shd w:val="clear" w:color="auto" w:fill="auto"/>
            <w:noWrap/>
            <w:vAlign w:val="center"/>
            <w:hideMark/>
          </w:tcPr>
          <w:p w:rsidR="0086193D" w:rsidRPr="00A3623F" w:rsidRDefault="0086193D" w:rsidP="00CB0572">
            <w:pPr>
              <w:suppressAutoHyphens w:val="0"/>
              <w:spacing w:before="0" w:after="0" w:line="240" w:lineRule="auto"/>
              <w:jc w:val="center"/>
              <w:rPr>
                <w:rFonts w:eastAsia="Times New Roman" w:cs="Times New Roman"/>
                <w:b/>
                <w:bCs/>
                <w:sz w:val="18"/>
                <w:szCs w:val="18"/>
                <w:lang w:val="en-AU" w:eastAsia="en-AU"/>
              </w:rPr>
            </w:pPr>
            <w:r w:rsidRPr="00A3623F">
              <w:rPr>
                <w:rFonts w:eastAsia="Times New Roman" w:cs="Times New Roman"/>
                <w:b/>
                <w:bCs/>
                <w:sz w:val="18"/>
                <w:szCs w:val="18"/>
                <w:lang w:val="en-AU" w:eastAsia="en-AU"/>
              </w:rPr>
              <w:t>82.00</w:t>
            </w:r>
          </w:p>
        </w:tc>
        <w:tc>
          <w:tcPr>
            <w:tcW w:w="1417" w:type="dxa"/>
            <w:tcBorders>
              <w:top w:val="nil"/>
              <w:left w:val="nil"/>
              <w:bottom w:val="single" w:sz="4" w:space="0" w:color="auto"/>
              <w:right w:val="nil"/>
            </w:tcBorders>
            <w:shd w:val="clear" w:color="auto" w:fill="auto"/>
            <w:noWrap/>
            <w:vAlign w:val="center"/>
            <w:hideMark/>
          </w:tcPr>
          <w:p w:rsidR="0086193D" w:rsidRPr="00A3623F" w:rsidRDefault="0086193D" w:rsidP="00CB0572">
            <w:pPr>
              <w:suppressAutoHyphens w:val="0"/>
              <w:spacing w:before="0" w:after="0" w:line="240" w:lineRule="auto"/>
              <w:jc w:val="center"/>
              <w:rPr>
                <w:rFonts w:eastAsia="Times New Roman" w:cs="Times New Roman"/>
                <w:b/>
                <w:bCs/>
                <w:sz w:val="18"/>
                <w:szCs w:val="18"/>
                <w:lang w:val="en-AU" w:eastAsia="en-AU"/>
              </w:rPr>
            </w:pPr>
            <w:r w:rsidRPr="00A3623F">
              <w:rPr>
                <w:rFonts w:eastAsia="Times New Roman" w:cs="Times New Roman"/>
                <w:b/>
                <w:bCs/>
                <w:sz w:val="18"/>
                <w:szCs w:val="18"/>
                <w:lang w:val="en-AU" w:eastAsia="en-AU"/>
              </w:rPr>
              <w:t>100%</w:t>
            </w:r>
          </w:p>
        </w:tc>
      </w:tr>
    </w:tbl>
    <w:p w:rsidR="002A51CA" w:rsidRPr="002A51CA"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Progress towards </w:t>
      </w:r>
      <w:r w:rsidR="00162218">
        <w:rPr>
          <w:rFonts w:asciiTheme="majorHAnsi" w:eastAsiaTheme="majorEastAsia" w:hAnsiTheme="majorHAnsi" w:cstheme="majorBidi"/>
          <w:caps/>
          <w:color w:val="495965" w:themeColor="text2"/>
          <w:sz w:val="38"/>
          <w:szCs w:val="26"/>
          <w:lang w:val="en-GB" w:eastAsia="en-US"/>
        </w:rPr>
        <w:t xml:space="preserve">AIP </w:t>
      </w:r>
      <w:r w:rsidR="006F2817">
        <w:rPr>
          <w:rFonts w:asciiTheme="majorHAnsi" w:eastAsiaTheme="majorEastAsia" w:hAnsiTheme="majorHAnsi" w:cstheme="majorBidi"/>
          <w:caps/>
          <w:color w:val="495965" w:themeColor="text2"/>
          <w:sz w:val="38"/>
          <w:szCs w:val="26"/>
          <w:lang w:val="en-GB" w:eastAsia="en-US"/>
        </w:rPr>
        <w:t>Objectives</w:t>
      </w:r>
    </w:p>
    <w:p w:rsidR="00F16365" w:rsidRDefault="00EC38DB" w:rsidP="00F16365">
      <w:r w:rsidRPr="00A85500">
        <w:t>The amber rating for O</w:t>
      </w:r>
      <w:r w:rsidR="00BA347B" w:rsidRPr="00A85500">
        <w:t xml:space="preserve">bjective 1 reflects </w:t>
      </w:r>
      <w:r w:rsidR="00510BA4" w:rsidRPr="00A85500">
        <w:t xml:space="preserve">ongoing </w:t>
      </w:r>
      <w:r w:rsidR="00BA347B" w:rsidRPr="00A85500">
        <w:t xml:space="preserve">delays in </w:t>
      </w:r>
      <w:proofErr w:type="spellStart"/>
      <w:r w:rsidR="008D4FB4">
        <w:t>GoV</w:t>
      </w:r>
      <w:proofErr w:type="spellEnd"/>
      <w:r w:rsidR="00BA347B" w:rsidRPr="00A85500">
        <w:t xml:space="preserve"> approval processes </w:t>
      </w:r>
      <w:r w:rsidR="00510BA4" w:rsidRPr="00A85500">
        <w:t xml:space="preserve">for the </w:t>
      </w:r>
      <w:r w:rsidR="005950EA">
        <w:rPr>
          <w:i/>
        </w:rPr>
        <w:t>Aus4W</w:t>
      </w:r>
      <w:r w:rsidR="00510BA4" w:rsidRPr="005950EA">
        <w:rPr>
          <w:i/>
        </w:rPr>
        <w:t>ater</w:t>
      </w:r>
      <w:r w:rsidR="00510BA4" w:rsidRPr="00A85500">
        <w:t xml:space="preserve"> program and difficulties in agreeing the modality for </w:t>
      </w:r>
      <w:r w:rsidR="005950EA">
        <w:rPr>
          <w:i/>
        </w:rPr>
        <w:t>Aus4I</w:t>
      </w:r>
      <w:r w:rsidR="00510BA4" w:rsidRPr="005950EA">
        <w:rPr>
          <w:i/>
        </w:rPr>
        <w:t>nnovation</w:t>
      </w:r>
      <w:r w:rsidR="00BA347B" w:rsidRPr="00A85500">
        <w:t>.</w:t>
      </w:r>
      <w:r w:rsidR="009228A2" w:rsidRPr="00A85500">
        <w:t xml:space="preserve"> Objective 2 has seen continued strong progress by </w:t>
      </w:r>
      <w:r w:rsidR="009228A2" w:rsidRPr="005950EA">
        <w:rPr>
          <w:i/>
        </w:rPr>
        <w:t>Aus4Skills</w:t>
      </w:r>
      <w:r w:rsidR="005950EA">
        <w:t xml:space="preserve"> and has retained a</w:t>
      </w:r>
      <w:r w:rsidR="009228A2" w:rsidRPr="00A85500">
        <w:t xml:space="preserve"> green rating. Objective 3 </w:t>
      </w:r>
      <w:r w:rsidR="005950EA">
        <w:t>saw</w:t>
      </w:r>
      <w:r w:rsidR="009228A2" w:rsidRPr="00A85500">
        <w:t xml:space="preserve"> a marked improvement with solid early results from </w:t>
      </w:r>
      <w:r w:rsidR="009228A2" w:rsidRPr="005950EA">
        <w:rPr>
          <w:i/>
        </w:rPr>
        <w:t>Aus4Equality</w:t>
      </w:r>
      <w:r w:rsidR="009228A2" w:rsidRPr="00A85500">
        <w:t xml:space="preserve"> and </w:t>
      </w:r>
      <w:r w:rsidR="009228A2" w:rsidRPr="00A3623F">
        <w:t>Investing in Women</w:t>
      </w:r>
      <w:r w:rsidR="005950EA">
        <w:t xml:space="preserve"> </w:t>
      </w:r>
      <w:r w:rsidR="009C248A">
        <w:t xml:space="preserve">(IW) </w:t>
      </w:r>
      <w:r w:rsidR="005950EA">
        <w:t>after</w:t>
      </w:r>
      <w:r w:rsidR="009228A2" w:rsidRPr="00A85500">
        <w:t xml:space="preserve"> lengthy delays to implementation</w:t>
      </w:r>
      <w:r w:rsidRPr="00A85500">
        <w:t xml:space="preserve"> in 2016-17</w:t>
      </w:r>
      <w:r w:rsidR="009228A2" w:rsidRPr="00A85500">
        <w:t>.</w:t>
      </w:r>
    </w:p>
    <w:p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2C6590">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5074" w:type="pct"/>
        <w:tblLook w:val="0000" w:firstRow="0" w:lastRow="0" w:firstColumn="0" w:lastColumn="0" w:noHBand="0" w:noVBand="0"/>
      </w:tblPr>
      <w:tblGrid>
        <w:gridCol w:w="6664"/>
        <w:gridCol w:w="1559"/>
        <w:gridCol w:w="1558"/>
      </w:tblGrid>
      <w:tr w:rsidR="00683F0A" w:rsidRPr="00A3623F" w:rsidTr="00A3623F">
        <w:trPr>
          <w:cnfStyle w:val="000000010000" w:firstRow="0" w:lastRow="0" w:firstColumn="0" w:lastColumn="0" w:oddVBand="0" w:evenVBand="0" w:oddHBand="0" w:evenHBand="1" w:firstRowFirstColumn="0" w:firstRowLastColumn="0" w:lastRowFirstColumn="0" w:lastRowLastColumn="0"/>
          <w:trHeight w:val="651"/>
        </w:trPr>
        <w:tc>
          <w:tcPr>
            <w:tcW w:w="6621" w:type="dxa"/>
          </w:tcPr>
          <w:p w:rsidR="00DA040F" w:rsidRPr="00A3623F" w:rsidRDefault="00DA040F" w:rsidP="00A3623F">
            <w:pPr>
              <w:pStyle w:val="NormalIndented"/>
              <w:ind w:left="0"/>
              <w:rPr>
                <w:rFonts w:asciiTheme="minorHAnsi" w:hAnsiTheme="minorHAnsi"/>
                <w:b/>
                <w:sz w:val="18"/>
                <w:szCs w:val="18"/>
                <w:lang w:eastAsia="en-US"/>
              </w:rPr>
            </w:pPr>
            <w:r w:rsidRPr="00A3623F">
              <w:rPr>
                <w:b/>
                <w:noProof/>
                <w:sz w:val="18"/>
                <w:szCs w:val="18"/>
                <w:lang w:val="en-AU"/>
              </w:rPr>
              <w:drawing>
                <wp:anchor distT="0" distB="0" distL="114300" distR="114300" simplePos="0" relativeHeight="251685888" behindDoc="0" locked="0" layoutInCell="1" allowOverlap="1" wp14:anchorId="7868BB94" wp14:editId="64F10EE1">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23F">
              <w:rPr>
                <w:rFonts w:asciiTheme="minorHAnsi" w:hAnsiTheme="minorHAnsi"/>
                <w:b/>
                <w:sz w:val="18"/>
                <w:szCs w:val="18"/>
                <w:lang w:eastAsia="en-US"/>
              </w:rPr>
              <w:t>Objective</w:t>
            </w:r>
          </w:p>
        </w:tc>
        <w:tc>
          <w:tcPr>
            <w:tcW w:w="1531" w:type="dxa"/>
          </w:tcPr>
          <w:p w:rsidR="00DA040F" w:rsidRPr="00A3623F" w:rsidRDefault="00DA040F" w:rsidP="00BE6C6D">
            <w:pPr>
              <w:pStyle w:val="NormalIndented"/>
              <w:rPr>
                <w:rFonts w:asciiTheme="minorHAnsi" w:hAnsiTheme="minorHAnsi"/>
                <w:b/>
                <w:sz w:val="18"/>
                <w:szCs w:val="18"/>
                <w:lang w:eastAsia="en-US"/>
              </w:rPr>
            </w:pPr>
            <w:r w:rsidRPr="00A3623F">
              <w:rPr>
                <w:rFonts w:asciiTheme="minorHAnsi" w:hAnsiTheme="minorHAnsi"/>
                <w:b/>
                <w:sz w:val="18"/>
                <w:szCs w:val="18"/>
                <w:lang w:eastAsia="en-US"/>
              </w:rPr>
              <w:t>Previous Rating</w:t>
            </w:r>
          </w:p>
        </w:tc>
        <w:tc>
          <w:tcPr>
            <w:tcW w:w="1516" w:type="dxa"/>
          </w:tcPr>
          <w:p w:rsidR="00DA040F" w:rsidRPr="00A3623F" w:rsidRDefault="00DA040F" w:rsidP="00BE6C6D">
            <w:pPr>
              <w:pStyle w:val="NormalIndented"/>
              <w:rPr>
                <w:rFonts w:asciiTheme="minorHAnsi" w:hAnsiTheme="minorHAnsi"/>
                <w:b/>
                <w:sz w:val="18"/>
                <w:szCs w:val="18"/>
                <w:lang w:eastAsia="en-US"/>
              </w:rPr>
            </w:pPr>
            <w:r w:rsidRPr="00A3623F">
              <w:rPr>
                <w:rFonts w:asciiTheme="minorHAnsi" w:hAnsiTheme="minorHAnsi"/>
                <w:b/>
                <w:sz w:val="18"/>
                <w:szCs w:val="18"/>
                <w:lang w:eastAsia="en-US"/>
              </w:rPr>
              <w:t>Current Rating</w:t>
            </w:r>
          </w:p>
        </w:tc>
      </w:tr>
      <w:tr w:rsidR="00683F0A" w:rsidRPr="00A3623F" w:rsidTr="00A3623F">
        <w:trPr>
          <w:cnfStyle w:val="000000010000" w:firstRow="0" w:lastRow="0" w:firstColumn="0" w:lastColumn="0" w:oddVBand="0" w:evenVBand="0" w:oddHBand="0" w:evenHBand="1" w:firstRowFirstColumn="0" w:firstRowLastColumn="0" w:lastRowFirstColumn="0" w:lastRowLastColumn="0"/>
          <w:trHeight w:val="340"/>
        </w:trPr>
        <w:tc>
          <w:tcPr>
            <w:tcW w:w="6621" w:type="dxa"/>
            <w:vAlign w:val="center"/>
          </w:tcPr>
          <w:p w:rsidR="00DA040F" w:rsidRPr="00A3623F" w:rsidRDefault="00DA040F" w:rsidP="00A3623F">
            <w:pPr>
              <w:pStyle w:val="NormalIndented"/>
              <w:ind w:left="0"/>
              <w:rPr>
                <w:rFonts w:asciiTheme="minorHAnsi" w:hAnsiTheme="minorHAnsi"/>
                <w:sz w:val="18"/>
                <w:szCs w:val="18"/>
                <w:lang w:eastAsia="en-US"/>
              </w:rPr>
            </w:pPr>
            <w:r w:rsidRPr="00A3623F">
              <w:rPr>
                <w:rFonts w:asciiTheme="minorHAnsi" w:hAnsiTheme="minorHAnsi"/>
                <w:sz w:val="18"/>
                <w:szCs w:val="18"/>
                <w:lang w:eastAsia="en-US"/>
              </w:rPr>
              <w:t>Objective 1</w:t>
            </w:r>
            <w:r w:rsidR="00BA347B" w:rsidRPr="00A3623F">
              <w:rPr>
                <w:rFonts w:asciiTheme="minorHAnsi" w:eastAsiaTheme="majorEastAsia" w:hAnsiTheme="minorHAnsi" w:cstheme="majorBidi"/>
                <w:caps/>
                <w:sz w:val="18"/>
                <w:szCs w:val="18"/>
                <w:lang w:eastAsia="en-US"/>
              </w:rPr>
              <w:t xml:space="preserve"> - </w:t>
            </w:r>
            <w:r w:rsidR="00BA347B" w:rsidRPr="00A3623F">
              <w:rPr>
                <w:rFonts w:asciiTheme="minorHAnsi" w:hAnsiTheme="minorHAnsi"/>
                <w:sz w:val="18"/>
                <w:szCs w:val="18"/>
                <w:lang w:eastAsia="en-US"/>
              </w:rPr>
              <w:t>Enabling and engaging the private sector for development</w:t>
            </w:r>
          </w:p>
        </w:tc>
        <w:tc>
          <w:tcPr>
            <w:tcW w:w="1531" w:type="dxa"/>
            <w:shd w:val="clear" w:color="auto" w:fill="72AF2F"/>
            <w:noWrap/>
            <w:vAlign w:val="center"/>
          </w:tcPr>
          <w:p w:rsidR="00DA040F" w:rsidRPr="00A3623F" w:rsidRDefault="00DA040F" w:rsidP="00BE6C6D">
            <w:pPr>
              <w:pStyle w:val="NormalIndented"/>
              <w:rPr>
                <w:rFonts w:asciiTheme="minorHAnsi" w:hAnsiTheme="minorHAnsi"/>
                <w:color w:val="FFFFFF" w:themeColor="background1"/>
                <w:sz w:val="18"/>
                <w:szCs w:val="18"/>
                <w:lang w:eastAsia="en-US"/>
              </w:rPr>
            </w:pPr>
            <w:r w:rsidRPr="00A3623F">
              <w:rPr>
                <w:rFonts w:asciiTheme="minorHAnsi" w:hAnsiTheme="minorHAnsi"/>
                <w:color w:val="FFFFFF" w:themeColor="background1"/>
                <w:sz w:val="18"/>
                <w:szCs w:val="18"/>
                <w:lang w:eastAsia="en-US"/>
              </w:rPr>
              <w:t>Green</w:t>
            </w:r>
          </w:p>
        </w:tc>
        <w:tc>
          <w:tcPr>
            <w:tcW w:w="1516" w:type="dxa"/>
            <w:shd w:val="clear" w:color="auto" w:fill="E36C0A"/>
            <w:noWrap/>
            <w:vAlign w:val="center"/>
          </w:tcPr>
          <w:p w:rsidR="00DA040F" w:rsidRPr="00A3623F" w:rsidRDefault="00DA040F" w:rsidP="00BE6C6D">
            <w:pPr>
              <w:pStyle w:val="NormalIndented"/>
              <w:rPr>
                <w:rFonts w:asciiTheme="minorHAnsi" w:hAnsiTheme="minorHAnsi"/>
                <w:color w:val="FFFFFF" w:themeColor="background1"/>
                <w:sz w:val="18"/>
                <w:szCs w:val="18"/>
                <w:lang w:eastAsia="en-US"/>
              </w:rPr>
            </w:pPr>
            <w:r w:rsidRPr="00A3623F">
              <w:rPr>
                <w:rFonts w:asciiTheme="minorHAnsi" w:hAnsiTheme="minorHAnsi"/>
                <w:color w:val="FFFFFF" w:themeColor="background1"/>
                <w:sz w:val="18"/>
                <w:szCs w:val="18"/>
                <w:lang w:eastAsia="en-US"/>
              </w:rPr>
              <w:t>Amber</w:t>
            </w:r>
          </w:p>
        </w:tc>
      </w:tr>
      <w:tr w:rsidR="00683F0A" w:rsidRPr="00A3623F" w:rsidTr="00A3623F">
        <w:trPr>
          <w:cnfStyle w:val="000000010000" w:firstRow="0" w:lastRow="0" w:firstColumn="0" w:lastColumn="0" w:oddVBand="0" w:evenVBand="0" w:oddHBand="0" w:evenHBand="1" w:firstRowFirstColumn="0" w:firstRowLastColumn="0" w:lastRowFirstColumn="0" w:lastRowLastColumn="0"/>
          <w:trHeight w:val="340"/>
        </w:trPr>
        <w:tc>
          <w:tcPr>
            <w:tcW w:w="6621" w:type="dxa"/>
            <w:vAlign w:val="center"/>
          </w:tcPr>
          <w:p w:rsidR="005B2A85" w:rsidRPr="00A3623F" w:rsidRDefault="005B2A85" w:rsidP="00A3623F">
            <w:pPr>
              <w:pStyle w:val="NormalIndented"/>
              <w:ind w:left="0"/>
              <w:rPr>
                <w:rFonts w:asciiTheme="minorHAnsi" w:hAnsiTheme="minorHAnsi"/>
                <w:sz w:val="18"/>
                <w:szCs w:val="18"/>
                <w:lang w:eastAsia="en-US"/>
              </w:rPr>
            </w:pPr>
            <w:r w:rsidRPr="00A3623F">
              <w:rPr>
                <w:rFonts w:asciiTheme="minorHAnsi" w:hAnsiTheme="minorHAnsi"/>
                <w:sz w:val="18"/>
                <w:szCs w:val="18"/>
                <w:lang w:eastAsia="en-US"/>
              </w:rPr>
              <w:t>Objective 2</w:t>
            </w:r>
            <w:r w:rsidR="00BA347B" w:rsidRPr="00A3623F">
              <w:rPr>
                <w:rFonts w:asciiTheme="minorHAnsi" w:hAnsiTheme="minorHAnsi"/>
                <w:sz w:val="18"/>
                <w:szCs w:val="18"/>
                <w:lang w:eastAsia="en-US"/>
              </w:rPr>
              <w:t xml:space="preserve"> - Assisting the development and employment of a highly skilled workforce</w:t>
            </w:r>
          </w:p>
        </w:tc>
        <w:tc>
          <w:tcPr>
            <w:tcW w:w="1531" w:type="dxa"/>
            <w:shd w:val="clear" w:color="auto" w:fill="72AF2F"/>
            <w:noWrap/>
            <w:vAlign w:val="center"/>
          </w:tcPr>
          <w:p w:rsidR="005B2A85" w:rsidRPr="00A3623F" w:rsidRDefault="005B2A85" w:rsidP="005B2A85">
            <w:pPr>
              <w:pStyle w:val="NormalIndented"/>
              <w:rPr>
                <w:rFonts w:asciiTheme="minorHAnsi" w:hAnsiTheme="minorHAnsi"/>
                <w:color w:val="FFFFFF" w:themeColor="background1"/>
                <w:sz w:val="18"/>
                <w:szCs w:val="18"/>
                <w:lang w:eastAsia="en-US"/>
              </w:rPr>
            </w:pPr>
            <w:r w:rsidRPr="00A3623F">
              <w:rPr>
                <w:rFonts w:asciiTheme="minorHAnsi" w:hAnsiTheme="minorHAnsi"/>
                <w:color w:val="FFFFFF" w:themeColor="background1"/>
                <w:sz w:val="18"/>
                <w:szCs w:val="18"/>
                <w:lang w:eastAsia="en-US"/>
              </w:rPr>
              <w:t>Green</w:t>
            </w:r>
          </w:p>
        </w:tc>
        <w:tc>
          <w:tcPr>
            <w:tcW w:w="1516" w:type="dxa"/>
            <w:shd w:val="clear" w:color="auto" w:fill="72AF2F"/>
            <w:noWrap/>
            <w:vAlign w:val="center"/>
          </w:tcPr>
          <w:p w:rsidR="00510BA4" w:rsidRPr="00A3623F" w:rsidRDefault="005B2A85" w:rsidP="00510BA4">
            <w:pPr>
              <w:pStyle w:val="NormalIndented"/>
              <w:rPr>
                <w:rFonts w:asciiTheme="minorHAnsi" w:hAnsiTheme="minorHAnsi"/>
                <w:color w:val="FFFFFF" w:themeColor="background1"/>
                <w:sz w:val="18"/>
                <w:szCs w:val="18"/>
                <w:lang w:eastAsia="en-US"/>
              </w:rPr>
            </w:pPr>
            <w:r w:rsidRPr="00A3623F">
              <w:rPr>
                <w:rFonts w:asciiTheme="minorHAnsi" w:hAnsiTheme="minorHAnsi"/>
                <w:color w:val="FFFFFF" w:themeColor="background1"/>
                <w:sz w:val="18"/>
                <w:szCs w:val="18"/>
                <w:lang w:eastAsia="en-US"/>
              </w:rPr>
              <w:t>Green</w:t>
            </w:r>
          </w:p>
        </w:tc>
      </w:tr>
      <w:tr w:rsidR="00683F0A" w:rsidRPr="00A3623F" w:rsidTr="00A3623F">
        <w:trPr>
          <w:cnfStyle w:val="000000010000" w:firstRow="0" w:lastRow="0" w:firstColumn="0" w:lastColumn="0" w:oddVBand="0" w:evenVBand="0" w:oddHBand="0" w:evenHBand="1" w:firstRowFirstColumn="0" w:firstRowLastColumn="0" w:lastRowFirstColumn="0" w:lastRowLastColumn="0"/>
          <w:trHeight w:val="340"/>
        </w:trPr>
        <w:tc>
          <w:tcPr>
            <w:tcW w:w="6621" w:type="dxa"/>
            <w:vAlign w:val="center"/>
          </w:tcPr>
          <w:p w:rsidR="00510BA4" w:rsidRPr="00A3623F" w:rsidRDefault="00510BA4" w:rsidP="00A3623F">
            <w:pPr>
              <w:pStyle w:val="NormalIndented"/>
              <w:ind w:left="0"/>
              <w:rPr>
                <w:rFonts w:asciiTheme="minorHAnsi" w:hAnsiTheme="minorHAnsi"/>
                <w:sz w:val="18"/>
                <w:szCs w:val="18"/>
                <w:lang w:eastAsia="en-US"/>
              </w:rPr>
            </w:pPr>
            <w:r w:rsidRPr="00A3623F">
              <w:rPr>
                <w:rFonts w:asciiTheme="minorHAnsi" w:hAnsiTheme="minorHAnsi"/>
                <w:sz w:val="18"/>
                <w:szCs w:val="18"/>
                <w:lang w:eastAsia="en-US"/>
              </w:rPr>
              <w:t>Objective 3 - Promoting women’s economic empowerment, including ethnic minorities</w:t>
            </w:r>
          </w:p>
        </w:tc>
        <w:tc>
          <w:tcPr>
            <w:tcW w:w="1531" w:type="dxa"/>
            <w:shd w:val="clear" w:color="auto" w:fill="E36C0A"/>
            <w:noWrap/>
            <w:vAlign w:val="center"/>
          </w:tcPr>
          <w:p w:rsidR="00510BA4" w:rsidRPr="00A3623F" w:rsidRDefault="00510BA4" w:rsidP="00510BA4">
            <w:pPr>
              <w:pStyle w:val="NormalIndented"/>
              <w:rPr>
                <w:rFonts w:asciiTheme="minorHAnsi" w:hAnsiTheme="minorHAnsi"/>
                <w:color w:val="FFFFFF" w:themeColor="background1"/>
                <w:sz w:val="18"/>
                <w:szCs w:val="18"/>
                <w:lang w:eastAsia="en-US"/>
              </w:rPr>
            </w:pPr>
            <w:r w:rsidRPr="00A3623F">
              <w:rPr>
                <w:rFonts w:asciiTheme="minorHAnsi" w:hAnsiTheme="minorHAnsi"/>
                <w:color w:val="FFFFFF" w:themeColor="background1"/>
                <w:sz w:val="18"/>
                <w:szCs w:val="18"/>
                <w:lang w:eastAsia="en-US"/>
              </w:rPr>
              <w:t>Amber</w:t>
            </w:r>
          </w:p>
        </w:tc>
        <w:tc>
          <w:tcPr>
            <w:tcW w:w="1516" w:type="dxa"/>
            <w:shd w:val="clear" w:color="auto" w:fill="72AF2F"/>
            <w:noWrap/>
            <w:vAlign w:val="center"/>
          </w:tcPr>
          <w:p w:rsidR="00510BA4" w:rsidRPr="00A3623F" w:rsidRDefault="00510BA4" w:rsidP="00510BA4">
            <w:pPr>
              <w:pStyle w:val="NormalIndented"/>
              <w:rPr>
                <w:rFonts w:asciiTheme="minorHAnsi" w:hAnsiTheme="minorHAnsi"/>
                <w:color w:val="FFFFFF" w:themeColor="background1"/>
                <w:sz w:val="18"/>
                <w:szCs w:val="18"/>
                <w:lang w:eastAsia="en-US"/>
              </w:rPr>
            </w:pPr>
            <w:r w:rsidRPr="00A3623F">
              <w:rPr>
                <w:rFonts w:asciiTheme="minorHAnsi" w:hAnsiTheme="minorHAnsi"/>
                <w:color w:val="FFFFFF" w:themeColor="background1"/>
                <w:sz w:val="18"/>
                <w:szCs w:val="18"/>
                <w:lang w:eastAsia="en-US"/>
              </w:rPr>
              <w:t>Green</w:t>
            </w:r>
          </w:p>
        </w:tc>
      </w:tr>
    </w:tbl>
    <w:p w:rsidR="002A51CA" w:rsidRPr="00BE6C6D" w:rsidRDefault="002A51CA" w:rsidP="00BE6C6D">
      <w:pPr>
        <w:pStyle w:val="NormalIndented"/>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rsidR="002A51CA" w:rsidRPr="00BE6C6D" w:rsidRDefault="002A51CA" w:rsidP="00BE6C6D">
      <w:pPr>
        <w:pStyle w:val="NormalIndented"/>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rsidR="002A6AC8" w:rsidRDefault="002A51CA" w:rsidP="00F8511D">
      <w:pPr>
        <w:pStyle w:val="NormalIndented"/>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p w:rsidR="000144C6" w:rsidRPr="00F16365" w:rsidRDefault="000144C6" w:rsidP="00F16365">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F16365">
        <w:rPr>
          <w:rFonts w:asciiTheme="majorHAnsi" w:eastAsiaTheme="majorEastAsia" w:hAnsiTheme="majorHAnsi" w:cstheme="majorBidi"/>
          <w:caps/>
          <w:color w:val="495965" w:themeColor="text2"/>
          <w:sz w:val="38"/>
          <w:szCs w:val="26"/>
          <w:lang w:val="en-GB" w:eastAsia="en-US"/>
        </w:rPr>
        <w:lastRenderedPageBreak/>
        <w:t xml:space="preserve">Objective 1 </w:t>
      </w:r>
      <w:r w:rsidR="00106FFE" w:rsidRPr="00F16365">
        <w:rPr>
          <w:rFonts w:asciiTheme="majorHAnsi" w:eastAsiaTheme="majorEastAsia" w:hAnsiTheme="majorHAnsi" w:cstheme="majorBidi"/>
          <w:caps/>
          <w:color w:val="495965" w:themeColor="text2"/>
          <w:sz w:val="38"/>
          <w:szCs w:val="26"/>
          <w:lang w:val="en-GB" w:eastAsia="en-US"/>
        </w:rPr>
        <w:t>–</w:t>
      </w:r>
      <w:r w:rsidRPr="00F16365">
        <w:rPr>
          <w:rFonts w:asciiTheme="majorHAnsi" w:eastAsiaTheme="majorEastAsia" w:hAnsiTheme="majorHAnsi" w:cstheme="majorBidi"/>
          <w:caps/>
          <w:color w:val="495965" w:themeColor="text2"/>
          <w:sz w:val="38"/>
          <w:szCs w:val="26"/>
          <w:lang w:val="en-GB" w:eastAsia="en-US"/>
        </w:rPr>
        <w:t xml:space="preserve"> Enabling and engaging the private sector for development</w:t>
      </w:r>
    </w:p>
    <w:p w:rsidR="000144C6" w:rsidRPr="000144C6" w:rsidRDefault="00F16365" w:rsidP="000144C6">
      <w:pPr>
        <w:rPr>
          <w:rFonts w:ascii="Calibri Light" w:eastAsia="Calibri Light" w:hAnsi="Calibri Light" w:cs="Times New Roman"/>
          <w:color w:val="44546A"/>
        </w:rPr>
      </w:pPr>
      <w:r>
        <w:rPr>
          <w:rFonts w:asciiTheme="majorHAnsi" w:eastAsiaTheme="majorEastAsia" w:hAnsiTheme="majorHAnsi" w:cstheme="majorBidi"/>
          <w:caps/>
          <w:noProof/>
          <w:sz w:val="38"/>
          <w:szCs w:val="26"/>
          <w:lang w:val="en-AU" w:eastAsia="en-AU"/>
        </w:rPr>
        <w:drawing>
          <wp:inline distT="0" distB="0" distL="0" distR="0" wp14:anchorId="0ED4C028" wp14:editId="12DC8006">
            <wp:extent cx="1104182" cy="698849"/>
            <wp:effectExtent l="0" t="0" r="127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06389" cy="700246"/>
                    </a:xfrm>
                    <a:prstGeom prst="rect">
                      <a:avLst/>
                    </a:prstGeom>
                  </pic:spPr>
                </pic:pic>
              </a:graphicData>
            </a:graphic>
          </wp:inline>
        </w:drawing>
      </w:r>
      <w:r w:rsidR="000144C6" w:rsidRPr="000144C6">
        <w:rPr>
          <w:rFonts w:ascii="Calibri Light" w:eastAsia="Calibri Light" w:hAnsi="Calibri Light" w:cs="Times New Roman"/>
          <w:noProof/>
          <w:color w:val="44546A"/>
          <w:sz w:val="24"/>
          <w:szCs w:val="24"/>
          <w:lang w:val="en-AU" w:eastAsia="en-AU"/>
        </w:rPr>
        <w:drawing>
          <wp:inline distT="0" distB="0" distL="0" distR="0" wp14:anchorId="30281037" wp14:editId="0C02E400">
            <wp:extent cx="612140" cy="612140"/>
            <wp:effectExtent l="0" t="0" r="0" b="0"/>
            <wp:docPr id="1" name="Image33"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3" descr="\\TITAN\CHCH\Desktop\scarpen2\Desktop\New folder (2)\SDG 1.png"/>
                    <pic:cNvPicPr>
                      <a:picLocks noChangeAspect="1" noChangeArrowheads="1"/>
                    </pic:cNvPicPr>
                  </pic:nvPicPr>
                  <pic:blipFill>
                    <a:blip r:embed="rId18"/>
                    <a:stretch>
                      <a:fillRect/>
                    </a:stretch>
                  </pic:blipFill>
                  <pic:spPr bwMode="auto">
                    <a:xfrm>
                      <a:off x="0" y="0"/>
                      <a:ext cx="612140" cy="612140"/>
                    </a:xfrm>
                    <a:prstGeom prst="rect">
                      <a:avLst/>
                    </a:prstGeom>
                  </pic:spPr>
                </pic:pic>
              </a:graphicData>
            </a:graphic>
          </wp:inline>
        </w:drawing>
      </w:r>
      <w:r w:rsidR="000144C6" w:rsidRPr="000144C6">
        <w:rPr>
          <w:rFonts w:ascii="Calibri Light" w:eastAsia="Calibri Light" w:hAnsi="Calibri Light" w:cs="Times New Roman"/>
          <w:noProof/>
          <w:color w:val="44546A"/>
          <w:sz w:val="24"/>
          <w:szCs w:val="24"/>
          <w:lang w:val="en-AU" w:eastAsia="en-AU"/>
        </w:rPr>
        <w:drawing>
          <wp:inline distT="0" distB="0" distL="0" distR="0" wp14:anchorId="65F19B8E" wp14:editId="00E98256">
            <wp:extent cx="612140" cy="612140"/>
            <wp:effectExtent l="0" t="0" r="0" b="0"/>
            <wp:docPr id="4"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9"/>
                    <pic:cNvPicPr>
                      <a:picLocks noChangeAspect="1" noChangeArrowheads="1"/>
                    </pic:cNvPicPr>
                  </pic:nvPicPr>
                  <pic:blipFill>
                    <a:blip r:embed="rId19"/>
                    <a:stretch>
                      <a:fillRect/>
                    </a:stretch>
                  </pic:blipFill>
                  <pic:spPr bwMode="auto">
                    <a:xfrm>
                      <a:off x="0" y="0"/>
                      <a:ext cx="612140" cy="612140"/>
                    </a:xfrm>
                    <a:prstGeom prst="rect">
                      <a:avLst/>
                    </a:prstGeom>
                  </pic:spPr>
                </pic:pic>
              </a:graphicData>
            </a:graphic>
          </wp:inline>
        </w:drawing>
      </w:r>
      <w:r w:rsidR="000144C6" w:rsidRPr="000144C6">
        <w:rPr>
          <w:rFonts w:ascii="Calibri Light" w:eastAsia="Calibri Light" w:hAnsi="Calibri Light" w:cs="Times New Roman"/>
          <w:noProof/>
          <w:color w:val="44546A"/>
          <w:sz w:val="24"/>
          <w:szCs w:val="24"/>
          <w:lang w:val="en-AU" w:eastAsia="en-AU"/>
        </w:rPr>
        <w:drawing>
          <wp:inline distT="0" distB="0" distL="0" distR="0" wp14:anchorId="1939D85D" wp14:editId="5B2E2753">
            <wp:extent cx="612140" cy="612140"/>
            <wp:effectExtent l="0" t="0" r="0" b="0"/>
            <wp:docPr id="6" name="Imag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1"/>
                    <pic:cNvPicPr>
                      <a:picLocks noChangeAspect="1" noChangeArrowheads="1"/>
                    </pic:cNvPicPr>
                  </pic:nvPicPr>
                  <pic:blipFill>
                    <a:blip r:embed="rId20"/>
                    <a:stretch>
                      <a:fillRect/>
                    </a:stretch>
                  </pic:blipFill>
                  <pic:spPr bwMode="auto">
                    <a:xfrm>
                      <a:off x="0" y="0"/>
                      <a:ext cx="612140" cy="612140"/>
                    </a:xfrm>
                    <a:prstGeom prst="rect">
                      <a:avLst/>
                    </a:prstGeom>
                  </pic:spPr>
                </pic:pic>
              </a:graphicData>
            </a:graphic>
          </wp:inline>
        </w:drawing>
      </w:r>
      <w:r w:rsidR="000144C6" w:rsidRPr="000144C6">
        <w:rPr>
          <w:rFonts w:ascii="Calibri Light" w:eastAsia="Calibri Light" w:hAnsi="Calibri Light" w:cs="Times New Roman"/>
          <w:noProof/>
          <w:color w:val="44546A"/>
          <w:sz w:val="24"/>
          <w:szCs w:val="24"/>
          <w:lang w:val="en-AU" w:eastAsia="en-AU"/>
        </w:rPr>
        <w:drawing>
          <wp:inline distT="0" distB="0" distL="0" distR="0" wp14:anchorId="14A781B2" wp14:editId="7927400F">
            <wp:extent cx="609600" cy="609600"/>
            <wp:effectExtent l="0" t="0" r="0" b="0"/>
            <wp:docPr id="7" name="Image42"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2" descr="C:\Users\scarpen2\AppData\Local\Microsoft\Windows\INetCache\Content.Word\SDG 8.png"/>
                    <pic:cNvPicPr>
                      <a:picLocks noChangeAspect="1" noChangeArrowheads="1"/>
                    </pic:cNvPicPr>
                  </pic:nvPicPr>
                  <pic:blipFill>
                    <a:blip r:embed="rId21"/>
                    <a:stretch>
                      <a:fillRect/>
                    </a:stretch>
                  </pic:blipFill>
                  <pic:spPr bwMode="auto">
                    <a:xfrm>
                      <a:off x="0" y="0"/>
                      <a:ext cx="609600" cy="609600"/>
                    </a:xfrm>
                    <a:prstGeom prst="rect">
                      <a:avLst/>
                    </a:prstGeom>
                  </pic:spPr>
                </pic:pic>
              </a:graphicData>
            </a:graphic>
          </wp:inline>
        </w:drawing>
      </w:r>
      <w:r w:rsidR="000144C6" w:rsidRPr="000144C6">
        <w:rPr>
          <w:rFonts w:ascii="Calibri Light" w:eastAsia="Calibri Light" w:hAnsi="Calibri Light" w:cs="Times New Roman"/>
          <w:noProof/>
          <w:color w:val="44546A"/>
          <w:sz w:val="24"/>
          <w:szCs w:val="24"/>
          <w:lang w:val="en-AU" w:eastAsia="en-AU"/>
        </w:rPr>
        <w:drawing>
          <wp:inline distT="0" distB="0" distL="0" distR="0" wp14:anchorId="71D17AB4" wp14:editId="0C5D43F4">
            <wp:extent cx="612140" cy="612140"/>
            <wp:effectExtent l="0" t="0" r="0" b="0"/>
            <wp:docPr id="8" name="Imag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5"/>
                    <pic:cNvPicPr>
                      <a:picLocks noChangeAspect="1" noChangeArrowheads="1"/>
                    </pic:cNvPicPr>
                  </pic:nvPicPr>
                  <pic:blipFill>
                    <a:blip r:embed="rId22"/>
                    <a:stretch>
                      <a:fillRect/>
                    </a:stretch>
                  </pic:blipFill>
                  <pic:spPr bwMode="auto">
                    <a:xfrm>
                      <a:off x="0" y="0"/>
                      <a:ext cx="612140" cy="612140"/>
                    </a:xfrm>
                    <a:prstGeom prst="rect">
                      <a:avLst/>
                    </a:prstGeom>
                  </pic:spPr>
                </pic:pic>
              </a:graphicData>
            </a:graphic>
          </wp:inline>
        </w:drawing>
      </w:r>
      <w:r w:rsidR="000144C6" w:rsidRPr="000144C6">
        <w:rPr>
          <w:rFonts w:ascii="Calibri Light" w:eastAsia="Calibri Light" w:hAnsi="Calibri Light" w:cs="Times New Roman"/>
          <w:noProof/>
          <w:color w:val="auto"/>
          <w:lang w:val="en-AU" w:eastAsia="en-AU"/>
        </w:rPr>
        <w:drawing>
          <wp:inline distT="0" distB="0" distL="0" distR="0" wp14:anchorId="7104A527" wp14:editId="5A40CE3D">
            <wp:extent cx="611505" cy="6115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inline>
        </w:drawing>
      </w:r>
      <w:r w:rsidR="000144C6" w:rsidRPr="000144C6">
        <w:rPr>
          <w:rFonts w:ascii="Calibri Light" w:eastAsia="Calibri Light" w:hAnsi="Calibri Light" w:cs="Times New Roman"/>
          <w:noProof/>
          <w:color w:val="44546A"/>
          <w:sz w:val="24"/>
          <w:szCs w:val="24"/>
          <w:lang w:val="en-AU" w:eastAsia="en-AU"/>
        </w:rPr>
        <w:drawing>
          <wp:inline distT="0" distB="0" distL="0" distR="0" wp14:anchorId="0334EAC8" wp14:editId="201FAE5C">
            <wp:extent cx="607060" cy="607060"/>
            <wp:effectExtent l="0" t="0" r="2540" b="2540"/>
            <wp:docPr id="41" name="Imag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0"/>
                    <pic:cNvPicPr>
                      <a:picLocks noChangeAspect="1" noChangeArrowheads="1"/>
                    </pic:cNvPicPr>
                  </pic:nvPicPr>
                  <pic:blipFill>
                    <a:blip r:embed="rId24"/>
                    <a:stretch>
                      <a:fillRect/>
                    </a:stretch>
                  </pic:blipFill>
                  <pic:spPr bwMode="auto">
                    <a:xfrm>
                      <a:off x="0" y="0"/>
                      <a:ext cx="607060" cy="607060"/>
                    </a:xfrm>
                    <a:prstGeom prst="rect">
                      <a:avLst/>
                    </a:prstGeom>
                  </pic:spPr>
                </pic:pic>
              </a:graphicData>
            </a:graphic>
          </wp:inline>
        </w:drawing>
      </w:r>
    </w:p>
    <w:p w:rsidR="00104B68" w:rsidRPr="00092E77" w:rsidRDefault="00104B68" w:rsidP="00092E77">
      <w:r w:rsidRPr="00092E77">
        <w:t xml:space="preserve">Progress against this objective was mixed and has been rated amber. It contained the most diverse mix of investments in the portfolio. Some investments performed strongly against their benchmarks, while others commenced more slowly than expected.  AQCs highlighted the inbuilt flexibility of new programs, such as </w:t>
      </w:r>
      <w:r w:rsidRPr="00F956F1">
        <w:rPr>
          <w:i/>
        </w:rPr>
        <w:t>Aus4Reform</w:t>
      </w:r>
      <w:r w:rsidRPr="00092E77">
        <w:t>, which better positioned Australia to respond to and influence evolving Vietnamese policy priorities.</w:t>
      </w:r>
    </w:p>
    <w:p w:rsidR="00F30CE7" w:rsidRPr="00092E77" w:rsidRDefault="00DA4059" w:rsidP="00092E77">
      <w:r w:rsidRPr="00092E77">
        <w:t>Under this objective, Australia aims to enable the private sector to support Vietnam’s development by improving market institutions and infrastructure, in line with Vietnam’s SEDP 2016-20. We made a measurable contribution to improving market institutions in 2017-18, achieving three of the four related benchmarks set out in our PAF relating to deployment of climate smart technologies, economic policy, and increased access to clean water.</w:t>
      </w:r>
      <w:r w:rsidR="004758CC" w:rsidRPr="00092E77">
        <w:t xml:space="preserve"> </w:t>
      </w:r>
      <w:r w:rsidR="00784BF2" w:rsidRPr="00092E77">
        <w:t>Results against this objective were</w:t>
      </w:r>
      <w:r w:rsidR="0085427B" w:rsidRPr="00092E77">
        <w:t xml:space="preserve"> delivered through several major investments including:</w:t>
      </w:r>
      <w:r w:rsidR="00784BF2" w:rsidRPr="00092E77">
        <w:t xml:space="preserve"> </w:t>
      </w:r>
      <w:r w:rsidR="0085427B" w:rsidRPr="00F956F1">
        <w:rPr>
          <w:i/>
        </w:rPr>
        <w:t>Aus4Transport</w:t>
      </w:r>
      <w:r w:rsidR="005950EA" w:rsidRPr="00092E77">
        <w:t>,</w:t>
      </w:r>
      <w:r w:rsidR="00784BF2" w:rsidRPr="00092E77">
        <w:t xml:space="preserve"> the </w:t>
      </w:r>
      <w:r w:rsidR="005950EA" w:rsidRPr="00F956F1">
        <w:rPr>
          <w:i/>
        </w:rPr>
        <w:t>ABP</w:t>
      </w:r>
      <w:r w:rsidR="00784BF2" w:rsidRPr="00F956F1">
        <w:rPr>
          <w:i/>
        </w:rPr>
        <w:t>2</w:t>
      </w:r>
      <w:r w:rsidR="00784BF2" w:rsidRPr="00092E77">
        <w:t xml:space="preserve">, the </w:t>
      </w:r>
      <w:r w:rsidR="005950EA" w:rsidRPr="00F956F1">
        <w:t>Vietnam Climate Innovation Centre</w:t>
      </w:r>
      <w:r w:rsidR="005950EA" w:rsidRPr="00092E77">
        <w:t xml:space="preserve"> (VCIC)</w:t>
      </w:r>
      <w:r w:rsidR="00784BF2" w:rsidRPr="00092E77">
        <w:t xml:space="preserve">, </w:t>
      </w:r>
      <w:r w:rsidR="005950EA" w:rsidRPr="00F956F1">
        <w:rPr>
          <w:i/>
        </w:rPr>
        <w:t>RCV</w:t>
      </w:r>
      <w:r w:rsidR="00784BF2" w:rsidRPr="00092E77">
        <w:t xml:space="preserve">, and </w:t>
      </w:r>
      <w:r w:rsidR="005950EA" w:rsidRPr="00F956F1">
        <w:rPr>
          <w:i/>
        </w:rPr>
        <w:t>Aus4R</w:t>
      </w:r>
      <w:r w:rsidR="0085427B" w:rsidRPr="00F956F1">
        <w:rPr>
          <w:i/>
        </w:rPr>
        <w:t>eform</w:t>
      </w:r>
      <w:r w:rsidR="00784BF2" w:rsidRPr="00092E77">
        <w:t>.</w:t>
      </w:r>
    </w:p>
    <w:p w:rsidR="00E41274" w:rsidRPr="00092E77" w:rsidRDefault="00E41274" w:rsidP="00092E77">
      <w:r w:rsidRPr="00092E77">
        <w:t xml:space="preserve">Australia helped make significant institutional reforms to improve Vietnam’s competitiveness.  Australian support, through the </w:t>
      </w:r>
      <w:r w:rsidR="00DA6794" w:rsidRPr="00F956F1">
        <w:rPr>
          <w:i/>
        </w:rPr>
        <w:t>RCV</w:t>
      </w:r>
      <w:r w:rsidRPr="00092E77">
        <w:t xml:space="preserve"> and </w:t>
      </w:r>
      <w:r w:rsidRPr="00F956F1">
        <w:rPr>
          <w:i/>
        </w:rPr>
        <w:t>Aus4Reform</w:t>
      </w:r>
      <w:r w:rsidRPr="00092E77">
        <w:t xml:space="preserve"> programs, helped secure passage of a new Competition Law by the National Assembly.  These programs provided technical support for the drafting of the law and policy framework as well as facilitated discussions between key law-makers and officials.  Acting on the recommendations of these programs, the </w:t>
      </w:r>
      <w:proofErr w:type="spellStart"/>
      <w:r w:rsidR="00DA6794" w:rsidRPr="00092E77">
        <w:t>GoV</w:t>
      </w:r>
      <w:proofErr w:type="spellEnd"/>
      <w:r w:rsidR="00DA6794" w:rsidRPr="00092E77">
        <w:t xml:space="preserve"> </w:t>
      </w:r>
      <w:r w:rsidRPr="00092E77">
        <w:t>also abolished 3,299 business conditions in order to make the Law on Enterprise and the Law on Inves</w:t>
      </w:r>
      <w:r w:rsidR="002C56CE" w:rsidRPr="00092E77">
        <w:t>tment more business</w:t>
      </w:r>
      <w:r w:rsidR="004758CC" w:rsidRPr="00092E77">
        <w:t xml:space="preserve"> </w:t>
      </w:r>
      <w:r w:rsidR="002C56CE" w:rsidRPr="00092E77">
        <w:t>friendly. It also compiled evidence on the impact of recent economic reforms on women-led SMEs</w:t>
      </w:r>
      <w:r w:rsidR="0060222C" w:rsidRPr="00092E77">
        <w:t xml:space="preserve"> </w:t>
      </w:r>
      <w:r w:rsidR="009208D5" w:rsidRPr="00092E77">
        <w:t xml:space="preserve">that was used by MPI to build support for proposed gender specific revisions to the SME Law which were subsequently approved by the National Assembly. </w:t>
      </w:r>
      <w:r w:rsidR="002C56CE" w:rsidRPr="00092E77">
        <w:t xml:space="preserve"> </w:t>
      </w:r>
      <w:r w:rsidRPr="00092E77">
        <w:t xml:space="preserve">These programs helped expand Australia’s influence on Vietnam’s economic policy settings, as </w:t>
      </w:r>
      <w:r w:rsidR="002C56CE" w:rsidRPr="00092E77">
        <w:t>seen</w:t>
      </w:r>
      <w:r w:rsidRPr="00092E77">
        <w:t xml:space="preserve"> by the Ambassador’s invitation to co-chair a high-profile Communist Party Economic Forum in late 2017.</w:t>
      </w:r>
    </w:p>
    <w:p w:rsidR="00E41274" w:rsidRPr="00092E77" w:rsidRDefault="00A92E2F" w:rsidP="00092E77">
      <w:r w:rsidRPr="00092E77">
        <w:t>Australia</w:t>
      </w:r>
      <w:r w:rsidR="0085427B" w:rsidRPr="00092E77">
        <w:t xml:space="preserve"> </w:t>
      </w:r>
      <w:r w:rsidR="00E41274" w:rsidRPr="00092E77">
        <w:t>continued to promote innovation in the private sector, exceeding our formal targets on climate technology innovation and seizing opportunities to promote further innovation in financial inclusion and agricultural value chains</w:t>
      </w:r>
      <w:r w:rsidR="00DA6794" w:rsidRPr="00092E77">
        <w:t xml:space="preserve">. </w:t>
      </w:r>
      <w:r w:rsidR="00E41274" w:rsidRPr="00092E77">
        <w:t xml:space="preserve">The </w:t>
      </w:r>
      <w:r w:rsidR="005950EA" w:rsidRPr="00941E34">
        <w:rPr>
          <w:i/>
        </w:rPr>
        <w:t>VCIC</w:t>
      </w:r>
      <w:r w:rsidR="00DA6794" w:rsidRPr="00092E77">
        <w:t xml:space="preserve"> </w:t>
      </w:r>
      <w:r w:rsidR="00A461A2" w:rsidRPr="00092E77">
        <w:t xml:space="preserve">has now </w:t>
      </w:r>
      <w:r w:rsidR="00E41274" w:rsidRPr="00092E77">
        <w:t xml:space="preserve">assisted 34 </w:t>
      </w:r>
      <w:r w:rsidR="00A461A2" w:rsidRPr="00092E77">
        <w:t>SMEs</w:t>
      </w:r>
      <w:r w:rsidR="002C56CE" w:rsidRPr="00092E77">
        <w:t xml:space="preserve"> (15 led by women)</w:t>
      </w:r>
      <w:r w:rsidR="00E41274" w:rsidRPr="00092E77">
        <w:t xml:space="preserve"> to commercialise and scale-up innovative climate-smart technologies and solutions</w:t>
      </w:r>
      <w:r w:rsidR="00AD02C7" w:rsidRPr="00092E77">
        <w:t xml:space="preserve">, which </w:t>
      </w:r>
      <w:r w:rsidR="00E41274" w:rsidRPr="00092E77">
        <w:t>helped 72,891 new beneficiaries have access to improved climate smart products or services</w:t>
      </w:r>
      <w:r w:rsidR="00AD02C7" w:rsidRPr="00092E77">
        <w:t xml:space="preserve"> (</w:t>
      </w:r>
      <w:r w:rsidR="00715318" w:rsidRPr="00092E77">
        <w:t xml:space="preserve">exceeding the original target by </w:t>
      </w:r>
      <w:r w:rsidR="00DA6794" w:rsidRPr="00092E77">
        <w:t>57 times</w:t>
      </w:r>
      <w:r w:rsidR="00AD02C7" w:rsidRPr="00092E77">
        <w:t>)</w:t>
      </w:r>
      <w:r w:rsidR="00DA6794" w:rsidRPr="00092E77">
        <w:t xml:space="preserve">. </w:t>
      </w:r>
      <w:r w:rsidR="00AD02C7" w:rsidRPr="00092E77">
        <w:t xml:space="preserve">New, more ambitious targets for </w:t>
      </w:r>
      <w:r w:rsidR="00AD02C7" w:rsidRPr="00941E34">
        <w:rPr>
          <w:i/>
        </w:rPr>
        <w:t>VCIC</w:t>
      </w:r>
      <w:r w:rsidR="00AD02C7" w:rsidRPr="00092E77">
        <w:t xml:space="preserve"> will be established as part of a $1.5 million project extension, currently being approved by </w:t>
      </w:r>
      <w:proofErr w:type="spellStart"/>
      <w:r w:rsidR="00AD02C7" w:rsidRPr="00092E77">
        <w:t>GoV.</w:t>
      </w:r>
      <w:proofErr w:type="spellEnd"/>
      <w:r w:rsidR="00AD02C7" w:rsidRPr="00092E77">
        <w:t xml:space="preserve"> </w:t>
      </w:r>
      <w:r w:rsidR="00E41274" w:rsidRPr="00092E77">
        <w:t xml:space="preserve">Through the Business Partnerships Platform, Australia worked with MasterCard, </w:t>
      </w:r>
      <w:r w:rsidR="0060222C" w:rsidRPr="00092E77">
        <w:t>T</w:t>
      </w:r>
      <w:r w:rsidR="00E41274" w:rsidRPr="00092E77">
        <w:t>he Asia Foundati</w:t>
      </w:r>
      <w:r w:rsidR="008B3CE4" w:rsidRPr="00092E77">
        <w:t>on (TAF) and the Vietnam Bank for</w:t>
      </w:r>
      <w:r w:rsidR="00E41274" w:rsidRPr="00092E77">
        <w:t xml:space="preserve"> Social Policies to deliver a mobile-banking platform </w:t>
      </w:r>
      <w:r w:rsidR="00DA6794" w:rsidRPr="00092E77">
        <w:t xml:space="preserve">for </w:t>
      </w:r>
      <w:r w:rsidR="00941E34">
        <w:t xml:space="preserve">4.7 </w:t>
      </w:r>
      <w:r w:rsidR="00E41274" w:rsidRPr="00092E77">
        <w:t>million low-income customers</w:t>
      </w:r>
      <w:r w:rsidR="002C56CE" w:rsidRPr="00092E77">
        <w:t>, predominantly women</w:t>
      </w:r>
      <w:r w:rsidR="00DA6794" w:rsidRPr="00092E77">
        <w:t>.</w:t>
      </w:r>
      <w:r w:rsidR="00A019AE" w:rsidRPr="00092E77">
        <w:t xml:space="preserve"> We expect this will translate into significant access to improved financial services</w:t>
      </w:r>
      <w:r w:rsidR="00C522CC" w:rsidRPr="00092E77">
        <w:t xml:space="preserve"> for these customers in the coming year.</w:t>
      </w:r>
      <w:r w:rsidR="00A019AE" w:rsidRPr="00092E77">
        <w:t xml:space="preserve"> </w:t>
      </w:r>
      <w:r w:rsidR="00DA6794" w:rsidRPr="00092E77">
        <w:t xml:space="preserve"> </w:t>
      </w:r>
      <w:r w:rsidR="00E41274" w:rsidRPr="00092E77">
        <w:t>With TAF and</w:t>
      </w:r>
      <w:r w:rsidR="00DA6794" w:rsidRPr="00092E77">
        <w:t xml:space="preserve"> </w:t>
      </w:r>
      <w:r w:rsidR="0060222C" w:rsidRPr="00092E77">
        <w:t xml:space="preserve">the </w:t>
      </w:r>
      <w:r w:rsidR="00DA6794" w:rsidRPr="00092E77">
        <w:t xml:space="preserve">2017 APEC App Challenge </w:t>
      </w:r>
      <w:r w:rsidR="00E41274" w:rsidRPr="00092E77">
        <w:t>winner, Ethical Trade Investments, we piloted a block chain-based mobile platform for dragon fruit, which will support export growth by enabling agricultural enterprises to meet consumer demand for informat</w:t>
      </w:r>
      <w:r w:rsidR="00DA6794" w:rsidRPr="00092E77">
        <w:t>ion on food quality and safety.</w:t>
      </w:r>
    </w:p>
    <w:p w:rsidR="00E41274" w:rsidRPr="00092E77" w:rsidRDefault="00E41274" w:rsidP="00092E77">
      <w:r w:rsidRPr="00092E77">
        <w:t xml:space="preserve">Australia significantly exceeded its 2017-18 target on using the private sector to supply rural populations with water.  Through our partnerships with the Australian Water Association and East Meets West Foundation, Australia provided over 20,000 rural poor in Son La, Ha Nam and Khan </w:t>
      </w:r>
      <w:proofErr w:type="spellStart"/>
      <w:r w:rsidRPr="00092E77">
        <w:t>Hoa</w:t>
      </w:r>
      <w:proofErr w:type="spellEnd"/>
      <w:r w:rsidRPr="00092E77">
        <w:t xml:space="preserve"> provinces with clean water – more than doubling our performance benchmark.  These partners used innovative procurement approaches and new technology, which were intended to act as pilot programs for our forthcoming flagship private sector rural water supply program, </w:t>
      </w:r>
      <w:r w:rsidRPr="00941E34">
        <w:rPr>
          <w:i/>
        </w:rPr>
        <w:t>Aus4Water</w:t>
      </w:r>
      <w:r w:rsidRPr="00092E77">
        <w:t xml:space="preserve">. Despite the success of these pilots, the commencement of </w:t>
      </w:r>
      <w:r w:rsidRPr="00E2086F">
        <w:rPr>
          <w:i/>
        </w:rPr>
        <w:t>Aus4Water</w:t>
      </w:r>
      <w:r w:rsidRPr="00092E77">
        <w:t xml:space="preserve"> </w:t>
      </w:r>
      <w:r w:rsidR="00784BF2" w:rsidRPr="00092E77">
        <w:t xml:space="preserve">has been </w:t>
      </w:r>
      <w:r w:rsidRPr="00092E77">
        <w:t xml:space="preserve">delayed </w:t>
      </w:r>
      <w:r w:rsidR="0082241C" w:rsidRPr="00092E77">
        <w:t xml:space="preserve">by several months </w:t>
      </w:r>
      <w:r w:rsidRPr="00092E77">
        <w:t>due to</w:t>
      </w:r>
      <w:r w:rsidR="00784BF2" w:rsidRPr="00092E77">
        <w:t xml:space="preserve"> continued difficulties in securing </w:t>
      </w:r>
      <w:proofErr w:type="spellStart"/>
      <w:r w:rsidR="008D4FB4" w:rsidRPr="00092E77">
        <w:t>GoV</w:t>
      </w:r>
      <w:proofErr w:type="spellEnd"/>
      <w:r w:rsidR="00784BF2" w:rsidRPr="00092E77">
        <w:t xml:space="preserve"> approvals for ODA under Decree 16.</w:t>
      </w:r>
    </w:p>
    <w:p w:rsidR="00E41274" w:rsidRPr="00092E77" w:rsidRDefault="004F6016" w:rsidP="00092E77">
      <w:r w:rsidRPr="00092E77">
        <w:lastRenderedPageBreak/>
        <w:t>We</w:t>
      </w:r>
      <w:r w:rsidR="00E41274" w:rsidRPr="00092E77">
        <w:t xml:space="preserve"> </w:t>
      </w:r>
      <w:r w:rsidRPr="00092E77">
        <w:t xml:space="preserve">did not achieve the fourth benchmark </w:t>
      </w:r>
      <w:r w:rsidR="00E41274" w:rsidRPr="00092E77">
        <w:t xml:space="preserve">of an approved design for a new </w:t>
      </w:r>
      <w:r w:rsidR="00E41274" w:rsidRPr="00E2086F">
        <w:rPr>
          <w:i/>
        </w:rPr>
        <w:t>Aus4Innovation</w:t>
      </w:r>
      <w:r w:rsidR="00E41274" w:rsidRPr="00092E77">
        <w:t xml:space="preserve"> investment, though </w:t>
      </w:r>
      <w:r w:rsidR="00EA7907">
        <w:t>this</w:t>
      </w:r>
      <w:r w:rsidR="00EA7907" w:rsidRPr="00092E77">
        <w:t xml:space="preserve"> </w:t>
      </w:r>
      <w:r w:rsidR="00E41274" w:rsidRPr="00092E77">
        <w:t xml:space="preserve">is expected before the end of the calendar year.  Although only $10 million over </w:t>
      </w:r>
      <w:r w:rsidR="00056A0D">
        <w:t>three</w:t>
      </w:r>
      <w:r w:rsidR="00E41274" w:rsidRPr="00092E77">
        <w:t xml:space="preserve"> years</w:t>
      </w:r>
      <w:r w:rsidR="004758CC" w:rsidRPr="00092E77">
        <w:t>,</w:t>
      </w:r>
      <w:r w:rsidR="00E41274" w:rsidRPr="00092E77">
        <w:t xml:space="preserve"> this program proved challenging to design and delays were experienced as we carefully considered a number of implementation options. The </w:t>
      </w:r>
      <w:proofErr w:type="spellStart"/>
      <w:r w:rsidR="008D4FB4" w:rsidRPr="00092E77">
        <w:t>GoV</w:t>
      </w:r>
      <w:proofErr w:type="spellEnd"/>
      <w:r w:rsidR="00DA6794" w:rsidRPr="00092E77">
        <w:t xml:space="preserve"> counterpart agency for </w:t>
      </w:r>
      <w:r w:rsidR="00DA6794" w:rsidRPr="00DC2454">
        <w:rPr>
          <w:i/>
        </w:rPr>
        <w:t>Aus4I</w:t>
      </w:r>
      <w:r w:rsidR="00E41274" w:rsidRPr="00DC2454">
        <w:rPr>
          <w:i/>
        </w:rPr>
        <w:t>nnovation</w:t>
      </w:r>
      <w:r w:rsidR="00E41274" w:rsidRPr="00092E77">
        <w:t xml:space="preserve"> is the Ministry of Science and Technology (MOST), a new counterpart for the Australian aid program. Our discussions with MOST have been hel</w:t>
      </w:r>
      <w:r w:rsidR="00727173" w:rsidRPr="00092E77">
        <w:t>ped considerably by the assistance</w:t>
      </w:r>
      <w:r w:rsidR="00E41274" w:rsidRPr="00092E77">
        <w:t xml:space="preserve"> of some A</w:t>
      </w:r>
      <w:r w:rsidR="00727173" w:rsidRPr="00092E77">
        <w:t>ustralian alumni in the policy area,</w:t>
      </w:r>
      <w:r w:rsidR="00E41274" w:rsidRPr="00092E77">
        <w:t xml:space="preserve"> and a pre-existing relationship with CSIRO. A design mission, involving CSIRO, </w:t>
      </w:r>
      <w:r w:rsidR="00672886" w:rsidRPr="00092E77">
        <w:t xml:space="preserve">the </w:t>
      </w:r>
      <w:r w:rsidR="00E41274" w:rsidRPr="00092E77">
        <w:t>I</w:t>
      </w:r>
      <w:r w:rsidR="00FB67F2" w:rsidRPr="00092E77">
        <w:t>nnovation</w:t>
      </w:r>
      <w:r w:rsidR="00E41274" w:rsidRPr="00092E77">
        <w:t>X</w:t>
      </w:r>
      <w:r w:rsidR="00FB67F2" w:rsidRPr="00092E77">
        <w:t>change (</w:t>
      </w:r>
      <w:proofErr w:type="spellStart"/>
      <w:r w:rsidR="00FB67F2" w:rsidRPr="00092E77">
        <w:t>iXc</w:t>
      </w:r>
      <w:proofErr w:type="spellEnd"/>
      <w:r w:rsidR="00FB67F2" w:rsidRPr="00092E77">
        <w:t>)</w:t>
      </w:r>
      <w:r w:rsidR="00E41274" w:rsidRPr="00092E77">
        <w:t xml:space="preserve"> and DFAT representatives in March 2018, identified a clear pathway to implementat</w:t>
      </w:r>
      <w:r w:rsidR="00DA6794" w:rsidRPr="00092E77">
        <w:t xml:space="preserve">ion. We are confident that </w:t>
      </w:r>
      <w:r w:rsidR="00DA6794" w:rsidRPr="00DC2454">
        <w:rPr>
          <w:i/>
        </w:rPr>
        <w:t>Aus4I</w:t>
      </w:r>
      <w:r w:rsidR="00E41274" w:rsidRPr="00DC2454">
        <w:rPr>
          <w:i/>
        </w:rPr>
        <w:t>nnovation</w:t>
      </w:r>
      <w:r w:rsidR="00E41274" w:rsidRPr="00092E77">
        <w:t xml:space="preserve"> will formally kick off in early 2019, with CSIRO undertaking the role of program manager.</w:t>
      </w:r>
    </w:p>
    <w:p w:rsidR="00E41274" w:rsidRPr="00092E77" w:rsidRDefault="00E41274" w:rsidP="00092E77">
      <w:r w:rsidRPr="00092E77">
        <w:t>Australia made a significant contribution to improving infrastructure in 2017-18, though only partially achieved both targets under its benchmark on enabling value-for-mone</w:t>
      </w:r>
      <w:r w:rsidR="00DA6794" w:rsidRPr="00092E77">
        <w:t>y infrastructure development. We successfully opened</w:t>
      </w:r>
      <w:r w:rsidRPr="00092E77">
        <w:t xml:space="preserve"> the Cao </w:t>
      </w:r>
      <w:proofErr w:type="spellStart"/>
      <w:r w:rsidRPr="00092E77">
        <w:t>Lanh</w:t>
      </w:r>
      <w:proofErr w:type="spellEnd"/>
      <w:r w:rsidRPr="00092E77">
        <w:t xml:space="preserve"> </w:t>
      </w:r>
      <w:r w:rsidR="0060222C" w:rsidRPr="00092E77">
        <w:t>B</w:t>
      </w:r>
      <w:r w:rsidRPr="00092E77">
        <w:t>ridge, Australia’s largest aid investment in mainland Southeast Asia</w:t>
      </w:r>
      <w:r w:rsidR="0060222C" w:rsidRPr="00092E77">
        <w:t>,</w:t>
      </w:r>
      <w:r w:rsidRPr="00092E77">
        <w:t xml:space="preserve"> in 2018.  The bridge is expected to have up to 170,000 daily users and connect </w:t>
      </w:r>
      <w:r w:rsidR="0060222C" w:rsidRPr="00092E77">
        <w:t>five</w:t>
      </w:r>
      <w:r w:rsidRPr="00092E77">
        <w:t xml:space="preserve"> million people in the Mekong Delta with regional markets.  </w:t>
      </w:r>
      <w:r w:rsidR="00373253" w:rsidRPr="00092E77">
        <w:t xml:space="preserve">Road use data </w:t>
      </w:r>
      <w:proofErr w:type="gramStart"/>
      <w:r w:rsidR="00373253" w:rsidRPr="00092E77">
        <w:t>will be gathered</w:t>
      </w:r>
      <w:proofErr w:type="gramEnd"/>
      <w:r w:rsidR="00373253" w:rsidRPr="00092E77">
        <w:t xml:space="preserve"> when </w:t>
      </w:r>
      <w:r w:rsidRPr="00092E77">
        <w:t xml:space="preserve">Australia </w:t>
      </w:r>
      <w:r w:rsidR="00373253" w:rsidRPr="00092E77">
        <w:t>u</w:t>
      </w:r>
      <w:r w:rsidRPr="00092E77">
        <w:t>ndertake</w:t>
      </w:r>
      <w:r w:rsidR="00373253" w:rsidRPr="00092E77">
        <w:t>s</w:t>
      </w:r>
      <w:r w:rsidRPr="00092E77">
        <w:t xml:space="preserve"> a comprehensive impact evaluation of the opening of the bridge in 2019-20</w:t>
      </w:r>
      <w:r w:rsidR="00373253" w:rsidRPr="00092E77">
        <w:t>.</w:t>
      </w:r>
      <w:r w:rsidR="00672886" w:rsidRPr="00B92C96">
        <w:rPr>
          <w:vertAlign w:val="superscript"/>
        </w:rPr>
        <w:footnoteReference w:id="8"/>
      </w:r>
      <w:r w:rsidRPr="00092E77">
        <w:t xml:space="preserve"> </w:t>
      </w:r>
      <w:r w:rsidR="00373253" w:rsidRPr="00092E77">
        <w:t>It is</w:t>
      </w:r>
      <w:r w:rsidRPr="00092E77">
        <w:t xml:space="preserve"> expected to demonstrate substantial benefits to local producers and households, albeit with a lag due to delays </w:t>
      </w:r>
      <w:r w:rsidR="008B3CE4" w:rsidRPr="00092E77">
        <w:t xml:space="preserve">in the opening of the </w:t>
      </w:r>
      <w:r w:rsidRPr="00092E77">
        <w:t xml:space="preserve">(Korean-funded) </w:t>
      </w:r>
      <w:proofErr w:type="spellStart"/>
      <w:r w:rsidRPr="00092E77">
        <w:t>Vam</w:t>
      </w:r>
      <w:proofErr w:type="spellEnd"/>
      <w:r w:rsidRPr="00092E77">
        <w:t xml:space="preserve"> Cong </w:t>
      </w:r>
      <w:proofErr w:type="gramStart"/>
      <w:r w:rsidRPr="00092E77">
        <w:t>bridge</w:t>
      </w:r>
      <w:proofErr w:type="gramEnd"/>
      <w:r w:rsidRPr="00092E77">
        <w:t>, the second part of the Central Meko</w:t>
      </w:r>
      <w:r w:rsidR="00672886" w:rsidRPr="00092E77">
        <w:t>ng Delta Connectivity Project.</w:t>
      </w:r>
    </w:p>
    <w:p w:rsidR="00E41274" w:rsidRPr="00092E77" w:rsidRDefault="00E41274" w:rsidP="00092E77">
      <w:r w:rsidRPr="00092E77">
        <w:t xml:space="preserve">Australia’s new flagship investment in the transport sector, </w:t>
      </w:r>
      <w:r w:rsidRPr="00584DDE">
        <w:rPr>
          <w:i/>
        </w:rPr>
        <w:t>Aus4Transport</w:t>
      </w:r>
      <w:r w:rsidRPr="00092E77">
        <w:t>, commenced in 2018 and is on track to deliver detailed designs to fast</w:t>
      </w:r>
      <w:r w:rsidR="0035610B" w:rsidRPr="00092E77">
        <w:t xml:space="preserve"> </w:t>
      </w:r>
      <w:r w:rsidRPr="00092E77">
        <w:t>track and improve infrastructure development in Vie</w:t>
      </w:r>
      <w:r w:rsidR="00DA6794" w:rsidRPr="00092E77">
        <w:t xml:space="preserve">tnam. </w:t>
      </w:r>
      <w:r w:rsidRPr="00092E77">
        <w:t>The program aims to grow the pipeline of new transport infrastructure projects and stimul</w:t>
      </w:r>
      <w:r w:rsidR="00DA6794" w:rsidRPr="00092E77">
        <w:t xml:space="preserve">ate private sector investment. </w:t>
      </w:r>
      <w:r w:rsidRPr="00092E77">
        <w:t>It did not achieve its ambitious target of a completed de</w:t>
      </w:r>
      <w:r w:rsidR="00DA6794" w:rsidRPr="00092E77">
        <w:t>tailed design document in year one</w:t>
      </w:r>
      <w:r w:rsidR="0035610B" w:rsidRPr="00092E77">
        <w:t>,</w:t>
      </w:r>
      <w:r w:rsidRPr="00092E77">
        <w:t xml:space="preserve"> however, the first project steering committee met in August 2018 and approved $9.6</w:t>
      </w:r>
      <w:r w:rsidR="00720171" w:rsidRPr="00092E77">
        <w:t xml:space="preserve"> </w:t>
      </w:r>
      <w:r w:rsidRPr="00092E77">
        <w:t>m</w:t>
      </w:r>
      <w:r w:rsidR="00BC4C11">
        <w:t>illi</w:t>
      </w:r>
      <w:r w:rsidR="00720171" w:rsidRPr="00092E77">
        <w:t>on</w:t>
      </w:r>
      <w:r w:rsidRPr="00092E77">
        <w:t xml:space="preserve"> in detailed desi</w:t>
      </w:r>
      <w:r w:rsidR="00D07C52" w:rsidRPr="00092E77">
        <w:t>gn work, which will help leverage</w:t>
      </w:r>
      <w:r w:rsidRPr="00092E77">
        <w:t xml:space="preserve"> over $400</w:t>
      </w:r>
      <w:r w:rsidR="0035610B" w:rsidRPr="00092E77">
        <w:t xml:space="preserve"> </w:t>
      </w:r>
      <w:r w:rsidRPr="00092E77">
        <w:t>m</w:t>
      </w:r>
      <w:r w:rsidR="0035610B" w:rsidRPr="00092E77">
        <w:t>illion</w:t>
      </w:r>
      <w:r w:rsidRPr="00092E77">
        <w:t xml:space="preserve"> of road improvements in North and Central Vietnam in line wit</w:t>
      </w:r>
      <w:r w:rsidR="00D07C52" w:rsidRPr="00092E77">
        <w:t>h international best-practice.</w:t>
      </w:r>
    </w:p>
    <w:p w:rsidR="00042273" w:rsidRPr="00A85500" w:rsidRDefault="00042273" w:rsidP="00A85500">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A85500">
        <w:rPr>
          <w:rFonts w:asciiTheme="majorHAnsi" w:eastAsiaTheme="majorEastAsia" w:hAnsiTheme="majorHAnsi" w:cstheme="majorBidi"/>
          <w:caps/>
          <w:color w:val="495965" w:themeColor="text2"/>
          <w:sz w:val="38"/>
          <w:szCs w:val="26"/>
          <w:lang w:val="en-GB" w:eastAsia="en-US"/>
        </w:rPr>
        <w:t xml:space="preserve">Objective 2 </w:t>
      </w:r>
      <w:r w:rsidR="00E776BC" w:rsidRPr="00A85500">
        <w:rPr>
          <w:rFonts w:asciiTheme="majorHAnsi" w:eastAsiaTheme="majorEastAsia" w:hAnsiTheme="majorHAnsi" w:cstheme="majorBidi"/>
          <w:caps/>
          <w:color w:val="495965" w:themeColor="text2"/>
          <w:sz w:val="38"/>
          <w:szCs w:val="26"/>
          <w:lang w:val="en-GB" w:eastAsia="en-US"/>
        </w:rPr>
        <w:t>–</w:t>
      </w:r>
      <w:r w:rsidRPr="00A85500">
        <w:rPr>
          <w:rFonts w:asciiTheme="majorHAnsi" w:eastAsiaTheme="majorEastAsia" w:hAnsiTheme="majorHAnsi" w:cstheme="majorBidi"/>
          <w:caps/>
          <w:color w:val="495965" w:themeColor="text2"/>
          <w:sz w:val="38"/>
          <w:szCs w:val="26"/>
          <w:lang w:val="en-GB" w:eastAsia="en-US"/>
        </w:rPr>
        <w:t xml:space="preserve"> Assisting the development and employment of a highly skilled workforce</w:t>
      </w:r>
    </w:p>
    <w:p w:rsidR="00042273" w:rsidRDefault="00A85500" w:rsidP="00042273">
      <w:r>
        <w:rPr>
          <w:rFonts w:asciiTheme="majorHAnsi" w:eastAsiaTheme="majorEastAsia" w:hAnsiTheme="majorHAnsi" w:cstheme="majorBidi"/>
          <w:caps/>
          <w:noProof/>
          <w:sz w:val="38"/>
          <w:szCs w:val="26"/>
          <w:lang w:val="en-AU" w:eastAsia="en-AU"/>
        </w:rPr>
        <w:drawing>
          <wp:inline distT="0" distB="0" distL="0" distR="0" wp14:anchorId="7A70BFA2" wp14:editId="5274B43E">
            <wp:extent cx="1104182" cy="698849"/>
            <wp:effectExtent l="0" t="0" r="127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06389" cy="700246"/>
                    </a:xfrm>
                    <a:prstGeom prst="rect">
                      <a:avLst/>
                    </a:prstGeom>
                  </pic:spPr>
                </pic:pic>
              </a:graphicData>
            </a:graphic>
          </wp:inline>
        </w:drawing>
      </w:r>
      <w:r w:rsidR="00042273">
        <w:rPr>
          <w:noProof/>
          <w:sz w:val="24"/>
          <w:szCs w:val="24"/>
          <w:lang w:val="en-AU" w:eastAsia="en-AU"/>
        </w:rPr>
        <w:drawing>
          <wp:inline distT="0" distB="0" distL="0" distR="0" wp14:anchorId="62339B3E" wp14:editId="70D788DD">
            <wp:extent cx="612140" cy="612140"/>
            <wp:effectExtent l="0" t="0" r="0" b="0"/>
            <wp:docPr id="51" name="Image34"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4" descr="\\TITAN\CHCH\Desktop\scarpen2\Desktop\New folder (2)\SDG 1.png"/>
                    <pic:cNvPicPr>
                      <a:picLocks noChangeAspect="1" noChangeArrowheads="1"/>
                    </pic:cNvPicPr>
                  </pic:nvPicPr>
                  <pic:blipFill>
                    <a:blip r:embed="rId18"/>
                    <a:stretch>
                      <a:fillRect/>
                    </a:stretch>
                  </pic:blipFill>
                  <pic:spPr bwMode="auto">
                    <a:xfrm>
                      <a:off x="0" y="0"/>
                      <a:ext cx="612140" cy="612140"/>
                    </a:xfrm>
                    <a:prstGeom prst="rect">
                      <a:avLst/>
                    </a:prstGeom>
                  </pic:spPr>
                </pic:pic>
              </a:graphicData>
            </a:graphic>
          </wp:inline>
        </w:drawing>
      </w:r>
      <w:r w:rsidR="00042273">
        <w:rPr>
          <w:noProof/>
          <w:sz w:val="24"/>
          <w:szCs w:val="24"/>
          <w:lang w:val="en-AU" w:eastAsia="en-AU"/>
        </w:rPr>
        <w:drawing>
          <wp:inline distT="0" distB="0" distL="0" distR="0" wp14:anchorId="17AA8358" wp14:editId="037D8098">
            <wp:extent cx="612140" cy="612140"/>
            <wp:effectExtent l="0" t="0" r="0" b="0"/>
            <wp:docPr id="52" name="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7"/>
                    <pic:cNvPicPr>
                      <a:picLocks noChangeAspect="1" noChangeArrowheads="1"/>
                    </pic:cNvPicPr>
                  </pic:nvPicPr>
                  <pic:blipFill>
                    <a:blip r:embed="rId25"/>
                    <a:stretch>
                      <a:fillRect/>
                    </a:stretch>
                  </pic:blipFill>
                  <pic:spPr bwMode="auto">
                    <a:xfrm>
                      <a:off x="0" y="0"/>
                      <a:ext cx="612140" cy="612140"/>
                    </a:xfrm>
                    <a:prstGeom prst="rect">
                      <a:avLst/>
                    </a:prstGeom>
                  </pic:spPr>
                </pic:pic>
              </a:graphicData>
            </a:graphic>
          </wp:inline>
        </w:drawing>
      </w:r>
      <w:r w:rsidR="00042273">
        <w:rPr>
          <w:noProof/>
          <w:sz w:val="24"/>
          <w:szCs w:val="24"/>
          <w:lang w:val="en-AU" w:eastAsia="en-AU"/>
        </w:rPr>
        <w:drawing>
          <wp:inline distT="0" distB="0" distL="0" distR="0" wp14:anchorId="00BAEE7C" wp14:editId="1E5BC56B">
            <wp:extent cx="612140" cy="612140"/>
            <wp:effectExtent l="0" t="0" r="0" b="0"/>
            <wp:docPr id="53" name="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8"/>
                    <pic:cNvPicPr>
                      <a:picLocks noChangeAspect="1" noChangeArrowheads="1"/>
                    </pic:cNvPicPr>
                  </pic:nvPicPr>
                  <pic:blipFill>
                    <a:blip r:embed="rId19"/>
                    <a:stretch>
                      <a:fillRect/>
                    </a:stretch>
                  </pic:blipFill>
                  <pic:spPr bwMode="auto">
                    <a:xfrm>
                      <a:off x="0" y="0"/>
                      <a:ext cx="612140" cy="612140"/>
                    </a:xfrm>
                    <a:prstGeom prst="rect">
                      <a:avLst/>
                    </a:prstGeom>
                  </pic:spPr>
                </pic:pic>
              </a:graphicData>
            </a:graphic>
          </wp:inline>
        </w:drawing>
      </w:r>
      <w:r w:rsidR="00042273">
        <w:rPr>
          <w:noProof/>
          <w:sz w:val="24"/>
          <w:szCs w:val="24"/>
          <w:lang w:val="en-AU" w:eastAsia="en-AU"/>
        </w:rPr>
        <w:drawing>
          <wp:inline distT="0" distB="0" distL="0" distR="0" wp14:anchorId="41B16074" wp14:editId="4CCE2B87">
            <wp:extent cx="609600" cy="609600"/>
            <wp:effectExtent l="0" t="0" r="0" b="0"/>
            <wp:docPr id="54" name="Image4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3" descr="C:\Users\scarpen2\AppData\Local\Microsoft\Windows\INetCache\Content.Word\SDG 8.png"/>
                    <pic:cNvPicPr>
                      <a:picLocks noChangeAspect="1" noChangeArrowheads="1"/>
                    </pic:cNvPicPr>
                  </pic:nvPicPr>
                  <pic:blipFill>
                    <a:blip r:embed="rId21"/>
                    <a:stretch>
                      <a:fillRect/>
                    </a:stretch>
                  </pic:blipFill>
                  <pic:spPr bwMode="auto">
                    <a:xfrm>
                      <a:off x="0" y="0"/>
                      <a:ext cx="609600" cy="609600"/>
                    </a:xfrm>
                    <a:prstGeom prst="rect">
                      <a:avLst/>
                    </a:prstGeom>
                  </pic:spPr>
                </pic:pic>
              </a:graphicData>
            </a:graphic>
          </wp:inline>
        </w:drawing>
      </w:r>
      <w:r w:rsidR="00042273">
        <w:rPr>
          <w:noProof/>
          <w:sz w:val="24"/>
          <w:szCs w:val="24"/>
          <w:lang w:val="en-AU" w:eastAsia="en-AU"/>
        </w:rPr>
        <w:drawing>
          <wp:inline distT="0" distB="0" distL="0" distR="0" wp14:anchorId="1C68B30F" wp14:editId="77AA1831">
            <wp:extent cx="612140" cy="612140"/>
            <wp:effectExtent l="0" t="0" r="0" b="0"/>
            <wp:docPr id="55" name="Image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1"/>
                    <pic:cNvPicPr>
                      <a:picLocks noChangeAspect="1" noChangeArrowheads="1"/>
                    </pic:cNvPicPr>
                  </pic:nvPicPr>
                  <pic:blipFill>
                    <a:blip r:embed="rId24"/>
                    <a:stretch>
                      <a:fillRect/>
                    </a:stretch>
                  </pic:blipFill>
                  <pic:spPr bwMode="auto">
                    <a:xfrm>
                      <a:off x="0" y="0"/>
                      <a:ext cx="612140" cy="612140"/>
                    </a:xfrm>
                    <a:prstGeom prst="rect">
                      <a:avLst/>
                    </a:prstGeom>
                  </pic:spPr>
                </pic:pic>
              </a:graphicData>
            </a:graphic>
          </wp:inline>
        </w:drawing>
      </w:r>
    </w:p>
    <w:p w:rsidR="00C81AEA" w:rsidRPr="00A85500" w:rsidRDefault="00E2086F" w:rsidP="00092E77">
      <w:r>
        <w:t>Progress against this</w:t>
      </w:r>
      <w:r w:rsidR="00DA4059" w:rsidRPr="00A85500">
        <w:t xml:space="preserve"> objective remains on track in 2017-18 and has been rated as green. A mid-term review of the non-scholarships components of </w:t>
      </w:r>
      <w:r w:rsidR="00DA4059" w:rsidRPr="00584DDE">
        <w:rPr>
          <w:i/>
        </w:rPr>
        <w:t>Aus4Skills</w:t>
      </w:r>
      <w:r w:rsidR="00DA4059" w:rsidRPr="00A85500">
        <w:t xml:space="preserve"> undertaken in September 2018 should allow us to make more robust claims about effectiveness in 2018-19</w:t>
      </w:r>
      <w:r w:rsidR="00DA4059">
        <w:t xml:space="preserve"> and refresh the PAF accordingly</w:t>
      </w:r>
      <w:r w:rsidR="00DA4059" w:rsidRPr="00A85500">
        <w:t>.</w:t>
      </w:r>
      <w:r w:rsidR="00DA4059">
        <w:t xml:space="preserve"> </w:t>
      </w:r>
      <w:r w:rsidR="00C81AEA" w:rsidRPr="00A85500">
        <w:t xml:space="preserve">This objective is delivered primarily through the </w:t>
      </w:r>
      <w:r w:rsidR="00C81AEA" w:rsidRPr="00584DDE">
        <w:rPr>
          <w:i/>
        </w:rPr>
        <w:t>Aus4Skills</w:t>
      </w:r>
      <w:r w:rsidR="00C81AEA" w:rsidRPr="00A85500">
        <w:t xml:space="preserve"> program</w:t>
      </w:r>
      <w:r w:rsidR="00504945">
        <w:t xml:space="preserve">. </w:t>
      </w:r>
      <w:r w:rsidR="00504945" w:rsidRPr="00584DDE">
        <w:rPr>
          <w:i/>
        </w:rPr>
        <w:t>Aus4Skills</w:t>
      </w:r>
      <w:r w:rsidR="00504945" w:rsidRPr="00C522CC">
        <w:t xml:space="preserve"> continues to align with Vietnam's human resource development (HRD) priorities in the HRD Master Plan by 2020</w:t>
      </w:r>
      <w:r w:rsidR="00C522CC">
        <w:t xml:space="preserve">. </w:t>
      </w:r>
      <w:r w:rsidR="00022DF4">
        <w:t>T</w:t>
      </w:r>
      <w:r w:rsidR="00022DF4" w:rsidRPr="00A85500">
        <w:t xml:space="preserve">he </w:t>
      </w:r>
      <w:r w:rsidR="00022DF4" w:rsidRPr="00584DDE">
        <w:rPr>
          <w:i/>
        </w:rPr>
        <w:t>Aus4Skills</w:t>
      </w:r>
      <w:r w:rsidR="00022DF4" w:rsidRPr="00A85500">
        <w:t xml:space="preserve"> </w:t>
      </w:r>
      <w:r w:rsidR="00022DF4">
        <w:t xml:space="preserve">toolbox includes </w:t>
      </w:r>
      <w:r w:rsidR="00C81AEA" w:rsidRPr="00A85500">
        <w:t xml:space="preserve">Australia </w:t>
      </w:r>
      <w:r w:rsidR="00AF1F53">
        <w:t>A</w:t>
      </w:r>
      <w:r w:rsidR="00C81AEA" w:rsidRPr="00A85500">
        <w:t>wards</w:t>
      </w:r>
      <w:r w:rsidR="00BD520C">
        <w:t xml:space="preserve"> short courses,</w:t>
      </w:r>
      <w:r w:rsidR="00C81AEA" w:rsidRPr="00A85500">
        <w:t xml:space="preserve"> informal learning oppo</w:t>
      </w:r>
      <w:r w:rsidR="00BD520C">
        <w:t xml:space="preserve">rtunities including study tours, </w:t>
      </w:r>
      <w:r w:rsidR="00022DF4">
        <w:t xml:space="preserve">and technical assistance. HRD contributions have also been made through </w:t>
      </w:r>
      <w:r w:rsidR="00BD520C">
        <w:t xml:space="preserve">human rights cooperation, </w:t>
      </w:r>
      <w:r w:rsidR="00022DF4">
        <w:t xml:space="preserve">the implementation of the </w:t>
      </w:r>
      <w:r w:rsidR="0060222C">
        <w:t>a</w:t>
      </w:r>
      <w:r w:rsidR="00C81AEA" w:rsidRPr="00A85500">
        <w:t>lumni engagement</w:t>
      </w:r>
      <w:r w:rsidR="00022DF4">
        <w:t xml:space="preserve"> strategy</w:t>
      </w:r>
      <w:r w:rsidR="00C81AEA" w:rsidRPr="00A85500">
        <w:t xml:space="preserve">, </w:t>
      </w:r>
      <w:r w:rsidR="00BD520C">
        <w:t xml:space="preserve">and </w:t>
      </w:r>
      <w:r w:rsidR="00C81AEA" w:rsidRPr="00A85500">
        <w:t xml:space="preserve">the Australian Volunteers </w:t>
      </w:r>
      <w:r w:rsidR="0060222C">
        <w:t>p</w:t>
      </w:r>
      <w:r w:rsidR="00EC44AB">
        <w:t>rogram.</w:t>
      </w:r>
    </w:p>
    <w:p w:rsidR="00C81AEA" w:rsidRPr="00A85500" w:rsidRDefault="00C81AEA" w:rsidP="00092E77">
      <w:r w:rsidRPr="00A85500">
        <w:t>Based on the growing capacity of Vietnamese students to self-fund and the established international reputation of Australia’s higher education system, we implemented a red</w:t>
      </w:r>
      <w:r w:rsidR="00EC44AB">
        <w:t>uction in the number of Masters</w:t>
      </w:r>
      <w:r w:rsidR="00EC44AB">
        <w:noBreakHyphen/>
      </w:r>
      <w:r w:rsidRPr="00A85500">
        <w:t>level scholarships as planned (from 80 in 2016-17 to 60 scholarships in 2017-18). We have successfully transitioned the Australia Awards Scholarship (AAS) program to becoming a tool of influence by targeting agencies and institutions which require capacity building and engage our broader foreign policy interests. We also exceeded our G</w:t>
      </w:r>
      <w:r w:rsidR="008F1849" w:rsidRPr="00A85500">
        <w:t xml:space="preserve">ender </w:t>
      </w:r>
      <w:r w:rsidRPr="00A85500">
        <w:t>E</w:t>
      </w:r>
      <w:r w:rsidR="008F1849" w:rsidRPr="00A85500">
        <w:t xml:space="preserve">quality Disability and </w:t>
      </w:r>
      <w:r w:rsidRPr="00A85500">
        <w:t>S</w:t>
      </w:r>
      <w:r w:rsidR="008F1849" w:rsidRPr="00A85500">
        <w:t xml:space="preserve">ocial </w:t>
      </w:r>
      <w:r w:rsidRPr="00A85500">
        <w:t>I</w:t>
      </w:r>
      <w:r w:rsidR="008F1849" w:rsidRPr="00A85500">
        <w:t>nclusion</w:t>
      </w:r>
      <w:r w:rsidRPr="00A85500">
        <w:t xml:space="preserve"> targets for the year. </w:t>
      </w:r>
      <w:r w:rsidR="00EC44AB">
        <w:t>Of 60 </w:t>
      </w:r>
      <w:r w:rsidR="00022DF4" w:rsidRPr="00022DF4">
        <w:t>Master</w:t>
      </w:r>
      <w:r w:rsidR="00EC44AB">
        <w:t>s</w:t>
      </w:r>
      <w:r w:rsidR="00022DF4" w:rsidRPr="00022DF4">
        <w:t xml:space="preserve"> scholarships awarded on a merit basis, women accounted for 76.6 per cent (target of 50 per cent for other country programs). Fourteen awards (23 per cent of scholarships) were provided to members </w:t>
      </w:r>
      <w:r w:rsidR="00022DF4" w:rsidRPr="00022DF4">
        <w:lastRenderedPageBreak/>
        <w:t>of disadvantaged groups (program target of 20 per cent).</w:t>
      </w:r>
      <w:r w:rsidR="00104B68">
        <w:t xml:space="preserve"> </w:t>
      </w:r>
      <w:r w:rsidRPr="00A85500">
        <w:t>We continued to capitalise on our scholarship investments</w:t>
      </w:r>
      <w:r w:rsidR="00F85C8F">
        <w:t>,</w:t>
      </w:r>
      <w:r w:rsidRPr="00A85500">
        <w:t xml:space="preserve"> and other alumni with positive experiences of studying in Australia</w:t>
      </w:r>
      <w:r w:rsidR="00F85C8F">
        <w:t>,</w:t>
      </w:r>
      <w:r w:rsidRPr="00A85500">
        <w:t xml:space="preserve"> through the Global and Post Alumni Engagement Strategies. The Post’s strategy </w:t>
      </w:r>
      <w:r w:rsidR="00104B68">
        <w:t xml:space="preserve">implementation </w:t>
      </w:r>
      <w:r w:rsidRPr="00A85500">
        <w:t xml:space="preserve">received a positive endorsement in an independent </w:t>
      </w:r>
      <w:r w:rsidR="00C92471" w:rsidRPr="00A85500">
        <w:t xml:space="preserve">review </w:t>
      </w:r>
      <w:r w:rsidR="00264545">
        <w:t>(March 2018)</w:t>
      </w:r>
      <w:r w:rsidRPr="00A85500">
        <w:t>,</w:t>
      </w:r>
      <w:r w:rsidR="00264545">
        <w:t xml:space="preserve"> with ongoing commitment to the objectives of the strategy by stakeholders. W</w:t>
      </w:r>
      <w:r w:rsidRPr="00A85500">
        <w:t>e have implemented some recommended changes to further improve outcomes</w:t>
      </w:r>
      <w:r w:rsidR="007A1768">
        <w:t xml:space="preserve">, including moving beyond networking to ongoing professional development and expansion of alumni professional </w:t>
      </w:r>
      <w:r w:rsidR="00C92471">
        <w:t>groups</w:t>
      </w:r>
      <w:r w:rsidR="00C92471" w:rsidRPr="00A85500">
        <w:t>.</w:t>
      </w:r>
      <w:r w:rsidR="00264545">
        <w:t xml:space="preserve"> </w:t>
      </w:r>
      <w:r w:rsidR="00104B68">
        <w:t>Implementation requires continuous</w:t>
      </w:r>
      <w:r w:rsidRPr="00A85500">
        <w:t xml:space="preserve"> refinement, particularly to identify and engage the most influential alumni for impact among the 60,000 and growing alumni base in Vietnam</w:t>
      </w:r>
      <w:r w:rsidR="00BD520C">
        <w:t>.</w:t>
      </w:r>
      <w:r w:rsidR="00EC44AB" w:rsidRPr="004414D8">
        <w:rPr>
          <w:vertAlign w:val="superscript"/>
        </w:rPr>
        <w:footnoteReference w:id="9"/>
      </w:r>
    </w:p>
    <w:p w:rsidR="00C81AEA" w:rsidRPr="00A85500" w:rsidRDefault="00C522CC" w:rsidP="00092E77">
      <w:r>
        <w:t>In the first full year of implementation, n</w:t>
      </w:r>
      <w:r w:rsidR="009C6664">
        <w:t>on-scholarship</w:t>
      </w:r>
      <w:r w:rsidRPr="00C522CC">
        <w:t xml:space="preserve"> activities were </w:t>
      </w:r>
      <w:r>
        <w:t xml:space="preserve">undertaken </w:t>
      </w:r>
      <w:r w:rsidRPr="00C522CC">
        <w:t xml:space="preserve">across five components to address key bottlenecks </w:t>
      </w:r>
      <w:r w:rsidRPr="00C3490C">
        <w:t xml:space="preserve">to Vietnam's skills development. </w:t>
      </w:r>
      <w:r w:rsidRPr="00DA598B">
        <w:t xml:space="preserve">These include: </w:t>
      </w:r>
      <w:r w:rsidR="004A0595">
        <w:t xml:space="preserve">engaging </w:t>
      </w:r>
      <w:r w:rsidRPr="00DA598B">
        <w:t>industry in V</w:t>
      </w:r>
      <w:r w:rsidRPr="004414D8">
        <w:t>ocational Education and Training (VET)</w:t>
      </w:r>
      <w:r w:rsidR="004A0595">
        <w:t xml:space="preserve"> to deal with </w:t>
      </w:r>
      <w:r w:rsidR="004A0595" w:rsidRPr="00DA598B">
        <w:t>the mismatch and low quality of vocational training</w:t>
      </w:r>
      <w:r w:rsidRPr="004414D8">
        <w:t xml:space="preserve">; </w:t>
      </w:r>
      <w:r w:rsidR="004A0595">
        <w:t xml:space="preserve">reducing </w:t>
      </w:r>
      <w:r w:rsidRPr="004414D8">
        <w:t>barriers to Vietnam's northern mountainous region</w:t>
      </w:r>
      <w:r w:rsidR="00D26C67" w:rsidRPr="004414D8">
        <w:t>al</w:t>
      </w:r>
      <w:r w:rsidRPr="004414D8">
        <w:t xml:space="preserve"> population (particularly ethnic students) in obtaining access to relevant and quality university education; </w:t>
      </w:r>
      <w:r w:rsidR="004A0595">
        <w:t xml:space="preserve">decreasing </w:t>
      </w:r>
      <w:r w:rsidRPr="004414D8">
        <w:t xml:space="preserve">barriers to women exercising leadership roles; </w:t>
      </w:r>
      <w:r w:rsidRPr="00744BD3">
        <w:t>and contributing formal inputs to organisational processes</w:t>
      </w:r>
      <w:r w:rsidRPr="004414D8">
        <w:t>.</w:t>
      </w:r>
      <w:r w:rsidRPr="00DA598B">
        <w:t xml:space="preserve"> </w:t>
      </w:r>
      <w:r>
        <w:t>W</w:t>
      </w:r>
      <w:r w:rsidR="00C81AEA" w:rsidRPr="00A85500">
        <w:t xml:space="preserve">e drew on a range of Australian individual and institutional expertise to transfer skills and knowledge to Vietnam, focussing on pilot projects to influence Vietnam’s reform agenda, and engaging the Vietnamese private sector as agents for change in the </w:t>
      </w:r>
      <w:r>
        <w:t xml:space="preserve">VET </w:t>
      </w:r>
      <w:r w:rsidR="00C81AEA" w:rsidRPr="00A85500">
        <w:t>system domestically. We supported the establishment of a Logistics Industry Reference Council (LIRC) comprising Government, industry and VET institutions, demonstrating the benefit of a multi-stakeholder approach to VET at the sectoral level.</w:t>
      </w:r>
      <w:r w:rsidR="00D26C67" w:rsidRPr="004414D8">
        <w:rPr>
          <w:vertAlign w:val="superscript"/>
        </w:rPr>
        <w:footnoteReference w:id="10"/>
      </w:r>
      <w:r w:rsidR="00C81AEA" w:rsidRPr="00A85500">
        <w:t xml:space="preserve"> We have rec</w:t>
      </w:r>
      <w:r w:rsidR="00BD520C">
        <w:t xml:space="preserve">ently been advised by </w:t>
      </w:r>
      <w:proofErr w:type="spellStart"/>
      <w:r w:rsidR="00BD520C">
        <w:t>GoV</w:t>
      </w:r>
      <w:proofErr w:type="spellEnd"/>
      <w:r w:rsidR="00C81AEA" w:rsidRPr="00A85500">
        <w:t xml:space="preserve"> contacts that the LIRC model is one that Vietnam will seek to replicate across multiple sectors, an outstanding result for a project that is only one year old. </w:t>
      </w:r>
      <w:r w:rsidR="00C81AEA" w:rsidRPr="00092E77">
        <w:t xml:space="preserve">Working with the Australian Department of Agriculture and Water Resources </w:t>
      </w:r>
      <w:r w:rsidR="00CE32B2" w:rsidRPr="00092E77">
        <w:t xml:space="preserve">(DAWR) </w:t>
      </w:r>
      <w:r w:rsidR="00C81AEA" w:rsidRPr="00092E77">
        <w:t>and Meat and Livestock Australia</w:t>
      </w:r>
      <w:r w:rsidR="00CE32B2" w:rsidRPr="00092E77">
        <w:t xml:space="preserve"> (MLA)</w:t>
      </w:r>
      <w:r w:rsidR="00C81AEA" w:rsidRPr="00092E77">
        <w:t>, we designed and commenced implementation of a series of short courses to upskill Vietnamese abattoir managers and workers processing Australian live cattle in Vietnam</w:t>
      </w:r>
      <w:r w:rsidR="00C92471" w:rsidRPr="00092E77">
        <w:t>.</w:t>
      </w:r>
      <w:r w:rsidR="00C92471" w:rsidRPr="00B92C96">
        <w:rPr>
          <w:vertAlign w:val="superscript"/>
        </w:rPr>
        <w:footnoteReference w:id="11"/>
      </w:r>
      <w:r w:rsidR="00C81AEA" w:rsidRPr="00092E77">
        <w:t xml:space="preserve"> </w:t>
      </w:r>
      <w:r w:rsidR="00CE32B2" w:rsidRPr="00092E77">
        <w:t>DAWR and MLA report t</w:t>
      </w:r>
      <w:r w:rsidR="00C81AEA" w:rsidRPr="00092E77">
        <w:t>he program improved the quality, safety and animal welfare outcomes at the participating establishments and created linkages between Vietnamese meat-processing businesses in Vietnam. T</w:t>
      </w:r>
      <w:r w:rsidR="00C81AEA" w:rsidRPr="00A85500">
        <w:t xml:space="preserve">hese pilot projects are innovative, but risky, and we will look to </w:t>
      </w:r>
      <w:r w:rsidR="004C2A4C">
        <w:t>further engage</w:t>
      </w:r>
      <w:r w:rsidR="004C2A4C" w:rsidRPr="004C2A4C">
        <w:t xml:space="preserve"> </w:t>
      </w:r>
      <w:r w:rsidR="004C2A4C" w:rsidRPr="00A85500">
        <w:t>whole-of-government</w:t>
      </w:r>
      <w:r w:rsidR="004C2A4C">
        <w:t xml:space="preserve"> representation to develop the next phase of</w:t>
      </w:r>
      <w:r w:rsidR="00C81AEA" w:rsidRPr="00A85500">
        <w:t xml:space="preserve"> the program to ensure that these projects</w:t>
      </w:r>
      <w:r w:rsidR="007A1768">
        <w:t xml:space="preserve"> continue to</w:t>
      </w:r>
      <w:r w:rsidR="00C81AEA" w:rsidRPr="00A85500">
        <w:t xml:space="preserve"> translate into outcomes in line with the AIP and Australi</w:t>
      </w:r>
      <w:r w:rsidR="00D26C67">
        <w:t>a’s broader policy objectives.</w:t>
      </w:r>
    </w:p>
    <w:p w:rsidR="00C81AEA" w:rsidRPr="00A85500" w:rsidRDefault="00C81AEA" w:rsidP="00092E77">
      <w:r w:rsidRPr="00A85500">
        <w:t>We created institutional linkages in support of Australia’s Internation</w:t>
      </w:r>
      <w:r w:rsidR="002F4129">
        <w:t>al</w:t>
      </w:r>
      <w:r w:rsidRPr="00A85500">
        <w:t xml:space="preserve"> Education Strategy and built capacity in support of Vietnamese objectives to realise full university autonomy by 2020 through the Improving Quality of Universities in the Northern Mountainous Region (QUNIS) project.</w:t>
      </w:r>
      <w:r w:rsidR="004414D8" w:rsidRPr="00B92C96">
        <w:rPr>
          <w:vertAlign w:val="superscript"/>
        </w:rPr>
        <w:footnoteReference w:id="12"/>
      </w:r>
      <w:r w:rsidRPr="00A85500">
        <w:t xml:space="preserve"> Short courses and technical expertise have equipped the universities’ management boards and teaching staff with knowledge and skills in university governance, strategic management, women in leadership, and curriculum development</w:t>
      </w:r>
      <w:r w:rsidR="000A034B">
        <w:t>,</w:t>
      </w:r>
      <w:r w:rsidR="004C2A4C">
        <w:t xml:space="preserve"> which have led </w:t>
      </w:r>
      <w:r w:rsidR="004C2A4C" w:rsidRPr="009C6664">
        <w:t xml:space="preserve">to </w:t>
      </w:r>
      <w:r w:rsidR="000A034B" w:rsidRPr="009C6664">
        <w:t xml:space="preserve">courses </w:t>
      </w:r>
      <w:r w:rsidR="005D44C4" w:rsidRPr="009C6664">
        <w:t xml:space="preserve">that are </w:t>
      </w:r>
      <w:r w:rsidR="004C2A4C" w:rsidRPr="009C6664">
        <w:t>more relevant for</w:t>
      </w:r>
      <w:r w:rsidR="004C2A4C">
        <w:t xml:space="preserve"> employability of graduates, links to industry and internships</w:t>
      </w:r>
      <w:r w:rsidR="009961B9" w:rsidRPr="00A85500">
        <w:t>. QUNIS will make a major</w:t>
      </w:r>
      <w:r w:rsidRPr="00A85500">
        <w:t xml:space="preserve"> contributi</w:t>
      </w:r>
      <w:r w:rsidR="009961B9" w:rsidRPr="00A85500">
        <w:t>on</w:t>
      </w:r>
      <w:r w:rsidRPr="00A85500">
        <w:t xml:space="preserve"> to the development of one of the poorest regions in Vietnam </w:t>
      </w:r>
      <w:r w:rsidR="009961B9" w:rsidRPr="00A85500">
        <w:t xml:space="preserve">and will provide educational opportunities for the significant proportion </w:t>
      </w:r>
      <w:r w:rsidRPr="00A85500">
        <w:t>of ethnic minority Vietnamese</w:t>
      </w:r>
      <w:r w:rsidR="009961B9" w:rsidRPr="00A85500">
        <w:t xml:space="preserve"> that attend the target universities</w:t>
      </w:r>
      <w:r w:rsidRPr="00A85500">
        <w:t>. A small investment to support a Masters-level course in Human Rights Law at the Vietnam National University</w:t>
      </w:r>
      <w:r w:rsidR="000A034B">
        <w:t>,</w:t>
      </w:r>
      <w:r w:rsidRPr="00A85500">
        <w:t xml:space="preserve"> drawing on technical expertise from the </w:t>
      </w:r>
      <w:proofErr w:type="spellStart"/>
      <w:r w:rsidRPr="00A85500">
        <w:t>Castan</w:t>
      </w:r>
      <w:proofErr w:type="spellEnd"/>
      <w:r w:rsidRPr="00A85500">
        <w:t xml:space="preserve"> Centre for Human Rights Law at Monash University, improv</w:t>
      </w:r>
      <w:r w:rsidR="00EA7907">
        <w:t>ing</w:t>
      </w:r>
      <w:r w:rsidRPr="00A85500">
        <w:t xml:space="preserve"> teaching capacity and curriculum development on h</w:t>
      </w:r>
      <w:r w:rsidR="000A034B">
        <w:t>uman rights issues in Vietnam.</w:t>
      </w:r>
    </w:p>
    <w:p w:rsidR="00C81AEA" w:rsidRPr="00A85500" w:rsidRDefault="00C81AEA" w:rsidP="00092E77">
      <w:r w:rsidRPr="00A85500">
        <w:t>In</w:t>
      </w:r>
      <w:r w:rsidR="00CE32B2">
        <w:t xml:space="preserve"> </w:t>
      </w:r>
      <w:r w:rsidR="004C2A4C">
        <w:t xml:space="preserve">line with </w:t>
      </w:r>
      <w:r w:rsidRPr="00A85500">
        <w:t>Post’s Gender Equality Strategy</w:t>
      </w:r>
      <w:r w:rsidR="00244CE9">
        <w:t xml:space="preserve"> and</w:t>
      </w:r>
      <w:r w:rsidRPr="00A85500">
        <w:t xml:space="preserve"> the AIP, we provided support to the </w:t>
      </w:r>
      <w:proofErr w:type="spellStart"/>
      <w:r w:rsidRPr="00A85500">
        <w:t>Ho</w:t>
      </w:r>
      <w:proofErr w:type="spellEnd"/>
      <w:r w:rsidRPr="00A85500">
        <w:t xml:space="preserve"> Chi Minh Political Academy (HCMPA) to deliver a </w:t>
      </w:r>
      <w:r w:rsidR="0060222C">
        <w:t>‘</w:t>
      </w:r>
      <w:r w:rsidRPr="00A85500">
        <w:t>Gender in Leadership and Management</w:t>
      </w:r>
      <w:r w:rsidR="0060222C">
        <w:t>’</w:t>
      </w:r>
      <w:r w:rsidRPr="00A85500">
        <w:t xml:space="preserve"> subject as part of a two-year Diploma of Politics program.</w:t>
      </w:r>
      <w:r w:rsidR="000A034B" w:rsidRPr="004414D8">
        <w:rPr>
          <w:vertAlign w:val="superscript"/>
        </w:rPr>
        <w:footnoteReference w:id="13"/>
      </w:r>
      <w:r w:rsidRPr="00A85500">
        <w:t xml:space="preserve"> </w:t>
      </w:r>
      <w:r w:rsidR="00244CE9">
        <w:t xml:space="preserve">The HCMPA is the principal training institute for the Communist Party of </w:t>
      </w:r>
      <w:r w:rsidR="00244CE9">
        <w:lastRenderedPageBreak/>
        <w:t xml:space="preserve">Vietnam </w:t>
      </w:r>
      <w:r w:rsidR="00DA4C03">
        <w:t xml:space="preserve">(CPV) </w:t>
      </w:r>
      <w:r w:rsidR="00244CE9">
        <w:t xml:space="preserve">and all Vietnamese officials seeking promotion to a senior executive-equivalent position must undertake this training at the HCMPA. By </w:t>
      </w:r>
      <w:r w:rsidR="00513B0B">
        <w:t>mainstreaming</w:t>
      </w:r>
      <w:r w:rsidR="00244CE9">
        <w:t xml:space="preserve"> gender into the curriculum at the HCMPA, Australia’s investment will reach officials destined for leadership positions throughout Vietnam. </w:t>
      </w:r>
      <w:r w:rsidR="00DA4C03">
        <w:t>Other gender investments will be c</w:t>
      </w:r>
      <w:r w:rsidR="00244CE9">
        <w:t xml:space="preserve">omplementary </w:t>
      </w:r>
      <w:r w:rsidR="00DA4C03">
        <w:t>in</w:t>
      </w:r>
      <w:r w:rsidR="00244CE9">
        <w:t xml:space="preserve"> </w:t>
      </w:r>
      <w:r w:rsidR="00DA4C03">
        <w:t xml:space="preserve">promoting workplace and legislative change. The </w:t>
      </w:r>
      <w:r w:rsidRPr="00A85500">
        <w:t xml:space="preserve">connections with the </w:t>
      </w:r>
      <w:r w:rsidR="00DA7BCB">
        <w:t>HCMPA</w:t>
      </w:r>
      <w:r w:rsidR="00DA4C03">
        <w:t xml:space="preserve"> made through this investment</w:t>
      </w:r>
      <w:r w:rsidRPr="00A85500">
        <w:t xml:space="preserve"> have opened up a new avenue for dialogue </w:t>
      </w:r>
      <w:r w:rsidR="00DA4C03">
        <w:t>between the Post and</w:t>
      </w:r>
      <w:r w:rsidRPr="00A85500">
        <w:t xml:space="preserve"> CPV leaders.</w:t>
      </w:r>
      <w:r w:rsidR="000A034B" w:rsidRPr="004414D8">
        <w:rPr>
          <w:vertAlign w:val="superscript"/>
        </w:rPr>
        <w:footnoteReference w:id="14"/>
      </w:r>
      <w:r w:rsidRPr="00A85500">
        <w:t xml:space="preserve"> Our positive partnership experience with the HCMPA </w:t>
      </w:r>
      <w:r w:rsidR="00104B68">
        <w:t xml:space="preserve">and </w:t>
      </w:r>
      <w:r w:rsidRPr="00A85500">
        <w:t xml:space="preserve">desire to </w:t>
      </w:r>
      <w:r w:rsidR="00104B68">
        <w:t>increase</w:t>
      </w:r>
      <w:r w:rsidRPr="00A85500">
        <w:t xml:space="preserve"> engagement on human rights issues with Vietnam will lead to an additional partnership with the Australian Human Rights Commission (AHRC) and the HCMPA to implement </w:t>
      </w:r>
      <w:r w:rsidR="00104B68">
        <w:t xml:space="preserve">the </w:t>
      </w:r>
      <w:r w:rsidRPr="00A85500">
        <w:t>Prime Ministerial directive to implement human rights education at all levels in Vietnam</w:t>
      </w:r>
      <w:r w:rsidR="00104B68">
        <w:t>.</w:t>
      </w:r>
      <w:r w:rsidR="00CB0572" w:rsidRPr="009C6664">
        <w:rPr>
          <w:vertAlign w:val="superscript"/>
        </w:rPr>
        <w:footnoteReference w:id="15"/>
      </w:r>
    </w:p>
    <w:p w:rsidR="00042273" w:rsidRPr="00104B68" w:rsidRDefault="00C81AEA" w:rsidP="00092E77">
      <w:r w:rsidRPr="00A85500">
        <w:t>We continued our high level of engagement on the Australian Volunteers program during the transition of providers,</w:t>
      </w:r>
      <w:r w:rsidR="00CB0572" w:rsidRPr="004414D8">
        <w:rPr>
          <w:vertAlign w:val="superscript"/>
        </w:rPr>
        <w:footnoteReference w:id="16"/>
      </w:r>
      <w:r w:rsidRPr="00A85500">
        <w:t xml:space="preserve"> targeting CPV and </w:t>
      </w:r>
      <w:proofErr w:type="spellStart"/>
      <w:r w:rsidR="008D4FB4">
        <w:t>GoV</w:t>
      </w:r>
      <w:proofErr w:type="spellEnd"/>
      <w:r w:rsidRPr="00A85500">
        <w:t xml:space="preserve"> institutions (such as Vietnam Women’s Union, Ministry of Natural Resources and Environment</w:t>
      </w:r>
      <w:r w:rsidR="00881924">
        <w:t>,</w:t>
      </w:r>
      <w:r w:rsidRPr="00A85500">
        <w:t xml:space="preserve"> and Ministry of Agriculture and Rural Development) and high-priority development needs to ensure placements achieve the objectives of volunteers, Vietnam</w:t>
      </w:r>
      <w:r w:rsidR="007E5D2C" w:rsidRPr="00A85500">
        <w:t>,</w:t>
      </w:r>
      <w:r w:rsidRPr="00A85500">
        <w:t xml:space="preserve"> and Australia. We enhanced people-to-people links between our volunteers, scholarship recipients, alumni and New Colombo Plan students,</w:t>
      </w:r>
      <w:r w:rsidR="007E5D2C" w:rsidRPr="00A85500">
        <w:t xml:space="preserve"> by</w:t>
      </w:r>
      <w:r w:rsidRPr="00A85500">
        <w:t xml:space="preserve"> facilitating networking opportunities and information exchanges between these groups to help them prepare for their assignments, projects and/or study. The flexible nature of the </w:t>
      </w:r>
      <w:r w:rsidRPr="00584DDE">
        <w:rPr>
          <w:i/>
        </w:rPr>
        <w:t>Aus4Skills</w:t>
      </w:r>
      <w:r w:rsidRPr="00A85500">
        <w:t xml:space="preserve"> program will ensure that we are in a position to respond to outcomes of the mid-term review</w:t>
      </w:r>
      <w:r w:rsidR="007E5D2C" w:rsidRPr="00A85500">
        <w:t>. It will also</w:t>
      </w:r>
      <w:r w:rsidRPr="00A85500">
        <w:t xml:space="preserve"> allow us to align the program more closely with</w:t>
      </w:r>
      <w:r w:rsidRPr="00092E77">
        <w:t xml:space="preserve"> Foreign Policy White Paper objectives and Vietnam</w:t>
      </w:r>
      <w:r w:rsidR="007E5D2C" w:rsidRPr="00092E77">
        <w:t>’s</w:t>
      </w:r>
      <w:r w:rsidRPr="00092E77">
        <w:t xml:space="preserve"> changing development needs in the coming year.</w:t>
      </w:r>
    </w:p>
    <w:p w:rsidR="00042273" w:rsidRPr="00A85500" w:rsidRDefault="00042273" w:rsidP="00FC31D9">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A85500">
        <w:rPr>
          <w:rFonts w:asciiTheme="majorHAnsi" w:eastAsiaTheme="majorEastAsia" w:hAnsiTheme="majorHAnsi" w:cstheme="majorBidi"/>
          <w:caps/>
          <w:color w:val="495965" w:themeColor="text2"/>
          <w:sz w:val="38"/>
          <w:szCs w:val="26"/>
          <w:lang w:val="en-GB" w:eastAsia="en-US"/>
        </w:rPr>
        <w:t>Objective 3 – Promoting women’s economic empowerment</w:t>
      </w:r>
      <w:r w:rsidR="00E776BC" w:rsidRPr="00A85500">
        <w:rPr>
          <w:rFonts w:asciiTheme="majorHAnsi" w:eastAsiaTheme="majorEastAsia" w:hAnsiTheme="majorHAnsi" w:cstheme="majorBidi"/>
          <w:caps/>
          <w:color w:val="495965" w:themeColor="text2"/>
          <w:sz w:val="38"/>
          <w:szCs w:val="26"/>
          <w:lang w:val="en-GB" w:eastAsia="en-US"/>
        </w:rPr>
        <w:t>, including ethnic minorities</w:t>
      </w:r>
    </w:p>
    <w:p w:rsidR="00042273" w:rsidRDefault="00A85500" w:rsidP="00042273">
      <w:r>
        <w:rPr>
          <w:rFonts w:asciiTheme="majorHAnsi" w:eastAsiaTheme="majorEastAsia" w:hAnsiTheme="majorHAnsi" w:cstheme="majorBidi"/>
          <w:caps/>
          <w:noProof/>
          <w:sz w:val="38"/>
          <w:szCs w:val="26"/>
          <w:lang w:val="en-AU" w:eastAsia="en-AU"/>
        </w:rPr>
        <w:drawing>
          <wp:inline distT="0" distB="0" distL="0" distR="0" wp14:anchorId="536F1685" wp14:editId="67BFDCEE">
            <wp:extent cx="1104182" cy="698849"/>
            <wp:effectExtent l="0" t="0" r="127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06389" cy="700246"/>
                    </a:xfrm>
                    <a:prstGeom prst="rect">
                      <a:avLst/>
                    </a:prstGeom>
                  </pic:spPr>
                </pic:pic>
              </a:graphicData>
            </a:graphic>
          </wp:inline>
        </w:drawing>
      </w:r>
      <w:r w:rsidR="00042273">
        <w:rPr>
          <w:noProof/>
          <w:sz w:val="24"/>
          <w:szCs w:val="24"/>
          <w:lang w:val="en-AU" w:eastAsia="en-AU"/>
        </w:rPr>
        <w:drawing>
          <wp:inline distT="0" distB="0" distL="0" distR="0" wp14:anchorId="468B96E3" wp14:editId="7428690A">
            <wp:extent cx="612140" cy="612140"/>
            <wp:effectExtent l="0" t="0" r="0" b="0"/>
            <wp:docPr id="15" name="Image35"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5" descr="\\TITAN\CHCH\Desktop\scarpen2\Desktop\New folder (2)\SDG 1.png"/>
                    <pic:cNvPicPr>
                      <a:picLocks noChangeAspect="1" noChangeArrowheads="1"/>
                    </pic:cNvPicPr>
                  </pic:nvPicPr>
                  <pic:blipFill>
                    <a:blip r:embed="rId18"/>
                    <a:stretch>
                      <a:fillRect/>
                    </a:stretch>
                  </pic:blipFill>
                  <pic:spPr bwMode="auto">
                    <a:xfrm>
                      <a:off x="0" y="0"/>
                      <a:ext cx="612140" cy="612140"/>
                    </a:xfrm>
                    <a:prstGeom prst="rect">
                      <a:avLst/>
                    </a:prstGeom>
                  </pic:spPr>
                </pic:pic>
              </a:graphicData>
            </a:graphic>
          </wp:inline>
        </w:drawing>
      </w:r>
      <w:r w:rsidR="00042273">
        <w:rPr>
          <w:noProof/>
          <w:sz w:val="24"/>
          <w:szCs w:val="24"/>
          <w:lang w:val="en-AU" w:eastAsia="en-AU"/>
        </w:rPr>
        <w:drawing>
          <wp:inline distT="0" distB="0" distL="0" distR="0" wp14:anchorId="4D529806" wp14:editId="749EED87">
            <wp:extent cx="612140" cy="612140"/>
            <wp:effectExtent l="0" t="0" r="0" b="0"/>
            <wp:docPr id="35" name="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6"/>
                    <pic:cNvPicPr>
                      <a:picLocks noChangeAspect="1" noChangeArrowheads="1"/>
                    </pic:cNvPicPr>
                  </pic:nvPicPr>
                  <pic:blipFill>
                    <a:blip r:embed="rId26"/>
                    <a:stretch>
                      <a:fillRect/>
                    </a:stretch>
                  </pic:blipFill>
                  <pic:spPr bwMode="auto">
                    <a:xfrm>
                      <a:off x="0" y="0"/>
                      <a:ext cx="612140" cy="612140"/>
                    </a:xfrm>
                    <a:prstGeom prst="rect">
                      <a:avLst/>
                    </a:prstGeom>
                  </pic:spPr>
                </pic:pic>
              </a:graphicData>
            </a:graphic>
          </wp:inline>
        </w:drawing>
      </w:r>
      <w:r w:rsidR="00042273">
        <w:rPr>
          <w:noProof/>
          <w:sz w:val="24"/>
          <w:szCs w:val="24"/>
          <w:lang w:val="en-AU" w:eastAsia="en-AU"/>
        </w:rPr>
        <w:drawing>
          <wp:inline distT="0" distB="0" distL="0" distR="0" wp14:anchorId="100B3B99" wp14:editId="19FA1142">
            <wp:extent cx="612140" cy="612140"/>
            <wp:effectExtent l="0" t="0" r="0" b="0"/>
            <wp:docPr id="36"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40"/>
                    <pic:cNvPicPr>
                      <a:picLocks noChangeAspect="1" noChangeArrowheads="1"/>
                    </pic:cNvPicPr>
                  </pic:nvPicPr>
                  <pic:blipFill>
                    <a:blip r:embed="rId19"/>
                    <a:stretch>
                      <a:fillRect/>
                    </a:stretch>
                  </pic:blipFill>
                  <pic:spPr bwMode="auto">
                    <a:xfrm>
                      <a:off x="0" y="0"/>
                      <a:ext cx="612140" cy="612140"/>
                    </a:xfrm>
                    <a:prstGeom prst="rect">
                      <a:avLst/>
                    </a:prstGeom>
                  </pic:spPr>
                </pic:pic>
              </a:graphicData>
            </a:graphic>
          </wp:inline>
        </w:drawing>
      </w:r>
      <w:r w:rsidR="00042273">
        <w:rPr>
          <w:noProof/>
          <w:sz w:val="24"/>
          <w:szCs w:val="24"/>
          <w:lang w:val="en-AU" w:eastAsia="en-AU"/>
        </w:rPr>
        <w:drawing>
          <wp:inline distT="0" distB="0" distL="0" distR="0" wp14:anchorId="2974DF0E" wp14:editId="039DD9E8">
            <wp:extent cx="609600" cy="609600"/>
            <wp:effectExtent l="0" t="0" r="0" b="0"/>
            <wp:docPr id="37" name="Image44"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4" descr="C:\Users\scarpen2\AppData\Local\Microsoft\Windows\INetCache\Content.Word\SDG 8.png"/>
                    <pic:cNvPicPr>
                      <a:picLocks noChangeAspect="1" noChangeArrowheads="1"/>
                    </pic:cNvPicPr>
                  </pic:nvPicPr>
                  <pic:blipFill>
                    <a:blip r:embed="rId21"/>
                    <a:stretch>
                      <a:fillRect/>
                    </a:stretch>
                  </pic:blipFill>
                  <pic:spPr bwMode="auto">
                    <a:xfrm>
                      <a:off x="0" y="0"/>
                      <a:ext cx="609600" cy="609600"/>
                    </a:xfrm>
                    <a:prstGeom prst="rect">
                      <a:avLst/>
                    </a:prstGeom>
                  </pic:spPr>
                </pic:pic>
              </a:graphicData>
            </a:graphic>
          </wp:inline>
        </w:drawing>
      </w:r>
      <w:r w:rsidR="00042273">
        <w:rPr>
          <w:noProof/>
          <w:sz w:val="24"/>
          <w:szCs w:val="24"/>
          <w:lang w:val="en-AU" w:eastAsia="en-AU"/>
        </w:rPr>
        <w:drawing>
          <wp:inline distT="0" distB="0" distL="0" distR="0" wp14:anchorId="59BD4723" wp14:editId="4D5EE9D9">
            <wp:extent cx="612140" cy="612140"/>
            <wp:effectExtent l="0" t="0" r="0" b="0"/>
            <wp:docPr id="38" name="Imag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46"/>
                    <pic:cNvPicPr>
                      <a:picLocks noChangeAspect="1" noChangeArrowheads="1"/>
                    </pic:cNvPicPr>
                  </pic:nvPicPr>
                  <pic:blipFill>
                    <a:blip r:embed="rId27"/>
                    <a:stretch>
                      <a:fillRect/>
                    </a:stretch>
                  </pic:blipFill>
                  <pic:spPr bwMode="auto">
                    <a:xfrm>
                      <a:off x="0" y="0"/>
                      <a:ext cx="612140" cy="612140"/>
                    </a:xfrm>
                    <a:prstGeom prst="rect">
                      <a:avLst/>
                    </a:prstGeom>
                  </pic:spPr>
                </pic:pic>
              </a:graphicData>
            </a:graphic>
          </wp:inline>
        </w:drawing>
      </w:r>
      <w:r w:rsidR="00042273">
        <w:rPr>
          <w:noProof/>
          <w:sz w:val="24"/>
          <w:szCs w:val="24"/>
          <w:lang w:val="en-AU" w:eastAsia="en-AU"/>
        </w:rPr>
        <w:drawing>
          <wp:inline distT="0" distB="0" distL="0" distR="0" wp14:anchorId="4D3E0565" wp14:editId="5F61CC2E">
            <wp:extent cx="612140" cy="612140"/>
            <wp:effectExtent l="0" t="0" r="0" b="0"/>
            <wp:docPr id="39" name="Image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2"/>
                    <pic:cNvPicPr>
                      <a:picLocks noChangeAspect="1" noChangeArrowheads="1"/>
                    </pic:cNvPicPr>
                  </pic:nvPicPr>
                  <pic:blipFill>
                    <a:blip r:embed="rId24"/>
                    <a:stretch>
                      <a:fillRect/>
                    </a:stretch>
                  </pic:blipFill>
                  <pic:spPr bwMode="auto">
                    <a:xfrm>
                      <a:off x="0" y="0"/>
                      <a:ext cx="612140" cy="612140"/>
                    </a:xfrm>
                    <a:prstGeom prst="rect">
                      <a:avLst/>
                    </a:prstGeom>
                  </pic:spPr>
                </pic:pic>
              </a:graphicData>
            </a:graphic>
          </wp:inline>
        </w:drawing>
      </w:r>
    </w:p>
    <w:p w:rsidR="00DC7AC7" w:rsidRPr="00A85500" w:rsidRDefault="00DA4059" w:rsidP="00092E77">
      <w:r w:rsidRPr="00A85500">
        <w:t xml:space="preserve">Progress against this objective is rated green, with major investments back on track after delays in approval and implementation in 2016-17, and good progress in </w:t>
      </w:r>
      <w:r>
        <w:t xml:space="preserve">building </w:t>
      </w:r>
      <w:r w:rsidRPr="00A85500">
        <w:t>the evidence base for gender-inclusive policy and legislative reform.</w:t>
      </w:r>
      <w:r>
        <w:t xml:space="preserve"> </w:t>
      </w:r>
      <w:r w:rsidR="009961B9" w:rsidRPr="00A85500">
        <w:t xml:space="preserve">This objective is delivered through several major investments that </w:t>
      </w:r>
      <w:r w:rsidR="00DC7AC7" w:rsidRPr="00A85500">
        <w:t>support women’s economic empowerment in Vietnam</w:t>
      </w:r>
      <w:r w:rsidR="009961B9" w:rsidRPr="00A85500">
        <w:t xml:space="preserve"> (</w:t>
      </w:r>
      <w:r w:rsidR="00DC7AC7" w:rsidRPr="00A85500">
        <w:t xml:space="preserve">collectively known as </w:t>
      </w:r>
      <w:r w:rsidR="00DC7AC7" w:rsidRPr="00DC2454">
        <w:rPr>
          <w:i/>
        </w:rPr>
        <w:t>Aus4Equality</w:t>
      </w:r>
      <w:r w:rsidR="009961B9" w:rsidRPr="00A85500">
        <w:t>)</w:t>
      </w:r>
      <w:r w:rsidR="004C2686" w:rsidRPr="00A85500">
        <w:t xml:space="preserve">. This </w:t>
      </w:r>
      <w:proofErr w:type="gramStart"/>
      <w:r w:rsidR="004C2686" w:rsidRPr="00A85500">
        <w:t>includes:</w:t>
      </w:r>
      <w:proofErr w:type="gramEnd"/>
      <w:r w:rsidR="004C2686" w:rsidRPr="00A85500">
        <w:t xml:space="preserve"> t</w:t>
      </w:r>
      <w:r w:rsidR="00DC7AC7" w:rsidRPr="00A85500">
        <w:t xml:space="preserve">he </w:t>
      </w:r>
      <w:r w:rsidR="00DC7AC7" w:rsidRPr="00092E77">
        <w:t xml:space="preserve">Gender Responsive Equitable Agriculture and Tourism program </w:t>
      </w:r>
      <w:r w:rsidR="004C2686" w:rsidRPr="00092E77">
        <w:t>(GREAT)</w:t>
      </w:r>
      <w:r w:rsidR="00211EB9">
        <w:t>;</w:t>
      </w:r>
      <w:r w:rsidR="004C2686" w:rsidRPr="00A85500">
        <w:t xml:space="preserve"> t</w:t>
      </w:r>
      <w:r w:rsidR="00DC7AC7" w:rsidRPr="00A85500">
        <w:t xml:space="preserve">he multi-country </w:t>
      </w:r>
      <w:r w:rsidR="00DC7AC7" w:rsidRPr="00DC2454">
        <w:rPr>
          <w:i/>
        </w:rPr>
        <w:t>Investing in Women</w:t>
      </w:r>
      <w:r w:rsidR="00DC7AC7" w:rsidRPr="00A85500">
        <w:t xml:space="preserve"> </w:t>
      </w:r>
      <w:r w:rsidR="004C2686" w:rsidRPr="00A85500">
        <w:t>initiative; t</w:t>
      </w:r>
      <w:r w:rsidR="00DC7AC7" w:rsidRPr="00A85500">
        <w:t xml:space="preserve">he </w:t>
      </w:r>
      <w:r w:rsidR="00CC3BD5">
        <w:t>g</w:t>
      </w:r>
      <w:r w:rsidR="00DC7AC7" w:rsidRPr="00A85500">
        <w:t xml:space="preserve">ender pillar of the </w:t>
      </w:r>
      <w:r w:rsidR="00DA7BCB" w:rsidRPr="00DC2454">
        <w:rPr>
          <w:i/>
        </w:rPr>
        <w:t>ABP</w:t>
      </w:r>
      <w:r w:rsidR="00DC7AC7" w:rsidRPr="00DC2454">
        <w:rPr>
          <w:i/>
        </w:rPr>
        <w:t>2</w:t>
      </w:r>
      <w:r w:rsidR="004C2686" w:rsidRPr="00A85500">
        <w:t>; and t</w:t>
      </w:r>
      <w:r w:rsidR="00DC7AC7" w:rsidRPr="00A85500">
        <w:t xml:space="preserve">he </w:t>
      </w:r>
      <w:r w:rsidR="00DC7AC7" w:rsidRPr="00092E77">
        <w:t xml:space="preserve">Women’s Empowerment through Agriculture Value Chain Enhancement </w:t>
      </w:r>
      <w:r w:rsidR="004C2686" w:rsidRPr="00092E77">
        <w:t>program (WEAVE)</w:t>
      </w:r>
      <w:r w:rsidR="00FC31D9">
        <w:t>.</w:t>
      </w:r>
    </w:p>
    <w:p w:rsidR="00DC7AC7" w:rsidRPr="00A85500" w:rsidRDefault="00DC7AC7" w:rsidP="00092E77">
      <w:r w:rsidRPr="00A85500">
        <w:t xml:space="preserve">Promoting women’s economic empowerment is a defining aspect of Australia’s development cooperation and reputation in Vietnam. The whole-of-government </w:t>
      </w:r>
      <w:r w:rsidRPr="00A3623F">
        <w:rPr>
          <w:i/>
        </w:rPr>
        <w:t>Australia in Vietnam Gender Equality Strategy</w:t>
      </w:r>
      <w:r w:rsidRPr="00A85500">
        <w:t xml:space="preserve">, launched in November 2016, commits Australia to addressing regulatory and societal barriers to women’s economic participation, and to increasing women’s economic assets and leadership. A review of the Strategy’s action plan in late 2017 found that 41 of 47 actions were ‘on track’. Achievements included the launch of a dedicated course on gender equitable leadership with Vietnam’s premier political training academy; a majority ratio of women awarded Australia Awards and ACIAR scholarships; and successful advocacy on the new SME Support Law, with ‘women-owned </w:t>
      </w:r>
      <w:proofErr w:type="gramStart"/>
      <w:r w:rsidRPr="00A85500">
        <w:t>business’</w:t>
      </w:r>
      <w:proofErr w:type="gramEnd"/>
      <w:r w:rsidRPr="00A85500">
        <w:t xml:space="preserve"> defined for the first time in Vietnam. Of the six lagging actions, half were linked to delays in </w:t>
      </w:r>
      <w:proofErr w:type="spellStart"/>
      <w:r w:rsidR="00DA7BCB">
        <w:t>GoV</w:t>
      </w:r>
      <w:proofErr w:type="spellEnd"/>
      <w:r w:rsidRPr="00A85500">
        <w:t xml:space="preserve"> approvals for investments.</w:t>
      </w:r>
    </w:p>
    <w:p w:rsidR="00DC7AC7" w:rsidRPr="00A85500" w:rsidRDefault="00DC7AC7" w:rsidP="00092E77">
      <w:r w:rsidRPr="00A85500">
        <w:t xml:space="preserve">Australia has a strong and growing reputation on gender equality in Vietnam, evidenced by increasing demand from </w:t>
      </w:r>
      <w:proofErr w:type="spellStart"/>
      <w:r w:rsidR="00DA7BCB">
        <w:t>GoV</w:t>
      </w:r>
      <w:proofErr w:type="spellEnd"/>
      <w:r w:rsidRPr="00A85500">
        <w:t xml:space="preserve"> and development partners for Australia’s expertise. In 2017, Australia and UN Women </w:t>
      </w:r>
      <w:r w:rsidRPr="00A85500">
        <w:lastRenderedPageBreak/>
        <w:t xml:space="preserve">partnered with </w:t>
      </w:r>
      <w:proofErr w:type="spellStart"/>
      <w:r w:rsidR="00DA7BCB">
        <w:t>GoV</w:t>
      </w:r>
      <w:proofErr w:type="spellEnd"/>
      <w:r w:rsidRPr="00A85500">
        <w:t xml:space="preserve"> to improve gender equality in the reform of Vietnam’s Labour Code. Australian technical expertise, delivered through the </w:t>
      </w:r>
      <w:r w:rsidR="009C248A">
        <w:rPr>
          <w:i/>
        </w:rPr>
        <w:t>IW</w:t>
      </w:r>
      <w:r w:rsidRPr="00A85500">
        <w:t xml:space="preserve"> program, identified five policy priorities for gender-equitable reform of the Labour Code, including strengthened measures on workplace sexual harassment and removal of the list of 38 occupations </w:t>
      </w:r>
      <w:r w:rsidR="004500B9">
        <w:t>prohibited for women</w:t>
      </w:r>
      <w:r w:rsidRPr="00A85500">
        <w:t>. The Hanoi-based Ambassadors and Heads of Agencies Gender Policy Group, with a membership of over 30 development partners, adopted Australia’s policy proposals as its advocacy agenda for 2017-18, ahead of the Bill being tabled in the National Assembly next year. A</w:t>
      </w:r>
      <w:r w:rsidR="00B36D4C">
        <w:t xml:space="preserve">ustralia also provided </w:t>
      </w:r>
      <w:r w:rsidRPr="00A85500">
        <w:t>support to Vietnam’s APEC host duties in 2017, including Australian technical advisers supporting coordination of the Women and the Economy Forum Statement, and the production of Gender Integration Guidelines for APEC work-streams and committees. Vietnam regarded these as important, tangible outcomes of their host year, and</w:t>
      </w:r>
      <w:r w:rsidR="00ED71F5" w:rsidRPr="00A85500">
        <w:t xml:space="preserve"> formally acknowledged Australia’s support</w:t>
      </w:r>
      <w:r w:rsidR="0042384B">
        <w:t>.</w:t>
      </w:r>
    </w:p>
    <w:p w:rsidR="00DC7AC7" w:rsidRPr="00A85500" w:rsidRDefault="00DC7AC7" w:rsidP="00092E77">
      <w:r w:rsidRPr="00A85500">
        <w:t xml:space="preserve">In 2017-18, Australia contributed to the statistical evidence base on women and the economy in Vietnam. Through </w:t>
      </w:r>
      <w:r w:rsidR="00DA7BCB">
        <w:t xml:space="preserve">the </w:t>
      </w:r>
      <w:r w:rsidR="00DA7BCB" w:rsidRPr="00DC2454">
        <w:rPr>
          <w:i/>
        </w:rPr>
        <w:t>ABP2</w:t>
      </w:r>
      <w:r w:rsidRPr="00A85500">
        <w:t xml:space="preserve">, we provided technical assistance to Vietnam’s General Statistics Office to update the set of National Gender Statistics, and delivered training in new online database software to provincial statistical officers from all 63 provinces. This dataset will generate trend data on women’s experiences to track their economic and social progress. Our support through the World Bank also produced gender-specific analysis as part of the national Jobs Diagnostics commissioned by the </w:t>
      </w:r>
      <w:proofErr w:type="spellStart"/>
      <w:r w:rsidR="00DA7BCB">
        <w:t>GoV</w:t>
      </w:r>
      <w:proofErr w:type="spellEnd"/>
      <w:r w:rsidRPr="00A85500">
        <w:t xml:space="preserve">, completed preparatory work for Vietnam’s first ever Time Use Survey on women’s unpaid care work, and developed an e-learning platform for </w:t>
      </w:r>
      <w:proofErr w:type="spellStart"/>
      <w:r w:rsidR="00FB20E8">
        <w:t>GoV</w:t>
      </w:r>
      <w:proofErr w:type="spellEnd"/>
      <w:r w:rsidR="00FB20E8" w:rsidRPr="00A85500">
        <w:t xml:space="preserve"> </w:t>
      </w:r>
      <w:r w:rsidRPr="00A85500">
        <w:t xml:space="preserve">officials on assessing the gender impact of legislation. Australia’s concerted focus on gender equality </w:t>
      </w:r>
      <w:r w:rsidR="00FB20E8">
        <w:t xml:space="preserve">in our partnership with the World Bank </w:t>
      </w:r>
      <w:r w:rsidR="00956266">
        <w:t xml:space="preserve">is </w:t>
      </w:r>
      <w:r w:rsidRPr="00A85500">
        <w:t xml:space="preserve">driving </w:t>
      </w:r>
      <w:r w:rsidR="00956266">
        <w:t xml:space="preserve">strong </w:t>
      </w:r>
      <w:r w:rsidRPr="00A85500">
        <w:t xml:space="preserve">gender </w:t>
      </w:r>
      <w:r w:rsidR="00DA7BCB">
        <w:t>outcomes</w:t>
      </w:r>
      <w:r w:rsidRPr="00A85500">
        <w:t xml:space="preserve">. Notably, a review of six of the World Bank’s lending operations in Vietnam resulted in an increased gender focus and improved gender analysis in project design and </w:t>
      </w:r>
      <w:r w:rsidR="00831B5C">
        <w:t>monitoring and evaluation</w:t>
      </w:r>
      <w:r w:rsidRPr="00A85500">
        <w:t xml:space="preserve"> frameworks across a USD 852 million portfolio.</w:t>
      </w:r>
    </w:p>
    <w:p w:rsidR="00DC7AC7" w:rsidRPr="00A85500" w:rsidRDefault="00DA7BCB" w:rsidP="00092E77">
      <w:r>
        <w:t>After delays that led to an a</w:t>
      </w:r>
      <w:r w:rsidR="00DC7AC7" w:rsidRPr="00A85500">
        <w:t>mber rating fo</w:t>
      </w:r>
      <w:r>
        <w:t>r this objective in the 2016-17</w:t>
      </w:r>
      <w:r w:rsidR="00DC7AC7" w:rsidRPr="00A85500">
        <w:t xml:space="preserve"> APPR, there was good progress in Australia’s efforts to support inclusive economic growth in the </w:t>
      </w:r>
      <w:r w:rsidR="00E278C1">
        <w:t xml:space="preserve">ethnically diverse, </w:t>
      </w:r>
      <w:r w:rsidR="00DC7AC7" w:rsidRPr="00A85500">
        <w:t xml:space="preserve">mountainous north-west of Vietnam. Australia secured </w:t>
      </w:r>
      <w:proofErr w:type="spellStart"/>
      <w:r w:rsidR="008D4FB4">
        <w:t>GoV</w:t>
      </w:r>
      <w:proofErr w:type="spellEnd"/>
      <w:r w:rsidR="00DC7AC7" w:rsidRPr="00A85500">
        <w:t xml:space="preserve"> approval for </w:t>
      </w:r>
      <w:r w:rsidR="00C0716A" w:rsidRPr="00A85500">
        <w:t xml:space="preserve">the </w:t>
      </w:r>
      <w:r w:rsidR="00DC7AC7" w:rsidRPr="00DC2454">
        <w:rPr>
          <w:i/>
        </w:rPr>
        <w:t>GREAT</w:t>
      </w:r>
      <w:r w:rsidR="00DC7AC7" w:rsidRPr="00A85500">
        <w:t xml:space="preserve"> </w:t>
      </w:r>
      <w:r w:rsidR="00C0716A" w:rsidRPr="00A85500">
        <w:t>program</w:t>
      </w:r>
      <w:r w:rsidR="004C2686" w:rsidRPr="005B2375">
        <w:t>,</w:t>
      </w:r>
      <w:r w:rsidR="004C2686" w:rsidRPr="00A85500">
        <w:t xml:space="preserve"> fulfilling </w:t>
      </w:r>
      <w:r w:rsidR="0042384B">
        <w:t>our performance target for 2017</w:t>
      </w:r>
      <w:r w:rsidR="0042384B">
        <w:noBreakHyphen/>
      </w:r>
      <w:r w:rsidR="004C2686" w:rsidRPr="00A85500">
        <w:t>18</w:t>
      </w:r>
      <w:r w:rsidR="00DC7AC7" w:rsidRPr="00A85500">
        <w:t xml:space="preserve">. </w:t>
      </w:r>
      <w:r w:rsidR="00001409" w:rsidRPr="00DC2454">
        <w:rPr>
          <w:i/>
        </w:rPr>
        <w:t>GREAT’s</w:t>
      </w:r>
      <w:r w:rsidR="00001409">
        <w:t xml:space="preserve"> seven-month </w:t>
      </w:r>
      <w:r w:rsidR="00DC7AC7" w:rsidRPr="00A85500">
        <w:t xml:space="preserve">inception phase </w:t>
      </w:r>
      <w:r w:rsidR="00001409">
        <w:t xml:space="preserve">was completed on schedule and </w:t>
      </w:r>
      <w:r w:rsidR="00DC7AC7" w:rsidRPr="00A85500">
        <w:t>laid important foundations for the program, including completion of four baseline analyses of the socio-economic context and market systems</w:t>
      </w:r>
      <w:r w:rsidR="00B62126">
        <w:t>,</w:t>
      </w:r>
      <w:r w:rsidR="00DC7AC7" w:rsidRPr="00A85500">
        <w:t xml:space="preserve"> and approval of the program’s formative provincial engagement, gender equality, and market strategies.</w:t>
      </w:r>
      <w:r w:rsidR="00DC7AC7" w:rsidRPr="00021CCB">
        <w:t xml:space="preserve"> </w:t>
      </w:r>
      <w:r w:rsidR="00DC7AC7" w:rsidRPr="00A85500">
        <w:t xml:space="preserve">In its second year of implementation, the </w:t>
      </w:r>
      <w:r w:rsidR="00DC7AC7" w:rsidRPr="00DC2454">
        <w:rPr>
          <w:i/>
        </w:rPr>
        <w:t>WEAVE</w:t>
      </w:r>
      <w:r w:rsidR="00DC7AC7" w:rsidRPr="00A85500">
        <w:t xml:space="preserve"> program</w:t>
      </w:r>
      <w:r w:rsidR="00C0716A" w:rsidRPr="00A85500">
        <w:t xml:space="preserve"> delivered strong outcomes for rural women </w:t>
      </w:r>
      <w:r w:rsidR="00BA0D51">
        <w:t xml:space="preserve">engaged in cinnamon, </w:t>
      </w:r>
      <w:r w:rsidR="0048464F">
        <w:t>pork</w:t>
      </w:r>
      <w:r w:rsidR="00BA0D51">
        <w:t xml:space="preserve"> and banana value chains</w:t>
      </w:r>
      <w:r w:rsidR="00C0716A" w:rsidRPr="00A85500">
        <w:t>. The program</w:t>
      </w:r>
      <w:r w:rsidR="0042384B">
        <w:t xml:space="preserve"> provided training to 587 </w:t>
      </w:r>
      <w:r w:rsidR="00DC7AC7" w:rsidRPr="00A85500">
        <w:t>households (98 per cent of the target) on post-harvest processing, product marketing and budget management. The benefit of the training has been clear</w:t>
      </w:r>
      <w:r w:rsidR="00831B5C">
        <w:t>,</w:t>
      </w:r>
      <w:r w:rsidR="00DC7AC7" w:rsidRPr="00A85500">
        <w:t xml:space="preserve"> with those project beneficiaries applying advanced farming or post-processing techniques reporting a 15 to 20 per cent increase in </w:t>
      </w:r>
      <w:r w:rsidR="004C5ABA">
        <w:t>selling price</w:t>
      </w:r>
      <w:r w:rsidR="004C5ABA" w:rsidRPr="00A85500">
        <w:t xml:space="preserve"> </w:t>
      </w:r>
      <w:r w:rsidR="00DC7AC7" w:rsidRPr="00A85500">
        <w:t>for their products at the market, compared with the sale of raw materials.</w:t>
      </w:r>
      <w:r w:rsidR="00E32BCD" w:rsidRPr="00E32BCD">
        <w:t xml:space="preserve"> </w:t>
      </w:r>
      <w:r w:rsidR="00E32BCD" w:rsidRPr="00DC2454">
        <w:rPr>
          <w:i/>
        </w:rPr>
        <w:t>WEAVE</w:t>
      </w:r>
      <w:r w:rsidR="00E32BCD">
        <w:t xml:space="preserve"> </w:t>
      </w:r>
      <w:r w:rsidR="0048464F">
        <w:t xml:space="preserve">is also successfully </w:t>
      </w:r>
      <w:r w:rsidR="00110E92">
        <w:t>enhancing</w:t>
      </w:r>
      <w:r w:rsidR="00E32BCD">
        <w:t xml:space="preserve"> </w:t>
      </w:r>
      <w:r w:rsidR="00110E92">
        <w:t xml:space="preserve">women’s role </w:t>
      </w:r>
      <w:r w:rsidR="00E32BCD" w:rsidRPr="00E32BCD">
        <w:t>in decision-making</w:t>
      </w:r>
      <w:r w:rsidR="00E32BCD">
        <w:t>,</w:t>
      </w:r>
      <w:r w:rsidR="00E32BCD" w:rsidRPr="00E32BCD">
        <w:t xml:space="preserve"> </w:t>
      </w:r>
      <w:r w:rsidR="00E32BCD">
        <w:t>with t</w:t>
      </w:r>
      <w:r w:rsidR="00E32BCD" w:rsidRPr="00E32BCD">
        <w:t xml:space="preserve">he number of women in leadership positions in farmer producer groups </w:t>
      </w:r>
      <w:r w:rsidR="00E32BCD">
        <w:t>increasing to 71 per cent (</w:t>
      </w:r>
      <w:r w:rsidR="00E32BCD" w:rsidRPr="00E32BCD">
        <w:t>from a baseline of 49 per cent)</w:t>
      </w:r>
      <w:r w:rsidR="00E32BCD">
        <w:t>.</w:t>
      </w:r>
    </w:p>
    <w:p w:rsidR="00DC7AC7" w:rsidRPr="00A85500" w:rsidRDefault="00DC7AC7" w:rsidP="00092E77">
      <w:r w:rsidRPr="00A85500">
        <w:t>There w</w:t>
      </w:r>
      <w:r w:rsidR="004D1734">
        <w:t>as</w:t>
      </w:r>
      <w:r w:rsidRPr="00A85500">
        <w:t xml:space="preserve"> </w:t>
      </w:r>
      <w:r w:rsidR="004D1734">
        <w:t xml:space="preserve">success </w:t>
      </w:r>
      <w:r w:rsidRPr="00A85500">
        <w:t xml:space="preserve">in Australia’s efforts to promote women’s </w:t>
      </w:r>
      <w:r w:rsidR="00C0716A" w:rsidRPr="00A85500">
        <w:t>leadership and participation</w:t>
      </w:r>
      <w:r w:rsidRPr="00A85500">
        <w:t xml:space="preserve">. After delays in </w:t>
      </w:r>
      <w:proofErr w:type="spellStart"/>
      <w:r w:rsidR="008D4FB4">
        <w:t>GoV</w:t>
      </w:r>
      <w:proofErr w:type="spellEnd"/>
      <w:r w:rsidR="00ED71F5" w:rsidRPr="00A85500">
        <w:t xml:space="preserve"> </w:t>
      </w:r>
      <w:r w:rsidR="00741071" w:rsidRPr="00A85500">
        <w:t>approvals</w:t>
      </w:r>
      <w:r w:rsidRPr="00A85500">
        <w:t xml:space="preserve">, the </w:t>
      </w:r>
      <w:r w:rsidR="00CC3BD5">
        <w:rPr>
          <w:i/>
        </w:rPr>
        <w:t>IW</w:t>
      </w:r>
      <w:r w:rsidRPr="00A85500">
        <w:t xml:space="preserve"> program </w:t>
      </w:r>
      <w:r w:rsidR="00741071" w:rsidRPr="00A85500">
        <w:t xml:space="preserve">launched </w:t>
      </w:r>
      <w:r w:rsidR="00C0716A" w:rsidRPr="00A85500">
        <w:t xml:space="preserve">in 2017 and </w:t>
      </w:r>
      <w:r w:rsidRPr="00A85500">
        <w:t>deliver</w:t>
      </w:r>
      <w:r w:rsidR="00C0716A" w:rsidRPr="00A85500">
        <w:t>ed</w:t>
      </w:r>
      <w:r w:rsidRPr="00A85500">
        <w:t xml:space="preserve"> a number of key milestones in a short timeframe. </w:t>
      </w:r>
      <w:r w:rsidR="004C2686" w:rsidRPr="00A85500">
        <w:t xml:space="preserve">This included </w:t>
      </w:r>
      <w:r w:rsidR="004D1734">
        <w:t>meeting</w:t>
      </w:r>
      <w:r w:rsidR="004D1734" w:rsidRPr="00A85500">
        <w:t xml:space="preserve"> </w:t>
      </w:r>
      <w:r w:rsidR="004C2686" w:rsidRPr="00A85500">
        <w:t xml:space="preserve">the program’s performance target to establish the Vietnam Business Coalition for Women’s Empowerment in January 2018, a significant achievement given the challenging legislative and policy environment for social enterprises in Vietnam.  The eight </w:t>
      </w:r>
      <w:r w:rsidR="004D1734">
        <w:t xml:space="preserve">founding </w:t>
      </w:r>
      <w:r w:rsidR="004C2686" w:rsidRPr="00A85500">
        <w:t xml:space="preserve">coalition members are leading domestic and multinational corporations who have committed </w:t>
      </w:r>
      <w:r w:rsidRPr="00A85500">
        <w:t xml:space="preserve">to </w:t>
      </w:r>
      <w:r w:rsidR="00741071" w:rsidRPr="00A85500">
        <w:t xml:space="preserve">attaining </w:t>
      </w:r>
      <w:r w:rsidRPr="00A85500">
        <w:t xml:space="preserve">Economic Dividends for Gender Equality (EDGE) certification, an audit process that recommends policies to improve gender equality and profitability. All eight companies are on track for EDGE certification by June 2019. </w:t>
      </w:r>
      <w:r w:rsidR="00741071" w:rsidRPr="00A85500">
        <w:t>A</w:t>
      </w:r>
      <w:r w:rsidR="004D1734">
        <w:t>n independent</w:t>
      </w:r>
      <w:r w:rsidR="00741071" w:rsidRPr="00A85500">
        <w:t xml:space="preserve"> review of </w:t>
      </w:r>
      <w:r w:rsidR="00CC3BD5">
        <w:rPr>
          <w:i/>
        </w:rPr>
        <w:t>IW</w:t>
      </w:r>
      <w:r w:rsidR="00110E92">
        <w:t xml:space="preserve"> </w:t>
      </w:r>
      <w:r w:rsidR="00741071" w:rsidRPr="00A85500">
        <w:t xml:space="preserve">in late 2018 will </w:t>
      </w:r>
      <w:r w:rsidR="004D1734">
        <w:t>make recommendations for a possible second phase of the investment</w:t>
      </w:r>
      <w:r w:rsidR="00741071" w:rsidRPr="00A85500">
        <w:t>.</w:t>
      </w:r>
    </w:p>
    <w:p w:rsidR="00DC7AC7" w:rsidRPr="00A85500" w:rsidRDefault="00DC7AC7" w:rsidP="00092E77">
      <w:r w:rsidRPr="00A85500">
        <w:t xml:space="preserve">Finally, Australia expanded its approach and portfolio </w:t>
      </w:r>
      <w:r w:rsidR="003F018D" w:rsidRPr="00A85500">
        <w:t xml:space="preserve">for this objective </w:t>
      </w:r>
      <w:r w:rsidRPr="00A85500">
        <w:t xml:space="preserve">to </w:t>
      </w:r>
      <w:r w:rsidR="00E278C1">
        <w:t xml:space="preserve">address </w:t>
      </w:r>
      <w:r w:rsidRPr="00A85500">
        <w:t xml:space="preserve">key barriers to women’s economic participation. A chief example was entering into a partnership with </w:t>
      </w:r>
      <w:proofErr w:type="spellStart"/>
      <w:r w:rsidR="00E278C1">
        <w:t>GoV</w:t>
      </w:r>
      <w:proofErr w:type="spellEnd"/>
      <w:r w:rsidRPr="00A85500">
        <w:t xml:space="preserve"> and UNFPA </w:t>
      </w:r>
      <w:r w:rsidR="002F4129">
        <w:t xml:space="preserve">(United Nations Population Fund) </w:t>
      </w:r>
      <w:r w:rsidRPr="00A85500">
        <w:t xml:space="preserve">for Vietnam’s </w:t>
      </w:r>
      <w:r w:rsidRPr="00092E77">
        <w:t>Second National Study on Women’s Health and Life Experience</w:t>
      </w:r>
      <w:r w:rsidR="00E278C1">
        <w:t xml:space="preserve">, </w:t>
      </w:r>
      <w:r w:rsidR="00C2673D">
        <w:t xml:space="preserve">to </w:t>
      </w:r>
      <w:r w:rsidR="00E278C1">
        <w:t xml:space="preserve">be completed in </w:t>
      </w:r>
      <w:r w:rsidR="00C2673D">
        <w:t xml:space="preserve">March 2019, </w:t>
      </w:r>
      <w:r w:rsidR="0042384B">
        <w:t xml:space="preserve">which </w:t>
      </w:r>
      <w:r w:rsidR="00C2673D">
        <w:t xml:space="preserve">will </w:t>
      </w:r>
      <w:r w:rsidRPr="00A85500">
        <w:t xml:space="preserve">provide critical evidence on gender-based violence. Australia also commenced new programs with civil society, including one addressing victim blaming for gender-based </w:t>
      </w:r>
      <w:r w:rsidRPr="00A85500">
        <w:lastRenderedPageBreak/>
        <w:t>violence, sexual harassment and wom</w:t>
      </w:r>
      <w:r w:rsidR="003F018D" w:rsidRPr="00A85500">
        <w:t>en’s safety in industrial zones,</w:t>
      </w:r>
      <w:r w:rsidRPr="00A85500">
        <w:t xml:space="preserve"> and one supporting marginalised young ethnic minority women to gain skills and improve their employment prospects through hospitality training.  With another project commencing in 2018-19 (focusing on expanding access to essential sexual and reproductive health services in the north-west provinces), a key challenge will be to minimise fragmentation and further proliferation of projects and ensure efficient m</w:t>
      </w:r>
      <w:r w:rsidR="00D1387B">
        <w:t>anagement of these investments.</w:t>
      </w:r>
    </w:p>
    <w:p w:rsidR="00EE5D1D" w:rsidRDefault="00081709" w:rsidP="00081709">
      <w:pPr>
        <w:pStyle w:val="Heading2"/>
      </w:pPr>
      <w:r>
        <w:t>climate change</w:t>
      </w:r>
    </w:p>
    <w:p w:rsidR="00081709" w:rsidRDefault="00A85500" w:rsidP="00A85500">
      <w:pPr>
        <w:rPr>
          <w:color w:val="auto"/>
        </w:rPr>
      </w:pPr>
      <w:r>
        <w:rPr>
          <w:rFonts w:asciiTheme="majorHAnsi" w:eastAsiaTheme="majorEastAsia" w:hAnsiTheme="majorHAnsi" w:cstheme="majorBidi"/>
          <w:caps/>
          <w:noProof/>
          <w:sz w:val="38"/>
          <w:szCs w:val="26"/>
          <w:lang w:val="en-AU" w:eastAsia="en-AU"/>
        </w:rPr>
        <w:drawing>
          <wp:inline distT="0" distB="0" distL="0" distR="0" wp14:anchorId="45E2EE68" wp14:editId="2DE0E2A0">
            <wp:extent cx="1104182" cy="698849"/>
            <wp:effectExtent l="0" t="0" r="127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06389" cy="700246"/>
                    </a:xfrm>
                    <a:prstGeom prst="rect">
                      <a:avLst/>
                    </a:prstGeom>
                  </pic:spPr>
                </pic:pic>
              </a:graphicData>
            </a:graphic>
          </wp:inline>
        </w:drawing>
      </w:r>
      <w:r w:rsidR="00081709" w:rsidRPr="00F25E1E">
        <w:rPr>
          <w:rFonts w:cs="Times New Roman"/>
          <w:noProof/>
          <w:color w:val="auto"/>
          <w:lang w:val="en-AU" w:eastAsia="en-AU"/>
        </w:rPr>
        <w:drawing>
          <wp:inline distT="0" distB="0" distL="0" distR="0" wp14:anchorId="2762DB9C" wp14:editId="168FAE17">
            <wp:extent cx="611505" cy="6115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inline>
        </w:drawing>
      </w:r>
      <w:r w:rsidR="00081709" w:rsidRPr="00F25E1E">
        <w:rPr>
          <w:rFonts w:cs="Times New Roman"/>
          <w:noProof/>
          <w:color w:val="auto"/>
          <w:lang w:val="en-AU" w:eastAsia="en-AU"/>
        </w:rPr>
        <w:drawing>
          <wp:inline distT="0" distB="0" distL="0" distR="0" wp14:anchorId="21166799" wp14:editId="739117BE">
            <wp:extent cx="611505" cy="6115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inline>
        </w:drawing>
      </w:r>
      <w:r w:rsidR="00081709" w:rsidRPr="00F25E1E">
        <w:rPr>
          <w:rFonts w:cs="Times New Roman"/>
          <w:noProof/>
          <w:color w:val="auto"/>
          <w:lang w:val="en-AU" w:eastAsia="en-AU"/>
        </w:rPr>
        <w:drawing>
          <wp:inline distT="0" distB="0" distL="0" distR="0" wp14:anchorId="2048D8F3" wp14:editId="25B79EBF">
            <wp:extent cx="611505" cy="6115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inline>
        </w:drawing>
      </w:r>
      <w:r w:rsidR="00081709" w:rsidRPr="00F25E1E">
        <w:rPr>
          <w:rFonts w:cs="Times New Roman"/>
          <w:noProof/>
          <w:color w:val="auto"/>
          <w:lang w:val="en-AU" w:eastAsia="en-AU"/>
        </w:rPr>
        <w:drawing>
          <wp:inline distT="0" distB="0" distL="0" distR="0" wp14:anchorId="1051CF45" wp14:editId="2D89414A">
            <wp:extent cx="611505" cy="611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inline>
        </w:drawing>
      </w:r>
    </w:p>
    <w:p w:rsidR="00081709" w:rsidRPr="00A85500" w:rsidRDefault="0010121A" w:rsidP="00092E77">
      <w:r w:rsidRPr="00A85500">
        <w:t>Australia continued</w:t>
      </w:r>
      <w:r w:rsidR="00081709" w:rsidRPr="00A85500">
        <w:t xml:space="preserve"> support for Vietnam’s efforts to increase resilience to the impacts of climate change, focusing on the Mekong Delta and building on our long history of development cooperation in the field. Australia’s seven-year partnership with Germany, the </w:t>
      </w:r>
      <w:r w:rsidR="008D4FB4">
        <w:t>ICMP</w:t>
      </w:r>
      <w:r w:rsidR="00081709" w:rsidRPr="00A85500">
        <w:t>, successfully concluded in July 2018 with the launch of an online Coastal Protection Plan for the Mekong Delta. The Plan is an online open-source decision-making tool that categorises different sections of the coastline in terms of priority for action, and details the feasibility of different coastal protection measures and estimated costs. The Plan is an important evidence-based planning tool for the Government’s sectoral and regional development plans that was formally handed over to Mekong provincial authorities in mid-2018.</w:t>
      </w:r>
    </w:p>
    <w:p w:rsidR="00081709" w:rsidRPr="00A85500" w:rsidRDefault="00081709" w:rsidP="00092E77">
      <w:r w:rsidRPr="00A85500">
        <w:t xml:space="preserve">Through </w:t>
      </w:r>
      <w:r w:rsidR="003065AE">
        <w:t xml:space="preserve">the </w:t>
      </w:r>
      <w:r w:rsidR="003065AE" w:rsidRPr="00DC2454">
        <w:rPr>
          <w:i/>
        </w:rPr>
        <w:t>ABP2</w:t>
      </w:r>
      <w:r w:rsidRPr="00A85500">
        <w:t xml:space="preserve">, we supported the high-level Mekong Delta Conference in September 2017, which was chaired by Prime Minister </w:t>
      </w:r>
      <w:proofErr w:type="spellStart"/>
      <w:r w:rsidRPr="00A85500">
        <w:t>Phuc</w:t>
      </w:r>
      <w:proofErr w:type="spellEnd"/>
      <w:r w:rsidRPr="00A85500">
        <w:t xml:space="preserve"> and included nearly 1000 participants from Government, development partners, </w:t>
      </w:r>
      <w:r w:rsidR="00C22DC0">
        <w:t>non-government organisations</w:t>
      </w:r>
      <w:r w:rsidR="00B63991">
        <w:t>,</w:t>
      </w:r>
      <w:r w:rsidRPr="00A85500">
        <w:t xml:space="preserve"> and the private sector. The Conference resulted in the issuance of Prime Minister Resolution 120, which establishes a new and much needed institutional and policy framework for climate-resilient planning and coordination across provinces in the Mekong Delta.</w:t>
      </w:r>
    </w:p>
    <w:p w:rsidR="00081709" w:rsidRPr="00A85500" w:rsidRDefault="00081709" w:rsidP="00092E77">
      <w:r w:rsidRPr="00A85500">
        <w:t xml:space="preserve">In November 2017, the south-central coastline of Vietnam was hit by Typhoon </w:t>
      </w:r>
      <w:proofErr w:type="spellStart"/>
      <w:r w:rsidRPr="00A85500">
        <w:t>Damrey</w:t>
      </w:r>
      <w:proofErr w:type="spellEnd"/>
      <w:r w:rsidRPr="00A85500">
        <w:t>, a strong tropical cyclone that affected 15 provinces across the region and resulted in an e</w:t>
      </w:r>
      <w:r w:rsidR="007C645B">
        <w:t>conomic loss estimated at USD 1 </w:t>
      </w:r>
      <w:r w:rsidRPr="00A85500">
        <w:t xml:space="preserve">billion. Australia supported recovery efforts in </w:t>
      </w:r>
      <w:proofErr w:type="spellStart"/>
      <w:r w:rsidRPr="00A85500">
        <w:t>Quang</w:t>
      </w:r>
      <w:proofErr w:type="spellEnd"/>
      <w:r w:rsidRPr="00A85500">
        <w:t xml:space="preserve"> Nam and </w:t>
      </w:r>
      <w:proofErr w:type="spellStart"/>
      <w:r w:rsidRPr="00A85500">
        <w:t>Thua</w:t>
      </w:r>
      <w:proofErr w:type="spellEnd"/>
      <w:r w:rsidRPr="00A85500">
        <w:t xml:space="preserve"> Thien Hue provinces, in partnership with CARE International in Vietnam. Australia’s assistance provided shelter, clean water and livelihoods recovery for about </w:t>
      </w:r>
      <w:r w:rsidR="004C5ABA">
        <w:t>10</w:t>
      </w:r>
      <w:r w:rsidRPr="00A85500">
        <w:t>,000 men, women and children in the affected region.</w:t>
      </w:r>
    </w:p>
    <w:p w:rsidR="002A51CA" w:rsidRDefault="002A51CA" w:rsidP="002A51CA">
      <w:pPr>
        <w:pStyle w:val="Heading2"/>
      </w:pPr>
      <w:r>
        <w:t>Mutual obligations</w:t>
      </w:r>
    </w:p>
    <w:p w:rsidR="00C51AB9" w:rsidRPr="00092E77" w:rsidRDefault="001F1A7F" w:rsidP="00092E77">
      <w:r w:rsidRPr="00092E77">
        <w:t xml:space="preserve">The Australia Vietnam Strategic Partnership </w:t>
      </w:r>
      <w:r w:rsidR="00B36D4C" w:rsidRPr="00092E77">
        <w:t>signed in March 2018 elevated</w:t>
      </w:r>
      <w:r w:rsidR="00C51AB9" w:rsidRPr="00092E77">
        <w:t xml:space="preserve"> the status of our bilateral </w:t>
      </w:r>
      <w:r w:rsidR="00C51AB9" w:rsidRPr="00A85500">
        <w:t>relationship and provides the framework for a broad range of mutual obligations between the two countries.</w:t>
      </w:r>
      <w:r w:rsidR="007C645B" w:rsidRPr="004414D8">
        <w:rPr>
          <w:vertAlign w:val="superscript"/>
        </w:rPr>
        <w:footnoteReference w:id="17"/>
      </w:r>
      <w:r w:rsidR="00C51AB9" w:rsidRPr="00A85500">
        <w:t xml:space="preserve"> The</w:t>
      </w:r>
      <w:r w:rsidR="0036601E" w:rsidRPr="00A85500">
        <w:t xml:space="preserve"> Strategic Partnership requires </w:t>
      </w:r>
      <w:r w:rsidR="00C51AB9" w:rsidRPr="00A85500">
        <w:t xml:space="preserve">an increased frequency and level of bilateral discussions to strengthen cooperation across areas of mutual interest. </w:t>
      </w:r>
      <w:r w:rsidR="00744BD3">
        <w:t xml:space="preserve">As part of this, </w:t>
      </w:r>
      <w:r w:rsidR="00C51AB9" w:rsidRPr="00A85500">
        <w:t>Vietnam host</w:t>
      </w:r>
      <w:r w:rsidR="00744BD3">
        <w:t>ed</w:t>
      </w:r>
      <w:r w:rsidR="00C51AB9" w:rsidRPr="00A85500">
        <w:t xml:space="preserve"> the inaugural Foreign Ministers</w:t>
      </w:r>
      <w:r w:rsidR="007C645B">
        <w:t>’</w:t>
      </w:r>
      <w:r w:rsidR="00C51AB9" w:rsidRPr="00A85500">
        <w:t xml:space="preserve"> M</w:t>
      </w:r>
      <w:r w:rsidR="0036601E" w:rsidRPr="00A85500">
        <w:t>eeting in Hanoi during May 2018 with both Ministers agreeing to improve coordination regarding challenging regional issues and committing to deepen the economic partnership between Australia and Vietnam.</w:t>
      </w:r>
    </w:p>
    <w:p w:rsidR="001F1A7F" w:rsidRPr="00092E77" w:rsidRDefault="00C51AB9" w:rsidP="00092E77">
      <w:r w:rsidRPr="00092E77">
        <w:t xml:space="preserve">Both Governments have agreed that the Plan of Action 2016-19 signed by Foreign Ministers in October 2016 and referenced in last year’s </w:t>
      </w:r>
      <w:r w:rsidR="00F61DCE" w:rsidRPr="00092E77">
        <w:t>APPR</w:t>
      </w:r>
      <w:r w:rsidRPr="00092E77">
        <w:t xml:space="preserve"> would remain in force.</w:t>
      </w:r>
      <w:r w:rsidR="007C645B" w:rsidRPr="004414D8">
        <w:rPr>
          <w:vertAlign w:val="superscript"/>
        </w:rPr>
        <w:footnoteReference w:id="18"/>
      </w:r>
      <w:r w:rsidRPr="00092E77">
        <w:t xml:space="preserve"> </w:t>
      </w:r>
      <w:r w:rsidR="002C474C" w:rsidRPr="00092E77">
        <w:t>This provides a comprehensive list of agreed cooperation activities between Australian Government agencies and their Vietnamese counterparts covering a wide range of sectors.</w:t>
      </w:r>
    </w:p>
    <w:p w:rsidR="00EE5CB6" w:rsidRPr="00092E77" w:rsidRDefault="00EE5D1D" w:rsidP="00092E77">
      <w:r w:rsidRPr="00092E77">
        <w:t>The last high-</w:t>
      </w:r>
      <w:r w:rsidR="00FA5D51" w:rsidRPr="00092E77">
        <w:t xml:space="preserve">level </w:t>
      </w:r>
      <w:r w:rsidR="00EE5CB6" w:rsidRPr="00092E77">
        <w:t>consultation (HLC)</w:t>
      </w:r>
      <w:r w:rsidR="00FA5D51" w:rsidRPr="00092E77">
        <w:t xml:space="preserve"> on development cooperation </w:t>
      </w:r>
      <w:r w:rsidR="00EE5CB6" w:rsidRPr="00092E77">
        <w:t>was</w:t>
      </w:r>
      <w:r w:rsidR="00FA5D51" w:rsidRPr="00092E77">
        <w:t xml:space="preserve"> held in M</w:t>
      </w:r>
      <w:r w:rsidR="00EE5CB6" w:rsidRPr="00092E77">
        <w:t xml:space="preserve">arch 2017. This </w:t>
      </w:r>
      <w:r w:rsidRPr="00092E77">
        <w:t xml:space="preserve">biennial </w:t>
      </w:r>
      <w:r w:rsidR="00EE5CB6" w:rsidRPr="00092E77">
        <w:t xml:space="preserve">dialogue </w:t>
      </w:r>
      <w:r w:rsidR="0036601E" w:rsidRPr="00092E77">
        <w:t xml:space="preserve">has been the </w:t>
      </w:r>
      <w:r w:rsidRPr="00092E77">
        <w:t xml:space="preserve">primary forum for Australia and Vietnam to discuss ongoing development challenges bilaterally and agree to the priorities for Australia’s aid program in Vietnam. </w:t>
      </w:r>
      <w:r w:rsidR="00EE5CB6" w:rsidRPr="00092E77">
        <w:t>The Strategic Partnership</w:t>
      </w:r>
      <w:r w:rsidR="0036601E" w:rsidRPr="00092E77">
        <w:t xml:space="preserve"> </w:t>
      </w:r>
      <w:r w:rsidR="0036601E" w:rsidRPr="00092E77">
        <w:lastRenderedPageBreak/>
        <w:t xml:space="preserve">proposes the establishment of an </w:t>
      </w:r>
      <w:r w:rsidR="0078152E" w:rsidRPr="00092E77">
        <w:t xml:space="preserve">annual </w:t>
      </w:r>
      <w:r w:rsidR="00B63991" w:rsidRPr="00092E77">
        <w:t>M</w:t>
      </w:r>
      <w:r w:rsidR="0078152E" w:rsidRPr="00092E77">
        <w:t>inisterial-</w:t>
      </w:r>
      <w:r w:rsidR="0036601E" w:rsidRPr="00092E77">
        <w:t>level Economic Partnership M</w:t>
      </w:r>
      <w:r w:rsidR="0078152E" w:rsidRPr="00092E77">
        <w:t>eeting</w:t>
      </w:r>
      <w:r w:rsidR="001B1970" w:rsidRPr="00092E77">
        <w:t xml:space="preserve"> (EPM)</w:t>
      </w:r>
      <w:r w:rsidR="00EE5CB6" w:rsidRPr="00092E77">
        <w:t xml:space="preserve">, </w:t>
      </w:r>
      <w:r w:rsidR="0036601E" w:rsidRPr="00092E77">
        <w:t xml:space="preserve">that would </w:t>
      </w:r>
      <w:r w:rsidR="001F1A7F" w:rsidRPr="00092E77">
        <w:t>bring together our trade, economic, and development interests under one umbrella</w:t>
      </w:r>
      <w:r w:rsidR="0036601E" w:rsidRPr="00092E77">
        <w:t xml:space="preserve"> and replace the HLC</w:t>
      </w:r>
      <w:r w:rsidR="007C645B" w:rsidRPr="00092E77">
        <w:t>s</w:t>
      </w:r>
      <w:r w:rsidR="0036601E" w:rsidRPr="00092E77">
        <w:t xml:space="preserve"> on development cooperation.</w:t>
      </w:r>
    </w:p>
    <w:p w:rsidR="00EE5CB6" w:rsidRPr="00092E77" w:rsidRDefault="00EE5CB6" w:rsidP="00092E77">
      <w:r w:rsidRPr="00092E77">
        <w:t xml:space="preserve">We have yet to reach agreement with Vietnam </w:t>
      </w:r>
      <w:r w:rsidR="00406A4C" w:rsidRPr="00406A4C">
        <w:t xml:space="preserve">on the format for this new forum given the various ministries involved. </w:t>
      </w:r>
      <w:r w:rsidR="00EB3DD3">
        <w:t>Negotiations are ongoing, but we are confident of reaching consensus and</w:t>
      </w:r>
      <w:r w:rsidR="00406A4C" w:rsidRPr="00406A4C">
        <w:t xml:space="preserve"> hope to schedule the first EPM in 2019 </w:t>
      </w:r>
      <w:r w:rsidR="009C6664">
        <w:t>to</w:t>
      </w:r>
      <w:r w:rsidR="00406A4C" w:rsidRPr="00406A4C">
        <w:t xml:space="preserve"> discuss options to continue to strengthen the trade, investment</w:t>
      </w:r>
      <w:r w:rsidR="00406A4C">
        <w:t>,</w:t>
      </w:r>
      <w:r w:rsidR="00406A4C" w:rsidRPr="00406A4C">
        <w:t xml:space="preserve"> and development cooperation relationship</w:t>
      </w:r>
      <w:r w:rsidR="00EB3DD3">
        <w:t>.</w:t>
      </w:r>
    </w:p>
    <w:p w:rsidR="0078152E" w:rsidRPr="00A85500" w:rsidRDefault="00AA3E21" w:rsidP="00092E77">
      <w:r w:rsidRPr="00092E77">
        <w:t xml:space="preserve">Our current AIP remains consistent with Vietnam’s primary development framework, the </w:t>
      </w:r>
      <w:r w:rsidR="0068608E" w:rsidRPr="00092E77">
        <w:t>SEDP</w:t>
      </w:r>
      <w:r w:rsidR="00F61DCE" w:rsidRPr="00092E77">
        <w:t xml:space="preserve"> 2016-20</w:t>
      </w:r>
      <w:r w:rsidRPr="00092E77">
        <w:t xml:space="preserve">. Preparation for the successor SEDP 2021-25 is underway and Australia will again have an opportunity to align our own development planning process in 2019 to ensure our assistance complements Vietnam’s priorities. </w:t>
      </w:r>
      <w:r w:rsidR="00316C4B" w:rsidRPr="00092E77">
        <w:t xml:space="preserve">We will explore avenues to engage with Vietnam on the SEDP’s development through our </w:t>
      </w:r>
      <w:r w:rsidR="003E34CD" w:rsidRPr="00092E77">
        <w:t>support</w:t>
      </w:r>
      <w:r w:rsidR="00B63991" w:rsidRPr="00092E77">
        <w:t xml:space="preserve"> </w:t>
      </w:r>
      <w:r w:rsidR="00316C4B" w:rsidRPr="00092E77">
        <w:t xml:space="preserve">under the </w:t>
      </w:r>
      <w:r w:rsidR="00F61DCE" w:rsidRPr="00DC2454">
        <w:rPr>
          <w:i/>
        </w:rPr>
        <w:t>ABP</w:t>
      </w:r>
      <w:r w:rsidR="00316C4B" w:rsidRPr="00DC2454">
        <w:rPr>
          <w:i/>
        </w:rPr>
        <w:t>2</w:t>
      </w:r>
      <w:r w:rsidR="00B63991" w:rsidRPr="00092E77">
        <w:t>,</w:t>
      </w:r>
      <w:r w:rsidR="00316C4B" w:rsidRPr="00092E77">
        <w:t xml:space="preserve"> </w:t>
      </w:r>
      <w:r w:rsidR="00316C4B" w:rsidRPr="00A85500">
        <w:t xml:space="preserve">to ensure our </w:t>
      </w:r>
      <w:r w:rsidR="00B63991">
        <w:t>program</w:t>
      </w:r>
      <w:r w:rsidR="00B63991" w:rsidRPr="00A85500">
        <w:t xml:space="preserve"> </w:t>
      </w:r>
      <w:r w:rsidR="00316C4B" w:rsidRPr="00A85500">
        <w:t>remains well targeted to Vietnam’s needs</w:t>
      </w:r>
      <w:r w:rsidR="00A471C4" w:rsidRPr="00A85500">
        <w:t xml:space="preserve"> and advocate for attainable </w:t>
      </w:r>
      <w:r w:rsidR="00980067" w:rsidRPr="00A85500">
        <w:t xml:space="preserve">economic, social, and </w:t>
      </w:r>
      <w:r w:rsidR="00A471C4" w:rsidRPr="00A85500">
        <w:t>development goals</w:t>
      </w:r>
      <w:r w:rsidR="00316C4B" w:rsidRPr="00A85500">
        <w:t>.</w:t>
      </w:r>
    </w:p>
    <w:p w:rsidR="002A51CA" w:rsidRPr="002A51CA" w:rsidRDefault="002A51CA" w:rsidP="002A51CA">
      <w:pPr>
        <w:pStyle w:val="Heading2"/>
      </w:pPr>
      <w:r w:rsidRPr="002A51CA">
        <w:t xml:space="preserve">Program </w:t>
      </w:r>
      <w:r w:rsidR="00980067">
        <w:t>Quality and Partner Performance</w:t>
      </w:r>
    </w:p>
    <w:p w:rsidR="002A51CA" w:rsidRPr="002A51CA" w:rsidRDefault="00362B3E" w:rsidP="002A51CA">
      <w:pPr>
        <w:rPr>
          <w:b/>
          <w:lang w:eastAsia="zh-CN"/>
        </w:rPr>
      </w:pPr>
      <w:r>
        <w:rPr>
          <w:b/>
          <w:lang w:eastAsia="zh-CN"/>
        </w:rPr>
        <w:t>Overview</w:t>
      </w:r>
    </w:p>
    <w:p w:rsidR="00DE6100" w:rsidRPr="00092E77" w:rsidRDefault="004E08C1" w:rsidP="00092E77">
      <w:r w:rsidRPr="00092E77">
        <w:t xml:space="preserve">With designs of </w:t>
      </w:r>
      <w:r w:rsidR="007620F5" w:rsidRPr="00092E77">
        <w:t>our major new</w:t>
      </w:r>
      <w:r w:rsidRPr="00092E77">
        <w:t xml:space="preserve"> initia</w:t>
      </w:r>
      <w:r w:rsidR="00965B1E" w:rsidRPr="00092E77">
        <w:t>tives largely completed during 2</w:t>
      </w:r>
      <w:r w:rsidRPr="00092E77">
        <w:t xml:space="preserve">017-18, the </w:t>
      </w:r>
      <w:r w:rsidR="00DA6794" w:rsidRPr="00092E77">
        <w:t>PAF</w:t>
      </w:r>
      <w:r w:rsidRPr="00092E77">
        <w:t xml:space="preserve"> for </w:t>
      </w:r>
      <w:r w:rsidR="00965B1E" w:rsidRPr="00092E77">
        <w:t xml:space="preserve">the </w:t>
      </w:r>
      <w:r w:rsidRPr="00092E77">
        <w:t xml:space="preserve">Australian aid program in Vietnam has now been finalised, replacing the interim </w:t>
      </w:r>
      <w:r w:rsidR="00965B1E" w:rsidRPr="00092E77">
        <w:t>PAF</w:t>
      </w:r>
      <w:r w:rsidRPr="00092E77">
        <w:t xml:space="preserve"> used since the commencement of the current AIP.  The updated PAF</w:t>
      </w:r>
      <w:r w:rsidR="00DE6100" w:rsidRPr="00092E77">
        <w:t xml:space="preserve"> will be the key vehicle to assess the progress of the AIP and</w:t>
      </w:r>
      <w:r w:rsidR="00965B1E" w:rsidRPr="00092E77">
        <w:t>,</w:t>
      </w:r>
      <w:r w:rsidR="00DE6100" w:rsidRPr="00092E77">
        <w:t xml:space="preserve"> where possible</w:t>
      </w:r>
      <w:r w:rsidR="00965B1E" w:rsidRPr="00092E77">
        <w:t>,</w:t>
      </w:r>
      <w:r w:rsidR="00DE6100" w:rsidRPr="00092E77">
        <w:t xml:space="preserve"> to measure the broader economic partnership objectives. The updated PAF </w:t>
      </w:r>
      <w:r w:rsidR="00965B1E" w:rsidRPr="00092E77">
        <w:t>is at Annex </w:t>
      </w:r>
      <w:r w:rsidR="003570C7" w:rsidRPr="00092E77">
        <w:t>E</w:t>
      </w:r>
      <w:r w:rsidR="00DE6100" w:rsidRPr="00092E77">
        <w:t>.</w:t>
      </w:r>
      <w:r w:rsidR="00804206" w:rsidRPr="00092E77">
        <w:t xml:space="preserve"> As new initiatives complete inception and move to full implementation, we will continue to refine the PAF </w:t>
      </w:r>
      <w:r w:rsidR="00306CA9" w:rsidRPr="00092E77">
        <w:t xml:space="preserve">so </w:t>
      </w:r>
      <w:r w:rsidR="00804206" w:rsidRPr="00092E77">
        <w:t>program</w:t>
      </w:r>
      <w:r w:rsidR="007C645B" w:rsidRPr="00092E77">
        <w:t>-</w:t>
      </w:r>
      <w:r w:rsidR="00804206" w:rsidRPr="00092E77">
        <w:t>specific indicators are updated and amended to ensure the program can effectively track progress towards our strategic objectives.</w:t>
      </w:r>
    </w:p>
    <w:p w:rsidR="00274FED" w:rsidRPr="00092E77" w:rsidRDefault="00DE6100" w:rsidP="00092E77">
      <w:r w:rsidRPr="00092E77">
        <w:t>AQC</w:t>
      </w:r>
      <w:r w:rsidR="00E64CD9" w:rsidRPr="00092E77">
        <w:t>s</w:t>
      </w:r>
      <w:r w:rsidRPr="00092E77">
        <w:t xml:space="preserve"> continued to </w:t>
      </w:r>
      <w:r w:rsidR="00E64CD9" w:rsidRPr="00092E77">
        <w:t>be</w:t>
      </w:r>
      <w:r w:rsidRPr="00092E77">
        <w:t xml:space="preserve"> an effective tool to monitor the performance of individual investment</w:t>
      </w:r>
      <w:r w:rsidR="00E64CD9" w:rsidRPr="00092E77">
        <w:t>s</w:t>
      </w:r>
      <w:r w:rsidRPr="00092E77">
        <w:t xml:space="preserve">. </w:t>
      </w:r>
      <w:r w:rsidR="00274FED" w:rsidRPr="00092E77">
        <w:t>The 201</w:t>
      </w:r>
      <w:r w:rsidRPr="00092E77">
        <w:t>7-18</w:t>
      </w:r>
      <w:r w:rsidR="00274FED" w:rsidRPr="00092E77">
        <w:t xml:space="preserve"> AQC round monitored </w:t>
      </w:r>
      <w:r w:rsidR="007620F5" w:rsidRPr="00092E77">
        <w:t>six</w:t>
      </w:r>
      <w:r w:rsidR="00274FED" w:rsidRPr="00092E77">
        <w:t xml:space="preserve"> investments</w:t>
      </w:r>
      <w:r w:rsidR="00E64CD9" w:rsidRPr="00092E77">
        <w:t>, comprising</w:t>
      </w:r>
      <w:r w:rsidR="00274FED" w:rsidRPr="00092E77">
        <w:t xml:space="preserve"> f</w:t>
      </w:r>
      <w:r w:rsidR="00511244" w:rsidRPr="00092E77">
        <w:t xml:space="preserve">our </w:t>
      </w:r>
      <w:r w:rsidR="00274FED" w:rsidRPr="00092E77">
        <w:t>AQCs</w:t>
      </w:r>
      <w:r w:rsidR="007620F5" w:rsidRPr="00092E77">
        <w:t>,</w:t>
      </w:r>
      <w:r w:rsidR="00F3148D" w:rsidRPr="00092E77">
        <w:t xml:space="preserve"> and two Final AQCs</w:t>
      </w:r>
      <w:r w:rsidR="009137D0" w:rsidRPr="00092E77">
        <w:t xml:space="preserve"> (FAQC)</w:t>
      </w:r>
      <w:r w:rsidR="00F3148D" w:rsidRPr="00092E77">
        <w:t xml:space="preserve"> </w:t>
      </w:r>
      <w:r w:rsidR="007620F5" w:rsidRPr="00092E77">
        <w:t xml:space="preserve">that assess </w:t>
      </w:r>
      <w:r w:rsidR="00F3148D" w:rsidRPr="00092E77">
        <w:t>performance across the life of the program and final outcomes</w:t>
      </w:r>
      <w:r w:rsidR="00274FED" w:rsidRPr="00092E77">
        <w:t xml:space="preserve">. This rigorous process provided useful conclusions </w:t>
      </w:r>
      <w:r w:rsidR="007D2465" w:rsidRPr="00092E77">
        <w:t>on what worked and what did not</w:t>
      </w:r>
      <w:r w:rsidR="00274FED" w:rsidRPr="00092E77">
        <w:t xml:space="preserve">, helping inform management </w:t>
      </w:r>
      <w:r w:rsidR="007D2465" w:rsidRPr="00092E77">
        <w:t>on how to</w:t>
      </w:r>
      <w:r w:rsidR="00274FED" w:rsidRPr="00092E77">
        <w:t xml:space="preserve"> maintain and improve performance of individual initia</w:t>
      </w:r>
      <w:r w:rsidR="00E64CD9" w:rsidRPr="00092E77">
        <w:t>tives and the entire portfolio.</w:t>
      </w:r>
      <w:r w:rsidR="00483C8E" w:rsidRPr="00092E77">
        <w:t xml:space="preserve"> The AQC process noted that the lessons </w:t>
      </w:r>
      <w:r w:rsidR="00483C8E" w:rsidRPr="00A85500">
        <w:t>documented</w:t>
      </w:r>
      <w:r w:rsidR="00483C8E" w:rsidRPr="00092E77">
        <w:t xml:space="preserve"> from the </w:t>
      </w:r>
      <w:r w:rsidR="007620F5" w:rsidRPr="00DC2454">
        <w:rPr>
          <w:i/>
        </w:rPr>
        <w:t>RCV</w:t>
      </w:r>
      <w:r w:rsidR="00483C8E" w:rsidRPr="00092E77">
        <w:t xml:space="preserve"> program were instrumental in influencing the design of the following phase, </w:t>
      </w:r>
      <w:r w:rsidR="00483C8E" w:rsidRPr="00584DDE">
        <w:rPr>
          <w:i/>
        </w:rPr>
        <w:t>Aus4Reform</w:t>
      </w:r>
      <w:r w:rsidR="00483C8E" w:rsidRPr="00092E77">
        <w:t>.</w:t>
      </w:r>
    </w:p>
    <w:p w:rsidR="00992F76" w:rsidRPr="00092E77" w:rsidRDefault="0004311C" w:rsidP="00092E77">
      <w:r w:rsidRPr="00092E77">
        <w:t>T</w:t>
      </w:r>
      <w:r w:rsidR="00992F76" w:rsidRPr="00092E77">
        <w:t xml:space="preserve">he required </w:t>
      </w:r>
      <w:proofErr w:type="spellStart"/>
      <w:r w:rsidR="008D4FB4" w:rsidRPr="00092E77">
        <w:t>GoV</w:t>
      </w:r>
      <w:proofErr w:type="spellEnd"/>
      <w:r w:rsidR="002206C9" w:rsidRPr="00092E77">
        <w:t xml:space="preserve"> </w:t>
      </w:r>
      <w:r w:rsidR="00992F76" w:rsidRPr="00092E77">
        <w:t xml:space="preserve">approvals </w:t>
      </w:r>
      <w:r w:rsidR="002206C9" w:rsidRPr="00092E77">
        <w:t xml:space="preserve">for </w:t>
      </w:r>
      <w:r w:rsidR="00992F76" w:rsidRPr="00584DDE">
        <w:rPr>
          <w:i/>
        </w:rPr>
        <w:t>Aus4Equality</w:t>
      </w:r>
      <w:r w:rsidR="00992F76" w:rsidRPr="00092E77">
        <w:t xml:space="preserve">, </w:t>
      </w:r>
      <w:r w:rsidR="00992F76" w:rsidRPr="00584DDE">
        <w:rPr>
          <w:i/>
        </w:rPr>
        <w:t>Aus4Transport</w:t>
      </w:r>
      <w:r w:rsidR="00992F76" w:rsidRPr="00092E77">
        <w:t xml:space="preserve"> and </w:t>
      </w:r>
      <w:r w:rsidR="00992F76" w:rsidRPr="00584DDE">
        <w:rPr>
          <w:i/>
        </w:rPr>
        <w:t>Aus4Reform</w:t>
      </w:r>
      <w:r w:rsidR="002206C9" w:rsidRPr="00092E77">
        <w:t xml:space="preserve"> were granted during the reporting period</w:t>
      </w:r>
      <w:r w:rsidRPr="00092E77">
        <w:t xml:space="preserve"> following longer than expected clearance processes</w:t>
      </w:r>
      <w:r w:rsidR="00992F76" w:rsidRPr="00092E77">
        <w:t xml:space="preserve">. Together with </w:t>
      </w:r>
      <w:r w:rsidR="00992F76" w:rsidRPr="00584DDE">
        <w:rPr>
          <w:i/>
        </w:rPr>
        <w:t>Aus4Skills</w:t>
      </w:r>
      <w:r w:rsidR="00992F76" w:rsidRPr="00092E77">
        <w:t xml:space="preserve">, four out of six new aid initiatives </w:t>
      </w:r>
      <w:r w:rsidR="007D2465" w:rsidRPr="00092E77">
        <w:t>are now underway</w:t>
      </w:r>
      <w:r w:rsidR="002206C9" w:rsidRPr="00092E77">
        <w:t>. The commencement of</w:t>
      </w:r>
      <w:r w:rsidR="00992F76" w:rsidRPr="00092E77">
        <w:t xml:space="preserve"> </w:t>
      </w:r>
      <w:r w:rsidR="002206C9" w:rsidRPr="00DC2454">
        <w:rPr>
          <w:i/>
        </w:rPr>
        <w:t>Aus4Water</w:t>
      </w:r>
      <w:r w:rsidR="00992F76" w:rsidRPr="00092E77">
        <w:t xml:space="preserve"> </w:t>
      </w:r>
      <w:r w:rsidR="002206C9" w:rsidRPr="00092E77">
        <w:t xml:space="preserve">continues to experience delays </w:t>
      </w:r>
      <w:r w:rsidR="00992F76" w:rsidRPr="00092E77">
        <w:t xml:space="preserve">due to </w:t>
      </w:r>
      <w:r w:rsidR="002206C9" w:rsidRPr="00092E77">
        <w:t xml:space="preserve">the </w:t>
      </w:r>
      <w:proofErr w:type="spellStart"/>
      <w:r w:rsidR="008D4FB4" w:rsidRPr="00092E77">
        <w:t>GoV</w:t>
      </w:r>
      <w:r w:rsidR="007D2465" w:rsidRPr="00092E77">
        <w:t>’s</w:t>
      </w:r>
      <w:proofErr w:type="spellEnd"/>
      <w:r w:rsidR="00992F76" w:rsidRPr="00092E77">
        <w:t xml:space="preserve"> </w:t>
      </w:r>
      <w:r w:rsidR="002206C9" w:rsidRPr="00092E77">
        <w:t xml:space="preserve">Decree 16 revisions that introduced restrictions to the disbursement of ODA to the </w:t>
      </w:r>
      <w:r w:rsidR="00992F76" w:rsidRPr="00092E77">
        <w:t>private sector</w:t>
      </w:r>
      <w:r w:rsidR="002206C9" w:rsidRPr="00092E77">
        <w:t>.</w:t>
      </w:r>
      <w:r w:rsidR="00992F76" w:rsidRPr="00092E77">
        <w:t xml:space="preserve"> </w:t>
      </w:r>
      <w:r w:rsidR="002206C9" w:rsidRPr="00092E77">
        <w:t xml:space="preserve">Private sector engagement is a core principle of </w:t>
      </w:r>
      <w:r w:rsidR="002206C9" w:rsidRPr="00DC2454">
        <w:rPr>
          <w:i/>
        </w:rPr>
        <w:t>Aus4Water’s</w:t>
      </w:r>
      <w:r w:rsidR="002206C9" w:rsidRPr="00092E77">
        <w:t xml:space="preserve"> design </w:t>
      </w:r>
      <w:r w:rsidR="00992F76" w:rsidRPr="00092E77">
        <w:t xml:space="preserve">and </w:t>
      </w:r>
      <w:r w:rsidR="002206C9" w:rsidRPr="00092E77">
        <w:t>this has meant lengthy negotiations with counterpart implementing</w:t>
      </w:r>
      <w:r w:rsidRPr="00092E77">
        <w:t xml:space="preserve"> agencies,</w:t>
      </w:r>
      <w:r w:rsidR="002206C9" w:rsidRPr="00092E77">
        <w:t xml:space="preserve"> the </w:t>
      </w:r>
      <w:r w:rsidR="00672886" w:rsidRPr="00092E77">
        <w:t>M</w:t>
      </w:r>
      <w:r w:rsidR="0068608E" w:rsidRPr="00092E77">
        <w:t>PI</w:t>
      </w:r>
      <w:r w:rsidR="002206C9" w:rsidRPr="00092E77">
        <w:t xml:space="preserve">, and </w:t>
      </w:r>
      <w:r w:rsidRPr="00092E77">
        <w:t xml:space="preserve">the Ministry of </w:t>
      </w:r>
      <w:r w:rsidR="002206C9" w:rsidRPr="00092E77">
        <w:t xml:space="preserve">Finance </w:t>
      </w:r>
      <w:r w:rsidRPr="00092E77">
        <w:t xml:space="preserve">(both of which have responsibilities regarding the approval of ODA). </w:t>
      </w:r>
      <w:r w:rsidR="007D2465" w:rsidRPr="00092E77">
        <w:t>T</w:t>
      </w:r>
      <w:r w:rsidR="00992F76" w:rsidRPr="00092E77">
        <w:t xml:space="preserve">he program has </w:t>
      </w:r>
      <w:r w:rsidR="007D2465" w:rsidRPr="00092E77">
        <w:t xml:space="preserve">now </w:t>
      </w:r>
      <w:r w:rsidR="00CE03D4">
        <w:t>received stage two</w:t>
      </w:r>
      <w:r w:rsidR="00992F76" w:rsidRPr="00092E77">
        <w:t xml:space="preserve"> approval by </w:t>
      </w:r>
      <w:r w:rsidR="007D2465" w:rsidRPr="00092E77">
        <w:t>Vietnam’s</w:t>
      </w:r>
      <w:r w:rsidR="00306CA9" w:rsidRPr="00092E77">
        <w:t xml:space="preserve"> Prime Minister and we are confident full approval will be reached before the end of 2018.</w:t>
      </w:r>
    </w:p>
    <w:p w:rsidR="001A1C55" w:rsidRPr="00092E77" w:rsidRDefault="0004311C" w:rsidP="00092E77">
      <w:r w:rsidRPr="00092E77">
        <w:t>As flagged in last year</w:t>
      </w:r>
      <w:r w:rsidR="00B11FC6" w:rsidRPr="00092E77">
        <w:t>’s APPR, with most major investments at early stages of implementation</w:t>
      </w:r>
      <w:r w:rsidR="00F85C8F" w:rsidRPr="00092E77">
        <w:t>,</w:t>
      </w:r>
      <w:r w:rsidR="00B11FC6" w:rsidRPr="00092E77">
        <w:t xml:space="preserve"> </w:t>
      </w:r>
      <w:r w:rsidR="009137D0" w:rsidRPr="00092E77">
        <w:t>only the</w:t>
      </w:r>
      <w:r w:rsidR="001A1C55" w:rsidRPr="00092E77">
        <w:t xml:space="preserve"> </w:t>
      </w:r>
      <w:r w:rsidR="00B11FC6" w:rsidRPr="00092E77">
        <w:t>partner</w:t>
      </w:r>
      <w:r w:rsidR="007C645B" w:rsidRPr="00092E77">
        <w:t>-</w:t>
      </w:r>
      <w:r w:rsidR="00B11FC6" w:rsidRPr="00092E77">
        <w:t xml:space="preserve">led (GIZ) evaluation of the </w:t>
      </w:r>
      <w:r w:rsidR="008D4FB4" w:rsidRPr="00092E77">
        <w:t>ICMP</w:t>
      </w:r>
      <w:r w:rsidR="00B11FC6" w:rsidRPr="00092E77">
        <w:t xml:space="preserve"> was completed</w:t>
      </w:r>
      <w:r w:rsidR="00807378" w:rsidRPr="00092E77">
        <w:t>.</w:t>
      </w:r>
      <w:r w:rsidR="001A1C55" w:rsidRPr="00092E77">
        <w:t xml:space="preserve"> The evaluation, completed a year before the program’s conclusion, found that all three objective indicators </w:t>
      </w:r>
      <w:r w:rsidR="009137D0" w:rsidRPr="00092E77">
        <w:t xml:space="preserve">were on track to be </w:t>
      </w:r>
      <w:r w:rsidR="001A1C55" w:rsidRPr="00092E77">
        <w:t xml:space="preserve">fully achieved by the end of the program, delivering outcomes for the Mekong Delta that strongly align with the </w:t>
      </w:r>
      <w:proofErr w:type="spellStart"/>
      <w:r w:rsidR="008D4FB4" w:rsidRPr="00092E77">
        <w:t>GoV</w:t>
      </w:r>
      <w:r w:rsidR="001A1C55" w:rsidRPr="00092E77">
        <w:t>’s</w:t>
      </w:r>
      <w:proofErr w:type="spellEnd"/>
      <w:r w:rsidR="001A1C55" w:rsidRPr="00092E77">
        <w:t xml:space="preserve"> development objectives.</w:t>
      </w:r>
      <w:r w:rsidR="009137D0" w:rsidRPr="00092E77">
        <w:t xml:space="preserve"> This</w:t>
      </w:r>
      <w:r w:rsidR="000F5797" w:rsidRPr="00092E77">
        <w:t xml:space="preserve"> finding</w:t>
      </w:r>
      <w:r w:rsidR="009137D0" w:rsidRPr="00092E77">
        <w:t xml:space="preserve"> was later reinforced by the related FAQC </w:t>
      </w:r>
      <w:r w:rsidR="000F5797" w:rsidRPr="00092E77">
        <w:t>report</w:t>
      </w:r>
      <w:r w:rsidR="007620F5" w:rsidRPr="00092E77">
        <w:t xml:space="preserve"> conducted in 2018</w:t>
      </w:r>
      <w:r w:rsidR="009137D0" w:rsidRPr="00092E77">
        <w:t>.</w:t>
      </w:r>
    </w:p>
    <w:p w:rsidR="00B11FC6" w:rsidRPr="00092E77" w:rsidRDefault="007620F5" w:rsidP="00092E77">
      <w:r w:rsidRPr="00092E77">
        <w:t>ODE</w:t>
      </w:r>
      <w:r w:rsidR="00306CA9" w:rsidRPr="00092E77">
        <w:t xml:space="preserve"> </w:t>
      </w:r>
      <w:r w:rsidR="00B11FC6" w:rsidRPr="00092E77">
        <w:t>conducted two major evaluations relevant for Vietnam in 2017</w:t>
      </w:r>
      <w:r w:rsidR="00807378" w:rsidRPr="00092E77">
        <w:t xml:space="preserve"> focused on Economic Partnerships and </w:t>
      </w:r>
      <w:r w:rsidR="00B11FC6" w:rsidRPr="00092E77">
        <w:t>Climate Change</w:t>
      </w:r>
      <w:r w:rsidR="00807378" w:rsidRPr="00092E77">
        <w:t xml:space="preserve">. In Vietnam, the climate change evaluation focused on the </w:t>
      </w:r>
      <w:r w:rsidR="00807378" w:rsidRPr="00A3623F">
        <w:rPr>
          <w:i/>
        </w:rPr>
        <w:t>Vietnam Community-based Disaster Risk Management Program</w:t>
      </w:r>
      <w:r w:rsidR="00807378" w:rsidRPr="00092E77">
        <w:t xml:space="preserve"> and the </w:t>
      </w:r>
      <w:r w:rsidR="00807378" w:rsidRPr="00A3623F">
        <w:rPr>
          <w:i/>
        </w:rPr>
        <w:t>Vietnam Support to Respond to Climate Change Program</w:t>
      </w:r>
      <w:r w:rsidR="00807378" w:rsidRPr="00092E77">
        <w:t>. It found that of the countries assessed, Vietnam demonstrated the strongest evidence of sustainable and strategic climate change outcomes.</w:t>
      </w:r>
      <w:r w:rsidRPr="00092E77">
        <w:t xml:space="preserve"> The </w:t>
      </w:r>
      <w:r w:rsidRPr="00A3623F">
        <w:rPr>
          <w:i/>
        </w:rPr>
        <w:t xml:space="preserve">Investing in Regional Prosperity: Positioning the Aid Program to </w:t>
      </w:r>
      <w:r w:rsidRPr="00A3623F">
        <w:rPr>
          <w:i/>
        </w:rPr>
        <w:lastRenderedPageBreak/>
        <w:t>Support Australia’s Economic Partnership</w:t>
      </w:r>
      <w:r w:rsidRPr="00092E77">
        <w:t xml:space="preserve"> report found </w:t>
      </w:r>
      <w:r w:rsidR="006A048D" w:rsidRPr="00092E77">
        <w:t>‘knowledge-based assistance is making a useful contribution to supporting reform and improving national development expenditure’ in Vietnam.</w:t>
      </w:r>
      <w:r w:rsidR="00E86013" w:rsidRPr="00C0469E">
        <w:rPr>
          <w:vertAlign w:val="superscript"/>
        </w:rPr>
        <w:footnoteReference w:id="19"/>
      </w:r>
      <w:r w:rsidR="006A048D" w:rsidRPr="00092E77">
        <w:t xml:space="preserve"> The report drew on results from </w:t>
      </w:r>
      <w:r w:rsidR="006A048D" w:rsidRPr="00584DDE">
        <w:rPr>
          <w:i/>
        </w:rPr>
        <w:t>ABP2</w:t>
      </w:r>
      <w:r w:rsidR="006A048D" w:rsidRPr="00092E77">
        <w:t xml:space="preserve">, </w:t>
      </w:r>
      <w:r w:rsidR="006A048D" w:rsidRPr="00584DDE">
        <w:rPr>
          <w:i/>
        </w:rPr>
        <w:t>RCV</w:t>
      </w:r>
      <w:r w:rsidR="006A048D" w:rsidRPr="00092E77">
        <w:t xml:space="preserve">, </w:t>
      </w:r>
      <w:r w:rsidR="006A048D" w:rsidRPr="00584DDE">
        <w:rPr>
          <w:i/>
        </w:rPr>
        <w:t>Aus4Reform</w:t>
      </w:r>
      <w:r w:rsidR="006A048D" w:rsidRPr="00092E77">
        <w:t xml:space="preserve"> and </w:t>
      </w:r>
      <w:r w:rsidR="006A048D" w:rsidRPr="00584DDE">
        <w:rPr>
          <w:i/>
        </w:rPr>
        <w:t>Aus4Transport</w:t>
      </w:r>
      <w:r w:rsidR="00CB5DBC" w:rsidRPr="00092E77">
        <w:t xml:space="preserve"> </w:t>
      </w:r>
      <w:r w:rsidR="006A048D">
        <w:t>to form this conclusion.</w:t>
      </w:r>
    </w:p>
    <w:p w:rsidR="00274FED" w:rsidRPr="00092E77" w:rsidRDefault="005F41CB" w:rsidP="00092E77">
      <w:r w:rsidRPr="00092E77">
        <w:t>Looking forward, the mid-term review for</w:t>
      </w:r>
      <w:r w:rsidR="00AB2FAC" w:rsidRPr="00092E77">
        <w:t xml:space="preserve"> </w:t>
      </w:r>
      <w:r w:rsidRPr="00584DDE">
        <w:rPr>
          <w:i/>
        </w:rPr>
        <w:t>Aus4Skills</w:t>
      </w:r>
      <w:r w:rsidRPr="00092E77">
        <w:t xml:space="preserve"> commenced in </w:t>
      </w:r>
      <w:r w:rsidR="00AB2FAC" w:rsidRPr="00092E77">
        <w:t>September 2018</w:t>
      </w:r>
      <w:r w:rsidR="00772C0C" w:rsidRPr="00092E77">
        <w:t xml:space="preserve"> </w:t>
      </w:r>
      <w:r w:rsidRPr="00092E77">
        <w:t>(later than scheduled due to consultant availability) with the full report expected to be ready for publication in the first quarter of 2019.</w:t>
      </w:r>
      <w:r w:rsidR="00772C0C" w:rsidRPr="00092E77">
        <w:t xml:space="preserve"> </w:t>
      </w:r>
      <w:r w:rsidRPr="00092E77">
        <w:t xml:space="preserve">A mid-term review of the </w:t>
      </w:r>
      <w:r w:rsidR="00692661" w:rsidRPr="00DC2454">
        <w:rPr>
          <w:i/>
        </w:rPr>
        <w:t>ABP</w:t>
      </w:r>
      <w:r w:rsidRPr="00DC2454">
        <w:rPr>
          <w:i/>
        </w:rPr>
        <w:t>2</w:t>
      </w:r>
      <w:r w:rsidRPr="00A85500">
        <w:t xml:space="preserve"> will also be scheduled for late 2019.</w:t>
      </w:r>
      <w:r w:rsidR="00692661" w:rsidRPr="00092E77">
        <w:t xml:space="preserve"> </w:t>
      </w:r>
      <w:r w:rsidR="002D7C26" w:rsidRPr="00092E77">
        <w:t>T</w:t>
      </w:r>
      <w:r w:rsidR="00274FED" w:rsidRPr="00092E77">
        <w:t>he DFAT-led long</w:t>
      </w:r>
      <w:r w:rsidR="00692661" w:rsidRPr="00092E77">
        <w:t>-term impact evaluation (2016-</w:t>
      </w:r>
      <w:r w:rsidR="00274FED" w:rsidRPr="00092E77">
        <w:t xml:space="preserve">20) for the </w:t>
      </w:r>
      <w:r w:rsidR="00274FED" w:rsidRPr="00A3623F">
        <w:rPr>
          <w:i/>
        </w:rPr>
        <w:t xml:space="preserve">Cao </w:t>
      </w:r>
      <w:proofErr w:type="spellStart"/>
      <w:r w:rsidR="00274FED" w:rsidRPr="00A3623F">
        <w:rPr>
          <w:i/>
        </w:rPr>
        <w:t>Lanh</w:t>
      </w:r>
      <w:proofErr w:type="spellEnd"/>
      <w:r w:rsidR="00274FED" w:rsidRPr="00A3623F">
        <w:rPr>
          <w:i/>
        </w:rPr>
        <w:t xml:space="preserve"> Bridge</w:t>
      </w:r>
      <w:r w:rsidR="00274FED" w:rsidRPr="00092E77">
        <w:t xml:space="preserve"> project </w:t>
      </w:r>
      <w:r w:rsidR="002D7C26" w:rsidRPr="00092E77">
        <w:t>is progressing well</w:t>
      </w:r>
      <w:r w:rsidR="004B3A80" w:rsidRPr="00092E77">
        <w:t>.</w:t>
      </w:r>
      <w:r w:rsidR="002D7C26" w:rsidRPr="00092E77">
        <w:t xml:space="preserve"> </w:t>
      </w:r>
      <w:r w:rsidR="004B3A80" w:rsidRPr="00092E77">
        <w:t xml:space="preserve">Building on </w:t>
      </w:r>
      <w:r w:rsidR="00274FED" w:rsidRPr="00092E77">
        <w:t>the baseline study</w:t>
      </w:r>
      <w:r w:rsidR="004B3A80" w:rsidRPr="00092E77">
        <w:t xml:space="preserve"> completed in 2016</w:t>
      </w:r>
      <w:r w:rsidR="009137D0" w:rsidRPr="00092E77">
        <w:t>, key milestones will be delivered in 2019 including a traffic survey, cost benefit analysis of resettlement, and a social economic benefit study.</w:t>
      </w:r>
      <w:r w:rsidR="004B3A80" w:rsidRPr="00092E77">
        <w:t xml:space="preserve"> </w:t>
      </w:r>
      <w:r w:rsidR="00274FED" w:rsidRPr="00092E77">
        <w:t xml:space="preserve">See Annex C for </w:t>
      </w:r>
      <w:r w:rsidR="004B3A80" w:rsidRPr="00092E77">
        <w:t xml:space="preserve">further </w:t>
      </w:r>
      <w:r w:rsidR="00274FED" w:rsidRPr="00092E77">
        <w:t xml:space="preserve">details of evaluations completed during the reporting period and the forward evaluation </w:t>
      </w:r>
      <w:r w:rsidR="00BA03CC" w:rsidRPr="00092E77">
        <w:t>plan</w:t>
      </w:r>
      <w:r w:rsidR="00274FED" w:rsidRPr="00092E77">
        <w:t>.</w:t>
      </w:r>
    </w:p>
    <w:p w:rsidR="00122C32" w:rsidRPr="00092E77" w:rsidRDefault="004B3A80" w:rsidP="00092E77">
      <w:r w:rsidRPr="00092E77">
        <w:t>Reducing the number of active investments to 16 in response to the Australian Government’s efficiency target has r</w:t>
      </w:r>
      <w:r w:rsidR="00692661" w:rsidRPr="00092E77">
        <w:t>emained a challenge</w:t>
      </w:r>
      <w:r w:rsidRPr="00092E77">
        <w:t xml:space="preserve">. </w:t>
      </w:r>
      <w:r w:rsidR="00B5115E" w:rsidRPr="00092E77">
        <w:t>There are 17 active investments for this reporting period.</w:t>
      </w:r>
      <w:r w:rsidR="00CE03D4">
        <w:t xml:space="preserve"> Of these, initiatives under $3 </w:t>
      </w:r>
      <w:r w:rsidR="00B5115E" w:rsidRPr="00092E77">
        <w:t xml:space="preserve">million (non-monitored) represent 35 per cent, initiatives from $3 million to $10 million represent 18 per cent, and initiatives above $10 million represent 47 per cent. </w:t>
      </w:r>
      <w:r w:rsidRPr="00092E77">
        <w:t xml:space="preserve">This reflects decisions </w:t>
      </w:r>
      <w:r w:rsidR="00C903C9" w:rsidRPr="00092E77">
        <w:t xml:space="preserve">by the Post’s Aid Management Steering Committee </w:t>
      </w:r>
      <w:r w:rsidRPr="00092E77">
        <w:t>to sustain some small</w:t>
      </w:r>
      <w:r w:rsidR="00E86013" w:rsidRPr="00092E77">
        <w:t>-</w:t>
      </w:r>
      <w:r w:rsidRPr="00092E77">
        <w:t xml:space="preserve">scale investments in the water sector and relating to women’s economic empowerment in lieu of receiving </w:t>
      </w:r>
      <w:proofErr w:type="spellStart"/>
      <w:r w:rsidR="008D4FB4" w:rsidRPr="00092E77">
        <w:t>GoV</w:t>
      </w:r>
      <w:proofErr w:type="spellEnd"/>
      <w:r w:rsidRPr="00092E77">
        <w:t xml:space="preserve"> approvals for our major new designs. </w:t>
      </w:r>
      <w:r w:rsidR="00B5115E" w:rsidRPr="00092E77">
        <w:t>Now most of the new designs have come online, we expect there will be opportunities for further consolidation in the next reporting per</w:t>
      </w:r>
      <w:r w:rsidR="00E86013" w:rsidRPr="00092E77">
        <w:t>iod.</w:t>
      </w:r>
    </w:p>
    <w:p w:rsidR="00600479" w:rsidRDefault="00600479" w:rsidP="00BE6C6D">
      <w:pPr>
        <w:rPr>
          <w:b/>
          <w:lang w:eastAsia="zh-CN"/>
        </w:rPr>
      </w:pPr>
      <w:r>
        <w:rPr>
          <w:b/>
          <w:lang w:eastAsia="zh-CN"/>
        </w:rPr>
        <w:t>Aid Quality Checks (AQCs)</w:t>
      </w:r>
    </w:p>
    <w:p w:rsidR="00DB41B4" w:rsidRPr="00A85500" w:rsidRDefault="009137D0" w:rsidP="00092E77">
      <w:r w:rsidRPr="00A85500">
        <w:t>S</w:t>
      </w:r>
      <w:r w:rsidR="00DA2710" w:rsidRPr="00A85500">
        <w:t>ix</w:t>
      </w:r>
      <w:r w:rsidR="00DB41B4" w:rsidRPr="00A85500">
        <w:t xml:space="preserve"> investments</w:t>
      </w:r>
      <w:r w:rsidRPr="00A85500">
        <w:t xml:space="preserve"> were</w:t>
      </w:r>
      <w:r w:rsidR="00DB41B4" w:rsidRPr="00A85500">
        <w:t xml:space="preserve"> monitored under the </w:t>
      </w:r>
      <w:r w:rsidRPr="00A85500">
        <w:t xml:space="preserve">2017-18 </w:t>
      </w:r>
      <w:r w:rsidR="00DB41B4" w:rsidRPr="00A85500">
        <w:t xml:space="preserve">AQC process. There were two </w:t>
      </w:r>
      <w:r w:rsidR="002A53E4" w:rsidRPr="00A85500">
        <w:t>F</w:t>
      </w:r>
      <w:r w:rsidR="00DB41B4" w:rsidRPr="00A85500">
        <w:t xml:space="preserve">AQCs and </w:t>
      </w:r>
      <w:r w:rsidR="00DA2710" w:rsidRPr="00A85500">
        <w:t>four</w:t>
      </w:r>
      <w:r w:rsidR="00DB41B4" w:rsidRPr="00A85500">
        <w:t xml:space="preserve"> </w:t>
      </w:r>
      <w:r w:rsidR="00692661">
        <w:t xml:space="preserve">AQCs. </w:t>
      </w:r>
      <w:r w:rsidR="00DB41B4" w:rsidRPr="00A85500">
        <w:t>Results from the AQC process demonstrate</w:t>
      </w:r>
      <w:r w:rsidR="006E6376" w:rsidRPr="00A85500">
        <w:t>d</w:t>
      </w:r>
      <w:r w:rsidR="00DB41B4" w:rsidRPr="00A85500">
        <w:t xml:space="preserve"> continuous high performance of the Vietnam aid program. Of the </w:t>
      </w:r>
      <w:r w:rsidR="00E16599" w:rsidRPr="00A85500">
        <w:t>six</w:t>
      </w:r>
      <w:r w:rsidR="002A53E4" w:rsidRPr="00A85500">
        <w:t xml:space="preserve"> investments monitored</w:t>
      </w:r>
      <w:r w:rsidR="00DB41B4" w:rsidRPr="00A85500">
        <w:t xml:space="preserve">, </w:t>
      </w:r>
      <w:r w:rsidR="007146CB" w:rsidRPr="00A85500">
        <w:t>100 per cent</w:t>
      </w:r>
      <w:r w:rsidR="00DB41B4" w:rsidRPr="00A85500">
        <w:t xml:space="preserve"> were rated satisfactory for Effectiveness, Efficiency, Relevance, Gender and Sustainability</w:t>
      </w:r>
      <w:r w:rsidR="002A53E4" w:rsidRPr="00A85500">
        <w:t xml:space="preserve">. Monitoring and Evaluation was the only area that required </w:t>
      </w:r>
      <w:r w:rsidR="008C0483" w:rsidRPr="00A85500">
        <w:t>further improvement, with a decrease</w:t>
      </w:r>
      <w:r w:rsidR="007146CB" w:rsidRPr="00A85500">
        <w:t xml:space="preserve"> in </w:t>
      </w:r>
      <w:r w:rsidR="00692661">
        <w:t>satisfactory ratings (</w:t>
      </w:r>
      <w:proofErr w:type="spellStart"/>
      <w:r w:rsidR="00692661">
        <w:t>ie</w:t>
      </w:r>
      <w:proofErr w:type="spellEnd"/>
      <w:r w:rsidR="00692661">
        <w:t xml:space="preserve"> four</w:t>
      </w:r>
      <w:r w:rsidR="002A53E4" w:rsidRPr="00A85500">
        <w:t xml:space="preserve"> or higher)</w:t>
      </w:r>
      <w:r w:rsidR="007146CB" w:rsidRPr="00A85500">
        <w:t xml:space="preserve"> </w:t>
      </w:r>
      <w:r w:rsidR="002A53E4" w:rsidRPr="00A85500">
        <w:t xml:space="preserve">from 100 per cent </w:t>
      </w:r>
      <w:r w:rsidR="006E6376" w:rsidRPr="00A85500">
        <w:t>in</w:t>
      </w:r>
      <w:r w:rsidR="008C0483" w:rsidRPr="00A85500">
        <w:t xml:space="preserve"> the previous year</w:t>
      </w:r>
      <w:r w:rsidR="002A53E4" w:rsidRPr="00A85500">
        <w:t xml:space="preserve"> to</w:t>
      </w:r>
      <w:r w:rsidR="00D135B2" w:rsidRPr="00A85500">
        <w:t xml:space="preserve"> 66</w:t>
      </w:r>
      <w:r w:rsidR="002A53E4" w:rsidRPr="00A85500">
        <w:t xml:space="preserve"> per cent this year</w:t>
      </w:r>
      <w:r w:rsidR="008C0483" w:rsidRPr="00A85500">
        <w:t xml:space="preserve">. </w:t>
      </w:r>
      <w:r w:rsidR="00D135B2" w:rsidRPr="00A85500">
        <w:t xml:space="preserve">Two of the six investments received ratings of three. For the </w:t>
      </w:r>
      <w:r w:rsidR="00D135B2" w:rsidRPr="00DC2454">
        <w:rPr>
          <w:i/>
        </w:rPr>
        <w:t>A</w:t>
      </w:r>
      <w:r w:rsidR="00692661" w:rsidRPr="00DC2454">
        <w:rPr>
          <w:i/>
        </w:rPr>
        <w:t>BP2</w:t>
      </w:r>
      <w:r w:rsidR="00692661" w:rsidRPr="00092E77">
        <w:t xml:space="preserve"> </w:t>
      </w:r>
      <w:r w:rsidR="00D135B2" w:rsidRPr="00A85500">
        <w:t xml:space="preserve">this reflected the early stage of implementation for the program and adjustments required to harmonise both partners’ monitoring and evaluation preferences. </w:t>
      </w:r>
      <w:r w:rsidR="00FD3AE5" w:rsidRPr="00A85500">
        <w:t xml:space="preserve">The </w:t>
      </w:r>
      <w:r w:rsidR="005950EA" w:rsidRPr="00DC2454">
        <w:rPr>
          <w:i/>
        </w:rPr>
        <w:t>VCIC</w:t>
      </w:r>
      <w:r w:rsidR="00FD3AE5" w:rsidRPr="00A85500">
        <w:t xml:space="preserve"> investment was also marked as a three due to the challenges experienced in extracting country</w:t>
      </w:r>
      <w:r w:rsidR="00E86013">
        <w:t>-</w:t>
      </w:r>
      <w:r w:rsidR="00FD3AE5" w:rsidRPr="00A85500">
        <w:t>specific information from the global monitoring system engaged through the program model (Vietnam is just one of seven Climate Innovation Centres). Management actions were recommended for both investments following the AQCs and we are confident ratings will return to satisfactory levels in the next reporting period.</w:t>
      </w:r>
    </w:p>
    <w:p w:rsidR="00DB41B4" w:rsidRDefault="00DB41B4" w:rsidP="00092E77">
      <w:r w:rsidRPr="00A85500">
        <w:t xml:space="preserve">On gender equality the program set </w:t>
      </w:r>
      <w:r w:rsidR="00FD3AE5" w:rsidRPr="00A85500">
        <w:t xml:space="preserve">and reached </w:t>
      </w:r>
      <w:r w:rsidR="0006493E" w:rsidRPr="00A85500">
        <w:t xml:space="preserve">its own ambitious target of </w:t>
      </w:r>
      <w:r w:rsidRPr="00A85500">
        <w:t>100</w:t>
      </w:r>
      <w:r w:rsidR="00E86013">
        <w:t xml:space="preserve"> per cent</w:t>
      </w:r>
      <w:r w:rsidRPr="00A85500">
        <w:t xml:space="preserve"> of investments effectively address gender. With a well-engrained </w:t>
      </w:r>
      <w:r w:rsidR="00CB5DBC">
        <w:t>P</w:t>
      </w:r>
      <w:r w:rsidRPr="00A85500">
        <w:t>ost-led gender strategy, responsibility for the achievement of this ta</w:t>
      </w:r>
      <w:r w:rsidR="00FD3AE5" w:rsidRPr="00A85500">
        <w:t xml:space="preserve">rget was distributed across the entire program </w:t>
      </w:r>
      <w:r w:rsidRPr="00A85500">
        <w:t xml:space="preserve">to ensure all sectors focussed on gender equality through </w:t>
      </w:r>
      <w:r w:rsidR="006E6376" w:rsidRPr="00A85500">
        <w:t xml:space="preserve">both </w:t>
      </w:r>
      <w:r w:rsidR="00FA7192" w:rsidRPr="00A85500">
        <w:t xml:space="preserve">the </w:t>
      </w:r>
      <w:r w:rsidRPr="00A85500">
        <w:t xml:space="preserve">design and </w:t>
      </w:r>
      <w:r w:rsidR="00FA7192" w:rsidRPr="00A85500">
        <w:t xml:space="preserve">the </w:t>
      </w:r>
      <w:r w:rsidRPr="00A85500">
        <w:t>implementation</w:t>
      </w:r>
      <w:r w:rsidR="006E6376" w:rsidRPr="00A85500">
        <w:t xml:space="preserve"> phase</w:t>
      </w:r>
      <w:r w:rsidR="00156C29" w:rsidRPr="00A85500">
        <w:t>.</w:t>
      </w:r>
      <w:r w:rsidR="00EF3D8B">
        <w:t xml:space="preserve"> The Strategy’s action plan is reviewed and updated annually t</w:t>
      </w:r>
      <w:r w:rsidR="00CF3512">
        <w:t>o maximise relevance across the broader aid program’s objectives.</w:t>
      </w:r>
    </w:p>
    <w:p w:rsidR="00600479" w:rsidRDefault="00600479" w:rsidP="00600479">
      <w:pPr>
        <w:rPr>
          <w:b/>
          <w:lang w:eastAsia="zh-CN"/>
        </w:rPr>
      </w:pPr>
      <w:r>
        <w:rPr>
          <w:b/>
          <w:lang w:eastAsia="zh-CN"/>
        </w:rPr>
        <w:t>Performance of key delivery partners</w:t>
      </w:r>
    </w:p>
    <w:p w:rsidR="0063141D" w:rsidRPr="00092E77" w:rsidRDefault="00AB792D" w:rsidP="00092E77">
      <w:r w:rsidRPr="00092E77">
        <w:t>During this reporting period, t</w:t>
      </w:r>
      <w:r w:rsidR="0063141D" w:rsidRPr="00092E77">
        <w:t xml:space="preserve">hree partner performance assessments </w:t>
      </w:r>
      <w:r w:rsidRPr="00092E77">
        <w:t xml:space="preserve">(PPA) </w:t>
      </w:r>
      <w:r w:rsidR="0063141D" w:rsidRPr="00092E77">
        <w:t xml:space="preserve">were </w:t>
      </w:r>
      <w:r w:rsidRPr="00092E77">
        <w:t xml:space="preserve">conducted, including </w:t>
      </w:r>
      <w:r w:rsidR="0063141D" w:rsidRPr="00092E77">
        <w:t xml:space="preserve">two </w:t>
      </w:r>
      <w:r w:rsidRPr="00092E77">
        <w:t xml:space="preserve">assessments with </w:t>
      </w:r>
      <w:r w:rsidR="0063141D" w:rsidRPr="00092E77">
        <w:t>multilateral banks (the World Bank and the A</w:t>
      </w:r>
      <w:r w:rsidR="00CB5DBC" w:rsidRPr="00092E77">
        <w:t>sian Development Bank</w:t>
      </w:r>
      <w:r w:rsidR="0063141D" w:rsidRPr="00092E77">
        <w:t>)</w:t>
      </w:r>
      <w:r w:rsidRPr="00092E77">
        <w:t>,</w:t>
      </w:r>
      <w:r w:rsidR="0063141D" w:rsidRPr="00092E77">
        <w:t xml:space="preserve"> and one </w:t>
      </w:r>
      <w:r w:rsidRPr="00092E77">
        <w:t xml:space="preserve">with a </w:t>
      </w:r>
      <w:r w:rsidR="0063141D" w:rsidRPr="00092E77">
        <w:t>managing contractor (Cof</w:t>
      </w:r>
      <w:r w:rsidR="00E73C50" w:rsidRPr="00092E77">
        <w:t>fey International). Overall, these</w:t>
      </w:r>
      <w:r w:rsidR="0063141D" w:rsidRPr="00092E77">
        <w:t xml:space="preserve"> partners performed satisfactorily </w:t>
      </w:r>
      <w:r w:rsidR="000A6970" w:rsidRPr="00092E77">
        <w:t>across all areas of assessment.</w:t>
      </w:r>
    </w:p>
    <w:p w:rsidR="00866263" w:rsidRPr="00092E77" w:rsidRDefault="0063141D" w:rsidP="00092E77">
      <w:r w:rsidRPr="00092E77">
        <w:t xml:space="preserve">Multilateral banks remained </w:t>
      </w:r>
      <w:r w:rsidR="00AB792D" w:rsidRPr="00092E77">
        <w:t xml:space="preserve">important </w:t>
      </w:r>
      <w:r w:rsidRPr="00092E77">
        <w:t>partners</w:t>
      </w:r>
      <w:r w:rsidR="00AB792D" w:rsidRPr="00092E77">
        <w:t xml:space="preserve"> for Australia</w:t>
      </w:r>
      <w:r w:rsidR="000A6970" w:rsidRPr="00092E77">
        <w:t>’s</w:t>
      </w:r>
      <w:r w:rsidR="00AB792D" w:rsidRPr="00092E77">
        <w:t xml:space="preserve"> aid program in Vietnam, </w:t>
      </w:r>
      <w:r w:rsidR="008E3290" w:rsidRPr="00092E77">
        <w:t>owing to</w:t>
      </w:r>
      <w:r w:rsidR="00AB792D" w:rsidRPr="00092E77">
        <w:t xml:space="preserve"> our long and rewarding </w:t>
      </w:r>
      <w:r w:rsidR="00916944" w:rsidRPr="00092E77">
        <w:t>experience</w:t>
      </w:r>
      <w:r w:rsidR="00AB792D" w:rsidRPr="00092E77">
        <w:t xml:space="preserve"> working wi</w:t>
      </w:r>
      <w:r w:rsidR="00E73C50" w:rsidRPr="00092E77">
        <w:t>th them, their political and economic influence, and proven record of accomplishment</w:t>
      </w:r>
      <w:r w:rsidR="00994CAB" w:rsidRPr="00092E77">
        <w:t xml:space="preserve"> </w:t>
      </w:r>
      <w:r w:rsidR="00E73C50" w:rsidRPr="00092E77">
        <w:t>in Vietnam.</w:t>
      </w:r>
      <w:r w:rsidR="00347959" w:rsidRPr="00092E77">
        <w:t xml:space="preserve"> The PPA with the World Bank</w:t>
      </w:r>
      <w:r w:rsidR="0005162C" w:rsidRPr="00092E77">
        <w:t xml:space="preserve"> is</w:t>
      </w:r>
      <w:r w:rsidR="00347959" w:rsidRPr="00092E77">
        <w:t xml:space="preserve"> mainly based on our cooperation through the </w:t>
      </w:r>
      <w:r w:rsidR="00347959" w:rsidRPr="00DC2454">
        <w:rPr>
          <w:i/>
        </w:rPr>
        <w:t>A</w:t>
      </w:r>
      <w:r w:rsidR="00692661" w:rsidRPr="00DC2454">
        <w:rPr>
          <w:i/>
        </w:rPr>
        <w:t>BP2</w:t>
      </w:r>
      <w:r w:rsidR="00347959" w:rsidRPr="00092E77">
        <w:t xml:space="preserve">, </w:t>
      </w:r>
      <w:r w:rsidRPr="00092E77">
        <w:t>a</w:t>
      </w:r>
      <w:r w:rsidR="00692661" w:rsidRPr="00092E77">
        <w:t xml:space="preserve">n </w:t>
      </w:r>
      <w:r w:rsidRPr="00092E77">
        <w:t xml:space="preserve">evolution of phase one to further promote Vietnam’s development agenda and sustain achievements in </w:t>
      </w:r>
      <w:r w:rsidR="0005162C" w:rsidRPr="00092E77">
        <w:t xml:space="preserve">priority </w:t>
      </w:r>
      <w:r w:rsidRPr="00092E77">
        <w:t>areas</w:t>
      </w:r>
      <w:r w:rsidR="00692661" w:rsidRPr="00092E77">
        <w:t xml:space="preserve">. </w:t>
      </w:r>
      <w:r w:rsidR="0005162C" w:rsidRPr="00092E77">
        <w:t>At the same time, we are</w:t>
      </w:r>
      <w:r w:rsidR="00347959" w:rsidRPr="00092E77">
        <w:t xml:space="preserve"> working with the</w:t>
      </w:r>
      <w:r w:rsidR="0005162C" w:rsidRPr="00092E77">
        <w:t xml:space="preserve"> World Bank</w:t>
      </w:r>
      <w:r w:rsidR="00347959" w:rsidRPr="00092E77">
        <w:t xml:space="preserve"> on the </w:t>
      </w:r>
      <w:r w:rsidR="005950EA" w:rsidRPr="00DC2454">
        <w:rPr>
          <w:i/>
        </w:rPr>
        <w:t>VCIC</w:t>
      </w:r>
      <w:r w:rsidR="0005162C" w:rsidRPr="00092E77">
        <w:t>. Alt</w:t>
      </w:r>
      <w:r w:rsidR="00347959" w:rsidRPr="00092E77">
        <w:t xml:space="preserve">hough </w:t>
      </w:r>
      <w:r w:rsidR="00347959" w:rsidRPr="00DC2454">
        <w:rPr>
          <w:i/>
        </w:rPr>
        <w:t>ABP2</w:t>
      </w:r>
      <w:r w:rsidR="00347959" w:rsidRPr="00092E77">
        <w:t xml:space="preserve"> was in its first year of operation, the Bank </w:t>
      </w:r>
      <w:r w:rsidR="0040479B" w:rsidRPr="00092E77">
        <w:t>was seen</w:t>
      </w:r>
      <w:r w:rsidR="00347959" w:rsidRPr="00092E77">
        <w:t xml:space="preserve"> as highly committed to delivering expected results, </w:t>
      </w:r>
      <w:r w:rsidR="00347959" w:rsidRPr="00092E77">
        <w:lastRenderedPageBreak/>
        <w:t>and responsive to our requirements on agendas that were important to DFAT (such as gender</w:t>
      </w:r>
      <w:r w:rsidR="005E5E2D" w:rsidRPr="00092E77">
        <w:t xml:space="preserve"> or communication work to serve our public diplomacy</w:t>
      </w:r>
      <w:r w:rsidR="00994CAB" w:rsidRPr="00092E77">
        <w:t xml:space="preserve"> requirements</w:t>
      </w:r>
      <w:r w:rsidR="0040479B" w:rsidRPr="00092E77">
        <w:t>)</w:t>
      </w:r>
      <w:r w:rsidR="005E5E2D" w:rsidRPr="00092E77">
        <w:t xml:space="preserve">. Working with the Bank </w:t>
      </w:r>
      <w:r w:rsidR="0040479B" w:rsidRPr="00092E77">
        <w:t>demonstrated</w:t>
      </w:r>
      <w:r w:rsidR="00994CAB" w:rsidRPr="00092E77">
        <w:t xml:space="preserve"> excellent</w:t>
      </w:r>
      <w:r w:rsidR="005E5E2D" w:rsidRPr="00092E77">
        <w:t xml:space="preserve"> value for money, given the opportunities to leverage a much bigger investment </w:t>
      </w:r>
      <w:r w:rsidR="00994CAB" w:rsidRPr="00092E77">
        <w:t>to maximise the impact in jointly</w:t>
      </w:r>
      <w:r w:rsidR="00E86013" w:rsidRPr="00092E77">
        <w:t>-</w:t>
      </w:r>
      <w:r w:rsidR="00994CAB" w:rsidRPr="00092E77">
        <w:t>agreed</w:t>
      </w:r>
      <w:r w:rsidR="005E5E2D" w:rsidRPr="00092E77">
        <w:t xml:space="preserve"> </w:t>
      </w:r>
      <w:r w:rsidR="009E36AC" w:rsidRPr="00092E77">
        <w:t xml:space="preserve">priority </w:t>
      </w:r>
      <w:r w:rsidR="005E5E2D" w:rsidRPr="00092E77">
        <w:t>areas, and to access high</w:t>
      </w:r>
      <w:r w:rsidR="0005162C" w:rsidRPr="00092E77">
        <w:t>-</w:t>
      </w:r>
      <w:r w:rsidR="005E5E2D" w:rsidRPr="00092E77">
        <w:t xml:space="preserve">level events. Nevertheless, there </w:t>
      </w:r>
      <w:r w:rsidR="009E36AC" w:rsidRPr="00092E77">
        <w:t>is</w:t>
      </w:r>
      <w:r w:rsidR="005E5E2D" w:rsidRPr="00092E77">
        <w:t xml:space="preserve"> room for further improvement</w:t>
      </w:r>
      <w:r w:rsidR="00347959" w:rsidRPr="00092E77">
        <w:t xml:space="preserve">, </w:t>
      </w:r>
      <w:r w:rsidR="00994CAB" w:rsidRPr="00092E77">
        <w:t>including a more robust monitoring and evaluation system to better track results.</w:t>
      </w:r>
    </w:p>
    <w:p w:rsidR="00186F20" w:rsidRPr="00092E77" w:rsidRDefault="0063141D" w:rsidP="00092E77">
      <w:r w:rsidRPr="00092E77">
        <w:t>The partnership with</w:t>
      </w:r>
      <w:r w:rsidR="00CB5DBC" w:rsidRPr="00092E77">
        <w:t xml:space="preserve"> the Asian Development Bank</w:t>
      </w:r>
      <w:r w:rsidRPr="00092E77">
        <w:t xml:space="preserve"> </w:t>
      </w:r>
      <w:r w:rsidR="00CB5DBC" w:rsidRPr="00092E77">
        <w:t>(</w:t>
      </w:r>
      <w:r w:rsidRPr="00092E77">
        <w:t>ADB</w:t>
      </w:r>
      <w:r w:rsidR="00CB5DBC" w:rsidRPr="00092E77">
        <w:t>)</w:t>
      </w:r>
      <w:r w:rsidRPr="00092E77">
        <w:t xml:space="preserve"> </w:t>
      </w:r>
      <w:r w:rsidR="00353DB4" w:rsidRPr="00092E77">
        <w:t>reached</w:t>
      </w:r>
      <w:r w:rsidR="00994CAB" w:rsidRPr="00092E77">
        <w:t xml:space="preserve"> a high note </w:t>
      </w:r>
      <w:r w:rsidR="003C0AB8">
        <w:t>with</w:t>
      </w:r>
      <w:r w:rsidR="003C0AB8" w:rsidRPr="00092E77">
        <w:t xml:space="preserve"> </w:t>
      </w:r>
      <w:r w:rsidR="00973CF4" w:rsidRPr="00092E77">
        <w:t xml:space="preserve">the successful opening of the Cao </w:t>
      </w:r>
      <w:proofErr w:type="spellStart"/>
      <w:r w:rsidR="00973CF4" w:rsidRPr="00092E77">
        <w:t>Lanh</w:t>
      </w:r>
      <w:proofErr w:type="spellEnd"/>
      <w:r w:rsidR="00973CF4" w:rsidRPr="00092E77">
        <w:t xml:space="preserve"> Bridge in May 2018. </w:t>
      </w:r>
      <w:r w:rsidR="00994CAB" w:rsidRPr="00092E77">
        <w:t xml:space="preserve">The bridge was delivered on time and on budget, which is a rarity in Vietnam. </w:t>
      </w:r>
      <w:r w:rsidR="00973CF4" w:rsidRPr="00092E77">
        <w:t xml:space="preserve">The collaboration </w:t>
      </w:r>
      <w:r w:rsidR="0005162C" w:rsidRPr="00092E77">
        <w:t>between the</w:t>
      </w:r>
      <w:r w:rsidR="00973CF4" w:rsidRPr="00092E77">
        <w:t xml:space="preserve"> ADB, the </w:t>
      </w:r>
      <w:proofErr w:type="spellStart"/>
      <w:r w:rsidR="008D4FB4" w:rsidRPr="00092E77">
        <w:t>GoV</w:t>
      </w:r>
      <w:proofErr w:type="spellEnd"/>
      <w:r w:rsidR="00973CF4" w:rsidRPr="00092E77">
        <w:t xml:space="preserve"> and DFAT was close, and </w:t>
      </w:r>
      <w:r w:rsidR="0005162C" w:rsidRPr="00092E77">
        <w:t xml:space="preserve">the </w:t>
      </w:r>
      <w:r w:rsidR="00973CF4" w:rsidRPr="00092E77">
        <w:t xml:space="preserve">ADB proved to be an effective and cooperative partner. A strong </w:t>
      </w:r>
      <w:r w:rsidR="00186F20" w:rsidRPr="00092E77">
        <w:t xml:space="preserve">and effective </w:t>
      </w:r>
      <w:r w:rsidR="00973CF4" w:rsidRPr="00092E77">
        <w:t xml:space="preserve">communication mechanism </w:t>
      </w:r>
      <w:r w:rsidR="0005162C" w:rsidRPr="00092E77">
        <w:t>was</w:t>
      </w:r>
      <w:r w:rsidR="00186F20" w:rsidRPr="00092E77">
        <w:t xml:space="preserve"> established and operated throughout the life of the </w:t>
      </w:r>
      <w:r w:rsidR="00DB6B9B" w:rsidRPr="00092E77">
        <w:t>project, ensuring all partners we</w:t>
      </w:r>
      <w:r w:rsidR="00186F20" w:rsidRPr="00092E77">
        <w:t xml:space="preserve">re </w:t>
      </w:r>
      <w:r w:rsidR="0005162C" w:rsidRPr="00092E77">
        <w:t>fully informed</w:t>
      </w:r>
      <w:r w:rsidR="00186F20" w:rsidRPr="00092E77">
        <w:t xml:space="preserve"> and program concerns were ad</w:t>
      </w:r>
      <w:r w:rsidR="00DB6B9B" w:rsidRPr="00092E77">
        <w:t>dressed</w:t>
      </w:r>
      <w:r w:rsidR="0005162C" w:rsidRPr="00092E77">
        <w:t xml:space="preserve"> in a</w:t>
      </w:r>
      <w:r w:rsidR="00DB6B9B" w:rsidRPr="00092E77">
        <w:t xml:space="preserve"> timely</w:t>
      </w:r>
      <w:r w:rsidR="0005162C" w:rsidRPr="00092E77">
        <w:t xml:space="preserve"> manner</w:t>
      </w:r>
      <w:r w:rsidR="00994CAB" w:rsidRPr="00092E77">
        <w:t>.</w:t>
      </w:r>
    </w:p>
    <w:p w:rsidR="0063141D" w:rsidRPr="00092E77" w:rsidRDefault="0063141D" w:rsidP="00092E77">
      <w:r w:rsidRPr="00092E77">
        <w:t xml:space="preserve">The collaboration between DFAT and Coffey in the </w:t>
      </w:r>
      <w:r w:rsidR="0040479B" w:rsidRPr="00092E77">
        <w:t>second</w:t>
      </w:r>
      <w:r w:rsidRPr="00092E77">
        <w:t xml:space="preserve"> year of </w:t>
      </w:r>
      <w:r w:rsidRPr="00584DDE">
        <w:rPr>
          <w:i/>
        </w:rPr>
        <w:t>Aus4Skills</w:t>
      </w:r>
      <w:r w:rsidR="0005162C" w:rsidRPr="00584DDE">
        <w:rPr>
          <w:i/>
        </w:rPr>
        <w:t>’</w:t>
      </w:r>
      <w:r w:rsidRPr="00092E77">
        <w:t xml:space="preserve"> operation </w:t>
      </w:r>
      <w:r w:rsidR="0040479B" w:rsidRPr="00092E77">
        <w:t xml:space="preserve">continued to be fruitful with concrete </w:t>
      </w:r>
      <w:r w:rsidR="00D97D87" w:rsidRPr="00092E77">
        <w:t>results</w:t>
      </w:r>
      <w:r w:rsidRPr="00092E77">
        <w:t>.</w:t>
      </w:r>
      <w:r w:rsidR="0005162C" w:rsidRPr="00092E77">
        <w:t xml:space="preserve"> </w:t>
      </w:r>
      <w:r w:rsidR="00A03F07" w:rsidRPr="00092E77">
        <w:t xml:space="preserve"> </w:t>
      </w:r>
      <w:r w:rsidR="0040479B" w:rsidRPr="00092E77">
        <w:t xml:space="preserve">Coffey has been a responsive and proactive </w:t>
      </w:r>
      <w:r w:rsidR="0084260A" w:rsidRPr="00092E77">
        <w:t>m</w:t>
      </w:r>
      <w:r w:rsidR="0040479B" w:rsidRPr="00092E77">
        <w:t xml:space="preserve">anaging </w:t>
      </w:r>
      <w:r w:rsidR="0084260A" w:rsidRPr="00092E77">
        <w:t>c</w:t>
      </w:r>
      <w:r w:rsidR="0040479B" w:rsidRPr="00092E77">
        <w:t>ontractor</w:t>
      </w:r>
      <w:r w:rsidR="00D97D87" w:rsidRPr="00092E77">
        <w:t>, supported by a highly flexible and professional team. Coffey managed to deliver all the outcomes set for th</w:t>
      </w:r>
      <w:r w:rsidR="0005162C" w:rsidRPr="00092E77">
        <w:t>e reporting period,</w:t>
      </w:r>
      <w:r w:rsidR="00D97D87" w:rsidRPr="00092E77">
        <w:t xml:space="preserve"> </w:t>
      </w:r>
      <w:r w:rsidR="0005162C" w:rsidRPr="00092E77">
        <w:t xml:space="preserve">and </w:t>
      </w:r>
      <w:r w:rsidR="00D97D87" w:rsidRPr="00092E77">
        <w:t>adapt</w:t>
      </w:r>
      <w:r w:rsidR="0005162C" w:rsidRPr="00092E77">
        <w:t>ed</w:t>
      </w:r>
      <w:r w:rsidR="00D97D87" w:rsidRPr="00092E77">
        <w:t xml:space="preserve"> itself </w:t>
      </w:r>
      <w:r w:rsidR="00430EB1" w:rsidRPr="00092E77">
        <w:t xml:space="preserve">to </w:t>
      </w:r>
      <w:r w:rsidR="0005162C" w:rsidRPr="00092E77">
        <w:t xml:space="preserve">a </w:t>
      </w:r>
      <w:r w:rsidR="00430EB1" w:rsidRPr="00092E77">
        <w:t>changing context through a thorough staff restructuring process. They maintained a collaborative approach</w:t>
      </w:r>
      <w:r w:rsidR="00A116DC" w:rsidRPr="00092E77">
        <w:t>,</w:t>
      </w:r>
      <w:r w:rsidR="00430EB1" w:rsidRPr="00092E77">
        <w:t xml:space="preserve"> communicat</w:t>
      </w:r>
      <w:r w:rsidR="00A116DC" w:rsidRPr="00092E77">
        <w:t>ing</w:t>
      </w:r>
      <w:r w:rsidR="00430EB1" w:rsidRPr="00092E77">
        <w:t xml:space="preserve"> </w:t>
      </w:r>
      <w:r w:rsidR="00A116DC" w:rsidRPr="00092E77">
        <w:t>regularly</w:t>
      </w:r>
      <w:r w:rsidR="00430EB1" w:rsidRPr="00092E77">
        <w:t xml:space="preserve"> and effectively with DFAT staff. Visibility of the Australian Embassy </w:t>
      </w:r>
      <w:r w:rsidR="00A116DC" w:rsidRPr="00092E77">
        <w:t>in</w:t>
      </w:r>
      <w:r w:rsidR="00430EB1" w:rsidRPr="00092E77">
        <w:t xml:space="preserve"> the </w:t>
      </w:r>
      <w:r w:rsidR="00430EB1" w:rsidRPr="00584DDE">
        <w:rPr>
          <w:i/>
        </w:rPr>
        <w:t>Aus4Skills</w:t>
      </w:r>
      <w:r w:rsidR="00430EB1" w:rsidRPr="00092E77">
        <w:t xml:space="preserve"> branding was </w:t>
      </w:r>
      <w:r w:rsidR="00A116DC" w:rsidRPr="00092E77">
        <w:t>achieved</w:t>
      </w:r>
      <w:r w:rsidR="00430EB1" w:rsidRPr="00092E77">
        <w:t xml:space="preserve"> professionally. </w:t>
      </w:r>
      <w:r w:rsidR="00A25675" w:rsidRPr="00092E77">
        <w:t xml:space="preserve">A mid-term review of the program </w:t>
      </w:r>
      <w:r w:rsidR="0020517E" w:rsidRPr="00092E77">
        <w:t>(conducted in September 2018) will assess the</w:t>
      </w:r>
      <w:r w:rsidR="00A25675" w:rsidRPr="00092E77">
        <w:t xml:space="preserve"> performance of the </w:t>
      </w:r>
      <w:r w:rsidR="0084260A" w:rsidRPr="00092E77">
        <w:t>m</w:t>
      </w:r>
      <w:r w:rsidR="00A25675" w:rsidRPr="00092E77">
        <w:t xml:space="preserve">anaging </w:t>
      </w:r>
      <w:r w:rsidR="0084260A" w:rsidRPr="00092E77">
        <w:t>c</w:t>
      </w:r>
      <w:r w:rsidR="00A25675" w:rsidRPr="00092E77">
        <w:t xml:space="preserve">ontractor </w:t>
      </w:r>
      <w:r w:rsidR="00A116DC" w:rsidRPr="00092E77">
        <w:t>in order</w:t>
      </w:r>
      <w:r w:rsidR="00A25675" w:rsidRPr="00092E77">
        <w:t xml:space="preserve"> to furt</w:t>
      </w:r>
      <w:r w:rsidR="00A116DC" w:rsidRPr="00092E77">
        <w:t>her enhance deliverables.</w:t>
      </w:r>
    </w:p>
    <w:p w:rsidR="0063141D" w:rsidRPr="00092E77" w:rsidRDefault="0063141D" w:rsidP="00092E77">
      <w:r w:rsidRPr="00092E77">
        <w:t xml:space="preserve">At </w:t>
      </w:r>
      <w:r w:rsidR="00A25675" w:rsidRPr="00092E77">
        <w:t>the</w:t>
      </w:r>
      <w:r w:rsidRPr="00092E77">
        <w:t xml:space="preserve"> policy level, </w:t>
      </w:r>
      <w:r w:rsidR="00852C04" w:rsidRPr="00092E77">
        <w:t xml:space="preserve">following Australia’s significant support to Vietnam’s successful APEC host year in 2017 and </w:t>
      </w:r>
      <w:r w:rsidR="00EA2A3F" w:rsidRPr="00092E77">
        <w:t>with the elevation of the bilateral relationship to a Strategic Partnership</w:t>
      </w:r>
      <w:r w:rsidR="006E6376" w:rsidRPr="00092E77">
        <w:t>, the</w:t>
      </w:r>
      <w:r w:rsidR="00430EB1" w:rsidRPr="00092E77">
        <w:t xml:space="preserve"> Embassy continued to </w:t>
      </w:r>
      <w:r w:rsidR="00EA2A3F" w:rsidRPr="00092E77">
        <w:t>main</w:t>
      </w:r>
      <w:r w:rsidR="00430EB1" w:rsidRPr="00092E77">
        <w:t>tain excellent relationship</w:t>
      </w:r>
      <w:r w:rsidR="006E6376" w:rsidRPr="00092E77">
        <w:t>s</w:t>
      </w:r>
      <w:r w:rsidR="00430EB1" w:rsidRPr="00092E77">
        <w:t xml:space="preserve"> with key ministries</w:t>
      </w:r>
      <w:r w:rsidR="006E6376" w:rsidRPr="00092E77">
        <w:t xml:space="preserve">. </w:t>
      </w:r>
      <w:r w:rsidR="00994CAB" w:rsidRPr="00092E77">
        <w:t xml:space="preserve">Access to </w:t>
      </w:r>
      <w:proofErr w:type="spellStart"/>
      <w:r w:rsidR="008D4FB4" w:rsidRPr="00092E77">
        <w:t>GoV</w:t>
      </w:r>
      <w:r w:rsidR="00994CAB" w:rsidRPr="00092E77">
        <w:t>’s</w:t>
      </w:r>
      <w:proofErr w:type="spellEnd"/>
      <w:r w:rsidR="00994CAB" w:rsidRPr="00092E77">
        <w:t xml:space="preserve"> senior leaders and officials has become </w:t>
      </w:r>
      <w:r w:rsidR="00852C04" w:rsidRPr="00092E77">
        <w:t>more frequent and easier to secure, in turn enhancing our ability to prosecute a more sophisticated and informed policy agenda.</w:t>
      </w:r>
      <w:r w:rsidR="00FB223C" w:rsidRPr="00092E77">
        <w:t xml:space="preserve"> This was particularly evident during the Embassy’s sustained advocacy on the Trans</w:t>
      </w:r>
      <w:r w:rsidR="00867723">
        <w:t>-</w:t>
      </w:r>
      <w:r w:rsidR="00FB223C" w:rsidRPr="00092E77">
        <w:t>Pacific Partnership that culminated in a meeting with the Prime Minister and ultimately with Vietnam signing the deal in early 2018.</w:t>
      </w:r>
    </w:p>
    <w:p w:rsidR="002A51CA" w:rsidRPr="002A51CA" w:rsidRDefault="002A51CA" w:rsidP="002A51CA">
      <w:pPr>
        <w:pStyle w:val="Heading2"/>
      </w:pPr>
      <w:r w:rsidRPr="002A51CA">
        <w:t>Risks</w:t>
      </w:r>
    </w:p>
    <w:p w:rsidR="000D2CA9" w:rsidRPr="00092E77" w:rsidRDefault="00B55476" w:rsidP="00092E77">
      <w:r w:rsidRPr="00092E77">
        <w:t>Overall,</w:t>
      </w:r>
      <w:r w:rsidR="00E10487" w:rsidRPr="00092E77">
        <w:t xml:space="preserve"> the r</w:t>
      </w:r>
      <w:r w:rsidRPr="00092E77">
        <w:t xml:space="preserve">isk profile for the program is </w:t>
      </w:r>
      <w:r w:rsidR="00E10487" w:rsidRPr="00092E77">
        <w:t>moderate</w:t>
      </w:r>
      <w:r w:rsidRPr="00092E77">
        <w:t xml:space="preserve"> and has not seen any major shifts since the previous reporting period</w:t>
      </w:r>
      <w:r w:rsidR="00E10487" w:rsidRPr="00092E77">
        <w:t xml:space="preserve">. </w:t>
      </w:r>
      <w:r w:rsidR="009B0F26" w:rsidRPr="00092E77">
        <w:t xml:space="preserve">A risk on the debt ceiling in Vietnam has been added. </w:t>
      </w:r>
      <w:r w:rsidR="00E10487" w:rsidRPr="00092E77">
        <w:t>Details on management of key risks is provided below.</w:t>
      </w:r>
    </w:p>
    <w:p w:rsidR="000D2CA9" w:rsidRDefault="000D2CA9" w:rsidP="000D2CA9">
      <w:pPr>
        <w:rPr>
          <w:b/>
          <w:sz w:val="24"/>
        </w:rPr>
      </w:pPr>
      <w:r w:rsidRPr="008C2F58">
        <w:rPr>
          <w:b/>
          <w:sz w:val="24"/>
        </w:rPr>
        <w:t>Table 3</w:t>
      </w:r>
      <w:r>
        <w:rPr>
          <w:b/>
          <w:sz w:val="24"/>
        </w:rPr>
        <w:t>:</w:t>
      </w:r>
      <w:r w:rsidRPr="008C2F58">
        <w:rPr>
          <w:b/>
          <w:sz w:val="24"/>
        </w:rPr>
        <w:t xml:space="preserve"> Management of Key Risks to Achieving Objectives</w:t>
      </w:r>
    </w:p>
    <w:tbl>
      <w:tblPr>
        <w:tblStyle w:val="PlainTable21"/>
        <w:tblW w:w="4928" w:type="pct"/>
        <w:tblLook w:val="0600" w:firstRow="0" w:lastRow="0" w:firstColumn="0" w:lastColumn="0" w:noHBand="1" w:noVBand="1"/>
      </w:tblPr>
      <w:tblGrid>
        <w:gridCol w:w="2142"/>
        <w:gridCol w:w="35"/>
        <w:gridCol w:w="1864"/>
        <w:gridCol w:w="2354"/>
        <w:gridCol w:w="1973"/>
        <w:gridCol w:w="1131"/>
      </w:tblGrid>
      <w:tr w:rsidR="0010121A" w:rsidRPr="00A94442" w:rsidTr="00A94442">
        <w:tc>
          <w:tcPr>
            <w:tcW w:w="2139" w:type="dxa"/>
            <w:hideMark/>
          </w:tcPr>
          <w:p w:rsidR="0010121A" w:rsidRPr="00A94442" w:rsidRDefault="0010121A" w:rsidP="00165AA2">
            <w:pPr>
              <w:rPr>
                <w:b/>
                <w:sz w:val="18"/>
                <w:szCs w:val="18"/>
              </w:rPr>
            </w:pPr>
            <w:r w:rsidRPr="00A94442">
              <w:rPr>
                <w:b/>
                <w:sz w:val="18"/>
                <w:szCs w:val="18"/>
              </w:rPr>
              <w:t>Key risks</w:t>
            </w:r>
          </w:p>
        </w:tc>
        <w:tc>
          <w:tcPr>
            <w:tcW w:w="1897" w:type="dxa"/>
            <w:gridSpan w:val="2"/>
          </w:tcPr>
          <w:p w:rsidR="0010121A" w:rsidRPr="00A94442" w:rsidRDefault="0010121A" w:rsidP="00165AA2">
            <w:pPr>
              <w:rPr>
                <w:b/>
                <w:sz w:val="18"/>
                <w:szCs w:val="18"/>
              </w:rPr>
            </w:pPr>
            <w:r w:rsidRPr="00A94442">
              <w:rPr>
                <w:b/>
                <w:sz w:val="18"/>
                <w:szCs w:val="18"/>
              </w:rPr>
              <w:t>What actions were taken to manage the risks over the past year?</w:t>
            </w:r>
          </w:p>
        </w:tc>
        <w:tc>
          <w:tcPr>
            <w:tcW w:w="2352" w:type="dxa"/>
          </w:tcPr>
          <w:p w:rsidR="0010121A" w:rsidRPr="00A94442" w:rsidRDefault="0010121A" w:rsidP="00165AA2">
            <w:pPr>
              <w:rPr>
                <w:b/>
                <w:sz w:val="18"/>
                <w:szCs w:val="18"/>
              </w:rPr>
            </w:pPr>
            <w:r w:rsidRPr="00A94442">
              <w:rPr>
                <w:b/>
                <w:sz w:val="18"/>
                <w:szCs w:val="18"/>
              </w:rPr>
              <w:t>What further actions will be taken to manage the risks in the coming year?</w:t>
            </w:r>
          </w:p>
        </w:tc>
        <w:tc>
          <w:tcPr>
            <w:tcW w:w="1971" w:type="dxa"/>
          </w:tcPr>
          <w:p w:rsidR="0010121A" w:rsidRPr="00A94442" w:rsidRDefault="0010121A" w:rsidP="001B4246">
            <w:pPr>
              <w:rPr>
                <w:b/>
                <w:sz w:val="18"/>
                <w:szCs w:val="18"/>
              </w:rPr>
            </w:pPr>
            <w:r w:rsidRPr="00A94442">
              <w:rPr>
                <w:b/>
                <w:sz w:val="18"/>
                <w:szCs w:val="18"/>
              </w:rPr>
              <w:t>For emerging/ongo</w:t>
            </w:r>
            <w:r w:rsidR="001B4246" w:rsidRPr="00A94442">
              <w:rPr>
                <w:b/>
                <w:sz w:val="18"/>
                <w:szCs w:val="18"/>
              </w:rPr>
              <w:t>ing risks provide a Risk Rating</w:t>
            </w:r>
          </w:p>
        </w:tc>
        <w:tc>
          <w:tcPr>
            <w:tcW w:w="1130" w:type="dxa"/>
          </w:tcPr>
          <w:p w:rsidR="0010121A" w:rsidRPr="00A94442" w:rsidRDefault="0010121A" w:rsidP="00165AA2">
            <w:pPr>
              <w:rPr>
                <w:b/>
                <w:sz w:val="18"/>
                <w:szCs w:val="18"/>
              </w:rPr>
            </w:pPr>
            <w:r w:rsidRPr="00A94442">
              <w:rPr>
                <w:b/>
                <w:sz w:val="18"/>
                <w:szCs w:val="18"/>
              </w:rPr>
              <w:t>Are these same risks in in Post’s Risk Register (Yes/No)*</w:t>
            </w:r>
          </w:p>
        </w:tc>
      </w:tr>
      <w:tr w:rsidR="0010121A" w:rsidRPr="00A94442" w:rsidTr="00A94442">
        <w:tc>
          <w:tcPr>
            <w:tcW w:w="2139" w:type="dxa"/>
            <w:hideMark/>
          </w:tcPr>
          <w:p w:rsidR="0010121A" w:rsidRPr="00A94442" w:rsidRDefault="0010121A" w:rsidP="001B4246">
            <w:pPr>
              <w:rPr>
                <w:color w:val="333938" w:themeColor="background2" w:themeShade="40"/>
                <w:sz w:val="18"/>
                <w:szCs w:val="18"/>
              </w:rPr>
            </w:pPr>
            <w:r w:rsidRPr="00A94442">
              <w:rPr>
                <w:color w:val="333938" w:themeColor="background2" w:themeShade="40"/>
                <w:sz w:val="18"/>
                <w:szCs w:val="18"/>
              </w:rPr>
              <w:t>1. Slow prog</w:t>
            </w:r>
            <w:r w:rsidR="001B4246" w:rsidRPr="00A94442">
              <w:rPr>
                <w:color w:val="333938" w:themeColor="background2" w:themeShade="40"/>
                <w:sz w:val="18"/>
                <w:szCs w:val="18"/>
              </w:rPr>
              <w:t xml:space="preserve">ress of institutional reform by </w:t>
            </w:r>
            <w:proofErr w:type="spellStart"/>
            <w:r w:rsidR="008D4FB4">
              <w:rPr>
                <w:color w:val="333938" w:themeColor="background2" w:themeShade="40"/>
                <w:sz w:val="18"/>
                <w:szCs w:val="18"/>
              </w:rPr>
              <w:t>GoV</w:t>
            </w:r>
            <w:proofErr w:type="spellEnd"/>
            <w:r w:rsidRPr="00A94442">
              <w:rPr>
                <w:color w:val="333938" w:themeColor="background2" w:themeShade="40"/>
                <w:sz w:val="18"/>
                <w:szCs w:val="18"/>
              </w:rPr>
              <w:t xml:space="preserve"> despite DFAT's policy advocacy and due to the reliance on few individual champions to drive the change process, may lead to inability to sustain investment results and AIP strategic objectives. </w:t>
            </w:r>
          </w:p>
        </w:tc>
        <w:tc>
          <w:tcPr>
            <w:tcW w:w="1897" w:type="dxa"/>
            <w:gridSpan w:val="2"/>
          </w:tcPr>
          <w:p w:rsidR="0010121A" w:rsidRPr="00A94442" w:rsidRDefault="0010121A" w:rsidP="00165AA2">
            <w:pPr>
              <w:rPr>
                <w:color w:val="333938" w:themeColor="background2" w:themeShade="40"/>
                <w:sz w:val="18"/>
                <w:szCs w:val="18"/>
              </w:rPr>
            </w:pPr>
            <w:r w:rsidRPr="00A94442">
              <w:rPr>
                <w:rFonts w:eastAsia="Times New Roman" w:cs="Times New Roman"/>
                <w:color w:val="333938" w:themeColor="background2" w:themeShade="40"/>
                <w:sz w:val="18"/>
                <w:szCs w:val="18"/>
                <w:lang w:val="en-AU"/>
              </w:rPr>
              <w:t>All teams ensured this issue is accounted for in the design and implementation of new investments.</w:t>
            </w:r>
          </w:p>
        </w:tc>
        <w:tc>
          <w:tcPr>
            <w:tcW w:w="2352" w:type="dxa"/>
          </w:tcPr>
          <w:p w:rsidR="0010121A" w:rsidRPr="00A94442" w:rsidRDefault="0010121A" w:rsidP="00165AA2">
            <w:pPr>
              <w:rPr>
                <w:color w:val="333938" w:themeColor="background2" w:themeShade="40"/>
                <w:sz w:val="18"/>
                <w:szCs w:val="18"/>
              </w:rPr>
            </w:pPr>
            <w:r w:rsidRPr="00A94442">
              <w:rPr>
                <w:color w:val="333938" w:themeColor="background2" w:themeShade="40"/>
                <w:sz w:val="18"/>
                <w:szCs w:val="18"/>
              </w:rPr>
              <w:t>Sector teams continue active engagement with a range of institutions to identify other reform champions.</w:t>
            </w:r>
          </w:p>
          <w:p w:rsidR="0010121A" w:rsidRPr="00A94442" w:rsidRDefault="0010121A" w:rsidP="00165AA2">
            <w:pPr>
              <w:rPr>
                <w:color w:val="333938" w:themeColor="background2" w:themeShade="40"/>
                <w:sz w:val="18"/>
                <w:szCs w:val="18"/>
              </w:rPr>
            </w:pPr>
            <w:r w:rsidRPr="00A94442">
              <w:rPr>
                <w:color w:val="333938" w:themeColor="background2" w:themeShade="40"/>
                <w:sz w:val="18"/>
                <w:szCs w:val="18"/>
              </w:rPr>
              <w:t>DFAT staff will look for opportunities to measure the impact of policy dialogue and influence.</w:t>
            </w:r>
          </w:p>
          <w:p w:rsidR="0010121A" w:rsidRPr="00A94442" w:rsidRDefault="0010121A" w:rsidP="00165AA2">
            <w:pPr>
              <w:rPr>
                <w:color w:val="333938" w:themeColor="background2" w:themeShade="40"/>
                <w:sz w:val="18"/>
                <w:szCs w:val="18"/>
              </w:rPr>
            </w:pPr>
          </w:p>
        </w:tc>
        <w:tc>
          <w:tcPr>
            <w:tcW w:w="1971" w:type="dxa"/>
          </w:tcPr>
          <w:p w:rsidR="0010121A" w:rsidRPr="00A94442" w:rsidRDefault="0010121A" w:rsidP="00165AA2">
            <w:pPr>
              <w:rPr>
                <w:color w:val="333938" w:themeColor="background2" w:themeShade="40"/>
                <w:sz w:val="18"/>
                <w:szCs w:val="18"/>
              </w:rPr>
            </w:pPr>
            <w:r w:rsidRPr="00A94442">
              <w:rPr>
                <w:color w:val="333938" w:themeColor="background2" w:themeShade="40"/>
                <w:sz w:val="18"/>
                <w:szCs w:val="18"/>
              </w:rPr>
              <w:t xml:space="preserve">Low </w:t>
            </w:r>
          </w:p>
        </w:tc>
        <w:tc>
          <w:tcPr>
            <w:tcW w:w="1130" w:type="dxa"/>
          </w:tcPr>
          <w:p w:rsidR="0010121A" w:rsidRPr="00A94442" w:rsidRDefault="0010121A" w:rsidP="00165AA2">
            <w:pPr>
              <w:rPr>
                <w:color w:val="333938" w:themeColor="background2" w:themeShade="40"/>
                <w:sz w:val="18"/>
                <w:szCs w:val="18"/>
              </w:rPr>
            </w:pPr>
            <w:r w:rsidRPr="00A94442">
              <w:rPr>
                <w:color w:val="333938" w:themeColor="background2" w:themeShade="40"/>
                <w:sz w:val="18"/>
                <w:szCs w:val="18"/>
              </w:rPr>
              <w:t xml:space="preserve">Yes </w:t>
            </w:r>
          </w:p>
        </w:tc>
      </w:tr>
      <w:tr w:rsidR="0010121A" w:rsidRPr="00A94442" w:rsidTr="00A94442">
        <w:trPr>
          <w:trHeight w:val="56"/>
        </w:trPr>
        <w:tc>
          <w:tcPr>
            <w:tcW w:w="2174" w:type="dxa"/>
            <w:gridSpan w:val="2"/>
          </w:tcPr>
          <w:p w:rsidR="0010121A" w:rsidRPr="00A94442" w:rsidRDefault="00A94442">
            <w:pPr>
              <w:keepLines/>
              <w:spacing w:before="40" w:after="40" w:line="200" w:lineRule="atLeast"/>
              <w:rPr>
                <w:rFonts w:eastAsia="Times New Roman"/>
                <w:iCs/>
                <w:color w:val="333938" w:themeColor="background2" w:themeShade="40"/>
                <w:sz w:val="18"/>
                <w:szCs w:val="18"/>
              </w:rPr>
            </w:pPr>
            <w:r>
              <w:rPr>
                <w:rFonts w:eastAsia="Times New Roman"/>
                <w:iCs/>
                <w:color w:val="333938" w:themeColor="background2" w:themeShade="40"/>
                <w:sz w:val="18"/>
                <w:szCs w:val="18"/>
              </w:rPr>
              <w:lastRenderedPageBreak/>
              <w:t>2</w:t>
            </w:r>
            <w:r w:rsidR="0010121A" w:rsidRPr="00A94442">
              <w:rPr>
                <w:rFonts w:eastAsia="Times New Roman"/>
                <w:iCs/>
                <w:color w:val="333938" w:themeColor="background2" w:themeShade="40"/>
                <w:sz w:val="18"/>
                <w:szCs w:val="18"/>
              </w:rPr>
              <w:t>. Vietnam</w:t>
            </w:r>
            <w:r w:rsidR="00EB3DD3">
              <w:rPr>
                <w:rFonts w:eastAsia="Times New Roman"/>
                <w:iCs/>
                <w:color w:val="333938" w:themeColor="background2" w:themeShade="40"/>
                <w:sz w:val="18"/>
                <w:szCs w:val="18"/>
              </w:rPr>
              <w:t xml:space="preserve">’s implementation of </w:t>
            </w:r>
            <w:r w:rsidR="0010121A" w:rsidRPr="00A94442">
              <w:rPr>
                <w:rFonts w:eastAsia="Times New Roman"/>
                <w:iCs/>
                <w:color w:val="333938" w:themeColor="background2" w:themeShade="40"/>
                <w:sz w:val="18"/>
                <w:szCs w:val="18"/>
              </w:rPr>
              <w:t>international trade obligations (including TPP, WTO, and AANZFTA)</w:t>
            </w:r>
            <w:r w:rsidR="00EB3DD3">
              <w:rPr>
                <w:rFonts w:eastAsia="Times New Roman"/>
                <w:iCs/>
                <w:color w:val="333938" w:themeColor="background2" w:themeShade="40"/>
                <w:sz w:val="18"/>
                <w:szCs w:val="18"/>
              </w:rPr>
              <w:t xml:space="preserve"> is uneven</w:t>
            </w:r>
            <w:r w:rsidR="0010121A" w:rsidRPr="00A94442">
              <w:rPr>
                <w:rFonts w:eastAsia="Times New Roman"/>
                <w:iCs/>
                <w:color w:val="333938" w:themeColor="background2" w:themeShade="40"/>
                <w:sz w:val="18"/>
                <w:szCs w:val="18"/>
              </w:rPr>
              <w:t>, leading to reduced regional competitiveness, FDI, and direct trade.</w:t>
            </w:r>
          </w:p>
        </w:tc>
        <w:tc>
          <w:tcPr>
            <w:tcW w:w="1862" w:type="dxa"/>
          </w:tcPr>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Po</w:t>
            </w:r>
            <w:r w:rsidR="001B4246" w:rsidRPr="00A94442">
              <w:rPr>
                <w:rFonts w:eastAsia="Times New Roman"/>
                <w:iCs/>
                <w:color w:val="333938" w:themeColor="background2" w:themeShade="40"/>
                <w:sz w:val="18"/>
                <w:szCs w:val="18"/>
              </w:rPr>
              <w:t>st engaged</w:t>
            </w:r>
            <w:r w:rsidR="003E34CD">
              <w:rPr>
                <w:rFonts w:eastAsia="Times New Roman"/>
                <w:iCs/>
                <w:color w:val="333938" w:themeColor="background2" w:themeShade="40"/>
                <w:sz w:val="18"/>
                <w:szCs w:val="18"/>
              </w:rPr>
              <w:t xml:space="preserve"> the</w:t>
            </w:r>
            <w:r w:rsidR="001B4246" w:rsidRPr="00A94442">
              <w:rPr>
                <w:rFonts w:eastAsia="Times New Roman"/>
                <w:iCs/>
                <w:color w:val="333938" w:themeColor="background2" w:themeShade="40"/>
                <w:sz w:val="18"/>
                <w:szCs w:val="18"/>
              </w:rPr>
              <w:t xml:space="preserve"> W</w:t>
            </w:r>
            <w:r w:rsidR="00CB5DBC">
              <w:rPr>
                <w:rFonts w:eastAsia="Times New Roman"/>
                <w:iCs/>
                <w:color w:val="333938" w:themeColor="background2" w:themeShade="40"/>
                <w:sz w:val="18"/>
                <w:szCs w:val="18"/>
              </w:rPr>
              <w:t>orld Bank</w:t>
            </w:r>
            <w:r w:rsidR="001B4246" w:rsidRPr="00A94442">
              <w:rPr>
                <w:rFonts w:eastAsia="Times New Roman"/>
                <w:iCs/>
                <w:color w:val="333938" w:themeColor="background2" w:themeShade="40"/>
                <w:sz w:val="18"/>
                <w:szCs w:val="18"/>
              </w:rPr>
              <w:t xml:space="preserve"> through </w:t>
            </w:r>
            <w:r w:rsidR="001B4246" w:rsidRPr="00441FA9">
              <w:rPr>
                <w:rFonts w:eastAsia="Times New Roman"/>
                <w:i/>
                <w:iCs/>
                <w:color w:val="333938" w:themeColor="background2" w:themeShade="40"/>
                <w:sz w:val="18"/>
                <w:szCs w:val="18"/>
              </w:rPr>
              <w:t>ABP2</w:t>
            </w:r>
            <w:r w:rsidR="001B4246" w:rsidRPr="00A94442">
              <w:rPr>
                <w:rFonts w:eastAsia="Times New Roman"/>
                <w:iCs/>
                <w:color w:val="333938" w:themeColor="background2" w:themeShade="40"/>
                <w:sz w:val="18"/>
                <w:szCs w:val="18"/>
              </w:rPr>
              <w:t xml:space="preserve"> T</w:t>
            </w:r>
            <w:r w:rsidRPr="00A94442">
              <w:rPr>
                <w:rFonts w:eastAsia="Times New Roman"/>
                <w:iCs/>
                <w:color w:val="333938" w:themeColor="background2" w:themeShade="40"/>
                <w:sz w:val="18"/>
                <w:szCs w:val="18"/>
              </w:rPr>
              <w:t xml:space="preserve">&amp;C Pillar to produce high quality modelling that assisted Vietnam make a decision to join TPP. </w:t>
            </w:r>
          </w:p>
          <w:p w:rsidR="0010121A" w:rsidRPr="00A94442" w:rsidRDefault="0010121A" w:rsidP="00165AA2">
            <w:pPr>
              <w:keepLines/>
              <w:spacing w:before="40" w:after="40" w:line="200" w:lineRule="atLeast"/>
              <w:rPr>
                <w:rFonts w:eastAsia="Times New Roman"/>
                <w:iCs/>
                <w:color w:val="333938" w:themeColor="background2" w:themeShade="40"/>
                <w:sz w:val="18"/>
                <w:szCs w:val="18"/>
              </w:rPr>
            </w:pPr>
          </w:p>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 xml:space="preserve">Through the </w:t>
            </w:r>
            <w:r w:rsidRPr="00441FA9">
              <w:rPr>
                <w:rFonts w:eastAsia="Times New Roman"/>
                <w:i/>
                <w:iCs/>
                <w:color w:val="333938" w:themeColor="background2" w:themeShade="40"/>
                <w:sz w:val="18"/>
                <w:szCs w:val="18"/>
              </w:rPr>
              <w:t>Aus4Reform</w:t>
            </w:r>
            <w:r w:rsidRPr="00A94442">
              <w:rPr>
                <w:rFonts w:eastAsia="Times New Roman"/>
                <w:iCs/>
                <w:color w:val="333938" w:themeColor="background2" w:themeShade="40"/>
                <w:sz w:val="18"/>
                <w:szCs w:val="18"/>
              </w:rPr>
              <w:t xml:space="preserve"> program Post has supported MOIT to amend the Competition Law to align it with international trade commitments and best practice.</w:t>
            </w:r>
          </w:p>
          <w:p w:rsidR="0010121A" w:rsidRPr="00A94442" w:rsidRDefault="0010121A" w:rsidP="00165AA2">
            <w:pPr>
              <w:keepLines/>
              <w:spacing w:before="40" w:after="40" w:line="200" w:lineRule="atLeast"/>
              <w:rPr>
                <w:rFonts w:eastAsia="Times New Roman"/>
                <w:iCs/>
                <w:color w:val="333938" w:themeColor="background2" w:themeShade="40"/>
                <w:sz w:val="18"/>
                <w:szCs w:val="18"/>
              </w:rPr>
            </w:pPr>
          </w:p>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 xml:space="preserve">Post has advocated directly with senior </w:t>
            </w:r>
            <w:proofErr w:type="spellStart"/>
            <w:r w:rsidRPr="00A94442">
              <w:rPr>
                <w:rFonts w:eastAsia="Times New Roman"/>
                <w:iCs/>
                <w:color w:val="333938" w:themeColor="background2" w:themeShade="40"/>
                <w:sz w:val="18"/>
                <w:szCs w:val="18"/>
              </w:rPr>
              <w:t>GoV</w:t>
            </w:r>
            <w:proofErr w:type="spellEnd"/>
            <w:r w:rsidRPr="00A94442">
              <w:rPr>
                <w:rFonts w:eastAsia="Times New Roman"/>
                <w:iCs/>
                <w:color w:val="333938" w:themeColor="background2" w:themeShade="40"/>
                <w:sz w:val="18"/>
                <w:szCs w:val="18"/>
              </w:rPr>
              <w:t xml:space="preserve"> leadership and officials on the strategic benefits of signing up to TPP-11.</w:t>
            </w:r>
          </w:p>
        </w:tc>
        <w:tc>
          <w:tcPr>
            <w:tcW w:w="2352" w:type="dxa"/>
          </w:tcPr>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 xml:space="preserve">Support from </w:t>
            </w:r>
            <w:r w:rsidRPr="00441FA9">
              <w:rPr>
                <w:rFonts w:eastAsia="Times New Roman"/>
                <w:i/>
                <w:iCs/>
                <w:color w:val="333938" w:themeColor="background2" w:themeShade="40"/>
                <w:sz w:val="18"/>
                <w:szCs w:val="18"/>
              </w:rPr>
              <w:t>Aus4Reform</w:t>
            </w:r>
            <w:r w:rsidRPr="00A94442">
              <w:rPr>
                <w:rFonts w:eastAsia="Times New Roman"/>
                <w:iCs/>
                <w:color w:val="333938" w:themeColor="background2" w:themeShade="40"/>
                <w:sz w:val="18"/>
                <w:szCs w:val="18"/>
              </w:rPr>
              <w:t xml:space="preserve"> will provide outreach to the Vietnamese business community through VCCI regarding TPP obligations and opportunities.</w:t>
            </w:r>
          </w:p>
          <w:p w:rsidR="0010121A" w:rsidRPr="00A94442" w:rsidRDefault="0010121A" w:rsidP="00165AA2">
            <w:pPr>
              <w:keepLines/>
              <w:spacing w:before="40" w:after="40" w:line="200" w:lineRule="atLeast"/>
              <w:rPr>
                <w:rFonts w:eastAsia="Times New Roman"/>
                <w:iCs/>
                <w:color w:val="333938" w:themeColor="background2" w:themeShade="40"/>
                <w:sz w:val="18"/>
                <w:szCs w:val="18"/>
              </w:rPr>
            </w:pPr>
          </w:p>
          <w:p w:rsidR="001B4246" w:rsidRDefault="001B4246" w:rsidP="00165AA2">
            <w:pPr>
              <w:keepLines/>
              <w:spacing w:before="40" w:after="40" w:line="200" w:lineRule="atLeast"/>
              <w:rPr>
                <w:rFonts w:eastAsia="Times New Roman"/>
                <w:iCs/>
                <w:color w:val="333938" w:themeColor="background2" w:themeShade="40"/>
                <w:sz w:val="18"/>
                <w:szCs w:val="18"/>
              </w:rPr>
            </w:pPr>
          </w:p>
          <w:p w:rsidR="00E86013" w:rsidRPr="00A94442" w:rsidRDefault="00E86013" w:rsidP="00165AA2">
            <w:pPr>
              <w:keepLines/>
              <w:spacing w:before="40" w:after="40" w:line="200" w:lineRule="atLeast"/>
              <w:rPr>
                <w:rFonts w:eastAsia="Times New Roman"/>
                <w:iCs/>
                <w:color w:val="333938" w:themeColor="background2" w:themeShade="40"/>
                <w:sz w:val="18"/>
                <w:szCs w:val="18"/>
              </w:rPr>
            </w:pPr>
          </w:p>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 xml:space="preserve">Through </w:t>
            </w:r>
            <w:r w:rsidRPr="00441FA9">
              <w:rPr>
                <w:rFonts w:eastAsia="Times New Roman"/>
                <w:i/>
                <w:iCs/>
                <w:color w:val="333938" w:themeColor="background2" w:themeShade="40"/>
                <w:sz w:val="18"/>
                <w:szCs w:val="18"/>
              </w:rPr>
              <w:t>Aus4Reform</w:t>
            </w:r>
            <w:r w:rsidRPr="00A94442">
              <w:rPr>
                <w:rFonts w:eastAsia="Times New Roman"/>
                <w:iCs/>
                <w:color w:val="333938" w:themeColor="background2" w:themeShade="40"/>
                <w:sz w:val="18"/>
                <w:szCs w:val="18"/>
              </w:rPr>
              <w:t xml:space="preserve">, Post will support </w:t>
            </w:r>
            <w:proofErr w:type="spellStart"/>
            <w:r w:rsidRPr="00A94442">
              <w:rPr>
                <w:rFonts w:eastAsia="Times New Roman"/>
                <w:iCs/>
                <w:color w:val="333938" w:themeColor="background2" w:themeShade="40"/>
                <w:sz w:val="18"/>
                <w:szCs w:val="18"/>
              </w:rPr>
              <w:t>GoV</w:t>
            </w:r>
            <w:proofErr w:type="spellEnd"/>
            <w:r w:rsidRPr="00A94442">
              <w:rPr>
                <w:rFonts w:eastAsia="Times New Roman"/>
                <w:iCs/>
                <w:color w:val="333938" w:themeColor="background2" w:themeShade="40"/>
                <w:sz w:val="18"/>
                <w:szCs w:val="18"/>
              </w:rPr>
              <w:t xml:space="preserve"> to implement the amended competition law and accelerate SOE reform.</w:t>
            </w:r>
          </w:p>
        </w:tc>
        <w:tc>
          <w:tcPr>
            <w:tcW w:w="1971" w:type="dxa"/>
          </w:tcPr>
          <w:p w:rsidR="0010121A" w:rsidRPr="00A94442" w:rsidRDefault="004A0595" w:rsidP="00165AA2">
            <w:pPr>
              <w:keepLines/>
              <w:spacing w:before="40" w:after="40" w:line="200" w:lineRule="atLeast"/>
              <w:rPr>
                <w:rFonts w:eastAsia="Times New Roman"/>
                <w:iCs/>
                <w:color w:val="333938" w:themeColor="background2" w:themeShade="40"/>
                <w:sz w:val="18"/>
                <w:szCs w:val="18"/>
              </w:rPr>
            </w:pPr>
            <w:r>
              <w:rPr>
                <w:rFonts w:eastAsia="Times New Roman"/>
                <w:iCs/>
                <w:color w:val="333938" w:themeColor="background2" w:themeShade="40"/>
                <w:sz w:val="18"/>
                <w:szCs w:val="18"/>
              </w:rPr>
              <w:t>Medium</w:t>
            </w:r>
          </w:p>
        </w:tc>
        <w:tc>
          <w:tcPr>
            <w:tcW w:w="1130" w:type="dxa"/>
          </w:tcPr>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 xml:space="preserve">Yes </w:t>
            </w:r>
          </w:p>
        </w:tc>
      </w:tr>
      <w:tr w:rsidR="0010121A" w:rsidRPr="00A94442" w:rsidTr="00A94442">
        <w:trPr>
          <w:trHeight w:val="56"/>
        </w:trPr>
        <w:tc>
          <w:tcPr>
            <w:tcW w:w="2174" w:type="dxa"/>
            <w:gridSpan w:val="2"/>
          </w:tcPr>
          <w:p w:rsidR="0010121A" w:rsidRPr="00A94442" w:rsidRDefault="00A94442" w:rsidP="00165AA2">
            <w:pPr>
              <w:keepLines/>
              <w:spacing w:before="40" w:after="40" w:line="200" w:lineRule="atLeast"/>
              <w:rPr>
                <w:rFonts w:eastAsia="Times New Roman"/>
                <w:iCs/>
                <w:color w:val="333938" w:themeColor="background2" w:themeShade="40"/>
                <w:sz w:val="18"/>
                <w:szCs w:val="18"/>
              </w:rPr>
            </w:pPr>
            <w:r>
              <w:rPr>
                <w:rFonts w:eastAsia="Times New Roman"/>
                <w:iCs/>
                <w:color w:val="333938" w:themeColor="background2" w:themeShade="40"/>
                <w:sz w:val="18"/>
                <w:szCs w:val="18"/>
              </w:rPr>
              <w:t>3</w:t>
            </w:r>
            <w:r w:rsidR="0010121A" w:rsidRPr="00A94442">
              <w:rPr>
                <w:rFonts w:eastAsia="Times New Roman"/>
                <w:iCs/>
                <w:color w:val="333938" w:themeColor="background2" w:themeShade="40"/>
                <w:sz w:val="18"/>
                <w:szCs w:val="18"/>
              </w:rPr>
              <w:t>. Insufficient fraud and corruption detection and control mechanisms at investment level may cause reputational damage for DFAT.</w:t>
            </w:r>
          </w:p>
        </w:tc>
        <w:tc>
          <w:tcPr>
            <w:tcW w:w="1862" w:type="dxa"/>
          </w:tcPr>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Sector teams include fraud and corruption detection as an agenda and reporting item for monitoring visits.</w:t>
            </w:r>
          </w:p>
          <w:p w:rsidR="0010121A" w:rsidRPr="00A94442" w:rsidRDefault="0010121A" w:rsidP="00165AA2">
            <w:pPr>
              <w:keepLines/>
              <w:spacing w:before="40" w:after="40" w:line="200" w:lineRule="atLeast"/>
              <w:rPr>
                <w:rFonts w:eastAsia="Times New Roman"/>
                <w:iCs/>
                <w:color w:val="333938" w:themeColor="background2" w:themeShade="40"/>
                <w:sz w:val="18"/>
                <w:szCs w:val="18"/>
              </w:rPr>
            </w:pPr>
          </w:p>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Training was delivered to Post by Canberra's Fraud and Audit section in early June 2018.</w:t>
            </w:r>
          </w:p>
        </w:tc>
        <w:tc>
          <w:tcPr>
            <w:tcW w:w="2352" w:type="dxa"/>
          </w:tcPr>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No further treatment required. Post currently has no active fraud cases suggesting the risk is low. Following the recent training, key aid management staff are well versed in DFAT's Fraud Control and Anti-Corruption framework.</w:t>
            </w:r>
          </w:p>
        </w:tc>
        <w:tc>
          <w:tcPr>
            <w:tcW w:w="1971" w:type="dxa"/>
          </w:tcPr>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 xml:space="preserve">Low </w:t>
            </w:r>
          </w:p>
        </w:tc>
        <w:tc>
          <w:tcPr>
            <w:tcW w:w="1130" w:type="dxa"/>
          </w:tcPr>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 xml:space="preserve">Yes </w:t>
            </w:r>
          </w:p>
        </w:tc>
      </w:tr>
      <w:tr w:rsidR="0010121A" w:rsidRPr="00A94442" w:rsidTr="00A94442">
        <w:trPr>
          <w:trHeight w:val="56"/>
        </w:trPr>
        <w:tc>
          <w:tcPr>
            <w:tcW w:w="2174" w:type="dxa"/>
            <w:gridSpan w:val="2"/>
          </w:tcPr>
          <w:p w:rsidR="0010121A" w:rsidRPr="00A94442" w:rsidRDefault="00A94442" w:rsidP="003E34CD">
            <w:pPr>
              <w:keepLines/>
              <w:spacing w:before="40" w:after="40" w:line="200" w:lineRule="atLeast"/>
              <w:rPr>
                <w:rFonts w:eastAsia="Times New Roman"/>
                <w:iCs/>
                <w:color w:val="333938" w:themeColor="background2" w:themeShade="40"/>
                <w:sz w:val="18"/>
                <w:szCs w:val="18"/>
              </w:rPr>
            </w:pPr>
            <w:r>
              <w:rPr>
                <w:rFonts w:eastAsia="Times New Roman"/>
                <w:iCs/>
                <w:color w:val="333938" w:themeColor="background2" w:themeShade="40"/>
                <w:sz w:val="18"/>
                <w:szCs w:val="18"/>
              </w:rPr>
              <w:t>4</w:t>
            </w:r>
            <w:r w:rsidR="0010121A" w:rsidRPr="00A94442">
              <w:rPr>
                <w:rFonts w:eastAsia="Times New Roman"/>
                <w:iCs/>
                <w:color w:val="333938" w:themeColor="background2" w:themeShade="40"/>
                <w:sz w:val="18"/>
                <w:szCs w:val="18"/>
              </w:rPr>
              <w:t xml:space="preserve">. Delays in the </w:t>
            </w:r>
            <w:proofErr w:type="spellStart"/>
            <w:r w:rsidR="008D4FB4">
              <w:rPr>
                <w:rFonts w:eastAsia="Times New Roman"/>
                <w:iCs/>
                <w:color w:val="333938" w:themeColor="background2" w:themeShade="40"/>
                <w:sz w:val="18"/>
                <w:szCs w:val="18"/>
              </w:rPr>
              <w:t>GoV</w:t>
            </w:r>
            <w:proofErr w:type="spellEnd"/>
            <w:r w:rsidR="0010121A" w:rsidRPr="00A94442">
              <w:rPr>
                <w:rFonts w:eastAsia="Times New Roman"/>
                <w:iCs/>
                <w:color w:val="333938" w:themeColor="background2" w:themeShade="40"/>
                <w:sz w:val="18"/>
                <w:szCs w:val="18"/>
              </w:rPr>
              <w:t xml:space="preserve"> approval process for the </w:t>
            </w:r>
            <w:r w:rsidR="0010121A" w:rsidRPr="00441FA9">
              <w:rPr>
                <w:rFonts w:eastAsia="Times New Roman"/>
                <w:i/>
                <w:iCs/>
                <w:color w:val="333938" w:themeColor="background2" w:themeShade="40"/>
                <w:sz w:val="18"/>
                <w:szCs w:val="18"/>
              </w:rPr>
              <w:t>Aus4Water</w:t>
            </w:r>
            <w:r w:rsidR="0010121A" w:rsidRPr="00A94442">
              <w:rPr>
                <w:rFonts w:eastAsia="Times New Roman"/>
                <w:iCs/>
                <w:color w:val="333938" w:themeColor="background2" w:themeShade="40"/>
                <w:sz w:val="18"/>
                <w:szCs w:val="18"/>
              </w:rPr>
              <w:t xml:space="preserve"> design hinders the achievement of AIP strategic objectives.</w:t>
            </w:r>
          </w:p>
        </w:tc>
        <w:tc>
          <w:tcPr>
            <w:tcW w:w="1862" w:type="dxa"/>
          </w:tcPr>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 xml:space="preserve">DFAT Hanoi raised concerns with </w:t>
            </w:r>
            <w:r w:rsidR="001B4246" w:rsidRPr="00A94442">
              <w:rPr>
                <w:rFonts w:eastAsia="Times New Roman"/>
                <w:iCs/>
                <w:color w:val="333938" w:themeColor="background2" w:themeShade="40"/>
                <w:sz w:val="18"/>
                <w:szCs w:val="18"/>
              </w:rPr>
              <w:t>MPI</w:t>
            </w:r>
            <w:r w:rsidRPr="00A94442">
              <w:rPr>
                <w:rFonts w:eastAsia="Times New Roman"/>
                <w:iCs/>
                <w:color w:val="333938" w:themeColor="background2" w:themeShade="40"/>
                <w:sz w:val="18"/>
                <w:szCs w:val="18"/>
              </w:rPr>
              <w:t xml:space="preserve"> about the new Decree on O</w:t>
            </w:r>
            <w:r w:rsidR="001B4246" w:rsidRPr="00A94442">
              <w:rPr>
                <w:rFonts w:eastAsia="Times New Roman"/>
                <w:iCs/>
                <w:color w:val="333938" w:themeColor="background2" w:themeShade="40"/>
                <w:sz w:val="18"/>
                <w:szCs w:val="18"/>
              </w:rPr>
              <w:t xml:space="preserve">DA and </w:t>
            </w:r>
            <w:r w:rsidRPr="00A94442">
              <w:rPr>
                <w:rFonts w:eastAsia="Times New Roman"/>
                <w:iCs/>
                <w:color w:val="333938" w:themeColor="background2" w:themeShade="40"/>
                <w:sz w:val="18"/>
                <w:szCs w:val="18"/>
              </w:rPr>
              <w:t>is engaging with line agencies to ensure the design proposals are approved.</w:t>
            </w:r>
          </w:p>
          <w:p w:rsidR="0010121A" w:rsidRPr="00A94442" w:rsidRDefault="0010121A" w:rsidP="00165AA2">
            <w:pPr>
              <w:keepLines/>
              <w:spacing w:before="40" w:after="40" w:line="200" w:lineRule="atLeast"/>
              <w:rPr>
                <w:rFonts w:eastAsia="Times New Roman"/>
                <w:iCs/>
                <w:color w:val="333938" w:themeColor="background2" w:themeShade="40"/>
                <w:sz w:val="18"/>
                <w:szCs w:val="18"/>
              </w:rPr>
            </w:pPr>
          </w:p>
          <w:p w:rsidR="0010121A" w:rsidRPr="00A94442" w:rsidRDefault="0010121A" w:rsidP="00A3623F">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 xml:space="preserve">DFAT Hanoi has advocated directly with implementing agency </w:t>
            </w:r>
            <w:r w:rsidR="001B4246" w:rsidRPr="00A94442">
              <w:rPr>
                <w:rFonts w:eastAsia="Times New Roman"/>
                <w:iCs/>
                <w:color w:val="333938" w:themeColor="background2" w:themeShade="40"/>
                <w:sz w:val="18"/>
                <w:szCs w:val="18"/>
              </w:rPr>
              <w:t>MARD</w:t>
            </w:r>
            <w:r w:rsidR="00056A0D">
              <w:rPr>
                <w:rFonts w:eastAsia="Times New Roman"/>
                <w:iCs/>
                <w:color w:val="333938" w:themeColor="background2" w:themeShade="40"/>
                <w:sz w:val="18"/>
                <w:szCs w:val="18"/>
              </w:rPr>
              <w:t xml:space="preserve"> </w:t>
            </w:r>
            <w:r w:rsidRPr="00A94442">
              <w:rPr>
                <w:rFonts w:eastAsia="Times New Roman"/>
                <w:iCs/>
                <w:color w:val="333938" w:themeColor="background2" w:themeShade="40"/>
                <w:sz w:val="18"/>
                <w:szCs w:val="18"/>
              </w:rPr>
              <w:t>at Vice Minister level about the budget impacts of further delays to approval.</w:t>
            </w:r>
          </w:p>
        </w:tc>
        <w:tc>
          <w:tcPr>
            <w:tcW w:w="2352" w:type="dxa"/>
          </w:tcPr>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 xml:space="preserve">Aid </w:t>
            </w:r>
            <w:r w:rsidR="00015473">
              <w:rPr>
                <w:rFonts w:eastAsia="Times New Roman"/>
                <w:iCs/>
                <w:color w:val="333938" w:themeColor="background2" w:themeShade="40"/>
                <w:sz w:val="18"/>
                <w:szCs w:val="18"/>
              </w:rPr>
              <w:t>M</w:t>
            </w:r>
            <w:r w:rsidRPr="00A94442">
              <w:rPr>
                <w:rFonts w:eastAsia="Times New Roman"/>
                <w:iCs/>
                <w:color w:val="333938" w:themeColor="background2" w:themeShade="40"/>
                <w:sz w:val="18"/>
                <w:szCs w:val="18"/>
              </w:rPr>
              <w:t xml:space="preserve">anagement </w:t>
            </w:r>
            <w:r w:rsidR="00015473">
              <w:rPr>
                <w:rFonts w:eastAsia="Times New Roman"/>
                <w:iCs/>
                <w:color w:val="333938" w:themeColor="background2" w:themeShade="40"/>
                <w:sz w:val="18"/>
                <w:szCs w:val="18"/>
              </w:rPr>
              <w:t>S</w:t>
            </w:r>
            <w:r w:rsidRPr="00A94442">
              <w:rPr>
                <w:rFonts w:eastAsia="Times New Roman"/>
                <w:iCs/>
                <w:color w:val="333938" w:themeColor="background2" w:themeShade="40"/>
                <w:sz w:val="18"/>
                <w:szCs w:val="18"/>
              </w:rPr>
              <w:t xml:space="preserve">teering </w:t>
            </w:r>
            <w:r w:rsidR="00015473">
              <w:rPr>
                <w:rFonts w:eastAsia="Times New Roman"/>
                <w:iCs/>
                <w:color w:val="333938" w:themeColor="background2" w:themeShade="40"/>
                <w:sz w:val="18"/>
                <w:szCs w:val="18"/>
              </w:rPr>
              <w:t>C</w:t>
            </w:r>
            <w:r w:rsidRPr="00A94442">
              <w:rPr>
                <w:rFonts w:eastAsia="Times New Roman"/>
                <w:iCs/>
                <w:color w:val="333938" w:themeColor="background2" w:themeShade="40"/>
                <w:sz w:val="18"/>
                <w:szCs w:val="18"/>
              </w:rPr>
              <w:t xml:space="preserve">ommittee reviews the timeline for concept and design approvals on a monthly basis, and Counsellor EDC provides an update on progress.   </w:t>
            </w:r>
          </w:p>
          <w:p w:rsidR="0010121A" w:rsidRPr="00A94442" w:rsidRDefault="0010121A" w:rsidP="00165AA2">
            <w:pPr>
              <w:keepLines/>
              <w:spacing w:before="40" w:after="40" w:line="200" w:lineRule="atLeast"/>
              <w:rPr>
                <w:rFonts w:eastAsia="Times New Roman"/>
                <w:iCs/>
                <w:color w:val="333938" w:themeColor="background2" w:themeShade="40"/>
                <w:sz w:val="18"/>
                <w:szCs w:val="18"/>
              </w:rPr>
            </w:pPr>
          </w:p>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DFAT sector teams to intensify efforts with counterparts to develop a shared understanding about the benefits of the proposed designs and next steps in the approval process.</w:t>
            </w:r>
          </w:p>
        </w:tc>
        <w:tc>
          <w:tcPr>
            <w:tcW w:w="1971" w:type="dxa"/>
          </w:tcPr>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 xml:space="preserve">Medium </w:t>
            </w:r>
          </w:p>
        </w:tc>
        <w:tc>
          <w:tcPr>
            <w:tcW w:w="1130" w:type="dxa"/>
          </w:tcPr>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Yes</w:t>
            </w:r>
          </w:p>
        </w:tc>
      </w:tr>
      <w:tr w:rsidR="0010121A" w:rsidRPr="00A94442" w:rsidTr="00A94442">
        <w:trPr>
          <w:trHeight w:val="56"/>
        </w:trPr>
        <w:tc>
          <w:tcPr>
            <w:tcW w:w="2174" w:type="dxa"/>
            <w:gridSpan w:val="2"/>
          </w:tcPr>
          <w:p w:rsidR="0010121A" w:rsidRPr="00A94442" w:rsidRDefault="00A94442">
            <w:pPr>
              <w:keepLines/>
              <w:spacing w:before="40" w:after="40" w:line="200" w:lineRule="atLeast"/>
              <w:rPr>
                <w:rFonts w:eastAsia="Times New Roman"/>
                <w:iCs/>
                <w:color w:val="333938" w:themeColor="background2" w:themeShade="40"/>
                <w:sz w:val="18"/>
                <w:szCs w:val="18"/>
              </w:rPr>
            </w:pPr>
            <w:r>
              <w:rPr>
                <w:rFonts w:eastAsia="Times New Roman"/>
                <w:iCs/>
                <w:color w:val="333938" w:themeColor="background2" w:themeShade="40"/>
                <w:sz w:val="18"/>
                <w:szCs w:val="18"/>
              </w:rPr>
              <w:lastRenderedPageBreak/>
              <w:t>5</w:t>
            </w:r>
            <w:r w:rsidR="0010121A" w:rsidRPr="00A94442">
              <w:rPr>
                <w:rFonts w:eastAsia="Times New Roman"/>
                <w:iCs/>
                <w:color w:val="333938" w:themeColor="background2" w:themeShade="40"/>
                <w:sz w:val="18"/>
                <w:szCs w:val="18"/>
              </w:rPr>
              <w:t xml:space="preserve">. Pressures on Vietnam's debt ceiling prevent MDB disbursement for infrastructure pipelines that could include projects identified for support under </w:t>
            </w:r>
            <w:r w:rsidR="0010121A" w:rsidRPr="00584DDE">
              <w:rPr>
                <w:rFonts w:eastAsia="Times New Roman"/>
                <w:i/>
                <w:iCs/>
                <w:color w:val="333938" w:themeColor="background2" w:themeShade="40"/>
                <w:sz w:val="18"/>
                <w:szCs w:val="18"/>
              </w:rPr>
              <w:t>Aus4Transport</w:t>
            </w:r>
            <w:r w:rsidR="00CE03D4">
              <w:rPr>
                <w:rFonts w:eastAsia="Times New Roman"/>
                <w:iCs/>
                <w:color w:val="333938" w:themeColor="background2" w:themeShade="40"/>
                <w:sz w:val="18"/>
                <w:szCs w:val="18"/>
              </w:rPr>
              <w:t>.</w:t>
            </w:r>
          </w:p>
        </w:tc>
        <w:tc>
          <w:tcPr>
            <w:tcW w:w="1862" w:type="dxa"/>
          </w:tcPr>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DFAT Post has raised the issue with MOT and requested the managing contractor AECOM map alternative options should there be no viabl</w:t>
            </w:r>
            <w:r w:rsidR="006B52B8">
              <w:rPr>
                <w:rFonts w:eastAsia="Times New Roman"/>
                <w:iCs/>
                <w:color w:val="333938" w:themeColor="background2" w:themeShade="40"/>
                <w:sz w:val="18"/>
                <w:szCs w:val="18"/>
              </w:rPr>
              <w:t xml:space="preserve">e MDB projects prioritised by </w:t>
            </w:r>
            <w:proofErr w:type="spellStart"/>
            <w:r w:rsidR="006B52B8">
              <w:rPr>
                <w:rFonts w:eastAsia="Times New Roman"/>
                <w:iCs/>
                <w:color w:val="333938" w:themeColor="background2" w:themeShade="40"/>
                <w:sz w:val="18"/>
                <w:szCs w:val="18"/>
              </w:rPr>
              <w:t>Go</w:t>
            </w:r>
            <w:r w:rsidRPr="00A94442">
              <w:rPr>
                <w:rFonts w:eastAsia="Times New Roman"/>
                <w:iCs/>
                <w:color w:val="333938" w:themeColor="background2" w:themeShade="40"/>
                <w:sz w:val="18"/>
                <w:szCs w:val="18"/>
              </w:rPr>
              <w:t>V.</w:t>
            </w:r>
            <w:proofErr w:type="spellEnd"/>
          </w:p>
        </w:tc>
        <w:tc>
          <w:tcPr>
            <w:tcW w:w="2352" w:type="dxa"/>
          </w:tcPr>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No further treatment required until Post receives advice from MOT and AECOM on the status of relevant MDB pipelines.</w:t>
            </w:r>
          </w:p>
        </w:tc>
        <w:tc>
          <w:tcPr>
            <w:tcW w:w="1971" w:type="dxa"/>
          </w:tcPr>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 xml:space="preserve">Medium </w:t>
            </w:r>
          </w:p>
        </w:tc>
        <w:tc>
          <w:tcPr>
            <w:tcW w:w="1130" w:type="dxa"/>
          </w:tcPr>
          <w:p w:rsidR="0010121A" w:rsidRPr="00A94442" w:rsidRDefault="0010121A" w:rsidP="00165AA2">
            <w:pPr>
              <w:keepLines/>
              <w:spacing w:before="40" w:after="40" w:line="200" w:lineRule="atLeast"/>
              <w:rPr>
                <w:rFonts w:eastAsia="Times New Roman"/>
                <w:iCs/>
                <w:color w:val="333938" w:themeColor="background2" w:themeShade="40"/>
                <w:sz w:val="18"/>
                <w:szCs w:val="18"/>
              </w:rPr>
            </w:pPr>
            <w:r w:rsidRPr="00A94442">
              <w:rPr>
                <w:rFonts w:eastAsia="Times New Roman"/>
                <w:iCs/>
                <w:color w:val="333938" w:themeColor="background2" w:themeShade="40"/>
                <w:sz w:val="18"/>
                <w:szCs w:val="18"/>
              </w:rPr>
              <w:t xml:space="preserve">Yes </w:t>
            </w:r>
          </w:p>
        </w:tc>
      </w:tr>
    </w:tbl>
    <w:p w:rsidR="002A51CA" w:rsidRPr="002A51CA" w:rsidRDefault="002A51CA" w:rsidP="002A51CA">
      <w:pPr>
        <w:pStyle w:val="Heading2"/>
      </w:pPr>
      <w:r w:rsidRPr="002A51CA">
        <w:t xml:space="preserve">Management </w:t>
      </w:r>
      <w:r w:rsidR="00AC302F">
        <w:t>actions</w:t>
      </w:r>
    </w:p>
    <w:p w:rsidR="002A51CA" w:rsidRPr="00A85500" w:rsidRDefault="004B22D6" w:rsidP="00092E77">
      <w:r w:rsidRPr="00092E77">
        <w:t xml:space="preserve">Annex </w:t>
      </w:r>
      <w:proofErr w:type="gramStart"/>
      <w:r w:rsidRPr="00092E77">
        <w:t>A</w:t>
      </w:r>
      <w:proofErr w:type="gramEnd"/>
      <w:r w:rsidRPr="00A85500">
        <w:t xml:space="preserve"> outlines progress in </w:t>
      </w:r>
      <w:r w:rsidRPr="00092E77">
        <w:t>addressing</w:t>
      </w:r>
      <w:r w:rsidRPr="00A85500">
        <w:t xml:space="preserve"> the management actions identifie</w:t>
      </w:r>
      <w:r w:rsidR="00306CA9">
        <w:t>d in last year’s APPR. F</w:t>
      </w:r>
      <w:r w:rsidR="00EF6D5A" w:rsidRPr="00A85500">
        <w:t>ive</w:t>
      </w:r>
      <w:r w:rsidRPr="00A85500">
        <w:t xml:space="preserve"> out of a total of nine management actions </w:t>
      </w:r>
      <w:r w:rsidR="00E86013">
        <w:t>are assessed as being complete.</w:t>
      </w:r>
    </w:p>
    <w:p w:rsidR="002A51CA" w:rsidRPr="00A85500" w:rsidRDefault="004B22D6" w:rsidP="00F16365">
      <w:pPr>
        <w:spacing w:before="240" w:line="240" w:lineRule="auto"/>
      </w:pPr>
      <w:r w:rsidRPr="00A85500">
        <w:t xml:space="preserve">The Vietnam program will prioritise the following management actions in 2018-19 to </w:t>
      </w:r>
      <w:r w:rsidR="00A46BFF">
        <w:t xml:space="preserve">continue </w:t>
      </w:r>
      <w:r w:rsidRPr="00A85500">
        <w:t>our transition to an economic partnership and further progress</w:t>
      </w:r>
      <w:r w:rsidR="00306CA9">
        <w:t xml:space="preserve"> towards program consolidation:</w:t>
      </w:r>
    </w:p>
    <w:p w:rsidR="00EF3D8B" w:rsidRDefault="00EF3D8B" w:rsidP="004B22D6">
      <w:pPr>
        <w:pStyle w:val="ListParagraph"/>
        <w:numPr>
          <w:ilvl w:val="0"/>
          <w:numId w:val="44"/>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 xml:space="preserve">Undertake a </w:t>
      </w:r>
      <w:r w:rsidRPr="00F67487">
        <w:rPr>
          <w:rFonts w:asciiTheme="minorHAnsi" w:eastAsiaTheme="minorHAnsi" w:hAnsiTheme="minorHAnsi" w:cstheme="minorBidi"/>
          <w:b/>
          <w:color w:val="495965" w:themeColor="text2"/>
          <w:sz w:val="22"/>
          <w:szCs w:val="22"/>
          <w:lang w:val="en-GB"/>
        </w:rPr>
        <w:t>review of the Vietnam AIP</w:t>
      </w:r>
      <w:r>
        <w:rPr>
          <w:rFonts w:asciiTheme="minorHAnsi" w:eastAsiaTheme="minorHAnsi" w:hAnsiTheme="minorHAnsi" w:cstheme="minorBidi"/>
          <w:color w:val="495965" w:themeColor="text2"/>
          <w:sz w:val="22"/>
          <w:szCs w:val="22"/>
          <w:lang w:val="en-GB"/>
        </w:rPr>
        <w:t xml:space="preserve"> and commence development of a new plan for 2020 and beyond, including consideration of the impact Vietnam’s graduation from concessional finance will have on future programming.</w:t>
      </w:r>
    </w:p>
    <w:p w:rsidR="004B22D6" w:rsidRPr="00A85500" w:rsidRDefault="00B55476" w:rsidP="004B22D6">
      <w:pPr>
        <w:pStyle w:val="ListParagraph"/>
        <w:numPr>
          <w:ilvl w:val="0"/>
          <w:numId w:val="44"/>
        </w:numPr>
        <w:rPr>
          <w:rFonts w:asciiTheme="minorHAnsi" w:eastAsiaTheme="minorHAnsi" w:hAnsiTheme="minorHAnsi" w:cstheme="minorBidi"/>
          <w:color w:val="495965" w:themeColor="text2"/>
          <w:sz w:val="22"/>
          <w:szCs w:val="22"/>
          <w:lang w:val="en-GB"/>
        </w:rPr>
      </w:pPr>
      <w:r w:rsidRPr="00F67487">
        <w:rPr>
          <w:rFonts w:asciiTheme="minorHAnsi" w:eastAsiaTheme="minorHAnsi" w:hAnsiTheme="minorHAnsi" w:cstheme="minorBidi"/>
          <w:b/>
          <w:color w:val="495965" w:themeColor="text2"/>
          <w:sz w:val="22"/>
          <w:szCs w:val="22"/>
          <w:lang w:val="en-GB"/>
        </w:rPr>
        <w:t>Establish the Ministerial</w:t>
      </w:r>
      <w:r w:rsidR="00B63991" w:rsidRPr="00F67487">
        <w:rPr>
          <w:rFonts w:asciiTheme="minorHAnsi" w:eastAsiaTheme="minorHAnsi" w:hAnsiTheme="minorHAnsi" w:cstheme="minorBidi"/>
          <w:b/>
          <w:color w:val="495965" w:themeColor="text2"/>
          <w:sz w:val="22"/>
          <w:szCs w:val="22"/>
          <w:lang w:val="en-GB"/>
        </w:rPr>
        <w:t>-</w:t>
      </w:r>
      <w:r w:rsidR="004B22D6" w:rsidRPr="00F67487">
        <w:rPr>
          <w:rFonts w:asciiTheme="minorHAnsi" w:eastAsiaTheme="minorHAnsi" w:hAnsiTheme="minorHAnsi" w:cstheme="minorBidi"/>
          <w:b/>
          <w:color w:val="495965" w:themeColor="text2"/>
          <w:sz w:val="22"/>
          <w:szCs w:val="22"/>
          <w:lang w:val="en-GB"/>
        </w:rPr>
        <w:t xml:space="preserve">level </w:t>
      </w:r>
      <w:r w:rsidRPr="00F67487">
        <w:rPr>
          <w:rFonts w:asciiTheme="minorHAnsi" w:eastAsiaTheme="minorHAnsi" w:hAnsiTheme="minorHAnsi" w:cstheme="minorBidi"/>
          <w:b/>
          <w:color w:val="495965" w:themeColor="text2"/>
          <w:sz w:val="22"/>
          <w:szCs w:val="22"/>
          <w:lang w:val="en-GB"/>
        </w:rPr>
        <w:t>Economic Partnership M</w:t>
      </w:r>
      <w:r w:rsidR="004B22D6" w:rsidRPr="00F67487">
        <w:rPr>
          <w:rFonts w:asciiTheme="minorHAnsi" w:eastAsiaTheme="minorHAnsi" w:hAnsiTheme="minorHAnsi" w:cstheme="minorBidi"/>
          <w:b/>
          <w:color w:val="495965" w:themeColor="text2"/>
          <w:sz w:val="22"/>
          <w:szCs w:val="22"/>
          <w:lang w:val="en-GB"/>
        </w:rPr>
        <w:t>eeting</w:t>
      </w:r>
      <w:r w:rsidRPr="00A85500">
        <w:rPr>
          <w:rFonts w:asciiTheme="minorHAnsi" w:eastAsiaTheme="minorHAnsi" w:hAnsiTheme="minorHAnsi" w:cstheme="minorBidi"/>
          <w:color w:val="495965" w:themeColor="text2"/>
          <w:sz w:val="22"/>
          <w:szCs w:val="22"/>
          <w:lang w:val="en-GB"/>
        </w:rPr>
        <w:t xml:space="preserve"> (referenced in the Strategic Partnership) </w:t>
      </w:r>
      <w:r w:rsidR="00987617" w:rsidRPr="00A85500">
        <w:rPr>
          <w:rFonts w:asciiTheme="minorHAnsi" w:eastAsiaTheme="minorHAnsi" w:hAnsiTheme="minorHAnsi" w:cstheme="minorBidi"/>
          <w:color w:val="495965" w:themeColor="text2"/>
          <w:sz w:val="22"/>
          <w:szCs w:val="22"/>
          <w:lang w:val="en-GB"/>
        </w:rPr>
        <w:t xml:space="preserve">in 2019 so </w:t>
      </w:r>
      <w:r w:rsidR="004B22D6" w:rsidRPr="00A85500">
        <w:rPr>
          <w:rFonts w:asciiTheme="minorHAnsi" w:eastAsiaTheme="minorHAnsi" w:hAnsiTheme="minorHAnsi" w:cstheme="minorBidi"/>
          <w:color w:val="495965" w:themeColor="text2"/>
          <w:sz w:val="22"/>
          <w:szCs w:val="22"/>
          <w:lang w:val="en-GB"/>
        </w:rPr>
        <w:t xml:space="preserve">we can discuss </w:t>
      </w:r>
      <w:r w:rsidR="00BE6E48" w:rsidRPr="00BE6E48">
        <w:rPr>
          <w:rFonts w:asciiTheme="minorHAnsi" w:eastAsiaTheme="minorHAnsi" w:hAnsiTheme="minorHAnsi" w:cstheme="minorBidi"/>
          <w:color w:val="495965" w:themeColor="text2"/>
          <w:sz w:val="22"/>
          <w:szCs w:val="22"/>
          <w:lang w:val="en-GB"/>
        </w:rPr>
        <w:t>with Vietnam options to continue to strengthen the trade, investment</w:t>
      </w:r>
      <w:r w:rsidR="00BE6E48">
        <w:rPr>
          <w:rFonts w:asciiTheme="minorHAnsi" w:eastAsiaTheme="minorHAnsi" w:hAnsiTheme="minorHAnsi" w:cstheme="minorBidi"/>
          <w:color w:val="495965" w:themeColor="text2"/>
          <w:sz w:val="22"/>
          <w:szCs w:val="22"/>
          <w:lang w:val="en-GB"/>
        </w:rPr>
        <w:t>,</w:t>
      </w:r>
      <w:r w:rsidR="00BE6E48" w:rsidRPr="00BE6E48">
        <w:rPr>
          <w:rFonts w:asciiTheme="minorHAnsi" w:eastAsiaTheme="minorHAnsi" w:hAnsiTheme="minorHAnsi" w:cstheme="minorBidi"/>
          <w:color w:val="495965" w:themeColor="text2"/>
          <w:sz w:val="22"/>
          <w:szCs w:val="22"/>
          <w:lang w:val="en-GB"/>
        </w:rPr>
        <w:t xml:space="preserve"> and development cooperation relationship.</w:t>
      </w:r>
    </w:p>
    <w:p w:rsidR="004B22D6" w:rsidRPr="00A85500" w:rsidRDefault="004B22D6" w:rsidP="004B22D6">
      <w:pPr>
        <w:pStyle w:val="ListParagraph"/>
        <w:numPr>
          <w:ilvl w:val="0"/>
          <w:numId w:val="44"/>
        </w:numPr>
        <w:rPr>
          <w:rFonts w:asciiTheme="minorHAnsi" w:eastAsiaTheme="minorHAnsi" w:hAnsiTheme="minorHAnsi" w:cstheme="minorBidi"/>
          <w:color w:val="495965" w:themeColor="text2"/>
          <w:sz w:val="22"/>
          <w:szCs w:val="22"/>
          <w:lang w:val="en-GB"/>
        </w:rPr>
      </w:pPr>
      <w:r w:rsidRPr="00F67487">
        <w:rPr>
          <w:rFonts w:asciiTheme="minorHAnsi" w:eastAsiaTheme="minorHAnsi" w:hAnsiTheme="minorHAnsi" w:cstheme="minorBidi"/>
          <w:b/>
          <w:color w:val="495965" w:themeColor="text2"/>
          <w:sz w:val="22"/>
          <w:szCs w:val="22"/>
          <w:lang w:val="en-GB"/>
        </w:rPr>
        <w:t xml:space="preserve">Commence </w:t>
      </w:r>
      <w:r w:rsidR="001E3B43" w:rsidRPr="00F67487">
        <w:rPr>
          <w:rFonts w:asciiTheme="minorHAnsi" w:eastAsiaTheme="minorHAnsi" w:hAnsiTheme="minorHAnsi" w:cstheme="minorBidi"/>
          <w:b/>
          <w:color w:val="495965" w:themeColor="text2"/>
          <w:sz w:val="22"/>
          <w:szCs w:val="22"/>
          <w:lang w:val="en-GB"/>
        </w:rPr>
        <w:t xml:space="preserve">implementation of </w:t>
      </w:r>
      <w:r w:rsidRPr="00F67487">
        <w:rPr>
          <w:rFonts w:asciiTheme="minorHAnsi" w:eastAsiaTheme="minorHAnsi" w:hAnsiTheme="minorHAnsi" w:cstheme="minorBidi"/>
          <w:b/>
          <w:color w:val="495965" w:themeColor="text2"/>
          <w:sz w:val="22"/>
          <w:szCs w:val="22"/>
          <w:lang w:val="en-GB"/>
        </w:rPr>
        <w:t>the</w:t>
      </w:r>
      <w:r w:rsidRPr="00F67487">
        <w:rPr>
          <w:rFonts w:asciiTheme="minorHAnsi" w:eastAsiaTheme="minorHAnsi" w:hAnsiTheme="minorHAnsi" w:cstheme="minorBidi"/>
          <w:b/>
          <w:i/>
          <w:color w:val="495965" w:themeColor="text2"/>
          <w:sz w:val="22"/>
          <w:szCs w:val="22"/>
          <w:lang w:val="en-GB"/>
        </w:rPr>
        <w:t xml:space="preserve"> </w:t>
      </w:r>
      <w:r w:rsidR="009B0F26" w:rsidRPr="00F67487">
        <w:rPr>
          <w:rFonts w:asciiTheme="minorHAnsi" w:eastAsiaTheme="minorHAnsi" w:hAnsiTheme="minorHAnsi" w:cstheme="minorBidi"/>
          <w:b/>
          <w:i/>
          <w:color w:val="495965" w:themeColor="text2"/>
          <w:sz w:val="22"/>
          <w:szCs w:val="22"/>
          <w:lang w:val="en-GB"/>
        </w:rPr>
        <w:t>Aus4I</w:t>
      </w:r>
      <w:r w:rsidRPr="00F67487">
        <w:rPr>
          <w:rFonts w:asciiTheme="minorHAnsi" w:eastAsiaTheme="minorHAnsi" w:hAnsiTheme="minorHAnsi" w:cstheme="minorBidi"/>
          <w:b/>
          <w:i/>
          <w:color w:val="495965" w:themeColor="text2"/>
          <w:sz w:val="22"/>
          <w:szCs w:val="22"/>
          <w:lang w:val="en-GB"/>
        </w:rPr>
        <w:t xml:space="preserve">nnovation </w:t>
      </w:r>
      <w:r w:rsidRPr="00F67487">
        <w:rPr>
          <w:rFonts w:asciiTheme="minorHAnsi" w:eastAsiaTheme="minorHAnsi" w:hAnsiTheme="minorHAnsi" w:cstheme="minorBidi"/>
          <w:b/>
          <w:color w:val="495965" w:themeColor="text2"/>
          <w:sz w:val="22"/>
          <w:szCs w:val="22"/>
          <w:lang w:val="en-GB"/>
        </w:rPr>
        <w:t>program</w:t>
      </w:r>
      <w:r w:rsidR="001E3B43" w:rsidRPr="00A85500">
        <w:rPr>
          <w:rFonts w:asciiTheme="minorHAnsi" w:eastAsiaTheme="minorHAnsi" w:hAnsiTheme="minorHAnsi" w:cstheme="minorBidi"/>
          <w:color w:val="495965" w:themeColor="text2"/>
          <w:sz w:val="22"/>
          <w:szCs w:val="22"/>
          <w:lang w:val="en-GB"/>
        </w:rPr>
        <w:t>, with a CSIRO Counsellor in place as head of a program implementation team headquartered in</w:t>
      </w:r>
      <w:r w:rsidR="009B0F26">
        <w:rPr>
          <w:rFonts w:asciiTheme="minorHAnsi" w:eastAsiaTheme="minorHAnsi" w:hAnsiTheme="minorHAnsi" w:cstheme="minorBidi"/>
          <w:color w:val="495965" w:themeColor="text2"/>
          <w:sz w:val="22"/>
          <w:szCs w:val="22"/>
          <w:lang w:val="en-GB"/>
        </w:rPr>
        <w:t xml:space="preserve"> the Australian Embassy</w:t>
      </w:r>
      <w:r w:rsidR="00987617" w:rsidRPr="00A85500">
        <w:rPr>
          <w:rFonts w:asciiTheme="minorHAnsi" w:eastAsiaTheme="minorHAnsi" w:hAnsiTheme="minorHAnsi" w:cstheme="minorBidi"/>
          <w:color w:val="495965" w:themeColor="text2"/>
          <w:sz w:val="22"/>
          <w:szCs w:val="22"/>
          <w:lang w:val="en-GB"/>
        </w:rPr>
        <w:t xml:space="preserve"> by early 2019.</w:t>
      </w:r>
    </w:p>
    <w:p w:rsidR="001E3B43" w:rsidRPr="00A85500" w:rsidRDefault="001E3B43" w:rsidP="004B22D6">
      <w:pPr>
        <w:pStyle w:val="ListParagraph"/>
        <w:numPr>
          <w:ilvl w:val="0"/>
          <w:numId w:val="44"/>
        </w:numPr>
        <w:rPr>
          <w:rFonts w:asciiTheme="minorHAnsi" w:eastAsiaTheme="minorHAnsi" w:hAnsiTheme="minorHAnsi" w:cstheme="minorBidi"/>
          <w:color w:val="495965" w:themeColor="text2"/>
          <w:sz w:val="22"/>
          <w:szCs w:val="22"/>
          <w:lang w:val="en-GB"/>
        </w:rPr>
      </w:pPr>
      <w:r w:rsidRPr="00F67487">
        <w:rPr>
          <w:rFonts w:asciiTheme="minorHAnsi" w:eastAsiaTheme="minorHAnsi" w:hAnsiTheme="minorHAnsi" w:cstheme="minorBidi"/>
          <w:b/>
          <w:color w:val="495965" w:themeColor="text2"/>
          <w:sz w:val="22"/>
          <w:szCs w:val="22"/>
          <w:lang w:val="en-GB"/>
        </w:rPr>
        <w:t>Focus on program consolidation</w:t>
      </w:r>
      <w:r w:rsidRPr="00A85500">
        <w:rPr>
          <w:rFonts w:asciiTheme="minorHAnsi" w:eastAsiaTheme="minorHAnsi" w:hAnsiTheme="minorHAnsi" w:cstheme="minorBidi"/>
          <w:color w:val="495965" w:themeColor="text2"/>
          <w:sz w:val="22"/>
          <w:szCs w:val="22"/>
          <w:lang w:val="en-GB"/>
        </w:rPr>
        <w:t>, further reducing the overall number of active agreements</w:t>
      </w:r>
      <w:r w:rsidR="005351A9">
        <w:rPr>
          <w:rFonts w:asciiTheme="minorHAnsi" w:eastAsiaTheme="minorHAnsi" w:hAnsiTheme="minorHAnsi" w:cstheme="minorBidi"/>
          <w:color w:val="495965" w:themeColor="text2"/>
          <w:sz w:val="22"/>
          <w:szCs w:val="22"/>
          <w:lang w:val="en-GB"/>
        </w:rPr>
        <w:t xml:space="preserve"> and sectors</w:t>
      </w:r>
      <w:r w:rsidRPr="00A85500">
        <w:rPr>
          <w:rFonts w:asciiTheme="minorHAnsi" w:eastAsiaTheme="minorHAnsi" w:hAnsiTheme="minorHAnsi" w:cstheme="minorBidi"/>
          <w:color w:val="495965" w:themeColor="text2"/>
          <w:sz w:val="22"/>
          <w:szCs w:val="22"/>
          <w:lang w:val="en-GB"/>
        </w:rPr>
        <w:t>, to reduce the work burden at the Post.</w:t>
      </w:r>
      <w:r w:rsidR="0034581E">
        <w:rPr>
          <w:rFonts w:asciiTheme="minorHAnsi" w:eastAsiaTheme="minorHAnsi" w:hAnsiTheme="minorHAnsi" w:cstheme="minorBidi"/>
          <w:color w:val="495965" w:themeColor="text2"/>
          <w:sz w:val="22"/>
          <w:szCs w:val="22"/>
          <w:lang w:val="en-GB"/>
        </w:rPr>
        <w:t xml:space="preserve"> This will include making decisions on whether to support second phases of programs scheduled for completion (including key regional and global programs in Vietnam)</w:t>
      </w:r>
      <w:r w:rsidR="000C7654">
        <w:rPr>
          <w:rFonts w:asciiTheme="minorHAnsi" w:eastAsiaTheme="minorHAnsi" w:hAnsiTheme="minorHAnsi" w:cstheme="minorBidi"/>
          <w:color w:val="495965" w:themeColor="text2"/>
          <w:sz w:val="22"/>
          <w:szCs w:val="22"/>
          <w:lang w:val="en-GB"/>
        </w:rPr>
        <w:t>.</w:t>
      </w:r>
    </w:p>
    <w:p w:rsidR="001E3B43" w:rsidRPr="00A85500" w:rsidRDefault="00074B87" w:rsidP="00A94442">
      <w:pPr>
        <w:pStyle w:val="ListParagraph"/>
        <w:numPr>
          <w:ilvl w:val="0"/>
          <w:numId w:val="44"/>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 xml:space="preserve">Analyse recommendations and </w:t>
      </w:r>
      <w:r w:rsidRPr="00F67487">
        <w:rPr>
          <w:rFonts w:asciiTheme="minorHAnsi" w:eastAsiaTheme="minorHAnsi" w:hAnsiTheme="minorHAnsi" w:cstheme="minorBidi"/>
          <w:b/>
          <w:color w:val="495965" w:themeColor="text2"/>
          <w:sz w:val="22"/>
          <w:szCs w:val="22"/>
          <w:lang w:val="en-GB"/>
        </w:rPr>
        <w:t xml:space="preserve">implement appropriate actions arising from </w:t>
      </w:r>
      <w:r w:rsidR="001E3B43" w:rsidRPr="00F67487">
        <w:rPr>
          <w:rFonts w:asciiTheme="minorHAnsi" w:eastAsiaTheme="minorHAnsi" w:hAnsiTheme="minorHAnsi" w:cstheme="minorBidi"/>
          <w:b/>
          <w:color w:val="495965" w:themeColor="text2"/>
          <w:sz w:val="22"/>
          <w:szCs w:val="22"/>
          <w:lang w:val="en-GB"/>
        </w:rPr>
        <w:t>mid-term review</w:t>
      </w:r>
      <w:r w:rsidR="000C7654" w:rsidRPr="00F67487">
        <w:rPr>
          <w:rFonts w:asciiTheme="minorHAnsi" w:eastAsiaTheme="minorHAnsi" w:hAnsiTheme="minorHAnsi" w:cstheme="minorBidi"/>
          <w:b/>
          <w:color w:val="495965" w:themeColor="text2"/>
          <w:sz w:val="22"/>
          <w:szCs w:val="22"/>
          <w:lang w:val="en-GB"/>
        </w:rPr>
        <w:t>s</w:t>
      </w:r>
      <w:r w:rsidR="000C7654">
        <w:rPr>
          <w:rFonts w:asciiTheme="minorHAnsi" w:eastAsiaTheme="minorHAnsi" w:hAnsiTheme="minorHAnsi" w:cstheme="minorBidi"/>
          <w:color w:val="495965" w:themeColor="text2"/>
          <w:sz w:val="22"/>
          <w:szCs w:val="22"/>
          <w:lang w:val="en-GB"/>
        </w:rPr>
        <w:t xml:space="preserve"> of </w:t>
      </w:r>
      <w:r w:rsidR="000C7654" w:rsidRPr="000C7654">
        <w:rPr>
          <w:rFonts w:asciiTheme="minorHAnsi" w:eastAsiaTheme="minorHAnsi" w:hAnsiTheme="minorHAnsi" w:cstheme="minorBidi"/>
          <w:i/>
          <w:color w:val="495965" w:themeColor="text2"/>
          <w:sz w:val="22"/>
          <w:szCs w:val="22"/>
          <w:lang w:val="en-GB"/>
        </w:rPr>
        <w:t>Aus4Skills</w:t>
      </w:r>
      <w:r w:rsidR="000C7654">
        <w:rPr>
          <w:rFonts w:asciiTheme="minorHAnsi" w:eastAsiaTheme="minorHAnsi" w:hAnsiTheme="minorHAnsi" w:cstheme="minorBidi"/>
          <w:color w:val="495965" w:themeColor="text2"/>
          <w:sz w:val="22"/>
          <w:szCs w:val="22"/>
          <w:lang w:val="en-GB"/>
        </w:rPr>
        <w:t xml:space="preserve"> and </w:t>
      </w:r>
      <w:r w:rsidR="000C7654" w:rsidRPr="000C7654">
        <w:rPr>
          <w:rFonts w:asciiTheme="minorHAnsi" w:eastAsiaTheme="minorHAnsi" w:hAnsiTheme="minorHAnsi" w:cstheme="minorBidi"/>
          <w:i/>
          <w:color w:val="495965" w:themeColor="text2"/>
          <w:sz w:val="22"/>
          <w:szCs w:val="22"/>
          <w:lang w:val="en-GB"/>
        </w:rPr>
        <w:t>ABP2</w:t>
      </w:r>
      <w:r>
        <w:rPr>
          <w:rFonts w:asciiTheme="minorHAnsi" w:eastAsiaTheme="minorHAnsi" w:hAnsiTheme="minorHAnsi" w:cstheme="minorBidi"/>
          <w:i/>
          <w:color w:val="495965" w:themeColor="text2"/>
          <w:sz w:val="22"/>
          <w:szCs w:val="22"/>
          <w:lang w:val="en-GB"/>
        </w:rPr>
        <w:t xml:space="preserve"> </w:t>
      </w:r>
      <w:r w:rsidR="00A94442">
        <w:rPr>
          <w:rFonts w:asciiTheme="minorHAnsi" w:eastAsiaTheme="minorHAnsi" w:hAnsiTheme="minorHAnsi" w:cstheme="minorBidi"/>
          <w:color w:val="495965" w:themeColor="text2"/>
          <w:sz w:val="22"/>
          <w:szCs w:val="22"/>
          <w:lang w:val="en-GB"/>
        </w:rPr>
        <w:t xml:space="preserve">to ensure they remain on track to </w:t>
      </w:r>
      <w:r w:rsidR="000C7654">
        <w:rPr>
          <w:rFonts w:asciiTheme="minorHAnsi" w:eastAsiaTheme="minorHAnsi" w:hAnsiTheme="minorHAnsi" w:cstheme="minorBidi"/>
          <w:color w:val="495965" w:themeColor="text2"/>
          <w:sz w:val="22"/>
          <w:szCs w:val="22"/>
          <w:lang w:val="en-GB"/>
        </w:rPr>
        <w:t>achieve</w:t>
      </w:r>
      <w:r w:rsidR="00A94442">
        <w:rPr>
          <w:rFonts w:asciiTheme="minorHAnsi" w:eastAsiaTheme="minorHAnsi" w:hAnsiTheme="minorHAnsi" w:cstheme="minorBidi"/>
          <w:color w:val="495965" w:themeColor="text2"/>
          <w:sz w:val="22"/>
          <w:szCs w:val="22"/>
          <w:lang w:val="en-GB"/>
        </w:rPr>
        <w:t xml:space="preserve"> end of program outcomes</w:t>
      </w:r>
      <w:r w:rsidR="000C7654">
        <w:rPr>
          <w:rFonts w:asciiTheme="minorHAnsi" w:eastAsiaTheme="minorHAnsi" w:hAnsiTheme="minorHAnsi" w:cstheme="minorBidi"/>
          <w:color w:val="495965" w:themeColor="text2"/>
          <w:sz w:val="22"/>
          <w:szCs w:val="22"/>
          <w:lang w:val="en-GB"/>
        </w:rPr>
        <w:t xml:space="preserve"> and meet Vietnam’s rapidly changing development needs.</w:t>
      </w:r>
    </w:p>
    <w:p w:rsidR="001E3B43" w:rsidRPr="00306CA9" w:rsidRDefault="00FC72A4" w:rsidP="00306CA9">
      <w:pPr>
        <w:pStyle w:val="ListParagraph"/>
        <w:numPr>
          <w:ilvl w:val="0"/>
          <w:numId w:val="44"/>
        </w:numPr>
        <w:rPr>
          <w:rFonts w:asciiTheme="minorHAnsi" w:eastAsiaTheme="minorHAnsi" w:hAnsiTheme="minorHAnsi" w:cstheme="minorBidi"/>
          <w:color w:val="495965" w:themeColor="text2"/>
          <w:sz w:val="22"/>
          <w:szCs w:val="22"/>
          <w:lang w:val="en-GB"/>
        </w:rPr>
      </w:pPr>
      <w:r>
        <w:rPr>
          <w:rFonts w:asciiTheme="minorHAnsi" w:eastAsiaTheme="minorHAnsi" w:hAnsiTheme="minorHAnsi" w:cstheme="minorBidi"/>
          <w:color w:val="495965" w:themeColor="text2"/>
          <w:sz w:val="22"/>
          <w:szCs w:val="22"/>
          <w:lang w:val="en-GB"/>
        </w:rPr>
        <w:t xml:space="preserve">Drawing on </w:t>
      </w:r>
      <w:r w:rsidR="00984B42" w:rsidRPr="00A3623F">
        <w:rPr>
          <w:rFonts w:asciiTheme="minorHAnsi" w:eastAsiaTheme="minorHAnsi" w:hAnsiTheme="minorHAnsi" w:cstheme="minorBidi"/>
          <w:color w:val="495965" w:themeColor="text2"/>
          <w:sz w:val="22"/>
          <w:szCs w:val="22"/>
          <w:lang w:val="en-GB"/>
        </w:rPr>
        <w:t>mid-term reviews</w:t>
      </w:r>
      <w:r>
        <w:rPr>
          <w:rFonts w:asciiTheme="minorHAnsi" w:eastAsiaTheme="minorHAnsi" w:hAnsiTheme="minorHAnsi" w:cstheme="minorBidi"/>
          <w:color w:val="495965" w:themeColor="text2"/>
          <w:sz w:val="22"/>
          <w:szCs w:val="22"/>
          <w:lang w:val="en-GB"/>
        </w:rPr>
        <w:t xml:space="preserve"> for </w:t>
      </w:r>
      <w:r w:rsidRPr="00FC72A4">
        <w:rPr>
          <w:rFonts w:asciiTheme="minorHAnsi" w:eastAsiaTheme="minorHAnsi" w:hAnsiTheme="minorHAnsi" w:cstheme="minorBidi"/>
          <w:i/>
          <w:color w:val="495965" w:themeColor="text2"/>
          <w:sz w:val="22"/>
          <w:szCs w:val="22"/>
          <w:lang w:val="en-GB"/>
        </w:rPr>
        <w:t>Aus4Skills</w:t>
      </w:r>
      <w:r>
        <w:rPr>
          <w:rFonts w:asciiTheme="minorHAnsi" w:eastAsiaTheme="minorHAnsi" w:hAnsiTheme="minorHAnsi" w:cstheme="minorBidi"/>
          <w:color w:val="495965" w:themeColor="text2"/>
          <w:sz w:val="22"/>
          <w:szCs w:val="22"/>
          <w:lang w:val="en-GB"/>
        </w:rPr>
        <w:t xml:space="preserve"> and </w:t>
      </w:r>
      <w:r w:rsidRPr="00FC72A4">
        <w:rPr>
          <w:rFonts w:asciiTheme="minorHAnsi" w:eastAsiaTheme="minorHAnsi" w:hAnsiTheme="minorHAnsi" w:cstheme="minorBidi"/>
          <w:i/>
          <w:color w:val="495965" w:themeColor="text2"/>
          <w:sz w:val="22"/>
          <w:szCs w:val="22"/>
          <w:lang w:val="en-GB"/>
        </w:rPr>
        <w:t>ABP2</w:t>
      </w:r>
      <w:r>
        <w:rPr>
          <w:rFonts w:asciiTheme="minorHAnsi" w:eastAsiaTheme="minorHAnsi" w:hAnsiTheme="minorHAnsi" w:cstheme="minorBidi"/>
          <w:i/>
          <w:color w:val="495965" w:themeColor="text2"/>
          <w:sz w:val="22"/>
          <w:szCs w:val="22"/>
          <w:lang w:val="en-GB"/>
        </w:rPr>
        <w:t>,</w:t>
      </w:r>
      <w:r>
        <w:rPr>
          <w:rFonts w:asciiTheme="minorHAnsi" w:eastAsiaTheme="minorHAnsi" w:hAnsiTheme="minorHAnsi" w:cstheme="minorBidi"/>
          <w:color w:val="495965" w:themeColor="text2"/>
          <w:sz w:val="22"/>
          <w:szCs w:val="22"/>
          <w:lang w:val="en-GB"/>
        </w:rPr>
        <w:t xml:space="preserve"> and new </w:t>
      </w:r>
      <w:r w:rsidR="00867723">
        <w:rPr>
          <w:rFonts w:asciiTheme="minorHAnsi" w:eastAsiaTheme="minorHAnsi" w:hAnsiTheme="minorHAnsi" w:cstheme="minorBidi"/>
          <w:color w:val="495965" w:themeColor="text2"/>
          <w:sz w:val="22"/>
          <w:szCs w:val="22"/>
          <w:lang w:val="en-GB"/>
        </w:rPr>
        <w:t>monitoring and evaluation frameworks</w:t>
      </w:r>
      <w:r>
        <w:rPr>
          <w:rFonts w:asciiTheme="minorHAnsi" w:eastAsiaTheme="minorHAnsi" w:hAnsiTheme="minorHAnsi" w:cstheme="minorBidi"/>
          <w:color w:val="495965" w:themeColor="text2"/>
          <w:sz w:val="22"/>
          <w:szCs w:val="22"/>
          <w:lang w:val="en-GB"/>
        </w:rPr>
        <w:t xml:space="preserve"> following completion of inception phases for </w:t>
      </w:r>
      <w:r w:rsidRPr="00FC72A4">
        <w:rPr>
          <w:rFonts w:asciiTheme="minorHAnsi" w:eastAsiaTheme="minorHAnsi" w:hAnsiTheme="minorHAnsi" w:cstheme="minorBidi"/>
          <w:i/>
          <w:color w:val="495965" w:themeColor="text2"/>
          <w:sz w:val="22"/>
          <w:szCs w:val="22"/>
          <w:lang w:val="en-GB"/>
        </w:rPr>
        <w:t>Aus4Reform, Aus4Transport</w:t>
      </w:r>
      <w:r>
        <w:rPr>
          <w:rFonts w:asciiTheme="minorHAnsi" w:eastAsiaTheme="minorHAnsi" w:hAnsiTheme="minorHAnsi" w:cstheme="minorBidi"/>
          <w:color w:val="495965" w:themeColor="text2"/>
          <w:sz w:val="22"/>
          <w:szCs w:val="22"/>
          <w:lang w:val="en-GB"/>
        </w:rPr>
        <w:t xml:space="preserve">, and </w:t>
      </w:r>
      <w:r w:rsidRPr="00FC72A4">
        <w:rPr>
          <w:rFonts w:asciiTheme="minorHAnsi" w:eastAsiaTheme="minorHAnsi" w:hAnsiTheme="minorHAnsi" w:cstheme="minorBidi"/>
          <w:i/>
          <w:color w:val="495965" w:themeColor="text2"/>
          <w:sz w:val="22"/>
          <w:szCs w:val="22"/>
          <w:lang w:val="en-GB"/>
        </w:rPr>
        <w:t>Aus4Equality</w:t>
      </w:r>
      <w:r>
        <w:rPr>
          <w:rFonts w:asciiTheme="minorHAnsi" w:eastAsiaTheme="minorHAnsi" w:hAnsiTheme="minorHAnsi" w:cstheme="minorBidi"/>
          <w:color w:val="495965" w:themeColor="text2"/>
          <w:sz w:val="22"/>
          <w:szCs w:val="22"/>
          <w:lang w:val="en-GB"/>
        </w:rPr>
        <w:t xml:space="preserve">, </w:t>
      </w:r>
      <w:r w:rsidRPr="00F67487">
        <w:rPr>
          <w:rFonts w:asciiTheme="minorHAnsi" w:eastAsiaTheme="minorHAnsi" w:hAnsiTheme="minorHAnsi" w:cstheme="minorBidi"/>
          <w:b/>
          <w:color w:val="495965" w:themeColor="text2"/>
          <w:sz w:val="22"/>
          <w:szCs w:val="22"/>
          <w:lang w:val="en-GB"/>
        </w:rPr>
        <w:t>refine the PAF to improve strategic relevance</w:t>
      </w:r>
      <w:r>
        <w:rPr>
          <w:rFonts w:asciiTheme="minorHAnsi" w:eastAsiaTheme="minorHAnsi" w:hAnsiTheme="minorHAnsi" w:cstheme="minorBidi"/>
          <w:color w:val="495965" w:themeColor="text2"/>
          <w:sz w:val="22"/>
          <w:szCs w:val="22"/>
          <w:lang w:val="en-GB"/>
        </w:rPr>
        <w:t xml:space="preserve"> of performance data across the program and utility as a man</w:t>
      </w:r>
      <w:r w:rsidR="00E86013">
        <w:rPr>
          <w:rFonts w:asciiTheme="minorHAnsi" w:eastAsiaTheme="minorHAnsi" w:hAnsiTheme="minorHAnsi" w:cstheme="minorBidi"/>
          <w:color w:val="495965" w:themeColor="text2"/>
          <w:sz w:val="22"/>
          <w:szCs w:val="22"/>
          <w:lang w:val="en-GB"/>
        </w:rPr>
        <w:t>agement tool.</w:t>
      </w:r>
    </w:p>
    <w:p w:rsidR="00D15A00" w:rsidRDefault="00D15A00" w:rsidP="002A51CA"/>
    <w:p w:rsidR="00D15A00" w:rsidRDefault="00D15A00" w:rsidP="002A51CA">
      <w:pPr>
        <w:sectPr w:rsidR="00D15A00" w:rsidSect="00C6626C">
          <w:pgSz w:w="11906" w:h="16838" w:code="9"/>
          <w:pgMar w:top="1527" w:right="1134" w:bottom="851" w:left="1134" w:header="1418" w:footer="567" w:gutter="0"/>
          <w:cols w:space="397"/>
          <w:docGrid w:linePitch="360"/>
        </w:sectPr>
      </w:pPr>
    </w:p>
    <w:p w:rsidR="00E10487" w:rsidRPr="00C61187" w:rsidRDefault="00400B0F" w:rsidP="000D2CA9">
      <w:pPr>
        <w:pStyle w:val="Subtitle"/>
        <w:keepNext w:val="0"/>
        <w:numPr>
          <w:ilvl w:val="0"/>
          <w:numId w:val="0"/>
        </w:numPr>
      </w:pPr>
      <w:r w:rsidRPr="00400B0F">
        <w:lastRenderedPageBreak/>
        <w:t xml:space="preserve">Annex </w:t>
      </w:r>
      <w:proofErr w:type="gramStart"/>
      <w:r w:rsidRPr="00400B0F">
        <w:t xml:space="preserve">A </w:t>
      </w:r>
      <w:r w:rsidR="00984B42">
        <w:t xml:space="preserve"> </w:t>
      </w:r>
      <w:r w:rsidRPr="00400B0F">
        <w:t>-</w:t>
      </w:r>
      <w:proofErr w:type="gramEnd"/>
      <w:r w:rsidRPr="00400B0F">
        <w:t xml:space="preserve"> Progress in Addressing Management </w:t>
      </w:r>
      <w:r w:rsidR="00AC302F">
        <w:t>actions</w:t>
      </w:r>
    </w:p>
    <w:tbl>
      <w:tblPr>
        <w:tblStyle w:val="APPR"/>
        <w:tblpPr w:leftFromText="180" w:rightFromText="180" w:vertAnchor="text" w:tblpY="1"/>
        <w:tblW w:w="5000" w:type="pct"/>
        <w:tblLayout w:type="fixed"/>
        <w:tblLook w:val="0000" w:firstRow="0" w:lastRow="0" w:firstColumn="0" w:lastColumn="0" w:noHBand="0" w:noVBand="0"/>
      </w:tblPr>
      <w:tblGrid>
        <w:gridCol w:w="6380"/>
        <w:gridCol w:w="979"/>
        <w:gridCol w:w="6794"/>
      </w:tblGrid>
      <w:tr w:rsidR="00400B0F" w:rsidRPr="00A3623F" w:rsidTr="000D2CA9">
        <w:trPr>
          <w:cnfStyle w:val="000000010000" w:firstRow="0" w:lastRow="0" w:firstColumn="0" w:lastColumn="0" w:oddVBand="0" w:evenVBand="0" w:oddHBand="0" w:evenHBand="1" w:firstRowFirstColumn="0" w:firstRowLastColumn="0" w:lastRowFirstColumn="0" w:lastRowLastColumn="0"/>
        </w:trPr>
        <w:tc>
          <w:tcPr>
            <w:tcW w:w="6250" w:type="dxa"/>
          </w:tcPr>
          <w:p w:rsidR="00400B0F" w:rsidRPr="00A3623F" w:rsidRDefault="00400B0F" w:rsidP="000D2CA9">
            <w:pPr>
              <w:keepLines/>
              <w:spacing w:before="80" w:after="80" w:line="200" w:lineRule="atLeast"/>
              <w:rPr>
                <w:rFonts w:asciiTheme="minorHAnsi" w:eastAsia="Times New Roman" w:hAnsiTheme="minorHAnsi"/>
                <w:b/>
                <w:iCs/>
                <w:sz w:val="18"/>
                <w:szCs w:val="18"/>
                <w:lang w:eastAsia="en-US"/>
              </w:rPr>
            </w:pPr>
            <w:r w:rsidRPr="00A3623F">
              <w:rPr>
                <w:rFonts w:asciiTheme="minorHAnsi" w:eastAsia="Times New Roman" w:hAnsiTheme="minorHAnsi"/>
                <w:b/>
                <w:iCs/>
                <w:sz w:val="18"/>
                <w:szCs w:val="18"/>
              </w:rPr>
              <w:t xml:space="preserve">Management </w:t>
            </w:r>
            <w:r w:rsidR="00A54034" w:rsidRPr="00A3623F">
              <w:rPr>
                <w:rFonts w:asciiTheme="minorHAnsi" w:eastAsia="Times New Roman" w:hAnsiTheme="minorHAnsi"/>
                <w:b/>
                <w:iCs/>
                <w:sz w:val="18"/>
                <w:szCs w:val="18"/>
              </w:rPr>
              <w:t>actions</w:t>
            </w:r>
            <w:r w:rsidRPr="00A3623F">
              <w:rPr>
                <w:rFonts w:asciiTheme="minorHAnsi" w:eastAsia="Times New Roman" w:hAnsiTheme="minorHAnsi"/>
                <w:b/>
                <w:iCs/>
                <w:sz w:val="18"/>
                <w:szCs w:val="18"/>
              </w:rPr>
              <w:t xml:space="preserve"> identified in 201</w:t>
            </w:r>
            <w:r w:rsidR="00060A05" w:rsidRPr="00A3623F">
              <w:rPr>
                <w:rFonts w:asciiTheme="minorHAnsi" w:eastAsia="Times New Roman" w:hAnsiTheme="minorHAnsi"/>
                <w:b/>
                <w:iCs/>
                <w:sz w:val="18"/>
                <w:szCs w:val="18"/>
              </w:rPr>
              <w:t>6</w:t>
            </w:r>
            <w:r w:rsidRPr="00A3623F">
              <w:rPr>
                <w:rFonts w:asciiTheme="minorHAnsi" w:eastAsia="Times New Roman" w:hAnsiTheme="minorHAnsi"/>
                <w:b/>
                <w:iCs/>
                <w:sz w:val="18"/>
                <w:szCs w:val="18"/>
              </w:rPr>
              <w:t>-1</w:t>
            </w:r>
            <w:r w:rsidR="00060A05" w:rsidRPr="00A3623F">
              <w:rPr>
                <w:rFonts w:asciiTheme="minorHAnsi" w:eastAsia="Times New Roman" w:hAnsiTheme="minorHAnsi"/>
                <w:b/>
                <w:iCs/>
                <w:sz w:val="18"/>
                <w:szCs w:val="18"/>
              </w:rPr>
              <w:t>7</w:t>
            </w:r>
            <w:r w:rsidRPr="00A3623F">
              <w:rPr>
                <w:rFonts w:asciiTheme="minorHAnsi" w:eastAsia="Times New Roman" w:hAnsiTheme="minorHAnsi"/>
                <w:b/>
                <w:iCs/>
                <w:sz w:val="18"/>
                <w:szCs w:val="18"/>
              </w:rPr>
              <w:t xml:space="preserve"> APPR</w:t>
            </w:r>
            <w:r w:rsidRPr="00A3623F">
              <w:rPr>
                <w:rFonts w:asciiTheme="minorHAnsi" w:eastAsia="Times New Roman" w:hAnsiTheme="minorHAnsi"/>
                <w:b/>
                <w:iCs/>
                <w:sz w:val="18"/>
                <w:szCs w:val="18"/>
              </w:rPr>
              <w:tab/>
            </w:r>
          </w:p>
        </w:tc>
        <w:tc>
          <w:tcPr>
            <w:tcW w:w="938" w:type="dxa"/>
          </w:tcPr>
          <w:p w:rsidR="00400B0F" w:rsidRPr="00A3623F" w:rsidRDefault="00400B0F" w:rsidP="000D2CA9">
            <w:pPr>
              <w:keepLines/>
              <w:spacing w:before="80" w:after="80" w:line="200" w:lineRule="atLeast"/>
              <w:rPr>
                <w:rFonts w:asciiTheme="minorHAnsi" w:eastAsia="Times New Roman" w:hAnsiTheme="minorHAnsi"/>
                <w:b/>
                <w:iCs/>
                <w:sz w:val="18"/>
                <w:szCs w:val="18"/>
                <w:lang w:eastAsia="en-US"/>
              </w:rPr>
            </w:pPr>
            <w:r w:rsidRPr="00A3623F">
              <w:rPr>
                <w:rFonts w:asciiTheme="minorHAnsi" w:eastAsia="Times New Roman" w:hAnsiTheme="minorHAnsi"/>
                <w:b/>
                <w:iCs/>
                <w:sz w:val="18"/>
                <w:szCs w:val="18"/>
              </w:rPr>
              <w:t>Rating</w:t>
            </w:r>
          </w:p>
        </w:tc>
        <w:tc>
          <w:tcPr>
            <w:tcW w:w="6658" w:type="dxa"/>
          </w:tcPr>
          <w:p w:rsidR="00400B0F" w:rsidRPr="00A3623F" w:rsidRDefault="00400B0F" w:rsidP="000D2CA9">
            <w:pPr>
              <w:keepLines/>
              <w:spacing w:before="80" w:after="80" w:line="200" w:lineRule="atLeast"/>
              <w:jc w:val="center"/>
              <w:rPr>
                <w:rFonts w:asciiTheme="minorHAnsi" w:eastAsia="Times New Roman" w:hAnsiTheme="minorHAnsi"/>
                <w:b/>
                <w:iCs/>
                <w:sz w:val="18"/>
                <w:szCs w:val="18"/>
                <w:lang w:eastAsia="en-US"/>
              </w:rPr>
            </w:pPr>
            <w:r w:rsidRPr="00A3623F">
              <w:rPr>
                <w:rFonts w:asciiTheme="minorHAnsi" w:eastAsia="Times New Roman" w:hAnsiTheme="minorHAnsi"/>
                <w:b/>
                <w:iCs/>
                <w:sz w:val="18"/>
                <w:szCs w:val="18"/>
              </w:rPr>
              <w:t>Progress made  in 201</w:t>
            </w:r>
            <w:r w:rsidR="002D37BC" w:rsidRPr="00A3623F">
              <w:rPr>
                <w:rFonts w:asciiTheme="minorHAnsi" w:eastAsia="Times New Roman" w:hAnsiTheme="minorHAnsi"/>
                <w:b/>
                <w:iCs/>
                <w:sz w:val="18"/>
                <w:szCs w:val="18"/>
              </w:rPr>
              <w:t>7</w:t>
            </w:r>
            <w:r w:rsidRPr="00A3623F">
              <w:rPr>
                <w:rFonts w:asciiTheme="minorHAnsi" w:eastAsia="Times New Roman" w:hAnsiTheme="minorHAnsi"/>
                <w:b/>
                <w:iCs/>
                <w:sz w:val="18"/>
                <w:szCs w:val="18"/>
              </w:rPr>
              <w:t>-1</w:t>
            </w:r>
            <w:r w:rsidR="002D37BC" w:rsidRPr="00A3623F">
              <w:rPr>
                <w:rFonts w:asciiTheme="minorHAnsi" w:eastAsia="Times New Roman" w:hAnsiTheme="minorHAnsi"/>
                <w:b/>
                <w:iCs/>
                <w:sz w:val="18"/>
                <w:szCs w:val="18"/>
              </w:rPr>
              <w:t>8</w:t>
            </w:r>
          </w:p>
        </w:tc>
      </w:tr>
      <w:tr w:rsidR="00F41E19" w:rsidRPr="00A3623F" w:rsidTr="000D2CA9">
        <w:trPr>
          <w:cnfStyle w:val="000000010000" w:firstRow="0" w:lastRow="0" w:firstColumn="0" w:lastColumn="0" w:oddVBand="0" w:evenVBand="0" w:oddHBand="0" w:evenHBand="1" w:firstRowFirstColumn="0" w:firstRowLastColumn="0" w:lastRowFirstColumn="0" w:lastRowLastColumn="0"/>
        </w:trPr>
        <w:tc>
          <w:tcPr>
            <w:tcW w:w="6250" w:type="dxa"/>
          </w:tcPr>
          <w:p w:rsidR="00F41E19" w:rsidRPr="00A3623F" w:rsidRDefault="00F41E19" w:rsidP="000D2CA9">
            <w:pPr>
              <w:pStyle w:val="ListParagraph"/>
              <w:keepLines/>
              <w:numPr>
                <w:ilvl w:val="0"/>
                <w:numId w:val="40"/>
              </w:numPr>
              <w:spacing w:before="40" w:after="40" w:line="200" w:lineRule="atLeast"/>
              <w:rPr>
                <w:rFonts w:asciiTheme="minorHAnsi" w:hAnsiTheme="minorHAnsi"/>
                <w:iCs/>
                <w:color w:val="495965" w:themeColor="text2"/>
                <w:sz w:val="18"/>
                <w:szCs w:val="18"/>
                <w:lang w:eastAsia="en-US"/>
              </w:rPr>
            </w:pPr>
            <w:r w:rsidRPr="00A3623F">
              <w:rPr>
                <w:rFonts w:asciiTheme="minorHAnsi" w:hAnsiTheme="minorHAnsi"/>
                <w:color w:val="495965" w:themeColor="text2"/>
                <w:sz w:val="18"/>
                <w:szCs w:val="18"/>
              </w:rPr>
              <w:t xml:space="preserve">Establish a </w:t>
            </w:r>
            <w:r w:rsidRPr="00A3623F">
              <w:rPr>
                <w:rFonts w:asciiTheme="minorHAnsi" w:hAnsiTheme="minorHAnsi"/>
                <w:b/>
                <w:color w:val="495965" w:themeColor="text2"/>
                <w:sz w:val="18"/>
                <w:szCs w:val="18"/>
              </w:rPr>
              <w:t>new Ministerial-level Economic Partnership Meeting</w:t>
            </w:r>
            <w:r w:rsidRPr="00A3623F">
              <w:rPr>
                <w:rFonts w:asciiTheme="minorHAnsi" w:hAnsiTheme="minorHAnsi"/>
                <w:color w:val="495965" w:themeColor="text2"/>
                <w:sz w:val="18"/>
                <w:szCs w:val="18"/>
              </w:rPr>
              <w:t xml:space="preserve"> to bring together trade, economic and development interests to be announced at an appropriate high-level opportunity</w:t>
            </w:r>
          </w:p>
        </w:tc>
        <w:tc>
          <w:tcPr>
            <w:tcW w:w="938" w:type="dxa"/>
            <w:shd w:val="clear" w:color="auto" w:fill="FF0000"/>
          </w:tcPr>
          <w:p w:rsidR="00F41E19" w:rsidRPr="00A3623F" w:rsidRDefault="00F41E19" w:rsidP="000D2CA9">
            <w:pPr>
              <w:keepLines/>
              <w:spacing w:before="40" w:after="40" w:line="200" w:lineRule="atLeast"/>
              <w:jc w:val="center"/>
              <w:rPr>
                <w:rFonts w:asciiTheme="minorHAnsi" w:eastAsia="Times New Roman" w:hAnsiTheme="minorHAnsi"/>
                <w:b/>
                <w:iCs/>
                <w:color w:val="FFFFFF" w:themeColor="background1"/>
                <w:sz w:val="18"/>
                <w:szCs w:val="18"/>
                <w:lang w:eastAsia="en-US"/>
              </w:rPr>
            </w:pPr>
            <w:r w:rsidRPr="00A3623F">
              <w:rPr>
                <w:rFonts w:asciiTheme="minorHAnsi" w:eastAsia="Times New Roman" w:hAnsiTheme="minorHAnsi"/>
                <w:b/>
                <w:iCs/>
                <w:color w:val="FFFFFF" w:themeColor="background1"/>
                <w:sz w:val="18"/>
                <w:szCs w:val="18"/>
              </w:rPr>
              <w:t xml:space="preserve">Not Achieved </w:t>
            </w:r>
          </w:p>
        </w:tc>
        <w:tc>
          <w:tcPr>
            <w:tcW w:w="6658" w:type="dxa"/>
            <w:shd w:val="clear" w:color="auto" w:fill="auto"/>
          </w:tcPr>
          <w:p w:rsidR="000E0DEE" w:rsidRPr="00686515" w:rsidRDefault="000E0DEE" w:rsidP="000B316C">
            <w:pPr>
              <w:keepLines/>
              <w:spacing w:before="40" w:after="40" w:line="200" w:lineRule="atLeast"/>
              <w:rPr>
                <w:rFonts w:asciiTheme="minorHAnsi" w:eastAsia="Times New Roman" w:hAnsiTheme="minorHAnsi"/>
                <w:iCs/>
                <w:sz w:val="18"/>
                <w:szCs w:val="18"/>
                <w:lang w:eastAsia="en-US"/>
              </w:rPr>
            </w:pPr>
            <w:r w:rsidRPr="00A3623F">
              <w:rPr>
                <w:rFonts w:asciiTheme="minorHAnsi" w:eastAsia="Times New Roman" w:hAnsiTheme="minorHAnsi"/>
                <w:iCs/>
                <w:sz w:val="18"/>
                <w:szCs w:val="18"/>
              </w:rPr>
              <w:t xml:space="preserve">Whilst high level political agreement to establish the meeting was secured and referenced in the Strategic Partnership, the relevant </w:t>
            </w:r>
            <w:proofErr w:type="spellStart"/>
            <w:r w:rsidR="008D4FB4" w:rsidRPr="00A3623F">
              <w:rPr>
                <w:rFonts w:asciiTheme="minorHAnsi" w:eastAsia="Times New Roman" w:hAnsiTheme="minorHAnsi"/>
                <w:iCs/>
                <w:sz w:val="18"/>
                <w:szCs w:val="18"/>
              </w:rPr>
              <w:t>GoV</w:t>
            </w:r>
            <w:proofErr w:type="spellEnd"/>
            <w:r w:rsidRPr="00A3623F">
              <w:rPr>
                <w:rFonts w:asciiTheme="minorHAnsi" w:eastAsia="Times New Roman" w:hAnsiTheme="minorHAnsi"/>
                <w:iCs/>
                <w:sz w:val="18"/>
                <w:szCs w:val="18"/>
              </w:rPr>
              <w:t xml:space="preserve"> </w:t>
            </w:r>
            <w:r w:rsidR="000B316C">
              <w:rPr>
                <w:rFonts w:asciiTheme="minorHAnsi" w:eastAsia="Times New Roman" w:hAnsiTheme="minorHAnsi"/>
                <w:iCs/>
                <w:sz w:val="18"/>
                <w:szCs w:val="18"/>
              </w:rPr>
              <w:t>m</w:t>
            </w:r>
            <w:r w:rsidRPr="00686515">
              <w:rPr>
                <w:rFonts w:asciiTheme="minorHAnsi" w:eastAsia="Times New Roman" w:hAnsiTheme="minorHAnsi"/>
                <w:iCs/>
                <w:sz w:val="18"/>
                <w:szCs w:val="18"/>
              </w:rPr>
              <w:t xml:space="preserve">inistries have been unable to </w:t>
            </w:r>
            <w:r w:rsidR="00E33A4D" w:rsidRPr="00686515">
              <w:rPr>
                <w:rFonts w:asciiTheme="minorHAnsi" w:eastAsia="Times New Roman" w:hAnsiTheme="minorHAnsi"/>
                <w:iCs/>
                <w:sz w:val="18"/>
                <w:szCs w:val="18"/>
              </w:rPr>
              <w:t>finalise</w:t>
            </w:r>
            <w:r w:rsidRPr="00686515">
              <w:rPr>
                <w:rFonts w:asciiTheme="minorHAnsi" w:eastAsia="Times New Roman" w:hAnsiTheme="minorHAnsi"/>
                <w:iCs/>
                <w:sz w:val="18"/>
                <w:szCs w:val="18"/>
              </w:rPr>
              <w:t xml:space="preserve"> a format for the meeting</w:t>
            </w:r>
            <w:r w:rsidR="00E33A4D" w:rsidRPr="00686515">
              <w:rPr>
                <w:rFonts w:asciiTheme="minorHAnsi" w:eastAsia="Times New Roman" w:hAnsiTheme="minorHAnsi"/>
                <w:iCs/>
                <w:sz w:val="18"/>
                <w:szCs w:val="18"/>
              </w:rPr>
              <w:t xml:space="preserve"> given the logistical challenges of bringing together </w:t>
            </w:r>
            <w:r w:rsidR="00DA598B" w:rsidRPr="00686515">
              <w:rPr>
                <w:rFonts w:asciiTheme="minorHAnsi" w:eastAsia="Times New Roman" w:hAnsiTheme="minorHAnsi"/>
                <w:iCs/>
                <w:sz w:val="18"/>
                <w:szCs w:val="18"/>
              </w:rPr>
              <w:t>multiple ministers</w:t>
            </w:r>
            <w:r w:rsidRPr="00686515">
              <w:rPr>
                <w:rFonts w:asciiTheme="minorHAnsi" w:eastAsia="Times New Roman" w:hAnsiTheme="minorHAnsi"/>
                <w:iCs/>
                <w:sz w:val="18"/>
                <w:szCs w:val="18"/>
              </w:rPr>
              <w:t xml:space="preserve">. A new format </w:t>
            </w:r>
            <w:r w:rsidR="00E33A4D" w:rsidRPr="00686515">
              <w:rPr>
                <w:rFonts w:asciiTheme="minorHAnsi" w:eastAsia="Times New Roman" w:hAnsiTheme="minorHAnsi"/>
                <w:iCs/>
                <w:sz w:val="18"/>
                <w:szCs w:val="18"/>
              </w:rPr>
              <w:t>is currently under consideration</w:t>
            </w:r>
            <w:r w:rsidR="00C0469E" w:rsidRPr="00686515">
              <w:rPr>
                <w:rFonts w:asciiTheme="minorHAnsi" w:eastAsia="Times New Roman" w:hAnsiTheme="minorHAnsi"/>
                <w:iCs/>
                <w:sz w:val="18"/>
                <w:szCs w:val="18"/>
              </w:rPr>
              <w:t xml:space="preserve"> (October 2018)</w:t>
            </w:r>
            <w:r w:rsidRPr="00686515">
              <w:rPr>
                <w:rFonts w:asciiTheme="minorHAnsi" w:eastAsia="Times New Roman" w:hAnsiTheme="minorHAnsi"/>
                <w:iCs/>
                <w:sz w:val="18"/>
                <w:szCs w:val="18"/>
              </w:rPr>
              <w:t>.</w:t>
            </w:r>
          </w:p>
        </w:tc>
      </w:tr>
      <w:tr w:rsidR="00F41E19" w:rsidRPr="00A3623F" w:rsidTr="000D2CA9">
        <w:trPr>
          <w:cnfStyle w:val="000000010000" w:firstRow="0" w:lastRow="0" w:firstColumn="0" w:lastColumn="0" w:oddVBand="0" w:evenVBand="0" w:oddHBand="0" w:evenHBand="1" w:firstRowFirstColumn="0" w:firstRowLastColumn="0" w:lastRowFirstColumn="0" w:lastRowLastColumn="0"/>
        </w:trPr>
        <w:tc>
          <w:tcPr>
            <w:tcW w:w="6250" w:type="dxa"/>
          </w:tcPr>
          <w:p w:rsidR="00F41E19" w:rsidRPr="00686515" w:rsidRDefault="00F41E19" w:rsidP="00686515">
            <w:pPr>
              <w:pStyle w:val="ListParagraph"/>
              <w:keepLines/>
              <w:numPr>
                <w:ilvl w:val="0"/>
                <w:numId w:val="40"/>
              </w:numPr>
              <w:spacing w:after="120"/>
              <w:rPr>
                <w:rFonts w:asciiTheme="minorHAnsi" w:hAnsiTheme="minorHAnsi"/>
                <w:iCs/>
                <w:color w:val="495965" w:themeColor="text2"/>
                <w:sz w:val="18"/>
                <w:szCs w:val="18"/>
                <w:lang w:eastAsia="en-US"/>
              </w:rPr>
            </w:pPr>
            <w:r w:rsidRPr="00686515">
              <w:rPr>
                <w:rFonts w:asciiTheme="minorHAnsi" w:hAnsiTheme="minorHAnsi"/>
                <w:b/>
                <w:color w:val="495965" w:themeColor="text2"/>
                <w:sz w:val="18"/>
                <w:szCs w:val="18"/>
              </w:rPr>
              <w:t>Mobilise four new aid investments</w:t>
            </w:r>
            <w:r w:rsidRPr="00686515">
              <w:rPr>
                <w:rFonts w:asciiTheme="minorHAnsi" w:hAnsiTheme="minorHAnsi"/>
                <w:color w:val="495965" w:themeColor="text2"/>
                <w:sz w:val="18"/>
                <w:szCs w:val="18"/>
              </w:rPr>
              <w:t>, with Government approvals issued and all tenders completed by the end of the 2017-18 financial year.</w:t>
            </w:r>
          </w:p>
        </w:tc>
        <w:tc>
          <w:tcPr>
            <w:tcW w:w="938" w:type="dxa"/>
            <w:shd w:val="clear" w:color="auto" w:fill="E36C0A"/>
          </w:tcPr>
          <w:p w:rsidR="00F41E19" w:rsidRPr="00686515" w:rsidRDefault="00F41E19" w:rsidP="000D2CA9">
            <w:pPr>
              <w:keepLines/>
              <w:spacing w:before="40" w:after="40" w:line="200" w:lineRule="atLeast"/>
              <w:jc w:val="center"/>
              <w:rPr>
                <w:rFonts w:asciiTheme="minorHAnsi" w:hAnsiTheme="minorHAnsi"/>
                <w:b/>
                <w:color w:val="FFFFFF" w:themeColor="background1"/>
                <w:sz w:val="18"/>
                <w:szCs w:val="18"/>
                <w:lang w:eastAsia="en-US"/>
              </w:rPr>
            </w:pPr>
            <w:r w:rsidRPr="00686515">
              <w:rPr>
                <w:rFonts w:asciiTheme="minorHAnsi" w:hAnsiTheme="minorHAnsi"/>
                <w:b/>
                <w:color w:val="FFFFFF" w:themeColor="background1"/>
                <w:sz w:val="18"/>
                <w:szCs w:val="18"/>
              </w:rPr>
              <w:t xml:space="preserve">Partly </w:t>
            </w:r>
          </w:p>
          <w:p w:rsidR="00F41E19" w:rsidRPr="00686515" w:rsidRDefault="00F41E19" w:rsidP="000D2CA9">
            <w:pPr>
              <w:keepLines/>
              <w:spacing w:before="40" w:after="40" w:line="200" w:lineRule="atLeast"/>
              <w:jc w:val="center"/>
              <w:rPr>
                <w:rFonts w:asciiTheme="minorHAnsi" w:eastAsia="Times New Roman" w:hAnsiTheme="minorHAnsi"/>
                <w:b/>
                <w:iCs/>
                <w:color w:val="FFFFFF" w:themeColor="background1"/>
                <w:sz w:val="18"/>
                <w:szCs w:val="18"/>
                <w:lang w:eastAsia="en-US"/>
              </w:rPr>
            </w:pPr>
            <w:r w:rsidRPr="00686515">
              <w:rPr>
                <w:rFonts w:asciiTheme="minorHAnsi" w:hAnsiTheme="minorHAnsi"/>
                <w:b/>
                <w:color w:val="FFFFFF" w:themeColor="background1"/>
                <w:sz w:val="18"/>
                <w:szCs w:val="18"/>
              </w:rPr>
              <w:t>Achieved</w:t>
            </w:r>
          </w:p>
        </w:tc>
        <w:tc>
          <w:tcPr>
            <w:tcW w:w="6658" w:type="dxa"/>
          </w:tcPr>
          <w:p w:rsidR="00F41E19" w:rsidRPr="00686515" w:rsidRDefault="00F41E19" w:rsidP="000D2CA9">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rPr>
              <w:t xml:space="preserve">Three out of the four aid investments - </w:t>
            </w:r>
            <w:r w:rsidRPr="00686515">
              <w:rPr>
                <w:rFonts w:asciiTheme="minorHAnsi" w:eastAsia="Times New Roman" w:hAnsiTheme="minorHAnsi"/>
                <w:i/>
                <w:iCs/>
                <w:sz w:val="18"/>
                <w:szCs w:val="18"/>
              </w:rPr>
              <w:t>Aus4Transport</w:t>
            </w:r>
            <w:r w:rsidRPr="00686515">
              <w:rPr>
                <w:rFonts w:asciiTheme="minorHAnsi" w:eastAsia="Times New Roman" w:hAnsiTheme="minorHAnsi"/>
                <w:iCs/>
                <w:sz w:val="18"/>
                <w:szCs w:val="18"/>
              </w:rPr>
              <w:t xml:space="preserve">, </w:t>
            </w:r>
            <w:r w:rsidRPr="00686515">
              <w:rPr>
                <w:rFonts w:asciiTheme="minorHAnsi" w:eastAsia="Times New Roman" w:hAnsiTheme="minorHAnsi"/>
                <w:i/>
                <w:iCs/>
                <w:sz w:val="18"/>
                <w:szCs w:val="18"/>
              </w:rPr>
              <w:t>Aus4Equality</w:t>
            </w:r>
            <w:r w:rsidRPr="00686515">
              <w:rPr>
                <w:rFonts w:asciiTheme="minorHAnsi" w:eastAsia="Times New Roman" w:hAnsiTheme="minorHAnsi"/>
                <w:iCs/>
                <w:sz w:val="18"/>
                <w:szCs w:val="18"/>
              </w:rPr>
              <w:t xml:space="preserve">, and </w:t>
            </w:r>
            <w:r w:rsidRPr="00686515">
              <w:rPr>
                <w:rFonts w:asciiTheme="minorHAnsi" w:eastAsia="Times New Roman" w:hAnsiTheme="minorHAnsi"/>
                <w:i/>
                <w:iCs/>
                <w:sz w:val="18"/>
                <w:szCs w:val="18"/>
              </w:rPr>
              <w:t>Aus4Reform</w:t>
            </w:r>
            <w:r w:rsidRPr="00686515">
              <w:rPr>
                <w:rFonts w:asciiTheme="minorHAnsi" w:eastAsia="Times New Roman" w:hAnsiTheme="minorHAnsi"/>
                <w:iCs/>
                <w:sz w:val="18"/>
                <w:szCs w:val="18"/>
              </w:rPr>
              <w:t xml:space="preserve"> - commenced implementation in 2017-18. </w:t>
            </w:r>
            <w:r w:rsidRPr="00686515">
              <w:rPr>
                <w:rFonts w:asciiTheme="minorHAnsi" w:eastAsia="Times New Roman" w:hAnsiTheme="minorHAnsi"/>
                <w:i/>
                <w:iCs/>
                <w:sz w:val="18"/>
                <w:szCs w:val="18"/>
              </w:rPr>
              <w:t>Aus4water</w:t>
            </w:r>
            <w:r w:rsidRPr="00686515">
              <w:rPr>
                <w:rFonts w:asciiTheme="minorHAnsi" w:eastAsia="Times New Roman" w:hAnsiTheme="minorHAnsi"/>
                <w:iCs/>
                <w:sz w:val="18"/>
                <w:szCs w:val="18"/>
              </w:rPr>
              <w:t xml:space="preserve"> has not commenced implementation due to delays in the</w:t>
            </w:r>
            <w:r w:rsidR="00761A50" w:rsidRPr="00686515">
              <w:rPr>
                <w:rFonts w:asciiTheme="minorHAnsi" w:eastAsia="Times New Roman" w:hAnsiTheme="minorHAnsi"/>
                <w:iCs/>
                <w:sz w:val="18"/>
                <w:szCs w:val="18"/>
              </w:rPr>
              <w:t xml:space="preserve"> </w:t>
            </w:r>
            <w:proofErr w:type="spellStart"/>
            <w:r w:rsidR="008D4FB4" w:rsidRPr="00686515">
              <w:rPr>
                <w:rFonts w:asciiTheme="minorHAnsi" w:eastAsia="Times New Roman" w:hAnsiTheme="minorHAnsi"/>
                <w:iCs/>
                <w:sz w:val="18"/>
                <w:szCs w:val="18"/>
              </w:rPr>
              <w:t>GoV</w:t>
            </w:r>
            <w:proofErr w:type="spellEnd"/>
            <w:r w:rsidRPr="00686515">
              <w:rPr>
                <w:rFonts w:asciiTheme="minorHAnsi" w:eastAsia="Times New Roman" w:hAnsiTheme="minorHAnsi"/>
                <w:iCs/>
                <w:sz w:val="18"/>
                <w:szCs w:val="18"/>
              </w:rPr>
              <w:t xml:space="preserve"> approval process. </w:t>
            </w:r>
          </w:p>
        </w:tc>
      </w:tr>
      <w:tr w:rsidR="00EF6D5A" w:rsidRPr="00A3623F" w:rsidTr="000D2CA9">
        <w:trPr>
          <w:cnfStyle w:val="000000010000" w:firstRow="0" w:lastRow="0" w:firstColumn="0" w:lastColumn="0" w:oddVBand="0" w:evenVBand="0" w:oddHBand="0" w:evenHBand="1" w:firstRowFirstColumn="0" w:firstRowLastColumn="0" w:lastRowFirstColumn="0" w:lastRowLastColumn="0"/>
        </w:trPr>
        <w:tc>
          <w:tcPr>
            <w:tcW w:w="6250" w:type="dxa"/>
          </w:tcPr>
          <w:p w:rsidR="00EF6D5A" w:rsidRPr="00686515" w:rsidRDefault="00EF6D5A" w:rsidP="00686515">
            <w:pPr>
              <w:pStyle w:val="ListParagraph"/>
              <w:keepLines/>
              <w:numPr>
                <w:ilvl w:val="0"/>
                <w:numId w:val="40"/>
              </w:numPr>
              <w:autoSpaceDE w:val="0"/>
              <w:autoSpaceDN w:val="0"/>
              <w:spacing w:after="120"/>
              <w:rPr>
                <w:rFonts w:asciiTheme="minorHAnsi" w:hAnsiTheme="minorHAnsi"/>
                <w:iCs/>
                <w:color w:val="495965" w:themeColor="text2"/>
                <w:sz w:val="18"/>
                <w:szCs w:val="18"/>
                <w:lang w:eastAsia="en-US"/>
              </w:rPr>
            </w:pPr>
            <w:r w:rsidRPr="00686515">
              <w:rPr>
                <w:rFonts w:asciiTheme="minorHAnsi" w:hAnsiTheme="minorHAnsi"/>
                <w:color w:val="495965" w:themeColor="text2"/>
                <w:sz w:val="18"/>
                <w:szCs w:val="18"/>
              </w:rPr>
              <w:t xml:space="preserve">Implement a </w:t>
            </w:r>
            <w:r w:rsidRPr="00686515">
              <w:rPr>
                <w:rFonts w:asciiTheme="minorHAnsi" w:hAnsiTheme="minorHAnsi"/>
                <w:b/>
                <w:color w:val="495965" w:themeColor="text2"/>
                <w:sz w:val="18"/>
                <w:szCs w:val="18"/>
              </w:rPr>
              <w:t xml:space="preserve">new </w:t>
            </w:r>
            <w:r w:rsidR="00DA6794" w:rsidRPr="00686515">
              <w:rPr>
                <w:rFonts w:asciiTheme="minorHAnsi" w:hAnsiTheme="minorHAnsi"/>
                <w:b/>
                <w:color w:val="495965" w:themeColor="text2"/>
                <w:sz w:val="18"/>
                <w:szCs w:val="18"/>
              </w:rPr>
              <w:t>PAF</w:t>
            </w:r>
            <w:r w:rsidRPr="00686515">
              <w:rPr>
                <w:rFonts w:asciiTheme="minorHAnsi" w:hAnsiTheme="minorHAnsi"/>
                <w:color w:val="495965" w:themeColor="text2"/>
                <w:sz w:val="18"/>
                <w:szCs w:val="18"/>
              </w:rPr>
              <w:t xml:space="preserve"> by December 2017 to better measure the impact of our investments on influencing policy and achieving the Embassy’s economic partnership priorities.</w:t>
            </w:r>
          </w:p>
        </w:tc>
        <w:tc>
          <w:tcPr>
            <w:tcW w:w="938" w:type="dxa"/>
            <w:shd w:val="clear" w:color="auto" w:fill="92D050"/>
          </w:tcPr>
          <w:p w:rsidR="00EF6D5A" w:rsidRPr="00686515" w:rsidRDefault="00EF6D5A" w:rsidP="000D2CA9">
            <w:pPr>
              <w:keepLines/>
              <w:spacing w:before="40" w:after="40" w:line="200" w:lineRule="atLeast"/>
              <w:jc w:val="center"/>
              <w:rPr>
                <w:rFonts w:asciiTheme="minorHAnsi" w:eastAsia="Times New Roman" w:hAnsiTheme="minorHAnsi"/>
                <w:b/>
                <w:iCs/>
                <w:color w:val="FFFFFF" w:themeColor="background1"/>
                <w:sz w:val="18"/>
                <w:szCs w:val="18"/>
                <w:lang w:eastAsia="en-US"/>
              </w:rPr>
            </w:pPr>
            <w:r w:rsidRPr="00686515">
              <w:rPr>
                <w:rFonts w:asciiTheme="minorHAnsi" w:eastAsia="Times New Roman" w:hAnsiTheme="minorHAnsi"/>
                <w:b/>
                <w:iCs/>
                <w:color w:val="FFFFFF" w:themeColor="background1"/>
                <w:sz w:val="18"/>
                <w:szCs w:val="18"/>
              </w:rPr>
              <w:t xml:space="preserve">Achieved </w:t>
            </w:r>
          </w:p>
        </w:tc>
        <w:tc>
          <w:tcPr>
            <w:tcW w:w="6658" w:type="dxa"/>
          </w:tcPr>
          <w:p w:rsidR="00EF6D5A" w:rsidRPr="00686515" w:rsidRDefault="00EF6D5A" w:rsidP="000D2CA9">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rPr>
              <w:t xml:space="preserve">A new </w:t>
            </w:r>
            <w:r w:rsidR="00DA6794" w:rsidRPr="00686515">
              <w:rPr>
                <w:rFonts w:asciiTheme="minorHAnsi" w:eastAsia="Times New Roman" w:hAnsiTheme="minorHAnsi"/>
                <w:iCs/>
                <w:sz w:val="18"/>
                <w:szCs w:val="18"/>
              </w:rPr>
              <w:t>PAF</w:t>
            </w:r>
            <w:r w:rsidRPr="00686515">
              <w:rPr>
                <w:rFonts w:asciiTheme="minorHAnsi" w:eastAsia="Times New Roman" w:hAnsiTheme="minorHAnsi"/>
                <w:iCs/>
                <w:sz w:val="18"/>
                <w:szCs w:val="18"/>
              </w:rPr>
              <w:t xml:space="preserve"> was finalised with all targets updated until 2019-20, following </w:t>
            </w:r>
            <w:r w:rsidR="00761A50" w:rsidRPr="00686515">
              <w:rPr>
                <w:rFonts w:asciiTheme="minorHAnsi" w:eastAsia="Times New Roman" w:hAnsiTheme="minorHAnsi"/>
                <w:iCs/>
                <w:sz w:val="18"/>
                <w:szCs w:val="18"/>
              </w:rPr>
              <w:t xml:space="preserve">implementation of the three major </w:t>
            </w:r>
            <w:r w:rsidRPr="00686515">
              <w:rPr>
                <w:rFonts w:asciiTheme="minorHAnsi" w:eastAsia="Times New Roman" w:hAnsiTheme="minorHAnsi"/>
                <w:iCs/>
                <w:sz w:val="18"/>
                <w:szCs w:val="18"/>
              </w:rPr>
              <w:t xml:space="preserve">new designs. This new PAF is primarily grounded on the three key objectives of the AIP, and takes into account economic partnership priorities where possible. </w:t>
            </w:r>
          </w:p>
        </w:tc>
      </w:tr>
      <w:tr w:rsidR="00F41E19" w:rsidRPr="00A3623F" w:rsidTr="000D2CA9">
        <w:trPr>
          <w:cnfStyle w:val="000000010000" w:firstRow="0" w:lastRow="0" w:firstColumn="0" w:lastColumn="0" w:oddVBand="0" w:evenVBand="0" w:oddHBand="0" w:evenHBand="1" w:firstRowFirstColumn="0" w:firstRowLastColumn="0" w:lastRowFirstColumn="0" w:lastRowLastColumn="0"/>
        </w:trPr>
        <w:tc>
          <w:tcPr>
            <w:tcW w:w="6250" w:type="dxa"/>
          </w:tcPr>
          <w:p w:rsidR="00F41E19" w:rsidRPr="00686515" w:rsidRDefault="00F41E19" w:rsidP="00686515">
            <w:pPr>
              <w:pStyle w:val="ListParagraph"/>
              <w:keepLines/>
              <w:numPr>
                <w:ilvl w:val="0"/>
                <w:numId w:val="40"/>
              </w:numPr>
              <w:spacing w:after="120"/>
              <w:rPr>
                <w:rFonts w:asciiTheme="minorHAnsi" w:hAnsiTheme="minorHAnsi"/>
                <w:iCs/>
                <w:color w:val="495965" w:themeColor="text2"/>
                <w:sz w:val="18"/>
                <w:szCs w:val="18"/>
                <w:lang w:eastAsia="en-US"/>
              </w:rPr>
            </w:pPr>
            <w:r w:rsidRPr="00686515">
              <w:rPr>
                <w:rFonts w:asciiTheme="minorHAnsi" w:hAnsiTheme="minorHAnsi"/>
                <w:color w:val="495965" w:themeColor="text2"/>
                <w:sz w:val="18"/>
                <w:szCs w:val="18"/>
              </w:rPr>
              <w:t xml:space="preserve">Launch the Embassy’s </w:t>
            </w:r>
            <w:r w:rsidRPr="00686515">
              <w:rPr>
                <w:rFonts w:asciiTheme="minorHAnsi" w:hAnsiTheme="minorHAnsi"/>
                <w:b/>
                <w:color w:val="495965" w:themeColor="text2"/>
                <w:sz w:val="18"/>
                <w:szCs w:val="18"/>
              </w:rPr>
              <w:t>Innovation Strategy</w:t>
            </w:r>
            <w:r w:rsidRPr="00686515">
              <w:rPr>
                <w:rFonts w:asciiTheme="minorHAnsi" w:hAnsiTheme="minorHAnsi"/>
                <w:color w:val="495965" w:themeColor="text2"/>
                <w:sz w:val="18"/>
                <w:szCs w:val="18"/>
              </w:rPr>
              <w:t xml:space="preserve"> to help us better innovate across the breadth of our cooperation and aid investments. </w:t>
            </w:r>
          </w:p>
        </w:tc>
        <w:tc>
          <w:tcPr>
            <w:tcW w:w="938" w:type="dxa"/>
            <w:shd w:val="clear" w:color="auto" w:fill="FF0000"/>
          </w:tcPr>
          <w:p w:rsidR="00F41E19" w:rsidRPr="00686515" w:rsidRDefault="00F41E19" w:rsidP="000D2CA9">
            <w:pPr>
              <w:keepLines/>
              <w:spacing w:before="40" w:after="40" w:line="200" w:lineRule="atLeast"/>
              <w:jc w:val="center"/>
              <w:rPr>
                <w:rFonts w:asciiTheme="minorHAnsi" w:eastAsia="Times New Roman" w:hAnsiTheme="minorHAnsi"/>
                <w:b/>
                <w:iCs/>
                <w:color w:val="FFFFFF" w:themeColor="background1"/>
                <w:sz w:val="18"/>
                <w:szCs w:val="18"/>
                <w:lang w:eastAsia="en-US"/>
              </w:rPr>
            </w:pPr>
            <w:r w:rsidRPr="00686515">
              <w:rPr>
                <w:rFonts w:asciiTheme="minorHAnsi" w:eastAsia="Times New Roman" w:hAnsiTheme="minorHAnsi"/>
                <w:b/>
                <w:iCs/>
                <w:color w:val="FFFFFF" w:themeColor="background1"/>
                <w:sz w:val="18"/>
                <w:szCs w:val="18"/>
              </w:rPr>
              <w:t xml:space="preserve">Not Achieved </w:t>
            </w:r>
          </w:p>
        </w:tc>
        <w:tc>
          <w:tcPr>
            <w:tcW w:w="6658" w:type="dxa"/>
          </w:tcPr>
          <w:p w:rsidR="00F41E19" w:rsidRPr="00686515" w:rsidRDefault="00F41E19" w:rsidP="000D2CA9">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rPr>
              <w:t xml:space="preserve">While the Innovation Partnership was co-launched by Ministers in 2017, due to </w:t>
            </w:r>
            <w:r w:rsidR="00761A50" w:rsidRPr="00686515">
              <w:rPr>
                <w:rFonts w:asciiTheme="minorHAnsi" w:eastAsia="Times New Roman" w:hAnsiTheme="minorHAnsi"/>
                <w:iCs/>
                <w:sz w:val="18"/>
                <w:szCs w:val="18"/>
              </w:rPr>
              <w:t xml:space="preserve">unexpected </w:t>
            </w:r>
            <w:r w:rsidRPr="00686515">
              <w:rPr>
                <w:rFonts w:asciiTheme="minorHAnsi" w:eastAsia="Times New Roman" w:hAnsiTheme="minorHAnsi"/>
                <w:iCs/>
                <w:sz w:val="18"/>
                <w:szCs w:val="18"/>
              </w:rPr>
              <w:t>personnel changes</w:t>
            </w:r>
            <w:r w:rsidR="00761A50" w:rsidRPr="00686515">
              <w:rPr>
                <w:rFonts w:asciiTheme="minorHAnsi" w:eastAsia="Times New Roman" w:hAnsiTheme="minorHAnsi"/>
                <w:iCs/>
                <w:sz w:val="18"/>
                <w:szCs w:val="18"/>
              </w:rPr>
              <w:t>,</w:t>
            </w:r>
            <w:r w:rsidRPr="00686515">
              <w:rPr>
                <w:rFonts w:asciiTheme="minorHAnsi" w:eastAsia="Times New Roman" w:hAnsiTheme="minorHAnsi"/>
                <w:iCs/>
                <w:sz w:val="18"/>
                <w:szCs w:val="18"/>
              </w:rPr>
              <w:t xml:space="preserve"> a strategy for helping us innovate across the bread</w:t>
            </w:r>
            <w:r w:rsidR="00761A50" w:rsidRPr="00686515">
              <w:rPr>
                <w:rFonts w:asciiTheme="minorHAnsi" w:eastAsia="Times New Roman" w:hAnsiTheme="minorHAnsi"/>
                <w:iCs/>
                <w:sz w:val="18"/>
                <w:szCs w:val="18"/>
              </w:rPr>
              <w:t>th of our cooperation agenda is yet to be</w:t>
            </w:r>
            <w:r w:rsidRPr="00686515">
              <w:rPr>
                <w:rFonts w:asciiTheme="minorHAnsi" w:eastAsia="Times New Roman" w:hAnsiTheme="minorHAnsi"/>
                <w:iCs/>
                <w:sz w:val="18"/>
                <w:szCs w:val="18"/>
              </w:rPr>
              <w:t xml:space="preserve"> launched.</w:t>
            </w:r>
          </w:p>
        </w:tc>
      </w:tr>
      <w:tr w:rsidR="00EF6D5A" w:rsidRPr="00A3623F" w:rsidTr="000D2CA9">
        <w:trPr>
          <w:cnfStyle w:val="000000010000" w:firstRow="0" w:lastRow="0" w:firstColumn="0" w:lastColumn="0" w:oddVBand="0" w:evenVBand="0" w:oddHBand="0" w:evenHBand="1" w:firstRowFirstColumn="0" w:firstRowLastColumn="0" w:lastRowFirstColumn="0" w:lastRowLastColumn="0"/>
        </w:trPr>
        <w:tc>
          <w:tcPr>
            <w:tcW w:w="6250" w:type="dxa"/>
          </w:tcPr>
          <w:p w:rsidR="00EF6D5A" w:rsidRPr="00686515" w:rsidRDefault="00EF6D5A" w:rsidP="00686515">
            <w:pPr>
              <w:pStyle w:val="ListParagraph"/>
              <w:keepLines/>
              <w:numPr>
                <w:ilvl w:val="0"/>
                <w:numId w:val="40"/>
              </w:numPr>
              <w:spacing w:after="120"/>
              <w:rPr>
                <w:rFonts w:asciiTheme="minorHAnsi" w:hAnsiTheme="minorHAnsi"/>
                <w:iCs/>
                <w:color w:val="495965" w:themeColor="text2"/>
                <w:sz w:val="18"/>
                <w:szCs w:val="18"/>
                <w:lang w:eastAsia="en-US"/>
              </w:rPr>
            </w:pPr>
            <w:r w:rsidRPr="00686515">
              <w:rPr>
                <w:rFonts w:asciiTheme="minorHAnsi" w:hAnsiTheme="minorHAnsi"/>
                <w:color w:val="495965" w:themeColor="text2"/>
                <w:sz w:val="18"/>
                <w:szCs w:val="18"/>
              </w:rPr>
              <w:t xml:space="preserve">Deepen recognition of Australia’s aid in Vietnam by applying the </w:t>
            </w:r>
            <w:r w:rsidRPr="00686515">
              <w:rPr>
                <w:rFonts w:asciiTheme="minorHAnsi" w:hAnsiTheme="minorHAnsi"/>
                <w:b/>
                <w:color w:val="495965" w:themeColor="text2"/>
                <w:sz w:val="18"/>
                <w:szCs w:val="18"/>
              </w:rPr>
              <w:t>Aus4Vietnam branding</w:t>
            </w:r>
            <w:r w:rsidRPr="00686515">
              <w:rPr>
                <w:rFonts w:asciiTheme="minorHAnsi" w:hAnsiTheme="minorHAnsi"/>
                <w:color w:val="495965" w:themeColor="text2"/>
                <w:sz w:val="18"/>
                <w:szCs w:val="18"/>
              </w:rPr>
              <w:t xml:space="preserve"> to all existing and new investments in 2017-18 and developing an Aus4Vietnam website, online application and producing more short videos and animations. Bring to wider attention – across DFAT’s South</w:t>
            </w:r>
            <w:r w:rsidR="0084260A" w:rsidRPr="00686515">
              <w:rPr>
                <w:rFonts w:asciiTheme="minorHAnsi" w:hAnsiTheme="minorHAnsi"/>
                <w:color w:val="495965" w:themeColor="text2"/>
                <w:sz w:val="18"/>
                <w:szCs w:val="18"/>
              </w:rPr>
              <w:t>e</w:t>
            </w:r>
            <w:r w:rsidRPr="00686515">
              <w:rPr>
                <w:rFonts w:asciiTheme="minorHAnsi" w:hAnsiTheme="minorHAnsi"/>
                <w:color w:val="495965" w:themeColor="text2"/>
                <w:sz w:val="18"/>
                <w:szCs w:val="18"/>
              </w:rPr>
              <w:t>ast Asia programs and more broadly – the path-breaking work that the Vietnam program has done on branding.</w:t>
            </w:r>
          </w:p>
        </w:tc>
        <w:tc>
          <w:tcPr>
            <w:tcW w:w="938" w:type="dxa"/>
            <w:shd w:val="clear" w:color="auto" w:fill="92D050"/>
          </w:tcPr>
          <w:p w:rsidR="00EF6D5A" w:rsidRPr="00686515" w:rsidRDefault="00EF6D5A" w:rsidP="000D2CA9">
            <w:pPr>
              <w:keepLines/>
              <w:spacing w:before="40" w:after="40" w:line="200" w:lineRule="atLeast"/>
              <w:jc w:val="center"/>
              <w:rPr>
                <w:rFonts w:asciiTheme="minorHAnsi" w:eastAsia="Times New Roman" w:hAnsiTheme="minorHAnsi"/>
                <w:b/>
                <w:iCs/>
                <w:color w:val="FFFFFF" w:themeColor="background1"/>
                <w:sz w:val="18"/>
                <w:szCs w:val="18"/>
              </w:rPr>
            </w:pPr>
            <w:r w:rsidRPr="00686515">
              <w:rPr>
                <w:rFonts w:asciiTheme="minorHAnsi" w:eastAsia="Times New Roman" w:hAnsiTheme="minorHAnsi"/>
                <w:b/>
                <w:iCs/>
                <w:color w:val="FFFFFF" w:themeColor="background1"/>
                <w:sz w:val="18"/>
                <w:szCs w:val="18"/>
              </w:rPr>
              <w:t xml:space="preserve">Achieved </w:t>
            </w:r>
          </w:p>
        </w:tc>
        <w:tc>
          <w:tcPr>
            <w:tcW w:w="6658" w:type="dxa"/>
          </w:tcPr>
          <w:p w:rsidR="00EF6D5A" w:rsidRPr="00686515" w:rsidRDefault="00EF6D5A" w:rsidP="000D2CA9">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rPr>
              <w:t xml:space="preserve">The Aus4Vietnam branding has been rolled out across all programs </w:t>
            </w:r>
          </w:p>
        </w:tc>
      </w:tr>
      <w:tr w:rsidR="00E636D6" w:rsidRPr="00A3623F" w:rsidTr="000D2CA9">
        <w:trPr>
          <w:cnfStyle w:val="000000010000" w:firstRow="0" w:lastRow="0" w:firstColumn="0" w:lastColumn="0" w:oddVBand="0" w:evenVBand="0" w:oddHBand="0" w:evenHBand="1" w:firstRowFirstColumn="0" w:firstRowLastColumn="0" w:lastRowFirstColumn="0" w:lastRowLastColumn="0"/>
        </w:trPr>
        <w:tc>
          <w:tcPr>
            <w:tcW w:w="6250" w:type="dxa"/>
          </w:tcPr>
          <w:p w:rsidR="00E636D6" w:rsidRPr="00686515" w:rsidRDefault="00E636D6" w:rsidP="00686515">
            <w:pPr>
              <w:pStyle w:val="ListParagraph"/>
              <w:keepLines/>
              <w:numPr>
                <w:ilvl w:val="0"/>
                <w:numId w:val="40"/>
              </w:numPr>
              <w:spacing w:after="120"/>
              <w:rPr>
                <w:rFonts w:asciiTheme="minorHAnsi" w:hAnsiTheme="minorHAnsi"/>
                <w:color w:val="495965" w:themeColor="text2"/>
                <w:sz w:val="18"/>
                <w:szCs w:val="18"/>
              </w:rPr>
            </w:pPr>
            <w:r w:rsidRPr="00686515">
              <w:rPr>
                <w:rFonts w:asciiTheme="minorHAnsi" w:hAnsiTheme="minorHAnsi"/>
                <w:color w:val="495965" w:themeColor="text2"/>
                <w:sz w:val="18"/>
                <w:szCs w:val="18"/>
              </w:rPr>
              <w:t xml:space="preserve">Increase our policy engagement on </w:t>
            </w:r>
            <w:r w:rsidRPr="00686515">
              <w:rPr>
                <w:rFonts w:asciiTheme="minorHAnsi" w:hAnsiTheme="minorHAnsi"/>
                <w:b/>
                <w:color w:val="495965" w:themeColor="text2"/>
                <w:sz w:val="18"/>
                <w:szCs w:val="18"/>
              </w:rPr>
              <w:t>global and regional programs</w:t>
            </w:r>
            <w:r w:rsidRPr="00686515">
              <w:rPr>
                <w:rFonts w:asciiTheme="minorHAnsi" w:hAnsiTheme="minorHAnsi"/>
                <w:color w:val="495965" w:themeColor="text2"/>
                <w:sz w:val="18"/>
                <w:szCs w:val="18"/>
              </w:rPr>
              <w:t xml:space="preserve"> by identifying lead officers for each relevant initiative at Hanoi Post, allowing us to increase our influence and the strategic clarity of Australia’s work in Vietnam.</w:t>
            </w:r>
          </w:p>
        </w:tc>
        <w:tc>
          <w:tcPr>
            <w:tcW w:w="938" w:type="dxa"/>
            <w:shd w:val="clear" w:color="auto" w:fill="92D050"/>
          </w:tcPr>
          <w:p w:rsidR="00E636D6" w:rsidRPr="00686515" w:rsidRDefault="00502913" w:rsidP="000D2CA9">
            <w:pPr>
              <w:keepLines/>
              <w:spacing w:before="40" w:after="40" w:line="200" w:lineRule="atLeast"/>
              <w:jc w:val="center"/>
              <w:rPr>
                <w:rFonts w:asciiTheme="minorHAnsi" w:eastAsia="Times New Roman" w:hAnsiTheme="minorHAnsi"/>
                <w:b/>
                <w:iCs/>
                <w:color w:val="FFFFFF" w:themeColor="background1"/>
                <w:sz w:val="18"/>
                <w:szCs w:val="18"/>
              </w:rPr>
            </w:pPr>
            <w:r w:rsidRPr="00686515">
              <w:rPr>
                <w:rFonts w:asciiTheme="minorHAnsi" w:eastAsia="Times New Roman" w:hAnsiTheme="minorHAnsi"/>
                <w:b/>
                <w:iCs/>
                <w:color w:val="FFFFFF" w:themeColor="background1"/>
                <w:sz w:val="18"/>
                <w:szCs w:val="18"/>
              </w:rPr>
              <w:t xml:space="preserve">Achieved </w:t>
            </w:r>
          </w:p>
        </w:tc>
        <w:tc>
          <w:tcPr>
            <w:tcW w:w="6658" w:type="dxa"/>
          </w:tcPr>
          <w:p w:rsidR="00E636D6" w:rsidRPr="000200D0" w:rsidRDefault="001E3753" w:rsidP="000D2CA9">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 xml:space="preserve">A consolidated list </w:t>
            </w:r>
            <w:r w:rsidR="00761A50" w:rsidRPr="00686515">
              <w:rPr>
                <w:rFonts w:asciiTheme="minorHAnsi" w:eastAsia="Times New Roman" w:hAnsiTheme="minorHAnsi"/>
                <w:iCs/>
                <w:sz w:val="18"/>
                <w:szCs w:val="18"/>
              </w:rPr>
              <w:t>of global and regional programs active in Vietnam</w:t>
            </w:r>
            <w:r w:rsidRPr="00686515">
              <w:rPr>
                <w:rFonts w:asciiTheme="minorHAnsi" w:eastAsia="Times New Roman" w:hAnsiTheme="minorHAnsi"/>
                <w:iCs/>
                <w:sz w:val="18"/>
                <w:szCs w:val="18"/>
              </w:rPr>
              <w:t xml:space="preserve"> together with </w:t>
            </w:r>
            <w:r w:rsidR="00761A50" w:rsidRPr="00686515">
              <w:rPr>
                <w:rFonts w:asciiTheme="minorHAnsi" w:eastAsia="Times New Roman" w:hAnsiTheme="minorHAnsi"/>
                <w:iCs/>
                <w:sz w:val="18"/>
                <w:szCs w:val="18"/>
              </w:rPr>
              <w:t>nominated points of contact</w:t>
            </w:r>
            <w:r w:rsidRPr="00686515">
              <w:rPr>
                <w:rFonts w:asciiTheme="minorHAnsi" w:eastAsia="Times New Roman" w:hAnsiTheme="minorHAnsi"/>
                <w:iCs/>
                <w:sz w:val="18"/>
                <w:szCs w:val="18"/>
              </w:rPr>
              <w:t xml:space="preserve"> (both A-</w:t>
            </w:r>
            <w:r w:rsidR="00B1576B" w:rsidRPr="00686515">
              <w:rPr>
                <w:rFonts w:asciiTheme="minorHAnsi" w:eastAsia="Times New Roman" w:hAnsiTheme="minorHAnsi"/>
                <w:iCs/>
                <w:sz w:val="18"/>
                <w:szCs w:val="18"/>
              </w:rPr>
              <w:t>b</w:t>
            </w:r>
            <w:r w:rsidRPr="00686515">
              <w:rPr>
                <w:rFonts w:asciiTheme="minorHAnsi" w:eastAsia="Times New Roman" w:hAnsiTheme="minorHAnsi"/>
                <w:iCs/>
                <w:sz w:val="18"/>
                <w:szCs w:val="18"/>
              </w:rPr>
              <w:t xml:space="preserve">ased and local staff) was developed to </w:t>
            </w:r>
            <w:r w:rsidR="00187F9C" w:rsidRPr="00686515">
              <w:rPr>
                <w:rFonts w:asciiTheme="minorHAnsi" w:eastAsia="Times New Roman" w:hAnsiTheme="minorHAnsi"/>
                <w:iCs/>
                <w:sz w:val="18"/>
                <w:szCs w:val="18"/>
              </w:rPr>
              <w:t xml:space="preserve">ensure </w:t>
            </w:r>
            <w:r w:rsidR="00761A50" w:rsidRPr="00686515">
              <w:rPr>
                <w:rFonts w:asciiTheme="minorHAnsi" w:eastAsia="Times New Roman" w:hAnsiTheme="minorHAnsi"/>
                <w:iCs/>
                <w:sz w:val="18"/>
                <w:szCs w:val="18"/>
              </w:rPr>
              <w:t xml:space="preserve">more effective communication and </w:t>
            </w:r>
            <w:r w:rsidR="00187F9C" w:rsidRPr="00686515">
              <w:rPr>
                <w:rFonts w:asciiTheme="minorHAnsi" w:eastAsia="Times New Roman" w:hAnsiTheme="minorHAnsi"/>
                <w:iCs/>
                <w:sz w:val="18"/>
                <w:szCs w:val="18"/>
              </w:rPr>
              <w:t xml:space="preserve">better </w:t>
            </w:r>
            <w:r w:rsidR="00414D60" w:rsidRPr="00686515">
              <w:rPr>
                <w:rFonts w:asciiTheme="minorHAnsi" w:eastAsia="Times New Roman" w:hAnsiTheme="minorHAnsi"/>
                <w:iCs/>
                <w:sz w:val="18"/>
                <w:szCs w:val="18"/>
              </w:rPr>
              <w:t>engage</w:t>
            </w:r>
            <w:r w:rsidR="00187F9C" w:rsidRPr="00686515">
              <w:rPr>
                <w:rFonts w:asciiTheme="minorHAnsi" w:eastAsia="Times New Roman" w:hAnsiTheme="minorHAnsi"/>
                <w:iCs/>
                <w:sz w:val="18"/>
                <w:szCs w:val="18"/>
              </w:rPr>
              <w:t xml:space="preserve">ment by Post </w:t>
            </w:r>
            <w:r w:rsidRPr="00686515">
              <w:rPr>
                <w:rFonts w:asciiTheme="minorHAnsi" w:eastAsia="Times New Roman" w:hAnsiTheme="minorHAnsi"/>
                <w:iCs/>
                <w:sz w:val="18"/>
                <w:szCs w:val="18"/>
              </w:rPr>
              <w:t xml:space="preserve">in these </w:t>
            </w:r>
            <w:r w:rsidR="00761A50" w:rsidRPr="00686515">
              <w:rPr>
                <w:rFonts w:asciiTheme="minorHAnsi" w:eastAsia="Times New Roman" w:hAnsiTheme="minorHAnsi"/>
                <w:iCs/>
                <w:sz w:val="18"/>
                <w:szCs w:val="18"/>
              </w:rPr>
              <w:t>projects.</w:t>
            </w:r>
          </w:p>
        </w:tc>
      </w:tr>
      <w:tr w:rsidR="00E636D6" w:rsidRPr="00A3623F" w:rsidTr="000D2CA9">
        <w:trPr>
          <w:cnfStyle w:val="000000010000" w:firstRow="0" w:lastRow="0" w:firstColumn="0" w:lastColumn="0" w:oddVBand="0" w:evenVBand="0" w:oddHBand="0" w:evenHBand="1" w:firstRowFirstColumn="0" w:firstRowLastColumn="0" w:lastRowFirstColumn="0" w:lastRowLastColumn="0"/>
        </w:trPr>
        <w:tc>
          <w:tcPr>
            <w:tcW w:w="6250" w:type="dxa"/>
          </w:tcPr>
          <w:p w:rsidR="00E636D6" w:rsidRPr="000200D0" w:rsidRDefault="00E636D6" w:rsidP="000200D0">
            <w:pPr>
              <w:pStyle w:val="ListParagraph"/>
              <w:keepLines/>
              <w:numPr>
                <w:ilvl w:val="0"/>
                <w:numId w:val="40"/>
              </w:numPr>
              <w:spacing w:after="120"/>
              <w:rPr>
                <w:rFonts w:asciiTheme="minorHAnsi" w:hAnsiTheme="minorHAnsi"/>
                <w:color w:val="495965" w:themeColor="text2"/>
                <w:sz w:val="18"/>
                <w:szCs w:val="18"/>
              </w:rPr>
            </w:pPr>
            <w:r w:rsidRPr="000200D0">
              <w:rPr>
                <w:rFonts w:asciiTheme="minorHAnsi" w:hAnsiTheme="minorHAnsi"/>
                <w:color w:val="495965" w:themeColor="text2"/>
                <w:sz w:val="18"/>
                <w:szCs w:val="18"/>
              </w:rPr>
              <w:t xml:space="preserve">Implement the measures outlined in the </w:t>
            </w:r>
            <w:r w:rsidRPr="000200D0">
              <w:rPr>
                <w:rFonts w:asciiTheme="minorHAnsi" w:hAnsiTheme="minorHAnsi"/>
                <w:b/>
                <w:i/>
                <w:color w:val="495965" w:themeColor="text2"/>
                <w:sz w:val="18"/>
                <w:szCs w:val="18"/>
              </w:rPr>
              <w:t>Australia in Vietnam Gender Equality Strategy 2016-20</w:t>
            </w:r>
            <w:r w:rsidRPr="000200D0">
              <w:rPr>
                <w:rFonts w:asciiTheme="minorHAnsi" w:hAnsiTheme="minorHAnsi"/>
                <w:color w:val="495965" w:themeColor="text2"/>
                <w:sz w:val="18"/>
                <w:szCs w:val="18"/>
              </w:rPr>
              <w:t xml:space="preserve"> and internal Gender Equality Action Plan, so we can be influential on gender across all our work.</w:t>
            </w:r>
          </w:p>
        </w:tc>
        <w:tc>
          <w:tcPr>
            <w:tcW w:w="938" w:type="dxa"/>
            <w:shd w:val="clear" w:color="auto" w:fill="92D050"/>
          </w:tcPr>
          <w:p w:rsidR="00E636D6" w:rsidRPr="000200D0" w:rsidRDefault="00502913" w:rsidP="000D2CA9">
            <w:pPr>
              <w:keepLines/>
              <w:spacing w:before="40" w:after="40" w:line="200" w:lineRule="atLeast"/>
              <w:jc w:val="center"/>
              <w:rPr>
                <w:rFonts w:asciiTheme="minorHAnsi" w:eastAsia="Times New Roman" w:hAnsiTheme="minorHAnsi"/>
                <w:b/>
                <w:iCs/>
                <w:color w:val="FFFFFF" w:themeColor="background1"/>
                <w:sz w:val="18"/>
                <w:szCs w:val="18"/>
              </w:rPr>
            </w:pPr>
            <w:r w:rsidRPr="000200D0">
              <w:rPr>
                <w:rFonts w:asciiTheme="minorHAnsi" w:eastAsia="Times New Roman" w:hAnsiTheme="minorHAnsi"/>
                <w:b/>
                <w:iCs/>
                <w:color w:val="FFFFFF" w:themeColor="background1"/>
                <w:sz w:val="18"/>
                <w:szCs w:val="18"/>
              </w:rPr>
              <w:t>Achieved</w:t>
            </w:r>
          </w:p>
          <w:p w:rsidR="00502913" w:rsidRPr="000200D0" w:rsidRDefault="00502913" w:rsidP="000D2CA9">
            <w:pPr>
              <w:keepLines/>
              <w:spacing w:before="40" w:after="40" w:line="200" w:lineRule="atLeast"/>
              <w:jc w:val="center"/>
              <w:rPr>
                <w:rFonts w:asciiTheme="minorHAnsi" w:eastAsia="Times New Roman" w:hAnsiTheme="minorHAnsi"/>
                <w:b/>
                <w:iCs/>
                <w:color w:val="FFFFFF" w:themeColor="background1"/>
                <w:sz w:val="18"/>
                <w:szCs w:val="18"/>
              </w:rPr>
            </w:pPr>
          </w:p>
        </w:tc>
        <w:tc>
          <w:tcPr>
            <w:tcW w:w="6658" w:type="dxa"/>
          </w:tcPr>
          <w:p w:rsidR="00E636D6" w:rsidRPr="000200D0" w:rsidRDefault="00414D60" w:rsidP="000D2CA9">
            <w:pPr>
              <w:keepLines/>
              <w:spacing w:before="40" w:after="40" w:line="200" w:lineRule="atLeast"/>
              <w:rPr>
                <w:rFonts w:asciiTheme="minorHAnsi" w:eastAsia="Times New Roman" w:hAnsiTheme="minorHAnsi"/>
                <w:iCs/>
                <w:sz w:val="18"/>
                <w:szCs w:val="18"/>
              </w:rPr>
            </w:pPr>
            <w:r w:rsidRPr="000200D0">
              <w:rPr>
                <w:rFonts w:asciiTheme="minorHAnsi" w:eastAsia="Times New Roman" w:hAnsiTheme="minorHAnsi"/>
                <w:iCs/>
                <w:sz w:val="18"/>
                <w:szCs w:val="18"/>
              </w:rPr>
              <w:t xml:space="preserve">A review of the Gender Equality Action Plan (GEAP) has been carried out on an annual basis to </w:t>
            </w:r>
            <w:r w:rsidRPr="000200D0">
              <w:rPr>
                <w:rFonts w:asciiTheme="minorHAnsi" w:hAnsiTheme="minorHAnsi"/>
                <w:sz w:val="18"/>
                <w:szCs w:val="18"/>
              </w:rPr>
              <w:t>assess the implementation progress against the actions committed in the GEAP since the first annual review in October 2017, and to propose adjustments for the coming year if needed</w:t>
            </w:r>
          </w:p>
        </w:tc>
      </w:tr>
    </w:tbl>
    <w:p w:rsidR="000D2CA9" w:rsidRDefault="000D2CA9">
      <w:r>
        <w:br w:type="page"/>
      </w:r>
    </w:p>
    <w:tbl>
      <w:tblPr>
        <w:tblStyle w:val="APPR"/>
        <w:tblpPr w:leftFromText="180" w:rightFromText="180" w:vertAnchor="text" w:tblpY="1"/>
        <w:tblW w:w="5000" w:type="pct"/>
        <w:tblLayout w:type="fixed"/>
        <w:tblLook w:val="0000" w:firstRow="0" w:lastRow="0" w:firstColumn="0" w:lastColumn="0" w:noHBand="0" w:noVBand="0"/>
      </w:tblPr>
      <w:tblGrid>
        <w:gridCol w:w="6380"/>
        <w:gridCol w:w="979"/>
        <w:gridCol w:w="6794"/>
      </w:tblGrid>
      <w:tr w:rsidR="000D2CA9" w:rsidRPr="00A3623F" w:rsidTr="000D2CA9">
        <w:trPr>
          <w:cnfStyle w:val="000000010000" w:firstRow="0" w:lastRow="0" w:firstColumn="0" w:lastColumn="0" w:oddVBand="0" w:evenVBand="0" w:oddHBand="0" w:evenHBand="1" w:firstRowFirstColumn="0" w:firstRowLastColumn="0" w:lastRowFirstColumn="0" w:lastRowLastColumn="0"/>
        </w:trPr>
        <w:tc>
          <w:tcPr>
            <w:tcW w:w="6250" w:type="dxa"/>
          </w:tcPr>
          <w:p w:rsidR="000D2CA9" w:rsidRPr="000200D0" w:rsidRDefault="000D2CA9" w:rsidP="00D447B6">
            <w:pPr>
              <w:keepLines/>
              <w:spacing w:before="80" w:after="80" w:line="200" w:lineRule="atLeast"/>
              <w:rPr>
                <w:rFonts w:asciiTheme="minorHAnsi" w:eastAsia="Times New Roman" w:hAnsiTheme="minorHAnsi"/>
                <w:b/>
                <w:iCs/>
                <w:sz w:val="18"/>
                <w:szCs w:val="18"/>
                <w:lang w:eastAsia="en-US"/>
              </w:rPr>
            </w:pPr>
            <w:r w:rsidRPr="000200D0">
              <w:rPr>
                <w:rFonts w:asciiTheme="minorHAnsi" w:eastAsia="Times New Roman" w:hAnsiTheme="minorHAnsi"/>
                <w:b/>
                <w:iCs/>
                <w:sz w:val="18"/>
                <w:szCs w:val="18"/>
              </w:rPr>
              <w:lastRenderedPageBreak/>
              <w:t>Management actions identified in 2016-17 APPR</w:t>
            </w:r>
          </w:p>
        </w:tc>
        <w:tc>
          <w:tcPr>
            <w:tcW w:w="938" w:type="dxa"/>
          </w:tcPr>
          <w:p w:rsidR="000D2CA9" w:rsidRPr="000200D0" w:rsidRDefault="000D2CA9" w:rsidP="000D2CA9">
            <w:pPr>
              <w:keepLines/>
              <w:spacing w:before="80" w:after="80" w:line="200" w:lineRule="atLeast"/>
              <w:rPr>
                <w:rFonts w:asciiTheme="minorHAnsi" w:eastAsia="Times New Roman" w:hAnsiTheme="minorHAnsi"/>
                <w:b/>
                <w:iCs/>
                <w:sz w:val="18"/>
                <w:szCs w:val="18"/>
                <w:lang w:eastAsia="en-US"/>
              </w:rPr>
            </w:pPr>
            <w:r w:rsidRPr="000200D0">
              <w:rPr>
                <w:rFonts w:asciiTheme="minorHAnsi" w:eastAsia="Times New Roman" w:hAnsiTheme="minorHAnsi"/>
                <w:b/>
                <w:iCs/>
                <w:sz w:val="18"/>
                <w:szCs w:val="18"/>
              </w:rPr>
              <w:t>Rating</w:t>
            </w:r>
          </w:p>
        </w:tc>
        <w:tc>
          <w:tcPr>
            <w:tcW w:w="6658" w:type="dxa"/>
          </w:tcPr>
          <w:p w:rsidR="000D2CA9" w:rsidRPr="000200D0" w:rsidRDefault="000D2CA9" w:rsidP="000D2CA9">
            <w:pPr>
              <w:keepLines/>
              <w:spacing w:before="80" w:after="80" w:line="200" w:lineRule="atLeast"/>
              <w:jc w:val="center"/>
              <w:rPr>
                <w:rFonts w:asciiTheme="minorHAnsi" w:eastAsia="Times New Roman" w:hAnsiTheme="minorHAnsi"/>
                <w:b/>
                <w:iCs/>
                <w:sz w:val="18"/>
                <w:szCs w:val="18"/>
                <w:lang w:eastAsia="en-US"/>
              </w:rPr>
            </w:pPr>
            <w:r w:rsidRPr="000200D0">
              <w:rPr>
                <w:rFonts w:asciiTheme="minorHAnsi" w:eastAsia="Times New Roman" w:hAnsiTheme="minorHAnsi"/>
                <w:b/>
                <w:iCs/>
                <w:sz w:val="18"/>
                <w:szCs w:val="18"/>
              </w:rPr>
              <w:t>Progress made  in 2017-18</w:t>
            </w:r>
          </w:p>
        </w:tc>
      </w:tr>
      <w:tr w:rsidR="00E636D6" w:rsidRPr="00A3623F" w:rsidTr="000D2CA9">
        <w:trPr>
          <w:cnfStyle w:val="000000010000" w:firstRow="0" w:lastRow="0" w:firstColumn="0" w:lastColumn="0" w:oddVBand="0" w:evenVBand="0" w:oddHBand="0" w:evenHBand="1" w:firstRowFirstColumn="0" w:firstRowLastColumn="0" w:lastRowFirstColumn="0" w:lastRowLastColumn="0"/>
        </w:trPr>
        <w:tc>
          <w:tcPr>
            <w:tcW w:w="6250" w:type="dxa"/>
          </w:tcPr>
          <w:p w:rsidR="00E636D6" w:rsidRPr="000200D0" w:rsidRDefault="00E636D6" w:rsidP="000200D0">
            <w:pPr>
              <w:pStyle w:val="ListParagraph"/>
              <w:keepLines/>
              <w:numPr>
                <w:ilvl w:val="0"/>
                <w:numId w:val="40"/>
              </w:numPr>
              <w:spacing w:after="120"/>
              <w:rPr>
                <w:rFonts w:asciiTheme="minorHAnsi" w:hAnsiTheme="minorHAnsi"/>
                <w:color w:val="495965" w:themeColor="text2"/>
                <w:sz w:val="18"/>
                <w:szCs w:val="18"/>
              </w:rPr>
            </w:pPr>
            <w:r w:rsidRPr="000200D0">
              <w:rPr>
                <w:rFonts w:asciiTheme="minorHAnsi" w:hAnsiTheme="minorHAnsi"/>
                <w:color w:val="495965" w:themeColor="text2"/>
                <w:sz w:val="18"/>
                <w:szCs w:val="18"/>
              </w:rPr>
              <w:t xml:space="preserve">Conduct a </w:t>
            </w:r>
            <w:r w:rsidRPr="000200D0">
              <w:rPr>
                <w:rFonts w:asciiTheme="minorHAnsi" w:hAnsiTheme="minorHAnsi"/>
                <w:b/>
                <w:color w:val="495965" w:themeColor="text2"/>
                <w:sz w:val="18"/>
                <w:szCs w:val="18"/>
              </w:rPr>
              <w:t>mid-term review of the AIP</w:t>
            </w:r>
            <w:r w:rsidRPr="000200D0">
              <w:rPr>
                <w:rFonts w:asciiTheme="minorHAnsi" w:hAnsiTheme="minorHAnsi"/>
                <w:color w:val="495965" w:themeColor="text2"/>
                <w:sz w:val="18"/>
                <w:szCs w:val="18"/>
              </w:rPr>
              <w:t xml:space="preserve"> during 2018 to ensure our aid program remains relevant, geared to maximising opportunities for policy influence and targeted towards realising an economic partnership with Vietnam. </w:t>
            </w:r>
          </w:p>
        </w:tc>
        <w:tc>
          <w:tcPr>
            <w:tcW w:w="938" w:type="dxa"/>
            <w:shd w:val="clear" w:color="auto" w:fill="FF0000"/>
          </w:tcPr>
          <w:p w:rsidR="00E636D6" w:rsidRPr="000200D0" w:rsidRDefault="00414D60" w:rsidP="000D2CA9">
            <w:pPr>
              <w:keepLines/>
              <w:spacing w:before="40" w:after="40" w:line="200" w:lineRule="atLeast"/>
              <w:jc w:val="center"/>
              <w:rPr>
                <w:rFonts w:asciiTheme="minorHAnsi" w:eastAsia="Times New Roman" w:hAnsiTheme="minorHAnsi"/>
                <w:b/>
                <w:iCs/>
                <w:color w:val="FFFFFF" w:themeColor="background1"/>
                <w:sz w:val="18"/>
                <w:szCs w:val="18"/>
              </w:rPr>
            </w:pPr>
            <w:r w:rsidRPr="000200D0">
              <w:rPr>
                <w:rFonts w:asciiTheme="minorHAnsi" w:eastAsia="Times New Roman" w:hAnsiTheme="minorHAnsi"/>
                <w:b/>
                <w:iCs/>
                <w:color w:val="FFFFFF" w:themeColor="background1"/>
                <w:sz w:val="18"/>
                <w:szCs w:val="18"/>
              </w:rPr>
              <w:t xml:space="preserve">Not Achieved </w:t>
            </w:r>
          </w:p>
        </w:tc>
        <w:tc>
          <w:tcPr>
            <w:tcW w:w="6658" w:type="dxa"/>
          </w:tcPr>
          <w:p w:rsidR="00E636D6" w:rsidRPr="000200D0" w:rsidRDefault="00F41E19" w:rsidP="003E34CD">
            <w:pPr>
              <w:keepLines/>
              <w:spacing w:before="40" w:after="40" w:line="200" w:lineRule="atLeast"/>
              <w:rPr>
                <w:rFonts w:asciiTheme="minorHAnsi" w:eastAsia="Times New Roman" w:hAnsiTheme="minorHAnsi"/>
                <w:iCs/>
                <w:sz w:val="18"/>
                <w:szCs w:val="18"/>
              </w:rPr>
            </w:pPr>
            <w:r w:rsidRPr="000200D0">
              <w:rPr>
                <w:rFonts w:asciiTheme="minorHAnsi" w:eastAsia="Times New Roman" w:hAnsiTheme="minorHAnsi"/>
                <w:iCs/>
                <w:sz w:val="18"/>
                <w:szCs w:val="18"/>
              </w:rPr>
              <w:t xml:space="preserve">A mid-term review of the </w:t>
            </w:r>
            <w:r w:rsidR="008D4FB4" w:rsidRPr="000200D0">
              <w:rPr>
                <w:rFonts w:asciiTheme="minorHAnsi" w:eastAsia="Times New Roman" w:hAnsiTheme="minorHAnsi"/>
                <w:iCs/>
                <w:sz w:val="18"/>
                <w:szCs w:val="18"/>
              </w:rPr>
              <w:t>AIP</w:t>
            </w:r>
            <w:r w:rsidRPr="000200D0">
              <w:rPr>
                <w:rFonts w:asciiTheme="minorHAnsi" w:eastAsia="Times New Roman" w:hAnsiTheme="minorHAnsi"/>
                <w:iCs/>
                <w:sz w:val="18"/>
                <w:szCs w:val="18"/>
              </w:rPr>
              <w:t xml:space="preserve"> was not undertaken in 2017-18</w:t>
            </w:r>
            <w:r w:rsidR="00761A50" w:rsidRPr="000200D0">
              <w:rPr>
                <w:rFonts w:asciiTheme="minorHAnsi" w:eastAsia="Times New Roman" w:hAnsiTheme="minorHAnsi"/>
                <w:iCs/>
                <w:sz w:val="18"/>
                <w:szCs w:val="18"/>
              </w:rPr>
              <w:t xml:space="preserve"> because of implementation delays associated with </w:t>
            </w:r>
            <w:proofErr w:type="spellStart"/>
            <w:r w:rsidR="008D4FB4" w:rsidRPr="000200D0">
              <w:rPr>
                <w:rFonts w:asciiTheme="minorHAnsi" w:eastAsia="Times New Roman" w:hAnsiTheme="minorHAnsi"/>
                <w:iCs/>
                <w:sz w:val="18"/>
                <w:szCs w:val="18"/>
              </w:rPr>
              <w:t>GoV</w:t>
            </w:r>
            <w:proofErr w:type="spellEnd"/>
            <w:r w:rsidR="00761A50" w:rsidRPr="000200D0">
              <w:rPr>
                <w:rFonts w:asciiTheme="minorHAnsi" w:eastAsia="Times New Roman" w:hAnsiTheme="minorHAnsi"/>
                <w:iCs/>
                <w:sz w:val="18"/>
                <w:szCs w:val="18"/>
              </w:rPr>
              <w:t xml:space="preserve"> approvals for a critical mass of new programs</w:t>
            </w:r>
            <w:r w:rsidRPr="000200D0">
              <w:rPr>
                <w:rFonts w:asciiTheme="minorHAnsi" w:eastAsia="Times New Roman" w:hAnsiTheme="minorHAnsi"/>
                <w:iCs/>
                <w:sz w:val="18"/>
                <w:szCs w:val="18"/>
              </w:rPr>
              <w:t>. Given the mid-point of the AIP has now pas</w:t>
            </w:r>
            <w:r w:rsidR="00143EB9" w:rsidRPr="000200D0">
              <w:rPr>
                <w:rFonts w:asciiTheme="minorHAnsi" w:eastAsia="Times New Roman" w:hAnsiTheme="minorHAnsi"/>
                <w:iCs/>
                <w:sz w:val="18"/>
                <w:szCs w:val="18"/>
              </w:rPr>
              <w:t>sed</w:t>
            </w:r>
            <w:r w:rsidRPr="000200D0">
              <w:rPr>
                <w:rFonts w:asciiTheme="minorHAnsi" w:eastAsia="Times New Roman" w:hAnsiTheme="minorHAnsi"/>
                <w:iCs/>
                <w:sz w:val="18"/>
                <w:szCs w:val="18"/>
              </w:rPr>
              <w:t xml:space="preserve"> we recommend undertaking a final review of the plan and immediately commencing development of the </w:t>
            </w:r>
            <w:r w:rsidR="008D4FB4" w:rsidRPr="000200D0">
              <w:rPr>
                <w:rFonts w:asciiTheme="minorHAnsi" w:eastAsia="Times New Roman" w:hAnsiTheme="minorHAnsi"/>
                <w:iCs/>
                <w:sz w:val="18"/>
                <w:szCs w:val="18"/>
              </w:rPr>
              <w:t>AIP</w:t>
            </w:r>
            <w:r w:rsidRPr="000200D0">
              <w:rPr>
                <w:rFonts w:asciiTheme="minorHAnsi" w:eastAsia="Times New Roman" w:hAnsiTheme="minorHAnsi"/>
                <w:iCs/>
                <w:sz w:val="18"/>
                <w:szCs w:val="18"/>
              </w:rPr>
              <w:t xml:space="preserve"> for 2020 and beyond.</w:t>
            </w:r>
            <w:r w:rsidR="00600984" w:rsidRPr="000200D0">
              <w:rPr>
                <w:rFonts w:asciiTheme="minorHAnsi" w:eastAsia="Times New Roman" w:hAnsiTheme="minorHAnsi"/>
                <w:iCs/>
                <w:sz w:val="18"/>
                <w:szCs w:val="18"/>
              </w:rPr>
              <w:t xml:space="preserve"> </w:t>
            </w:r>
          </w:p>
        </w:tc>
      </w:tr>
      <w:tr w:rsidR="00E636D6" w:rsidRPr="00A3623F" w:rsidTr="000D2CA9">
        <w:trPr>
          <w:cnfStyle w:val="000000010000" w:firstRow="0" w:lastRow="0" w:firstColumn="0" w:lastColumn="0" w:oddVBand="0" w:evenVBand="0" w:oddHBand="0" w:evenHBand="1" w:firstRowFirstColumn="0" w:firstRowLastColumn="0" w:lastRowFirstColumn="0" w:lastRowLastColumn="0"/>
        </w:trPr>
        <w:tc>
          <w:tcPr>
            <w:tcW w:w="6250" w:type="dxa"/>
          </w:tcPr>
          <w:p w:rsidR="00E636D6" w:rsidRPr="000200D0" w:rsidRDefault="00E636D6" w:rsidP="000200D0">
            <w:pPr>
              <w:pStyle w:val="ListParagraph"/>
              <w:keepLines/>
              <w:numPr>
                <w:ilvl w:val="0"/>
                <w:numId w:val="40"/>
              </w:numPr>
              <w:spacing w:after="120"/>
              <w:rPr>
                <w:rFonts w:asciiTheme="minorHAnsi" w:hAnsiTheme="minorHAnsi"/>
                <w:color w:val="495965" w:themeColor="text2"/>
                <w:sz w:val="18"/>
                <w:szCs w:val="18"/>
              </w:rPr>
            </w:pPr>
            <w:r w:rsidRPr="000200D0">
              <w:rPr>
                <w:rFonts w:asciiTheme="minorHAnsi" w:hAnsiTheme="minorHAnsi"/>
                <w:color w:val="495965" w:themeColor="text2"/>
                <w:sz w:val="18"/>
                <w:szCs w:val="18"/>
              </w:rPr>
              <w:t xml:space="preserve">Following on from the 2017 Aid Capability Review, focus on the capabilities of our people at Hanoi Post and help staff acquire the </w:t>
            </w:r>
            <w:r w:rsidRPr="000200D0">
              <w:rPr>
                <w:rFonts w:asciiTheme="minorHAnsi" w:hAnsiTheme="minorHAnsi"/>
                <w:b/>
                <w:color w:val="495965" w:themeColor="text2"/>
                <w:sz w:val="18"/>
                <w:szCs w:val="18"/>
              </w:rPr>
              <w:t>new skills, perspectives and agility necessary to be effective influencers</w:t>
            </w:r>
            <w:r w:rsidRPr="000200D0">
              <w:rPr>
                <w:rFonts w:asciiTheme="minorHAnsi" w:hAnsiTheme="minorHAnsi"/>
                <w:color w:val="495965" w:themeColor="text2"/>
                <w:sz w:val="18"/>
                <w:szCs w:val="18"/>
              </w:rPr>
              <w:t xml:space="preserve"> as we deepen the economic partnership with Vietnam. </w:t>
            </w:r>
            <w:r w:rsidRPr="000200D0" w:rsidDel="00494239">
              <w:rPr>
                <w:rFonts w:asciiTheme="minorHAnsi" w:hAnsiTheme="minorHAnsi"/>
                <w:color w:val="495965" w:themeColor="text2"/>
                <w:sz w:val="18"/>
                <w:szCs w:val="18"/>
              </w:rPr>
              <w:t xml:space="preserve"> </w:t>
            </w:r>
            <w:r w:rsidRPr="000200D0">
              <w:rPr>
                <w:rFonts w:asciiTheme="minorHAnsi" w:hAnsiTheme="minorHAnsi"/>
                <w:color w:val="495965" w:themeColor="text2"/>
                <w:sz w:val="18"/>
                <w:szCs w:val="18"/>
              </w:rPr>
              <w:t>This work will provide lessons that other programs may benefit from in this vital area.</w:t>
            </w:r>
          </w:p>
        </w:tc>
        <w:tc>
          <w:tcPr>
            <w:tcW w:w="938" w:type="dxa"/>
            <w:shd w:val="clear" w:color="auto" w:fill="92D050"/>
          </w:tcPr>
          <w:p w:rsidR="00E636D6" w:rsidRPr="000200D0" w:rsidRDefault="00E7797C" w:rsidP="000D2CA9">
            <w:pPr>
              <w:keepLines/>
              <w:spacing w:before="40" w:after="40" w:line="200" w:lineRule="atLeast"/>
              <w:jc w:val="center"/>
              <w:rPr>
                <w:rFonts w:asciiTheme="minorHAnsi" w:eastAsia="Times New Roman" w:hAnsiTheme="minorHAnsi"/>
                <w:b/>
                <w:iCs/>
                <w:color w:val="FFFFFF" w:themeColor="background1"/>
                <w:sz w:val="18"/>
                <w:szCs w:val="18"/>
              </w:rPr>
            </w:pPr>
            <w:r w:rsidRPr="000200D0">
              <w:rPr>
                <w:rFonts w:asciiTheme="minorHAnsi" w:eastAsia="Times New Roman" w:hAnsiTheme="minorHAnsi"/>
                <w:b/>
                <w:iCs/>
                <w:color w:val="FFFFFF" w:themeColor="background1"/>
                <w:sz w:val="18"/>
                <w:szCs w:val="18"/>
              </w:rPr>
              <w:t xml:space="preserve">Achieved </w:t>
            </w:r>
          </w:p>
          <w:p w:rsidR="00E7797C" w:rsidRPr="000200D0" w:rsidRDefault="00E7797C" w:rsidP="000D2CA9">
            <w:pPr>
              <w:keepLines/>
              <w:spacing w:before="40" w:after="40" w:line="200" w:lineRule="atLeast"/>
              <w:jc w:val="center"/>
              <w:rPr>
                <w:rFonts w:asciiTheme="minorHAnsi" w:eastAsia="Times New Roman" w:hAnsiTheme="minorHAnsi"/>
                <w:b/>
                <w:iCs/>
                <w:color w:val="FFFFFF" w:themeColor="background1"/>
                <w:sz w:val="18"/>
                <w:szCs w:val="18"/>
              </w:rPr>
            </w:pPr>
          </w:p>
        </w:tc>
        <w:tc>
          <w:tcPr>
            <w:tcW w:w="6658" w:type="dxa"/>
          </w:tcPr>
          <w:p w:rsidR="00E636D6" w:rsidRPr="000200D0" w:rsidRDefault="00F41E19" w:rsidP="000D2CA9">
            <w:pPr>
              <w:keepLines/>
              <w:spacing w:before="40" w:after="40" w:line="200" w:lineRule="atLeast"/>
              <w:rPr>
                <w:rFonts w:asciiTheme="minorHAnsi" w:eastAsia="Times New Roman" w:hAnsiTheme="minorHAnsi"/>
                <w:iCs/>
                <w:sz w:val="18"/>
                <w:szCs w:val="18"/>
              </w:rPr>
            </w:pPr>
            <w:r w:rsidRPr="000200D0">
              <w:rPr>
                <w:rFonts w:asciiTheme="minorHAnsi" w:eastAsia="Times New Roman" w:hAnsiTheme="minorHAnsi"/>
                <w:iCs/>
                <w:sz w:val="18"/>
                <w:szCs w:val="18"/>
              </w:rPr>
              <w:t>This i</w:t>
            </w:r>
            <w:r w:rsidR="00E7797C" w:rsidRPr="000200D0">
              <w:rPr>
                <w:rFonts w:asciiTheme="minorHAnsi" w:eastAsia="Times New Roman" w:hAnsiTheme="minorHAnsi"/>
                <w:iCs/>
                <w:sz w:val="18"/>
                <w:szCs w:val="18"/>
              </w:rPr>
              <w:t xml:space="preserve">s an on-going effort. Staff were </w:t>
            </w:r>
            <w:r w:rsidR="00187F9C" w:rsidRPr="000200D0">
              <w:rPr>
                <w:rFonts w:asciiTheme="minorHAnsi" w:eastAsia="Times New Roman" w:hAnsiTheme="minorHAnsi"/>
                <w:iCs/>
                <w:sz w:val="18"/>
                <w:szCs w:val="18"/>
              </w:rPr>
              <w:t>provided</w:t>
            </w:r>
            <w:r w:rsidR="00E7797C" w:rsidRPr="000200D0">
              <w:rPr>
                <w:rFonts w:asciiTheme="minorHAnsi" w:eastAsia="Times New Roman" w:hAnsiTheme="minorHAnsi"/>
                <w:iCs/>
                <w:sz w:val="18"/>
                <w:szCs w:val="18"/>
              </w:rPr>
              <w:t xml:space="preserve"> training </w:t>
            </w:r>
            <w:r w:rsidR="00761A50" w:rsidRPr="000200D0">
              <w:rPr>
                <w:rFonts w:asciiTheme="minorHAnsi" w:eastAsia="Times New Roman" w:hAnsiTheme="minorHAnsi"/>
                <w:iCs/>
                <w:sz w:val="18"/>
                <w:szCs w:val="18"/>
              </w:rPr>
              <w:t xml:space="preserve">and professional development opportunities in aid management </w:t>
            </w:r>
            <w:r w:rsidR="00187F9C" w:rsidRPr="000200D0">
              <w:rPr>
                <w:rFonts w:asciiTheme="minorHAnsi" w:eastAsia="Times New Roman" w:hAnsiTheme="minorHAnsi"/>
                <w:iCs/>
                <w:sz w:val="18"/>
                <w:szCs w:val="18"/>
              </w:rPr>
              <w:t xml:space="preserve">to help them do </w:t>
            </w:r>
            <w:r w:rsidR="00E7797C" w:rsidRPr="000200D0">
              <w:rPr>
                <w:rFonts w:asciiTheme="minorHAnsi" w:eastAsia="Times New Roman" w:hAnsiTheme="minorHAnsi"/>
                <w:iCs/>
                <w:sz w:val="18"/>
                <w:szCs w:val="18"/>
              </w:rPr>
              <w:t>their jobs</w:t>
            </w:r>
            <w:r w:rsidR="00187F9C" w:rsidRPr="000200D0">
              <w:rPr>
                <w:rFonts w:asciiTheme="minorHAnsi" w:eastAsia="Times New Roman" w:hAnsiTheme="minorHAnsi"/>
                <w:iCs/>
                <w:sz w:val="18"/>
                <w:szCs w:val="18"/>
              </w:rPr>
              <w:t xml:space="preserve"> better</w:t>
            </w:r>
            <w:r w:rsidR="007021FF" w:rsidRPr="000200D0">
              <w:rPr>
                <w:rFonts w:asciiTheme="minorHAnsi" w:eastAsia="Times New Roman" w:hAnsiTheme="minorHAnsi"/>
                <w:iCs/>
                <w:sz w:val="18"/>
                <w:szCs w:val="18"/>
              </w:rPr>
              <w:t xml:space="preserve">. Capability assessments were conducted and ongoing skills requirements have been identified and embedded in individual performance agreements. </w:t>
            </w:r>
            <w:r w:rsidR="00E7797C" w:rsidRPr="000200D0">
              <w:rPr>
                <w:rFonts w:asciiTheme="minorHAnsi" w:eastAsia="Times New Roman" w:hAnsiTheme="minorHAnsi"/>
                <w:iCs/>
                <w:sz w:val="18"/>
                <w:szCs w:val="18"/>
              </w:rPr>
              <w:t>The Embass</w:t>
            </w:r>
            <w:r w:rsidR="007021FF" w:rsidRPr="000200D0">
              <w:rPr>
                <w:rFonts w:asciiTheme="minorHAnsi" w:eastAsia="Times New Roman" w:hAnsiTheme="minorHAnsi"/>
                <w:iCs/>
                <w:sz w:val="18"/>
                <w:szCs w:val="18"/>
              </w:rPr>
              <w:t>y also held general workshops,</w:t>
            </w:r>
            <w:r w:rsidR="00E7797C" w:rsidRPr="000200D0">
              <w:rPr>
                <w:rFonts w:asciiTheme="minorHAnsi" w:eastAsia="Times New Roman" w:hAnsiTheme="minorHAnsi"/>
                <w:iCs/>
                <w:sz w:val="18"/>
                <w:szCs w:val="18"/>
              </w:rPr>
              <w:t xml:space="preserve"> talks </w:t>
            </w:r>
            <w:r w:rsidR="007021FF" w:rsidRPr="000200D0">
              <w:rPr>
                <w:rFonts w:asciiTheme="minorHAnsi" w:eastAsia="Times New Roman" w:hAnsiTheme="minorHAnsi"/>
                <w:iCs/>
                <w:sz w:val="18"/>
                <w:szCs w:val="18"/>
              </w:rPr>
              <w:t xml:space="preserve">and monthly staff meetings </w:t>
            </w:r>
            <w:r w:rsidR="00E7797C" w:rsidRPr="000200D0">
              <w:rPr>
                <w:rFonts w:asciiTheme="minorHAnsi" w:eastAsia="Times New Roman" w:hAnsiTheme="minorHAnsi"/>
                <w:iCs/>
                <w:sz w:val="18"/>
                <w:szCs w:val="18"/>
              </w:rPr>
              <w:t xml:space="preserve">on </w:t>
            </w:r>
            <w:r w:rsidR="007021FF" w:rsidRPr="000200D0">
              <w:rPr>
                <w:rFonts w:asciiTheme="minorHAnsi" w:eastAsia="Times New Roman" w:hAnsiTheme="minorHAnsi"/>
                <w:iCs/>
                <w:sz w:val="18"/>
                <w:szCs w:val="18"/>
              </w:rPr>
              <w:t xml:space="preserve">relevant </w:t>
            </w:r>
            <w:r w:rsidR="00E7797C" w:rsidRPr="000200D0">
              <w:rPr>
                <w:rFonts w:asciiTheme="minorHAnsi" w:eastAsia="Times New Roman" w:hAnsiTheme="minorHAnsi"/>
                <w:iCs/>
                <w:sz w:val="18"/>
                <w:szCs w:val="18"/>
              </w:rPr>
              <w:t xml:space="preserve">subjects </w:t>
            </w:r>
            <w:r w:rsidR="00055E8B" w:rsidRPr="000200D0">
              <w:rPr>
                <w:rFonts w:asciiTheme="minorHAnsi" w:eastAsia="Times New Roman" w:hAnsiTheme="minorHAnsi"/>
                <w:iCs/>
                <w:sz w:val="18"/>
                <w:szCs w:val="18"/>
              </w:rPr>
              <w:t>to</w:t>
            </w:r>
            <w:r w:rsidR="00E7797C" w:rsidRPr="000200D0">
              <w:rPr>
                <w:rFonts w:asciiTheme="minorHAnsi" w:eastAsia="Times New Roman" w:hAnsiTheme="minorHAnsi"/>
                <w:iCs/>
                <w:sz w:val="18"/>
                <w:szCs w:val="18"/>
              </w:rPr>
              <w:t xml:space="preserve"> help enrich staff’s knowledge and </w:t>
            </w:r>
            <w:r w:rsidR="00055E8B" w:rsidRPr="000200D0">
              <w:rPr>
                <w:rFonts w:asciiTheme="minorHAnsi" w:eastAsia="Times New Roman" w:hAnsiTheme="minorHAnsi"/>
                <w:iCs/>
                <w:sz w:val="18"/>
                <w:szCs w:val="18"/>
              </w:rPr>
              <w:t xml:space="preserve">enhance </w:t>
            </w:r>
            <w:r w:rsidR="00E7797C" w:rsidRPr="000200D0">
              <w:rPr>
                <w:rFonts w:asciiTheme="minorHAnsi" w:eastAsia="Times New Roman" w:hAnsiTheme="minorHAnsi"/>
                <w:iCs/>
                <w:sz w:val="18"/>
                <w:szCs w:val="18"/>
              </w:rPr>
              <w:t xml:space="preserve">their </w:t>
            </w:r>
            <w:r w:rsidR="007021FF" w:rsidRPr="000200D0">
              <w:rPr>
                <w:rFonts w:asciiTheme="minorHAnsi" w:eastAsia="Times New Roman" w:hAnsiTheme="minorHAnsi"/>
                <w:iCs/>
                <w:sz w:val="18"/>
                <w:szCs w:val="18"/>
              </w:rPr>
              <w:t>understanding regarding the role of aid management in the Embassy and bilateral relationship more broadly.</w:t>
            </w:r>
          </w:p>
        </w:tc>
      </w:tr>
    </w:tbl>
    <w:p w:rsidR="00400B0F" w:rsidRPr="00880004" w:rsidRDefault="00400B0F" w:rsidP="000D2CA9">
      <w:pPr>
        <w:keepLines/>
        <w:spacing w:before="20" w:after="20" w:line="180" w:lineRule="atLeast"/>
        <w:jc w:val="both"/>
        <w:rPr>
          <w:rFonts w:eastAsia="Times New Roman"/>
          <w:b/>
          <w:sz w:val="16"/>
          <w:szCs w:val="14"/>
        </w:rPr>
      </w:pPr>
      <w:r w:rsidRPr="00880004">
        <w:rPr>
          <w:rFonts w:eastAsia="Times New Roman"/>
          <w:b/>
          <w:sz w:val="16"/>
          <w:szCs w:val="14"/>
        </w:rPr>
        <w:t xml:space="preserve">Note: </w:t>
      </w:r>
    </w:p>
    <w:p w:rsidR="00400B0F" w:rsidRPr="00880004" w:rsidRDefault="00400B0F" w:rsidP="000D2CA9">
      <w:pPr>
        <w:keepLines/>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in addressing the issue </w:t>
      </w:r>
    </w:p>
    <w:p w:rsidR="00400B0F" w:rsidRPr="00880004" w:rsidRDefault="00400B0F" w:rsidP="000D2CA9">
      <w:pPr>
        <w:keepLines/>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in addressing the issue, but the issue has not been resolved </w:t>
      </w:r>
    </w:p>
    <w:p w:rsidR="00400B0F" w:rsidRPr="00880004" w:rsidRDefault="00400B0F" w:rsidP="000D2CA9">
      <w:pPr>
        <w:keepLines/>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rsidR="00DC0204" w:rsidRDefault="00DC0204">
      <w:pPr>
        <w:suppressAutoHyphens w:val="0"/>
        <w:spacing w:before="0" w:after="120" w:line="440" w:lineRule="atLeast"/>
        <w:rPr>
          <w:rFonts w:ascii="Franklin Gothic Book" w:eastAsia="Times New Roman" w:hAnsi="Franklin Gothic Book"/>
          <w:sz w:val="21"/>
        </w:rPr>
      </w:pPr>
      <w:r>
        <w:rPr>
          <w:rFonts w:ascii="Franklin Gothic Book" w:eastAsia="Times New Roman" w:hAnsi="Franklin Gothic Book"/>
          <w:sz w:val="21"/>
        </w:rPr>
        <w:br w:type="page"/>
      </w:r>
    </w:p>
    <w:p w:rsidR="00033AB7" w:rsidRDefault="00400B0F" w:rsidP="00400B0F">
      <w:pPr>
        <w:pStyle w:val="Subtitle"/>
        <w:numPr>
          <w:ilvl w:val="0"/>
          <w:numId w:val="0"/>
        </w:numPr>
      </w:pPr>
      <w:r w:rsidRPr="00400B0F">
        <w:lastRenderedPageBreak/>
        <w:t xml:space="preserve">Annex B </w:t>
      </w:r>
      <w:r w:rsidR="00033AB7">
        <w:t>–</w:t>
      </w:r>
      <w:r w:rsidRPr="00400B0F">
        <w:t xml:space="preserve"> </w:t>
      </w:r>
      <w:r w:rsidR="00033AB7">
        <w:t>PERFORMANCE BENCHMARKS</w:t>
      </w:r>
    </w:p>
    <w:p w:rsidR="00320251" w:rsidRPr="00320251" w:rsidRDefault="00320251" w:rsidP="00CE5DF0">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w:t>
      </w:r>
      <w:r w:rsidR="002D37BC">
        <w:rPr>
          <w:rFonts w:ascii="Franklin Gothic Book" w:eastAsia="Times New Roman" w:hAnsi="Franklin Gothic Book"/>
          <w:b/>
          <w:sz w:val="24"/>
          <w:szCs w:val="24"/>
        </w:rPr>
        <w:t>7</w:t>
      </w:r>
      <w:r w:rsidRPr="00320251">
        <w:rPr>
          <w:rFonts w:ascii="Franklin Gothic Book" w:eastAsia="Times New Roman" w:hAnsi="Franklin Gothic Book"/>
          <w:b/>
          <w:sz w:val="24"/>
          <w:szCs w:val="24"/>
        </w:rPr>
        <w:t>-1</w:t>
      </w:r>
      <w:r w:rsidR="002D37BC">
        <w:rPr>
          <w:rFonts w:ascii="Franklin Gothic Book" w:eastAsia="Times New Roman" w:hAnsi="Franklin Gothic Book"/>
          <w:b/>
          <w:sz w:val="24"/>
          <w:szCs w:val="24"/>
        </w:rPr>
        <w:t>8</w:t>
      </w:r>
    </w:p>
    <w:p w:rsidR="00CE5DF0" w:rsidRPr="00165AA2" w:rsidRDefault="00165AA2" w:rsidP="00CE5DF0">
      <w:pPr>
        <w:rPr>
          <w:rFonts w:ascii="Franklin Gothic Book" w:eastAsia="Times New Roman" w:hAnsi="Franklin Gothic Book"/>
          <w:sz w:val="21"/>
        </w:rPr>
      </w:pPr>
      <w:r w:rsidRPr="00165AA2">
        <w:rPr>
          <w:rFonts w:ascii="Franklin Gothic Book" w:eastAsia="Times New Roman" w:hAnsi="Franklin Gothic Book"/>
          <w:sz w:val="21"/>
        </w:rPr>
        <w:t xml:space="preserve">Annex B reflects progress against the interim </w:t>
      </w:r>
      <w:r w:rsidR="00DA6794">
        <w:rPr>
          <w:rFonts w:ascii="Franklin Gothic Book" w:eastAsia="Times New Roman" w:hAnsi="Franklin Gothic Book"/>
          <w:sz w:val="21"/>
        </w:rPr>
        <w:t>PAF</w:t>
      </w:r>
      <w:r w:rsidRPr="00165AA2">
        <w:rPr>
          <w:rFonts w:ascii="Franklin Gothic Book" w:eastAsia="Times New Roman" w:hAnsi="Franklin Gothic Book"/>
          <w:sz w:val="21"/>
        </w:rPr>
        <w:t xml:space="preserve"> provided in the </w:t>
      </w:r>
      <w:r w:rsidR="008D4FB4">
        <w:rPr>
          <w:rFonts w:ascii="Franklin Gothic Book" w:eastAsia="Times New Roman" w:hAnsi="Franklin Gothic Book"/>
          <w:sz w:val="21"/>
        </w:rPr>
        <w:t>AIP</w:t>
      </w:r>
      <w:r w:rsidRPr="00165AA2">
        <w:rPr>
          <w:rFonts w:ascii="Franklin Gothic Book" w:eastAsia="Times New Roman" w:hAnsi="Franklin Gothic Book"/>
          <w:sz w:val="21"/>
        </w:rPr>
        <w:t xml:space="preserve">. </w:t>
      </w:r>
    </w:p>
    <w:tbl>
      <w:tblPr>
        <w:tblStyle w:val="DFATTable"/>
        <w:tblW w:w="5000" w:type="pct"/>
        <w:tblLook w:val="04A0" w:firstRow="1" w:lastRow="0" w:firstColumn="1" w:lastColumn="0" w:noHBand="0" w:noVBand="1"/>
      </w:tblPr>
      <w:tblGrid>
        <w:gridCol w:w="2018"/>
        <w:gridCol w:w="2018"/>
        <w:gridCol w:w="2899"/>
        <w:gridCol w:w="1277"/>
        <w:gridCol w:w="5941"/>
      </w:tblGrid>
      <w:tr w:rsidR="000C5481" w:rsidRPr="00A3623F" w:rsidTr="001F3C28">
        <w:trPr>
          <w:tblHeader/>
        </w:trPr>
        <w:tc>
          <w:tcPr>
            <w:tcW w:w="713" w:type="pct"/>
            <w:tcMar>
              <w:top w:w="57" w:type="dxa"/>
              <w:bottom w:w="57" w:type="dxa"/>
            </w:tcMar>
          </w:tcPr>
          <w:p w:rsidR="001F3C28" w:rsidRPr="000200D0" w:rsidRDefault="001F3C28" w:rsidP="006F27B1">
            <w:pPr>
              <w:keepLines/>
              <w:spacing w:before="80" w:after="80" w:line="200" w:lineRule="atLeast"/>
              <w:rPr>
                <w:rFonts w:asciiTheme="minorHAnsi" w:eastAsia="Times New Roman" w:hAnsiTheme="minorHAnsi"/>
                <w:b/>
                <w:iCs/>
                <w:color w:val="36424B" w:themeColor="text2" w:themeShade="BF"/>
                <w:sz w:val="18"/>
                <w:szCs w:val="18"/>
                <w:lang w:eastAsia="en-US"/>
              </w:rPr>
            </w:pPr>
            <w:r w:rsidRPr="000200D0">
              <w:rPr>
                <w:rFonts w:asciiTheme="minorHAnsi" w:eastAsia="Times New Roman" w:hAnsiTheme="minorHAnsi"/>
                <w:b/>
                <w:iCs/>
                <w:color w:val="36424B" w:themeColor="text2" w:themeShade="BF"/>
                <w:sz w:val="18"/>
                <w:szCs w:val="18"/>
              </w:rPr>
              <w:t>Aid objective</w:t>
            </w:r>
          </w:p>
        </w:tc>
        <w:tc>
          <w:tcPr>
            <w:tcW w:w="713" w:type="pct"/>
          </w:tcPr>
          <w:p w:rsidR="001F3C28" w:rsidRPr="000200D0" w:rsidRDefault="00F770AB" w:rsidP="00320251">
            <w:pPr>
              <w:keepLines/>
              <w:spacing w:before="80" w:after="80" w:line="200" w:lineRule="atLeast"/>
              <w:rPr>
                <w:rFonts w:asciiTheme="minorHAnsi" w:eastAsia="Times New Roman" w:hAnsiTheme="minorHAnsi"/>
                <w:b/>
                <w:iCs/>
                <w:color w:val="36424B" w:themeColor="text2" w:themeShade="BF"/>
                <w:sz w:val="18"/>
                <w:szCs w:val="18"/>
                <w:lang w:eastAsia="en-US"/>
              </w:rPr>
            </w:pPr>
            <w:r w:rsidRPr="000200D0">
              <w:rPr>
                <w:rFonts w:asciiTheme="minorHAnsi" w:eastAsia="Times New Roman" w:hAnsiTheme="minorHAnsi"/>
                <w:b/>
                <w:iCs/>
                <w:color w:val="36424B" w:themeColor="text2" w:themeShade="BF"/>
                <w:sz w:val="18"/>
                <w:szCs w:val="18"/>
              </w:rPr>
              <w:t xml:space="preserve">Overall benchmark </w:t>
            </w:r>
            <w:r w:rsidR="001F3C28" w:rsidRPr="000200D0">
              <w:rPr>
                <w:rFonts w:asciiTheme="minorHAnsi" w:eastAsia="Times New Roman" w:hAnsiTheme="minorHAnsi"/>
                <w:b/>
                <w:iCs/>
                <w:color w:val="36424B" w:themeColor="text2" w:themeShade="BF"/>
                <w:sz w:val="18"/>
                <w:szCs w:val="18"/>
              </w:rPr>
              <w:t xml:space="preserve">  </w:t>
            </w:r>
          </w:p>
        </w:tc>
        <w:tc>
          <w:tcPr>
            <w:tcW w:w="1024" w:type="pct"/>
            <w:shd w:val="clear" w:color="auto" w:fill="auto"/>
          </w:tcPr>
          <w:p w:rsidR="001F3C28" w:rsidRPr="000200D0" w:rsidRDefault="001F3C28" w:rsidP="009E7BB8">
            <w:pPr>
              <w:keepLines/>
              <w:spacing w:before="80" w:after="80" w:line="200" w:lineRule="atLeast"/>
              <w:jc w:val="center"/>
              <w:rPr>
                <w:rFonts w:asciiTheme="minorHAnsi" w:eastAsia="Times New Roman" w:hAnsiTheme="minorHAnsi"/>
                <w:b/>
                <w:iCs/>
                <w:color w:val="36424B" w:themeColor="text2" w:themeShade="BF"/>
                <w:sz w:val="18"/>
                <w:szCs w:val="18"/>
              </w:rPr>
            </w:pPr>
            <w:r w:rsidRPr="000200D0">
              <w:rPr>
                <w:rFonts w:asciiTheme="minorHAnsi" w:eastAsia="Times New Roman" w:hAnsiTheme="minorHAnsi"/>
                <w:b/>
                <w:iCs/>
                <w:color w:val="36424B" w:themeColor="text2" w:themeShade="BF"/>
                <w:sz w:val="18"/>
                <w:szCs w:val="18"/>
              </w:rPr>
              <w:t xml:space="preserve">2017-18 benchmark </w:t>
            </w:r>
          </w:p>
        </w:tc>
        <w:tc>
          <w:tcPr>
            <w:tcW w:w="451" w:type="pct"/>
          </w:tcPr>
          <w:p w:rsidR="001F3C28" w:rsidRPr="000200D0" w:rsidRDefault="001F3C28" w:rsidP="009E7BB8">
            <w:pPr>
              <w:keepLines/>
              <w:spacing w:before="80" w:after="80" w:line="200" w:lineRule="atLeast"/>
              <w:jc w:val="center"/>
              <w:rPr>
                <w:rFonts w:asciiTheme="minorHAnsi" w:eastAsia="Times New Roman" w:hAnsiTheme="minorHAnsi"/>
                <w:b/>
                <w:iCs/>
                <w:color w:val="36424B" w:themeColor="text2" w:themeShade="BF"/>
                <w:sz w:val="18"/>
                <w:szCs w:val="18"/>
                <w:lang w:eastAsia="en-US"/>
              </w:rPr>
            </w:pPr>
            <w:r w:rsidRPr="000200D0">
              <w:rPr>
                <w:rFonts w:asciiTheme="minorHAnsi" w:eastAsia="Times New Roman" w:hAnsiTheme="minorHAnsi"/>
                <w:b/>
                <w:iCs/>
                <w:color w:val="36424B" w:themeColor="text2" w:themeShade="BF"/>
                <w:sz w:val="18"/>
                <w:szCs w:val="18"/>
              </w:rPr>
              <w:t>Rating</w:t>
            </w:r>
          </w:p>
        </w:tc>
        <w:tc>
          <w:tcPr>
            <w:tcW w:w="2099" w:type="pct"/>
          </w:tcPr>
          <w:p w:rsidR="001F3C28" w:rsidRPr="000200D0" w:rsidRDefault="001F3C28" w:rsidP="002D37BC">
            <w:pPr>
              <w:keepLines/>
              <w:spacing w:before="80" w:after="80" w:line="200" w:lineRule="atLeast"/>
              <w:jc w:val="center"/>
              <w:rPr>
                <w:rFonts w:asciiTheme="minorHAnsi" w:eastAsia="Times New Roman" w:hAnsiTheme="minorHAnsi"/>
                <w:b/>
                <w:iCs/>
                <w:color w:val="36424B" w:themeColor="text2" w:themeShade="BF"/>
                <w:sz w:val="18"/>
                <w:szCs w:val="18"/>
                <w:lang w:eastAsia="en-US"/>
              </w:rPr>
            </w:pPr>
            <w:r w:rsidRPr="000200D0">
              <w:rPr>
                <w:rFonts w:asciiTheme="minorHAnsi" w:eastAsia="Times New Roman" w:hAnsiTheme="minorHAnsi"/>
                <w:b/>
                <w:iCs/>
                <w:color w:val="36424B" w:themeColor="text2" w:themeShade="BF"/>
                <w:sz w:val="18"/>
                <w:szCs w:val="18"/>
              </w:rPr>
              <w:t>Progress in 2017-18</w:t>
            </w:r>
          </w:p>
        </w:tc>
      </w:tr>
      <w:tr w:rsidR="000C5481" w:rsidRPr="00A3623F" w:rsidTr="000C6C4F">
        <w:tc>
          <w:tcPr>
            <w:tcW w:w="713" w:type="pct"/>
            <w:tcMar>
              <w:top w:w="57" w:type="dxa"/>
              <w:bottom w:w="57" w:type="dxa"/>
            </w:tcMar>
          </w:tcPr>
          <w:p w:rsidR="001F3C28" w:rsidRPr="000200D0" w:rsidRDefault="001F3C28" w:rsidP="001F3C28">
            <w:pPr>
              <w:keepLines/>
              <w:spacing w:before="40" w:after="40" w:line="200" w:lineRule="atLeast"/>
              <w:rPr>
                <w:rFonts w:asciiTheme="minorHAnsi" w:eastAsia="Times New Roman" w:hAnsiTheme="minorHAnsi"/>
                <w:iCs/>
                <w:color w:val="36424B" w:themeColor="text2" w:themeShade="BF"/>
                <w:sz w:val="18"/>
                <w:szCs w:val="18"/>
                <w:lang w:eastAsia="en-US"/>
              </w:rPr>
            </w:pPr>
            <w:r w:rsidRPr="000200D0">
              <w:rPr>
                <w:rFonts w:asciiTheme="minorHAnsi" w:hAnsiTheme="minorHAnsi"/>
                <w:color w:val="36424B" w:themeColor="text2" w:themeShade="BF"/>
                <w:sz w:val="18"/>
                <w:szCs w:val="18"/>
              </w:rPr>
              <w:t>Objective 1: Enabling and engaging the private sector for development</w:t>
            </w:r>
          </w:p>
        </w:tc>
        <w:tc>
          <w:tcPr>
            <w:tcW w:w="713" w:type="pct"/>
          </w:tcPr>
          <w:p w:rsidR="001F3C28" w:rsidRPr="000200D0" w:rsidRDefault="001F3C28" w:rsidP="001F3C28">
            <w:pPr>
              <w:keepLines/>
              <w:spacing w:before="40" w:after="40" w:line="200" w:lineRule="atLeast"/>
              <w:rPr>
                <w:rFonts w:asciiTheme="minorHAnsi" w:eastAsia="Times New Roman" w:hAnsiTheme="minorHAnsi"/>
                <w:iCs/>
                <w:color w:val="36424B" w:themeColor="text2" w:themeShade="BF"/>
                <w:sz w:val="18"/>
                <w:szCs w:val="18"/>
                <w:lang w:eastAsia="en-US"/>
              </w:rPr>
            </w:pPr>
            <w:r w:rsidRPr="000200D0">
              <w:rPr>
                <w:rFonts w:asciiTheme="minorHAnsi" w:eastAsia="Times New Roman" w:hAnsiTheme="minorHAnsi"/>
                <w:iCs/>
                <w:color w:val="36424B" w:themeColor="text2" w:themeShade="BF"/>
                <w:sz w:val="18"/>
                <w:szCs w:val="18"/>
              </w:rPr>
              <w:t>1.1 Value-for-money transport infrastructure demonstrated and enabled</w:t>
            </w:r>
          </w:p>
        </w:tc>
        <w:tc>
          <w:tcPr>
            <w:tcW w:w="1024" w:type="pct"/>
            <w:shd w:val="clear" w:color="auto" w:fill="auto"/>
          </w:tcPr>
          <w:p w:rsidR="001F3C28" w:rsidRPr="000200D0" w:rsidRDefault="001F3C28" w:rsidP="001F3C28">
            <w:pPr>
              <w:keepLines/>
              <w:spacing w:before="40" w:after="40" w:line="200" w:lineRule="atLeast"/>
              <w:rPr>
                <w:rFonts w:asciiTheme="minorHAnsi" w:eastAsia="Times New Roman" w:hAnsiTheme="minorHAnsi"/>
                <w:iCs/>
                <w:color w:val="36424B" w:themeColor="text2" w:themeShade="BF"/>
                <w:sz w:val="18"/>
                <w:szCs w:val="18"/>
              </w:rPr>
            </w:pPr>
            <w:r w:rsidRPr="000200D0">
              <w:rPr>
                <w:rFonts w:asciiTheme="minorHAnsi" w:hAnsiTheme="minorHAnsi"/>
                <w:color w:val="36424B" w:themeColor="text2" w:themeShade="BF"/>
                <w:sz w:val="18"/>
                <w:szCs w:val="18"/>
              </w:rPr>
              <w:t xml:space="preserve">100 per cent of Cao </w:t>
            </w:r>
            <w:proofErr w:type="spellStart"/>
            <w:r w:rsidRPr="000200D0">
              <w:rPr>
                <w:rFonts w:asciiTheme="minorHAnsi" w:hAnsiTheme="minorHAnsi"/>
                <w:color w:val="36424B" w:themeColor="text2" w:themeShade="BF"/>
                <w:sz w:val="18"/>
                <w:szCs w:val="18"/>
              </w:rPr>
              <w:t>Lanh</w:t>
            </w:r>
            <w:proofErr w:type="spellEnd"/>
            <w:r w:rsidRPr="000200D0">
              <w:rPr>
                <w:rFonts w:asciiTheme="minorHAnsi" w:hAnsiTheme="minorHAnsi"/>
                <w:color w:val="36424B" w:themeColor="text2" w:themeShade="BF"/>
                <w:sz w:val="18"/>
                <w:szCs w:val="18"/>
              </w:rPr>
              <w:t xml:space="preserve"> Bridge construction complete; 170,000 daily users</w:t>
            </w:r>
          </w:p>
        </w:tc>
        <w:tc>
          <w:tcPr>
            <w:tcW w:w="451" w:type="pct"/>
            <w:shd w:val="clear" w:color="auto" w:fill="7FB64D" w:themeFill="accent3" w:themeFillShade="BF"/>
          </w:tcPr>
          <w:p w:rsidR="001F3C28" w:rsidRPr="000200D0" w:rsidRDefault="001F3C28" w:rsidP="001F3C28">
            <w:pPr>
              <w:keepLines/>
              <w:spacing w:before="40" w:after="40" w:line="200" w:lineRule="atLeast"/>
              <w:jc w:val="center"/>
              <w:rPr>
                <w:rFonts w:asciiTheme="minorHAnsi" w:eastAsia="Times New Roman" w:hAnsiTheme="minorHAnsi"/>
                <w:iCs/>
                <w:color w:val="36424B" w:themeColor="text2" w:themeShade="BF"/>
                <w:sz w:val="18"/>
                <w:szCs w:val="18"/>
                <w:lang w:eastAsia="en-US"/>
              </w:rPr>
            </w:pPr>
            <w:r w:rsidRPr="000200D0">
              <w:rPr>
                <w:rFonts w:asciiTheme="minorHAnsi" w:eastAsia="Times New Roman" w:hAnsiTheme="minorHAnsi"/>
                <w:iCs/>
                <w:color w:val="36424B" w:themeColor="text2" w:themeShade="BF"/>
                <w:sz w:val="18"/>
                <w:szCs w:val="18"/>
              </w:rPr>
              <w:t>Achieved</w:t>
            </w:r>
          </w:p>
        </w:tc>
        <w:tc>
          <w:tcPr>
            <w:tcW w:w="2099" w:type="pct"/>
          </w:tcPr>
          <w:p w:rsidR="001F3C28" w:rsidRPr="000200D0" w:rsidRDefault="000C6C4F" w:rsidP="000C6C4F">
            <w:pPr>
              <w:keepLines/>
              <w:spacing w:before="40" w:after="40" w:line="200" w:lineRule="atLeast"/>
              <w:rPr>
                <w:rFonts w:asciiTheme="minorHAnsi" w:eastAsia="Times New Roman" w:hAnsiTheme="minorHAnsi"/>
                <w:iCs/>
                <w:color w:val="36424B" w:themeColor="text2" w:themeShade="BF"/>
                <w:sz w:val="18"/>
                <w:szCs w:val="18"/>
                <w:lang w:eastAsia="en-US"/>
              </w:rPr>
            </w:pPr>
            <w:r w:rsidRPr="000200D0">
              <w:rPr>
                <w:rFonts w:asciiTheme="minorHAnsi" w:eastAsia="Times New Roman" w:hAnsiTheme="minorHAnsi"/>
                <w:iCs/>
                <w:color w:val="36424B" w:themeColor="text2" w:themeShade="BF"/>
                <w:sz w:val="18"/>
                <w:szCs w:val="18"/>
              </w:rPr>
              <w:t xml:space="preserve">Construction of the Cao </w:t>
            </w:r>
            <w:proofErr w:type="spellStart"/>
            <w:r w:rsidRPr="000200D0">
              <w:rPr>
                <w:rFonts w:asciiTheme="minorHAnsi" w:eastAsia="Times New Roman" w:hAnsiTheme="minorHAnsi"/>
                <w:iCs/>
                <w:color w:val="36424B" w:themeColor="text2" w:themeShade="BF"/>
                <w:sz w:val="18"/>
                <w:szCs w:val="18"/>
              </w:rPr>
              <w:t>Lanh</w:t>
            </w:r>
            <w:proofErr w:type="spellEnd"/>
            <w:r w:rsidRPr="000200D0">
              <w:rPr>
                <w:rFonts w:asciiTheme="minorHAnsi" w:eastAsia="Times New Roman" w:hAnsiTheme="minorHAnsi"/>
                <w:iCs/>
                <w:color w:val="36424B" w:themeColor="text2" w:themeShade="BF"/>
                <w:sz w:val="18"/>
                <w:szCs w:val="18"/>
              </w:rPr>
              <w:t xml:space="preserve"> </w:t>
            </w:r>
            <w:r w:rsidR="0060222C" w:rsidRPr="000200D0">
              <w:rPr>
                <w:rFonts w:asciiTheme="minorHAnsi" w:eastAsia="Times New Roman" w:hAnsiTheme="minorHAnsi"/>
                <w:iCs/>
                <w:color w:val="36424B" w:themeColor="text2" w:themeShade="BF"/>
                <w:sz w:val="18"/>
                <w:szCs w:val="18"/>
              </w:rPr>
              <w:t>B</w:t>
            </w:r>
            <w:r w:rsidRPr="000200D0">
              <w:rPr>
                <w:rFonts w:asciiTheme="minorHAnsi" w:eastAsia="Times New Roman" w:hAnsiTheme="minorHAnsi"/>
                <w:iCs/>
                <w:color w:val="36424B" w:themeColor="text2" w:themeShade="BF"/>
                <w:sz w:val="18"/>
                <w:szCs w:val="18"/>
              </w:rPr>
              <w:t xml:space="preserve">ridge completed with an official launch in May 2018.  </w:t>
            </w:r>
          </w:p>
        </w:tc>
      </w:tr>
      <w:tr w:rsidR="000C5481" w:rsidRPr="00A3623F" w:rsidTr="000C6C4F">
        <w:tc>
          <w:tcPr>
            <w:tcW w:w="713" w:type="pct"/>
            <w:tcMar>
              <w:top w:w="57" w:type="dxa"/>
              <w:bottom w:w="57" w:type="dxa"/>
            </w:tcMar>
          </w:tcPr>
          <w:p w:rsidR="001F3C28" w:rsidRPr="000200D0" w:rsidRDefault="001F3C28" w:rsidP="001F3C28">
            <w:pPr>
              <w:keepLines/>
              <w:spacing w:before="40" w:after="40" w:line="200" w:lineRule="atLeast"/>
              <w:rPr>
                <w:rFonts w:asciiTheme="minorHAnsi" w:eastAsia="Times New Roman" w:hAnsiTheme="minorHAnsi"/>
                <w:iCs/>
                <w:color w:val="36424B" w:themeColor="text2" w:themeShade="BF"/>
                <w:sz w:val="18"/>
                <w:szCs w:val="18"/>
                <w:lang w:eastAsia="en-US"/>
              </w:rPr>
            </w:pPr>
          </w:p>
        </w:tc>
        <w:tc>
          <w:tcPr>
            <w:tcW w:w="713" w:type="pct"/>
          </w:tcPr>
          <w:p w:rsidR="001F3C28" w:rsidRPr="000200D0" w:rsidRDefault="001F3C28" w:rsidP="001F3C28">
            <w:pPr>
              <w:keepLines/>
              <w:spacing w:before="40" w:after="40" w:line="200" w:lineRule="atLeast"/>
              <w:rPr>
                <w:rFonts w:asciiTheme="minorHAnsi" w:eastAsia="Times New Roman" w:hAnsiTheme="minorHAnsi"/>
                <w:iCs/>
                <w:color w:val="36424B" w:themeColor="text2" w:themeShade="BF"/>
                <w:sz w:val="18"/>
                <w:szCs w:val="18"/>
                <w:lang w:eastAsia="en-US"/>
              </w:rPr>
            </w:pPr>
            <w:r w:rsidRPr="000200D0">
              <w:rPr>
                <w:rFonts w:asciiTheme="minorHAnsi" w:eastAsia="Times New Roman" w:hAnsiTheme="minorHAnsi"/>
                <w:iCs/>
                <w:color w:val="36424B" w:themeColor="text2" w:themeShade="BF"/>
                <w:sz w:val="18"/>
                <w:szCs w:val="18"/>
              </w:rPr>
              <w:t xml:space="preserve">1.2 </w:t>
            </w:r>
            <w:r w:rsidR="00A0348A" w:rsidRPr="000200D0">
              <w:rPr>
                <w:rFonts w:asciiTheme="minorHAnsi" w:hAnsiTheme="minorHAnsi"/>
                <w:color w:val="36424B" w:themeColor="text2" w:themeShade="BF"/>
                <w:sz w:val="18"/>
                <w:szCs w:val="18"/>
              </w:rPr>
              <w:t>Number of beneficiaries with access to new or improved climate smart products or services</w:t>
            </w:r>
          </w:p>
        </w:tc>
        <w:tc>
          <w:tcPr>
            <w:tcW w:w="1024" w:type="pct"/>
            <w:shd w:val="clear" w:color="auto" w:fill="auto"/>
          </w:tcPr>
          <w:p w:rsidR="001F3C28" w:rsidRPr="000200D0" w:rsidRDefault="00A0348A" w:rsidP="0094781D">
            <w:pPr>
              <w:keepLines/>
              <w:spacing w:before="40" w:after="40" w:line="200" w:lineRule="atLeast"/>
              <w:rPr>
                <w:rFonts w:asciiTheme="minorHAnsi" w:eastAsia="Times New Roman" w:hAnsiTheme="minorHAnsi"/>
                <w:iCs/>
                <w:color w:val="36424B" w:themeColor="text2" w:themeShade="BF"/>
                <w:sz w:val="18"/>
                <w:szCs w:val="18"/>
              </w:rPr>
            </w:pPr>
            <w:r w:rsidRPr="000200D0">
              <w:rPr>
                <w:rFonts w:asciiTheme="minorHAnsi" w:eastAsia="Times New Roman" w:hAnsiTheme="minorHAnsi"/>
                <w:iCs/>
                <w:color w:val="36424B" w:themeColor="text2" w:themeShade="BF"/>
                <w:sz w:val="18"/>
                <w:szCs w:val="18"/>
              </w:rPr>
              <w:t xml:space="preserve">1260 beneficiaries </w:t>
            </w:r>
          </w:p>
        </w:tc>
        <w:tc>
          <w:tcPr>
            <w:tcW w:w="451" w:type="pct"/>
            <w:shd w:val="clear" w:color="auto" w:fill="7FB64D" w:themeFill="accent3" w:themeFillShade="BF"/>
          </w:tcPr>
          <w:p w:rsidR="001F3C28" w:rsidRPr="000200D0" w:rsidRDefault="000C6C4F" w:rsidP="001F3C28">
            <w:pPr>
              <w:keepLines/>
              <w:spacing w:before="40" w:after="40" w:line="200" w:lineRule="atLeast"/>
              <w:jc w:val="center"/>
              <w:rPr>
                <w:rFonts w:asciiTheme="minorHAnsi" w:eastAsia="Times New Roman" w:hAnsiTheme="minorHAnsi"/>
                <w:iCs/>
                <w:color w:val="36424B" w:themeColor="text2" w:themeShade="BF"/>
                <w:sz w:val="18"/>
                <w:szCs w:val="18"/>
                <w:lang w:eastAsia="en-US"/>
              </w:rPr>
            </w:pPr>
            <w:r w:rsidRPr="000200D0">
              <w:rPr>
                <w:rFonts w:asciiTheme="minorHAnsi" w:eastAsia="Times New Roman" w:hAnsiTheme="minorHAnsi"/>
                <w:iCs/>
                <w:color w:val="36424B" w:themeColor="text2" w:themeShade="BF"/>
                <w:sz w:val="18"/>
                <w:szCs w:val="18"/>
              </w:rPr>
              <w:t>A</w:t>
            </w:r>
            <w:r w:rsidR="001F3C28" w:rsidRPr="000200D0">
              <w:rPr>
                <w:rFonts w:asciiTheme="minorHAnsi" w:eastAsia="Times New Roman" w:hAnsiTheme="minorHAnsi"/>
                <w:iCs/>
                <w:color w:val="36424B" w:themeColor="text2" w:themeShade="BF"/>
                <w:sz w:val="18"/>
                <w:szCs w:val="18"/>
              </w:rPr>
              <w:t>chieved</w:t>
            </w:r>
          </w:p>
        </w:tc>
        <w:tc>
          <w:tcPr>
            <w:tcW w:w="2099" w:type="pct"/>
          </w:tcPr>
          <w:p w:rsidR="001F3C28" w:rsidRPr="000200D0" w:rsidRDefault="00082D8C">
            <w:pPr>
              <w:keepLines/>
              <w:spacing w:before="40" w:after="40" w:line="200" w:lineRule="atLeast"/>
              <w:rPr>
                <w:rFonts w:asciiTheme="minorHAnsi" w:eastAsia="Times New Roman" w:hAnsiTheme="minorHAnsi"/>
                <w:iCs/>
                <w:color w:val="36424B" w:themeColor="text2" w:themeShade="BF"/>
                <w:sz w:val="18"/>
                <w:szCs w:val="18"/>
                <w:lang w:eastAsia="en-US"/>
              </w:rPr>
            </w:pPr>
            <w:r w:rsidRPr="000200D0">
              <w:rPr>
                <w:rFonts w:asciiTheme="minorHAnsi" w:hAnsiTheme="minorHAnsi"/>
                <w:color w:val="36424B" w:themeColor="text2" w:themeShade="BF"/>
                <w:sz w:val="18"/>
                <w:szCs w:val="18"/>
              </w:rPr>
              <w:t xml:space="preserve">72,891 additional beneficiaries have access to new or improved climate smart produces or services supported by </w:t>
            </w:r>
            <w:r w:rsidRPr="000200D0">
              <w:rPr>
                <w:rFonts w:asciiTheme="minorHAnsi" w:hAnsiTheme="minorHAnsi"/>
                <w:i/>
                <w:color w:val="36424B" w:themeColor="text2" w:themeShade="BF"/>
                <w:sz w:val="18"/>
                <w:szCs w:val="18"/>
              </w:rPr>
              <w:t>VCIC</w:t>
            </w:r>
            <w:r w:rsidRPr="000200D0">
              <w:rPr>
                <w:rFonts w:asciiTheme="minorHAnsi" w:hAnsiTheme="minorHAnsi"/>
                <w:color w:val="36424B" w:themeColor="text2" w:themeShade="BF"/>
                <w:sz w:val="18"/>
                <w:szCs w:val="18"/>
              </w:rPr>
              <w:t xml:space="preserve">.  After two full years of implementation, </w:t>
            </w:r>
            <w:r w:rsidRPr="000200D0">
              <w:rPr>
                <w:rFonts w:asciiTheme="minorHAnsi" w:hAnsiTheme="minorHAnsi"/>
                <w:i/>
                <w:color w:val="36424B" w:themeColor="text2" w:themeShade="BF"/>
                <w:sz w:val="18"/>
                <w:szCs w:val="18"/>
              </w:rPr>
              <w:t>VCIC</w:t>
            </w:r>
            <w:r w:rsidRPr="000200D0">
              <w:rPr>
                <w:rFonts w:asciiTheme="minorHAnsi" w:hAnsiTheme="minorHAnsi"/>
                <w:color w:val="36424B" w:themeColor="text2" w:themeShade="BF"/>
                <w:sz w:val="18"/>
                <w:szCs w:val="18"/>
              </w:rPr>
              <w:t xml:space="preserve"> has assisted 38 SMEs in incubating and commercialising climate innovative technologies and solutions. Thirty-nine percent of these SMEs are women-led.</w:t>
            </w:r>
          </w:p>
        </w:tc>
      </w:tr>
      <w:tr w:rsidR="000C5481" w:rsidRPr="00A3623F" w:rsidTr="00082D8C">
        <w:tc>
          <w:tcPr>
            <w:tcW w:w="713" w:type="pct"/>
            <w:tcMar>
              <w:top w:w="57" w:type="dxa"/>
              <w:bottom w:w="57" w:type="dxa"/>
            </w:tcMar>
          </w:tcPr>
          <w:p w:rsidR="001F3C28" w:rsidRPr="000200D0" w:rsidRDefault="00A0348A" w:rsidP="001F3C28">
            <w:pPr>
              <w:keepLines/>
              <w:spacing w:before="40" w:after="40" w:line="200" w:lineRule="atLeast"/>
              <w:rPr>
                <w:rFonts w:asciiTheme="minorHAnsi" w:eastAsia="Times New Roman" w:hAnsiTheme="minorHAnsi"/>
                <w:iCs/>
                <w:color w:val="36424B" w:themeColor="text2" w:themeShade="BF"/>
                <w:sz w:val="18"/>
                <w:szCs w:val="18"/>
                <w:lang w:eastAsia="en-US"/>
              </w:rPr>
            </w:pPr>
            <w:r w:rsidRPr="000200D0">
              <w:rPr>
                <w:rFonts w:asciiTheme="minorHAnsi" w:hAnsiTheme="minorHAnsi"/>
                <w:color w:val="36424B" w:themeColor="text2" w:themeShade="BF"/>
                <w:sz w:val="18"/>
                <w:szCs w:val="18"/>
              </w:rPr>
              <w:t>Objective 2: Assisting the development and employment of a highly skilled workforce</w:t>
            </w:r>
          </w:p>
        </w:tc>
        <w:tc>
          <w:tcPr>
            <w:tcW w:w="713" w:type="pct"/>
          </w:tcPr>
          <w:p w:rsidR="001F3C28" w:rsidRPr="000200D0" w:rsidRDefault="00FF1EAB" w:rsidP="001F3C28">
            <w:pPr>
              <w:keepLines/>
              <w:spacing w:before="40" w:after="40" w:line="200" w:lineRule="atLeast"/>
              <w:rPr>
                <w:rFonts w:asciiTheme="minorHAnsi" w:eastAsia="Times New Roman" w:hAnsiTheme="minorHAnsi"/>
                <w:iCs/>
                <w:color w:val="36424B" w:themeColor="text2" w:themeShade="BF"/>
                <w:sz w:val="18"/>
                <w:szCs w:val="18"/>
                <w:lang w:eastAsia="en-US"/>
              </w:rPr>
            </w:pPr>
            <w:r w:rsidRPr="000200D0">
              <w:rPr>
                <w:rFonts w:asciiTheme="minorHAnsi" w:hAnsiTheme="minorHAnsi"/>
                <w:color w:val="36424B" w:themeColor="text2" w:themeShade="BF"/>
                <w:sz w:val="18"/>
                <w:szCs w:val="18"/>
              </w:rPr>
              <w:t xml:space="preserve">2.1 </w:t>
            </w:r>
            <w:r w:rsidR="00F770AB" w:rsidRPr="000200D0">
              <w:rPr>
                <w:rFonts w:asciiTheme="minorHAnsi" w:hAnsiTheme="minorHAnsi"/>
                <w:color w:val="36424B" w:themeColor="text2" w:themeShade="BF"/>
                <w:sz w:val="18"/>
                <w:szCs w:val="18"/>
              </w:rPr>
              <w:t>Percentage of program participants demonstrating positive contributions to priority areas</w:t>
            </w:r>
          </w:p>
        </w:tc>
        <w:tc>
          <w:tcPr>
            <w:tcW w:w="1024" w:type="pct"/>
            <w:shd w:val="clear" w:color="auto" w:fill="auto"/>
          </w:tcPr>
          <w:p w:rsidR="001F3C28" w:rsidRPr="000200D0" w:rsidRDefault="00F770AB" w:rsidP="001F3C28">
            <w:pPr>
              <w:keepLines/>
              <w:spacing w:before="40" w:after="40" w:line="200" w:lineRule="atLeast"/>
              <w:rPr>
                <w:rFonts w:asciiTheme="minorHAnsi" w:eastAsia="Times New Roman" w:hAnsiTheme="minorHAnsi"/>
                <w:iCs/>
                <w:color w:val="36424B" w:themeColor="text2" w:themeShade="BF"/>
                <w:sz w:val="18"/>
                <w:szCs w:val="18"/>
              </w:rPr>
            </w:pPr>
            <w:r w:rsidRPr="000200D0">
              <w:rPr>
                <w:rFonts w:asciiTheme="minorHAnsi" w:hAnsiTheme="minorHAnsi"/>
                <w:color w:val="36424B" w:themeColor="text2" w:themeShade="BF"/>
                <w:sz w:val="18"/>
                <w:szCs w:val="18"/>
              </w:rPr>
              <w:t>80 per cent of program participants demonstrating positive contributions to priority areas</w:t>
            </w:r>
          </w:p>
        </w:tc>
        <w:tc>
          <w:tcPr>
            <w:tcW w:w="451" w:type="pct"/>
            <w:shd w:val="clear" w:color="auto" w:fill="7FB64D" w:themeFill="accent3" w:themeFillShade="BF"/>
          </w:tcPr>
          <w:p w:rsidR="001F3C28" w:rsidRPr="000200D0" w:rsidRDefault="001F3C28" w:rsidP="00FF2155">
            <w:pPr>
              <w:keepLines/>
              <w:spacing w:before="40" w:after="40" w:line="200" w:lineRule="atLeast"/>
              <w:jc w:val="center"/>
              <w:rPr>
                <w:rFonts w:asciiTheme="minorHAnsi" w:eastAsia="Times New Roman" w:hAnsiTheme="minorHAnsi"/>
                <w:iCs/>
                <w:color w:val="36424B" w:themeColor="text2" w:themeShade="BF"/>
                <w:sz w:val="18"/>
                <w:szCs w:val="18"/>
                <w:lang w:eastAsia="en-US"/>
              </w:rPr>
            </w:pPr>
            <w:r w:rsidRPr="000200D0">
              <w:rPr>
                <w:rFonts w:asciiTheme="minorHAnsi" w:eastAsia="Times New Roman" w:hAnsiTheme="minorHAnsi"/>
                <w:iCs/>
                <w:color w:val="36424B" w:themeColor="text2" w:themeShade="BF"/>
                <w:sz w:val="18"/>
                <w:szCs w:val="18"/>
              </w:rPr>
              <w:t>Achieved</w:t>
            </w:r>
          </w:p>
        </w:tc>
        <w:tc>
          <w:tcPr>
            <w:tcW w:w="2099" w:type="pct"/>
            <w:shd w:val="clear" w:color="auto" w:fill="auto"/>
          </w:tcPr>
          <w:p w:rsidR="001F3C28" w:rsidRPr="000200D0" w:rsidRDefault="00082D8C" w:rsidP="000200D0">
            <w:pPr>
              <w:rPr>
                <w:rFonts w:asciiTheme="minorHAnsi" w:hAnsiTheme="minorHAnsi"/>
                <w:iCs/>
                <w:color w:val="36424B" w:themeColor="text2" w:themeShade="BF"/>
                <w:sz w:val="18"/>
                <w:szCs w:val="18"/>
                <w:lang w:eastAsia="en-US"/>
              </w:rPr>
            </w:pPr>
            <w:r w:rsidRPr="000200D0">
              <w:rPr>
                <w:rFonts w:asciiTheme="minorHAnsi" w:hAnsiTheme="minorHAnsi"/>
                <w:color w:val="36424B" w:themeColor="text2" w:themeShade="BF"/>
                <w:sz w:val="18"/>
                <w:szCs w:val="18"/>
              </w:rPr>
              <w:t xml:space="preserve">99 per cent of program participants are currently demonstrating positive contributions to priority areas. This is based on cumulative Alumni Development Impact Survey (ADIS) data to date including the latest round in early 2018 [= sample of 200 participants). </w:t>
            </w:r>
          </w:p>
        </w:tc>
      </w:tr>
      <w:tr w:rsidR="000C5481" w:rsidRPr="00A3623F" w:rsidTr="00FF2155">
        <w:tc>
          <w:tcPr>
            <w:tcW w:w="713" w:type="pct"/>
            <w:tcMar>
              <w:top w:w="57" w:type="dxa"/>
              <w:bottom w:w="57" w:type="dxa"/>
            </w:tcMar>
          </w:tcPr>
          <w:p w:rsidR="00A0348A" w:rsidRPr="000200D0" w:rsidRDefault="00A0348A" w:rsidP="001F3C28">
            <w:pPr>
              <w:keepLines/>
              <w:spacing w:before="40" w:after="40" w:line="200" w:lineRule="atLeast"/>
              <w:rPr>
                <w:rFonts w:asciiTheme="minorHAnsi" w:hAnsiTheme="minorHAnsi"/>
                <w:color w:val="36424B" w:themeColor="text2" w:themeShade="BF"/>
                <w:sz w:val="18"/>
                <w:szCs w:val="18"/>
              </w:rPr>
            </w:pPr>
          </w:p>
        </w:tc>
        <w:tc>
          <w:tcPr>
            <w:tcW w:w="713" w:type="pct"/>
            <w:shd w:val="clear" w:color="auto" w:fill="auto"/>
          </w:tcPr>
          <w:p w:rsidR="00A0348A" w:rsidRPr="000200D0" w:rsidRDefault="000C5481" w:rsidP="001F3C28">
            <w:pPr>
              <w:keepLines/>
              <w:spacing w:before="40" w:after="40" w:line="200" w:lineRule="atLeast"/>
              <w:rPr>
                <w:rFonts w:asciiTheme="minorHAnsi" w:eastAsia="Times New Roman" w:hAnsiTheme="minorHAnsi"/>
                <w:iCs/>
                <w:color w:val="36424B" w:themeColor="text2" w:themeShade="BF"/>
                <w:sz w:val="18"/>
                <w:szCs w:val="18"/>
              </w:rPr>
            </w:pPr>
            <w:r w:rsidRPr="000200D0">
              <w:rPr>
                <w:rFonts w:asciiTheme="minorHAnsi" w:hAnsiTheme="minorHAnsi"/>
                <w:color w:val="36424B" w:themeColor="text2" w:themeShade="BF"/>
                <w:sz w:val="18"/>
                <w:szCs w:val="18"/>
              </w:rPr>
              <w:t>2.2 Increase in number of improved skills utilisation practices implemented on an ongoing basis in targeted work units</w:t>
            </w:r>
          </w:p>
        </w:tc>
        <w:tc>
          <w:tcPr>
            <w:tcW w:w="1024" w:type="pct"/>
            <w:shd w:val="clear" w:color="auto" w:fill="auto"/>
          </w:tcPr>
          <w:p w:rsidR="00A0348A" w:rsidRPr="000200D0" w:rsidRDefault="000C6C4F" w:rsidP="001F3C28">
            <w:pPr>
              <w:keepLines/>
              <w:spacing w:before="40" w:after="40" w:line="200" w:lineRule="atLeast"/>
              <w:rPr>
                <w:rFonts w:asciiTheme="minorHAnsi" w:eastAsia="Times New Roman" w:hAnsiTheme="minorHAnsi"/>
                <w:iCs/>
                <w:color w:val="36424B" w:themeColor="text2" w:themeShade="BF"/>
                <w:sz w:val="18"/>
                <w:szCs w:val="18"/>
              </w:rPr>
            </w:pPr>
            <w:r w:rsidRPr="000200D0">
              <w:rPr>
                <w:rStyle w:val="Strong"/>
                <w:rFonts w:asciiTheme="minorHAnsi" w:hAnsiTheme="minorHAnsi"/>
                <w:b w:val="0"/>
                <w:color w:val="36424B" w:themeColor="text2" w:themeShade="BF"/>
                <w:sz w:val="18"/>
                <w:szCs w:val="18"/>
              </w:rPr>
              <w:t>Baseline established by Jun</w:t>
            </w:r>
            <w:r w:rsidR="00CE03D4" w:rsidRPr="000200D0">
              <w:rPr>
                <w:rStyle w:val="Strong"/>
                <w:rFonts w:asciiTheme="minorHAnsi" w:hAnsiTheme="minorHAnsi"/>
                <w:b w:val="0"/>
                <w:color w:val="36424B" w:themeColor="text2" w:themeShade="BF"/>
                <w:sz w:val="18"/>
                <w:szCs w:val="18"/>
              </w:rPr>
              <w:t>e</w:t>
            </w:r>
            <w:r w:rsidRPr="000200D0">
              <w:rPr>
                <w:rStyle w:val="Strong"/>
                <w:rFonts w:asciiTheme="minorHAnsi" w:hAnsiTheme="minorHAnsi"/>
                <w:b w:val="0"/>
                <w:color w:val="36424B" w:themeColor="text2" w:themeShade="BF"/>
                <w:sz w:val="18"/>
                <w:szCs w:val="18"/>
              </w:rPr>
              <w:t xml:space="preserve"> 2018</w:t>
            </w:r>
          </w:p>
        </w:tc>
        <w:tc>
          <w:tcPr>
            <w:tcW w:w="451" w:type="pct"/>
            <w:shd w:val="clear" w:color="auto" w:fill="7FB64D" w:themeFill="accent3" w:themeFillShade="BF"/>
          </w:tcPr>
          <w:p w:rsidR="00A0348A" w:rsidRPr="000200D0" w:rsidRDefault="00AB154C" w:rsidP="00FF2155">
            <w:pPr>
              <w:keepLines/>
              <w:spacing w:before="40" w:after="40" w:line="200" w:lineRule="atLeast"/>
              <w:jc w:val="center"/>
              <w:rPr>
                <w:rFonts w:asciiTheme="minorHAnsi" w:eastAsia="Times New Roman" w:hAnsiTheme="minorHAnsi"/>
                <w:iCs/>
                <w:color w:val="36424B" w:themeColor="text2" w:themeShade="BF"/>
                <w:sz w:val="18"/>
                <w:szCs w:val="18"/>
              </w:rPr>
            </w:pPr>
            <w:r w:rsidRPr="000200D0">
              <w:rPr>
                <w:rFonts w:asciiTheme="minorHAnsi" w:eastAsia="Times New Roman" w:hAnsiTheme="minorHAnsi"/>
                <w:iCs/>
                <w:color w:val="36424B" w:themeColor="text2" w:themeShade="BF"/>
                <w:sz w:val="18"/>
                <w:szCs w:val="18"/>
              </w:rPr>
              <w:t>Achieved</w:t>
            </w:r>
          </w:p>
        </w:tc>
        <w:tc>
          <w:tcPr>
            <w:tcW w:w="2099" w:type="pct"/>
          </w:tcPr>
          <w:p w:rsidR="00A0348A" w:rsidRPr="000200D0" w:rsidRDefault="00FF2155" w:rsidP="001F3C28">
            <w:pPr>
              <w:pStyle w:val="TableTextEntries"/>
              <w:keepNext/>
              <w:rPr>
                <w:rFonts w:asciiTheme="minorHAnsi" w:hAnsiTheme="minorHAnsi" w:cstheme="minorBidi"/>
                <w:color w:val="36424B" w:themeColor="text2" w:themeShade="BF"/>
                <w:sz w:val="18"/>
                <w:szCs w:val="18"/>
                <w:lang w:val="en-GB"/>
              </w:rPr>
            </w:pPr>
            <w:r w:rsidRPr="000200D0">
              <w:rPr>
                <w:rFonts w:asciiTheme="minorHAnsi" w:hAnsiTheme="minorHAnsi"/>
                <w:color w:val="36424B" w:themeColor="text2" w:themeShade="BF"/>
                <w:sz w:val="18"/>
                <w:szCs w:val="18"/>
              </w:rPr>
              <w:t>Organisational assessment of the selected work units was completed in June 2018, providing a baseline for the design and delivery of support to improve skill utilisation practices in the selected work units.</w:t>
            </w:r>
          </w:p>
        </w:tc>
      </w:tr>
    </w:tbl>
    <w:p w:rsidR="00105DE1" w:rsidRDefault="00105DE1">
      <w:r>
        <w:br w:type="page"/>
      </w:r>
    </w:p>
    <w:tbl>
      <w:tblPr>
        <w:tblStyle w:val="DFATTable"/>
        <w:tblW w:w="5000" w:type="pct"/>
        <w:tblLook w:val="04A0" w:firstRow="1" w:lastRow="0" w:firstColumn="1" w:lastColumn="0" w:noHBand="0" w:noVBand="1"/>
      </w:tblPr>
      <w:tblGrid>
        <w:gridCol w:w="2018"/>
        <w:gridCol w:w="2018"/>
        <w:gridCol w:w="2899"/>
        <w:gridCol w:w="1277"/>
        <w:gridCol w:w="5941"/>
      </w:tblGrid>
      <w:tr w:rsidR="00D1389B" w:rsidRPr="004C6C13" w:rsidTr="004C6C13">
        <w:trPr>
          <w:tblHeader/>
        </w:trPr>
        <w:tc>
          <w:tcPr>
            <w:tcW w:w="713" w:type="pct"/>
            <w:tcMar>
              <w:top w:w="57" w:type="dxa"/>
              <w:bottom w:w="57" w:type="dxa"/>
            </w:tcMar>
          </w:tcPr>
          <w:p w:rsidR="00D1389B" w:rsidRPr="004C6C13" w:rsidRDefault="00D1389B" w:rsidP="004C6C13">
            <w:pPr>
              <w:keepLines/>
              <w:spacing w:before="80" w:after="80" w:line="200" w:lineRule="atLeast"/>
              <w:rPr>
                <w:rFonts w:asciiTheme="minorHAnsi" w:eastAsia="Times New Roman" w:hAnsiTheme="minorHAnsi"/>
                <w:b/>
                <w:iCs/>
                <w:color w:val="36424B" w:themeColor="text2" w:themeShade="BF"/>
                <w:sz w:val="18"/>
                <w:szCs w:val="18"/>
                <w:lang w:eastAsia="en-US"/>
              </w:rPr>
            </w:pPr>
            <w:r w:rsidRPr="004C6C13">
              <w:rPr>
                <w:rFonts w:asciiTheme="minorHAnsi" w:eastAsia="Times New Roman" w:hAnsiTheme="minorHAnsi"/>
                <w:b/>
                <w:iCs/>
                <w:color w:val="36424B" w:themeColor="text2" w:themeShade="BF"/>
                <w:sz w:val="18"/>
                <w:szCs w:val="18"/>
              </w:rPr>
              <w:lastRenderedPageBreak/>
              <w:t>Aid objective</w:t>
            </w:r>
          </w:p>
        </w:tc>
        <w:tc>
          <w:tcPr>
            <w:tcW w:w="713" w:type="pct"/>
          </w:tcPr>
          <w:p w:rsidR="00D1389B" w:rsidRPr="004C6C13" w:rsidRDefault="00D1389B" w:rsidP="004C6C13">
            <w:pPr>
              <w:keepLines/>
              <w:spacing w:before="80" w:after="80" w:line="200" w:lineRule="atLeast"/>
              <w:rPr>
                <w:rFonts w:asciiTheme="minorHAnsi" w:eastAsia="Times New Roman" w:hAnsiTheme="minorHAnsi"/>
                <w:b/>
                <w:iCs/>
                <w:color w:val="36424B" w:themeColor="text2" w:themeShade="BF"/>
                <w:sz w:val="18"/>
                <w:szCs w:val="18"/>
                <w:lang w:eastAsia="en-US"/>
              </w:rPr>
            </w:pPr>
            <w:r w:rsidRPr="004C6C13">
              <w:rPr>
                <w:rFonts w:asciiTheme="minorHAnsi" w:eastAsia="Times New Roman" w:hAnsiTheme="minorHAnsi"/>
                <w:b/>
                <w:iCs/>
                <w:color w:val="36424B" w:themeColor="text2" w:themeShade="BF"/>
                <w:sz w:val="18"/>
                <w:szCs w:val="18"/>
              </w:rPr>
              <w:t xml:space="preserve">Overall benchmark   </w:t>
            </w:r>
          </w:p>
        </w:tc>
        <w:tc>
          <w:tcPr>
            <w:tcW w:w="1024" w:type="pct"/>
            <w:shd w:val="clear" w:color="auto" w:fill="auto"/>
          </w:tcPr>
          <w:p w:rsidR="00D1389B" w:rsidRPr="004C6C13" w:rsidRDefault="00D1389B" w:rsidP="004C6C13">
            <w:pPr>
              <w:keepLines/>
              <w:spacing w:before="80" w:after="80" w:line="200" w:lineRule="atLeast"/>
              <w:jc w:val="center"/>
              <w:rPr>
                <w:rFonts w:asciiTheme="minorHAnsi" w:eastAsia="Times New Roman" w:hAnsiTheme="minorHAnsi"/>
                <w:b/>
                <w:iCs/>
                <w:color w:val="36424B" w:themeColor="text2" w:themeShade="BF"/>
                <w:sz w:val="18"/>
                <w:szCs w:val="18"/>
              </w:rPr>
            </w:pPr>
            <w:r w:rsidRPr="004C6C13">
              <w:rPr>
                <w:rFonts w:asciiTheme="minorHAnsi" w:eastAsia="Times New Roman" w:hAnsiTheme="minorHAnsi"/>
                <w:b/>
                <w:iCs/>
                <w:color w:val="36424B" w:themeColor="text2" w:themeShade="BF"/>
                <w:sz w:val="18"/>
                <w:szCs w:val="18"/>
              </w:rPr>
              <w:t xml:space="preserve">2017-18 benchmark </w:t>
            </w:r>
          </w:p>
        </w:tc>
        <w:tc>
          <w:tcPr>
            <w:tcW w:w="451" w:type="pct"/>
          </w:tcPr>
          <w:p w:rsidR="00D1389B" w:rsidRPr="004C6C13" w:rsidRDefault="00D1389B" w:rsidP="004C6C13">
            <w:pPr>
              <w:keepLines/>
              <w:spacing w:before="80" w:after="80" w:line="200" w:lineRule="atLeast"/>
              <w:jc w:val="center"/>
              <w:rPr>
                <w:rFonts w:asciiTheme="minorHAnsi" w:eastAsia="Times New Roman" w:hAnsiTheme="minorHAnsi"/>
                <w:b/>
                <w:iCs/>
                <w:color w:val="36424B" w:themeColor="text2" w:themeShade="BF"/>
                <w:sz w:val="18"/>
                <w:szCs w:val="18"/>
                <w:lang w:eastAsia="en-US"/>
              </w:rPr>
            </w:pPr>
            <w:r w:rsidRPr="004C6C13">
              <w:rPr>
                <w:rFonts w:asciiTheme="minorHAnsi" w:eastAsia="Times New Roman" w:hAnsiTheme="minorHAnsi"/>
                <w:b/>
                <w:iCs/>
                <w:color w:val="36424B" w:themeColor="text2" w:themeShade="BF"/>
                <w:sz w:val="18"/>
                <w:szCs w:val="18"/>
              </w:rPr>
              <w:t>Rating</w:t>
            </w:r>
          </w:p>
        </w:tc>
        <w:tc>
          <w:tcPr>
            <w:tcW w:w="2099" w:type="pct"/>
          </w:tcPr>
          <w:p w:rsidR="00D1389B" w:rsidRPr="004C6C13" w:rsidRDefault="00D1389B" w:rsidP="004C6C13">
            <w:pPr>
              <w:keepLines/>
              <w:spacing w:before="80" w:after="80" w:line="200" w:lineRule="atLeast"/>
              <w:jc w:val="center"/>
              <w:rPr>
                <w:rFonts w:asciiTheme="minorHAnsi" w:eastAsia="Times New Roman" w:hAnsiTheme="minorHAnsi"/>
                <w:b/>
                <w:iCs/>
                <w:color w:val="36424B" w:themeColor="text2" w:themeShade="BF"/>
                <w:sz w:val="18"/>
                <w:szCs w:val="18"/>
                <w:lang w:eastAsia="en-US"/>
              </w:rPr>
            </w:pPr>
            <w:r w:rsidRPr="004C6C13">
              <w:rPr>
                <w:rFonts w:asciiTheme="minorHAnsi" w:eastAsia="Times New Roman" w:hAnsiTheme="minorHAnsi"/>
                <w:b/>
                <w:iCs/>
                <w:color w:val="36424B" w:themeColor="text2" w:themeShade="BF"/>
                <w:sz w:val="18"/>
                <w:szCs w:val="18"/>
              </w:rPr>
              <w:t>Progress in 2017-18</w:t>
            </w:r>
          </w:p>
        </w:tc>
      </w:tr>
      <w:tr w:rsidR="000C5481" w:rsidRPr="00A3623F" w:rsidTr="00AB154C">
        <w:tc>
          <w:tcPr>
            <w:tcW w:w="713" w:type="pct"/>
            <w:tcMar>
              <w:top w:w="57" w:type="dxa"/>
              <w:bottom w:w="57" w:type="dxa"/>
            </w:tcMar>
          </w:tcPr>
          <w:p w:rsidR="00F770AB" w:rsidRPr="00686515" w:rsidRDefault="00F770AB" w:rsidP="001F3C28">
            <w:pPr>
              <w:keepLines/>
              <w:spacing w:before="40" w:after="40" w:line="200" w:lineRule="atLeast"/>
              <w:rPr>
                <w:rFonts w:asciiTheme="minorHAnsi" w:hAnsiTheme="minorHAnsi"/>
                <w:color w:val="36424B" w:themeColor="text2" w:themeShade="BF"/>
                <w:sz w:val="18"/>
                <w:szCs w:val="18"/>
              </w:rPr>
            </w:pPr>
            <w:r w:rsidRPr="00686515">
              <w:rPr>
                <w:rFonts w:asciiTheme="minorHAnsi" w:hAnsiTheme="minorHAnsi"/>
                <w:color w:val="36424B" w:themeColor="text2" w:themeShade="BF"/>
                <w:sz w:val="18"/>
                <w:szCs w:val="18"/>
              </w:rPr>
              <w:t>Objective 3: Promoting women’s economic empowerment, including ethnic minorities</w:t>
            </w:r>
          </w:p>
        </w:tc>
        <w:tc>
          <w:tcPr>
            <w:tcW w:w="713" w:type="pct"/>
          </w:tcPr>
          <w:p w:rsidR="00F770AB" w:rsidRPr="00686515" w:rsidRDefault="00FF1EAB" w:rsidP="001F3C28">
            <w:pPr>
              <w:keepLines/>
              <w:spacing w:before="40" w:after="40" w:line="200" w:lineRule="atLeast"/>
              <w:rPr>
                <w:rFonts w:asciiTheme="minorHAnsi" w:hAnsiTheme="minorHAnsi"/>
                <w:color w:val="36424B" w:themeColor="text2" w:themeShade="BF"/>
                <w:sz w:val="18"/>
                <w:szCs w:val="18"/>
              </w:rPr>
            </w:pPr>
            <w:r w:rsidRPr="00686515">
              <w:rPr>
                <w:rFonts w:asciiTheme="minorHAnsi" w:hAnsiTheme="minorHAnsi"/>
                <w:color w:val="36424B" w:themeColor="text2" w:themeShade="BF"/>
                <w:sz w:val="18"/>
                <w:szCs w:val="18"/>
              </w:rPr>
              <w:t xml:space="preserve">3.1 </w:t>
            </w:r>
            <w:r w:rsidR="000C6C4F" w:rsidRPr="00686515">
              <w:rPr>
                <w:rFonts w:asciiTheme="minorHAnsi" w:hAnsiTheme="minorHAnsi"/>
                <w:color w:val="36424B" w:themeColor="text2" w:themeShade="BF"/>
                <w:sz w:val="18"/>
                <w:szCs w:val="18"/>
              </w:rPr>
              <w:t>Number of households with increased incomes</w:t>
            </w:r>
          </w:p>
        </w:tc>
        <w:tc>
          <w:tcPr>
            <w:tcW w:w="1024" w:type="pct"/>
            <w:shd w:val="clear" w:color="auto" w:fill="auto"/>
          </w:tcPr>
          <w:p w:rsidR="00F770AB" w:rsidRPr="00686515" w:rsidRDefault="000C6C4F" w:rsidP="00CC2560">
            <w:pPr>
              <w:keepLines/>
              <w:spacing w:before="40" w:after="40" w:line="200" w:lineRule="atLeast"/>
              <w:rPr>
                <w:rFonts w:asciiTheme="minorHAnsi" w:eastAsia="Times New Roman" w:hAnsiTheme="minorHAnsi"/>
                <w:iCs/>
                <w:color w:val="36424B" w:themeColor="text2" w:themeShade="BF"/>
                <w:sz w:val="18"/>
                <w:szCs w:val="18"/>
              </w:rPr>
            </w:pPr>
            <w:r w:rsidRPr="00686515">
              <w:rPr>
                <w:rFonts w:asciiTheme="minorHAnsi" w:hAnsiTheme="minorHAnsi"/>
                <w:color w:val="36424B" w:themeColor="text2" w:themeShade="BF"/>
                <w:sz w:val="18"/>
                <w:szCs w:val="18"/>
              </w:rPr>
              <w:t xml:space="preserve">587 </w:t>
            </w:r>
            <w:r w:rsidR="00953379" w:rsidRPr="00686515">
              <w:rPr>
                <w:rFonts w:asciiTheme="minorHAnsi" w:hAnsiTheme="minorHAnsi"/>
                <w:color w:val="36424B" w:themeColor="text2" w:themeShade="BF"/>
                <w:sz w:val="18"/>
                <w:szCs w:val="18"/>
              </w:rPr>
              <w:t>households</w:t>
            </w:r>
            <w:r w:rsidRPr="00686515">
              <w:rPr>
                <w:rFonts w:asciiTheme="minorHAnsi" w:hAnsiTheme="minorHAnsi"/>
                <w:color w:val="36424B" w:themeColor="text2" w:themeShade="BF"/>
                <w:sz w:val="18"/>
                <w:szCs w:val="18"/>
              </w:rPr>
              <w:t xml:space="preserve"> trained on agricultural production, marketing and economic literacy </w:t>
            </w:r>
          </w:p>
        </w:tc>
        <w:tc>
          <w:tcPr>
            <w:tcW w:w="451" w:type="pct"/>
            <w:shd w:val="clear" w:color="auto" w:fill="7FB64D" w:themeFill="accent3" w:themeFillShade="BF"/>
          </w:tcPr>
          <w:p w:rsidR="00F770AB" w:rsidRPr="00686515" w:rsidRDefault="00AB154C" w:rsidP="00FF2155">
            <w:pPr>
              <w:keepLines/>
              <w:spacing w:before="40" w:after="40" w:line="200" w:lineRule="atLeast"/>
              <w:jc w:val="center"/>
              <w:rPr>
                <w:rFonts w:asciiTheme="minorHAnsi" w:eastAsia="Times New Roman" w:hAnsiTheme="minorHAnsi"/>
                <w:iCs/>
                <w:color w:val="36424B" w:themeColor="text2" w:themeShade="BF"/>
                <w:sz w:val="18"/>
                <w:szCs w:val="18"/>
              </w:rPr>
            </w:pPr>
            <w:r w:rsidRPr="00686515">
              <w:rPr>
                <w:rFonts w:asciiTheme="minorHAnsi" w:eastAsia="Times New Roman" w:hAnsiTheme="minorHAnsi"/>
                <w:iCs/>
                <w:color w:val="36424B" w:themeColor="text2" w:themeShade="BF"/>
                <w:sz w:val="18"/>
                <w:szCs w:val="18"/>
              </w:rPr>
              <w:t>Achieved</w:t>
            </w:r>
          </w:p>
        </w:tc>
        <w:tc>
          <w:tcPr>
            <w:tcW w:w="2099" w:type="pct"/>
          </w:tcPr>
          <w:p w:rsidR="00F770AB" w:rsidRPr="000200D0" w:rsidRDefault="00FF2155" w:rsidP="00686515">
            <w:pPr>
              <w:rPr>
                <w:rFonts w:asciiTheme="minorHAnsi" w:hAnsiTheme="minorHAnsi"/>
                <w:color w:val="36424B" w:themeColor="text2" w:themeShade="BF"/>
                <w:sz w:val="18"/>
                <w:szCs w:val="18"/>
              </w:rPr>
            </w:pPr>
            <w:r w:rsidRPr="00686515">
              <w:rPr>
                <w:rFonts w:asciiTheme="minorHAnsi" w:hAnsiTheme="minorHAnsi"/>
                <w:color w:val="36424B" w:themeColor="text2" w:themeShade="BF"/>
                <w:sz w:val="18"/>
                <w:szCs w:val="18"/>
              </w:rPr>
              <w:t xml:space="preserve">587 </w:t>
            </w:r>
            <w:r w:rsidR="00953379" w:rsidRPr="00686515">
              <w:rPr>
                <w:rFonts w:asciiTheme="minorHAnsi" w:hAnsiTheme="minorHAnsi"/>
                <w:color w:val="36424B" w:themeColor="text2" w:themeShade="BF"/>
                <w:sz w:val="18"/>
                <w:szCs w:val="18"/>
              </w:rPr>
              <w:t>households</w:t>
            </w:r>
            <w:r w:rsidRPr="00686515">
              <w:rPr>
                <w:rFonts w:asciiTheme="minorHAnsi" w:hAnsiTheme="minorHAnsi"/>
                <w:color w:val="36424B" w:themeColor="text2" w:themeShade="BF"/>
                <w:sz w:val="18"/>
                <w:szCs w:val="18"/>
              </w:rPr>
              <w:t xml:space="preserve"> were trained on agricultural production, marketing and household budget management, contributing to an increase of selling prices of agricultural products by 15-20</w:t>
            </w:r>
            <w:r w:rsidR="00B1576B" w:rsidRPr="00686515">
              <w:rPr>
                <w:rFonts w:asciiTheme="minorHAnsi" w:hAnsiTheme="minorHAnsi"/>
                <w:color w:val="36424B" w:themeColor="text2" w:themeShade="BF"/>
                <w:sz w:val="18"/>
                <w:szCs w:val="18"/>
              </w:rPr>
              <w:t xml:space="preserve"> per cent</w:t>
            </w:r>
            <w:r w:rsidRPr="00686515">
              <w:rPr>
                <w:rFonts w:asciiTheme="minorHAnsi" w:hAnsiTheme="minorHAnsi"/>
                <w:color w:val="36424B" w:themeColor="text2" w:themeShade="BF"/>
                <w:sz w:val="18"/>
                <w:szCs w:val="18"/>
              </w:rPr>
              <w:t xml:space="preserve"> for farmers who apply advanced farming techniques to produce high quality products or engage in post-processing compared to selling raw materials. The number of women in leadership positions in farmer producer groups has also increased (to 71</w:t>
            </w:r>
            <w:r w:rsidR="00B1576B" w:rsidRPr="00686515">
              <w:rPr>
                <w:rFonts w:asciiTheme="minorHAnsi" w:hAnsiTheme="minorHAnsi"/>
                <w:color w:val="36424B" w:themeColor="text2" w:themeShade="BF"/>
                <w:sz w:val="18"/>
                <w:szCs w:val="18"/>
              </w:rPr>
              <w:t xml:space="preserve"> per cent</w:t>
            </w:r>
            <w:r w:rsidRPr="00686515">
              <w:rPr>
                <w:rFonts w:asciiTheme="minorHAnsi" w:hAnsiTheme="minorHAnsi"/>
                <w:color w:val="36424B" w:themeColor="text2" w:themeShade="BF"/>
                <w:sz w:val="18"/>
                <w:szCs w:val="18"/>
              </w:rPr>
              <w:t>, up from a baseline of 49</w:t>
            </w:r>
            <w:r w:rsidR="00B1576B" w:rsidRPr="00686515">
              <w:rPr>
                <w:rFonts w:asciiTheme="minorHAnsi" w:hAnsiTheme="minorHAnsi"/>
                <w:color w:val="36424B" w:themeColor="text2" w:themeShade="BF"/>
                <w:sz w:val="18"/>
                <w:szCs w:val="18"/>
              </w:rPr>
              <w:t xml:space="preserve"> per cent</w:t>
            </w:r>
            <w:r w:rsidRPr="00686515">
              <w:rPr>
                <w:rFonts w:asciiTheme="minorHAnsi" w:hAnsiTheme="minorHAnsi"/>
                <w:color w:val="36424B" w:themeColor="text2" w:themeShade="BF"/>
                <w:sz w:val="18"/>
                <w:szCs w:val="18"/>
              </w:rPr>
              <w:t>), demonstrating that the program is helping women to have a greater voice in decision making within their producer groups</w:t>
            </w:r>
            <w:r w:rsidR="00B1576B" w:rsidRPr="00686515">
              <w:rPr>
                <w:rFonts w:asciiTheme="minorHAnsi" w:hAnsiTheme="minorHAnsi"/>
                <w:color w:val="36424B" w:themeColor="text2" w:themeShade="BF"/>
                <w:sz w:val="18"/>
                <w:szCs w:val="18"/>
              </w:rPr>
              <w:t>.</w:t>
            </w:r>
            <w:r w:rsidRPr="000200D0">
              <w:rPr>
                <w:rFonts w:asciiTheme="minorHAnsi" w:hAnsiTheme="minorHAnsi"/>
                <w:color w:val="36424B" w:themeColor="text2" w:themeShade="BF"/>
                <w:sz w:val="18"/>
                <w:szCs w:val="18"/>
              </w:rPr>
              <w:t xml:space="preserve"> </w:t>
            </w:r>
          </w:p>
        </w:tc>
      </w:tr>
      <w:tr w:rsidR="000C5481" w:rsidRPr="00A3623F" w:rsidTr="00FF2155">
        <w:tc>
          <w:tcPr>
            <w:tcW w:w="713" w:type="pct"/>
            <w:tcMar>
              <w:top w:w="57" w:type="dxa"/>
              <w:bottom w:w="57" w:type="dxa"/>
            </w:tcMar>
          </w:tcPr>
          <w:p w:rsidR="000C6C4F" w:rsidRPr="00686515" w:rsidRDefault="000C6C4F" w:rsidP="001F3C28">
            <w:pPr>
              <w:keepLines/>
              <w:spacing w:before="40" w:after="40" w:line="200" w:lineRule="atLeast"/>
              <w:rPr>
                <w:rFonts w:asciiTheme="minorHAnsi" w:hAnsiTheme="minorHAnsi"/>
                <w:color w:val="36424B" w:themeColor="text2" w:themeShade="BF"/>
                <w:sz w:val="18"/>
                <w:szCs w:val="18"/>
              </w:rPr>
            </w:pPr>
          </w:p>
        </w:tc>
        <w:tc>
          <w:tcPr>
            <w:tcW w:w="713" w:type="pct"/>
          </w:tcPr>
          <w:p w:rsidR="000C6C4F" w:rsidRPr="000200D0" w:rsidRDefault="00FF1EAB" w:rsidP="001F3C28">
            <w:pPr>
              <w:keepLines/>
              <w:spacing w:before="40" w:after="40" w:line="200" w:lineRule="atLeast"/>
              <w:rPr>
                <w:rFonts w:asciiTheme="minorHAnsi" w:hAnsiTheme="minorHAnsi"/>
                <w:color w:val="36424B" w:themeColor="text2" w:themeShade="BF"/>
                <w:sz w:val="18"/>
                <w:szCs w:val="18"/>
              </w:rPr>
            </w:pPr>
            <w:r w:rsidRPr="000200D0">
              <w:rPr>
                <w:rFonts w:asciiTheme="minorHAnsi" w:hAnsiTheme="minorHAnsi"/>
                <w:color w:val="36424B" w:themeColor="text2" w:themeShade="BF"/>
                <w:sz w:val="18"/>
                <w:szCs w:val="18"/>
              </w:rPr>
              <w:t xml:space="preserve">3.2 </w:t>
            </w:r>
            <w:r w:rsidR="000C6C4F" w:rsidRPr="000200D0">
              <w:rPr>
                <w:rFonts w:asciiTheme="minorHAnsi" w:hAnsiTheme="minorHAnsi"/>
                <w:color w:val="36424B" w:themeColor="text2" w:themeShade="BF"/>
                <w:sz w:val="18"/>
                <w:szCs w:val="18"/>
              </w:rPr>
              <w:t>Number of firms actively implementing gender equity roadmap</w:t>
            </w:r>
          </w:p>
        </w:tc>
        <w:tc>
          <w:tcPr>
            <w:tcW w:w="1024" w:type="pct"/>
            <w:shd w:val="clear" w:color="auto" w:fill="auto"/>
          </w:tcPr>
          <w:p w:rsidR="000C6C4F" w:rsidRPr="000200D0" w:rsidRDefault="00D927C2">
            <w:pPr>
              <w:keepLines/>
              <w:spacing w:before="40" w:after="40" w:line="200" w:lineRule="atLeast"/>
              <w:rPr>
                <w:rFonts w:asciiTheme="minorHAnsi" w:hAnsiTheme="minorHAnsi"/>
                <w:color w:val="36424B" w:themeColor="text2" w:themeShade="BF"/>
                <w:sz w:val="18"/>
                <w:szCs w:val="18"/>
              </w:rPr>
            </w:pPr>
            <w:r w:rsidRPr="000200D0">
              <w:rPr>
                <w:rFonts w:asciiTheme="minorHAnsi" w:hAnsiTheme="minorHAnsi"/>
                <w:color w:val="36424B" w:themeColor="text2" w:themeShade="BF"/>
                <w:sz w:val="18"/>
                <w:szCs w:val="18"/>
              </w:rPr>
              <w:t>Eight</w:t>
            </w:r>
            <w:r w:rsidR="0094781D" w:rsidRPr="000200D0">
              <w:rPr>
                <w:rFonts w:asciiTheme="minorHAnsi" w:hAnsiTheme="minorHAnsi"/>
                <w:color w:val="36424B" w:themeColor="text2" w:themeShade="BF"/>
                <w:sz w:val="18"/>
                <w:szCs w:val="18"/>
              </w:rPr>
              <w:t xml:space="preserve"> founding members of </w:t>
            </w:r>
            <w:r w:rsidR="00CC3BD5" w:rsidRPr="000200D0">
              <w:rPr>
                <w:rFonts w:asciiTheme="minorHAnsi" w:hAnsiTheme="minorHAnsi"/>
                <w:color w:val="36424B" w:themeColor="text2" w:themeShade="BF"/>
                <w:sz w:val="18"/>
                <w:szCs w:val="18"/>
              </w:rPr>
              <w:t xml:space="preserve">the </w:t>
            </w:r>
            <w:r w:rsidR="0094781D" w:rsidRPr="000200D0">
              <w:rPr>
                <w:rFonts w:asciiTheme="minorHAnsi" w:hAnsiTheme="minorHAnsi"/>
                <w:color w:val="36424B" w:themeColor="text2" w:themeShade="BF"/>
                <w:sz w:val="18"/>
                <w:szCs w:val="18"/>
              </w:rPr>
              <w:t>IW business coalition sign up to program</w:t>
            </w:r>
          </w:p>
        </w:tc>
        <w:tc>
          <w:tcPr>
            <w:tcW w:w="451" w:type="pct"/>
            <w:shd w:val="clear" w:color="auto" w:fill="7FB64D" w:themeFill="accent3" w:themeFillShade="BF"/>
          </w:tcPr>
          <w:p w:rsidR="000C6C4F" w:rsidRPr="000200D0" w:rsidRDefault="00FF2155" w:rsidP="00BD5879">
            <w:pPr>
              <w:keepLines/>
              <w:spacing w:before="40" w:after="40" w:line="200" w:lineRule="atLeast"/>
              <w:rPr>
                <w:rFonts w:asciiTheme="minorHAnsi" w:eastAsia="Times New Roman" w:hAnsiTheme="minorHAnsi"/>
                <w:iCs/>
                <w:color w:val="36424B" w:themeColor="text2" w:themeShade="BF"/>
                <w:sz w:val="18"/>
                <w:szCs w:val="18"/>
              </w:rPr>
            </w:pPr>
            <w:r w:rsidRPr="000200D0">
              <w:rPr>
                <w:rFonts w:asciiTheme="minorHAnsi" w:eastAsia="Times New Roman" w:hAnsiTheme="minorHAnsi"/>
                <w:iCs/>
                <w:color w:val="36424B" w:themeColor="text2" w:themeShade="BF"/>
                <w:sz w:val="18"/>
                <w:szCs w:val="18"/>
              </w:rPr>
              <w:t xml:space="preserve">Achieved </w:t>
            </w:r>
            <w:r w:rsidR="00AB154C" w:rsidRPr="000200D0">
              <w:rPr>
                <w:rFonts w:asciiTheme="minorHAnsi" w:eastAsia="Times New Roman" w:hAnsiTheme="minorHAnsi"/>
                <w:iCs/>
                <w:color w:val="36424B" w:themeColor="text2" w:themeShade="BF"/>
                <w:sz w:val="18"/>
                <w:szCs w:val="18"/>
              </w:rPr>
              <w:t xml:space="preserve"> </w:t>
            </w:r>
          </w:p>
        </w:tc>
        <w:tc>
          <w:tcPr>
            <w:tcW w:w="2099" w:type="pct"/>
          </w:tcPr>
          <w:p w:rsidR="00FF2155" w:rsidRPr="000200D0" w:rsidRDefault="00FF2155" w:rsidP="00441FA9">
            <w:pPr>
              <w:spacing w:after="120"/>
              <w:rPr>
                <w:rFonts w:asciiTheme="minorHAnsi" w:hAnsiTheme="minorHAnsi"/>
                <w:color w:val="36424B" w:themeColor="text2" w:themeShade="BF"/>
                <w:spacing w:val="-2"/>
                <w:sz w:val="18"/>
                <w:szCs w:val="18"/>
              </w:rPr>
            </w:pPr>
            <w:r w:rsidRPr="000200D0">
              <w:rPr>
                <w:rFonts w:asciiTheme="minorHAnsi" w:hAnsiTheme="minorHAnsi"/>
                <w:color w:val="36424B" w:themeColor="text2" w:themeShade="BF"/>
                <w:sz w:val="18"/>
                <w:szCs w:val="18"/>
              </w:rPr>
              <w:t>The</w:t>
            </w:r>
            <w:r w:rsidRPr="000200D0">
              <w:rPr>
                <w:rFonts w:asciiTheme="minorHAnsi" w:hAnsiTheme="minorHAnsi"/>
                <w:b/>
                <w:bCs/>
                <w:color w:val="36424B" w:themeColor="text2" w:themeShade="BF"/>
                <w:sz w:val="18"/>
                <w:szCs w:val="18"/>
              </w:rPr>
              <w:t xml:space="preserve"> </w:t>
            </w:r>
            <w:r w:rsidRPr="000200D0">
              <w:rPr>
                <w:rFonts w:asciiTheme="minorHAnsi" w:hAnsiTheme="minorHAnsi"/>
                <w:color w:val="36424B" w:themeColor="text2" w:themeShade="BF"/>
                <w:spacing w:val="-2"/>
                <w:sz w:val="18"/>
                <w:szCs w:val="18"/>
              </w:rPr>
              <w:t>Vietnam Business Coalition for Women’s Empowerment in Vietnam (VBCWE) was established in December 2017 with a secretariat staff in place</w:t>
            </w:r>
            <w:r w:rsidR="00BF39D2" w:rsidRPr="000200D0">
              <w:rPr>
                <w:rFonts w:asciiTheme="minorHAnsi" w:hAnsiTheme="minorHAnsi"/>
                <w:color w:val="36424B" w:themeColor="text2" w:themeShade="BF"/>
                <w:spacing w:val="-2"/>
                <w:sz w:val="18"/>
                <w:szCs w:val="18"/>
              </w:rPr>
              <w:t xml:space="preserve">, </w:t>
            </w:r>
            <w:r w:rsidRPr="000200D0">
              <w:rPr>
                <w:rFonts w:asciiTheme="minorHAnsi" w:hAnsiTheme="minorHAnsi"/>
                <w:color w:val="36424B" w:themeColor="text2" w:themeShade="BF"/>
                <w:spacing w:val="-2"/>
                <w:sz w:val="18"/>
                <w:szCs w:val="18"/>
              </w:rPr>
              <w:t xml:space="preserve">owned by eight </w:t>
            </w:r>
            <w:r w:rsidR="00F53422" w:rsidRPr="000200D0">
              <w:rPr>
                <w:rFonts w:asciiTheme="minorHAnsi" w:hAnsiTheme="minorHAnsi"/>
                <w:color w:val="36424B" w:themeColor="text2" w:themeShade="BF"/>
                <w:spacing w:val="-2"/>
                <w:sz w:val="18"/>
                <w:szCs w:val="18"/>
              </w:rPr>
              <w:t xml:space="preserve">high profile </w:t>
            </w:r>
            <w:r w:rsidRPr="000200D0">
              <w:rPr>
                <w:rFonts w:asciiTheme="minorHAnsi" w:hAnsiTheme="minorHAnsi"/>
                <w:color w:val="36424B" w:themeColor="text2" w:themeShade="BF"/>
                <w:spacing w:val="-2"/>
                <w:sz w:val="18"/>
                <w:szCs w:val="18"/>
              </w:rPr>
              <w:t xml:space="preserve">founding members, and led </w:t>
            </w:r>
            <w:r w:rsidR="00BF39D2" w:rsidRPr="000200D0">
              <w:rPr>
                <w:rFonts w:asciiTheme="minorHAnsi" w:hAnsiTheme="minorHAnsi"/>
                <w:color w:val="36424B" w:themeColor="text2" w:themeShade="BF"/>
                <w:spacing w:val="-2"/>
                <w:sz w:val="18"/>
                <w:szCs w:val="18"/>
              </w:rPr>
              <w:t xml:space="preserve">by </w:t>
            </w:r>
            <w:r w:rsidR="00F53422" w:rsidRPr="000200D0">
              <w:rPr>
                <w:rFonts w:asciiTheme="minorHAnsi" w:hAnsiTheme="minorHAnsi"/>
                <w:color w:val="36424B" w:themeColor="text2" w:themeShade="BF"/>
                <w:spacing w:val="-2"/>
                <w:sz w:val="18"/>
                <w:szCs w:val="18"/>
              </w:rPr>
              <w:t xml:space="preserve">two </w:t>
            </w:r>
            <w:r w:rsidR="00744BD3" w:rsidRPr="000200D0">
              <w:rPr>
                <w:rFonts w:asciiTheme="minorHAnsi" w:hAnsiTheme="minorHAnsi"/>
                <w:color w:val="36424B" w:themeColor="text2" w:themeShade="BF"/>
                <w:spacing w:val="-2"/>
                <w:sz w:val="18"/>
                <w:szCs w:val="18"/>
              </w:rPr>
              <w:t>impressive</w:t>
            </w:r>
            <w:r w:rsidR="00F53422" w:rsidRPr="000200D0">
              <w:rPr>
                <w:rFonts w:asciiTheme="minorHAnsi" w:hAnsiTheme="minorHAnsi"/>
                <w:color w:val="36424B" w:themeColor="text2" w:themeShade="BF"/>
                <w:spacing w:val="-2"/>
                <w:sz w:val="18"/>
                <w:szCs w:val="18"/>
              </w:rPr>
              <w:t xml:space="preserve"> chairwomen. </w:t>
            </w:r>
            <w:r w:rsidRPr="000200D0">
              <w:rPr>
                <w:rFonts w:asciiTheme="minorHAnsi" w:hAnsiTheme="minorHAnsi"/>
                <w:color w:val="36424B" w:themeColor="text2" w:themeShade="BF"/>
                <w:spacing w:val="-2"/>
                <w:sz w:val="18"/>
                <w:szCs w:val="18"/>
              </w:rPr>
              <w:t xml:space="preserve">VBCWE </w:t>
            </w:r>
            <w:r w:rsidR="00BF39D2" w:rsidRPr="000200D0">
              <w:rPr>
                <w:rFonts w:asciiTheme="minorHAnsi" w:hAnsiTheme="minorHAnsi"/>
                <w:color w:val="36424B" w:themeColor="text2" w:themeShade="BF"/>
                <w:spacing w:val="-2"/>
                <w:sz w:val="18"/>
                <w:szCs w:val="18"/>
              </w:rPr>
              <w:t>aimed</w:t>
            </w:r>
            <w:r w:rsidRPr="000200D0">
              <w:rPr>
                <w:rFonts w:asciiTheme="minorHAnsi" w:hAnsiTheme="minorHAnsi"/>
                <w:color w:val="36424B" w:themeColor="text2" w:themeShade="BF"/>
                <w:spacing w:val="-2"/>
                <w:sz w:val="18"/>
                <w:szCs w:val="18"/>
              </w:rPr>
              <w:t xml:space="preserve"> to drive change for equal opportunities for both women and men within the Vietnam business community, leading the way on gender equality in their businesses and beyond.  </w:t>
            </w:r>
          </w:p>
          <w:p w:rsidR="000C6C4F" w:rsidRPr="000200D0" w:rsidRDefault="00BF39D2">
            <w:pPr>
              <w:spacing w:after="120"/>
              <w:rPr>
                <w:rFonts w:asciiTheme="minorHAnsi" w:hAnsiTheme="minorHAnsi"/>
                <w:color w:val="36424B" w:themeColor="text2" w:themeShade="BF"/>
                <w:sz w:val="18"/>
                <w:szCs w:val="18"/>
              </w:rPr>
            </w:pPr>
            <w:r w:rsidRPr="000200D0">
              <w:rPr>
                <w:rFonts w:asciiTheme="minorHAnsi" w:hAnsiTheme="minorHAnsi"/>
                <w:color w:val="36424B" w:themeColor="text2" w:themeShade="BF"/>
                <w:spacing w:val="-2"/>
                <w:sz w:val="18"/>
                <w:szCs w:val="18"/>
              </w:rPr>
              <w:t>Three companies we</w:t>
            </w:r>
            <w:r w:rsidR="00FF2155" w:rsidRPr="000200D0">
              <w:rPr>
                <w:rFonts w:asciiTheme="minorHAnsi" w:hAnsiTheme="minorHAnsi"/>
                <w:color w:val="36424B" w:themeColor="text2" w:themeShade="BF"/>
                <w:spacing w:val="-2"/>
                <w:sz w:val="18"/>
                <w:szCs w:val="18"/>
              </w:rPr>
              <w:t xml:space="preserve">re undertaking </w:t>
            </w:r>
            <w:r w:rsidR="0001007B" w:rsidRPr="000200D0">
              <w:rPr>
                <w:rFonts w:asciiTheme="minorHAnsi" w:hAnsiTheme="minorHAnsi"/>
                <w:color w:val="36424B" w:themeColor="text2" w:themeShade="BF"/>
                <w:spacing w:val="-2"/>
                <w:sz w:val="18"/>
                <w:szCs w:val="18"/>
              </w:rPr>
              <w:t>E</w:t>
            </w:r>
            <w:r w:rsidR="00FF2155" w:rsidRPr="000200D0">
              <w:rPr>
                <w:rFonts w:asciiTheme="minorHAnsi" w:hAnsiTheme="minorHAnsi"/>
                <w:color w:val="36424B" w:themeColor="text2" w:themeShade="BF"/>
                <w:spacing w:val="-2"/>
                <w:sz w:val="18"/>
                <w:szCs w:val="18"/>
              </w:rPr>
              <w:t>conomic Dividends for Gender Equality certification</w:t>
            </w:r>
            <w:r w:rsidRPr="000200D0">
              <w:rPr>
                <w:rFonts w:asciiTheme="minorHAnsi" w:hAnsiTheme="minorHAnsi"/>
                <w:color w:val="36424B" w:themeColor="text2" w:themeShade="BF"/>
                <w:spacing w:val="-2"/>
                <w:sz w:val="18"/>
                <w:szCs w:val="18"/>
              </w:rPr>
              <w:t xml:space="preserve"> - two</w:t>
            </w:r>
            <w:r w:rsidR="00FF2155" w:rsidRPr="000200D0">
              <w:rPr>
                <w:rFonts w:asciiTheme="minorHAnsi" w:hAnsiTheme="minorHAnsi"/>
                <w:color w:val="36424B" w:themeColor="text2" w:themeShade="BF"/>
                <w:sz w:val="18"/>
                <w:szCs w:val="18"/>
              </w:rPr>
              <w:t xml:space="preserve"> on track to become certified in Aug</w:t>
            </w:r>
            <w:r w:rsidR="00D927C2" w:rsidRPr="000200D0">
              <w:rPr>
                <w:rFonts w:asciiTheme="minorHAnsi" w:hAnsiTheme="minorHAnsi"/>
                <w:color w:val="36424B" w:themeColor="text2" w:themeShade="BF"/>
                <w:sz w:val="18"/>
                <w:szCs w:val="18"/>
              </w:rPr>
              <w:t>ust</w:t>
            </w:r>
            <w:r w:rsidRPr="000200D0">
              <w:rPr>
                <w:rFonts w:asciiTheme="minorHAnsi" w:hAnsiTheme="minorHAnsi"/>
                <w:color w:val="36424B" w:themeColor="text2" w:themeShade="BF"/>
                <w:sz w:val="18"/>
                <w:szCs w:val="18"/>
              </w:rPr>
              <w:t xml:space="preserve"> </w:t>
            </w:r>
            <w:r w:rsidR="00D927C2" w:rsidRPr="000200D0">
              <w:rPr>
                <w:rFonts w:asciiTheme="minorHAnsi" w:hAnsiTheme="minorHAnsi"/>
                <w:color w:val="36424B" w:themeColor="text2" w:themeShade="BF"/>
                <w:sz w:val="18"/>
                <w:szCs w:val="18"/>
              </w:rPr>
              <w:t>20</w:t>
            </w:r>
            <w:r w:rsidR="00FF2155" w:rsidRPr="000200D0">
              <w:rPr>
                <w:rFonts w:asciiTheme="minorHAnsi" w:hAnsiTheme="minorHAnsi"/>
                <w:color w:val="36424B" w:themeColor="text2" w:themeShade="BF"/>
                <w:sz w:val="18"/>
                <w:szCs w:val="18"/>
              </w:rPr>
              <w:t xml:space="preserve">18, and </w:t>
            </w:r>
            <w:r w:rsidRPr="000200D0">
              <w:rPr>
                <w:rFonts w:asciiTheme="minorHAnsi" w:hAnsiTheme="minorHAnsi"/>
                <w:color w:val="36424B" w:themeColor="text2" w:themeShade="BF"/>
                <w:sz w:val="18"/>
                <w:szCs w:val="18"/>
              </w:rPr>
              <w:t xml:space="preserve">one </w:t>
            </w:r>
            <w:r w:rsidR="00FF2155" w:rsidRPr="000200D0">
              <w:rPr>
                <w:rFonts w:asciiTheme="minorHAnsi" w:hAnsiTheme="minorHAnsi"/>
                <w:color w:val="36424B" w:themeColor="text2" w:themeShade="BF"/>
                <w:sz w:val="18"/>
                <w:szCs w:val="18"/>
              </w:rPr>
              <w:t>in Jan</w:t>
            </w:r>
            <w:r w:rsidR="00D927C2" w:rsidRPr="000200D0">
              <w:rPr>
                <w:rFonts w:asciiTheme="minorHAnsi" w:hAnsiTheme="minorHAnsi"/>
                <w:color w:val="36424B" w:themeColor="text2" w:themeShade="BF"/>
                <w:sz w:val="18"/>
                <w:szCs w:val="18"/>
              </w:rPr>
              <w:t>uary</w:t>
            </w:r>
            <w:r w:rsidRPr="000200D0">
              <w:rPr>
                <w:rFonts w:asciiTheme="minorHAnsi" w:hAnsiTheme="minorHAnsi"/>
                <w:color w:val="36424B" w:themeColor="text2" w:themeShade="BF"/>
                <w:sz w:val="18"/>
                <w:szCs w:val="18"/>
              </w:rPr>
              <w:t xml:space="preserve"> </w:t>
            </w:r>
            <w:r w:rsidR="00D927C2" w:rsidRPr="000200D0">
              <w:rPr>
                <w:rFonts w:asciiTheme="minorHAnsi" w:hAnsiTheme="minorHAnsi"/>
                <w:color w:val="36424B" w:themeColor="text2" w:themeShade="BF"/>
                <w:sz w:val="18"/>
                <w:szCs w:val="18"/>
              </w:rPr>
              <w:t>20</w:t>
            </w:r>
            <w:r w:rsidR="00FF2155" w:rsidRPr="000200D0">
              <w:rPr>
                <w:rFonts w:asciiTheme="minorHAnsi" w:hAnsiTheme="minorHAnsi"/>
                <w:color w:val="36424B" w:themeColor="text2" w:themeShade="BF"/>
                <w:sz w:val="18"/>
                <w:szCs w:val="18"/>
              </w:rPr>
              <w:t xml:space="preserve">19. </w:t>
            </w:r>
            <w:r w:rsidRPr="000200D0">
              <w:rPr>
                <w:rFonts w:asciiTheme="minorHAnsi" w:hAnsiTheme="minorHAnsi"/>
                <w:color w:val="36424B" w:themeColor="text2" w:themeShade="BF"/>
                <w:sz w:val="18"/>
                <w:szCs w:val="18"/>
              </w:rPr>
              <w:t>R</w:t>
            </w:r>
            <w:r w:rsidR="00FF2155" w:rsidRPr="000200D0">
              <w:rPr>
                <w:rFonts w:asciiTheme="minorHAnsi" w:hAnsiTheme="minorHAnsi"/>
                <w:color w:val="36424B" w:themeColor="text2" w:themeShade="BF"/>
                <w:sz w:val="18"/>
                <w:szCs w:val="18"/>
              </w:rPr>
              <w:t xml:space="preserve">emaining </w:t>
            </w:r>
            <w:r w:rsidRPr="000200D0">
              <w:rPr>
                <w:rFonts w:asciiTheme="minorHAnsi" w:hAnsiTheme="minorHAnsi"/>
                <w:color w:val="36424B" w:themeColor="text2" w:themeShade="BF"/>
                <w:sz w:val="18"/>
                <w:szCs w:val="18"/>
              </w:rPr>
              <w:t xml:space="preserve">five </w:t>
            </w:r>
            <w:r w:rsidR="00FF2155" w:rsidRPr="000200D0">
              <w:rPr>
                <w:rFonts w:asciiTheme="minorHAnsi" w:hAnsiTheme="minorHAnsi"/>
                <w:color w:val="36424B" w:themeColor="text2" w:themeShade="BF"/>
                <w:sz w:val="18"/>
                <w:szCs w:val="18"/>
              </w:rPr>
              <w:t>members are targeting Feb</w:t>
            </w:r>
            <w:r w:rsidR="00D927C2" w:rsidRPr="000200D0">
              <w:rPr>
                <w:rFonts w:asciiTheme="minorHAnsi" w:hAnsiTheme="minorHAnsi"/>
                <w:color w:val="36424B" w:themeColor="text2" w:themeShade="BF"/>
                <w:sz w:val="18"/>
                <w:szCs w:val="18"/>
              </w:rPr>
              <w:t>ruary</w:t>
            </w:r>
            <w:r w:rsidRPr="000200D0">
              <w:rPr>
                <w:rFonts w:asciiTheme="minorHAnsi" w:hAnsiTheme="minorHAnsi"/>
                <w:color w:val="36424B" w:themeColor="text2" w:themeShade="BF"/>
                <w:sz w:val="18"/>
                <w:szCs w:val="18"/>
              </w:rPr>
              <w:t xml:space="preserve"> </w:t>
            </w:r>
            <w:r w:rsidR="00D927C2" w:rsidRPr="000200D0">
              <w:rPr>
                <w:rFonts w:asciiTheme="minorHAnsi" w:hAnsiTheme="minorHAnsi"/>
                <w:color w:val="36424B" w:themeColor="text2" w:themeShade="BF"/>
                <w:sz w:val="18"/>
                <w:szCs w:val="18"/>
              </w:rPr>
              <w:t>20</w:t>
            </w:r>
            <w:r w:rsidR="00FF2155" w:rsidRPr="000200D0">
              <w:rPr>
                <w:rFonts w:asciiTheme="minorHAnsi" w:hAnsiTheme="minorHAnsi"/>
                <w:color w:val="36424B" w:themeColor="text2" w:themeShade="BF"/>
                <w:sz w:val="18"/>
                <w:szCs w:val="18"/>
              </w:rPr>
              <w:t>19 certification</w:t>
            </w:r>
            <w:r w:rsidRPr="000200D0">
              <w:rPr>
                <w:rFonts w:asciiTheme="minorHAnsi" w:hAnsiTheme="minorHAnsi"/>
                <w:color w:val="36424B" w:themeColor="text2" w:themeShade="BF"/>
                <w:sz w:val="18"/>
                <w:szCs w:val="18"/>
              </w:rPr>
              <w:t>.</w:t>
            </w:r>
          </w:p>
        </w:tc>
      </w:tr>
    </w:tbl>
    <w:p w:rsidR="00400B0F" w:rsidRPr="00546471" w:rsidRDefault="00400B0F" w:rsidP="00400B0F">
      <w:pPr>
        <w:spacing w:before="20" w:after="20" w:line="180" w:lineRule="atLeast"/>
        <w:jc w:val="both"/>
        <w:rPr>
          <w:rFonts w:eastAsia="Times New Roman"/>
          <w:b/>
          <w:sz w:val="17"/>
          <w:szCs w:val="17"/>
        </w:rPr>
      </w:pPr>
      <w:r w:rsidRPr="00546471">
        <w:rPr>
          <w:rFonts w:eastAsia="Times New Roman"/>
          <w:b/>
          <w:sz w:val="17"/>
          <w:szCs w:val="17"/>
        </w:rPr>
        <w:t xml:space="preserve">Note: </w:t>
      </w:r>
    </w:p>
    <w:p w:rsidR="00400B0F" w:rsidRPr="00546471" w:rsidRDefault="00400B0F" w:rsidP="00400B0F">
      <w:pPr>
        <w:spacing w:before="20" w:after="20" w:line="180" w:lineRule="atLeast"/>
        <w:jc w:val="both"/>
        <w:rPr>
          <w:rFonts w:eastAsia="Times New Roman"/>
          <w:b/>
          <w:sz w:val="16"/>
          <w:szCs w:val="14"/>
        </w:rPr>
      </w:pPr>
      <w:r w:rsidRPr="0094781D">
        <w:rPr>
          <w:rFonts w:eastAsia="Times New Roman"/>
          <w:b/>
          <w:color w:val="333938" w:themeColor="background2" w:themeShade="40"/>
          <w:sz w:val="17"/>
          <w:szCs w:val="17"/>
        </w:rPr>
        <w:sym w:font="Webdings" w:char="F067"/>
      </w:r>
      <w:r w:rsidRPr="0094781D">
        <w:rPr>
          <w:rFonts w:eastAsia="Times New Roman"/>
          <w:b/>
          <w:color w:val="333938" w:themeColor="background2" w:themeShade="40"/>
          <w:sz w:val="17"/>
          <w:szCs w:val="17"/>
        </w:rPr>
        <w:t> </w:t>
      </w:r>
      <w:r w:rsidRPr="0094781D">
        <w:rPr>
          <w:rFonts w:eastAsia="Times New Roman"/>
          <w:b/>
          <w:color w:val="333938" w:themeColor="background2" w:themeShade="40"/>
          <w:sz w:val="17"/>
          <w:szCs w:val="17"/>
        </w:rPr>
        <w:t xml:space="preserve"> </w:t>
      </w:r>
      <w:r w:rsidRPr="00546471">
        <w:rPr>
          <w:rFonts w:eastAsia="Times New Roman"/>
          <w:b/>
          <w:sz w:val="16"/>
          <w:szCs w:val="14"/>
        </w:rPr>
        <w:t xml:space="preserve">Achieved.  Significant progress has been made and the performance benchmark was achieved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7B4865" w:rsidRDefault="007B4865" w:rsidP="007B4865">
      <w:pPr>
        <w:rPr>
          <w:rFonts w:ascii="Franklin Gothic Book" w:eastAsia="Times New Roman" w:hAnsi="Franklin Gothic Book"/>
          <w:b/>
          <w:sz w:val="24"/>
          <w:szCs w:val="24"/>
        </w:rPr>
      </w:pPr>
    </w:p>
    <w:p w:rsidR="00105DE1" w:rsidRDefault="00105DE1">
      <w:pPr>
        <w:suppressAutoHyphens w:val="0"/>
        <w:spacing w:before="0" w:after="120" w:line="440" w:lineRule="atLeast"/>
        <w:rPr>
          <w:rFonts w:ascii="Franklin Gothic Book" w:eastAsia="Times New Roman" w:hAnsi="Franklin Gothic Book"/>
          <w:b/>
          <w:sz w:val="24"/>
          <w:szCs w:val="24"/>
        </w:rPr>
      </w:pPr>
      <w:r>
        <w:rPr>
          <w:rFonts w:ascii="Franklin Gothic Book" w:eastAsia="Times New Roman" w:hAnsi="Franklin Gothic Book"/>
          <w:b/>
          <w:sz w:val="24"/>
          <w:szCs w:val="24"/>
        </w:rPr>
        <w:br w:type="page"/>
      </w:r>
    </w:p>
    <w:p w:rsidR="007B4865" w:rsidRPr="007B4865" w:rsidRDefault="00CE5DF0" w:rsidP="007B4865">
      <w:pPr>
        <w:rPr>
          <w:rFonts w:ascii="Franklin Gothic Book" w:eastAsia="Times New Roman" w:hAnsi="Franklin Gothic Book"/>
          <w:b/>
          <w:sz w:val="24"/>
          <w:szCs w:val="24"/>
        </w:rPr>
      </w:pPr>
      <w:r w:rsidRPr="007B4865">
        <w:rPr>
          <w:rFonts w:ascii="Franklin Gothic Book" w:eastAsia="Times New Roman" w:hAnsi="Franklin Gothic Book"/>
          <w:b/>
          <w:sz w:val="24"/>
          <w:szCs w:val="24"/>
        </w:rPr>
        <w:lastRenderedPageBreak/>
        <w:t xml:space="preserve">Performance Benchmarks </w:t>
      </w:r>
      <w:r w:rsidR="00320251" w:rsidRPr="007B4865">
        <w:rPr>
          <w:rFonts w:ascii="Franklin Gothic Book" w:eastAsia="Times New Roman" w:hAnsi="Franklin Gothic Book"/>
          <w:b/>
          <w:sz w:val="24"/>
          <w:szCs w:val="24"/>
        </w:rPr>
        <w:t xml:space="preserve">for remainder of </w:t>
      </w:r>
      <w:r w:rsidR="008D4FB4">
        <w:rPr>
          <w:rFonts w:ascii="Franklin Gothic Book" w:eastAsia="Times New Roman" w:hAnsi="Franklin Gothic Book"/>
          <w:b/>
          <w:sz w:val="24"/>
          <w:szCs w:val="24"/>
        </w:rPr>
        <w:t>AIP</w:t>
      </w:r>
    </w:p>
    <w:tbl>
      <w:tblPr>
        <w:tblStyle w:val="DFATTable"/>
        <w:tblW w:w="5000" w:type="pct"/>
        <w:tblLook w:val="04A0" w:firstRow="1" w:lastRow="0" w:firstColumn="1" w:lastColumn="0" w:noHBand="0" w:noVBand="1"/>
      </w:tblPr>
      <w:tblGrid>
        <w:gridCol w:w="2193"/>
        <w:gridCol w:w="4136"/>
        <w:gridCol w:w="3844"/>
        <w:gridCol w:w="3980"/>
      </w:tblGrid>
      <w:tr w:rsidR="00C37399" w:rsidRPr="00A3623F" w:rsidTr="00686515">
        <w:trPr>
          <w:trHeight w:val="331"/>
        </w:trPr>
        <w:tc>
          <w:tcPr>
            <w:tcW w:w="775" w:type="pct"/>
            <w:tcBorders>
              <w:top w:val="single" w:sz="12" w:space="0" w:color="auto"/>
              <w:left w:val="nil"/>
              <w:bottom w:val="nil"/>
              <w:right w:val="nil"/>
            </w:tcBorders>
          </w:tcPr>
          <w:p w:rsidR="00C37399" w:rsidRPr="00686515" w:rsidRDefault="00C37399" w:rsidP="00686515">
            <w:pPr>
              <w:pStyle w:val="NormalIndented"/>
              <w:ind w:left="29"/>
              <w:rPr>
                <w:rFonts w:asciiTheme="minorHAnsi" w:hAnsiTheme="minorHAnsi"/>
                <w:sz w:val="18"/>
                <w:szCs w:val="18"/>
              </w:rPr>
            </w:pPr>
            <w:r w:rsidRPr="00686515">
              <w:rPr>
                <w:rFonts w:asciiTheme="minorHAnsi" w:eastAsia="Times New Roman" w:hAnsiTheme="minorHAnsi"/>
                <w:b/>
                <w:iCs/>
                <w:sz w:val="18"/>
                <w:szCs w:val="18"/>
              </w:rPr>
              <w:t>Aid objective</w:t>
            </w:r>
          </w:p>
        </w:tc>
        <w:tc>
          <w:tcPr>
            <w:tcW w:w="1461" w:type="pct"/>
            <w:tcBorders>
              <w:top w:val="single" w:sz="12" w:space="0" w:color="auto"/>
              <w:left w:val="nil"/>
              <w:bottom w:val="nil"/>
              <w:right w:val="nil"/>
            </w:tcBorders>
          </w:tcPr>
          <w:p w:rsidR="00C37399" w:rsidRPr="00686515" w:rsidRDefault="00C37399" w:rsidP="00320251">
            <w:pPr>
              <w:pStyle w:val="NormalIndented"/>
              <w:rPr>
                <w:rFonts w:asciiTheme="minorHAnsi" w:hAnsiTheme="minorHAnsi"/>
                <w:sz w:val="18"/>
                <w:szCs w:val="18"/>
              </w:rPr>
            </w:pPr>
            <w:r w:rsidRPr="00686515">
              <w:rPr>
                <w:rFonts w:asciiTheme="minorHAnsi" w:eastAsia="Times New Roman" w:hAnsiTheme="minorHAnsi"/>
                <w:b/>
                <w:iCs/>
                <w:sz w:val="18"/>
                <w:szCs w:val="18"/>
              </w:rPr>
              <w:t xml:space="preserve">Performance Benchmark </w:t>
            </w:r>
          </w:p>
        </w:tc>
        <w:tc>
          <w:tcPr>
            <w:tcW w:w="1357" w:type="pct"/>
            <w:tcBorders>
              <w:top w:val="single" w:sz="12" w:space="0" w:color="auto"/>
              <w:left w:val="nil"/>
              <w:bottom w:val="nil"/>
              <w:right w:val="nil"/>
            </w:tcBorders>
            <w:hideMark/>
          </w:tcPr>
          <w:p w:rsidR="00C37399" w:rsidRPr="00686515" w:rsidRDefault="00C37399" w:rsidP="00320251">
            <w:pPr>
              <w:pStyle w:val="NormalIndented"/>
              <w:ind w:left="0"/>
              <w:jc w:val="center"/>
              <w:rPr>
                <w:rFonts w:asciiTheme="minorHAnsi" w:hAnsiTheme="minorHAnsi"/>
                <w:b/>
                <w:sz w:val="18"/>
                <w:szCs w:val="18"/>
              </w:rPr>
            </w:pPr>
            <w:r w:rsidRPr="00686515">
              <w:rPr>
                <w:rFonts w:asciiTheme="minorHAnsi" w:hAnsiTheme="minorHAnsi"/>
                <w:b/>
                <w:sz w:val="18"/>
                <w:szCs w:val="18"/>
              </w:rPr>
              <w:t>2018-19</w:t>
            </w:r>
          </w:p>
        </w:tc>
        <w:tc>
          <w:tcPr>
            <w:tcW w:w="1407" w:type="pct"/>
            <w:tcBorders>
              <w:top w:val="single" w:sz="12" w:space="0" w:color="auto"/>
              <w:left w:val="nil"/>
              <w:bottom w:val="nil"/>
              <w:right w:val="nil"/>
            </w:tcBorders>
            <w:hideMark/>
          </w:tcPr>
          <w:p w:rsidR="00C37399" w:rsidRPr="00686515" w:rsidRDefault="00C37399" w:rsidP="00C37399">
            <w:pPr>
              <w:pStyle w:val="NormalIndented"/>
              <w:ind w:left="33"/>
              <w:jc w:val="center"/>
              <w:rPr>
                <w:rFonts w:asciiTheme="minorHAnsi" w:hAnsiTheme="minorHAnsi"/>
                <w:b/>
                <w:sz w:val="18"/>
                <w:szCs w:val="18"/>
              </w:rPr>
            </w:pPr>
            <w:r w:rsidRPr="00686515">
              <w:rPr>
                <w:rFonts w:asciiTheme="minorHAnsi" w:hAnsiTheme="minorHAnsi"/>
                <w:b/>
                <w:sz w:val="18"/>
                <w:szCs w:val="18"/>
              </w:rPr>
              <w:t>2019-20</w:t>
            </w:r>
          </w:p>
        </w:tc>
      </w:tr>
      <w:tr w:rsidR="00C37399" w:rsidRPr="00A3623F" w:rsidTr="00686515">
        <w:trPr>
          <w:trHeight w:val="984"/>
        </w:trPr>
        <w:tc>
          <w:tcPr>
            <w:tcW w:w="775" w:type="pct"/>
            <w:tcBorders>
              <w:top w:val="nil"/>
              <w:left w:val="nil"/>
              <w:bottom w:val="nil"/>
              <w:right w:val="nil"/>
            </w:tcBorders>
          </w:tcPr>
          <w:p w:rsidR="00C37399" w:rsidRPr="00686515" w:rsidRDefault="00600984" w:rsidP="00686515">
            <w:pPr>
              <w:pStyle w:val="NormalIndented"/>
              <w:ind w:left="29"/>
              <w:rPr>
                <w:rFonts w:asciiTheme="minorHAnsi" w:hAnsiTheme="minorHAnsi"/>
                <w:sz w:val="18"/>
                <w:szCs w:val="18"/>
              </w:rPr>
            </w:pPr>
            <w:r w:rsidRPr="00686515">
              <w:rPr>
                <w:rFonts w:asciiTheme="minorHAnsi" w:hAnsiTheme="minorHAnsi"/>
                <w:sz w:val="18"/>
                <w:szCs w:val="18"/>
              </w:rPr>
              <w:t>Objective 1: Enabling and engaging the private sector for development</w:t>
            </w:r>
          </w:p>
        </w:tc>
        <w:tc>
          <w:tcPr>
            <w:tcW w:w="1461" w:type="pct"/>
            <w:tcBorders>
              <w:top w:val="nil"/>
              <w:left w:val="nil"/>
              <w:bottom w:val="nil"/>
              <w:right w:val="nil"/>
            </w:tcBorders>
          </w:tcPr>
          <w:p w:rsidR="00C37399" w:rsidRPr="00686515" w:rsidRDefault="00600984" w:rsidP="007B4865">
            <w:pPr>
              <w:pStyle w:val="NormalIndented"/>
              <w:rPr>
                <w:rFonts w:asciiTheme="minorHAnsi" w:hAnsiTheme="minorHAnsi"/>
                <w:sz w:val="18"/>
                <w:szCs w:val="18"/>
                <w:lang w:eastAsia="en-US"/>
              </w:rPr>
            </w:pPr>
            <w:r w:rsidRPr="00686515">
              <w:rPr>
                <w:rFonts w:asciiTheme="minorHAnsi" w:eastAsia="Times New Roman" w:hAnsiTheme="minorHAnsi"/>
                <w:iCs/>
                <w:sz w:val="18"/>
                <w:szCs w:val="18"/>
              </w:rPr>
              <w:t>1.1 Value-for-money transport infrastructure demonstrated and enabled</w:t>
            </w:r>
          </w:p>
        </w:tc>
        <w:tc>
          <w:tcPr>
            <w:tcW w:w="1357" w:type="pct"/>
            <w:tcBorders>
              <w:top w:val="nil"/>
              <w:left w:val="nil"/>
              <w:bottom w:val="nil"/>
              <w:right w:val="nil"/>
            </w:tcBorders>
            <w:hideMark/>
          </w:tcPr>
          <w:p w:rsidR="00C37399" w:rsidRPr="00686515" w:rsidRDefault="00115DAA" w:rsidP="00510CCC">
            <w:pPr>
              <w:pStyle w:val="NormalIndented"/>
              <w:ind w:left="33"/>
              <w:rPr>
                <w:rFonts w:asciiTheme="minorHAnsi" w:hAnsiTheme="minorHAnsi"/>
                <w:sz w:val="18"/>
                <w:szCs w:val="18"/>
                <w:lang w:eastAsia="en-US"/>
              </w:rPr>
            </w:pPr>
            <w:r w:rsidRPr="00686515">
              <w:rPr>
                <w:rFonts w:asciiTheme="minorHAnsi" w:hAnsiTheme="minorHAnsi"/>
                <w:sz w:val="18"/>
                <w:szCs w:val="18"/>
              </w:rPr>
              <w:t xml:space="preserve">170,000 daily users traffic volume; travel time from </w:t>
            </w:r>
            <w:proofErr w:type="spellStart"/>
            <w:r w:rsidRPr="00686515">
              <w:rPr>
                <w:rFonts w:asciiTheme="minorHAnsi" w:hAnsiTheme="minorHAnsi"/>
                <w:sz w:val="18"/>
                <w:szCs w:val="18"/>
              </w:rPr>
              <w:t>Ho</w:t>
            </w:r>
            <w:proofErr w:type="spellEnd"/>
            <w:r w:rsidRPr="00686515">
              <w:rPr>
                <w:rFonts w:asciiTheme="minorHAnsi" w:hAnsiTheme="minorHAnsi"/>
                <w:sz w:val="18"/>
                <w:szCs w:val="18"/>
              </w:rPr>
              <w:t xml:space="preserve"> Chi Minh to Long </w:t>
            </w:r>
            <w:proofErr w:type="spellStart"/>
            <w:r w:rsidRPr="00686515">
              <w:rPr>
                <w:rFonts w:asciiTheme="minorHAnsi" w:hAnsiTheme="minorHAnsi"/>
                <w:sz w:val="18"/>
                <w:szCs w:val="18"/>
              </w:rPr>
              <w:t>Xuyen</w:t>
            </w:r>
            <w:proofErr w:type="spellEnd"/>
            <w:r w:rsidRPr="00686515">
              <w:rPr>
                <w:rFonts w:asciiTheme="minorHAnsi" w:hAnsiTheme="minorHAnsi"/>
                <w:sz w:val="18"/>
                <w:szCs w:val="18"/>
              </w:rPr>
              <w:t xml:space="preserve"> reduced from 3 – 3.5 to 2.5 hours</w:t>
            </w:r>
          </w:p>
        </w:tc>
        <w:tc>
          <w:tcPr>
            <w:tcW w:w="1407" w:type="pct"/>
            <w:tcBorders>
              <w:top w:val="nil"/>
              <w:left w:val="nil"/>
              <w:bottom w:val="nil"/>
              <w:right w:val="nil"/>
            </w:tcBorders>
            <w:hideMark/>
          </w:tcPr>
          <w:p w:rsidR="00C37399" w:rsidRPr="00686515" w:rsidRDefault="00115DAA" w:rsidP="00510CCC">
            <w:pPr>
              <w:pStyle w:val="NormalIndented"/>
              <w:ind w:left="43"/>
              <w:rPr>
                <w:rFonts w:asciiTheme="minorHAnsi" w:hAnsiTheme="minorHAnsi"/>
                <w:sz w:val="18"/>
                <w:szCs w:val="18"/>
                <w:lang w:eastAsia="en-US"/>
              </w:rPr>
            </w:pPr>
            <w:r w:rsidRPr="00686515">
              <w:rPr>
                <w:rFonts w:asciiTheme="minorHAnsi" w:hAnsiTheme="minorHAnsi"/>
                <w:sz w:val="18"/>
                <w:szCs w:val="18"/>
              </w:rPr>
              <w:t xml:space="preserve">170,000 </w:t>
            </w:r>
            <w:r w:rsidR="00D233CF" w:rsidRPr="00686515">
              <w:rPr>
                <w:rFonts w:asciiTheme="minorHAnsi" w:hAnsiTheme="minorHAnsi"/>
                <w:sz w:val="18"/>
                <w:szCs w:val="18"/>
              </w:rPr>
              <w:t>passengers benefit daily; five million resident</w:t>
            </w:r>
            <w:r w:rsidR="00B1576B" w:rsidRPr="00686515">
              <w:rPr>
                <w:rFonts w:asciiTheme="minorHAnsi" w:hAnsiTheme="minorHAnsi"/>
                <w:sz w:val="18"/>
                <w:szCs w:val="18"/>
              </w:rPr>
              <w:t>s</w:t>
            </w:r>
            <w:r w:rsidR="00D233CF" w:rsidRPr="00686515">
              <w:rPr>
                <w:rFonts w:asciiTheme="minorHAnsi" w:hAnsiTheme="minorHAnsi"/>
                <w:sz w:val="18"/>
                <w:szCs w:val="18"/>
              </w:rPr>
              <w:t xml:space="preserve"> of An </w:t>
            </w:r>
            <w:proofErr w:type="spellStart"/>
            <w:r w:rsidR="00D233CF" w:rsidRPr="00686515">
              <w:rPr>
                <w:rFonts w:asciiTheme="minorHAnsi" w:hAnsiTheme="minorHAnsi"/>
                <w:sz w:val="18"/>
                <w:szCs w:val="18"/>
              </w:rPr>
              <w:t>Giang</w:t>
            </w:r>
            <w:proofErr w:type="spellEnd"/>
            <w:r w:rsidR="00D233CF" w:rsidRPr="00686515">
              <w:rPr>
                <w:rFonts w:asciiTheme="minorHAnsi" w:hAnsiTheme="minorHAnsi"/>
                <w:sz w:val="18"/>
                <w:szCs w:val="18"/>
              </w:rPr>
              <w:t xml:space="preserve">, Can </w:t>
            </w:r>
            <w:proofErr w:type="spellStart"/>
            <w:r w:rsidR="00D233CF" w:rsidRPr="00686515">
              <w:rPr>
                <w:rFonts w:asciiTheme="minorHAnsi" w:hAnsiTheme="minorHAnsi"/>
                <w:sz w:val="18"/>
                <w:szCs w:val="18"/>
              </w:rPr>
              <w:t>Tho</w:t>
            </w:r>
            <w:proofErr w:type="spellEnd"/>
            <w:r w:rsidR="00D233CF" w:rsidRPr="00686515">
              <w:rPr>
                <w:rFonts w:asciiTheme="minorHAnsi" w:hAnsiTheme="minorHAnsi"/>
                <w:sz w:val="18"/>
                <w:szCs w:val="18"/>
              </w:rPr>
              <w:t xml:space="preserve"> and Dong Thao provinces benefit from improved regional trade </w:t>
            </w:r>
          </w:p>
        </w:tc>
      </w:tr>
      <w:tr w:rsidR="00D233CF" w:rsidRPr="00A3623F" w:rsidTr="00686515">
        <w:trPr>
          <w:trHeight w:val="614"/>
        </w:trPr>
        <w:tc>
          <w:tcPr>
            <w:tcW w:w="775" w:type="pct"/>
            <w:tcBorders>
              <w:top w:val="nil"/>
              <w:left w:val="nil"/>
              <w:bottom w:val="nil"/>
              <w:right w:val="nil"/>
            </w:tcBorders>
          </w:tcPr>
          <w:p w:rsidR="00D233CF" w:rsidRPr="00686515" w:rsidRDefault="00D233CF" w:rsidP="00686515">
            <w:pPr>
              <w:pStyle w:val="NormalIndented"/>
              <w:ind w:left="29"/>
              <w:rPr>
                <w:rFonts w:asciiTheme="minorHAnsi" w:eastAsia="Times New Roman" w:hAnsiTheme="minorHAnsi"/>
                <w:iCs/>
                <w:sz w:val="18"/>
                <w:szCs w:val="18"/>
              </w:rPr>
            </w:pPr>
          </w:p>
        </w:tc>
        <w:tc>
          <w:tcPr>
            <w:tcW w:w="1461" w:type="pct"/>
            <w:tcBorders>
              <w:top w:val="nil"/>
              <w:left w:val="nil"/>
              <w:bottom w:val="nil"/>
              <w:right w:val="nil"/>
            </w:tcBorders>
          </w:tcPr>
          <w:p w:rsidR="00D233CF" w:rsidRPr="00686515" w:rsidRDefault="00D233CF" w:rsidP="007B4865">
            <w:pPr>
              <w:pStyle w:val="NormalIndented"/>
              <w:rPr>
                <w:rFonts w:asciiTheme="minorHAnsi" w:eastAsia="Times New Roman" w:hAnsiTheme="minorHAnsi"/>
                <w:iCs/>
                <w:sz w:val="18"/>
                <w:szCs w:val="18"/>
              </w:rPr>
            </w:pPr>
            <w:r w:rsidRPr="00686515">
              <w:rPr>
                <w:rFonts w:asciiTheme="minorHAnsi" w:eastAsia="Times New Roman" w:hAnsiTheme="minorHAnsi"/>
                <w:iCs/>
                <w:sz w:val="18"/>
                <w:szCs w:val="18"/>
              </w:rPr>
              <w:t xml:space="preserve">1.2 </w:t>
            </w:r>
            <w:r w:rsidR="009B736C" w:rsidRPr="00686515">
              <w:rPr>
                <w:rFonts w:asciiTheme="minorHAnsi" w:hAnsiTheme="minorHAnsi"/>
                <w:sz w:val="18"/>
                <w:szCs w:val="18"/>
              </w:rPr>
              <w:t>Number of beneficiaries with access to new or improved climate smart products or services</w:t>
            </w:r>
          </w:p>
        </w:tc>
        <w:tc>
          <w:tcPr>
            <w:tcW w:w="1357" w:type="pct"/>
            <w:tcBorders>
              <w:top w:val="nil"/>
              <w:left w:val="nil"/>
              <w:bottom w:val="nil"/>
              <w:right w:val="nil"/>
            </w:tcBorders>
          </w:tcPr>
          <w:p w:rsidR="00D233CF" w:rsidRPr="00686515" w:rsidRDefault="00D854E0" w:rsidP="0078152E">
            <w:pPr>
              <w:pStyle w:val="NormalIndented"/>
              <w:ind w:left="33"/>
              <w:rPr>
                <w:rFonts w:asciiTheme="minorHAnsi" w:hAnsiTheme="minorHAnsi"/>
                <w:sz w:val="18"/>
                <w:szCs w:val="18"/>
              </w:rPr>
            </w:pPr>
            <w:r w:rsidRPr="00686515">
              <w:rPr>
                <w:rFonts w:asciiTheme="minorHAnsi" w:hAnsiTheme="minorHAnsi"/>
                <w:sz w:val="18"/>
                <w:szCs w:val="18"/>
              </w:rPr>
              <w:t>20,000</w:t>
            </w:r>
            <w:r w:rsidR="009B736C" w:rsidRPr="00686515">
              <w:rPr>
                <w:rFonts w:asciiTheme="minorHAnsi" w:hAnsiTheme="minorHAnsi"/>
                <w:sz w:val="18"/>
                <w:szCs w:val="18"/>
              </w:rPr>
              <w:t xml:space="preserve"> beneficiaries </w:t>
            </w:r>
          </w:p>
        </w:tc>
        <w:tc>
          <w:tcPr>
            <w:tcW w:w="1407" w:type="pct"/>
            <w:tcBorders>
              <w:top w:val="nil"/>
              <w:left w:val="nil"/>
              <w:bottom w:val="nil"/>
              <w:right w:val="nil"/>
            </w:tcBorders>
          </w:tcPr>
          <w:p w:rsidR="00D233CF" w:rsidRPr="00686515" w:rsidRDefault="00D854E0" w:rsidP="0078152E">
            <w:pPr>
              <w:pStyle w:val="NormalIndented"/>
              <w:ind w:left="33"/>
              <w:rPr>
                <w:rFonts w:asciiTheme="minorHAnsi" w:hAnsiTheme="minorHAnsi"/>
                <w:sz w:val="18"/>
                <w:szCs w:val="18"/>
              </w:rPr>
            </w:pPr>
            <w:r w:rsidRPr="00686515">
              <w:rPr>
                <w:rFonts w:asciiTheme="minorHAnsi" w:hAnsiTheme="minorHAnsi"/>
                <w:sz w:val="18"/>
                <w:szCs w:val="18"/>
              </w:rPr>
              <w:t xml:space="preserve">25,000 </w:t>
            </w:r>
            <w:r w:rsidR="009B736C" w:rsidRPr="00686515">
              <w:rPr>
                <w:rFonts w:asciiTheme="minorHAnsi" w:hAnsiTheme="minorHAnsi"/>
                <w:sz w:val="18"/>
                <w:szCs w:val="18"/>
              </w:rPr>
              <w:t xml:space="preserve">beneficiaries </w:t>
            </w:r>
          </w:p>
        </w:tc>
      </w:tr>
      <w:tr w:rsidR="009B736C" w:rsidRPr="00A3623F" w:rsidTr="00686515">
        <w:trPr>
          <w:trHeight w:val="614"/>
        </w:trPr>
        <w:tc>
          <w:tcPr>
            <w:tcW w:w="775" w:type="pct"/>
            <w:tcBorders>
              <w:top w:val="nil"/>
              <w:left w:val="nil"/>
              <w:bottom w:val="nil"/>
              <w:right w:val="nil"/>
            </w:tcBorders>
          </w:tcPr>
          <w:p w:rsidR="009B736C" w:rsidRPr="00686515" w:rsidRDefault="009B736C" w:rsidP="00686515">
            <w:pPr>
              <w:pStyle w:val="NormalIndented"/>
              <w:ind w:left="29"/>
              <w:rPr>
                <w:rFonts w:asciiTheme="minorHAnsi" w:hAnsiTheme="minorHAnsi"/>
                <w:sz w:val="18"/>
                <w:szCs w:val="18"/>
              </w:rPr>
            </w:pPr>
            <w:r w:rsidRPr="00686515">
              <w:rPr>
                <w:rFonts w:asciiTheme="minorHAnsi" w:hAnsiTheme="minorHAnsi"/>
                <w:sz w:val="18"/>
                <w:szCs w:val="18"/>
              </w:rPr>
              <w:t>Objective 2: Assisting the development and employment of a highly skilled workforce</w:t>
            </w:r>
          </w:p>
        </w:tc>
        <w:tc>
          <w:tcPr>
            <w:tcW w:w="1461" w:type="pct"/>
            <w:tcBorders>
              <w:top w:val="nil"/>
              <w:left w:val="nil"/>
              <w:bottom w:val="nil"/>
              <w:right w:val="nil"/>
            </w:tcBorders>
          </w:tcPr>
          <w:p w:rsidR="009B736C" w:rsidRPr="00686515" w:rsidRDefault="009B736C" w:rsidP="009B736C">
            <w:pPr>
              <w:pStyle w:val="NormalIndented"/>
              <w:rPr>
                <w:rFonts w:asciiTheme="minorHAnsi" w:hAnsiTheme="minorHAnsi"/>
                <w:sz w:val="18"/>
                <w:szCs w:val="18"/>
                <w:lang w:eastAsia="en-US"/>
              </w:rPr>
            </w:pPr>
            <w:r w:rsidRPr="00686515">
              <w:rPr>
                <w:rFonts w:asciiTheme="minorHAnsi" w:eastAsia="Times New Roman" w:hAnsiTheme="minorHAnsi"/>
                <w:iCs/>
                <w:sz w:val="18"/>
                <w:szCs w:val="18"/>
              </w:rPr>
              <w:t xml:space="preserve">2.1 </w:t>
            </w:r>
            <w:r w:rsidRPr="00686515">
              <w:rPr>
                <w:rFonts w:asciiTheme="minorHAnsi" w:hAnsiTheme="minorHAnsi"/>
                <w:sz w:val="18"/>
                <w:szCs w:val="18"/>
              </w:rPr>
              <w:t>Percentage of program participants demonstrating positive contributions to priority areas</w:t>
            </w:r>
          </w:p>
        </w:tc>
        <w:tc>
          <w:tcPr>
            <w:tcW w:w="1358" w:type="pct"/>
            <w:tcBorders>
              <w:top w:val="nil"/>
              <w:left w:val="nil"/>
              <w:bottom w:val="nil"/>
              <w:right w:val="nil"/>
            </w:tcBorders>
          </w:tcPr>
          <w:p w:rsidR="009B736C" w:rsidRPr="00686515" w:rsidRDefault="009B736C" w:rsidP="0078152E">
            <w:pPr>
              <w:pStyle w:val="NormalIndented"/>
              <w:ind w:left="33"/>
              <w:rPr>
                <w:rFonts w:asciiTheme="minorHAnsi" w:hAnsiTheme="minorHAnsi"/>
                <w:sz w:val="18"/>
                <w:szCs w:val="18"/>
                <w:lang w:eastAsia="en-US"/>
              </w:rPr>
            </w:pPr>
            <w:r w:rsidRPr="00686515">
              <w:rPr>
                <w:rFonts w:asciiTheme="minorHAnsi" w:hAnsiTheme="minorHAnsi"/>
                <w:sz w:val="18"/>
                <w:szCs w:val="18"/>
              </w:rPr>
              <w:t>80 per cent of program participants demonstrating positive contributions to priority areas</w:t>
            </w:r>
          </w:p>
        </w:tc>
        <w:tc>
          <w:tcPr>
            <w:tcW w:w="1406" w:type="pct"/>
            <w:tcBorders>
              <w:top w:val="nil"/>
              <w:left w:val="nil"/>
              <w:bottom w:val="nil"/>
              <w:right w:val="nil"/>
            </w:tcBorders>
          </w:tcPr>
          <w:p w:rsidR="009B736C" w:rsidRPr="00686515" w:rsidRDefault="009B736C" w:rsidP="0078152E">
            <w:pPr>
              <w:pStyle w:val="NormalIndented"/>
              <w:ind w:left="33"/>
              <w:rPr>
                <w:rFonts w:asciiTheme="minorHAnsi" w:hAnsiTheme="minorHAnsi"/>
                <w:sz w:val="18"/>
                <w:szCs w:val="18"/>
                <w:lang w:eastAsia="en-US"/>
              </w:rPr>
            </w:pPr>
            <w:r w:rsidRPr="00686515">
              <w:rPr>
                <w:rFonts w:asciiTheme="minorHAnsi" w:hAnsiTheme="minorHAnsi"/>
                <w:sz w:val="18"/>
                <w:szCs w:val="18"/>
              </w:rPr>
              <w:t>85 per cent of program participants demonstrating positive contributions to priority areas</w:t>
            </w:r>
          </w:p>
        </w:tc>
      </w:tr>
      <w:tr w:rsidR="009B736C" w:rsidRPr="00A3623F" w:rsidTr="00686515">
        <w:trPr>
          <w:trHeight w:val="614"/>
        </w:trPr>
        <w:tc>
          <w:tcPr>
            <w:tcW w:w="775" w:type="pct"/>
            <w:tcBorders>
              <w:top w:val="nil"/>
              <w:left w:val="nil"/>
              <w:bottom w:val="nil"/>
              <w:right w:val="nil"/>
            </w:tcBorders>
          </w:tcPr>
          <w:p w:rsidR="009B736C" w:rsidRPr="00686515" w:rsidRDefault="009B736C" w:rsidP="00686515">
            <w:pPr>
              <w:ind w:left="29"/>
              <w:rPr>
                <w:rFonts w:asciiTheme="minorHAnsi" w:hAnsiTheme="minorHAnsi"/>
                <w:sz w:val="18"/>
                <w:szCs w:val="18"/>
              </w:rPr>
            </w:pPr>
          </w:p>
        </w:tc>
        <w:tc>
          <w:tcPr>
            <w:tcW w:w="1461" w:type="pct"/>
            <w:tcBorders>
              <w:top w:val="nil"/>
              <w:left w:val="nil"/>
              <w:bottom w:val="nil"/>
              <w:right w:val="nil"/>
            </w:tcBorders>
            <w:shd w:val="clear" w:color="auto" w:fill="auto"/>
          </w:tcPr>
          <w:p w:rsidR="009B736C" w:rsidRPr="00686515" w:rsidRDefault="00FF1EAB" w:rsidP="0020517E">
            <w:pPr>
              <w:ind w:left="275"/>
              <w:rPr>
                <w:rFonts w:asciiTheme="minorHAnsi" w:hAnsiTheme="minorHAnsi"/>
                <w:sz w:val="18"/>
                <w:szCs w:val="18"/>
              </w:rPr>
            </w:pPr>
            <w:r w:rsidRPr="00686515">
              <w:rPr>
                <w:rFonts w:asciiTheme="minorHAnsi" w:hAnsiTheme="minorHAnsi"/>
                <w:sz w:val="18"/>
                <w:szCs w:val="18"/>
              </w:rPr>
              <w:t xml:space="preserve">2.2 </w:t>
            </w:r>
            <w:r w:rsidR="009B736C" w:rsidRPr="00686515">
              <w:rPr>
                <w:rFonts w:asciiTheme="minorHAnsi" w:hAnsiTheme="minorHAnsi"/>
                <w:sz w:val="18"/>
                <w:szCs w:val="18"/>
              </w:rPr>
              <w:t>Increase in number of improved skills utili</w:t>
            </w:r>
            <w:r w:rsidR="000C5481" w:rsidRPr="00686515">
              <w:rPr>
                <w:rFonts w:asciiTheme="minorHAnsi" w:hAnsiTheme="minorHAnsi"/>
                <w:sz w:val="18"/>
                <w:szCs w:val="18"/>
              </w:rPr>
              <w:t>s</w:t>
            </w:r>
            <w:r w:rsidR="009B736C" w:rsidRPr="00686515">
              <w:rPr>
                <w:rFonts w:asciiTheme="minorHAnsi" w:hAnsiTheme="minorHAnsi"/>
                <w:sz w:val="18"/>
                <w:szCs w:val="18"/>
              </w:rPr>
              <w:t xml:space="preserve">ation practices implemented on an ongoing basis in targeted </w:t>
            </w:r>
            <w:r w:rsidR="0020517E" w:rsidRPr="00686515">
              <w:rPr>
                <w:rFonts w:asciiTheme="minorHAnsi" w:hAnsiTheme="minorHAnsi"/>
                <w:sz w:val="18"/>
                <w:szCs w:val="18"/>
              </w:rPr>
              <w:t xml:space="preserve">departments/faculties/workplaces </w:t>
            </w:r>
            <w:r w:rsidR="009B736C" w:rsidRPr="00686515">
              <w:rPr>
                <w:rFonts w:asciiTheme="minorHAnsi" w:hAnsiTheme="minorHAnsi"/>
                <w:sz w:val="18"/>
                <w:szCs w:val="18"/>
              </w:rPr>
              <w:t xml:space="preserve"> </w:t>
            </w:r>
          </w:p>
        </w:tc>
        <w:tc>
          <w:tcPr>
            <w:tcW w:w="1358" w:type="pct"/>
            <w:tcBorders>
              <w:top w:val="nil"/>
              <w:left w:val="nil"/>
              <w:bottom w:val="nil"/>
              <w:right w:val="nil"/>
            </w:tcBorders>
          </w:tcPr>
          <w:p w:rsidR="009B736C" w:rsidRPr="00686515" w:rsidRDefault="009B736C" w:rsidP="0078152E">
            <w:pPr>
              <w:pStyle w:val="NormalIndented"/>
              <w:ind w:left="33"/>
              <w:rPr>
                <w:rFonts w:asciiTheme="minorHAnsi" w:hAnsiTheme="minorHAnsi"/>
                <w:sz w:val="18"/>
                <w:szCs w:val="18"/>
              </w:rPr>
            </w:pPr>
            <w:r w:rsidRPr="00686515">
              <w:rPr>
                <w:rStyle w:val="Strong"/>
                <w:rFonts w:asciiTheme="minorHAnsi" w:hAnsiTheme="minorHAnsi"/>
                <w:b w:val="0"/>
                <w:sz w:val="18"/>
                <w:szCs w:val="18"/>
              </w:rPr>
              <w:t>Increase in number of improved skills utili</w:t>
            </w:r>
            <w:r w:rsidR="000C5481" w:rsidRPr="00686515">
              <w:rPr>
                <w:rStyle w:val="Strong"/>
                <w:rFonts w:asciiTheme="minorHAnsi" w:hAnsiTheme="minorHAnsi"/>
                <w:b w:val="0"/>
                <w:sz w:val="18"/>
                <w:szCs w:val="18"/>
              </w:rPr>
              <w:t>s</w:t>
            </w:r>
            <w:r w:rsidRPr="00686515">
              <w:rPr>
                <w:rStyle w:val="Strong"/>
                <w:rFonts w:asciiTheme="minorHAnsi" w:hAnsiTheme="minorHAnsi"/>
                <w:b w:val="0"/>
                <w:sz w:val="18"/>
                <w:szCs w:val="18"/>
              </w:rPr>
              <w:t xml:space="preserve">ation practices implemented on an ongoing basis in targeted </w:t>
            </w:r>
            <w:r w:rsidR="0020517E" w:rsidRPr="00686515">
              <w:rPr>
                <w:rFonts w:asciiTheme="minorHAnsi" w:hAnsiTheme="minorHAnsi"/>
                <w:sz w:val="18"/>
                <w:szCs w:val="18"/>
              </w:rPr>
              <w:t xml:space="preserve">departments/faculties/workplaces </w:t>
            </w:r>
            <w:r w:rsidRPr="00686515">
              <w:rPr>
                <w:rStyle w:val="Strong"/>
                <w:rFonts w:asciiTheme="minorHAnsi" w:hAnsiTheme="minorHAnsi"/>
                <w:b w:val="0"/>
                <w:sz w:val="18"/>
                <w:szCs w:val="18"/>
              </w:rPr>
              <w:t>(10)</w:t>
            </w:r>
          </w:p>
        </w:tc>
        <w:tc>
          <w:tcPr>
            <w:tcW w:w="1406" w:type="pct"/>
            <w:tcBorders>
              <w:top w:val="nil"/>
              <w:left w:val="nil"/>
              <w:bottom w:val="nil"/>
              <w:right w:val="nil"/>
            </w:tcBorders>
          </w:tcPr>
          <w:p w:rsidR="009B736C" w:rsidRPr="00686515" w:rsidRDefault="009B736C" w:rsidP="0078152E">
            <w:pPr>
              <w:pStyle w:val="NormalIndented"/>
              <w:ind w:left="33"/>
              <w:rPr>
                <w:rFonts w:asciiTheme="minorHAnsi" w:hAnsiTheme="minorHAnsi"/>
                <w:sz w:val="18"/>
                <w:szCs w:val="18"/>
              </w:rPr>
            </w:pPr>
            <w:r w:rsidRPr="00686515">
              <w:rPr>
                <w:rStyle w:val="Strong"/>
                <w:rFonts w:asciiTheme="minorHAnsi" w:hAnsiTheme="minorHAnsi"/>
                <w:b w:val="0"/>
                <w:sz w:val="18"/>
                <w:szCs w:val="18"/>
              </w:rPr>
              <w:t>Increase in number of improved skills utili</w:t>
            </w:r>
            <w:r w:rsidR="000C5481" w:rsidRPr="00686515">
              <w:rPr>
                <w:rStyle w:val="Strong"/>
                <w:rFonts w:asciiTheme="minorHAnsi" w:hAnsiTheme="minorHAnsi"/>
                <w:b w:val="0"/>
                <w:sz w:val="18"/>
                <w:szCs w:val="18"/>
              </w:rPr>
              <w:t>s</w:t>
            </w:r>
            <w:r w:rsidRPr="00686515">
              <w:rPr>
                <w:rStyle w:val="Strong"/>
                <w:rFonts w:asciiTheme="minorHAnsi" w:hAnsiTheme="minorHAnsi"/>
                <w:b w:val="0"/>
                <w:sz w:val="18"/>
                <w:szCs w:val="18"/>
              </w:rPr>
              <w:t xml:space="preserve">ation practices implemented on an ongoing basis in targeted </w:t>
            </w:r>
            <w:r w:rsidR="0020517E" w:rsidRPr="00686515">
              <w:rPr>
                <w:rFonts w:asciiTheme="minorHAnsi" w:hAnsiTheme="minorHAnsi"/>
                <w:sz w:val="18"/>
                <w:szCs w:val="18"/>
              </w:rPr>
              <w:t xml:space="preserve">departments/faculties/workplaces </w:t>
            </w:r>
            <w:r w:rsidRPr="00686515">
              <w:rPr>
                <w:rStyle w:val="Strong"/>
                <w:rFonts w:asciiTheme="minorHAnsi" w:hAnsiTheme="minorHAnsi"/>
                <w:b w:val="0"/>
                <w:sz w:val="18"/>
                <w:szCs w:val="18"/>
              </w:rPr>
              <w:t>(20)</w:t>
            </w:r>
          </w:p>
        </w:tc>
      </w:tr>
      <w:tr w:rsidR="00D5718E" w:rsidRPr="00A3623F" w:rsidTr="00686515">
        <w:trPr>
          <w:trHeight w:val="614"/>
        </w:trPr>
        <w:tc>
          <w:tcPr>
            <w:tcW w:w="775" w:type="pct"/>
            <w:tcBorders>
              <w:top w:val="nil"/>
              <w:left w:val="nil"/>
              <w:bottom w:val="nil"/>
              <w:right w:val="nil"/>
            </w:tcBorders>
          </w:tcPr>
          <w:p w:rsidR="00D5718E" w:rsidRPr="00686515" w:rsidRDefault="00D5718E" w:rsidP="00686515">
            <w:pPr>
              <w:pStyle w:val="NormalIndented"/>
              <w:ind w:left="29"/>
              <w:rPr>
                <w:rFonts w:asciiTheme="minorHAnsi" w:hAnsiTheme="minorHAnsi"/>
                <w:sz w:val="18"/>
                <w:szCs w:val="18"/>
              </w:rPr>
            </w:pPr>
            <w:r w:rsidRPr="00686515">
              <w:rPr>
                <w:rFonts w:asciiTheme="minorHAnsi" w:hAnsiTheme="minorHAnsi"/>
                <w:sz w:val="18"/>
                <w:szCs w:val="18"/>
              </w:rPr>
              <w:t>Objective 3: Promoting women’s economic empowerment, including ethnic minorities</w:t>
            </w:r>
          </w:p>
        </w:tc>
        <w:tc>
          <w:tcPr>
            <w:tcW w:w="1461" w:type="pct"/>
            <w:tcBorders>
              <w:top w:val="nil"/>
              <w:left w:val="nil"/>
              <w:bottom w:val="nil"/>
              <w:right w:val="nil"/>
            </w:tcBorders>
          </w:tcPr>
          <w:p w:rsidR="00D5718E" w:rsidRPr="00686515" w:rsidRDefault="00FF1EAB" w:rsidP="00441FA9">
            <w:pPr>
              <w:ind w:left="275"/>
              <w:rPr>
                <w:rFonts w:asciiTheme="minorHAnsi" w:hAnsiTheme="minorHAnsi"/>
                <w:sz w:val="18"/>
                <w:szCs w:val="18"/>
                <w:shd w:val="clear" w:color="auto" w:fill="EAF1DD"/>
              </w:rPr>
            </w:pPr>
            <w:r w:rsidRPr="00686515">
              <w:rPr>
                <w:rFonts w:asciiTheme="minorHAnsi" w:hAnsiTheme="minorHAnsi"/>
                <w:sz w:val="18"/>
                <w:szCs w:val="18"/>
              </w:rPr>
              <w:t xml:space="preserve">3.1 </w:t>
            </w:r>
            <w:r w:rsidR="00D5718E" w:rsidRPr="00686515">
              <w:rPr>
                <w:rFonts w:asciiTheme="minorHAnsi" w:hAnsiTheme="minorHAnsi"/>
                <w:sz w:val="18"/>
                <w:szCs w:val="18"/>
              </w:rPr>
              <w:t>Number of households with increased incomes</w:t>
            </w:r>
          </w:p>
        </w:tc>
        <w:tc>
          <w:tcPr>
            <w:tcW w:w="1358" w:type="pct"/>
            <w:tcBorders>
              <w:top w:val="nil"/>
              <w:left w:val="nil"/>
              <w:bottom w:val="nil"/>
              <w:right w:val="nil"/>
            </w:tcBorders>
          </w:tcPr>
          <w:p w:rsidR="00D5718E" w:rsidRPr="00686515" w:rsidRDefault="00D927C2" w:rsidP="00D5718E">
            <w:pPr>
              <w:rPr>
                <w:rFonts w:asciiTheme="minorHAnsi" w:hAnsiTheme="minorHAnsi"/>
                <w:sz w:val="18"/>
                <w:szCs w:val="18"/>
              </w:rPr>
            </w:pPr>
            <w:r w:rsidRPr="00686515">
              <w:rPr>
                <w:rFonts w:asciiTheme="minorHAnsi" w:hAnsiTheme="minorHAnsi"/>
                <w:sz w:val="18"/>
                <w:szCs w:val="18"/>
              </w:rPr>
              <w:t>Two</w:t>
            </w:r>
            <w:r w:rsidR="00D5718E" w:rsidRPr="00686515">
              <w:rPr>
                <w:rFonts w:asciiTheme="minorHAnsi" w:hAnsiTheme="minorHAnsi"/>
                <w:sz w:val="18"/>
                <w:szCs w:val="18"/>
              </w:rPr>
              <w:t xml:space="preserve"> new contracts signed between farmer group and processing companies</w:t>
            </w:r>
          </w:p>
          <w:p w:rsidR="00D5718E" w:rsidRPr="00686515" w:rsidRDefault="00272C99" w:rsidP="00D5718E">
            <w:pPr>
              <w:rPr>
                <w:rFonts w:asciiTheme="minorHAnsi" w:hAnsiTheme="minorHAnsi"/>
                <w:sz w:val="18"/>
                <w:szCs w:val="18"/>
              </w:rPr>
            </w:pPr>
            <w:r w:rsidRPr="00686515">
              <w:rPr>
                <w:rFonts w:asciiTheme="minorHAnsi" w:hAnsiTheme="minorHAnsi"/>
                <w:sz w:val="18"/>
                <w:szCs w:val="18"/>
              </w:rPr>
              <w:t>1,750</w:t>
            </w:r>
            <w:r w:rsidR="00D5718E" w:rsidRPr="00686515">
              <w:rPr>
                <w:rFonts w:asciiTheme="minorHAnsi" w:hAnsiTheme="minorHAnsi"/>
                <w:sz w:val="18"/>
                <w:szCs w:val="18"/>
              </w:rPr>
              <w:t xml:space="preserve"> women </w:t>
            </w:r>
            <w:r w:rsidRPr="00686515">
              <w:rPr>
                <w:rFonts w:asciiTheme="minorHAnsi" w:hAnsiTheme="minorHAnsi"/>
                <w:sz w:val="18"/>
                <w:szCs w:val="18"/>
              </w:rPr>
              <w:t xml:space="preserve">report </w:t>
            </w:r>
            <w:r w:rsidR="00D5718E" w:rsidRPr="00686515">
              <w:rPr>
                <w:rFonts w:asciiTheme="minorHAnsi" w:hAnsiTheme="minorHAnsi"/>
                <w:sz w:val="18"/>
                <w:szCs w:val="18"/>
              </w:rPr>
              <w:t xml:space="preserve">enhanced skills </w:t>
            </w:r>
            <w:r w:rsidRPr="00686515">
              <w:rPr>
                <w:rFonts w:asciiTheme="minorHAnsi" w:hAnsiTheme="minorHAnsi"/>
                <w:sz w:val="18"/>
                <w:szCs w:val="18"/>
              </w:rPr>
              <w:t>and stronger networks</w:t>
            </w:r>
          </w:p>
          <w:p w:rsidR="00D5718E" w:rsidRPr="00686515" w:rsidRDefault="00272C99" w:rsidP="00A3623F">
            <w:pPr>
              <w:rPr>
                <w:rStyle w:val="Strong"/>
                <w:rFonts w:asciiTheme="minorHAnsi" w:hAnsiTheme="minorHAnsi"/>
                <w:b w:val="0"/>
                <w:sz w:val="18"/>
                <w:szCs w:val="18"/>
              </w:rPr>
            </w:pPr>
            <w:r w:rsidRPr="00686515">
              <w:rPr>
                <w:rFonts w:asciiTheme="minorHAnsi" w:hAnsiTheme="minorHAnsi"/>
                <w:sz w:val="18"/>
                <w:szCs w:val="18"/>
              </w:rPr>
              <w:t>1,663</w:t>
            </w:r>
            <w:r w:rsidR="00D5718E" w:rsidRPr="00686515">
              <w:rPr>
                <w:rFonts w:asciiTheme="minorHAnsi" w:hAnsiTheme="minorHAnsi"/>
                <w:sz w:val="18"/>
                <w:szCs w:val="18"/>
              </w:rPr>
              <w:t xml:space="preserve"> women hav</w:t>
            </w:r>
            <w:r w:rsidRPr="00686515">
              <w:rPr>
                <w:rFonts w:asciiTheme="minorHAnsi" w:hAnsiTheme="minorHAnsi"/>
                <w:sz w:val="18"/>
                <w:szCs w:val="18"/>
              </w:rPr>
              <w:t>e</w:t>
            </w:r>
            <w:r w:rsidR="00D5718E" w:rsidRPr="00686515">
              <w:rPr>
                <w:rFonts w:asciiTheme="minorHAnsi" w:hAnsiTheme="minorHAnsi"/>
                <w:sz w:val="18"/>
                <w:szCs w:val="18"/>
              </w:rPr>
              <w:t xml:space="preserve"> better access to productive resources and inputs</w:t>
            </w:r>
          </w:p>
        </w:tc>
        <w:tc>
          <w:tcPr>
            <w:tcW w:w="1406" w:type="pct"/>
            <w:tcBorders>
              <w:top w:val="nil"/>
              <w:left w:val="nil"/>
              <w:bottom w:val="nil"/>
              <w:right w:val="nil"/>
            </w:tcBorders>
          </w:tcPr>
          <w:p w:rsidR="00D5718E" w:rsidRPr="00686515" w:rsidRDefault="00D5718E" w:rsidP="00510CCC">
            <w:pPr>
              <w:pStyle w:val="NormalIndented"/>
              <w:ind w:left="33"/>
              <w:rPr>
                <w:rStyle w:val="Strong"/>
                <w:rFonts w:asciiTheme="minorHAnsi" w:hAnsiTheme="minorHAnsi"/>
                <w:b w:val="0"/>
                <w:sz w:val="18"/>
                <w:szCs w:val="18"/>
              </w:rPr>
            </w:pPr>
            <w:r w:rsidRPr="00686515">
              <w:rPr>
                <w:rFonts w:asciiTheme="minorHAnsi" w:hAnsiTheme="minorHAnsi"/>
                <w:sz w:val="18"/>
                <w:szCs w:val="18"/>
              </w:rPr>
              <w:t xml:space="preserve">8,263 </w:t>
            </w:r>
            <w:r w:rsidR="00953379" w:rsidRPr="00686515">
              <w:rPr>
                <w:rFonts w:asciiTheme="minorHAnsi" w:hAnsiTheme="minorHAnsi"/>
                <w:sz w:val="18"/>
                <w:szCs w:val="18"/>
              </w:rPr>
              <w:t>households</w:t>
            </w:r>
            <w:r w:rsidRPr="00686515">
              <w:rPr>
                <w:rFonts w:asciiTheme="minorHAnsi" w:hAnsiTheme="minorHAnsi"/>
                <w:sz w:val="18"/>
                <w:szCs w:val="18"/>
              </w:rPr>
              <w:t xml:space="preserve"> with increased incomes</w:t>
            </w:r>
          </w:p>
        </w:tc>
      </w:tr>
      <w:tr w:rsidR="0078152E" w:rsidRPr="00A3623F" w:rsidTr="00686515">
        <w:trPr>
          <w:trHeight w:val="614"/>
        </w:trPr>
        <w:tc>
          <w:tcPr>
            <w:tcW w:w="775" w:type="pct"/>
            <w:tcBorders>
              <w:top w:val="nil"/>
              <w:left w:val="nil"/>
              <w:bottom w:val="single" w:sz="12" w:space="0" w:color="auto"/>
              <w:right w:val="nil"/>
            </w:tcBorders>
          </w:tcPr>
          <w:p w:rsidR="0078152E" w:rsidRPr="00686515" w:rsidRDefault="0078152E" w:rsidP="000200D0">
            <w:pPr>
              <w:pStyle w:val="NormalIndented"/>
              <w:ind w:left="29"/>
              <w:rPr>
                <w:rFonts w:asciiTheme="minorHAnsi" w:hAnsiTheme="minorHAnsi"/>
                <w:sz w:val="18"/>
                <w:szCs w:val="18"/>
              </w:rPr>
            </w:pPr>
          </w:p>
        </w:tc>
        <w:tc>
          <w:tcPr>
            <w:tcW w:w="1461" w:type="pct"/>
            <w:tcBorders>
              <w:top w:val="nil"/>
              <w:left w:val="nil"/>
              <w:bottom w:val="single" w:sz="12" w:space="0" w:color="auto"/>
              <w:right w:val="nil"/>
            </w:tcBorders>
          </w:tcPr>
          <w:p w:rsidR="0078152E" w:rsidRPr="000200D0" w:rsidRDefault="00FF1EAB" w:rsidP="00441FA9">
            <w:pPr>
              <w:ind w:left="275"/>
              <w:rPr>
                <w:rFonts w:asciiTheme="minorHAnsi" w:hAnsiTheme="minorHAnsi"/>
                <w:sz w:val="18"/>
                <w:szCs w:val="18"/>
              </w:rPr>
            </w:pPr>
            <w:r w:rsidRPr="000200D0">
              <w:rPr>
                <w:rFonts w:asciiTheme="minorHAnsi" w:hAnsiTheme="minorHAnsi"/>
                <w:sz w:val="18"/>
                <w:szCs w:val="18"/>
              </w:rPr>
              <w:t xml:space="preserve">3.2 </w:t>
            </w:r>
            <w:r w:rsidR="0078152E" w:rsidRPr="000200D0">
              <w:rPr>
                <w:rFonts w:asciiTheme="minorHAnsi" w:hAnsiTheme="minorHAnsi"/>
                <w:sz w:val="18"/>
                <w:szCs w:val="18"/>
              </w:rPr>
              <w:t xml:space="preserve">Number of firms actively implementing gender equality roadmap </w:t>
            </w:r>
          </w:p>
        </w:tc>
        <w:tc>
          <w:tcPr>
            <w:tcW w:w="1358" w:type="pct"/>
            <w:tcBorders>
              <w:top w:val="nil"/>
              <w:left w:val="nil"/>
              <w:bottom w:val="single" w:sz="12" w:space="0" w:color="auto"/>
              <w:right w:val="nil"/>
            </w:tcBorders>
          </w:tcPr>
          <w:p w:rsidR="0078152E" w:rsidRPr="000200D0" w:rsidRDefault="00D854E0">
            <w:pPr>
              <w:rPr>
                <w:rFonts w:asciiTheme="minorHAnsi" w:hAnsiTheme="minorHAnsi"/>
                <w:sz w:val="18"/>
                <w:szCs w:val="18"/>
              </w:rPr>
            </w:pPr>
            <w:r w:rsidRPr="000200D0">
              <w:rPr>
                <w:rFonts w:asciiTheme="minorHAnsi" w:hAnsiTheme="minorHAnsi"/>
                <w:sz w:val="18"/>
                <w:szCs w:val="18"/>
              </w:rPr>
              <w:t xml:space="preserve">Eight </w:t>
            </w:r>
            <w:r w:rsidR="0078152E" w:rsidRPr="000200D0">
              <w:rPr>
                <w:rFonts w:asciiTheme="minorHAnsi" w:hAnsiTheme="minorHAnsi"/>
                <w:sz w:val="18"/>
                <w:szCs w:val="18"/>
              </w:rPr>
              <w:t xml:space="preserve">founding members of </w:t>
            </w:r>
            <w:r w:rsidR="00B82BA1" w:rsidRPr="000200D0">
              <w:rPr>
                <w:rFonts w:asciiTheme="minorHAnsi" w:hAnsiTheme="minorHAnsi"/>
                <w:sz w:val="18"/>
                <w:szCs w:val="18"/>
              </w:rPr>
              <w:t xml:space="preserve">the </w:t>
            </w:r>
            <w:r w:rsidR="00CC3BD5" w:rsidRPr="000200D0">
              <w:rPr>
                <w:rFonts w:asciiTheme="minorHAnsi" w:hAnsiTheme="minorHAnsi"/>
                <w:i/>
                <w:sz w:val="18"/>
                <w:szCs w:val="18"/>
              </w:rPr>
              <w:t>IW</w:t>
            </w:r>
            <w:r w:rsidR="00B82BA1" w:rsidRPr="000200D0">
              <w:rPr>
                <w:rFonts w:asciiTheme="minorHAnsi" w:hAnsiTheme="minorHAnsi"/>
                <w:sz w:val="18"/>
                <w:szCs w:val="18"/>
              </w:rPr>
              <w:t xml:space="preserve"> </w:t>
            </w:r>
            <w:r w:rsidR="0078152E" w:rsidRPr="000200D0">
              <w:rPr>
                <w:rFonts w:asciiTheme="minorHAnsi" w:hAnsiTheme="minorHAnsi"/>
                <w:sz w:val="18"/>
                <w:szCs w:val="18"/>
              </w:rPr>
              <w:t>business coalition complete Economic Dividend</w:t>
            </w:r>
            <w:r w:rsidR="0001007B" w:rsidRPr="000200D0">
              <w:rPr>
                <w:rFonts w:asciiTheme="minorHAnsi" w:hAnsiTheme="minorHAnsi"/>
                <w:sz w:val="18"/>
                <w:szCs w:val="18"/>
              </w:rPr>
              <w:t>s</w:t>
            </w:r>
            <w:r w:rsidR="0078152E" w:rsidRPr="000200D0">
              <w:rPr>
                <w:rFonts w:asciiTheme="minorHAnsi" w:hAnsiTheme="minorHAnsi"/>
                <w:sz w:val="18"/>
                <w:szCs w:val="18"/>
              </w:rPr>
              <w:t xml:space="preserve"> for Gender Equality</w:t>
            </w:r>
            <w:r w:rsidR="00B82BA1" w:rsidRPr="000200D0">
              <w:rPr>
                <w:rFonts w:asciiTheme="minorHAnsi" w:hAnsiTheme="minorHAnsi"/>
                <w:sz w:val="18"/>
                <w:szCs w:val="18"/>
              </w:rPr>
              <w:t xml:space="preserve"> certification</w:t>
            </w:r>
          </w:p>
        </w:tc>
        <w:tc>
          <w:tcPr>
            <w:tcW w:w="1406" w:type="pct"/>
            <w:tcBorders>
              <w:top w:val="nil"/>
              <w:left w:val="nil"/>
              <w:bottom w:val="single" w:sz="12" w:space="0" w:color="auto"/>
              <w:right w:val="nil"/>
            </w:tcBorders>
          </w:tcPr>
          <w:p w:rsidR="0078152E" w:rsidRPr="000200D0" w:rsidRDefault="0078152E" w:rsidP="0078152E">
            <w:pPr>
              <w:pStyle w:val="NormalIndented"/>
              <w:ind w:left="33"/>
              <w:rPr>
                <w:rFonts w:asciiTheme="minorHAnsi" w:hAnsiTheme="minorHAnsi"/>
                <w:sz w:val="18"/>
                <w:szCs w:val="18"/>
              </w:rPr>
            </w:pPr>
          </w:p>
        </w:tc>
      </w:tr>
    </w:tbl>
    <w:p w:rsidR="00400B0F" w:rsidRPr="00784031" w:rsidRDefault="00400B0F" w:rsidP="00165AA2">
      <w:pPr>
        <w:pStyle w:val="Subtitle"/>
        <w:numPr>
          <w:ilvl w:val="0"/>
          <w:numId w:val="0"/>
        </w:numPr>
      </w:pPr>
      <w:r>
        <w:rPr>
          <w:rFonts w:ascii="Franklin Gothic Book" w:eastAsia="Times New Roman" w:hAnsi="Franklin Gothic Book"/>
          <w:sz w:val="21"/>
        </w:rPr>
        <w:br w:type="page"/>
      </w:r>
      <w:r w:rsidR="00165AA2">
        <w:lastRenderedPageBreak/>
        <w:t xml:space="preserve">Annex C – </w:t>
      </w:r>
      <w:r w:rsidRPr="00784031">
        <w:t>Evaluation Planning</w:t>
      </w:r>
    </w:p>
    <w:p w:rsidR="00400B0F" w:rsidRPr="008C2F58" w:rsidRDefault="00400B0F" w:rsidP="008C2F58">
      <w:pPr>
        <w:rPr>
          <w:b/>
          <w:sz w:val="24"/>
        </w:rPr>
      </w:pPr>
      <w:r w:rsidRPr="008C2F58">
        <w:rPr>
          <w:b/>
          <w:sz w:val="24"/>
        </w:rPr>
        <w:t xml:space="preserve">List of evaluations completed in the reporting period </w:t>
      </w:r>
    </w:p>
    <w:tbl>
      <w:tblPr>
        <w:tblStyle w:val="APPR"/>
        <w:tblW w:w="14175" w:type="dxa"/>
        <w:tblLayout w:type="fixed"/>
        <w:tblLook w:val="04A0" w:firstRow="1" w:lastRow="0" w:firstColumn="1" w:lastColumn="0" w:noHBand="0" w:noVBand="1"/>
      </w:tblPr>
      <w:tblGrid>
        <w:gridCol w:w="3106"/>
        <w:gridCol w:w="4685"/>
        <w:gridCol w:w="1425"/>
        <w:gridCol w:w="1981"/>
        <w:gridCol w:w="1699"/>
        <w:gridCol w:w="1279"/>
      </w:tblGrid>
      <w:tr w:rsidR="00400B0F" w:rsidRPr="00902F9B" w:rsidTr="00686515">
        <w:trPr>
          <w:cnfStyle w:val="100000000000" w:firstRow="1" w:lastRow="0" w:firstColumn="0" w:lastColumn="0" w:oddVBand="0" w:evenVBand="0" w:oddHBand="0" w:evenHBand="0" w:firstRowFirstColumn="0" w:firstRowLastColumn="0" w:lastRowFirstColumn="0" w:lastRowLastColumn="0"/>
        </w:trPr>
        <w:tc>
          <w:tcPr>
            <w:tcW w:w="3064" w:type="dxa"/>
          </w:tcPr>
          <w:p w:rsidR="00400B0F" w:rsidRPr="00686515" w:rsidRDefault="00400B0F" w:rsidP="006F27B1">
            <w:pPr>
              <w:keepLines/>
              <w:spacing w:line="200" w:lineRule="atLeast"/>
              <w:rPr>
                <w:rFonts w:asciiTheme="minorHAnsi" w:eastAsia="Times New Roman" w:hAnsiTheme="minorHAnsi"/>
                <w:iCs/>
                <w:sz w:val="18"/>
                <w:szCs w:val="18"/>
                <w:lang w:eastAsia="en-US"/>
              </w:rPr>
            </w:pPr>
            <w:r w:rsidRPr="00686515">
              <w:rPr>
                <w:rFonts w:eastAsia="Times New Roman"/>
                <w:iCs/>
                <w:sz w:val="18"/>
                <w:szCs w:val="18"/>
              </w:rPr>
              <w:t xml:space="preserve">Investment number and name </w:t>
            </w:r>
          </w:p>
          <w:p w:rsidR="00400B0F" w:rsidRPr="00686515" w:rsidRDefault="00400B0F" w:rsidP="006F27B1">
            <w:pPr>
              <w:keepLines/>
              <w:spacing w:line="200" w:lineRule="atLeast"/>
              <w:rPr>
                <w:rFonts w:asciiTheme="minorHAnsi" w:eastAsia="Times New Roman" w:hAnsiTheme="minorHAnsi"/>
                <w:b w:val="0"/>
                <w:iCs/>
                <w:sz w:val="18"/>
                <w:szCs w:val="18"/>
                <w:lang w:eastAsia="en-US"/>
              </w:rPr>
            </w:pPr>
            <w:r w:rsidRPr="00686515">
              <w:rPr>
                <w:rFonts w:eastAsia="Times New Roman"/>
                <w:iCs/>
                <w:sz w:val="18"/>
                <w:szCs w:val="18"/>
              </w:rPr>
              <w:t xml:space="preserve">(if applicable) </w:t>
            </w:r>
          </w:p>
        </w:tc>
        <w:tc>
          <w:tcPr>
            <w:tcW w:w="4657" w:type="dxa"/>
          </w:tcPr>
          <w:p w:rsidR="00400B0F" w:rsidRPr="00686515" w:rsidRDefault="00400B0F" w:rsidP="006F27B1">
            <w:pPr>
              <w:keepLines/>
              <w:spacing w:line="200" w:lineRule="atLeast"/>
              <w:rPr>
                <w:rFonts w:asciiTheme="minorHAnsi" w:eastAsia="Times New Roman" w:hAnsiTheme="minorHAnsi"/>
                <w:iCs/>
                <w:sz w:val="18"/>
                <w:szCs w:val="18"/>
                <w:lang w:eastAsia="en-US"/>
              </w:rPr>
            </w:pPr>
            <w:r w:rsidRPr="00686515">
              <w:rPr>
                <w:rFonts w:eastAsia="Times New Roman"/>
                <w:iCs/>
                <w:sz w:val="18"/>
                <w:szCs w:val="18"/>
              </w:rPr>
              <w:t>Name of evaluation</w:t>
            </w:r>
          </w:p>
        </w:tc>
        <w:tc>
          <w:tcPr>
            <w:tcW w:w="1397" w:type="dxa"/>
          </w:tcPr>
          <w:p w:rsidR="00400B0F" w:rsidRPr="00686515" w:rsidRDefault="00400B0F" w:rsidP="006F27B1">
            <w:pPr>
              <w:keepLines/>
              <w:spacing w:line="200" w:lineRule="atLeast"/>
              <w:rPr>
                <w:rFonts w:asciiTheme="minorHAnsi" w:eastAsia="Times New Roman" w:hAnsiTheme="minorHAnsi"/>
                <w:iCs/>
                <w:sz w:val="18"/>
                <w:szCs w:val="18"/>
                <w:lang w:eastAsia="en-US"/>
              </w:rPr>
            </w:pPr>
            <w:r w:rsidRPr="00686515">
              <w:rPr>
                <w:rFonts w:eastAsia="Times New Roman"/>
                <w:iCs/>
                <w:sz w:val="18"/>
                <w:szCs w:val="18"/>
              </w:rPr>
              <w:t>Date completed</w:t>
            </w:r>
          </w:p>
        </w:tc>
        <w:tc>
          <w:tcPr>
            <w:tcW w:w="1953" w:type="dxa"/>
          </w:tcPr>
          <w:p w:rsidR="00400B0F" w:rsidRPr="00686515" w:rsidRDefault="00400B0F" w:rsidP="006F27B1">
            <w:pPr>
              <w:keepLines/>
              <w:spacing w:line="200" w:lineRule="atLeast"/>
              <w:rPr>
                <w:rFonts w:asciiTheme="minorHAnsi" w:eastAsia="Times New Roman" w:hAnsiTheme="minorHAnsi"/>
                <w:iCs/>
                <w:sz w:val="18"/>
                <w:szCs w:val="18"/>
                <w:lang w:eastAsia="en-US"/>
              </w:rPr>
            </w:pPr>
            <w:r w:rsidRPr="00686515">
              <w:rPr>
                <w:rFonts w:eastAsia="Times New Roman"/>
                <w:iCs/>
                <w:sz w:val="18"/>
                <w:szCs w:val="18"/>
              </w:rPr>
              <w:t>Date Evaluation report Uploaded into AidWorks</w:t>
            </w:r>
          </w:p>
        </w:tc>
        <w:tc>
          <w:tcPr>
            <w:tcW w:w="1671" w:type="dxa"/>
          </w:tcPr>
          <w:p w:rsidR="00400B0F" w:rsidRPr="00686515" w:rsidRDefault="00400B0F" w:rsidP="006F27B1">
            <w:pPr>
              <w:keepLines/>
              <w:spacing w:line="200" w:lineRule="atLeast"/>
              <w:rPr>
                <w:rFonts w:asciiTheme="minorHAnsi" w:eastAsia="Times New Roman" w:hAnsiTheme="minorHAnsi"/>
                <w:iCs/>
                <w:sz w:val="18"/>
                <w:szCs w:val="18"/>
                <w:lang w:eastAsia="en-US"/>
              </w:rPr>
            </w:pPr>
            <w:r w:rsidRPr="00686515">
              <w:rPr>
                <w:rFonts w:eastAsia="Times New Roman"/>
                <w:iCs/>
                <w:sz w:val="18"/>
                <w:szCs w:val="18"/>
              </w:rPr>
              <w:t>Date Management response uploaded into AidWorks</w:t>
            </w:r>
          </w:p>
        </w:tc>
        <w:tc>
          <w:tcPr>
            <w:tcW w:w="1237" w:type="dxa"/>
          </w:tcPr>
          <w:p w:rsidR="00400B0F" w:rsidRPr="00686515" w:rsidRDefault="00400B0F" w:rsidP="006F27B1">
            <w:pPr>
              <w:keepLines/>
              <w:spacing w:line="200" w:lineRule="atLeast"/>
              <w:rPr>
                <w:rFonts w:asciiTheme="minorHAnsi" w:eastAsia="Times New Roman" w:hAnsiTheme="minorHAnsi"/>
                <w:iCs/>
                <w:sz w:val="18"/>
                <w:szCs w:val="18"/>
                <w:lang w:eastAsia="en-US"/>
              </w:rPr>
            </w:pPr>
            <w:r w:rsidRPr="00686515">
              <w:rPr>
                <w:rFonts w:eastAsia="Times New Roman"/>
                <w:iCs/>
                <w:sz w:val="18"/>
                <w:szCs w:val="18"/>
              </w:rPr>
              <w:t>Published on website</w:t>
            </w:r>
          </w:p>
        </w:tc>
      </w:tr>
      <w:tr w:rsidR="00A94442" w:rsidRPr="00A3623F" w:rsidTr="00686515">
        <w:trPr>
          <w:cnfStyle w:val="100000000000" w:firstRow="1" w:lastRow="0" w:firstColumn="0" w:lastColumn="0" w:oddVBand="0" w:evenVBand="0" w:oddHBand="0" w:evenHBand="0" w:firstRowFirstColumn="0" w:firstRowLastColumn="0" w:lastRowFirstColumn="0" w:lastRowLastColumn="0"/>
        </w:trPr>
        <w:tc>
          <w:tcPr>
            <w:tcW w:w="3064" w:type="dxa"/>
          </w:tcPr>
          <w:p w:rsidR="00165AA2" w:rsidRPr="00686515" w:rsidRDefault="00165AA2" w:rsidP="0003751D">
            <w:pPr>
              <w:keepLines/>
              <w:spacing w:before="40" w:after="40" w:line="200" w:lineRule="atLeast"/>
              <w:rPr>
                <w:rFonts w:asciiTheme="minorHAnsi" w:eastAsia="Times New Roman" w:hAnsiTheme="minorHAnsi"/>
                <w:b w:val="0"/>
                <w:iCs/>
                <w:sz w:val="18"/>
                <w:szCs w:val="18"/>
              </w:rPr>
            </w:pPr>
            <w:r w:rsidRPr="00686515">
              <w:rPr>
                <w:rFonts w:asciiTheme="minorHAnsi" w:eastAsia="Times New Roman" w:hAnsiTheme="minorHAnsi"/>
                <w:b w:val="0"/>
                <w:iCs/>
                <w:sz w:val="18"/>
                <w:szCs w:val="18"/>
              </w:rPr>
              <w:t>N/A</w:t>
            </w:r>
          </w:p>
        </w:tc>
        <w:tc>
          <w:tcPr>
            <w:tcW w:w="4657" w:type="dxa"/>
          </w:tcPr>
          <w:p w:rsidR="00165AA2" w:rsidRPr="00686515" w:rsidRDefault="00165AA2" w:rsidP="0003751D">
            <w:pPr>
              <w:keepLines/>
              <w:spacing w:before="40" w:after="40" w:line="200" w:lineRule="atLeast"/>
              <w:rPr>
                <w:rFonts w:asciiTheme="minorHAnsi" w:eastAsia="Times New Roman" w:hAnsiTheme="minorHAnsi"/>
                <w:b w:val="0"/>
                <w:iCs/>
                <w:sz w:val="18"/>
                <w:szCs w:val="18"/>
              </w:rPr>
            </w:pPr>
            <w:r w:rsidRPr="00686515">
              <w:rPr>
                <w:rFonts w:asciiTheme="minorHAnsi" w:eastAsia="Times New Roman" w:hAnsiTheme="minorHAnsi"/>
                <w:b w:val="0"/>
                <w:iCs/>
                <w:sz w:val="18"/>
                <w:szCs w:val="18"/>
              </w:rPr>
              <w:t xml:space="preserve">Gender Equality Action Plan Annual Review  </w:t>
            </w:r>
          </w:p>
        </w:tc>
        <w:tc>
          <w:tcPr>
            <w:tcW w:w="1397" w:type="dxa"/>
          </w:tcPr>
          <w:p w:rsidR="00165AA2" w:rsidRPr="00686515" w:rsidRDefault="00165AA2" w:rsidP="0003751D">
            <w:pPr>
              <w:keepLines/>
              <w:spacing w:before="40" w:after="40" w:line="200" w:lineRule="atLeast"/>
              <w:rPr>
                <w:rFonts w:asciiTheme="minorHAnsi" w:eastAsia="Times New Roman" w:hAnsiTheme="minorHAnsi"/>
                <w:b w:val="0"/>
                <w:iCs/>
                <w:sz w:val="18"/>
                <w:szCs w:val="18"/>
              </w:rPr>
            </w:pPr>
            <w:r w:rsidRPr="00686515">
              <w:rPr>
                <w:rFonts w:asciiTheme="minorHAnsi" w:eastAsia="Times New Roman" w:hAnsiTheme="minorHAnsi"/>
                <w:b w:val="0"/>
                <w:iCs/>
                <w:sz w:val="18"/>
                <w:szCs w:val="18"/>
              </w:rPr>
              <w:t>Nov</w:t>
            </w:r>
            <w:r w:rsidR="00D927C2" w:rsidRPr="00686515">
              <w:rPr>
                <w:rFonts w:asciiTheme="minorHAnsi" w:eastAsia="Times New Roman" w:hAnsiTheme="minorHAnsi"/>
                <w:b w:val="0"/>
                <w:iCs/>
                <w:sz w:val="18"/>
                <w:szCs w:val="18"/>
              </w:rPr>
              <w:t>ember</w:t>
            </w:r>
            <w:r w:rsidRPr="00686515">
              <w:rPr>
                <w:rFonts w:asciiTheme="minorHAnsi" w:eastAsia="Times New Roman" w:hAnsiTheme="minorHAnsi"/>
                <w:b w:val="0"/>
                <w:iCs/>
                <w:sz w:val="18"/>
                <w:szCs w:val="18"/>
              </w:rPr>
              <w:t xml:space="preserve"> </w:t>
            </w:r>
            <w:r w:rsidR="00D927C2" w:rsidRPr="00686515">
              <w:rPr>
                <w:rFonts w:asciiTheme="minorHAnsi" w:eastAsia="Times New Roman" w:hAnsiTheme="minorHAnsi"/>
                <w:b w:val="0"/>
                <w:iCs/>
                <w:sz w:val="18"/>
                <w:szCs w:val="18"/>
              </w:rPr>
              <w:t>20</w:t>
            </w:r>
            <w:r w:rsidRPr="00686515">
              <w:rPr>
                <w:rFonts w:asciiTheme="minorHAnsi" w:eastAsia="Times New Roman" w:hAnsiTheme="minorHAnsi"/>
                <w:b w:val="0"/>
                <w:iCs/>
                <w:sz w:val="18"/>
                <w:szCs w:val="18"/>
              </w:rPr>
              <w:t>17</w:t>
            </w:r>
          </w:p>
        </w:tc>
        <w:tc>
          <w:tcPr>
            <w:tcW w:w="1953" w:type="dxa"/>
          </w:tcPr>
          <w:p w:rsidR="00165AA2" w:rsidRPr="00686515" w:rsidRDefault="00165AA2" w:rsidP="0003751D">
            <w:pPr>
              <w:keepLines/>
              <w:spacing w:before="40" w:after="40" w:line="200" w:lineRule="atLeast"/>
              <w:rPr>
                <w:rFonts w:asciiTheme="minorHAnsi" w:eastAsia="Times New Roman" w:hAnsiTheme="minorHAnsi"/>
                <w:b w:val="0"/>
                <w:iCs/>
                <w:sz w:val="18"/>
                <w:szCs w:val="18"/>
              </w:rPr>
            </w:pPr>
            <w:r w:rsidRPr="00686515">
              <w:rPr>
                <w:rFonts w:asciiTheme="minorHAnsi" w:eastAsia="Times New Roman" w:hAnsiTheme="minorHAnsi"/>
                <w:b w:val="0"/>
                <w:iCs/>
                <w:sz w:val="18"/>
                <w:szCs w:val="18"/>
              </w:rPr>
              <w:t xml:space="preserve">N/A  </w:t>
            </w:r>
          </w:p>
        </w:tc>
        <w:tc>
          <w:tcPr>
            <w:tcW w:w="1671" w:type="dxa"/>
          </w:tcPr>
          <w:p w:rsidR="00165AA2" w:rsidRPr="00686515" w:rsidRDefault="00165AA2" w:rsidP="0003751D">
            <w:pPr>
              <w:keepLines/>
              <w:spacing w:before="40" w:after="40" w:line="200" w:lineRule="atLeast"/>
              <w:rPr>
                <w:rFonts w:asciiTheme="minorHAnsi" w:eastAsia="Times New Roman" w:hAnsiTheme="minorHAnsi"/>
                <w:b w:val="0"/>
                <w:iCs/>
                <w:sz w:val="18"/>
                <w:szCs w:val="18"/>
              </w:rPr>
            </w:pPr>
            <w:r w:rsidRPr="00686515">
              <w:rPr>
                <w:rFonts w:asciiTheme="minorHAnsi" w:eastAsia="Times New Roman" w:hAnsiTheme="minorHAnsi"/>
                <w:b w:val="0"/>
                <w:iCs/>
                <w:sz w:val="18"/>
                <w:szCs w:val="18"/>
              </w:rPr>
              <w:t>N/A</w:t>
            </w:r>
          </w:p>
        </w:tc>
        <w:tc>
          <w:tcPr>
            <w:tcW w:w="1237" w:type="dxa"/>
          </w:tcPr>
          <w:p w:rsidR="00165AA2" w:rsidRPr="00686515" w:rsidRDefault="00165AA2" w:rsidP="0003751D">
            <w:pPr>
              <w:keepLines/>
              <w:spacing w:before="40" w:after="40" w:line="200" w:lineRule="atLeast"/>
              <w:rPr>
                <w:rFonts w:asciiTheme="minorHAnsi" w:eastAsia="Times New Roman" w:hAnsiTheme="minorHAnsi"/>
                <w:b w:val="0"/>
                <w:iCs/>
                <w:sz w:val="18"/>
                <w:szCs w:val="18"/>
              </w:rPr>
            </w:pPr>
            <w:r w:rsidRPr="00686515">
              <w:rPr>
                <w:rFonts w:asciiTheme="minorHAnsi" w:eastAsia="Times New Roman" w:hAnsiTheme="minorHAnsi"/>
                <w:b w:val="0"/>
                <w:iCs/>
                <w:sz w:val="18"/>
                <w:szCs w:val="18"/>
              </w:rPr>
              <w:t>N/A</w:t>
            </w:r>
          </w:p>
          <w:p w:rsidR="00165AA2" w:rsidRPr="00686515" w:rsidRDefault="00165AA2" w:rsidP="0003751D">
            <w:pPr>
              <w:keepLines/>
              <w:spacing w:before="40" w:after="40" w:line="200" w:lineRule="atLeast"/>
              <w:rPr>
                <w:rFonts w:asciiTheme="minorHAnsi" w:eastAsia="Times New Roman" w:hAnsiTheme="minorHAnsi"/>
                <w:b w:val="0"/>
                <w:iCs/>
                <w:sz w:val="18"/>
                <w:szCs w:val="18"/>
              </w:rPr>
            </w:pPr>
          </w:p>
        </w:tc>
      </w:tr>
      <w:tr w:rsidR="00A94442" w:rsidRPr="00A3623F" w:rsidTr="00686515">
        <w:trPr>
          <w:cnfStyle w:val="100000000000" w:firstRow="1" w:lastRow="0" w:firstColumn="0" w:lastColumn="0" w:oddVBand="0" w:evenVBand="0" w:oddHBand="0" w:evenHBand="0" w:firstRowFirstColumn="0" w:firstRowLastColumn="0" w:lastRowFirstColumn="0" w:lastRowLastColumn="0"/>
        </w:trPr>
        <w:tc>
          <w:tcPr>
            <w:tcW w:w="3064" w:type="dxa"/>
          </w:tcPr>
          <w:p w:rsidR="00165AA2" w:rsidRPr="00686515" w:rsidRDefault="00165AA2" w:rsidP="0003751D">
            <w:pPr>
              <w:keepLines/>
              <w:spacing w:before="40" w:after="40" w:line="200" w:lineRule="atLeast"/>
              <w:rPr>
                <w:rFonts w:asciiTheme="minorHAnsi" w:eastAsia="Times New Roman" w:hAnsiTheme="minorHAnsi"/>
                <w:b w:val="0"/>
                <w:iCs/>
                <w:sz w:val="18"/>
                <w:szCs w:val="18"/>
              </w:rPr>
            </w:pPr>
            <w:r w:rsidRPr="00686515">
              <w:rPr>
                <w:rFonts w:asciiTheme="minorHAnsi" w:eastAsia="Times New Roman" w:hAnsiTheme="minorHAnsi"/>
                <w:b w:val="0"/>
                <w:iCs/>
                <w:sz w:val="18"/>
                <w:szCs w:val="18"/>
              </w:rPr>
              <w:t>INJ577</w:t>
            </w:r>
          </w:p>
        </w:tc>
        <w:tc>
          <w:tcPr>
            <w:tcW w:w="4657" w:type="dxa"/>
          </w:tcPr>
          <w:p w:rsidR="00165AA2" w:rsidRPr="00686515" w:rsidRDefault="00983157" w:rsidP="0003751D">
            <w:pPr>
              <w:keepLines/>
              <w:spacing w:before="40" w:after="40" w:line="200" w:lineRule="atLeast"/>
              <w:rPr>
                <w:rFonts w:asciiTheme="minorHAnsi" w:eastAsia="Times New Roman" w:hAnsiTheme="minorHAnsi"/>
                <w:b w:val="0"/>
                <w:iCs/>
                <w:sz w:val="18"/>
                <w:szCs w:val="18"/>
              </w:rPr>
            </w:pPr>
            <w:r w:rsidRPr="00686515">
              <w:rPr>
                <w:rFonts w:asciiTheme="minorHAnsi" w:eastAsia="Times New Roman" w:hAnsiTheme="minorHAnsi"/>
                <w:b w:val="0"/>
                <w:iCs/>
                <w:sz w:val="18"/>
                <w:szCs w:val="18"/>
              </w:rPr>
              <w:t>Integrated Coastal and Mangrove Forest Protection in the Mekong Provinces for the Adaptation to Climate Change (ICMP): Summary report of final evaluation and management response</w:t>
            </w:r>
          </w:p>
        </w:tc>
        <w:tc>
          <w:tcPr>
            <w:tcW w:w="1397" w:type="dxa"/>
          </w:tcPr>
          <w:p w:rsidR="00165AA2" w:rsidRPr="00686515" w:rsidRDefault="00983157" w:rsidP="0003751D">
            <w:pPr>
              <w:keepLines/>
              <w:spacing w:before="40" w:after="40" w:line="200" w:lineRule="atLeast"/>
              <w:rPr>
                <w:rFonts w:asciiTheme="minorHAnsi" w:eastAsia="Times New Roman" w:hAnsiTheme="minorHAnsi"/>
                <w:b w:val="0"/>
                <w:iCs/>
                <w:sz w:val="18"/>
                <w:szCs w:val="18"/>
              </w:rPr>
            </w:pPr>
            <w:r w:rsidRPr="00686515">
              <w:rPr>
                <w:rFonts w:asciiTheme="minorHAnsi" w:eastAsia="Times New Roman" w:hAnsiTheme="minorHAnsi"/>
                <w:b w:val="0"/>
                <w:iCs/>
                <w:sz w:val="18"/>
                <w:szCs w:val="18"/>
              </w:rPr>
              <w:t>31 July</w:t>
            </w:r>
            <w:r w:rsidR="00165AA2" w:rsidRPr="00686515">
              <w:rPr>
                <w:rFonts w:asciiTheme="minorHAnsi" w:eastAsia="Times New Roman" w:hAnsiTheme="minorHAnsi"/>
                <w:b w:val="0"/>
                <w:iCs/>
                <w:sz w:val="18"/>
                <w:szCs w:val="18"/>
              </w:rPr>
              <w:t xml:space="preserve"> </w:t>
            </w:r>
            <w:r w:rsidR="00D927C2" w:rsidRPr="00686515">
              <w:rPr>
                <w:rFonts w:asciiTheme="minorHAnsi" w:eastAsia="Times New Roman" w:hAnsiTheme="minorHAnsi"/>
                <w:b w:val="0"/>
                <w:iCs/>
                <w:sz w:val="18"/>
                <w:szCs w:val="18"/>
              </w:rPr>
              <w:t>20</w:t>
            </w:r>
            <w:r w:rsidR="00165AA2" w:rsidRPr="00686515">
              <w:rPr>
                <w:rFonts w:asciiTheme="minorHAnsi" w:eastAsia="Times New Roman" w:hAnsiTheme="minorHAnsi"/>
                <w:b w:val="0"/>
                <w:iCs/>
                <w:sz w:val="18"/>
                <w:szCs w:val="18"/>
              </w:rPr>
              <w:t>17</w:t>
            </w:r>
          </w:p>
        </w:tc>
        <w:tc>
          <w:tcPr>
            <w:tcW w:w="1953" w:type="dxa"/>
          </w:tcPr>
          <w:p w:rsidR="00165AA2" w:rsidRPr="00686515" w:rsidRDefault="00983157" w:rsidP="0003751D">
            <w:pPr>
              <w:keepLines/>
              <w:spacing w:before="40" w:after="40" w:line="200" w:lineRule="atLeast"/>
              <w:rPr>
                <w:rFonts w:asciiTheme="minorHAnsi" w:eastAsia="Times New Roman" w:hAnsiTheme="minorHAnsi"/>
                <w:b w:val="0"/>
                <w:iCs/>
                <w:sz w:val="18"/>
                <w:szCs w:val="18"/>
              </w:rPr>
            </w:pPr>
            <w:r w:rsidRPr="00686515">
              <w:rPr>
                <w:rFonts w:asciiTheme="minorHAnsi" w:eastAsia="Times New Roman" w:hAnsiTheme="minorHAnsi"/>
                <w:b w:val="0"/>
                <w:iCs/>
                <w:sz w:val="18"/>
                <w:szCs w:val="18"/>
              </w:rPr>
              <w:t>31 July 2017</w:t>
            </w:r>
            <w:r w:rsidR="00165AA2" w:rsidRPr="00686515">
              <w:rPr>
                <w:rFonts w:asciiTheme="minorHAnsi" w:eastAsia="Times New Roman" w:hAnsiTheme="minorHAnsi"/>
                <w:b w:val="0"/>
                <w:iCs/>
                <w:sz w:val="18"/>
                <w:szCs w:val="18"/>
              </w:rPr>
              <w:t xml:space="preserve"> </w:t>
            </w:r>
          </w:p>
        </w:tc>
        <w:tc>
          <w:tcPr>
            <w:tcW w:w="1671" w:type="dxa"/>
          </w:tcPr>
          <w:p w:rsidR="00165AA2" w:rsidRPr="00686515" w:rsidRDefault="00983157" w:rsidP="0003751D">
            <w:pPr>
              <w:keepLines/>
              <w:spacing w:before="40" w:after="40" w:line="200" w:lineRule="atLeast"/>
              <w:rPr>
                <w:rFonts w:asciiTheme="minorHAnsi" w:eastAsia="Times New Roman" w:hAnsiTheme="minorHAnsi"/>
                <w:b w:val="0"/>
                <w:iCs/>
                <w:sz w:val="18"/>
                <w:szCs w:val="18"/>
              </w:rPr>
            </w:pPr>
            <w:r w:rsidRPr="00686515">
              <w:rPr>
                <w:rFonts w:asciiTheme="minorHAnsi" w:eastAsia="Times New Roman" w:hAnsiTheme="minorHAnsi"/>
                <w:b w:val="0"/>
                <w:iCs/>
                <w:sz w:val="18"/>
                <w:szCs w:val="18"/>
              </w:rPr>
              <w:t>3 August 2017</w:t>
            </w:r>
          </w:p>
        </w:tc>
        <w:tc>
          <w:tcPr>
            <w:tcW w:w="1237" w:type="dxa"/>
          </w:tcPr>
          <w:p w:rsidR="00165AA2" w:rsidRPr="00686515" w:rsidRDefault="00983157" w:rsidP="0003751D">
            <w:pPr>
              <w:keepLines/>
              <w:spacing w:before="40" w:after="40" w:line="200" w:lineRule="atLeast"/>
              <w:rPr>
                <w:rFonts w:asciiTheme="minorHAnsi" w:eastAsia="Times New Roman" w:hAnsiTheme="minorHAnsi"/>
                <w:b w:val="0"/>
                <w:iCs/>
                <w:sz w:val="18"/>
                <w:szCs w:val="18"/>
              </w:rPr>
            </w:pPr>
            <w:r w:rsidRPr="00686515">
              <w:rPr>
                <w:rFonts w:asciiTheme="minorHAnsi" w:eastAsia="Times New Roman" w:hAnsiTheme="minorHAnsi"/>
                <w:b w:val="0"/>
                <w:iCs/>
                <w:sz w:val="18"/>
                <w:szCs w:val="18"/>
              </w:rPr>
              <w:t>31 July 2017</w:t>
            </w:r>
          </w:p>
          <w:p w:rsidR="00165AA2" w:rsidRPr="00686515" w:rsidRDefault="00165AA2" w:rsidP="0003751D">
            <w:pPr>
              <w:keepLines/>
              <w:spacing w:before="40" w:after="40" w:line="200" w:lineRule="atLeast"/>
              <w:rPr>
                <w:rFonts w:asciiTheme="minorHAnsi" w:eastAsia="Times New Roman" w:hAnsiTheme="minorHAnsi"/>
                <w:b w:val="0"/>
                <w:iCs/>
                <w:sz w:val="18"/>
                <w:szCs w:val="18"/>
              </w:rPr>
            </w:pPr>
          </w:p>
        </w:tc>
      </w:tr>
    </w:tbl>
    <w:p w:rsidR="001C0A82" w:rsidRDefault="001C0A82" w:rsidP="008C2F58">
      <w:pPr>
        <w:rPr>
          <w:b/>
          <w:sz w:val="24"/>
        </w:rPr>
      </w:pPr>
    </w:p>
    <w:p w:rsidR="00400B0F" w:rsidRDefault="00187F9C" w:rsidP="008C2F58">
      <w:pPr>
        <w:rPr>
          <w:b/>
          <w:sz w:val="24"/>
        </w:rPr>
      </w:pPr>
      <w:r>
        <w:rPr>
          <w:b/>
          <w:sz w:val="24"/>
        </w:rPr>
        <w:t>L</w:t>
      </w:r>
      <w:r w:rsidR="00400B0F" w:rsidRPr="008C2F58">
        <w:rPr>
          <w:b/>
          <w:sz w:val="24"/>
        </w:rPr>
        <w:t xml:space="preserve">ist of program prioritised evaluations planned for the next 12 months </w:t>
      </w:r>
    </w:p>
    <w:tbl>
      <w:tblPr>
        <w:tblStyle w:val="APPR"/>
        <w:tblW w:w="14175" w:type="dxa"/>
        <w:tblLook w:val="0600" w:firstRow="0" w:lastRow="0" w:firstColumn="0" w:lastColumn="0" w:noHBand="1" w:noVBand="1"/>
      </w:tblPr>
      <w:tblGrid>
        <w:gridCol w:w="2416"/>
        <w:gridCol w:w="2316"/>
        <w:gridCol w:w="2412"/>
        <w:gridCol w:w="2182"/>
        <w:gridCol w:w="2318"/>
        <w:gridCol w:w="2531"/>
      </w:tblGrid>
      <w:tr w:rsidR="00983157" w:rsidRPr="00652572" w:rsidTr="00686515">
        <w:tc>
          <w:tcPr>
            <w:tcW w:w="2374" w:type="dxa"/>
          </w:tcPr>
          <w:p w:rsidR="00983157" w:rsidRPr="00686515" w:rsidRDefault="00983157" w:rsidP="007F3EAE">
            <w:pPr>
              <w:keepLines/>
              <w:spacing w:before="80" w:after="80" w:line="200" w:lineRule="atLeast"/>
              <w:rPr>
                <w:rFonts w:asciiTheme="minorHAnsi" w:eastAsia="Times New Roman" w:hAnsiTheme="minorHAnsi"/>
                <w:b/>
                <w:iCs/>
                <w:sz w:val="18"/>
                <w:szCs w:val="18"/>
                <w:lang w:eastAsia="en-US"/>
              </w:rPr>
            </w:pPr>
            <w:r w:rsidRPr="00686515">
              <w:rPr>
                <w:rFonts w:eastAsia="Times New Roman"/>
                <w:b/>
                <w:iCs/>
                <w:sz w:val="18"/>
                <w:szCs w:val="18"/>
              </w:rPr>
              <w:t>Evaluation title</w:t>
            </w:r>
          </w:p>
        </w:tc>
        <w:tc>
          <w:tcPr>
            <w:tcW w:w="2288" w:type="dxa"/>
          </w:tcPr>
          <w:p w:rsidR="00983157" w:rsidRPr="00686515" w:rsidRDefault="00983157" w:rsidP="007F3EAE">
            <w:pPr>
              <w:keepLines/>
              <w:spacing w:before="80" w:after="80" w:line="200" w:lineRule="atLeast"/>
              <w:rPr>
                <w:rFonts w:asciiTheme="minorHAnsi" w:eastAsia="Times New Roman" w:hAnsiTheme="minorHAnsi"/>
                <w:b/>
                <w:iCs/>
                <w:sz w:val="18"/>
                <w:szCs w:val="18"/>
                <w:lang w:eastAsia="en-US"/>
              </w:rPr>
            </w:pPr>
            <w:r w:rsidRPr="00686515">
              <w:rPr>
                <w:rFonts w:eastAsia="Times New Roman"/>
                <w:b/>
                <w:iCs/>
                <w:sz w:val="18"/>
                <w:szCs w:val="18"/>
              </w:rPr>
              <w:t xml:space="preserve">Investment number and name (if applicable) </w:t>
            </w:r>
          </w:p>
        </w:tc>
        <w:tc>
          <w:tcPr>
            <w:tcW w:w="2384" w:type="dxa"/>
          </w:tcPr>
          <w:p w:rsidR="00983157" w:rsidRPr="00686515" w:rsidRDefault="00983157" w:rsidP="007F3EAE">
            <w:pPr>
              <w:keepLines/>
              <w:spacing w:before="80" w:after="80" w:line="200" w:lineRule="atLeast"/>
              <w:rPr>
                <w:rFonts w:asciiTheme="minorHAnsi" w:eastAsia="Times New Roman" w:hAnsiTheme="minorHAnsi"/>
                <w:b/>
                <w:iCs/>
                <w:sz w:val="18"/>
                <w:szCs w:val="18"/>
                <w:lang w:eastAsia="en-US"/>
              </w:rPr>
            </w:pPr>
            <w:r w:rsidRPr="00686515">
              <w:rPr>
                <w:rFonts w:eastAsia="Times New Roman"/>
                <w:b/>
                <w:iCs/>
                <w:sz w:val="18"/>
                <w:szCs w:val="18"/>
              </w:rPr>
              <w:t>Date – planned commencement (month/year)</w:t>
            </w:r>
          </w:p>
        </w:tc>
        <w:tc>
          <w:tcPr>
            <w:tcW w:w="2154" w:type="dxa"/>
          </w:tcPr>
          <w:p w:rsidR="00983157" w:rsidRPr="00686515" w:rsidRDefault="00983157" w:rsidP="007F3EAE">
            <w:pPr>
              <w:keepLines/>
              <w:spacing w:before="80" w:after="80" w:line="200" w:lineRule="atLeast"/>
              <w:rPr>
                <w:rFonts w:asciiTheme="minorHAnsi" w:eastAsia="Times New Roman" w:hAnsiTheme="minorHAnsi"/>
                <w:b/>
                <w:iCs/>
                <w:sz w:val="18"/>
                <w:szCs w:val="18"/>
                <w:lang w:eastAsia="en-US"/>
              </w:rPr>
            </w:pPr>
            <w:r w:rsidRPr="00686515">
              <w:rPr>
                <w:rFonts w:eastAsia="Times New Roman"/>
                <w:b/>
                <w:iCs/>
                <w:sz w:val="18"/>
                <w:szCs w:val="18"/>
              </w:rPr>
              <w:t>Date – planned completion (month/year)</w:t>
            </w:r>
          </w:p>
        </w:tc>
        <w:tc>
          <w:tcPr>
            <w:tcW w:w="2290" w:type="dxa"/>
          </w:tcPr>
          <w:p w:rsidR="00983157" w:rsidRPr="00686515" w:rsidRDefault="00983157" w:rsidP="007F3EAE">
            <w:pPr>
              <w:keepLines/>
              <w:spacing w:before="80" w:after="80" w:line="200" w:lineRule="atLeast"/>
              <w:rPr>
                <w:rFonts w:asciiTheme="minorHAnsi" w:eastAsia="Times New Roman" w:hAnsiTheme="minorHAnsi"/>
                <w:b/>
                <w:iCs/>
                <w:sz w:val="18"/>
                <w:szCs w:val="18"/>
                <w:lang w:eastAsia="en-US"/>
              </w:rPr>
            </w:pPr>
            <w:r w:rsidRPr="00686515">
              <w:rPr>
                <w:rFonts w:eastAsia="Times New Roman"/>
                <w:b/>
                <w:iCs/>
                <w:sz w:val="18"/>
                <w:szCs w:val="18"/>
              </w:rPr>
              <w:t>Purpose of evaluation</w:t>
            </w:r>
          </w:p>
        </w:tc>
        <w:tc>
          <w:tcPr>
            <w:tcW w:w="2489" w:type="dxa"/>
          </w:tcPr>
          <w:p w:rsidR="00983157" w:rsidRPr="00686515" w:rsidRDefault="00983157" w:rsidP="007F3EAE">
            <w:pPr>
              <w:keepLines/>
              <w:spacing w:before="80" w:after="80" w:line="200" w:lineRule="atLeast"/>
              <w:rPr>
                <w:rFonts w:asciiTheme="minorHAnsi" w:eastAsia="Times New Roman" w:hAnsiTheme="minorHAnsi"/>
                <w:b/>
                <w:iCs/>
                <w:sz w:val="18"/>
                <w:szCs w:val="18"/>
                <w:lang w:eastAsia="en-US"/>
              </w:rPr>
            </w:pPr>
            <w:r w:rsidRPr="00686515">
              <w:rPr>
                <w:rFonts w:eastAsia="Times New Roman"/>
                <w:b/>
                <w:iCs/>
                <w:sz w:val="18"/>
                <w:szCs w:val="18"/>
              </w:rPr>
              <w:t>Evaluation type</w:t>
            </w:r>
          </w:p>
        </w:tc>
      </w:tr>
      <w:tr w:rsidR="00983157" w:rsidRPr="00652572" w:rsidTr="00686515">
        <w:tc>
          <w:tcPr>
            <w:tcW w:w="2374" w:type="dxa"/>
          </w:tcPr>
          <w:p w:rsidR="00983157" w:rsidRPr="00686515" w:rsidRDefault="00983157" w:rsidP="007F3EAE">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rPr>
              <w:t>Aus4Skills Mid-term Review</w:t>
            </w:r>
          </w:p>
        </w:tc>
        <w:tc>
          <w:tcPr>
            <w:tcW w:w="2288" w:type="dxa"/>
          </w:tcPr>
          <w:p w:rsidR="00983157" w:rsidRPr="00686515" w:rsidRDefault="00983157" w:rsidP="007F3EAE">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rPr>
              <w:t>INL487</w:t>
            </w:r>
          </w:p>
        </w:tc>
        <w:tc>
          <w:tcPr>
            <w:tcW w:w="2384" w:type="dxa"/>
          </w:tcPr>
          <w:p w:rsidR="00983157" w:rsidRPr="00686515" w:rsidRDefault="0003751D" w:rsidP="003E34CD">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rPr>
              <w:t>Sep</w:t>
            </w:r>
            <w:r w:rsidR="00D927C2" w:rsidRPr="00686515">
              <w:rPr>
                <w:rFonts w:asciiTheme="minorHAnsi" w:eastAsia="Times New Roman" w:hAnsiTheme="minorHAnsi"/>
                <w:iCs/>
                <w:sz w:val="18"/>
                <w:szCs w:val="18"/>
              </w:rPr>
              <w:t>tember</w:t>
            </w:r>
            <w:r w:rsidR="00983157" w:rsidRPr="00686515">
              <w:rPr>
                <w:rFonts w:asciiTheme="minorHAnsi" w:eastAsia="Times New Roman" w:hAnsiTheme="minorHAnsi"/>
                <w:iCs/>
                <w:sz w:val="18"/>
                <w:szCs w:val="18"/>
              </w:rPr>
              <w:t xml:space="preserve"> </w:t>
            </w:r>
            <w:r w:rsidR="00D927C2" w:rsidRPr="00686515">
              <w:rPr>
                <w:rFonts w:asciiTheme="minorHAnsi" w:eastAsia="Times New Roman" w:hAnsiTheme="minorHAnsi"/>
                <w:iCs/>
                <w:sz w:val="18"/>
                <w:szCs w:val="18"/>
              </w:rPr>
              <w:t>20</w:t>
            </w:r>
            <w:r w:rsidR="00983157" w:rsidRPr="00686515">
              <w:rPr>
                <w:rFonts w:asciiTheme="minorHAnsi" w:eastAsia="Times New Roman" w:hAnsiTheme="minorHAnsi"/>
                <w:iCs/>
                <w:sz w:val="18"/>
                <w:szCs w:val="18"/>
              </w:rPr>
              <w:t xml:space="preserve">18 </w:t>
            </w:r>
          </w:p>
        </w:tc>
        <w:tc>
          <w:tcPr>
            <w:tcW w:w="2154" w:type="dxa"/>
          </w:tcPr>
          <w:p w:rsidR="00983157" w:rsidRPr="00686515" w:rsidRDefault="00983157">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rPr>
              <w:t>Feb</w:t>
            </w:r>
            <w:r w:rsidR="00D927C2" w:rsidRPr="00686515">
              <w:rPr>
                <w:rFonts w:asciiTheme="minorHAnsi" w:eastAsia="Times New Roman" w:hAnsiTheme="minorHAnsi"/>
                <w:iCs/>
                <w:sz w:val="18"/>
                <w:szCs w:val="18"/>
              </w:rPr>
              <w:t>ruary</w:t>
            </w:r>
            <w:r w:rsidRPr="00686515">
              <w:rPr>
                <w:rFonts w:asciiTheme="minorHAnsi" w:eastAsia="Times New Roman" w:hAnsiTheme="minorHAnsi"/>
                <w:iCs/>
                <w:sz w:val="18"/>
                <w:szCs w:val="18"/>
              </w:rPr>
              <w:t xml:space="preserve"> </w:t>
            </w:r>
            <w:r w:rsidR="00D927C2" w:rsidRPr="00686515">
              <w:rPr>
                <w:rFonts w:asciiTheme="minorHAnsi" w:eastAsia="Times New Roman" w:hAnsiTheme="minorHAnsi"/>
                <w:iCs/>
                <w:sz w:val="18"/>
                <w:szCs w:val="18"/>
              </w:rPr>
              <w:t>20</w:t>
            </w:r>
            <w:r w:rsidRPr="00686515">
              <w:rPr>
                <w:rFonts w:asciiTheme="minorHAnsi" w:eastAsia="Times New Roman" w:hAnsiTheme="minorHAnsi"/>
                <w:iCs/>
                <w:sz w:val="18"/>
                <w:szCs w:val="18"/>
              </w:rPr>
              <w:t xml:space="preserve">19 </w:t>
            </w:r>
          </w:p>
        </w:tc>
        <w:tc>
          <w:tcPr>
            <w:tcW w:w="2290" w:type="dxa"/>
          </w:tcPr>
          <w:p w:rsidR="00983157" w:rsidRPr="00686515" w:rsidRDefault="00983157" w:rsidP="007F3EAE">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rPr>
              <w:t xml:space="preserve">To assess the program performance toward achieving intended outcomes. The evaluation will be used to make adjustments to </w:t>
            </w:r>
            <w:r w:rsidR="000036D2" w:rsidRPr="00686515">
              <w:rPr>
                <w:rFonts w:asciiTheme="minorHAnsi" w:eastAsia="Times New Roman" w:hAnsiTheme="minorHAnsi"/>
                <w:iCs/>
                <w:sz w:val="18"/>
                <w:szCs w:val="18"/>
              </w:rPr>
              <w:t>e</w:t>
            </w:r>
            <w:r w:rsidRPr="00686515">
              <w:rPr>
                <w:rFonts w:asciiTheme="minorHAnsi" w:eastAsia="Times New Roman" w:hAnsiTheme="minorHAnsi"/>
                <w:iCs/>
                <w:sz w:val="18"/>
                <w:szCs w:val="18"/>
              </w:rPr>
              <w:t xml:space="preserve">nd of </w:t>
            </w:r>
            <w:r w:rsidR="000036D2" w:rsidRPr="00686515">
              <w:rPr>
                <w:rFonts w:asciiTheme="minorHAnsi" w:eastAsia="Times New Roman" w:hAnsiTheme="minorHAnsi"/>
                <w:iCs/>
                <w:sz w:val="18"/>
                <w:szCs w:val="18"/>
              </w:rPr>
              <w:t>p</w:t>
            </w:r>
            <w:r w:rsidRPr="00686515">
              <w:rPr>
                <w:rFonts w:asciiTheme="minorHAnsi" w:eastAsia="Times New Roman" w:hAnsiTheme="minorHAnsi"/>
                <w:iCs/>
                <w:sz w:val="18"/>
                <w:szCs w:val="18"/>
              </w:rPr>
              <w:t xml:space="preserve">rogram </w:t>
            </w:r>
            <w:r w:rsidR="000036D2" w:rsidRPr="00686515">
              <w:rPr>
                <w:rFonts w:asciiTheme="minorHAnsi" w:eastAsia="Times New Roman" w:hAnsiTheme="minorHAnsi"/>
                <w:iCs/>
                <w:sz w:val="18"/>
                <w:szCs w:val="18"/>
              </w:rPr>
              <w:t>o</w:t>
            </w:r>
            <w:r w:rsidRPr="00686515">
              <w:rPr>
                <w:rFonts w:asciiTheme="minorHAnsi" w:eastAsia="Times New Roman" w:hAnsiTheme="minorHAnsi"/>
                <w:iCs/>
                <w:sz w:val="18"/>
                <w:szCs w:val="18"/>
              </w:rPr>
              <w:t>utcomes and the balance of components, if needed, to improve the relevance and sustainability of the investment, and inform design of a new phase in 2019/20</w:t>
            </w:r>
            <w:r w:rsidR="005D3DB5" w:rsidRPr="00686515">
              <w:rPr>
                <w:rFonts w:asciiTheme="minorHAnsi" w:eastAsia="Times New Roman" w:hAnsiTheme="minorHAnsi"/>
                <w:iCs/>
                <w:sz w:val="18"/>
                <w:szCs w:val="18"/>
              </w:rPr>
              <w:t>.</w:t>
            </w:r>
          </w:p>
        </w:tc>
        <w:tc>
          <w:tcPr>
            <w:tcW w:w="2489" w:type="dxa"/>
          </w:tcPr>
          <w:p w:rsidR="00983157" w:rsidRPr="00686515" w:rsidRDefault="00983157" w:rsidP="007F3EAE">
            <w:pPr>
              <w:keepLines/>
              <w:spacing w:before="40" w:after="40" w:line="200" w:lineRule="atLeast"/>
              <w:rPr>
                <w:rFonts w:asciiTheme="minorHAnsi" w:eastAsia="Times New Roman" w:hAnsiTheme="minorHAnsi"/>
                <w:iCs/>
                <w:sz w:val="18"/>
                <w:szCs w:val="18"/>
                <w:lang w:eastAsia="en-US"/>
              </w:rPr>
            </w:pPr>
            <w:r w:rsidRPr="00686515">
              <w:rPr>
                <w:rFonts w:eastAsia="Times New Roman"/>
                <w:iCs/>
                <w:sz w:val="18"/>
                <w:szCs w:val="18"/>
              </w:rPr>
              <w:t xml:space="preserve">DFAT led </w:t>
            </w:r>
          </w:p>
          <w:p w:rsidR="00983157" w:rsidRPr="00686515" w:rsidRDefault="00983157" w:rsidP="007F3EAE">
            <w:pPr>
              <w:keepLines/>
              <w:spacing w:before="40" w:after="40" w:line="200" w:lineRule="atLeast"/>
              <w:rPr>
                <w:rFonts w:asciiTheme="minorHAnsi" w:eastAsia="Times New Roman" w:hAnsiTheme="minorHAnsi"/>
                <w:iCs/>
                <w:sz w:val="18"/>
                <w:szCs w:val="18"/>
                <w:lang w:eastAsia="en-US"/>
              </w:rPr>
            </w:pPr>
          </w:p>
        </w:tc>
      </w:tr>
    </w:tbl>
    <w:p w:rsidR="000D2CA9" w:rsidRDefault="000D2CA9">
      <w:r>
        <w:br w:type="page"/>
      </w:r>
    </w:p>
    <w:tbl>
      <w:tblPr>
        <w:tblStyle w:val="APPR"/>
        <w:tblW w:w="14175" w:type="dxa"/>
        <w:tblLook w:val="0600" w:firstRow="0" w:lastRow="0" w:firstColumn="0" w:lastColumn="0" w:noHBand="1" w:noVBand="1"/>
      </w:tblPr>
      <w:tblGrid>
        <w:gridCol w:w="2416"/>
        <w:gridCol w:w="2316"/>
        <w:gridCol w:w="2412"/>
        <w:gridCol w:w="2182"/>
        <w:gridCol w:w="2318"/>
        <w:gridCol w:w="2531"/>
      </w:tblGrid>
      <w:tr w:rsidR="000D2CA9" w:rsidRPr="00652572" w:rsidTr="00686515">
        <w:tc>
          <w:tcPr>
            <w:tcW w:w="2374" w:type="dxa"/>
          </w:tcPr>
          <w:p w:rsidR="000D2CA9" w:rsidRPr="00686515" w:rsidRDefault="000D2CA9" w:rsidP="00B87252">
            <w:pPr>
              <w:keepLines/>
              <w:spacing w:before="80" w:after="80" w:line="200" w:lineRule="atLeast"/>
              <w:rPr>
                <w:rFonts w:asciiTheme="minorHAnsi" w:eastAsia="Times New Roman" w:hAnsiTheme="minorHAnsi"/>
                <w:b/>
                <w:iCs/>
                <w:sz w:val="18"/>
                <w:szCs w:val="18"/>
                <w:lang w:eastAsia="en-US"/>
              </w:rPr>
            </w:pPr>
            <w:r w:rsidRPr="00686515">
              <w:rPr>
                <w:rFonts w:eastAsia="Times New Roman"/>
                <w:b/>
                <w:iCs/>
                <w:sz w:val="18"/>
                <w:szCs w:val="18"/>
              </w:rPr>
              <w:lastRenderedPageBreak/>
              <w:t>Evaluation title</w:t>
            </w:r>
          </w:p>
        </w:tc>
        <w:tc>
          <w:tcPr>
            <w:tcW w:w="2288" w:type="dxa"/>
          </w:tcPr>
          <w:p w:rsidR="000D2CA9" w:rsidRPr="00686515" w:rsidRDefault="000D2CA9" w:rsidP="00B87252">
            <w:pPr>
              <w:keepLines/>
              <w:spacing w:before="80" w:after="80" w:line="200" w:lineRule="atLeast"/>
              <w:rPr>
                <w:rFonts w:asciiTheme="minorHAnsi" w:eastAsia="Times New Roman" w:hAnsiTheme="minorHAnsi"/>
                <w:b/>
                <w:iCs/>
                <w:sz w:val="18"/>
                <w:szCs w:val="18"/>
                <w:lang w:eastAsia="en-US"/>
              </w:rPr>
            </w:pPr>
            <w:r w:rsidRPr="00686515">
              <w:rPr>
                <w:rFonts w:eastAsia="Times New Roman"/>
                <w:b/>
                <w:iCs/>
                <w:sz w:val="18"/>
                <w:szCs w:val="18"/>
              </w:rPr>
              <w:t xml:space="preserve">Investment number and name (if applicable) </w:t>
            </w:r>
          </w:p>
        </w:tc>
        <w:tc>
          <w:tcPr>
            <w:tcW w:w="2384" w:type="dxa"/>
          </w:tcPr>
          <w:p w:rsidR="000D2CA9" w:rsidRPr="00686515" w:rsidRDefault="000D2CA9" w:rsidP="00B87252">
            <w:pPr>
              <w:keepLines/>
              <w:spacing w:before="80" w:after="80" w:line="200" w:lineRule="atLeast"/>
              <w:rPr>
                <w:rFonts w:asciiTheme="minorHAnsi" w:eastAsia="Times New Roman" w:hAnsiTheme="minorHAnsi"/>
                <w:b/>
                <w:iCs/>
                <w:sz w:val="18"/>
                <w:szCs w:val="18"/>
                <w:lang w:eastAsia="en-US"/>
              </w:rPr>
            </w:pPr>
            <w:r w:rsidRPr="00686515">
              <w:rPr>
                <w:rFonts w:eastAsia="Times New Roman"/>
                <w:b/>
                <w:iCs/>
                <w:sz w:val="18"/>
                <w:szCs w:val="18"/>
              </w:rPr>
              <w:t>Date – planned commencement (month/year)</w:t>
            </w:r>
          </w:p>
        </w:tc>
        <w:tc>
          <w:tcPr>
            <w:tcW w:w="2154" w:type="dxa"/>
          </w:tcPr>
          <w:p w:rsidR="000D2CA9" w:rsidRPr="00686515" w:rsidRDefault="000D2CA9" w:rsidP="00B87252">
            <w:pPr>
              <w:keepLines/>
              <w:spacing w:before="80" w:after="80" w:line="200" w:lineRule="atLeast"/>
              <w:rPr>
                <w:rFonts w:asciiTheme="minorHAnsi" w:eastAsia="Times New Roman" w:hAnsiTheme="minorHAnsi"/>
                <w:b/>
                <w:iCs/>
                <w:sz w:val="18"/>
                <w:szCs w:val="18"/>
                <w:lang w:eastAsia="en-US"/>
              </w:rPr>
            </w:pPr>
            <w:r w:rsidRPr="00686515">
              <w:rPr>
                <w:rFonts w:eastAsia="Times New Roman"/>
                <w:b/>
                <w:iCs/>
                <w:sz w:val="18"/>
                <w:szCs w:val="18"/>
              </w:rPr>
              <w:t>Date – planned completion (month/year)</w:t>
            </w:r>
          </w:p>
        </w:tc>
        <w:tc>
          <w:tcPr>
            <w:tcW w:w="2290" w:type="dxa"/>
          </w:tcPr>
          <w:p w:rsidR="000D2CA9" w:rsidRPr="00686515" w:rsidRDefault="000D2CA9" w:rsidP="00B87252">
            <w:pPr>
              <w:keepLines/>
              <w:spacing w:before="80" w:after="80" w:line="200" w:lineRule="atLeast"/>
              <w:rPr>
                <w:rFonts w:asciiTheme="minorHAnsi" w:eastAsia="Times New Roman" w:hAnsiTheme="minorHAnsi"/>
                <w:b/>
                <w:iCs/>
                <w:sz w:val="18"/>
                <w:szCs w:val="18"/>
                <w:lang w:eastAsia="en-US"/>
              </w:rPr>
            </w:pPr>
            <w:r w:rsidRPr="00686515">
              <w:rPr>
                <w:rFonts w:eastAsia="Times New Roman"/>
                <w:b/>
                <w:iCs/>
                <w:sz w:val="18"/>
                <w:szCs w:val="18"/>
              </w:rPr>
              <w:t>Purpose of evaluation</w:t>
            </w:r>
          </w:p>
        </w:tc>
        <w:tc>
          <w:tcPr>
            <w:tcW w:w="2489" w:type="dxa"/>
          </w:tcPr>
          <w:p w:rsidR="000D2CA9" w:rsidRPr="00686515" w:rsidRDefault="000D2CA9" w:rsidP="00B87252">
            <w:pPr>
              <w:keepLines/>
              <w:spacing w:before="80" w:after="80" w:line="200" w:lineRule="atLeast"/>
              <w:rPr>
                <w:rFonts w:asciiTheme="minorHAnsi" w:eastAsia="Times New Roman" w:hAnsiTheme="minorHAnsi"/>
                <w:b/>
                <w:iCs/>
                <w:sz w:val="18"/>
                <w:szCs w:val="18"/>
                <w:lang w:eastAsia="en-US"/>
              </w:rPr>
            </w:pPr>
            <w:r w:rsidRPr="00686515">
              <w:rPr>
                <w:rFonts w:eastAsia="Times New Roman"/>
                <w:b/>
                <w:iCs/>
                <w:sz w:val="18"/>
                <w:szCs w:val="18"/>
              </w:rPr>
              <w:t>Evaluation type</w:t>
            </w:r>
          </w:p>
        </w:tc>
      </w:tr>
      <w:tr w:rsidR="00BF011B" w:rsidRPr="00652572" w:rsidTr="00686515">
        <w:tc>
          <w:tcPr>
            <w:tcW w:w="2374" w:type="dxa"/>
          </w:tcPr>
          <w:p w:rsidR="00BF011B" w:rsidRPr="00686515" w:rsidRDefault="00BF011B" w:rsidP="005B2375">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Aus4Reform Mid-term Review</w:t>
            </w:r>
          </w:p>
        </w:tc>
        <w:tc>
          <w:tcPr>
            <w:tcW w:w="2288" w:type="dxa"/>
          </w:tcPr>
          <w:p w:rsidR="00BF011B" w:rsidRPr="00686515" w:rsidRDefault="00BF011B" w:rsidP="005B2375">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INL939</w:t>
            </w:r>
          </w:p>
        </w:tc>
        <w:tc>
          <w:tcPr>
            <w:tcW w:w="2384" w:type="dxa"/>
            <w:shd w:val="clear" w:color="auto" w:fill="auto"/>
          </w:tcPr>
          <w:p w:rsidR="00BF011B" w:rsidRPr="00686515" w:rsidRDefault="00BF011B" w:rsidP="005B2375">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August 2019</w:t>
            </w:r>
          </w:p>
        </w:tc>
        <w:tc>
          <w:tcPr>
            <w:tcW w:w="2154" w:type="dxa"/>
          </w:tcPr>
          <w:p w:rsidR="00BF011B" w:rsidRPr="00686515" w:rsidRDefault="00BF011B" w:rsidP="005B2375">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December 2019</w:t>
            </w:r>
          </w:p>
        </w:tc>
        <w:tc>
          <w:tcPr>
            <w:tcW w:w="2290" w:type="dxa"/>
          </w:tcPr>
          <w:p w:rsidR="00BF011B" w:rsidRPr="00686515" w:rsidRDefault="00BF011B" w:rsidP="00BF011B">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rPr>
              <w:t>To assess the program performance toward achieving intended outcomes. The evaluation will be used to make adjustments to end of program outcomes and if needed, to improve the relevance and sustainability of the investment.</w:t>
            </w:r>
          </w:p>
        </w:tc>
        <w:tc>
          <w:tcPr>
            <w:tcW w:w="2489" w:type="dxa"/>
          </w:tcPr>
          <w:p w:rsidR="00BF011B" w:rsidRPr="00686515" w:rsidRDefault="00BF011B" w:rsidP="005B2375">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Independent</w:t>
            </w:r>
          </w:p>
        </w:tc>
      </w:tr>
      <w:tr w:rsidR="0003751D" w:rsidRPr="00652572" w:rsidTr="00686515">
        <w:tc>
          <w:tcPr>
            <w:tcW w:w="2374" w:type="dxa"/>
          </w:tcPr>
          <w:p w:rsidR="0003751D" w:rsidRPr="00686515" w:rsidRDefault="0003751D" w:rsidP="007F3EAE">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rPr>
              <w:t xml:space="preserve">Southern Coastal Corridor program </w:t>
            </w:r>
            <w:r w:rsidR="00176ECC" w:rsidRPr="00686515">
              <w:rPr>
                <w:rFonts w:asciiTheme="minorHAnsi" w:eastAsia="Times New Roman" w:hAnsiTheme="minorHAnsi"/>
                <w:iCs/>
                <w:sz w:val="18"/>
                <w:szCs w:val="18"/>
              </w:rPr>
              <w:t>Completion Review</w:t>
            </w:r>
          </w:p>
        </w:tc>
        <w:tc>
          <w:tcPr>
            <w:tcW w:w="2288" w:type="dxa"/>
            <w:shd w:val="clear" w:color="auto" w:fill="auto"/>
          </w:tcPr>
          <w:p w:rsidR="0003751D" w:rsidRPr="00686515" w:rsidRDefault="0003751D" w:rsidP="007F3EAE">
            <w:pPr>
              <w:keepLines/>
              <w:spacing w:before="40" w:after="40" w:line="200" w:lineRule="atLeast"/>
              <w:rPr>
                <w:rFonts w:asciiTheme="minorHAnsi" w:eastAsia="Times New Roman" w:hAnsiTheme="minorHAnsi"/>
                <w:iCs/>
                <w:sz w:val="18"/>
                <w:szCs w:val="18"/>
                <w:highlight w:val="yellow"/>
                <w:lang w:eastAsia="en-US"/>
              </w:rPr>
            </w:pPr>
            <w:r w:rsidRPr="00686515">
              <w:rPr>
                <w:rFonts w:asciiTheme="minorHAnsi" w:eastAsia="Times New Roman" w:hAnsiTheme="minorHAnsi"/>
                <w:iCs/>
                <w:sz w:val="18"/>
                <w:szCs w:val="18"/>
              </w:rPr>
              <w:t>INH651</w:t>
            </w:r>
          </w:p>
        </w:tc>
        <w:tc>
          <w:tcPr>
            <w:tcW w:w="2384" w:type="dxa"/>
          </w:tcPr>
          <w:p w:rsidR="0003751D" w:rsidRPr="00686515" w:rsidRDefault="0003751D" w:rsidP="003E34CD">
            <w:pPr>
              <w:keepLines/>
              <w:spacing w:before="40" w:after="40" w:line="200" w:lineRule="atLeast"/>
              <w:rPr>
                <w:rFonts w:asciiTheme="minorHAnsi" w:eastAsia="Times New Roman" w:hAnsiTheme="minorHAnsi"/>
                <w:iCs/>
                <w:sz w:val="18"/>
                <w:szCs w:val="18"/>
                <w:highlight w:val="yellow"/>
                <w:lang w:eastAsia="en-US"/>
              </w:rPr>
            </w:pPr>
            <w:r w:rsidRPr="00686515">
              <w:rPr>
                <w:rFonts w:asciiTheme="minorHAnsi" w:eastAsia="Times New Roman" w:hAnsiTheme="minorHAnsi"/>
                <w:iCs/>
                <w:sz w:val="18"/>
                <w:szCs w:val="18"/>
              </w:rPr>
              <w:t>Oct</w:t>
            </w:r>
            <w:r w:rsidR="00176ECC" w:rsidRPr="00686515">
              <w:rPr>
                <w:rFonts w:asciiTheme="minorHAnsi" w:eastAsia="Times New Roman" w:hAnsiTheme="minorHAnsi"/>
                <w:iCs/>
                <w:sz w:val="18"/>
                <w:szCs w:val="18"/>
              </w:rPr>
              <w:t>ober</w:t>
            </w:r>
            <w:r w:rsidRPr="00686515">
              <w:rPr>
                <w:rFonts w:asciiTheme="minorHAnsi" w:eastAsia="Times New Roman" w:hAnsiTheme="minorHAnsi"/>
                <w:iCs/>
                <w:sz w:val="18"/>
                <w:szCs w:val="18"/>
              </w:rPr>
              <w:t xml:space="preserve"> </w:t>
            </w:r>
            <w:r w:rsidR="00176ECC" w:rsidRPr="00686515">
              <w:rPr>
                <w:rFonts w:asciiTheme="minorHAnsi" w:eastAsia="Times New Roman" w:hAnsiTheme="minorHAnsi"/>
                <w:iCs/>
                <w:sz w:val="18"/>
                <w:szCs w:val="18"/>
              </w:rPr>
              <w:t>20</w:t>
            </w:r>
            <w:r w:rsidRPr="00686515">
              <w:rPr>
                <w:rFonts w:asciiTheme="minorHAnsi" w:eastAsia="Times New Roman" w:hAnsiTheme="minorHAnsi"/>
                <w:iCs/>
                <w:sz w:val="18"/>
                <w:szCs w:val="18"/>
              </w:rPr>
              <w:t>18</w:t>
            </w:r>
          </w:p>
        </w:tc>
        <w:tc>
          <w:tcPr>
            <w:tcW w:w="2154" w:type="dxa"/>
          </w:tcPr>
          <w:p w:rsidR="0003751D" w:rsidRPr="00686515" w:rsidRDefault="0003751D">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rPr>
              <w:t>Sep</w:t>
            </w:r>
            <w:r w:rsidR="00176ECC" w:rsidRPr="00686515">
              <w:rPr>
                <w:rFonts w:asciiTheme="minorHAnsi" w:eastAsia="Times New Roman" w:hAnsiTheme="minorHAnsi"/>
                <w:iCs/>
                <w:sz w:val="18"/>
                <w:szCs w:val="18"/>
              </w:rPr>
              <w:t>tember</w:t>
            </w:r>
            <w:r w:rsidRPr="00686515">
              <w:rPr>
                <w:rFonts w:asciiTheme="minorHAnsi" w:eastAsia="Times New Roman" w:hAnsiTheme="minorHAnsi"/>
                <w:iCs/>
                <w:sz w:val="18"/>
                <w:szCs w:val="18"/>
              </w:rPr>
              <w:t xml:space="preserve"> </w:t>
            </w:r>
            <w:r w:rsidR="00176ECC" w:rsidRPr="00686515">
              <w:rPr>
                <w:rFonts w:asciiTheme="minorHAnsi" w:eastAsia="Times New Roman" w:hAnsiTheme="minorHAnsi"/>
                <w:iCs/>
                <w:sz w:val="18"/>
                <w:szCs w:val="18"/>
              </w:rPr>
              <w:t>20</w:t>
            </w:r>
            <w:r w:rsidRPr="00686515">
              <w:rPr>
                <w:rFonts w:asciiTheme="minorHAnsi" w:eastAsia="Times New Roman" w:hAnsiTheme="minorHAnsi"/>
                <w:iCs/>
                <w:sz w:val="18"/>
                <w:szCs w:val="18"/>
              </w:rPr>
              <w:t>19</w:t>
            </w:r>
          </w:p>
        </w:tc>
        <w:tc>
          <w:tcPr>
            <w:tcW w:w="2290" w:type="dxa"/>
          </w:tcPr>
          <w:p w:rsidR="0003751D" w:rsidRPr="00686515" w:rsidRDefault="0003751D" w:rsidP="007F3EAE">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rPr>
              <w:t>To assess performance on completion of this co-financing project with the Asian Development Bank for road upgrades to link key economic zones in Vietnam, Cambodia, and Laos</w:t>
            </w:r>
            <w:r w:rsidRPr="00686515">
              <w:rPr>
                <w:rStyle w:val="FootnoteReference"/>
                <w:rFonts w:asciiTheme="minorHAnsi" w:eastAsia="Times New Roman" w:hAnsiTheme="minorHAnsi"/>
                <w:iCs/>
                <w:sz w:val="18"/>
                <w:szCs w:val="18"/>
              </w:rPr>
              <w:footnoteReference w:id="20"/>
            </w:r>
            <w:r w:rsidR="005D3DB5" w:rsidRPr="00686515">
              <w:rPr>
                <w:rFonts w:asciiTheme="minorHAnsi" w:eastAsia="Times New Roman" w:hAnsiTheme="minorHAnsi"/>
                <w:iCs/>
                <w:sz w:val="18"/>
                <w:szCs w:val="18"/>
              </w:rPr>
              <w:t>.</w:t>
            </w:r>
          </w:p>
        </w:tc>
        <w:tc>
          <w:tcPr>
            <w:tcW w:w="2489" w:type="dxa"/>
          </w:tcPr>
          <w:p w:rsidR="0003751D" w:rsidRPr="00686515" w:rsidRDefault="0003751D" w:rsidP="007F3EAE">
            <w:pPr>
              <w:keepLines/>
              <w:spacing w:before="40" w:after="40" w:line="200" w:lineRule="atLeast"/>
              <w:rPr>
                <w:rFonts w:asciiTheme="minorHAnsi" w:eastAsia="Times New Roman" w:hAnsiTheme="minorHAnsi"/>
                <w:iCs/>
                <w:sz w:val="18"/>
                <w:szCs w:val="18"/>
                <w:lang w:eastAsia="en-US"/>
              </w:rPr>
            </w:pPr>
            <w:r w:rsidRPr="00686515">
              <w:rPr>
                <w:rFonts w:eastAsia="Times New Roman"/>
                <w:iCs/>
                <w:sz w:val="18"/>
                <w:szCs w:val="18"/>
              </w:rPr>
              <w:t xml:space="preserve">Partner led </w:t>
            </w:r>
          </w:p>
        </w:tc>
      </w:tr>
      <w:tr w:rsidR="0003751D" w:rsidRPr="00652572" w:rsidTr="00686515">
        <w:tc>
          <w:tcPr>
            <w:tcW w:w="2374" w:type="dxa"/>
          </w:tcPr>
          <w:p w:rsidR="0003751D" w:rsidRPr="00686515" w:rsidRDefault="0089104A" w:rsidP="003E34CD">
            <w:pPr>
              <w:keepLines/>
              <w:spacing w:before="40" w:after="40" w:line="200" w:lineRule="atLeast"/>
              <w:rPr>
                <w:rFonts w:asciiTheme="minorHAnsi" w:eastAsia="Times New Roman" w:hAnsiTheme="minorHAnsi"/>
                <w:iCs/>
                <w:sz w:val="18"/>
                <w:szCs w:val="18"/>
                <w:lang w:eastAsia="en-US"/>
              </w:rPr>
            </w:pPr>
            <w:r w:rsidRPr="00686515">
              <w:rPr>
                <w:sz w:val="18"/>
                <w:szCs w:val="18"/>
              </w:rPr>
              <w:t>A</w:t>
            </w:r>
            <w:r w:rsidRPr="00686515">
              <w:rPr>
                <w:rFonts w:asciiTheme="minorHAnsi" w:eastAsia="Times New Roman" w:hAnsiTheme="minorHAnsi"/>
                <w:iCs/>
                <w:sz w:val="18"/>
                <w:szCs w:val="18"/>
              </w:rPr>
              <w:t>ustralia-World Bank Partnership Phase 2</w:t>
            </w:r>
            <w:r w:rsidR="0003751D" w:rsidRPr="00686515">
              <w:rPr>
                <w:rFonts w:asciiTheme="minorHAnsi" w:eastAsia="Times New Roman" w:hAnsiTheme="minorHAnsi"/>
                <w:iCs/>
                <w:sz w:val="18"/>
                <w:szCs w:val="18"/>
              </w:rPr>
              <w:t xml:space="preserve"> </w:t>
            </w:r>
          </w:p>
        </w:tc>
        <w:tc>
          <w:tcPr>
            <w:tcW w:w="2288" w:type="dxa"/>
            <w:shd w:val="clear" w:color="auto" w:fill="auto"/>
          </w:tcPr>
          <w:p w:rsidR="0003751D" w:rsidRPr="00686515" w:rsidRDefault="0089104A" w:rsidP="007F3EAE">
            <w:pPr>
              <w:keepLines/>
              <w:spacing w:before="40" w:after="40" w:line="200" w:lineRule="atLeast"/>
              <w:rPr>
                <w:rFonts w:asciiTheme="minorHAnsi" w:eastAsia="Times New Roman" w:hAnsiTheme="minorHAnsi"/>
                <w:iCs/>
                <w:sz w:val="18"/>
                <w:szCs w:val="18"/>
                <w:highlight w:val="yellow"/>
                <w:lang w:eastAsia="en-US"/>
              </w:rPr>
            </w:pPr>
            <w:r w:rsidRPr="00686515">
              <w:rPr>
                <w:rFonts w:asciiTheme="minorHAnsi" w:eastAsia="Times New Roman" w:hAnsiTheme="minorHAnsi"/>
                <w:iCs/>
                <w:sz w:val="18"/>
                <w:szCs w:val="18"/>
              </w:rPr>
              <w:t>INL773</w:t>
            </w:r>
          </w:p>
        </w:tc>
        <w:tc>
          <w:tcPr>
            <w:tcW w:w="2384" w:type="dxa"/>
          </w:tcPr>
          <w:p w:rsidR="0003751D" w:rsidRPr="00686515" w:rsidRDefault="0003751D" w:rsidP="003E34CD">
            <w:pPr>
              <w:keepLines/>
              <w:spacing w:before="40" w:after="40" w:line="200" w:lineRule="atLeast"/>
              <w:rPr>
                <w:rFonts w:asciiTheme="minorHAnsi" w:eastAsia="Times New Roman" w:hAnsiTheme="minorHAnsi"/>
                <w:iCs/>
                <w:sz w:val="18"/>
                <w:szCs w:val="18"/>
                <w:highlight w:val="yellow"/>
                <w:lang w:eastAsia="en-US"/>
              </w:rPr>
            </w:pPr>
            <w:r w:rsidRPr="00686515">
              <w:rPr>
                <w:rFonts w:asciiTheme="minorHAnsi" w:eastAsia="Times New Roman" w:hAnsiTheme="minorHAnsi"/>
                <w:iCs/>
                <w:sz w:val="18"/>
                <w:szCs w:val="18"/>
              </w:rPr>
              <w:t>Aug</w:t>
            </w:r>
            <w:r w:rsidR="00176ECC" w:rsidRPr="00686515">
              <w:rPr>
                <w:rFonts w:asciiTheme="minorHAnsi" w:eastAsia="Times New Roman" w:hAnsiTheme="minorHAnsi"/>
                <w:iCs/>
                <w:sz w:val="18"/>
                <w:szCs w:val="18"/>
              </w:rPr>
              <w:t>ust</w:t>
            </w:r>
            <w:r w:rsidRPr="00686515">
              <w:rPr>
                <w:rFonts w:asciiTheme="minorHAnsi" w:eastAsia="Times New Roman" w:hAnsiTheme="minorHAnsi"/>
                <w:iCs/>
                <w:sz w:val="18"/>
                <w:szCs w:val="18"/>
              </w:rPr>
              <w:t xml:space="preserve"> </w:t>
            </w:r>
            <w:r w:rsidR="00176ECC" w:rsidRPr="00686515">
              <w:rPr>
                <w:rFonts w:asciiTheme="minorHAnsi" w:eastAsia="Times New Roman" w:hAnsiTheme="minorHAnsi"/>
                <w:iCs/>
                <w:sz w:val="18"/>
                <w:szCs w:val="18"/>
              </w:rPr>
              <w:t>20</w:t>
            </w:r>
            <w:r w:rsidRPr="00686515">
              <w:rPr>
                <w:rFonts w:asciiTheme="minorHAnsi" w:eastAsia="Times New Roman" w:hAnsiTheme="minorHAnsi"/>
                <w:iCs/>
                <w:sz w:val="18"/>
                <w:szCs w:val="18"/>
              </w:rPr>
              <w:t>19</w:t>
            </w:r>
          </w:p>
        </w:tc>
        <w:tc>
          <w:tcPr>
            <w:tcW w:w="2154" w:type="dxa"/>
          </w:tcPr>
          <w:p w:rsidR="0003751D" w:rsidRPr="00686515" w:rsidRDefault="0003751D" w:rsidP="007F3EAE">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rPr>
              <w:t>Dec</w:t>
            </w:r>
            <w:r w:rsidR="00176ECC" w:rsidRPr="00686515">
              <w:rPr>
                <w:rFonts w:asciiTheme="minorHAnsi" w:eastAsia="Times New Roman" w:hAnsiTheme="minorHAnsi"/>
                <w:iCs/>
                <w:sz w:val="18"/>
                <w:szCs w:val="18"/>
              </w:rPr>
              <w:t>ember</w:t>
            </w:r>
            <w:r w:rsidRPr="00686515">
              <w:rPr>
                <w:rFonts w:asciiTheme="minorHAnsi" w:eastAsia="Times New Roman" w:hAnsiTheme="minorHAnsi"/>
                <w:iCs/>
                <w:sz w:val="18"/>
                <w:szCs w:val="18"/>
              </w:rPr>
              <w:t xml:space="preserve"> </w:t>
            </w:r>
            <w:r w:rsidR="00176ECC" w:rsidRPr="00686515">
              <w:rPr>
                <w:rFonts w:asciiTheme="minorHAnsi" w:eastAsia="Times New Roman" w:hAnsiTheme="minorHAnsi"/>
                <w:iCs/>
                <w:sz w:val="18"/>
                <w:szCs w:val="18"/>
              </w:rPr>
              <w:t>20</w:t>
            </w:r>
            <w:r w:rsidRPr="00686515">
              <w:rPr>
                <w:rFonts w:asciiTheme="minorHAnsi" w:eastAsia="Times New Roman" w:hAnsiTheme="minorHAnsi"/>
                <w:iCs/>
                <w:sz w:val="18"/>
                <w:szCs w:val="18"/>
              </w:rPr>
              <w:t>19</w:t>
            </w:r>
          </w:p>
        </w:tc>
        <w:tc>
          <w:tcPr>
            <w:tcW w:w="2290" w:type="dxa"/>
          </w:tcPr>
          <w:p w:rsidR="0003751D" w:rsidRPr="00686515" w:rsidRDefault="0003751D" w:rsidP="00D4281B">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rPr>
              <w:t>To assess the partnership</w:t>
            </w:r>
            <w:r w:rsidR="00D4281B" w:rsidRPr="00686515">
              <w:rPr>
                <w:rFonts w:asciiTheme="minorHAnsi" w:eastAsia="Times New Roman" w:hAnsiTheme="minorHAnsi"/>
                <w:iCs/>
                <w:sz w:val="18"/>
                <w:szCs w:val="18"/>
              </w:rPr>
              <w:t>’s performance and to provide recommendations for any mid-cycle adjustments required to improve or adjust end of program outcomes.</w:t>
            </w:r>
          </w:p>
        </w:tc>
        <w:tc>
          <w:tcPr>
            <w:tcW w:w="2489" w:type="dxa"/>
          </w:tcPr>
          <w:p w:rsidR="0003751D" w:rsidRPr="00686515" w:rsidRDefault="0003751D" w:rsidP="007F3EAE">
            <w:pPr>
              <w:keepLines/>
              <w:spacing w:before="40" w:after="40" w:line="200" w:lineRule="atLeast"/>
              <w:rPr>
                <w:rFonts w:asciiTheme="minorHAnsi" w:eastAsia="Times New Roman" w:hAnsiTheme="minorHAnsi"/>
                <w:iCs/>
                <w:sz w:val="18"/>
                <w:szCs w:val="18"/>
                <w:lang w:eastAsia="en-US"/>
              </w:rPr>
            </w:pPr>
            <w:r w:rsidRPr="00686515">
              <w:rPr>
                <w:rFonts w:eastAsia="Times New Roman"/>
                <w:iCs/>
                <w:sz w:val="18"/>
                <w:szCs w:val="18"/>
              </w:rPr>
              <w:t>To be determined with the World Bank</w:t>
            </w:r>
          </w:p>
        </w:tc>
      </w:tr>
      <w:tr w:rsidR="00983157" w:rsidRPr="00652572" w:rsidTr="00686515">
        <w:tc>
          <w:tcPr>
            <w:tcW w:w="2374" w:type="dxa"/>
          </w:tcPr>
          <w:p w:rsidR="00983157" w:rsidRPr="00686515" w:rsidRDefault="00983157" w:rsidP="007F3EAE">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 xml:space="preserve">Gender Equality Action Plan (GEAP) Annual Review </w:t>
            </w:r>
          </w:p>
        </w:tc>
        <w:tc>
          <w:tcPr>
            <w:tcW w:w="2288" w:type="dxa"/>
          </w:tcPr>
          <w:p w:rsidR="00983157" w:rsidRPr="00686515" w:rsidRDefault="00983157" w:rsidP="007F3EAE">
            <w:pPr>
              <w:keepLines/>
              <w:spacing w:before="40" w:after="40" w:line="200" w:lineRule="atLeast"/>
              <w:rPr>
                <w:rFonts w:asciiTheme="minorHAnsi" w:eastAsia="Times New Roman" w:hAnsiTheme="minorHAnsi"/>
                <w:iCs/>
                <w:sz w:val="18"/>
                <w:szCs w:val="18"/>
                <w:highlight w:val="yellow"/>
              </w:rPr>
            </w:pPr>
            <w:r w:rsidRPr="00686515">
              <w:rPr>
                <w:rFonts w:asciiTheme="minorHAnsi" w:eastAsia="Times New Roman" w:hAnsiTheme="minorHAnsi"/>
                <w:iCs/>
                <w:sz w:val="18"/>
                <w:szCs w:val="18"/>
              </w:rPr>
              <w:t xml:space="preserve">N/A </w:t>
            </w:r>
          </w:p>
        </w:tc>
        <w:tc>
          <w:tcPr>
            <w:tcW w:w="2384" w:type="dxa"/>
            <w:shd w:val="clear" w:color="auto" w:fill="auto"/>
          </w:tcPr>
          <w:p w:rsidR="00983157" w:rsidRPr="00686515" w:rsidRDefault="00983157" w:rsidP="003E34CD">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Sep</w:t>
            </w:r>
            <w:r w:rsidR="00176ECC" w:rsidRPr="00686515">
              <w:rPr>
                <w:rFonts w:asciiTheme="minorHAnsi" w:eastAsia="Times New Roman" w:hAnsiTheme="minorHAnsi"/>
                <w:iCs/>
                <w:sz w:val="18"/>
                <w:szCs w:val="18"/>
              </w:rPr>
              <w:t>tember</w:t>
            </w:r>
            <w:r w:rsidRPr="00686515">
              <w:rPr>
                <w:rFonts w:asciiTheme="minorHAnsi" w:eastAsia="Times New Roman" w:hAnsiTheme="minorHAnsi"/>
                <w:iCs/>
                <w:sz w:val="18"/>
                <w:szCs w:val="18"/>
              </w:rPr>
              <w:t xml:space="preserve"> </w:t>
            </w:r>
            <w:r w:rsidR="00176ECC" w:rsidRPr="00686515">
              <w:rPr>
                <w:rFonts w:asciiTheme="minorHAnsi" w:eastAsia="Times New Roman" w:hAnsiTheme="minorHAnsi"/>
                <w:iCs/>
                <w:sz w:val="18"/>
                <w:szCs w:val="18"/>
              </w:rPr>
              <w:t>20</w:t>
            </w:r>
            <w:r w:rsidRPr="00686515">
              <w:rPr>
                <w:rFonts w:asciiTheme="minorHAnsi" w:eastAsia="Times New Roman" w:hAnsiTheme="minorHAnsi"/>
                <w:iCs/>
                <w:sz w:val="18"/>
                <w:szCs w:val="18"/>
              </w:rPr>
              <w:t xml:space="preserve">18 </w:t>
            </w:r>
          </w:p>
        </w:tc>
        <w:tc>
          <w:tcPr>
            <w:tcW w:w="2154" w:type="dxa"/>
          </w:tcPr>
          <w:p w:rsidR="00983157" w:rsidRPr="00686515" w:rsidRDefault="00983157">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Oct</w:t>
            </w:r>
            <w:r w:rsidR="00176ECC" w:rsidRPr="00686515">
              <w:rPr>
                <w:rFonts w:asciiTheme="minorHAnsi" w:eastAsia="Times New Roman" w:hAnsiTheme="minorHAnsi"/>
                <w:iCs/>
                <w:sz w:val="18"/>
                <w:szCs w:val="18"/>
              </w:rPr>
              <w:t>ober</w:t>
            </w:r>
            <w:r w:rsidRPr="00686515">
              <w:rPr>
                <w:rFonts w:asciiTheme="minorHAnsi" w:eastAsia="Times New Roman" w:hAnsiTheme="minorHAnsi"/>
                <w:iCs/>
                <w:sz w:val="18"/>
                <w:szCs w:val="18"/>
              </w:rPr>
              <w:t xml:space="preserve"> </w:t>
            </w:r>
            <w:r w:rsidR="00176ECC" w:rsidRPr="00686515">
              <w:rPr>
                <w:rFonts w:asciiTheme="minorHAnsi" w:eastAsia="Times New Roman" w:hAnsiTheme="minorHAnsi"/>
                <w:iCs/>
                <w:sz w:val="18"/>
                <w:szCs w:val="18"/>
              </w:rPr>
              <w:t>20</w:t>
            </w:r>
            <w:r w:rsidRPr="00686515">
              <w:rPr>
                <w:rFonts w:asciiTheme="minorHAnsi" w:eastAsia="Times New Roman" w:hAnsiTheme="minorHAnsi"/>
                <w:iCs/>
                <w:sz w:val="18"/>
                <w:szCs w:val="18"/>
              </w:rPr>
              <w:t xml:space="preserve">18 </w:t>
            </w:r>
          </w:p>
        </w:tc>
        <w:tc>
          <w:tcPr>
            <w:tcW w:w="2290" w:type="dxa"/>
          </w:tcPr>
          <w:p w:rsidR="00BF011B" w:rsidRPr="00686515" w:rsidRDefault="00983157">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rPr>
              <w:t>To assess the implementation progress against the actions in the GEAP since the first annual review in October 2017</w:t>
            </w:r>
            <w:r w:rsidR="00176ECC" w:rsidRPr="00686515">
              <w:rPr>
                <w:rFonts w:asciiTheme="minorHAnsi" w:eastAsia="Times New Roman" w:hAnsiTheme="minorHAnsi"/>
                <w:iCs/>
                <w:sz w:val="18"/>
                <w:szCs w:val="18"/>
              </w:rPr>
              <w:t>,</w:t>
            </w:r>
            <w:r w:rsidRPr="00686515">
              <w:rPr>
                <w:rFonts w:asciiTheme="minorHAnsi" w:eastAsia="Times New Roman" w:hAnsiTheme="minorHAnsi"/>
                <w:iCs/>
                <w:sz w:val="18"/>
                <w:szCs w:val="18"/>
              </w:rPr>
              <w:t xml:space="preserve"> and propose adjustments for coming years if needed</w:t>
            </w:r>
            <w:r w:rsidR="005D3DB5" w:rsidRPr="00686515">
              <w:rPr>
                <w:rFonts w:asciiTheme="minorHAnsi" w:eastAsia="Times New Roman" w:hAnsiTheme="minorHAnsi"/>
                <w:iCs/>
                <w:sz w:val="18"/>
                <w:szCs w:val="18"/>
              </w:rPr>
              <w:t>.</w:t>
            </w:r>
          </w:p>
        </w:tc>
        <w:tc>
          <w:tcPr>
            <w:tcW w:w="2489" w:type="dxa"/>
          </w:tcPr>
          <w:p w:rsidR="00983157" w:rsidRPr="00686515" w:rsidRDefault="00983157" w:rsidP="007F3EAE">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 xml:space="preserve">DFAT led </w:t>
            </w:r>
          </w:p>
        </w:tc>
      </w:tr>
    </w:tbl>
    <w:p w:rsidR="00400B0F" w:rsidRPr="00784031" w:rsidRDefault="00400B0F" w:rsidP="00686515">
      <w:pPr>
        <w:suppressAutoHyphens w:val="0"/>
        <w:spacing w:before="0" w:after="120" w:line="440" w:lineRule="atLeast"/>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Annex D - Aid Quality Check ratings</w:t>
      </w:r>
    </w:p>
    <w:p w:rsidR="00400B0F" w:rsidRPr="00784031" w:rsidRDefault="00400B0F" w:rsidP="00400B0F">
      <w:pPr>
        <w:keepNext/>
        <w:numPr>
          <w:ilvl w:val="2"/>
          <w:numId w:val="0"/>
        </w:numPr>
        <w:spacing w:before="240" w:after="120"/>
        <w:outlineLvl w:val="2"/>
        <w:rPr>
          <w:rFonts w:asciiTheme="majorHAnsi" w:eastAsiaTheme="majorEastAsia" w:hAnsiTheme="majorHAnsi" w:cstheme="majorBidi"/>
          <w:caps/>
          <w:sz w:val="38"/>
          <w:szCs w:val="26"/>
        </w:rPr>
      </w:pPr>
      <w:r w:rsidRPr="00784031">
        <w:rPr>
          <w:rFonts w:asciiTheme="majorHAnsi" w:eastAsiaTheme="majorEastAsia" w:hAnsiTheme="majorHAnsi" w:cstheme="majorBidi"/>
          <w:caps/>
          <w:sz w:val="38"/>
          <w:szCs w:val="26"/>
        </w:rPr>
        <w:t>AQC ratings</w:t>
      </w:r>
    </w:p>
    <w:p w:rsidR="00400B0F" w:rsidRPr="00C61187" w:rsidRDefault="00400B0F" w:rsidP="004E0264">
      <w:r w:rsidRPr="00C61187">
        <w:t xml:space="preserve">AQC investment performance over the previous 12 months </w:t>
      </w:r>
      <w:r w:rsidR="0089104A">
        <w:t>(</w:t>
      </w:r>
      <w:r w:rsidRPr="00C61187">
        <w:t>last year’s AQC ratings included</w:t>
      </w:r>
      <w:r w:rsidR="0089104A">
        <w:t xml:space="preserve"> where available)</w:t>
      </w:r>
      <w:r w:rsidRPr="00C61187">
        <w:t>.</w:t>
      </w:r>
    </w:p>
    <w:tbl>
      <w:tblPr>
        <w:tblStyle w:val="APPR"/>
        <w:tblW w:w="5000" w:type="pct"/>
        <w:tblLook w:val="0000" w:firstRow="0" w:lastRow="0" w:firstColumn="0" w:lastColumn="0" w:noHBand="0" w:noVBand="0"/>
      </w:tblPr>
      <w:tblGrid>
        <w:gridCol w:w="2612"/>
        <w:gridCol w:w="1892"/>
        <w:gridCol w:w="1205"/>
        <w:gridCol w:w="1210"/>
        <w:gridCol w:w="1202"/>
        <w:gridCol w:w="1210"/>
        <w:gridCol w:w="1202"/>
        <w:gridCol w:w="1210"/>
        <w:gridCol w:w="1202"/>
        <w:gridCol w:w="1208"/>
      </w:tblGrid>
      <w:tr w:rsidR="00400B0F" w:rsidRPr="00C61187" w:rsidTr="00F4100E">
        <w:trPr>
          <w:cnfStyle w:val="000000010000" w:firstRow="0" w:lastRow="0" w:firstColumn="0" w:lastColumn="0" w:oddVBand="0" w:evenVBand="0" w:oddHBand="0" w:evenHBand="1" w:firstRowFirstColumn="0" w:firstRowLastColumn="0" w:lastRowFirstColumn="0" w:lastRowLastColumn="0"/>
          <w:trHeight w:val="1413"/>
        </w:trPr>
        <w:tc>
          <w:tcPr>
            <w:tcW w:w="907" w:type="pct"/>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drawing>
                <wp:anchor distT="0" distB="0" distL="114300" distR="114300" simplePos="0" relativeHeight="251676672" behindDoc="0" locked="0" layoutInCell="1" allowOverlap="1" wp14:anchorId="059A88B5" wp14:editId="147B2C8C">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04">
              <w:rPr>
                <w:rFonts w:asciiTheme="minorHAnsi" w:eastAsia="Times New Roman" w:hAnsiTheme="minorHAnsi"/>
                <w:b/>
                <w:iCs/>
                <w:szCs w:val="17"/>
                <w:lang w:eastAsia="en-US"/>
              </w:rPr>
              <w:t>Investment name</w:t>
            </w:r>
          </w:p>
        </w:tc>
        <w:tc>
          <w:tcPr>
            <w:tcW w:w="658"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416"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year on year</w:t>
            </w:r>
          </w:p>
        </w:tc>
        <w:tc>
          <w:tcPr>
            <w:tcW w:w="418"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Relevance</w:t>
            </w:r>
          </w:p>
        </w:tc>
        <w:tc>
          <w:tcPr>
            <w:tcW w:w="415"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p>
        </w:tc>
        <w:tc>
          <w:tcPr>
            <w:tcW w:w="418"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Efficiency</w:t>
            </w:r>
          </w:p>
        </w:tc>
        <w:tc>
          <w:tcPr>
            <w:tcW w:w="415"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418"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c>
          <w:tcPr>
            <w:tcW w:w="415"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c>
          <w:tcPr>
            <w:tcW w:w="412" w:type="pct"/>
            <w:textDirection w:val="btL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Risks  and Safeguards</w:t>
            </w:r>
          </w:p>
        </w:tc>
      </w:tr>
      <w:tr w:rsidR="00400B0F" w:rsidRPr="00686515" w:rsidTr="000424ED">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rsidR="00400B0F" w:rsidRPr="00686515" w:rsidRDefault="00D71A50" w:rsidP="00D71A50">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Australia World Bank Partnership Trust Fund phase 2</w:t>
            </w:r>
          </w:p>
        </w:tc>
        <w:tc>
          <w:tcPr>
            <w:tcW w:w="659" w:type="pct"/>
            <w:vMerge w:val="restart"/>
          </w:tcPr>
          <w:p w:rsidR="00400B0F" w:rsidRPr="00686515" w:rsidRDefault="00D71A50" w:rsidP="001103E6">
            <w:pPr>
              <w:keepLines/>
              <w:spacing w:before="40" w:after="40" w:line="200" w:lineRule="atLeast"/>
              <w:rPr>
                <w:rFonts w:asciiTheme="minorHAnsi" w:hAnsiTheme="minorHAnsi" w:cs="Franklin Gothic Book"/>
                <w:color w:val="000000"/>
                <w:sz w:val="18"/>
                <w:szCs w:val="18"/>
              </w:rPr>
            </w:pPr>
            <w:r w:rsidRPr="00686515">
              <w:rPr>
                <w:rFonts w:asciiTheme="minorHAnsi" w:hAnsiTheme="minorHAnsi" w:cs="Franklin Gothic Book"/>
                <w:color w:val="000000"/>
                <w:sz w:val="18"/>
                <w:szCs w:val="18"/>
              </w:rPr>
              <w:t>$25m</w:t>
            </w:r>
          </w:p>
          <w:p w:rsidR="00D71A50" w:rsidRPr="00686515" w:rsidRDefault="00D71A50" w:rsidP="00D71A50">
            <w:pPr>
              <w:keepLines/>
              <w:spacing w:before="40" w:after="40" w:line="200" w:lineRule="atLeast"/>
              <w:rPr>
                <w:rFonts w:asciiTheme="minorHAnsi" w:eastAsia="Times New Roman" w:hAnsiTheme="minorHAnsi"/>
                <w:iCs/>
                <w:sz w:val="18"/>
                <w:szCs w:val="18"/>
                <w:lang w:eastAsia="en-US"/>
              </w:rPr>
            </w:pPr>
            <w:r w:rsidRPr="00686515">
              <w:rPr>
                <w:rFonts w:asciiTheme="minorHAnsi" w:hAnsiTheme="minorHAnsi" w:cs="Franklin Gothic Book"/>
                <w:color w:val="000000"/>
                <w:sz w:val="18"/>
                <w:szCs w:val="18"/>
              </w:rPr>
              <w:t>2016-21</w:t>
            </w:r>
          </w:p>
        </w:tc>
        <w:tc>
          <w:tcPr>
            <w:tcW w:w="416" w:type="pct"/>
          </w:tcPr>
          <w:p w:rsidR="00400B0F" w:rsidRPr="00686515" w:rsidRDefault="00400B0F" w:rsidP="001B3C09">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201</w:t>
            </w:r>
            <w:r w:rsidR="001B3C09" w:rsidRPr="00686515">
              <w:rPr>
                <w:rFonts w:asciiTheme="minorHAnsi" w:eastAsia="Times New Roman" w:hAnsiTheme="minorHAnsi"/>
                <w:iCs/>
                <w:sz w:val="18"/>
                <w:szCs w:val="18"/>
                <w:lang w:eastAsia="en-US"/>
              </w:rPr>
              <w:t>8</w:t>
            </w:r>
            <w:r w:rsidRPr="00686515">
              <w:rPr>
                <w:rFonts w:asciiTheme="minorHAnsi" w:eastAsia="Times New Roman" w:hAnsiTheme="minorHAnsi"/>
                <w:iCs/>
                <w:sz w:val="18"/>
                <w:szCs w:val="18"/>
                <w:lang w:eastAsia="en-US"/>
              </w:rPr>
              <w:t xml:space="preserve"> AQC</w:t>
            </w:r>
          </w:p>
        </w:tc>
        <w:tc>
          <w:tcPr>
            <w:tcW w:w="418" w:type="pct"/>
            <w:shd w:val="clear" w:color="auto" w:fill="92D050"/>
            <w:noWrap/>
          </w:tcPr>
          <w:p w:rsidR="00400B0F" w:rsidRPr="00686515" w:rsidRDefault="00400B0F"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5" w:type="pct"/>
            <w:shd w:val="clear" w:color="auto" w:fill="FFFF00"/>
            <w:noWrap/>
          </w:tcPr>
          <w:p w:rsidR="00400B0F" w:rsidRPr="00686515" w:rsidRDefault="00D71A50"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4</w:t>
            </w:r>
          </w:p>
        </w:tc>
        <w:tc>
          <w:tcPr>
            <w:tcW w:w="418" w:type="pct"/>
            <w:shd w:val="clear" w:color="auto" w:fill="FFFF00"/>
            <w:noWrap/>
          </w:tcPr>
          <w:p w:rsidR="00400B0F" w:rsidRPr="00686515" w:rsidRDefault="00D71A50"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4</w:t>
            </w:r>
          </w:p>
        </w:tc>
        <w:tc>
          <w:tcPr>
            <w:tcW w:w="415" w:type="pct"/>
            <w:shd w:val="clear" w:color="auto" w:fill="D3875F" w:themeFill="accent2"/>
            <w:noWrap/>
          </w:tcPr>
          <w:p w:rsidR="00400B0F" w:rsidRPr="00686515" w:rsidRDefault="00D71A50"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3</w:t>
            </w:r>
          </w:p>
        </w:tc>
        <w:tc>
          <w:tcPr>
            <w:tcW w:w="418" w:type="pct"/>
            <w:shd w:val="clear" w:color="auto" w:fill="92D050"/>
            <w:noWrap/>
          </w:tcPr>
          <w:p w:rsidR="00400B0F" w:rsidRPr="00686515" w:rsidRDefault="00D71A50"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4</w:t>
            </w:r>
          </w:p>
        </w:tc>
        <w:tc>
          <w:tcPr>
            <w:tcW w:w="415" w:type="pct"/>
            <w:shd w:val="clear" w:color="auto" w:fill="92D050"/>
            <w:noWrap/>
          </w:tcPr>
          <w:p w:rsidR="00400B0F" w:rsidRPr="00686515" w:rsidRDefault="00D71A50"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4</w:t>
            </w:r>
          </w:p>
        </w:tc>
        <w:tc>
          <w:tcPr>
            <w:tcW w:w="412" w:type="pct"/>
            <w:shd w:val="clear" w:color="auto" w:fill="FFFFFF" w:themeFill="background1"/>
          </w:tcPr>
          <w:p w:rsidR="00400B0F" w:rsidRPr="00686515" w:rsidRDefault="00D71A50"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w:t>
            </w:r>
          </w:p>
        </w:tc>
      </w:tr>
      <w:tr w:rsidR="00400B0F" w:rsidRPr="00686515" w:rsidTr="00DA2710">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rsidR="00400B0F" w:rsidRPr="00686515" w:rsidRDefault="00400B0F" w:rsidP="006F27B1">
            <w:pPr>
              <w:keepLines/>
              <w:spacing w:before="40" w:after="40" w:line="200" w:lineRule="atLeast"/>
              <w:rPr>
                <w:rFonts w:asciiTheme="minorHAnsi" w:eastAsia="Times New Roman" w:hAnsiTheme="minorHAnsi"/>
                <w:iCs/>
                <w:sz w:val="18"/>
                <w:szCs w:val="18"/>
                <w:lang w:eastAsia="en-US"/>
              </w:rPr>
            </w:pPr>
          </w:p>
        </w:tc>
        <w:tc>
          <w:tcPr>
            <w:tcW w:w="659" w:type="pct"/>
            <w:vMerge/>
            <w:tcBorders>
              <w:bottom w:val="single" w:sz="4" w:space="0" w:color="auto"/>
            </w:tcBorders>
          </w:tcPr>
          <w:p w:rsidR="00400B0F" w:rsidRPr="00686515" w:rsidRDefault="00400B0F" w:rsidP="006F27B1">
            <w:pPr>
              <w:keepLines/>
              <w:spacing w:before="40" w:after="40" w:line="200" w:lineRule="atLeast"/>
              <w:rPr>
                <w:rFonts w:asciiTheme="minorHAnsi" w:eastAsia="Times New Roman" w:hAnsiTheme="minorHAnsi"/>
                <w:iCs/>
                <w:sz w:val="18"/>
                <w:szCs w:val="18"/>
                <w:lang w:eastAsia="en-US"/>
              </w:rPr>
            </w:pPr>
          </w:p>
        </w:tc>
        <w:tc>
          <w:tcPr>
            <w:tcW w:w="416" w:type="pct"/>
            <w:tcBorders>
              <w:bottom w:val="single" w:sz="4" w:space="0" w:color="auto"/>
            </w:tcBorders>
            <w:shd w:val="clear" w:color="auto" w:fill="auto"/>
          </w:tcPr>
          <w:p w:rsidR="00400B0F" w:rsidRPr="00686515" w:rsidRDefault="00400B0F" w:rsidP="001B3C09">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201</w:t>
            </w:r>
            <w:r w:rsidR="001B3C09" w:rsidRPr="00686515">
              <w:rPr>
                <w:rFonts w:asciiTheme="minorHAnsi" w:eastAsia="Times New Roman" w:hAnsiTheme="minorHAnsi"/>
                <w:iCs/>
                <w:sz w:val="18"/>
                <w:szCs w:val="18"/>
                <w:lang w:eastAsia="en-US"/>
              </w:rPr>
              <w:t>7</w:t>
            </w:r>
            <w:r w:rsidRPr="00686515">
              <w:rPr>
                <w:rFonts w:asciiTheme="minorHAnsi" w:eastAsia="Times New Roman" w:hAnsiTheme="minorHAnsi"/>
                <w:iCs/>
                <w:sz w:val="18"/>
                <w:szCs w:val="18"/>
                <w:lang w:eastAsia="en-US"/>
              </w:rPr>
              <w:t xml:space="preserve"> AQC</w:t>
            </w:r>
          </w:p>
        </w:tc>
        <w:tc>
          <w:tcPr>
            <w:tcW w:w="418" w:type="pct"/>
            <w:tcBorders>
              <w:bottom w:val="single" w:sz="4" w:space="0" w:color="auto"/>
            </w:tcBorders>
            <w:shd w:val="clear" w:color="auto" w:fill="auto"/>
            <w:noWrap/>
          </w:tcPr>
          <w:p w:rsidR="00400B0F" w:rsidRPr="00686515" w:rsidRDefault="00D71A50"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 xml:space="preserve">N/A </w:t>
            </w:r>
          </w:p>
        </w:tc>
        <w:tc>
          <w:tcPr>
            <w:tcW w:w="415" w:type="pct"/>
            <w:tcBorders>
              <w:bottom w:val="single" w:sz="4" w:space="0" w:color="auto"/>
            </w:tcBorders>
            <w:shd w:val="clear" w:color="auto" w:fill="auto"/>
            <w:noWrap/>
          </w:tcPr>
          <w:p w:rsidR="00400B0F" w:rsidRPr="00686515" w:rsidRDefault="00D71A50"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 xml:space="preserve">N/A </w:t>
            </w:r>
          </w:p>
        </w:tc>
        <w:tc>
          <w:tcPr>
            <w:tcW w:w="418" w:type="pct"/>
            <w:tcBorders>
              <w:bottom w:val="single" w:sz="4" w:space="0" w:color="auto"/>
            </w:tcBorders>
            <w:shd w:val="clear" w:color="auto" w:fill="auto"/>
            <w:noWrap/>
          </w:tcPr>
          <w:p w:rsidR="00400B0F" w:rsidRPr="00686515" w:rsidRDefault="00D71A50"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 xml:space="preserve">N/A </w:t>
            </w:r>
          </w:p>
        </w:tc>
        <w:tc>
          <w:tcPr>
            <w:tcW w:w="415" w:type="pct"/>
            <w:tcBorders>
              <w:bottom w:val="single" w:sz="4" w:space="0" w:color="auto"/>
            </w:tcBorders>
            <w:shd w:val="clear" w:color="auto" w:fill="auto"/>
            <w:noWrap/>
          </w:tcPr>
          <w:p w:rsidR="00400B0F" w:rsidRPr="00686515" w:rsidRDefault="00D71A50"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 xml:space="preserve">N/A </w:t>
            </w:r>
          </w:p>
        </w:tc>
        <w:tc>
          <w:tcPr>
            <w:tcW w:w="418" w:type="pct"/>
            <w:tcBorders>
              <w:bottom w:val="single" w:sz="4" w:space="0" w:color="auto"/>
            </w:tcBorders>
            <w:shd w:val="clear" w:color="auto" w:fill="auto"/>
            <w:noWrap/>
          </w:tcPr>
          <w:p w:rsidR="00400B0F" w:rsidRPr="00686515" w:rsidRDefault="00D71A50"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 xml:space="preserve">N/A </w:t>
            </w:r>
          </w:p>
        </w:tc>
        <w:tc>
          <w:tcPr>
            <w:tcW w:w="415" w:type="pct"/>
            <w:tcBorders>
              <w:bottom w:val="single" w:sz="4" w:space="0" w:color="auto"/>
            </w:tcBorders>
            <w:shd w:val="clear" w:color="auto" w:fill="auto"/>
            <w:noWrap/>
          </w:tcPr>
          <w:p w:rsidR="00400B0F" w:rsidRPr="00686515" w:rsidRDefault="00D71A50"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 xml:space="preserve">N/A </w:t>
            </w:r>
          </w:p>
        </w:tc>
        <w:tc>
          <w:tcPr>
            <w:tcW w:w="412" w:type="pct"/>
            <w:tcBorders>
              <w:bottom w:val="single" w:sz="4" w:space="0" w:color="auto"/>
            </w:tcBorders>
            <w:shd w:val="clear" w:color="auto" w:fill="FFFFFF" w:themeFill="background1"/>
          </w:tcPr>
          <w:p w:rsidR="00400B0F" w:rsidRPr="00686515" w:rsidRDefault="00D71A50"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w:t>
            </w:r>
          </w:p>
        </w:tc>
      </w:tr>
      <w:tr w:rsidR="00400B0F" w:rsidRPr="00686515" w:rsidTr="000424ED">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rsidR="00400B0F" w:rsidRPr="00686515" w:rsidRDefault="00D71A50" w:rsidP="006F27B1">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 xml:space="preserve">Cao </w:t>
            </w:r>
            <w:proofErr w:type="spellStart"/>
            <w:r w:rsidRPr="00686515">
              <w:rPr>
                <w:rFonts w:asciiTheme="minorHAnsi" w:eastAsia="Times New Roman" w:hAnsiTheme="minorHAnsi"/>
                <w:iCs/>
                <w:sz w:val="18"/>
                <w:szCs w:val="18"/>
                <w:lang w:eastAsia="en-US"/>
              </w:rPr>
              <w:t>Lanh</w:t>
            </w:r>
            <w:proofErr w:type="spellEnd"/>
            <w:r w:rsidRPr="00686515">
              <w:rPr>
                <w:rFonts w:asciiTheme="minorHAnsi" w:eastAsia="Times New Roman" w:hAnsiTheme="minorHAnsi"/>
                <w:iCs/>
                <w:sz w:val="18"/>
                <w:szCs w:val="18"/>
                <w:lang w:eastAsia="en-US"/>
              </w:rPr>
              <w:t xml:space="preserve"> M&amp;E – Social Development, Diplomacy and Civil Work / Cao </w:t>
            </w:r>
            <w:proofErr w:type="spellStart"/>
            <w:r w:rsidRPr="00686515">
              <w:rPr>
                <w:rFonts w:asciiTheme="minorHAnsi" w:eastAsia="Times New Roman" w:hAnsiTheme="minorHAnsi"/>
                <w:iCs/>
                <w:sz w:val="18"/>
                <w:szCs w:val="18"/>
                <w:lang w:eastAsia="en-US"/>
              </w:rPr>
              <w:t>Lanh</w:t>
            </w:r>
            <w:proofErr w:type="spellEnd"/>
            <w:r w:rsidRPr="00686515">
              <w:rPr>
                <w:rFonts w:asciiTheme="minorHAnsi" w:eastAsia="Times New Roman" w:hAnsiTheme="minorHAnsi"/>
                <w:iCs/>
                <w:sz w:val="18"/>
                <w:szCs w:val="18"/>
                <w:lang w:eastAsia="en-US"/>
              </w:rPr>
              <w:t xml:space="preserve"> Detailed Design </w:t>
            </w:r>
          </w:p>
        </w:tc>
        <w:tc>
          <w:tcPr>
            <w:tcW w:w="659" w:type="pct"/>
            <w:vMerge w:val="restart"/>
          </w:tcPr>
          <w:p w:rsidR="00400B0F" w:rsidRPr="00686515" w:rsidRDefault="00400B0F" w:rsidP="006F27B1">
            <w:pPr>
              <w:autoSpaceDE w:val="0"/>
              <w:autoSpaceDN w:val="0"/>
              <w:adjustRightInd w:val="0"/>
              <w:rPr>
                <w:rFonts w:asciiTheme="minorHAnsi" w:hAnsiTheme="minorHAnsi" w:cs="Franklin Gothic Book"/>
                <w:color w:val="000000"/>
                <w:sz w:val="18"/>
                <w:szCs w:val="18"/>
              </w:rPr>
            </w:pPr>
            <w:r w:rsidRPr="00686515">
              <w:rPr>
                <w:rFonts w:asciiTheme="minorHAnsi" w:hAnsiTheme="minorHAnsi" w:cs="Franklin Gothic Book"/>
                <w:color w:val="000000"/>
                <w:sz w:val="18"/>
                <w:szCs w:val="18"/>
              </w:rPr>
              <w:t>$</w:t>
            </w:r>
            <w:r w:rsidR="00D71A50" w:rsidRPr="00686515">
              <w:rPr>
                <w:rFonts w:asciiTheme="minorHAnsi" w:hAnsiTheme="minorHAnsi" w:cs="Franklin Gothic Book"/>
                <w:color w:val="000000"/>
                <w:sz w:val="18"/>
                <w:szCs w:val="18"/>
              </w:rPr>
              <w:t xml:space="preserve">156.6m </w:t>
            </w:r>
          </w:p>
          <w:p w:rsidR="00400B0F" w:rsidRPr="00686515" w:rsidRDefault="00400B0F" w:rsidP="00D71A50">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201</w:t>
            </w:r>
            <w:r w:rsidR="00D71A50" w:rsidRPr="00686515">
              <w:rPr>
                <w:rFonts w:asciiTheme="minorHAnsi" w:eastAsia="Times New Roman" w:hAnsiTheme="minorHAnsi"/>
                <w:iCs/>
                <w:sz w:val="18"/>
                <w:szCs w:val="18"/>
                <w:lang w:eastAsia="en-US"/>
              </w:rPr>
              <w:t>1-21</w:t>
            </w:r>
            <w:r w:rsidRPr="00686515">
              <w:rPr>
                <w:rFonts w:asciiTheme="minorHAnsi" w:eastAsia="Times New Roman" w:hAnsiTheme="minorHAnsi"/>
                <w:iCs/>
                <w:sz w:val="18"/>
                <w:szCs w:val="18"/>
                <w:lang w:eastAsia="en-US"/>
              </w:rPr>
              <w:t xml:space="preserve"> </w:t>
            </w:r>
          </w:p>
        </w:tc>
        <w:tc>
          <w:tcPr>
            <w:tcW w:w="416" w:type="pct"/>
          </w:tcPr>
          <w:p w:rsidR="00400B0F" w:rsidRPr="00686515" w:rsidRDefault="00400B0F" w:rsidP="001B3C09">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201</w:t>
            </w:r>
            <w:r w:rsidR="001B3C09" w:rsidRPr="00686515">
              <w:rPr>
                <w:rFonts w:asciiTheme="minorHAnsi" w:eastAsia="Times New Roman" w:hAnsiTheme="minorHAnsi"/>
                <w:iCs/>
                <w:sz w:val="18"/>
                <w:szCs w:val="18"/>
                <w:lang w:eastAsia="en-US"/>
              </w:rPr>
              <w:t>8</w:t>
            </w:r>
            <w:r w:rsidRPr="00686515">
              <w:rPr>
                <w:rFonts w:asciiTheme="minorHAnsi" w:eastAsia="Times New Roman" w:hAnsiTheme="minorHAnsi"/>
                <w:iCs/>
                <w:sz w:val="18"/>
                <w:szCs w:val="18"/>
                <w:lang w:eastAsia="en-US"/>
              </w:rPr>
              <w:t xml:space="preserve"> AQC</w:t>
            </w:r>
          </w:p>
        </w:tc>
        <w:tc>
          <w:tcPr>
            <w:tcW w:w="418" w:type="pct"/>
            <w:shd w:val="clear" w:color="auto" w:fill="92D050"/>
            <w:noWrap/>
          </w:tcPr>
          <w:p w:rsidR="00400B0F" w:rsidRPr="00686515" w:rsidRDefault="00400B0F"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5" w:type="pct"/>
            <w:shd w:val="clear" w:color="auto" w:fill="92D050"/>
            <w:noWrap/>
          </w:tcPr>
          <w:p w:rsidR="00400B0F" w:rsidRPr="00686515" w:rsidRDefault="00400B0F"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8" w:type="pct"/>
            <w:shd w:val="clear" w:color="auto" w:fill="FFFF00"/>
            <w:noWrap/>
          </w:tcPr>
          <w:p w:rsidR="00400B0F" w:rsidRPr="00686515" w:rsidRDefault="00400B0F"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4</w:t>
            </w:r>
          </w:p>
        </w:tc>
        <w:tc>
          <w:tcPr>
            <w:tcW w:w="415" w:type="pct"/>
            <w:shd w:val="clear" w:color="auto" w:fill="92D050"/>
            <w:noWrap/>
          </w:tcPr>
          <w:p w:rsidR="00400B0F" w:rsidRPr="00686515" w:rsidRDefault="00400B0F"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8" w:type="pct"/>
            <w:shd w:val="clear" w:color="auto" w:fill="92D05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5" w:type="pct"/>
            <w:shd w:val="clear" w:color="auto" w:fill="92D050"/>
            <w:noWrap/>
          </w:tcPr>
          <w:p w:rsidR="00400B0F" w:rsidRPr="00686515" w:rsidRDefault="00400B0F"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2" w:type="pct"/>
            <w:shd w:val="clear" w:color="auto" w:fill="FFFFFF" w:themeFill="background1"/>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w:t>
            </w:r>
          </w:p>
        </w:tc>
      </w:tr>
      <w:tr w:rsidR="00400B0F" w:rsidRPr="00686515" w:rsidTr="000424ED">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rsidR="00400B0F" w:rsidRPr="00686515" w:rsidRDefault="00400B0F" w:rsidP="006F27B1">
            <w:pPr>
              <w:keepLines/>
              <w:spacing w:before="40" w:after="40" w:line="200" w:lineRule="atLeast"/>
              <w:rPr>
                <w:rFonts w:asciiTheme="minorHAnsi" w:eastAsia="Times New Roman" w:hAnsiTheme="minorHAnsi"/>
                <w:iCs/>
                <w:sz w:val="18"/>
                <w:szCs w:val="18"/>
                <w:lang w:eastAsia="en-US"/>
              </w:rPr>
            </w:pPr>
          </w:p>
        </w:tc>
        <w:tc>
          <w:tcPr>
            <w:tcW w:w="659" w:type="pct"/>
            <w:vMerge/>
            <w:tcBorders>
              <w:bottom w:val="single" w:sz="4" w:space="0" w:color="auto"/>
            </w:tcBorders>
          </w:tcPr>
          <w:p w:rsidR="00400B0F" w:rsidRPr="00686515" w:rsidRDefault="00400B0F" w:rsidP="006F27B1">
            <w:pPr>
              <w:keepLines/>
              <w:spacing w:before="40" w:after="40" w:line="200" w:lineRule="atLeast"/>
              <w:rPr>
                <w:rFonts w:asciiTheme="minorHAnsi" w:eastAsia="Times New Roman" w:hAnsiTheme="minorHAnsi"/>
                <w:iCs/>
                <w:sz w:val="18"/>
                <w:szCs w:val="18"/>
                <w:lang w:eastAsia="en-US"/>
              </w:rPr>
            </w:pPr>
          </w:p>
        </w:tc>
        <w:tc>
          <w:tcPr>
            <w:tcW w:w="416" w:type="pct"/>
            <w:tcBorders>
              <w:bottom w:val="single" w:sz="4" w:space="0" w:color="auto"/>
            </w:tcBorders>
          </w:tcPr>
          <w:p w:rsidR="00400B0F" w:rsidRPr="00686515" w:rsidRDefault="00400B0F" w:rsidP="001B3C09">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201</w:t>
            </w:r>
            <w:r w:rsidR="001B3C09" w:rsidRPr="00686515">
              <w:rPr>
                <w:rFonts w:asciiTheme="minorHAnsi" w:eastAsia="Times New Roman" w:hAnsiTheme="minorHAnsi"/>
                <w:iCs/>
                <w:sz w:val="18"/>
                <w:szCs w:val="18"/>
                <w:lang w:eastAsia="en-US"/>
              </w:rPr>
              <w:t>7</w:t>
            </w:r>
            <w:r w:rsidRPr="00686515">
              <w:rPr>
                <w:rFonts w:asciiTheme="minorHAnsi" w:eastAsia="Times New Roman" w:hAnsiTheme="minorHAnsi"/>
                <w:iCs/>
                <w:sz w:val="18"/>
                <w:szCs w:val="18"/>
                <w:lang w:eastAsia="en-US"/>
              </w:rPr>
              <w:t xml:space="preserve"> AQC</w:t>
            </w:r>
          </w:p>
        </w:tc>
        <w:tc>
          <w:tcPr>
            <w:tcW w:w="418" w:type="pct"/>
            <w:tcBorders>
              <w:bottom w:val="single" w:sz="4" w:space="0" w:color="auto"/>
            </w:tcBorders>
            <w:shd w:val="clear" w:color="auto" w:fill="92D05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5" w:type="pct"/>
            <w:tcBorders>
              <w:bottom w:val="single" w:sz="4" w:space="0" w:color="auto"/>
            </w:tcBorders>
            <w:shd w:val="clear" w:color="auto" w:fill="FFFF0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4</w:t>
            </w:r>
          </w:p>
        </w:tc>
        <w:tc>
          <w:tcPr>
            <w:tcW w:w="418" w:type="pct"/>
            <w:tcBorders>
              <w:bottom w:val="single" w:sz="4" w:space="0" w:color="auto"/>
            </w:tcBorders>
            <w:shd w:val="clear" w:color="auto" w:fill="92D05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5" w:type="pct"/>
            <w:tcBorders>
              <w:bottom w:val="single" w:sz="4" w:space="0" w:color="auto"/>
            </w:tcBorders>
            <w:shd w:val="clear" w:color="auto" w:fill="92D05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8" w:type="pct"/>
            <w:tcBorders>
              <w:bottom w:val="single" w:sz="4" w:space="0" w:color="auto"/>
            </w:tcBorders>
            <w:shd w:val="clear" w:color="auto" w:fill="92D05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5" w:type="pct"/>
            <w:tcBorders>
              <w:bottom w:val="single" w:sz="4" w:space="0" w:color="auto"/>
            </w:tcBorders>
            <w:shd w:val="clear" w:color="auto" w:fill="92D05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2" w:type="pct"/>
            <w:tcBorders>
              <w:bottom w:val="single" w:sz="4" w:space="0" w:color="auto"/>
            </w:tcBorders>
            <w:shd w:val="clear" w:color="auto" w:fill="auto"/>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w:t>
            </w:r>
          </w:p>
        </w:tc>
      </w:tr>
      <w:tr w:rsidR="00400B0F" w:rsidRPr="00686515" w:rsidTr="000424ED">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rsidR="00400B0F" w:rsidRPr="00686515" w:rsidRDefault="00B6558B" w:rsidP="006F27B1">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 xml:space="preserve">Vietnam Climate Innovation </w:t>
            </w:r>
            <w:proofErr w:type="spellStart"/>
            <w:r w:rsidRPr="00686515">
              <w:rPr>
                <w:rFonts w:asciiTheme="minorHAnsi" w:eastAsia="Times New Roman" w:hAnsiTheme="minorHAnsi"/>
                <w:iCs/>
                <w:sz w:val="18"/>
                <w:szCs w:val="18"/>
                <w:lang w:eastAsia="en-US"/>
              </w:rPr>
              <w:t>Center</w:t>
            </w:r>
            <w:proofErr w:type="spellEnd"/>
            <w:r w:rsidRPr="00686515">
              <w:rPr>
                <w:rFonts w:asciiTheme="minorHAnsi" w:eastAsia="Times New Roman" w:hAnsiTheme="minorHAnsi"/>
                <w:iCs/>
                <w:sz w:val="18"/>
                <w:szCs w:val="18"/>
                <w:lang w:eastAsia="en-US"/>
              </w:rPr>
              <w:t xml:space="preserve"> </w:t>
            </w:r>
          </w:p>
        </w:tc>
        <w:tc>
          <w:tcPr>
            <w:tcW w:w="659" w:type="pct"/>
            <w:vMerge w:val="restart"/>
          </w:tcPr>
          <w:p w:rsidR="00400B0F" w:rsidRPr="00686515" w:rsidRDefault="00B6558B" w:rsidP="006F27B1">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$4.65m</w:t>
            </w:r>
          </w:p>
          <w:p w:rsidR="00B6558B" w:rsidRPr="00686515" w:rsidRDefault="00AD08F1" w:rsidP="006F27B1">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2013-20</w:t>
            </w:r>
          </w:p>
        </w:tc>
        <w:tc>
          <w:tcPr>
            <w:tcW w:w="416" w:type="pct"/>
          </w:tcPr>
          <w:p w:rsidR="00400B0F" w:rsidRPr="00686515" w:rsidRDefault="00400B0F" w:rsidP="001B3C09">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201</w:t>
            </w:r>
            <w:r w:rsidR="001B3C09" w:rsidRPr="00686515">
              <w:rPr>
                <w:rFonts w:asciiTheme="minorHAnsi" w:eastAsia="Times New Roman" w:hAnsiTheme="minorHAnsi"/>
                <w:iCs/>
                <w:sz w:val="18"/>
                <w:szCs w:val="18"/>
                <w:lang w:eastAsia="en-US"/>
              </w:rPr>
              <w:t>8</w:t>
            </w:r>
            <w:r w:rsidRPr="00686515">
              <w:rPr>
                <w:rFonts w:asciiTheme="minorHAnsi" w:eastAsia="Times New Roman" w:hAnsiTheme="minorHAnsi"/>
                <w:iCs/>
                <w:sz w:val="18"/>
                <w:szCs w:val="18"/>
                <w:lang w:eastAsia="en-US"/>
              </w:rPr>
              <w:t xml:space="preserve"> AQC</w:t>
            </w:r>
          </w:p>
        </w:tc>
        <w:tc>
          <w:tcPr>
            <w:tcW w:w="418" w:type="pct"/>
            <w:shd w:val="clear" w:color="auto" w:fill="92D05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5" w:type="pct"/>
            <w:shd w:val="clear" w:color="auto" w:fill="92D05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8" w:type="pct"/>
            <w:shd w:val="clear" w:color="auto" w:fill="FFFF0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4</w:t>
            </w:r>
          </w:p>
        </w:tc>
        <w:tc>
          <w:tcPr>
            <w:tcW w:w="415" w:type="pct"/>
            <w:shd w:val="clear" w:color="auto" w:fill="D3875F" w:themeFill="accent2"/>
            <w:noWrap/>
          </w:tcPr>
          <w:p w:rsidR="00400B0F" w:rsidRPr="00686515" w:rsidRDefault="00051C3A"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3</w:t>
            </w:r>
          </w:p>
        </w:tc>
        <w:tc>
          <w:tcPr>
            <w:tcW w:w="418" w:type="pct"/>
            <w:shd w:val="clear" w:color="auto" w:fill="FFFF0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4</w:t>
            </w:r>
          </w:p>
        </w:tc>
        <w:tc>
          <w:tcPr>
            <w:tcW w:w="415" w:type="pct"/>
            <w:shd w:val="clear" w:color="auto" w:fill="FFFF00"/>
            <w:noWrap/>
          </w:tcPr>
          <w:p w:rsidR="00400B0F" w:rsidRPr="00686515" w:rsidRDefault="00051C3A"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4</w:t>
            </w:r>
          </w:p>
        </w:tc>
        <w:tc>
          <w:tcPr>
            <w:tcW w:w="412" w:type="pct"/>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w:t>
            </w:r>
          </w:p>
        </w:tc>
      </w:tr>
      <w:tr w:rsidR="00400B0F" w:rsidRPr="00686515" w:rsidTr="000424ED">
        <w:trPr>
          <w:cnfStyle w:val="000000010000" w:firstRow="0" w:lastRow="0" w:firstColumn="0" w:lastColumn="0" w:oddVBand="0" w:evenVBand="0" w:oddHBand="0" w:evenHBand="1" w:firstRowFirstColumn="0" w:firstRowLastColumn="0" w:lastRowFirstColumn="0" w:lastRowLastColumn="0"/>
          <w:trHeight w:val="284"/>
        </w:trPr>
        <w:tc>
          <w:tcPr>
            <w:tcW w:w="908" w:type="pct"/>
            <w:vMerge/>
          </w:tcPr>
          <w:p w:rsidR="00400B0F" w:rsidRPr="00686515" w:rsidRDefault="00400B0F" w:rsidP="006F27B1">
            <w:pPr>
              <w:keepLines/>
              <w:spacing w:before="40" w:after="40" w:line="200" w:lineRule="atLeast"/>
              <w:rPr>
                <w:rFonts w:asciiTheme="minorHAnsi" w:eastAsia="Times New Roman" w:hAnsiTheme="minorHAnsi"/>
                <w:iCs/>
                <w:sz w:val="18"/>
                <w:szCs w:val="18"/>
                <w:lang w:eastAsia="en-US"/>
              </w:rPr>
            </w:pPr>
          </w:p>
        </w:tc>
        <w:tc>
          <w:tcPr>
            <w:tcW w:w="659" w:type="pct"/>
            <w:vMerge/>
          </w:tcPr>
          <w:p w:rsidR="00400B0F" w:rsidRPr="00686515" w:rsidRDefault="00400B0F" w:rsidP="006F27B1">
            <w:pPr>
              <w:keepLines/>
              <w:spacing w:before="40" w:after="40" w:line="200" w:lineRule="atLeast"/>
              <w:rPr>
                <w:rFonts w:asciiTheme="minorHAnsi" w:eastAsia="Times New Roman" w:hAnsiTheme="minorHAnsi"/>
                <w:iCs/>
                <w:sz w:val="18"/>
                <w:szCs w:val="18"/>
                <w:lang w:eastAsia="en-US"/>
              </w:rPr>
            </w:pPr>
          </w:p>
        </w:tc>
        <w:tc>
          <w:tcPr>
            <w:tcW w:w="416" w:type="pct"/>
          </w:tcPr>
          <w:p w:rsidR="00400B0F" w:rsidRPr="00686515" w:rsidRDefault="00400B0F" w:rsidP="001B3C09">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201</w:t>
            </w:r>
            <w:r w:rsidR="001B3C09" w:rsidRPr="00686515">
              <w:rPr>
                <w:rFonts w:asciiTheme="minorHAnsi" w:eastAsia="Times New Roman" w:hAnsiTheme="minorHAnsi"/>
                <w:iCs/>
                <w:sz w:val="18"/>
                <w:szCs w:val="18"/>
                <w:lang w:eastAsia="en-US"/>
              </w:rPr>
              <w:t>7</w:t>
            </w:r>
            <w:r w:rsidRPr="00686515">
              <w:rPr>
                <w:rFonts w:asciiTheme="minorHAnsi" w:eastAsia="Times New Roman" w:hAnsiTheme="minorHAnsi"/>
                <w:iCs/>
                <w:sz w:val="18"/>
                <w:szCs w:val="18"/>
                <w:lang w:eastAsia="en-US"/>
              </w:rPr>
              <w:t xml:space="preserve"> AQC</w:t>
            </w:r>
          </w:p>
        </w:tc>
        <w:tc>
          <w:tcPr>
            <w:tcW w:w="418" w:type="pct"/>
            <w:shd w:val="clear" w:color="auto" w:fill="92D05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6</w:t>
            </w:r>
          </w:p>
        </w:tc>
        <w:tc>
          <w:tcPr>
            <w:tcW w:w="415" w:type="pct"/>
            <w:shd w:val="clear" w:color="auto" w:fill="92D05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8" w:type="pct"/>
            <w:shd w:val="clear" w:color="auto" w:fill="FFFF0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4</w:t>
            </w:r>
          </w:p>
        </w:tc>
        <w:tc>
          <w:tcPr>
            <w:tcW w:w="415" w:type="pct"/>
            <w:shd w:val="clear" w:color="auto" w:fill="92D05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8" w:type="pct"/>
            <w:shd w:val="clear" w:color="auto" w:fill="FFFF0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4</w:t>
            </w:r>
          </w:p>
        </w:tc>
        <w:tc>
          <w:tcPr>
            <w:tcW w:w="415" w:type="pct"/>
            <w:shd w:val="clear" w:color="auto" w:fill="FFFF00"/>
            <w:noWrap/>
          </w:tcPr>
          <w:p w:rsidR="00400B0F" w:rsidRPr="00686515" w:rsidRDefault="00B6558B"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4</w:t>
            </w:r>
          </w:p>
        </w:tc>
        <w:tc>
          <w:tcPr>
            <w:tcW w:w="412" w:type="pct"/>
          </w:tcPr>
          <w:p w:rsidR="00400B0F" w:rsidRPr="00686515" w:rsidRDefault="00400B0F" w:rsidP="006F27B1">
            <w:pPr>
              <w:keepLines/>
              <w:spacing w:before="40" w:after="40" w:line="200" w:lineRule="atLeast"/>
              <w:jc w:val="center"/>
              <w:rPr>
                <w:rFonts w:asciiTheme="minorHAnsi" w:eastAsia="Times New Roman" w:hAnsiTheme="minorHAnsi"/>
                <w:iCs/>
                <w:sz w:val="18"/>
                <w:szCs w:val="18"/>
                <w:lang w:eastAsia="en-US"/>
              </w:rPr>
            </w:pPr>
          </w:p>
        </w:tc>
      </w:tr>
      <w:tr w:rsidR="00F4100E" w:rsidRPr="00686515" w:rsidTr="000424ED">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Borders>
              <w:top w:val="single" w:sz="4" w:space="0" w:color="auto"/>
            </w:tcBorders>
          </w:tcPr>
          <w:p w:rsidR="00F4100E" w:rsidRPr="00686515" w:rsidRDefault="00F4100E" w:rsidP="00DA2710">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 xml:space="preserve">Human Resource Development </w:t>
            </w:r>
          </w:p>
          <w:p w:rsidR="00F4100E" w:rsidRPr="00686515" w:rsidRDefault="00F4100E" w:rsidP="00DA2710">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Facility (Aus4Skills)</w:t>
            </w:r>
          </w:p>
        </w:tc>
        <w:tc>
          <w:tcPr>
            <w:tcW w:w="659" w:type="pct"/>
            <w:tcBorders>
              <w:top w:val="single" w:sz="4" w:space="0" w:color="auto"/>
            </w:tcBorders>
          </w:tcPr>
          <w:p w:rsidR="00F4100E" w:rsidRPr="00686515" w:rsidRDefault="00F4100E" w:rsidP="00DA2710">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$40m</w:t>
            </w:r>
          </w:p>
        </w:tc>
        <w:tc>
          <w:tcPr>
            <w:tcW w:w="416" w:type="pct"/>
            <w:tcBorders>
              <w:top w:val="single" w:sz="4" w:space="0" w:color="auto"/>
            </w:tcBorders>
          </w:tcPr>
          <w:p w:rsidR="00F4100E" w:rsidRPr="00686515" w:rsidRDefault="00F4100E" w:rsidP="001B3C09">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2018 AQC</w:t>
            </w:r>
          </w:p>
        </w:tc>
        <w:tc>
          <w:tcPr>
            <w:tcW w:w="418" w:type="pct"/>
            <w:tcBorders>
              <w:top w:val="single" w:sz="4" w:space="0" w:color="auto"/>
            </w:tcBorders>
            <w:shd w:val="clear" w:color="auto" w:fill="92D050"/>
            <w:noWrap/>
          </w:tcPr>
          <w:p w:rsidR="00F4100E" w:rsidRPr="00686515" w:rsidRDefault="00F4100E" w:rsidP="006F27B1">
            <w:pPr>
              <w:keepLines/>
              <w:spacing w:before="40" w:after="40" w:line="200" w:lineRule="atLeast"/>
              <w:jc w:val="center"/>
              <w:rPr>
                <w:rFonts w:asciiTheme="minorHAnsi" w:eastAsia="Times New Roman" w:hAnsiTheme="minorHAnsi"/>
                <w:iCs/>
                <w:sz w:val="18"/>
                <w:szCs w:val="18"/>
              </w:rPr>
            </w:pPr>
            <w:r w:rsidRPr="00686515">
              <w:rPr>
                <w:rFonts w:asciiTheme="minorHAnsi" w:eastAsia="Times New Roman" w:hAnsiTheme="minorHAnsi"/>
                <w:iCs/>
                <w:sz w:val="18"/>
                <w:szCs w:val="18"/>
              </w:rPr>
              <w:t>5</w:t>
            </w:r>
          </w:p>
        </w:tc>
        <w:tc>
          <w:tcPr>
            <w:tcW w:w="415" w:type="pct"/>
            <w:tcBorders>
              <w:top w:val="single" w:sz="4" w:space="0" w:color="auto"/>
            </w:tcBorders>
            <w:shd w:val="clear" w:color="auto" w:fill="92D050"/>
            <w:noWrap/>
          </w:tcPr>
          <w:p w:rsidR="00F4100E" w:rsidRPr="00686515" w:rsidRDefault="00F4100E" w:rsidP="006F27B1">
            <w:pPr>
              <w:keepLines/>
              <w:spacing w:before="40" w:after="40" w:line="200" w:lineRule="atLeast"/>
              <w:jc w:val="center"/>
              <w:rPr>
                <w:rFonts w:asciiTheme="minorHAnsi" w:eastAsia="Times New Roman" w:hAnsiTheme="minorHAnsi"/>
                <w:iCs/>
                <w:sz w:val="18"/>
                <w:szCs w:val="18"/>
              </w:rPr>
            </w:pPr>
            <w:r w:rsidRPr="00686515">
              <w:rPr>
                <w:rFonts w:asciiTheme="minorHAnsi" w:eastAsia="Times New Roman" w:hAnsiTheme="minorHAnsi"/>
                <w:iCs/>
                <w:sz w:val="18"/>
                <w:szCs w:val="18"/>
              </w:rPr>
              <w:t>5</w:t>
            </w:r>
          </w:p>
        </w:tc>
        <w:tc>
          <w:tcPr>
            <w:tcW w:w="418" w:type="pct"/>
            <w:tcBorders>
              <w:top w:val="single" w:sz="4" w:space="0" w:color="auto"/>
            </w:tcBorders>
            <w:shd w:val="clear" w:color="auto" w:fill="92D050"/>
            <w:noWrap/>
          </w:tcPr>
          <w:p w:rsidR="00F4100E" w:rsidRPr="00686515" w:rsidRDefault="00F4100E" w:rsidP="006F27B1">
            <w:pPr>
              <w:keepLines/>
              <w:spacing w:before="40" w:after="40" w:line="200" w:lineRule="atLeast"/>
              <w:jc w:val="center"/>
              <w:rPr>
                <w:rFonts w:asciiTheme="minorHAnsi" w:eastAsia="Times New Roman" w:hAnsiTheme="minorHAnsi"/>
                <w:iCs/>
                <w:sz w:val="18"/>
                <w:szCs w:val="18"/>
              </w:rPr>
            </w:pPr>
            <w:r w:rsidRPr="00686515">
              <w:rPr>
                <w:rFonts w:asciiTheme="minorHAnsi" w:eastAsia="Times New Roman" w:hAnsiTheme="minorHAnsi"/>
                <w:iCs/>
                <w:sz w:val="18"/>
                <w:szCs w:val="18"/>
              </w:rPr>
              <w:t>5</w:t>
            </w:r>
          </w:p>
        </w:tc>
        <w:tc>
          <w:tcPr>
            <w:tcW w:w="415" w:type="pct"/>
            <w:tcBorders>
              <w:top w:val="single" w:sz="4" w:space="0" w:color="auto"/>
            </w:tcBorders>
            <w:shd w:val="clear" w:color="auto" w:fill="92D050"/>
            <w:noWrap/>
          </w:tcPr>
          <w:p w:rsidR="00F4100E" w:rsidRPr="00686515" w:rsidRDefault="00F4100E" w:rsidP="006F27B1">
            <w:pPr>
              <w:keepLines/>
              <w:spacing w:before="40" w:after="40" w:line="200" w:lineRule="atLeast"/>
              <w:jc w:val="center"/>
              <w:rPr>
                <w:rFonts w:asciiTheme="minorHAnsi" w:eastAsia="Times New Roman" w:hAnsiTheme="minorHAnsi"/>
                <w:iCs/>
                <w:sz w:val="18"/>
                <w:szCs w:val="18"/>
              </w:rPr>
            </w:pPr>
            <w:r w:rsidRPr="00686515">
              <w:rPr>
                <w:rFonts w:asciiTheme="minorHAnsi" w:eastAsia="Times New Roman" w:hAnsiTheme="minorHAnsi"/>
                <w:iCs/>
                <w:sz w:val="18"/>
                <w:szCs w:val="18"/>
              </w:rPr>
              <w:t>5</w:t>
            </w:r>
          </w:p>
        </w:tc>
        <w:tc>
          <w:tcPr>
            <w:tcW w:w="418" w:type="pct"/>
            <w:tcBorders>
              <w:top w:val="single" w:sz="4" w:space="0" w:color="auto"/>
            </w:tcBorders>
            <w:shd w:val="clear" w:color="auto" w:fill="FFFF00"/>
            <w:noWrap/>
          </w:tcPr>
          <w:p w:rsidR="00F4100E" w:rsidRPr="00686515" w:rsidRDefault="00F4100E" w:rsidP="006F27B1">
            <w:pPr>
              <w:keepLines/>
              <w:spacing w:before="40" w:after="40" w:line="200" w:lineRule="atLeast"/>
              <w:jc w:val="center"/>
              <w:rPr>
                <w:rFonts w:asciiTheme="minorHAnsi" w:eastAsia="Times New Roman" w:hAnsiTheme="minorHAnsi"/>
                <w:iCs/>
                <w:sz w:val="18"/>
                <w:szCs w:val="18"/>
              </w:rPr>
            </w:pPr>
            <w:r w:rsidRPr="00686515">
              <w:rPr>
                <w:rFonts w:asciiTheme="minorHAnsi" w:eastAsia="Times New Roman" w:hAnsiTheme="minorHAnsi"/>
                <w:iCs/>
                <w:sz w:val="18"/>
                <w:szCs w:val="18"/>
              </w:rPr>
              <w:t>4</w:t>
            </w:r>
          </w:p>
        </w:tc>
        <w:tc>
          <w:tcPr>
            <w:tcW w:w="415" w:type="pct"/>
            <w:tcBorders>
              <w:top w:val="single" w:sz="4" w:space="0" w:color="auto"/>
            </w:tcBorders>
            <w:shd w:val="clear" w:color="auto" w:fill="92D050"/>
            <w:noWrap/>
          </w:tcPr>
          <w:p w:rsidR="00F4100E" w:rsidRPr="00686515" w:rsidRDefault="00F4100E" w:rsidP="006F27B1">
            <w:pPr>
              <w:keepLines/>
              <w:spacing w:before="40" w:after="40" w:line="200" w:lineRule="atLeast"/>
              <w:jc w:val="center"/>
              <w:rPr>
                <w:rFonts w:asciiTheme="minorHAnsi" w:eastAsia="Times New Roman" w:hAnsiTheme="minorHAnsi"/>
                <w:iCs/>
                <w:sz w:val="18"/>
                <w:szCs w:val="18"/>
              </w:rPr>
            </w:pPr>
            <w:r w:rsidRPr="00686515">
              <w:rPr>
                <w:rFonts w:asciiTheme="minorHAnsi" w:eastAsia="Times New Roman" w:hAnsiTheme="minorHAnsi"/>
                <w:iCs/>
                <w:sz w:val="18"/>
                <w:szCs w:val="18"/>
              </w:rPr>
              <w:t>5</w:t>
            </w:r>
          </w:p>
        </w:tc>
        <w:tc>
          <w:tcPr>
            <w:tcW w:w="412" w:type="pct"/>
            <w:tcBorders>
              <w:top w:val="single" w:sz="4" w:space="0" w:color="auto"/>
            </w:tcBorders>
          </w:tcPr>
          <w:p w:rsidR="00F4100E" w:rsidRPr="00686515" w:rsidRDefault="00F4100E" w:rsidP="006F27B1">
            <w:pPr>
              <w:keepLines/>
              <w:spacing w:before="40" w:after="40" w:line="200" w:lineRule="atLeast"/>
              <w:jc w:val="center"/>
              <w:rPr>
                <w:rFonts w:asciiTheme="minorHAnsi" w:eastAsia="Times New Roman" w:hAnsiTheme="minorHAnsi"/>
                <w:iCs/>
                <w:sz w:val="18"/>
                <w:szCs w:val="18"/>
              </w:rPr>
            </w:pPr>
          </w:p>
        </w:tc>
      </w:tr>
      <w:tr w:rsidR="00F4100E" w:rsidRPr="00686515" w:rsidTr="00F4100E">
        <w:trPr>
          <w:cnfStyle w:val="000000010000" w:firstRow="0" w:lastRow="0" w:firstColumn="0" w:lastColumn="0" w:oddVBand="0" w:evenVBand="0" w:oddHBand="0" w:evenHBand="1" w:firstRowFirstColumn="0" w:firstRowLastColumn="0" w:lastRowFirstColumn="0" w:lastRowLastColumn="0"/>
          <w:trHeight w:val="284"/>
        </w:trPr>
        <w:tc>
          <w:tcPr>
            <w:tcW w:w="907" w:type="pct"/>
            <w:vMerge/>
          </w:tcPr>
          <w:p w:rsidR="00F4100E" w:rsidRPr="00686515" w:rsidRDefault="00F4100E" w:rsidP="00DA2710">
            <w:pPr>
              <w:keepLines/>
              <w:spacing w:before="40" w:after="40" w:line="200" w:lineRule="atLeast"/>
              <w:rPr>
                <w:rFonts w:asciiTheme="minorHAnsi" w:eastAsia="Times New Roman" w:hAnsiTheme="minorHAnsi"/>
                <w:iCs/>
                <w:sz w:val="18"/>
                <w:szCs w:val="18"/>
              </w:rPr>
            </w:pPr>
          </w:p>
        </w:tc>
        <w:tc>
          <w:tcPr>
            <w:tcW w:w="658" w:type="pct"/>
          </w:tcPr>
          <w:p w:rsidR="00F4100E" w:rsidRPr="00686515" w:rsidRDefault="00AD08F1" w:rsidP="00DA2710">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2016-20</w:t>
            </w:r>
          </w:p>
        </w:tc>
        <w:tc>
          <w:tcPr>
            <w:tcW w:w="416" w:type="pct"/>
          </w:tcPr>
          <w:p w:rsidR="00F4100E" w:rsidRPr="00686515" w:rsidRDefault="00F4100E" w:rsidP="00DA2710">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2017 AQC</w:t>
            </w:r>
          </w:p>
        </w:tc>
        <w:tc>
          <w:tcPr>
            <w:tcW w:w="418" w:type="pct"/>
            <w:shd w:val="clear" w:color="auto" w:fill="92D050"/>
            <w:noWrap/>
          </w:tcPr>
          <w:p w:rsidR="00F4100E" w:rsidRPr="00686515" w:rsidRDefault="00F4100E" w:rsidP="00DA2710">
            <w:pPr>
              <w:keepLines/>
              <w:spacing w:before="40" w:after="40" w:line="200" w:lineRule="atLeast"/>
              <w:jc w:val="center"/>
              <w:rPr>
                <w:rFonts w:asciiTheme="minorHAnsi" w:eastAsia="Times New Roman" w:hAnsiTheme="minorHAnsi"/>
                <w:iCs/>
                <w:sz w:val="18"/>
                <w:szCs w:val="18"/>
              </w:rPr>
            </w:pPr>
            <w:r w:rsidRPr="00686515">
              <w:rPr>
                <w:rFonts w:asciiTheme="minorHAnsi" w:eastAsia="Times New Roman" w:hAnsiTheme="minorHAnsi"/>
                <w:iCs/>
                <w:sz w:val="18"/>
                <w:szCs w:val="18"/>
              </w:rPr>
              <w:t>5</w:t>
            </w:r>
          </w:p>
        </w:tc>
        <w:tc>
          <w:tcPr>
            <w:tcW w:w="415" w:type="pct"/>
            <w:shd w:val="clear" w:color="auto" w:fill="92D050"/>
            <w:noWrap/>
          </w:tcPr>
          <w:p w:rsidR="00F4100E" w:rsidRPr="00686515" w:rsidRDefault="00F4100E" w:rsidP="00DA2710">
            <w:pPr>
              <w:keepLines/>
              <w:spacing w:before="40" w:after="40" w:line="200" w:lineRule="atLeast"/>
              <w:jc w:val="center"/>
              <w:rPr>
                <w:rFonts w:asciiTheme="minorHAnsi" w:eastAsia="Times New Roman" w:hAnsiTheme="minorHAnsi"/>
                <w:iCs/>
                <w:sz w:val="18"/>
                <w:szCs w:val="18"/>
              </w:rPr>
            </w:pPr>
            <w:r w:rsidRPr="00686515">
              <w:rPr>
                <w:rFonts w:asciiTheme="minorHAnsi" w:eastAsia="Times New Roman" w:hAnsiTheme="minorHAnsi"/>
                <w:iCs/>
                <w:sz w:val="18"/>
                <w:szCs w:val="18"/>
              </w:rPr>
              <w:t>5</w:t>
            </w:r>
          </w:p>
        </w:tc>
        <w:tc>
          <w:tcPr>
            <w:tcW w:w="418" w:type="pct"/>
            <w:shd w:val="clear" w:color="auto" w:fill="92D050"/>
            <w:noWrap/>
          </w:tcPr>
          <w:p w:rsidR="00F4100E" w:rsidRPr="00686515" w:rsidRDefault="00F4100E" w:rsidP="00DA2710">
            <w:pPr>
              <w:keepLines/>
              <w:spacing w:before="40" w:after="40" w:line="200" w:lineRule="atLeast"/>
              <w:jc w:val="center"/>
              <w:rPr>
                <w:rFonts w:asciiTheme="minorHAnsi" w:eastAsia="Times New Roman" w:hAnsiTheme="minorHAnsi"/>
                <w:iCs/>
                <w:sz w:val="18"/>
                <w:szCs w:val="18"/>
              </w:rPr>
            </w:pPr>
            <w:r w:rsidRPr="00686515">
              <w:rPr>
                <w:rFonts w:asciiTheme="minorHAnsi" w:eastAsia="Times New Roman" w:hAnsiTheme="minorHAnsi"/>
                <w:iCs/>
                <w:sz w:val="18"/>
                <w:szCs w:val="18"/>
              </w:rPr>
              <w:t>5</w:t>
            </w:r>
          </w:p>
        </w:tc>
        <w:tc>
          <w:tcPr>
            <w:tcW w:w="415" w:type="pct"/>
            <w:shd w:val="clear" w:color="auto" w:fill="92D050"/>
            <w:noWrap/>
          </w:tcPr>
          <w:p w:rsidR="00F4100E" w:rsidRPr="00686515" w:rsidRDefault="00F4100E" w:rsidP="00DA2710">
            <w:pPr>
              <w:keepLines/>
              <w:spacing w:before="40" w:after="40" w:line="200" w:lineRule="atLeast"/>
              <w:jc w:val="center"/>
              <w:rPr>
                <w:rFonts w:asciiTheme="minorHAnsi" w:eastAsia="Times New Roman" w:hAnsiTheme="minorHAnsi"/>
                <w:iCs/>
                <w:sz w:val="18"/>
                <w:szCs w:val="18"/>
              </w:rPr>
            </w:pPr>
            <w:r w:rsidRPr="00686515">
              <w:rPr>
                <w:rFonts w:asciiTheme="minorHAnsi" w:eastAsia="Times New Roman" w:hAnsiTheme="minorHAnsi"/>
                <w:iCs/>
                <w:sz w:val="18"/>
                <w:szCs w:val="18"/>
              </w:rPr>
              <w:t>5</w:t>
            </w:r>
          </w:p>
        </w:tc>
        <w:tc>
          <w:tcPr>
            <w:tcW w:w="418" w:type="pct"/>
            <w:shd w:val="clear" w:color="auto" w:fill="FFFF00"/>
            <w:noWrap/>
          </w:tcPr>
          <w:p w:rsidR="00F4100E" w:rsidRPr="00686515" w:rsidRDefault="00F4100E" w:rsidP="00DA2710">
            <w:pPr>
              <w:keepLines/>
              <w:spacing w:before="40" w:after="40" w:line="200" w:lineRule="atLeast"/>
              <w:jc w:val="center"/>
              <w:rPr>
                <w:rFonts w:asciiTheme="minorHAnsi" w:eastAsia="Times New Roman" w:hAnsiTheme="minorHAnsi"/>
                <w:iCs/>
                <w:sz w:val="18"/>
                <w:szCs w:val="18"/>
              </w:rPr>
            </w:pPr>
            <w:r w:rsidRPr="00686515">
              <w:rPr>
                <w:rFonts w:asciiTheme="minorHAnsi" w:eastAsia="Times New Roman" w:hAnsiTheme="minorHAnsi"/>
                <w:iCs/>
                <w:sz w:val="18"/>
                <w:szCs w:val="18"/>
              </w:rPr>
              <w:t>4</w:t>
            </w:r>
          </w:p>
        </w:tc>
        <w:tc>
          <w:tcPr>
            <w:tcW w:w="415" w:type="pct"/>
            <w:shd w:val="clear" w:color="auto" w:fill="92D050"/>
            <w:noWrap/>
          </w:tcPr>
          <w:p w:rsidR="00F4100E" w:rsidRPr="00686515" w:rsidRDefault="00F4100E" w:rsidP="00DA2710">
            <w:pPr>
              <w:keepLines/>
              <w:spacing w:before="40" w:after="40" w:line="200" w:lineRule="atLeast"/>
              <w:jc w:val="center"/>
              <w:rPr>
                <w:rFonts w:asciiTheme="minorHAnsi" w:eastAsia="Times New Roman" w:hAnsiTheme="minorHAnsi"/>
                <w:iCs/>
                <w:sz w:val="18"/>
                <w:szCs w:val="18"/>
              </w:rPr>
            </w:pPr>
            <w:r w:rsidRPr="00686515">
              <w:rPr>
                <w:rFonts w:asciiTheme="minorHAnsi" w:eastAsia="Times New Roman" w:hAnsiTheme="minorHAnsi"/>
                <w:iCs/>
                <w:sz w:val="18"/>
                <w:szCs w:val="18"/>
              </w:rPr>
              <w:t>5</w:t>
            </w:r>
          </w:p>
        </w:tc>
        <w:tc>
          <w:tcPr>
            <w:tcW w:w="412" w:type="pct"/>
          </w:tcPr>
          <w:p w:rsidR="00F4100E" w:rsidRPr="00686515" w:rsidRDefault="00F4100E" w:rsidP="00DA2710">
            <w:pPr>
              <w:keepLines/>
              <w:spacing w:before="40" w:after="40" w:line="200" w:lineRule="atLeast"/>
              <w:jc w:val="center"/>
              <w:rPr>
                <w:rFonts w:asciiTheme="minorHAnsi" w:eastAsia="Times New Roman" w:hAnsiTheme="minorHAnsi"/>
                <w:iCs/>
                <w:sz w:val="18"/>
                <w:szCs w:val="18"/>
              </w:rPr>
            </w:pPr>
          </w:p>
        </w:tc>
      </w:tr>
    </w:tbl>
    <w:p w:rsidR="00400B0F" w:rsidRPr="00C61187" w:rsidRDefault="00400B0F" w:rsidP="00400B0F">
      <w:pPr>
        <w:rPr>
          <w:iCs/>
        </w:rPr>
      </w:pPr>
    </w:p>
    <w:p w:rsidR="00400B0F" w:rsidRPr="00C61187" w:rsidRDefault="00400B0F" w:rsidP="00260844">
      <w:pPr>
        <w:suppressAutoHyphens w:val="0"/>
        <w:spacing w:before="0" w:after="120" w:line="440" w:lineRule="atLeast"/>
        <w:rPr>
          <w:rFonts w:ascii="Helvetica" w:eastAsia="Times New Roman" w:hAnsi="Helvetica" w:cs="Arial"/>
          <w:b/>
          <w:color w:val="124486"/>
          <w:kern w:val="28"/>
          <w:lang w:eastAsia="zh-CN"/>
        </w:rPr>
      </w:pPr>
      <w:r>
        <w:br w:type="page"/>
      </w:r>
      <w:r w:rsidRPr="00784031">
        <w:rPr>
          <w:rFonts w:asciiTheme="majorHAnsi" w:eastAsiaTheme="majorEastAsia" w:hAnsiTheme="majorHAnsi" w:cstheme="majorBidi"/>
          <w:caps/>
          <w:sz w:val="38"/>
          <w:szCs w:val="26"/>
        </w:rPr>
        <w:lastRenderedPageBreak/>
        <w:t>FAQC ratings</w:t>
      </w:r>
    </w:p>
    <w:p w:rsidR="00400B0F" w:rsidRPr="00C61187" w:rsidRDefault="00400B0F" w:rsidP="00784031">
      <w:r w:rsidRPr="00C61187">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2604"/>
        <w:gridCol w:w="1893"/>
        <w:gridCol w:w="1209"/>
        <w:gridCol w:w="1205"/>
        <w:gridCol w:w="1208"/>
        <w:gridCol w:w="1205"/>
        <w:gridCol w:w="1208"/>
        <w:gridCol w:w="1205"/>
        <w:gridCol w:w="1208"/>
        <w:gridCol w:w="1208"/>
      </w:tblGrid>
      <w:tr w:rsidR="00400B0F" w:rsidRPr="00686515" w:rsidTr="000424ED">
        <w:trPr>
          <w:cnfStyle w:val="000000010000" w:firstRow="0" w:lastRow="0" w:firstColumn="0" w:lastColumn="0" w:oddVBand="0" w:evenVBand="0" w:oddHBand="0" w:evenHBand="1" w:firstRowFirstColumn="0" w:firstRowLastColumn="0" w:lastRowFirstColumn="0" w:lastRowLastColumn="0"/>
          <w:trHeight w:val="1559"/>
        </w:trPr>
        <w:tc>
          <w:tcPr>
            <w:tcW w:w="905" w:type="pct"/>
          </w:tcPr>
          <w:p w:rsidR="00400B0F" w:rsidRPr="00686515" w:rsidRDefault="00400B0F" w:rsidP="006F27B1">
            <w:pPr>
              <w:keepLines/>
              <w:spacing w:before="80" w:after="80" w:line="200" w:lineRule="atLeast"/>
              <w:rPr>
                <w:rFonts w:asciiTheme="minorHAnsi" w:eastAsia="Times New Roman" w:hAnsiTheme="minorHAnsi"/>
                <w:b/>
                <w:iCs/>
                <w:sz w:val="18"/>
                <w:szCs w:val="18"/>
                <w:lang w:eastAsia="en-US"/>
              </w:rPr>
            </w:pPr>
            <w:r w:rsidRPr="00686515">
              <w:rPr>
                <w:rFonts w:eastAsia="Times New Roman"/>
                <w:b/>
                <w:iCs/>
                <w:noProof/>
                <w:sz w:val="18"/>
                <w:szCs w:val="18"/>
                <w:lang w:val="en-AU"/>
              </w:rPr>
              <w:drawing>
                <wp:anchor distT="0" distB="0" distL="114300" distR="114300" simplePos="0" relativeHeight="251679744" behindDoc="0" locked="0" layoutInCell="1" allowOverlap="1" wp14:anchorId="5468B174" wp14:editId="4F6C8AA1">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515">
              <w:rPr>
                <w:rFonts w:asciiTheme="minorHAnsi" w:eastAsia="Times New Roman" w:hAnsiTheme="minorHAnsi"/>
                <w:b/>
                <w:iCs/>
                <w:sz w:val="18"/>
                <w:szCs w:val="18"/>
                <w:lang w:eastAsia="en-US"/>
              </w:rPr>
              <w:t>Investment name</w:t>
            </w:r>
          </w:p>
        </w:tc>
        <w:tc>
          <w:tcPr>
            <w:tcW w:w="658" w:type="pct"/>
            <w:textDirection w:val="btLr"/>
          </w:tcPr>
          <w:p w:rsidR="00400B0F" w:rsidRPr="00686515" w:rsidRDefault="00400B0F" w:rsidP="006F27B1">
            <w:pPr>
              <w:keepLines/>
              <w:spacing w:before="80" w:after="80" w:line="200" w:lineRule="atLeast"/>
              <w:rPr>
                <w:rFonts w:asciiTheme="minorHAnsi" w:eastAsia="Times New Roman" w:hAnsiTheme="minorHAnsi"/>
                <w:b/>
                <w:iCs/>
                <w:sz w:val="18"/>
                <w:szCs w:val="18"/>
                <w:lang w:eastAsia="en-US"/>
              </w:rPr>
            </w:pPr>
            <w:r w:rsidRPr="00686515">
              <w:rPr>
                <w:rFonts w:asciiTheme="minorHAnsi" w:eastAsia="Times New Roman" w:hAnsiTheme="minorHAnsi"/>
                <w:b/>
                <w:iCs/>
                <w:sz w:val="18"/>
                <w:szCs w:val="18"/>
                <w:lang w:eastAsia="en-US"/>
              </w:rPr>
              <w:t>Approved budget and duration</w:t>
            </w:r>
          </w:p>
        </w:tc>
        <w:tc>
          <w:tcPr>
            <w:tcW w:w="417" w:type="pct"/>
            <w:noWrap/>
            <w:textDirection w:val="btLr"/>
          </w:tcPr>
          <w:p w:rsidR="00400B0F" w:rsidRPr="00686515" w:rsidRDefault="00400B0F" w:rsidP="006F27B1">
            <w:pPr>
              <w:keepLines/>
              <w:spacing w:before="80" w:after="80" w:line="200" w:lineRule="atLeast"/>
              <w:rPr>
                <w:rFonts w:asciiTheme="minorHAnsi" w:eastAsia="Times New Roman" w:hAnsiTheme="minorHAnsi"/>
                <w:b/>
                <w:iCs/>
                <w:sz w:val="18"/>
                <w:szCs w:val="18"/>
                <w:lang w:eastAsia="en-US"/>
              </w:rPr>
            </w:pPr>
            <w:r w:rsidRPr="00686515">
              <w:rPr>
                <w:rFonts w:asciiTheme="minorHAnsi" w:eastAsia="Times New Roman" w:hAnsiTheme="minorHAnsi"/>
                <w:b/>
                <w:iCs/>
                <w:sz w:val="18"/>
                <w:szCs w:val="18"/>
                <w:lang w:eastAsia="en-US"/>
              </w:rPr>
              <w:t>Overall rating</w:t>
            </w:r>
          </w:p>
        </w:tc>
        <w:tc>
          <w:tcPr>
            <w:tcW w:w="416" w:type="pct"/>
            <w:noWrap/>
            <w:textDirection w:val="btLr"/>
          </w:tcPr>
          <w:p w:rsidR="00400B0F" w:rsidRPr="00686515" w:rsidRDefault="00400B0F" w:rsidP="006F27B1">
            <w:pPr>
              <w:keepLines/>
              <w:spacing w:before="80" w:after="80" w:line="200" w:lineRule="atLeast"/>
              <w:rPr>
                <w:rFonts w:asciiTheme="minorHAnsi" w:eastAsia="Times New Roman" w:hAnsiTheme="minorHAnsi"/>
                <w:b/>
                <w:iCs/>
                <w:sz w:val="18"/>
                <w:szCs w:val="18"/>
                <w:lang w:eastAsia="en-US"/>
              </w:rPr>
            </w:pPr>
            <w:r w:rsidRPr="00686515">
              <w:rPr>
                <w:rFonts w:asciiTheme="minorHAnsi" w:eastAsia="Times New Roman" w:hAnsiTheme="minorHAnsi"/>
                <w:b/>
                <w:iCs/>
                <w:sz w:val="18"/>
                <w:szCs w:val="18"/>
                <w:lang w:eastAsia="en-US"/>
              </w:rPr>
              <w:t>Relevance</w:t>
            </w:r>
          </w:p>
        </w:tc>
        <w:tc>
          <w:tcPr>
            <w:tcW w:w="417" w:type="pct"/>
            <w:noWrap/>
            <w:textDirection w:val="btLr"/>
          </w:tcPr>
          <w:p w:rsidR="00400B0F" w:rsidRPr="00686515" w:rsidRDefault="00400B0F" w:rsidP="006F27B1">
            <w:pPr>
              <w:keepLines/>
              <w:spacing w:before="80" w:after="80" w:line="200" w:lineRule="atLeast"/>
              <w:rPr>
                <w:rFonts w:asciiTheme="minorHAnsi" w:eastAsia="Times New Roman" w:hAnsiTheme="minorHAnsi"/>
                <w:b/>
                <w:iCs/>
                <w:sz w:val="18"/>
                <w:szCs w:val="18"/>
                <w:lang w:eastAsia="en-US"/>
              </w:rPr>
            </w:pPr>
            <w:r w:rsidRPr="00686515">
              <w:rPr>
                <w:rFonts w:asciiTheme="minorHAnsi" w:eastAsia="Times New Roman" w:hAnsiTheme="minorHAnsi"/>
                <w:b/>
                <w:iCs/>
                <w:sz w:val="18"/>
                <w:szCs w:val="18"/>
                <w:lang w:eastAsia="en-US"/>
              </w:rPr>
              <w:t>Effectiveness</w:t>
            </w:r>
          </w:p>
        </w:tc>
        <w:tc>
          <w:tcPr>
            <w:tcW w:w="416" w:type="pct"/>
            <w:noWrap/>
            <w:textDirection w:val="btLr"/>
          </w:tcPr>
          <w:p w:rsidR="00400B0F" w:rsidRPr="00686515" w:rsidRDefault="00400B0F" w:rsidP="006F27B1">
            <w:pPr>
              <w:keepLines/>
              <w:spacing w:before="80" w:after="80" w:line="200" w:lineRule="atLeast"/>
              <w:rPr>
                <w:rFonts w:asciiTheme="minorHAnsi" w:eastAsia="Times New Roman" w:hAnsiTheme="minorHAnsi"/>
                <w:b/>
                <w:iCs/>
                <w:sz w:val="18"/>
                <w:szCs w:val="18"/>
                <w:lang w:eastAsia="en-US"/>
              </w:rPr>
            </w:pPr>
            <w:r w:rsidRPr="00686515">
              <w:rPr>
                <w:rFonts w:asciiTheme="minorHAnsi" w:eastAsia="Times New Roman" w:hAnsiTheme="minorHAnsi"/>
                <w:b/>
                <w:iCs/>
                <w:sz w:val="18"/>
                <w:szCs w:val="18"/>
                <w:lang w:eastAsia="en-US"/>
              </w:rPr>
              <w:t>Efficiency</w:t>
            </w:r>
          </w:p>
        </w:tc>
        <w:tc>
          <w:tcPr>
            <w:tcW w:w="417" w:type="pct"/>
            <w:noWrap/>
            <w:textDirection w:val="btLr"/>
          </w:tcPr>
          <w:p w:rsidR="00400B0F" w:rsidRPr="00686515" w:rsidRDefault="00400B0F" w:rsidP="006F27B1">
            <w:pPr>
              <w:keepLines/>
              <w:spacing w:before="80" w:after="80" w:line="200" w:lineRule="atLeast"/>
              <w:rPr>
                <w:rFonts w:asciiTheme="minorHAnsi" w:eastAsia="Times New Roman" w:hAnsiTheme="minorHAnsi"/>
                <w:b/>
                <w:iCs/>
                <w:sz w:val="18"/>
                <w:szCs w:val="18"/>
                <w:lang w:eastAsia="en-US"/>
              </w:rPr>
            </w:pPr>
            <w:r w:rsidRPr="00686515">
              <w:rPr>
                <w:rFonts w:asciiTheme="minorHAnsi" w:eastAsia="Times New Roman" w:hAnsiTheme="minorHAnsi"/>
                <w:b/>
                <w:iCs/>
                <w:sz w:val="18"/>
                <w:szCs w:val="18"/>
                <w:lang w:eastAsia="en-US"/>
              </w:rPr>
              <w:t>Monitoring and Evaluation</w:t>
            </w:r>
          </w:p>
        </w:tc>
        <w:tc>
          <w:tcPr>
            <w:tcW w:w="416" w:type="pct"/>
            <w:noWrap/>
            <w:textDirection w:val="btLr"/>
          </w:tcPr>
          <w:p w:rsidR="00400B0F" w:rsidRPr="00686515" w:rsidRDefault="00400B0F" w:rsidP="006F27B1">
            <w:pPr>
              <w:keepLines/>
              <w:spacing w:before="80" w:after="80" w:line="200" w:lineRule="atLeast"/>
              <w:rPr>
                <w:rFonts w:asciiTheme="minorHAnsi" w:eastAsia="Times New Roman" w:hAnsiTheme="minorHAnsi"/>
                <w:b/>
                <w:iCs/>
                <w:sz w:val="18"/>
                <w:szCs w:val="18"/>
                <w:lang w:eastAsia="en-US"/>
              </w:rPr>
            </w:pPr>
            <w:r w:rsidRPr="00686515">
              <w:rPr>
                <w:rFonts w:asciiTheme="minorHAnsi" w:eastAsia="Times New Roman" w:hAnsiTheme="minorHAnsi"/>
                <w:b/>
                <w:iCs/>
                <w:sz w:val="18"/>
                <w:szCs w:val="18"/>
                <w:lang w:eastAsia="en-US"/>
              </w:rPr>
              <w:t>Sustainability</w:t>
            </w:r>
          </w:p>
        </w:tc>
        <w:tc>
          <w:tcPr>
            <w:tcW w:w="417" w:type="pct"/>
            <w:textDirection w:val="btLr"/>
          </w:tcPr>
          <w:p w:rsidR="00400B0F" w:rsidRPr="00686515" w:rsidRDefault="00400B0F" w:rsidP="006F27B1">
            <w:pPr>
              <w:keepLines/>
              <w:spacing w:before="80" w:after="80" w:line="200" w:lineRule="atLeast"/>
              <w:rPr>
                <w:rFonts w:asciiTheme="minorHAnsi" w:eastAsia="Times New Roman" w:hAnsiTheme="minorHAnsi"/>
                <w:b/>
                <w:iCs/>
                <w:sz w:val="18"/>
                <w:szCs w:val="18"/>
                <w:lang w:eastAsia="en-US"/>
              </w:rPr>
            </w:pPr>
            <w:r w:rsidRPr="00686515">
              <w:rPr>
                <w:rFonts w:asciiTheme="minorHAnsi" w:eastAsia="Times New Roman" w:hAnsiTheme="minorHAnsi"/>
                <w:b/>
                <w:iCs/>
                <w:sz w:val="18"/>
                <w:szCs w:val="18"/>
                <w:lang w:eastAsia="en-US"/>
              </w:rPr>
              <w:t>Gender equality</w:t>
            </w:r>
          </w:p>
        </w:tc>
        <w:tc>
          <w:tcPr>
            <w:tcW w:w="412" w:type="pct"/>
            <w:textDirection w:val="btLr"/>
          </w:tcPr>
          <w:p w:rsidR="00400B0F" w:rsidRPr="00686515" w:rsidRDefault="00400B0F" w:rsidP="006F27B1">
            <w:pPr>
              <w:keepLines/>
              <w:spacing w:before="80" w:after="80" w:line="200" w:lineRule="atLeast"/>
              <w:rPr>
                <w:rFonts w:asciiTheme="minorHAnsi" w:eastAsia="Times New Roman" w:hAnsiTheme="minorHAnsi"/>
                <w:b/>
                <w:iCs/>
                <w:sz w:val="18"/>
                <w:szCs w:val="18"/>
                <w:lang w:eastAsia="en-US"/>
              </w:rPr>
            </w:pPr>
            <w:r w:rsidRPr="00686515">
              <w:rPr>
                <w:rFonts w:asciiTheme="minorHAnsi" w:eastAsia="Times New Roman" w:hAnsiTheme="minorHAnsi"/>
                <w:b/>
                <w:iCs/>
                <w:sz w:val="18"/>
                <w:szCs w:val="18"/>
                <w:lang w:eastAsia="en-US"/>
              </w:rPr>
              <w:t>Risks  and Safeguards</w:t>
            </w:r>
          </w:p>
        </w:tc>
      </w:tr>
      <w:tr w:rsidR="00400B0F" w:rsidRPr="00686515" w:rsidTr="000424ED">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400B0F" w:rsidRPr="00686515" w:rsidRDefault="008D4FB4" w:rsidP="003E34CD">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I</w:t>
            </w:r>
            <w:r w:rsidR="00AD08F1" w:rsidRPr="00686515">
              <w:rPr>
                <w:rFonts w:asciiTheme="minorHAnsi" w:eastAsia="Times New Roman" w:hAnsiTheme="minorHAnsi"/>
                <w:iCs/>
                <w:sz w:val="18"/>
                <w:szCs w:val="18"/>
                <w:lang w:eastAsia="en-US"/>
              </w:rPr>
              <w:t xml:space="preserve">ntegrated Coastal Management Program </w:t>
            </w:r>
          </w:p>
        </w:tc>
        <w:tc>
          <w:tcPr>
            <w:tcW w:w="658" w:type="pct"/>
          </w:tcPr>
          <w:p w:rsidR="00400B0F" w:rsidRPr="00686515" w:rsidRDefault="000424ED" w:rsidP="006F27B1">
            <w:pPr>
              <w:autoSpaceDE w:val="0"/>
              <w:autoSpaceDN w:val="0"/>
              <w:adjustRightInd w:val="0"/>
              <w:rPr>
                <w:rFonts w:asciiTheme="minorHAnsi" w:hAnsiTheme="minorHAnsi" w:cs="Franklin Gothic Book"/>
                <w:color w:val="000000"/>
                <w:sz w:val="18"/>
                <w:szCs w:val="18"/>
              </w:rPr>
            </w:pPr>
            <w:r w:rsidRPr="00686515">
              <w:rPr>
                <w:rFonts w:asciiTheme="minorHAnsi" w:hAnsiTheme="minorHAnsi" w:cs="Franklin Gothic Book"/>
                <w:color w:val="000000"/>
                <w:sz w:val="18"/>
                <w:szCs w:val="18"/>
              </w:rPr>
              <w:t>$16</w:t>
            </w:r>
            <w:r w:rsidR="00400B0F" w:rsidRPr="00686515">
              <w:rPr>
                <w:rFonts w:asciiTheme="minorHAnsi" w:hAnsiTheme="minorHAnsi" w:cs="Franklin Gothic Book"/>
                <w:color w:val="000000"/>
                <w:sz w:val="18"/>
                <w:szCs w:val="18"/>
              </w:rPr>
              <w:t>.</w:t>
            </w:r>
            <w:r w:rsidRPr="00686515">
              <w:rPr>
                <w:rFonts w:asciiTheme="minorHAnsi" w:hAnsiTheme="minorHAnsi" w:cs="Franklin Gothic Book"/>
                <w:color w:val="000000"/>
                <w:sz w:val="18"/>
                <w:szCs w:val="18"/>
              </w:rPr>
              <w:t>6</w:t>
            </w:r>
            <w:r w:rsidR="00400B0F" w:rsidRPr="00686515">
              <w:rPr>
                <w:rFonts w:asciiTheme="minorHAnsi" w:hAnsiTheme="minorHAnsi" w:cs="Franklin Gothic Book"/>
                <w:color w:val="000000"/>
                <w:sz w:val="18"/>
                <w:szCs w:val="18"/>
              </w:rPr>
              <w:t xml:space="preserve">m </w:t>
            </w:r>
          </w:p>
          <w:p w:rsidR="00400B0F" w:rsidRPr="00686515" w:rsidRDefault="00400B0F" w:rsidP="000424ED">
            <w:pPr>
              <w:keepLines/>
              <w:spacing w:before="40" w:after="40" w:line="200" w:lineRule="atLeast"/>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201</w:t>
            </w:r>
            <w:r w:rsidR="000424ED" w:rsidRPr="00686515">
              <w:rPr>
                <w:rFonts w:asciiTheme="minorHAnsi" w:eastAsia="Times New Roman" w:hAnsiTheme="minorHAnsi"/>
                <w:iCs/>
                <w:sz w:val="18"/>
                <w:szCs w:val="18"/>
                <w:lang w:eastAsia="en-US"/>
              </w:rPr>
              <w:t>1</w:t>
            </w:r>
            <w:r w:rsidRPr="00686515">
              <w:rPr>
                <w:rFonts w:asciiTheme="minorHAnsi" w:eastAsia="Times New Roman" w:hAnsiTheme="minorHAnsi"/>
                <w:iCs/>
                <w:sz w:val="18"/>
                <w:szCs w:val="18"/>
                <w:lang w:eastAsia="en-US"/>
              </w:rPr>
              <w:t>-1</w:t>
            </w:r>
            <w:r w:rsidR="00510FAB" w:rsidRPr="00686515">
              <w:rPr>
                <w:rFonts w:asciiTheme="minorHAnsi" w:eastAsia="Times New Roman" w:hAnsiTheme="minorHAnsi"/>
                <w:iCs/>
                <w:sz w:val="18"/>
                <w:szCs w:val="18"/>
                <w:lang w:eastAsia="en-US"/>
              </w:rPr>
              <w:t>8</w:t>
            </w:r>
            <w:r w:rsidRPr="00686515">
              <w:rPr>
                <w:rFonts w:asciiTheme="minorHAnsi" w:eastAsia="Times New Roman" w:hAnsiTheme="minorHAnsi"/>
                <w:iCs/>
                <w:sz w:val="18"/>
                <w:szCs w:val="18"/>
                <w:lang w:eastAsia="en-US"/>
              </w:rPr>
              <w:t xml:space="preserve"> </w:t>
            </w:r>
          </w:p>
        </w:tc>
        <w:tc>
          <w:tcPr>
            <w:tcW w:w="417" w:type="pct"/>
            <w:shd w:val="clear" w:color="auto" w:fill="92D050"/>
            <w:noWrap/>
          </w:tcPr>
          <w:p w:rsidR="00400B0F" w:rsidRPr="00686515" w:rsidRDefault="000424ED"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6" w:type="pct"/>
            <w:shd w:val="clear" w:color="auto" w:fill="92D050"/>
            <w:noWrap/>
          </w:tcPr>
          <w:p w:rsidR="00400B0F" w:rsidRPr="00686515" w:rsidRDefault="00400B0F"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7" w:type="pct"/>
            <w:shd w:val="clear" w:color="auto" w:fill="92D050"/>
            <w:noWrap/>
          </w:tcPr>
          <w:p w:rsidR="00400B0F" w:rsidRPr="00686515" w:rsidRDefault="000424ED"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6" w:type="pct"/>
            <w:shd w:val="clear" w:color="auto" w:fill="92D050"/>
            <w:noWrap/>
          </w:tcPr>
          <w:p w:rsidR="00400B0F" w:rsidRPr="00686515" w:rsidRDefault="000424ED"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7" w:type="pct"/>
            <w:shd w:val="clear" w:color="auto" w:fill="92D050"/>
            <w:noWrap/>
          </w:tcPr>
          <w:p w:rsidR="00400B0F" w:rsidRPr="00686515" w:rsidRDefault="000424ED"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6" w:type="pct"/>
            <w:shd w:val="clear" w:color="auto" w:fill="FFFF00"/>
            <w:noWrap/>
          </w:tcPr>
          <w:p w:rsidR="00400B0F" w:rsidRPr="00686515" w:rsidRDefault="000424ED"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4</w:t>
            </w:r>
          </w:p>
        </w:tc>
        <w:tc>
          <w:tcPr>
            <w:tcW w:w="417" w:type="pct"/>
            <w:shd w:val="clear" w:color="auto" w:fill="92D050"/>
          </w:tcPr>
          <w:p w:rsidR="00400B0F" w:rsidRPr="00686515" w:rsidRDefault="000424ED"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5</w:t>
            </w:r>
          </w:p>
        </w:tc>
        <w:tc>
          <w:tcPr>
            <w:tcW w:w="412" w:type="pct"/>
            <w:shd w:val="clear" w:color="auto" w:fill="auto"/>
          </w:tcPr>
          <w:p w:rsidR="00400B0F" w:rsidRPr="00686515" w:rsidRDefault="000424ED" w:rsidP="006F27B1">
            <w:pPr>
              <w:keepLines/>
              <w:spacing w:before="40" w:after="40" w:line="200" w:lineRule="atLeast"/>
              <w:jc w:val="center"/>
              <w:rPr>
                <w:rFonts w:asciiTheme="minorHAnsi" w:eastAsia="Times New Roman" w:hAnsiTheme="minorHAnsi"/>
                <w:iCs/>
                <w:sz w:val="18"/>
                <w:szCs w:val="18"/>
                <w:lang w:eastAsia="en-US"/>
              </w:rPr>
            </w:pPr>
            <w:r w:rsidRPr="00686515">
              <w:rPr>
                <w:rFonts w:asciiTheme="minorHAnsi" w:eastAsia="Times New Roman" w:hAnsiTheme="minorHAnsi"/>
                <w:iCs/>
                <w:sz w:val="18"/>
                <w:szCs w:val="18"/>
                <w:lang w:eastAsia="en-US"/>
              </w:rPr>
              <w:t>N/A</w:t>
            </w:r>
          </w:p>
        </w:tc>
      </w:tr>
      <w:tr w:rsidR="00F06D49" w:rsidRPr="003B10F8" w:rsidTr="00F06D49">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F06D49" w:rsidRPr="00686515" w:rsidRDefault="00F06D49" w:rsidP="006F27B1">
            <w:pPr>
              <w:keepLines/>
              <w:spacing w:before="40" w:after="40" w:line="200" w:lineRule="atLeast"/>
              <w:rPr>
                <w:rFonts w:asciiTheme="minorHAnsi" w:eastAsia="Times New Roman" w:hAnsiTheme="minorHAnsi"/>
                <w:iCs/>
                <w:sz w:val="18"/>
                <w:szCs w:val="18"/>
              </w:rPr>
            </w:pPr>
            <w:r w:rsidRPr="00686515">
              <w:rPr>
                <w:rFonts w:asciiTheme="minorHAnsi" w:eastAsia="Times New Roman" w:hAnsiTheme="minorHAnsi"/>
                <w:iCs/>
                <w:sz w:val="18"/>
                <w:szCs w:val="18"/>
              </w:rPr>
              <w:t xml:space="preserve">Restructuring for a More Competitive Vietnam </w:t>
            </w:r>
          </w:p>
        </w:tc>
        <w:tc>
          <w:tcPr>
            <w:tcW w:w="658" w:type="pct"/>
          </w:tcPr>
          <w:p w:rsidR="00F06D49" w:rsidRPr="00686515" w:rsidRDefault="00F06D49" w:rsidP="00F06D49">
            <w:pPr>
              <w:autoSpaceDE w:val="0"/>
              <w:autoSpaceDN w:val="0"/>
              <w:adjustRightInd w:val="0"/>
              <w:rPr>
                <w:rFonts w:asciiTheme="minorHAnsi" w:hAnsiTheme="minorHAnsi" w:cs="Franklin Gothic Book"/>
                <w:color w:val="000000"/>
                <w:sz w:val="18"/>
                <w:szCs w:val="18"/>
              </w:rPr>
            </w:pPr>
            <w:r w:rsidRPr="00686515">
              <w:rPr>
                <w:rFonts w:asciiTheme="minorHAnsi" w:hAnsiTheme="minorHAnsi" w:cs="Franklin Gothic Book"/>
                <w:color w:val="000000"/>
                <w:sz w:val="18"/>
                <w:szCs w:val="18"/>
              </w:rPr>
              <w:t>$3.6m</w:t>
            </w:r>
          </w:p>
          <w:p w:rsidR="00F06D49" w:rsidRPr="00A3623F" w:rsidRDefault="00F06D49" w:rsidP="00F06D49">
            <w:pPr>
              <w:autoSpaceDE w:val="0"/>
              <w:autoSpaceDN w:val="0"/>
              <w:adjustRightInd w:val="0"/>
              <w:rPr>
                <w:rFonts w:asciiTheme="minorHAnsi" w:hAnsiTheme="minorHAnsi" w:cs="Franklin Gothic Book"/>
                <w:color w:val="000000"/>
                <w:sz w:val="18"/>
                <w:szCs w:val="18"/>
              </w:rPr>
            </w:pPr>
            <w:r w:rsidRPr="00686515">
              <w:rPr>
                <w:rFonts w:asciiTheme="minorHAnsi" w:hAnsiTheme="minorHAnsi" w:cs="Franklin Gothic Book"/>
                <w:color w:val="000000"/>
                <w:sz w:val="18"/>
                <w:szCs w:val="18"/>
              </w:rPr>
              <w:t>2014-17</w:t>
            </w:r>
          </w:p>
        </w:tc>
        <w:tc>
          <w:tcPr>
            <w:tcW w:w="417" w:type="pct"/>
            <w:shd w:val="clear" w:color="auto" w:fill="92D050"/>
            <w:noWrap/>
          </w:tcPr>
          <w:p w:rsidR="00F06D49" w:rsidRPr="00A3623F" w:rsidRDefault="00F06D49" w:rsidP="006F27B1">
            <w:pPr>
              <w:keepLines/>
              <w:spacing w:before="40" w:after="40" w:line="200" w:lineRule="atLeast"/>
              <w:jc w:val="center"/>
              <w:rPr>
                <w:rFonts w:asciiTheme="minorHAnsi" w:eastAsia="Times New Roman" w:hAnsiTheme="minorHAnsi"/>
                <w:iCs/>
                <w:sz w:val="18"/>
                <w:szCs w:val="18"/>
              </w:rPr>
            </w:pPr>
            <w:r w:rsidRPr="00A3623F">
              <w:rPr>
                <w:rFonts w:asciiTheme="minorHAnsi" w:eastAsia="Times New Roman" w:hAnsiTheme="minorHAnsi"/>
                <w:iCs/>
                <w:sz w:val="18"/>
                <w:szCs w:val="18"/>
              </w:rPr>
              <w:t>5</w:t>
            </w:r>
          </w:p>
        </w:tc>
        <w:tc>
          <w:tcPr>
            <w:tcW w:w="416" w:type="pct"/>
            <w:shd w:val="clear" w:color="auto" w:fill="92D050"/>
            <w:noWrap/>
          </w:tcPr>
          <w:p w:rsidR="00F06D49" w:rsidRPr="00A3623F" w:rsidRDefault="00F06D49" w:rsidP="006F27B1">
            <w:pPr>
              <w:keepLines/>
              <w:spacing w:before="40" w:after="40" w:line="200" w:lineRule="atLeast"/>
              <w:jc w:val="center"/>
              <w:rPr>
                <w:rFonts w:asciiTheme="minorHAnsi" w:eastAsia="Times New Roman" w:hAnsiTheme="minorHAnsi"/>
                <w:iCs/>
                <w:sz w:val="18"/>
                <w:szCs w:val="18"/>
              </w:rPr>
            </w:pPr>
            <w:r w:rsidRPr="00A3623F">
              <w:rPr>
                <w:rFonts w:asciiTheme="minorHAnsi" w:eastAsia="Times New Roman" w:hAnsiTheme="minorHAnsi"/>
                <w:iCs/>
                <w:sz w:val="18"/>
                <w:szCs w:val="18"/>
              </w:rPr>
              <w:t>6</w:t>
            </w:r>
          </w:p>
        </w:tc>
        <w:tc>
          <w:tcPr>
            <w:tcW w:w="417" w:type="pct"/>
            <w:shd w:val="clear" w:color="auto" w:fill="92D050"/>
            <w:noWrap/>
          </w:tcPr>
          <w:p w:rsidR="00F06D49" w:rsidRPr="00A3623F" w:rsidRDefault="00F06D49" w:rsidP="006F27B1">
            <w:pPr>
              <w:keepLines/>
              <w:spacing w:before="40" w:after="40" w:line="200" w:lineRule="atLeast"/>
              <w:jc w:val="center"/>
              <w:rPr>
                <w:rFonts w:asciiTheme="minorHAnsi" w:eastAsia="Times New Roman" w:hAnsiTheme="minorHAnsi"/>
                <w:iCs/>
                <w:sz w:val="18"/>
                <w:szCs w:val="18"/>
              </w:rPr>
            </w:pPr>
            <w:r w:rsidRPr="00A3623F">
              <w:rPr>
                <w:rFonts w:asciiTheme="minorHAnsi" w:eastAsia="Times New Roman" w:hAnsiTheme="minorHAnsi"/>
                <w:iCs/>
                <w:sz w:val="18"/>
                <w:szCs w:val="18"/>
              </w:rPr>
              <w:t>5</w:t>
            </w:r>
          </w:p>
        </w:tc>
        <w:tc>
          <w:tcPr>
            <w:tcW w:w="416" w:type="pct"/>
            <w:shd w:val="clear" w:color="auto" w:fill="92D050"/>
            <w:noWrap/>
          </w:tcPr>
          <w:p w:rsidR="00F06D49" w:rsidRPr="00A3623F" w:rsidRDefault="00F06D49" w:rsidP="006F27B1">
            <w:pPr>
              <w:keepLines/>
              <w:spacing w:before="40" w:after="40" w:line="200" w:lineRule="atLeast"/>
              <w:jc w:val="center"/>
              <w:rPr>
                <w:rFonts w:asciiTheme="minorHAnsi" w:eastAsia="Times New Roman" w:hAnsiTheme="minorHAnsi"/>
                <w:iCs/>
                <w:sz w:val="18"/>
                <w:szCs w:val="18"/>
              </w:rPr>
            </w:pPr>
            <w:r w:rsidRPr="00A3623F">
              <w:rPr>
                <w:rFonts w:asciiTheme="minorHAnsi" w:eastAsia="Times New Roman" w:hAnsiTheme="minorHAnsi"/>
                <w:iCs/>
                <w:sz w:val="18"/>
                <w:szCs w:val="18"/>
              </w:rPr>
              <w:t>5</w:t>
            </w:r>
          </w:p>
        </w:tc>
        <w:tc>
          <w:tcPr>
            <w:tcW w:w="417" w:type="pct"/>
            <w:shd w:val="clear" w:color="auto" w:fill="FFFF00"/>
            <w:noWrap/>
          </w:tcPr>
          <w:p w:rsidR="00F06D49" w:rsidRPr="00A3623F" w:rsidRDefault="00F06D49" w:rsidP="006F27B1">
            <w:pPr>
              <w:keepLines/>
              <w:spacing w:before="40" w:after="40" w:line="200" w:lineRule="atLeast"/>
              <w:jc w:val="center"/>
              <w:rPr>
                <w:rFonts w:asciiTheme="minorHAnsi" w:eastAsia="Times New Roman" w:hAnsiTheme="minorHAnsi"/>
                <w:iCs/>
                <w:sz w:val="18"/>
                <w:szCs w:val="18"/>
              </w:rPr>
            </w:pPr>
            <w:r w:rsidRPr="00A3623F">
              <w:rPr>
                <w:rFonts w:asciiTheme="minorHAnsi" w:eastAsia="Times New Roman" w:hAnsiTheme="minorHAnsi"/>
                <w:iCs/>
                <w:sz w:val="18"/>
                <w:szCs w:val="18"/>
              </w:rPr>
              <w:t>4</w:t>
            </w:r>
          </w:p>
        </w:tc>
        <w:tc>
          <w:tcPr>
            <w:tcW w:w="416" w:type="pct"/>
            <w:shd w:val="clear" w:color="auto" w:fill="92D050"/>
            <w:noWrap/>
          </w:tcPr>
          <w:p w:rsidR="00F06D49" w:rsidRPr="00A3623F" w:rsidRDefault="00F06D49" w:rsidP="006F27B1">
            <w:pPr>
              <w:keepLines/>
              <w:spacing w:before="40" w:after="40" w:line="200" w:lineRule="atLeast"/>
              <w:jc w:val="center"/>
              <w:rPr>
                <w:rFonts w:asciiTheme="minorHAnsi" w:eastAsia="Times New Roman" w:hAnsiTheme="minorHAnsi"/>
                <w:iCs/>
                <w:sz w:val="18"/>
                <w:szCs w:val="18"/>
              </w:rPr>
            </w:pPr>
            <w:r w:rsidRPr="00A3623F">
              <w:rPr>
                <w:rFonts w:asciiTheme="minorHAnsi" w:eastAsia="Times New Roman" w:hAnsiTheme="minorHAnsi"/>
                <w:iCs/>
                <w:sz w:val="18"/>
                <w:szCs w:val="18"/>
              </w:rPr>
              <w:t>5</w:t>
            </w:r>
          </w:p>
        </w:tc>
        <w:tc>
          <w:tcPr>
            <w:tcW w:w="417" w:type="pct"/>
            <w:shd w:val="clear" w:color="auto" w:fill="FFFF00"/>
          </w:tcPr>
          <w:p w:rsidR="00F06D49" w:rsidRPr="00A3623F" w:rsidRDefault="00F06D49" w:rsidP="006F27B1">
            <w:pPr>
              <w:keepLines/>
              <w:spacing w:before="40" w:after="40" w:line="200" w:lineRule="atLeast"/>
              <w:jc w:val="center"/>
              <w:rPr>
                <w:rFonts w:asciiTheme="minorHAnsi" w:eastAsia="Times New Roman" w:hAnsiTheme="minorHAnsi"/>
                <w:iCs/>
                <w:sz w:val="18"/>
                <w:szCs w:val="18"/>
              </w:rPr>
            </w:pPr>
            <w:r w:rsidRPr="00A3623F">
              <w:rPr>
                <w:rFonts w:asciiTheme="minorHAnsi" w:eastAsia="Times New Roman" w:hAnsiTheme="minorHAnsi"/>
                <w:iCs/>
                <w:sz w:val="18"/>
                <w:szCs w:val="18"/>
              </w:rPr>
              <w:t>4</w:t>
            </w:r>
          </w:p>
        </w:tc>
        <w:tc>
          <w:tcPr>
            <w:tcW w:w="412" w:type="pct"/>
            <w:shd w:val="clear" w:color="auto" w:fill="auto"/>
          </w:tcPr>
          <w:p w:rsidR="00F06D49" w:rsidRPr="00A3623F" w:rsidRDefault="00F06D49" w:rsidP="006F27B1">
            <w:pPr>
              <w:keepLines/>
              <w:spacing w:before="40" w:after="40" w:line="200" w:lineRule="atLeast"/>
              <w:jc w:val="center"/>
              <w:rPr>
                <w:rFonts w:asciiTheme="minorHAnsi" w:eastAsia="Times New Roman" w:hAnsiTheme="minorHAnsi"/>
                <w:iCs/>
                <w:sz w:val="18"/>
                <w:szCs w:val="18"/>
              </w:rPr>
            </w:pPr>
          </w:p>
        </w:tc>
      </w:tr>
    </w:tbl>
    <w:p w:rsidR="00400B0F" w:rsidRPr="00C61187" w:rsidRDefault="00400B0F" w:rsidP="00400B0F">
      <w:pPr>
        <w:spacing w:before="20" w:after="20" w:line="180" w:lineRule="atLeast"/>
        <w:jc w:val="both"/>
        <w:rPr>
          <w:rFonts w:ascii="Franklin Gothic Book" w:eastAsia="Times New Roman" w:hAnsi="Franklin Gothic Book"/>
          <w:b/>
          <w:sz w:val="14"/>
          <w:szCs w:val="14"/>
        </w:rPr>
      </w:pP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Definitions of rating scale:</w:t>
      </w:r>
      <w:r w:rsidRPr="00880004">
        <w:rPr>
          <w:rFonts w:eastAsia="Times New Roman"/>
          <w:b/>
          <w:sz w:val="16"/>
          <w:szCs w:val="14"/>
        </w:rPr>
        <w:tab/>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Satisfactory (4, 5 and 6)</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6 = Very good; satisfies criteria in all areas.  </w:t>
      </w:r>
      <w:r w:rsidRPr="00880004">
        <w:rPr>
          <w:rFonts w:eastAsia="Times New Roman"/>
          <w:b/>
          <w:color w:val="72AF2F"/>
          <w:sz w:val="16"/>
          <w:szCs w:val="14"/>
        </w:rPr>
        <w:sym w:font="Webdings" w:char="F067"/>
      </w:r>
      <w:r w:rsidRPr="00880004">
        <w:rPr>
          <w:rFonts w:eastAsia="Times New Roman"/>
          <w:b/>
          <w:sz w:val="16"/>
          <w:szCs w:val="14"/>
        </w:rPr>
        <w:t xml:space="preserve"> 5 = Good; satisfies criteria in almost all areas.</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FF00"/>
          <w:sz w:val="16"/>
          <w:szCs w:val="14"/>
        </w:rPr>
        <w:sym w:font="Webdings" w:char="F067"/>
      </w:r>
      <w:r w:rsidRPr="00880004">
        <w:rPr>
          <w:rFonts w:eastAsia="Times New Roman"/>
          <w:b/>
          <w:sz w:val="16"/>
          <w:szCs w:val="14"/>
        </w:rPr>
        <w:t xml:space="preserve"> 4 = Adequate; on balance, satisfies criteria; does not fail in any major area.</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Less than satisfactory (1, 2 and 3)</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color w:val="E36C0A"/>
          <w:sz w:val="16"/>
          <w:szCs w:val="14"/>
        </w:rPr>
        <w:t xml:space="preserve"> </w:t>
      </w:r>
      <w:r w:rsidRPr="00880004">
        <w:rPr>
          <w:rFonts w:eastAsia="Times New Roman"/>
          <w:b/>
          <w:sz w:val="16"/>
          <w:szCs w:val="14"/>
        </w:rPr>
        <w:t>3 = Less than adequate; on balance does not satisfy criteria and/or fails in at least one major area.</w:t>
      </w:r>
    </w:p>
    <w:p w:rsidR="004E0264" w:rsidRPr="00880004" w:rsidRDefault="00400B0F" w:rsidP="00784031">
      <w:pPr>
        <w:spacing w:before="20" w:after="20" w:line="180" w:lineRule="atLeast"/>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xml:space="preserve"> 2 = Poor; does not satisfy criteria in major areas.  </w:t>
      </w:r>
      <w:r w:rsidRPr="00880004">
        <w:rPr>
          <w:rFonts w:eastAsia="Times New Roman"/>
          <w:b/>
          <w:color w:val="FF0000"/>
          <w:sz w:val="16"/>
          <w:szCs w:val="14"/>
        </w:rPr>
        <w:sym w:font="Webdings" w:char="F067"/>
      </w:r>
      <w:r w:rsidRPr="00880004">
        <w:rPr>
          <w:rFonts w:eastAsia="Times New Roman"/>
          <w:b/>
          <w:sz w:val="16"/>
          <w:szCs w:val="14"/>
        </w:rPr>
        <w:t xml:space="preserve"> 1 = Very poor; does not satisfy criteria in many major area.</w:t>
      </w:r>
    </w:p>
    <w:p w:rsidR="004E0264" w:rsidRDefault="004E0264" w:rsidP="004E0264">
      <w:r>
        <w:br w:type="page"/>
      </w:r>
    </w:p>
    <w:p w:rsidR="00400B0F" w:rsidRPr="00784031" w:rsidRDefault="00400B0F" w:rsidP="00400B0F">
      <w:pPr>
        <w:spacing w:before="20" w:after="20" w:line="180" w:lineRule="atLeast"/>
        <w:rPr>
          <w:rFonts w:eastAsiaTheme="majorEastAsia" w:cstheme="majorBidi"/>
          <w:bCs/>
          <w:iCs/>
          <w:caps/>
          <w:spacing w:val="-10"/>
          <w:kern w:val="28"/>
          <w:sz w:val="38"/>
          <w:szCs w:val="24"/>
        </w:rPr>
      </w:pPr>
      <w:r w:rsidRPr="00F4100E">
        <w:rPr>
          <w:rFonts w:eastAsiaTheme="majorEastAsia" w:cstheme="majorBidi"/>
          <w:bCs/>
          <w:iCs/>
          <w:caps/>
          <w:spacing w:val="-10"/>
          <w:kern w:val="28"/>
          <w:sz w:val="38"/>
          <w:szCs w:val="24"/>
        </w:rPr>
        <w:lastRenderedPageBreak/>
        <w:t xml:space="preserve">Annex E – </w:t>
      </w:r>
      <w:r w:rsidR="00DA6794">
        <w:rPr>
          <w:rFonts w:eastAsiaTheme="majorEastAsia" w:cstheme="majorBidi"/>
          <w:bCs/>
          <w:iCs/>
          <w:caps/>
          <w:spacing w:val="-10"/>
          <w:kern w:val="28"/>
          <w:sz w:val="38"/>
          <w:szCs w:val="24"/>
        </w:rPr>
        <w:t>P</w:t>
      </w:r>
      <w:r w:rsidR="00FF1EAB">
        <w:rPr>
          <w:rFonts w:eastAsiaTheme="majorEastAsia" w:cstheme="majorBidi"/>
          <w:bCs/>
          <w:iCs/>
          <w:caps/>
          <w:spacing w:val="-10"/>
          <w:kern w:val="28"/>
          <w:sz w:val="38"/>
          <w:szCs w:val="24"/>
        </w:rPr>
        <w:t>erformance Assessment framework (P</w:t>
      </w:r>
      <w:r w:rsidR="00DA6794">
        <w:rPr>
          <w:rFonts w:eastAsiaTheme="majorEastAsia" w:cstheme="majorBidi"/>
          <w:bCs/>
          <w:iCs/>
          <w:caps/>
          <w:spacing w:val="-10"/>
          <w:kern w:val="28"/>
          <w:sz w:val="38"/>
          <w:szCs w:val="24"/>
        </w:rPr>
        <w:t>AF</w:t>
      </w:r>
      <w:r w:rsidR="00FF1EAB">
        <w:rPr>
          <w:rFonts w:eastAsiaTheme="majorEastAsia" w:cstheme="majorBidi"/>
          <w:bCs/>
          <w:iCs/>
          <w:caps/>
          <w:spacing w:val="-10"/>
          <w:kern w:val="28"/>
          <w:sz w:val="38"/>
          <w:szCs w:val="24"/>
        </w:rPr>
        <w:t>)</w:t>
      </w:r>
    </w:p>
    <w:p w:rsidR="000424ED" w:rsidRPr="00C462A7" w:rsidRDefault="000424ED" w:rsidP="000424ED">
      <w:pPr>
        <w:rPr>
          <w:b/>
          <w:u w:val="single"/>
        </w:rPr>
      </w:pPr>
    </w:p>
    <w:tbl>
      <w:tblPr>
        <w:tblStyle w:val="TableGrid"/>
        <w:tblW w:w="13887" w:type="dxa"/>
        <w:tblBorders>
          <w:left w:val="none" w:sz="0" w:space="0" w:color="auto"/>
          <w:right w:val="none" w:sz="0" w:space="0" w:color="auto"/>
        </w:tblBorders>
        <w:tblLayout w:type="fixed"/>
        <w:tblLook w:val="04A0" w:firstRow="1" w:lastRow="0" w:firstColumn="1" w:lastColumn="0" w:noHBand="0" w:noVBand="1"/>
      </w:tblPr>
      <w:tblGrid>
        <w:gridCol w:w="2830"/>
        <w:gridCol w:w="2835"/>
        <w:gridCol w:w="1560"/>
        <w:gridCol w:w="1564"/>
        <w:gridCol w:w="1560"/>
        <w:gridCol w:w="1891"/>
        <w:gridCol w:w="1647"/>
      </w:tblGrid>
      <w:tr w:rsidR="000424ED" w:rsidRPr="00C462A7" w:rsidTr="00686515">
        <w:tc>
          <w:tcPr>
            <w:tcW w:w="2830" w:type="dxa"/>
            <w:tcBorders>
              <w:left w:val="single" w:sz="4" w:space="0" w:color="auto"/>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t>Intermediate Outcome</w:t>
            </w:r>
          </w:p>
        </w:tc>
        <w:tc>
          <w:tcPr>
            <w:tcW w:w="2835" w:type="dxa"/>
            <w:tcBorders>
              <w:left w:val="nil"/>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t>Indicator</w:t>
            </w:r>
          </w:p>
        </w:tc>
        <w:tc>
          <w:tcPr>
            <w:tcW w:w="1560" w:type="dxa"/>
            <w:tcBorders>
              <w:left w:val="nil"/>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t>2015/16 Targets</w:t>
            </w:r>
          </w:p>
        </w:tc>
        <w:tc>
          <w:tcPr>
            <w:tcW w:w="1564" w:type="dxa"/>
            <w:tcBorders>
              <w:left w:val="nil"/>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t>2016/17 Targets</w:t>
            </w:r>
          </w:p>
        </w:tc>
        <w:tc>
          <w:tcPr>
            <w:tcW w:w="1560" w:type="dxa"/>
            <w:tcBorders>
              <w:left w:val="nil"/>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t>2017/18 Targets</w:t>
            </w:r>
          </w:p>
        </w:tc>
        <w:tc>
          <w:tcPr>
            <w:tcW w:w="1891" w:type="dxa"/>
            <w:tcBorders>
              <w:left w:val="nil"/>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t>2018/19 Targets</w:t>
            </w:r>
          </w:p>
        </w:tc>
        <w:tc>
          <w:tcPr>
            <w:tcW w:w="1647" w:type="dxa"/>
            <w:tcBorders>
              <w:left w:val="nil"/>
              <w:right w:val="single" w:sz="4" w:space="0" w:color="auto"/>
            </w:tcBorders>
            <w:shd w:val="clear" w:color="auto" w:fill="D7DEE2" w:themeFill="text2" w:themeFillTint="33"/>
          </w:tcPr>
          <w:p w:rsidR="000424ED" w:rsidRPr="00C462A7" w:rsidRDefault="00F956F1" w:rsidP="00260844">
            <w:pPr>
              <w:rPr>
                <w:b/>
                <w:sz w:val="20"/>
                <w:szCs w:val="20"/>
              </w:rPr>
            </w:pPr>
            <w:r>
              <w:rPr>
                <w:b/>
                <w:sz w:val="20"/>
                <w:szCs w:val="20"/>
              </w:rPr>
              <w:t>2019/</w:t>
            </w:r>
            <w:r w:rsidR="000424ED" w:rsidRPr="00C462A7">
              <w:rPr>
                <w:b/>
                <w:sz w:val="20"/>
                <w:szCs w:val="20"/>
              </w:rPr>
              <w:t>20 Targets</w:t>
            </w:r>
          </w:p>
        </w:tc>
      </w:tr>
      <w:tr w:rsidR="000424ED" w:rsidRPr="00C462A7" w:rsidTr="00686515">
        <w:tc>
          <w:tcPr>
            <w:tcW w:w="13887" w:type="dxa"/>
            <w:gridSpan w:val="7"/>
            <w:tcBorders>
              <w:left w:val="single" w:sz="4" w:space="0" w:color="auto"/>
              <w:bottom w:val="single" w:sz="4" w:space="0" w:color="auto"/>
              <w:right w:val="single" w:sz="4" w:space="0" w:color="auto"/>
            </w:tcBorders>
            <w:shd w:val="clear" w:color="auto" w:fill="D5EEE0" w:themeFill="accent6" w:themeFillTint="33"/>
          </w:tcPr>
          <w:p w:rsidR="000424ED" w:rsidRPr="00C462A7" w:rsidRDefault="000424ED" w:rsidP="00260844">
            <w:pPr>
              <w:rPr>
                <w:b/>
                <w:u w:val="single"/>
              </w:rPr>
            </w:pPr>
            <w:r w:rsidRPr="00C462A7">
              <w:rPr>
                <w:b/>
              </w:rPr>
              <w:t>Objective 1:  Enabling and engaging the private sector for development</w:t>
            </w:r>
          </w:p>
        </w:tc>
      </w:tr>
      <w:tr w:rsidR="000424ED" w:rsidRPr="00C462A7" w:rsidTr="00686515">
        <w:tc>
          <w:tcPr>
            <w:tcW w:w="2830" w:type="dxa"/>
            <w:vMerge w:val="restart"/>
            <w:tcBorders>
              <w:left w:val="single" w:sz="4" w:space="0" w:color="auto"/>
              <w:right w:val="nil"/>
            </w:tcBorders>
            <w:shd w:val="clear" w:color="auto" w:fill="D5EEE0" w:themeFill="accent6" w:themeFillTint="33"/>
          </w:tcPr>
          <w:p w:rsidR="000424ED" w:rsidRPr="00C462A7" w:rsidRDefault="000424ED" w:rsidP="00260844">
            <w:pPr>
              <w:rPr>
                <w:color w:val="FF0000"/>
                <w:sz w:val="20"/>
                <w:szCs w:val="20"/>
              </w:rPr>
            </w:pPr>
            <w:r w:rsidRPr="00C462A7">
              <w:rPr>
                <w:sz w:val="20"/>
                <w:szCs w:val="20"/>
              </w:rPr>
              <w:t>1.</w:t>
            </w:r>
            <w:r w:rsidR="00343C7E">
              <w:rPr>
                <w:sz w:val="20"/>
                <w:szCs w:val="20"/>
              </w:rPr>
              <w:t>1</w:t>
            </w:r>
            <w:r w:rsidRPr="00C462A7">
              <w:rPr>
                <w:sz w:val="20"/>
                <w:szCs w:val="20"/>
              </w:rPr>
              <w:t xml:space="preserve"> Value-for-money infrastructure demonstrated and enabled</w:t>
            </w:r>
          </w:p>
          <w:p w:rsidR="000424ED" w:rsidRPr="00C462A7" w:rsidRDefault="000424ED" w:rsidP="00260844">
            <w:pPr>
              <w:rPr>
                <w:b/>
                <w:sz w:val="20"/>
                <w:szCs w:val="20"/>
                <w:u w:val="single"/>
              </w:rPr>
            </w:pPr>
          </w:p>
        </w:tc>
        <w:tc>
          <w:tcPr>
            <w:tcW w:w="2835"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1.</w:t>
            </w:r>
            <w:r w:rsidR="00343C7E">
              <w:rPr>
                <w:sz w:val="20"/>
                <w:szCs w:val="20"/>
              </w:rPr>
              <w:t>1.1</w:t>
            </w:r>
            <w:r w:rsidRPr="00C462A7">
              <w:rPr>
                <w:sz w:val="20"/>
                <w:szCs w:val="20"/>
              </w:rPr>
              <w:t xml:space="preserve">  Number of daily users of Cao </w:t>
            </w:r>
            <w:proofErr w:type="spellStart"/>
            <w:r w:rsidRPr="00C462A7">
              <w:rPr>
                <w:sz w:val="20"/>
                <w:szCs w:val="20"/>
              </w:rPr>
              <w:t>Lanh</w:t>
            </w:r>
            <w:proofErr w:type="spellEnd"/>
            <w:r w:rsidRPr="00C462A7">
              <w:rPr>
                <w:sz w:val="20"/>
                <w:szCs w:val="20"/>
              </w:rPr>
              <w:t xml:space="preserve"> Bridge</w:t>
            </w:r>
          </w:p>
        </w:tc>
        <w:tc>
          <w:tcPr>
            <w:tcW w:w="1560"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 xml:space="preserve">60 per cent of Cao </w:t>
            </w:r>
            <w:proofErr w:type="spellStart"/>
            <w:r w:rsidRPr="00C462A7">
              <w:rPr>
                <w:sz w:val="20"/>
                <w:szCs w:val="20"/>
              </w:rPr>
              <w:t>Lanh</w:t>
            </w:r>
            <w:proofErr w:type="spellEnd"/>
            <w:r w:rsidRPr="00C462A7">
              <w:rPr>
                <w:sz w:val="20"/>
                <w:szCs w:val="20"/>
              </w:rPr>
              <w:t xml:space="preserve"> Bridge construction complete</w:t>
            </w:r>
          </w:p>
        </w:tc>
        <w:tc>
          <w:tcPr>
            <w:tcW w:w="1564"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 xml:space="preserve">90 per cent of Cao </w:t>
            </w:r>
            <w:proofErr w:type="spellStart"/>
            <w:r w:rsidRPr="00C462A7">
              <w:rPr>
                <w:sz w:val="20"/>
                <w:szCs w:val="20"/>
              </w:rPr>
              <w:t>Lanh</w:t>
            </w:r>
            <w:proofErr w:type="spellEnd"/>
            <w:r w:rsidRPr="00C462A7">
              <w:rPr>
                <w:sz w:val="20"/>
                <w:szCs w:val="20"/>
              </w:rPr>
              <w:t xml:space="preserve"> Bridge construction complete</w:t>
            </w:r>
          </w:p>
        </w:tc>
        <w:tc>
          <w:tcPr>
            <w:tcW w:w="1560"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 xml:space="preserve">100 per cent of Cao </w:t>
            </w:r>
            <w:proofErr w:type="spellStart"/>
            <w:r w:rsidRPr="00C462A7">
              <w:rPr>
                <w:sz w:val="20"/>
                <w:szCs w:val="20"/>
              </w:rPr>
              <w:t>Lanh</w:t>
            </w:r>
            <w:proofErr w:type="spellEnd"/>
            <w:r w:rsidRPr="00C462A7">
              <w:rPr>
                <w:sz w:val="20"/>
                <w:szCs w:val="20"/>
              </w:rPr>
              <w:t xml:space="preserve"> Bridge construction complete; 170,000 daily users</w:t>
            </w:r>
          </w:p>
        </w:tc>
        <w:tc>
          <w:tcPr>
            <w:tcW w:w="1891"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170,000 daily users</w:t>
            </w:r>
          </w:p>
        </w:tc>
        <w:tc>
          <w:tcPr>
            <w:tcW w:w="1647" w:type="dxa"/>
            <w:tcBorders>
              <w:left w:val="nil"/>
              <w:right w:val="single" w:sz="4" w:space="0" w:color="auto"/>
            </w:tcBorders>
            <w:shd w:val="clear" w:color="auto" w:fill="D5EEE0" w:themeFill="accent6" w:themeFillTint="33"/>
          </w:tcPr>
          <w:p w:rsidR="000424ED" w:rsidRPr="00C462A7" w:rsidRDefault="000424ED" w:rsidP="00260844">
            <w:pPr>
              <w:rPr>
                <w:sz w:val="20"/>
                <w:szCs w:val="20"/>
              </w:rPr>
            </w:pPr>
            <w:r w:rsidRPr="00C462A7">
              <w:rPr>
                <w:sz w:val="20"/>
                <w:szCs w:val="20"/>
              </w:rPr>
              <w:t>170,000 daily users</w:t>
            </w:r>
          </w:p>
        </w:tc>
      </w:tr>
      <w:tr w:rsidR="000424ED" w:rsidRPr="00C462A7" w:rsidTr="00686515">
        <w:tc>
          <w:tcPr>
            <w:tcW w:w="2830" w:type="dxa"/>
            <w:vMerge/>
            <w:tcBorders>
              <w:left w:val="single" w:sz="4" w:space="0" w:color="auto"/>
              <w:bottom w:val="single" w:sz="4" w:space="0" w:color="auto"/>
              <w:right w:val="nil"/>
            </w:tcBorders>
            <w:shd w:val="clear" w:color="auto" w:fill="D5EEE0" w:themeFill="accent6" w:themeFillTint="33"/>
          </w:tcPr>
          <w:p w:rsidR="000424ED" w:rsidRPr="00C462A7" w:rsidRDefault="000424ED" w:rsidP="00260844">
            <w:pPr>
              <w:rPr>
                <w:b/>
                <w:sz w:val="20"/>
                <w:szCs w:val="20"/>
                <w:u w:val="single"/>
              </w:rPr>
            </w:pPr>
          </w:p>
        </w:tc>
        <w:tc>
          <w:tcPr>
            <w:tcW w:w="2835" w:type="dxa"/>
            <w:tcBorders>
              <w:left w:val="nil"/>
              <w:bottom w:val="single" w:sz="4" w:space="0" w:color="auto"/>
              <w:right w:val="nil"/>
            </w:tcBorders>
            <w:shd w:val="clear" w:color="auto" w:fill="D5EEE0" w:themeFill="accent6" w:themeFillTint="33"/>
          </w:tcPr>
          <w:p w:rsidR="000424ED" w:rsidRPr="00C462A7" w:rsidRDefault="00343C7E" w:rsidP="00260844">
            <w:pPr>
              <w:rPr>
                <w:sz w:val="20"/>
                <w:szCs w:val="20"/>
              </w:rPr>
            </w:pPr>
            <w:r>
              <w:rPr>
                <w:sz w:val="20"/>
                <w:szCs w:val="20"/>
              </w:rPr>
              <w:t xml:space="preserve">1.1.2 </w:t>
            </w:r>
            <w:r w:rsidR="000424ED" w:rsidRPr="00C462A7">
              <w:rPr>
                <w:sz w:val="20"/>
                <w:szCs w:val="20"/>
              </w:rPr>
              <w:t>Number of new projects brought to market that include detailed consideration of social, environmental and engineering issues</w:t>
            </w:r>
          </w:p>
        </w:tc>
        <w:tc>
          <w:tcPr>
            <w:tcW w:w="1560" w:type="dxa"/>
            <w:tcBorders>
              <w:left w:val="nil"/>
              <w:bottom w:val="single" w:sz="4" w:space="0" w:color="auto"/>
              <w:right w:val="nil"/>
            </w:tcBorders>
            <w:shd w:val="clear" w:color="auto" w:fill="D5EEE0" w:themeFill="accent6" w:themeFillTint="33"/>
          </w:tcPr>
          <w:p w:rsidR="000424ED" w:rsidRPr="00C462A7" w:rsidRDefault="000424ED" w:rsidP="00260844">
            <w:pPr>
              <w:rPr>
                <w:sz w:val="20"/>
                <w:szCs w:val="20"/>
              </w:rPr>
            </w:pPr>
            <w:r w:rsidRPr="00C462A7">
              <w:rPr>
                <w:sz w:val="20"/>
                <w:szCs w:val="20"/>
              </w:rPr>
              <w:t>No target set</w:t>
            </w:r>
          </w:p>
        </w:tc>
        <w:tc>
          <w:tcPr>
            <w:tcW w:w="1564" w:type="dxa"/>
            <w:tcBorders>
              <w:left w:val="nil"/>
              <w:bottom w:val="single" w:sz="4" w:space="0" w:color="auto"/>
              <w:right w:val="nil"/>
            </w:tcBorders>
            <w:shd w:val="clear" w:color="auto" w:fill="D5EEE0" w:themeFill="accent6" w:themeFillTint="33"/>
          </w:tcPr>
          <w:p w:rsidR="000424ED" w:rsidRPr="00C462A7" w:rsidRDefault="000424ED" w:rsidP="00260844">
            <w:pPr>
              <w:rPr>
                <w:sz w:val="20"/>
                <w:szCs w:val="20"/>
              </w:rPr>
            </w:pPr>
            <w:r w:rsidRPr="00C462A7">
              <w:rPr>
                <w:sz w:val="20"/>
                <w:szCs w:val="20"/>
              </w:rPr>
              <w:t>Investment design completed and approved</w:t>
            </w:r>
          </w:p>
        </w:tc>
        <w:tc>
          <w:tcPr>
            <w:tcW w:w="1560" w:type="dxa"/>
            <w:tcBorders>
              <w:left w:val="nil"/>
              <w:bottom w:val="single" w:sz="4" w:space="0" w:color="auto"/>
              <w:right w:val="nil"/>
            </w:tcBorders>
            <w:shd w:val="clear" w:color="auto" w:fill="D5EEE0" w:themeFill="accent6" w:themeFillTint="33"/>
          </w:tcPr>
          <w:p w:rsidR="000424ED" w:rsidRPr="00C462A7" w:rsidRDefault="00FB67F2" w:rsidP="00260844">
            <w:pPr>
              <w:rPr>
                <w:sz w:val="20"/>
                <w:szCs w:val="20"/>
              </w:rPr>
            </w:pPr>
            <w:r>
              <w:rPr>
                <w:sz w:val="20"/>
                <w:szCs w:val="20"/>
              </w:rPr>
              <w:t>One</w:t>
            </w:r>
            <w:r w:rsidR="000424ED" w:rsidRPr="00C462A7">
              <w:rPr>
                <w:sz w:val="20"/>
                <w:szCs w:val="20"/>
              </w:rPr>
              <w:t xml:space="preserve"> detailed design completed</w:t>
            </w:r>
          </w:p>
        </w:tc>
        <w:tc>
          <w:tcPr>
            <w:tcW w:w="1891" w:type="dxa"/>
            <w:tcBorders>
              <w:left w:val="nil"/>
              <w:bottom w:val="single" w:sz="4" w:space="0" w:color="auto"/>
              <w:right w:val="nil"/>
            </w:tcBorders>
            <w:shd w:val="clear" w:color="auto" w:fill="D5EEE0" w:themeFill="accent6" w:themeFillTint="33"/>
          </w:tcPr>
          <w:p w:rsidR="000424ED" w:rsidRPr="00C462A7" w:rsidRDefault="00FB67F2" w:rsidP="00260844">
            <w:pPr>
              <w:rPr>
                <w:sz w:val="20"/>
                <w:szCs w:val="20"/>
              </w:rPr>
            </w:pPr>
            <w:r>
              <w:rPr>
                <w:sz w:val="20"/>
                <w:szCs w:val="20"/>
              </w:rPr>
              <w:t>Two</w:t>
            </w:r>
            <w:r w:rsidR="000424ED" w:rsidRPr="00C462A7">
              <w:rPr>
                <w:sz w:val="20"/>
                <w:szCs w:val="20"/>
              </w:rPr>
              <w:t xml:space="preserve"> feasibility studies and </w:t>
            </w:r>
            <w:r w:rsidR="00B1576B">
              <w:rPr>
                <w:sz w:val="20"/>
                <w:szCs w:val="20"/>
              </w:rPr>
              <w:t>one</w:t>
            </w:r>
            <w:r w:rsidR="000424ED" w:rsidRPr="00C462A7">
              <w:rPr>
                <w:sz w:val="20"/>
                <w:szCs w:val="20"/>
              </w:rPr>
              <w:t xml:space="preserve"> detailed design completed</w:t>
            </w:r>
          </w:p>
        </w:tc>
        <w:tc>
          <w:tcPr>
            <w:tcW w:w="1647" w:type="dxa"/>
            <w:tcBorders>
              <w:left w:val="nil"/>
              <w:bottom w:val="single" w:sz="4" w:space="0" w:color="auto"/>
              <w:right w:val="single" w:sz="4" w:space="0" w:color="auto"/>
            </w:tcBorders>
            <w:shd w:val="clear" w:color="auto" w:fill="D5EEE0" w:themeFill="accent6" w:themeFillTint="33"/>
          </w:tcPr>
          <w:p w:rsidR="000424ED" w:rsidRPr="00C462A7" w:rsidRDefault="00FB67F2" w:rsidP="00260844">
            <w:pPr>
              <w:rPr>
                <w:sz w:val="20"/>
                <w:szCs w:val="20"/>
              </w:rPr>
            </w:pPr>
            <w:r>
              <w:rPr>
                <w:sz w:val="20"/>
                <w:szCs w:val="20"/>
              </w:rPr>
              <w:t>One</w:t>
            </w:r>
            <w:r w:rsidR="000424ED" w:rsidRPr="00C462A7">
              <w:rPr>
                <w:sz w:val="20"/>
                <w:szCs w:val="20"/>
              </w:rPr>
              <w:t xml:space="preserve"> detailed design completed</w:t>
            </w:r>
          </w:p>
        </w:tc>
      </w:tr>
      <w:tr w:rsidR="000424ED" w:rsidRPr="00C462A7" w:rsidTr="00686515">
        <w:tc>
          <w:tcPr>
            <w:tcW w:w="2830" w:type="dxa"/>
            <w:tcBorders>
              <w:left w:val="single" w:sz="4" w:space="0" w:color="auto"/>
              <w:right w:val="nil"/>
            </w:tcBorders>
            <w:shd w:val="clear" w:color="auto" w:fill="D5EEE0" w:themeFill="accent6" w:themeFillTint="33"/>
          </w:tcPr>
          <w:p w:rsidR="000424ED" w:rsidRPr="00C462A7" w:rsidRDefault="00343C7E" w:rsidP="00260844">
            <w:pPr>
              <w:rPr>
                <w:b/>
                <w:sz w:val="20"/>
                <w:szCs w:val="20"/>
                <w:u w:val="single"/>
              </w:rPr>
            </w:pPr>
            <w:r>
              <w:rPr>
                <w:sz w:val="20"/>
                <w:szCs w:val="20"/>
              </w:rPr>
              <w:t>1.</w:t>
            </w:r>
            <w:r w:rsidR="000424ED" w:rsidRPr="00C462A7">
              <w:rPr>
                <w:sz w:val="20"/>
                <w:szCs w:val="20"/>
              </w:rPr>
              <w:t xml:space="preserve">2. Businesses develop and deploy innovative climate smart technologies  </w:t>
            </w:r>
            <w:r w:rsidR="000424ED" w:rsidRPr="00C462A7">
              <w:rPr>
                <w:color w:val="FF0000"/>
                <w:sz w:val="20"/>
                <w:szCs w:val="20"/>
              </w:rPr>
              <w:t xml:space="preserve"> </w:t>
            </w:r>
          </w:p>
        </w:tc>
        <w:tc>
          <w:tcPr>
            <w:tcW w:w="2835" w:type="dxa"/>
            <w:tcBorders>
              <w:left w:val="nil"/>
              <w:right w:val="nil"/>
            </w:tcBorders>
            <w:shd w:val="clear" w:color="auto" w:fill="D5EEE0" w:themeFill="accent6" w:themeFillTint="33"/>
          </w:tcPr>
          <w:p w:rsidR="000424ED" w:rsidRPr="00C462A7" w:rsidRDefault="00343C7E" w:rsidP="00260844">
            <w:pPr>
              <w:rPr>
                <w:sz w:val="20"/>
                <w:szCs w:val="20"/>
              </w:rPr>
            </w:pPr>
            <w:r>
              <w:rPr>
                <w:sz w:val="20"/>
                <w:szCs w:val="20"/>
              </w:rPr>
              <w:t>1.2.1</w:t>
            </w:r>
            <w:r w:rsidR="000424ED" w:rsidRPr="00C462A7">
              <w:rPr>
                <w:sz w:val="20"/>
                <w:szCs w:val="20"/>
              </w:rPr>
              <w:t xml:space="preserve"> Number of beneficiaries with access to new or improved climate smart products or services </w:t>
            </w:r>
          </w:p>
        </w:tc>
        <w:tc>
          <w:tcPr>
            <w:tcW w:w="1560"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No target set</w:t>
            </w:r>
          </w:p>
        </w:tc>
        <w:tc>
          <w:tcPr>
            <w:tcW w:w="1564"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525 beneficiaries</w:t>
            </w:r>
          </w:p>
        </w:tc>
        <w:tc>
          <w:tcPr>
            <w:tcW w:w="1560"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1260 beneficiaries</w:t>
            </w:r>
          </w:p>
        </w:tc>
        <w:tc>
          <w:tcPr>
            <w:tcW w:w="1891"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20,000 beneficiaries</w:t>
            </w:r>
          </w:p>
        </w:tc>
        <w:tc>
          <w:tcPr>
            <w:tcW w:w="1647" w:type="dxa"/>
            <w:tcBorders>
              <w:left w:val="nil"/>
              <w:right w:val="single" w:sz="4" w:space="0" w:color="auto"/>
            </w:tcBorders>
            <w:shd w:val="clear" w:color="auto" w:fill="D5EEE0" w:themeFill="accent6" w:themeFillTint="33"/>
          </w:tcPr>
          <w:p w:rsidR="000424ED" w:rsidRPr="00C462A7" w:rsidRDefault="000424ED" w:rsidP="00260844">
            <w:pPr>
              <w:rPr>
                <w:sz w:val="20"/>
                <w:szCs w:val="20"/>
              </w:rPr>
            </w:pPr>
            <w:r w:rsidRPr="00C462A7">
              <w:rPr>
                <w:sz w:val="20"/>
                <w:szCs w:val="20"/>
              </w:rPr>
              <w:t>25,000 beneficiaries</w:t>
            </w:r>
          </w:p>
        </w:tc>
      </w:tr>
      <w:tr w:rsidR="000424ED" w:rsidRPr="00C462A7" w:rsidTr="00686515">
        <w:tc>
          <w:tcPr>
            <w:tcW w:w="2830" w:type="dxa"/>
            <w:vMerge w:val="restart"/>
            <w:tcBorders>
              <w:left w:val="single" w:sz="4" w:space="0" w:color="auto"/>
              <w:right w:val="nil"/>
            </w:tcBorders>
            <w:shd w:val="clear" w:color="auto" w:fill="D5EEE0" w:themeFill="accent6" w:themeFillTint="33"/>
          </w:tcPr>
          <w:p w:rsidR="000424ED" w:rsidRPr="00C462A7" w:rsidRDefault="00343C7E" w:rsidP="00260844">
            <w:pPr>
              <w:rPr>
                <w:b/>
                <w:sz w:val="20"/>
                <w:szCs w:val="20"/>
                <w:u w:val="single"/>
              </w:rPr>
            </w:pPr>
            <w:r>
              <w:rPr>
                <w:sz w:val="20"/>
                <w:szCs w:val="20"/>
              </w:rPr>
              <w:t>1.</w:t>
            </w:r>
            <w:r w:rsidR="000424ED" w:rsidRPr="00C462A7">
              <w:rPr>
                <w:sz w:val="20"/>
                <w:szCs w:val="20"/>
              </w:rPr>
              <w:t>3. Private sector actors increase access to clean water</w:t>
            </w:r>
          </w:p>
        </w:tc>
        <w:tc>
          <w:tcPr>
            <w:tcW w:w="2835" w:type="dxa"/>
            <w:tcBorders>
              <w:left w:val="nil"/>
              <w:right w:val="nil"/>
            </w:tcBorders>
            <w:shd w:val="clear" w:color="auto" w:fill="D5EEE0" w:themeFill="accent6" w:themeFillTint="33"/>
          </w:tcPr>
          <w:p w:rsidR="000424ED" w:rsidRPr="00C462A7" w:rsidRDefault="00343C7E" w:rsidP="00260844">
            <w:pPr>
              <w:rPr>
                <w:sz w:val="20"/>
                <w:szCs w:val="20"/>
              </w:rPr>
            </w:pPr>
            <w:r>
              <w:rPr>
                <w:sz w:val="20"/>
                <w:szCs w:val="20"/>
              </w:rPr>
              <w:t>1.3.1</w:t>
            </w:r>
            <w:r w:rsidR="000424ED" w:rsidRPr="00C462A7">
              <w:rPr>
                <w:sz w:val="20"/>
                <w:szCs w:val="20"/>
              </w:rPr>
              <w:t xml:space="preserve">  Number of Rural Water Supply Systems managed by private sector actors</w:t>
            </w:r>
          </w:p>
        </w:tc>
        <w:tc>
          <w:tcPr>
            <w:tcW w:w="1560"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No target set</w:t>
            </w:r>
          </w:p>
        </w:tc>
        <w:tc>
          <w:tcPr>
            <w:tcW w:w="1564"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 xml:space="preserve">Implementation commenced </w:t>
            </w:r>
          </w:p>
        </w:tc>
        <w:tc>
          <w:tcPr>
            <w:tcW w:w="1560" w:type="dxa"/>
            <w:tcBorders>
              <w:left w:val="nil"/>
              <w:right w:val="nil"/>
            </w:tcBorders>
            <w:shd w:val="clear" w:color="auto" w:fill="D5EEE0" w:themeFill="accent6" w:themeFillTint="33"/>
          </w:tcPr>
          <w:p w:rsidR="000424ED" w:rsidRPr="00C462A7" w:rsidRDefault="00FB67F2" w:rsidP="00260844">
            <w:pPr>
              <w:rPr>
                <w:sz w:val="20"/>
                <w:szCs w:val="20"/>
              </w:rPr>
            </w:pPr>
            <w:r>
              <w:rPr>
                <w:sz w:val="20"/>
                <w:szCs w:val="20"/>
              </w:rPr>
              <w:t>Four</w:t>
            </w:r>
            <w:r w:rsidR="000424ED" w:rsidRPr="00C462A7">
              <w:rPr>
                <w:sz w:val="20"/>
                <w:szCs w:val="20"/>
              </w:rPr>
              <w:t xml:space="preserve"> additional enterprises </w:t>
            </w:r>
          </w:p>
        </w:tc>
        <w:tc>
          <w:tcPr>
            <w:tcW w:w="1891" w:type="dxa"/>
            <w:tcBorders>
              <w:left w:val="nil"/>
              <w:right w:val="nil"/>
            </w:tcBorders>
            <w:shd w:val="clear" w:color="auto" w:fill="D5EEE0" w:themeFill="accent6" w:themeFillTint="33"/>
          </w:tcPr>
          <w:p w:rsidR="000424ED" w:rsidRPr="00C462A7" w:rsidRDefault="00FB67F2" w:rsidP="00260844">
            <w:pPr>
              <w:rPr>
                <w:sz w:val="20"/>
                <w:szCs w:val="20"/>
              </w:rPr>
            </w:pPr>
            <w:r>
              <w:rPr>
                <w:sz w:val="20"/>
                <w:szCs w:val="20"/>
              </w:rPr>
              <w:t>Six</w:t>
            </w:r>
            <w:r w:rsidR="000424ED" w:rsidRPr="00C462A7">
              <w:rPr>
                <w:sz w:val="20"/>
                <w:szCs w:val="20"/>
              </w:rPr>
              <w:t xml:space="preserve"> additional enterprises</w:t>
            </w:r>
          </w:p>
        </w:tc>
        <w:tc>
          <w:tcPr>
            <w:tcW w:w="1647" w:type="dxa"/>
            <w:tcBorders>
              <w:left w:val="nil"/>
              <w:right w:val="single" w:sz="4" w:space="0" w:color="auto"/>
            </w:tcBorders>
            <w:shd w:val="clear" w:color="auto" w:fill="D5EEE0" w:themeFill="accent6" w:themeFillTint="33"/>
          </w:tcPr>
          <w:p w:rsidR="000424ED" w:rsidRPr="00C462A7" w:rsidRDefault="00FB67F2" w:rsidP="003E34CD">
            <w:pPr>
              <w:rPr>
                <w:sz w:val="20"/>
                <w:szCs w:val="20"/>
              </w:rPr>
            </w:pPr>
            <w:r>
              <w:rPr>
                <w:sz w:val="20"/>
                <w:szCs w:val="20"/>
              </w:rPr>
              <w:t>Four</w:t>
            </w:r>
            <w:r w:rsidR="000424ED" w:rsidRPr="00C462A7">
              <w:rPr>
                <w:sz w:val="20"/>
                <w:szCs w:val="20"/>
              </w:rPr>
              <w:t xml:space="preserve"> additional enterprises</w:t>
            </w:r>
          </w:p>
        </w:tc>
      </w:tr>
      <w:tr w:rsidR="000424ED" w:rsidRPr="00C462A7" w:rsidTr="00686515">
        <w:trPr>
          <w:trHeight w:val="70"/>
        </w:trPr>
        <w:tc>
          <w:tcPr>
            <w:tcW w:w="2830" w:type="dxa"/>
            <w:vMerge/>
            <w:tcBorders>
              <w:left w:val="single" w:sz="4" w:space="0" w:color="auto"/>
              <w:bottom w:val="single" w:sz="4" w:space="0" w:color="auto"/>
              <w:right w:val="nil"/>
            </w:tcBorders>
            <w:shd w:val="clear" w:color="auto" w:fill="D5EEE0" w:themeFill="accent6" w:themeFillTint="33"/>
          </w:tcPr>
          <w:p w:rsidR="000424ED" w:rsidRPr="00C462A7" w:rsidRDefault="000424ED" w:rsidP="00260844">
            <w:pPr>
              <w:rPr>
                <w:b/>
                <w:sz w:val="20"/>
                <w:szCs w:val="20"/>
                <w:u w:val="single"/>
              </w:rPr>
            </w:pPr>
          </w:p>
        </w:tc>
        <w:tc>
          <w:tcPr>
            <w:tcW w:w="2835" w:type="dxa"/>
            <w:tcBorders>
              <w:left w:val="nil"/>
              <w:bottom w:val="single" w:sz="4" w:space="0" w:color="auto"/>
              <w:right w:val="nil"/>
            </w:tcBorders>
            <w:shd w:val="clear" w:color="auto" w:fill="D5EEE0" w:themeFill="accent6" w:themeFillTint="33"/>
          </w:tcPr>
          <w:p w:rsidR="000424ED" w:rsidRPr="00C462A7" w:rsidRDefault="00343C7E" w:rsidP="00343C7E">
            <w:pPr>
              <w:rPr>
                <w:sz w:val="20"/>
                <w:szCs w:val="20"/>
              </w:rPr>
            </w:pPr>
            <w:r>
              <w:rPr>
                <w:sz w:val="20"/>
                <w:szCs w:val="20"/>
              </w:rPr>
              <w:t>1.3.2</w:t>
            </w:r>
            <w:r w:rsidR="000424ED" w:rsidRPr="00C462A7">
              <w:rPr>
                <w:sz w:val="20"/>
                <w:szCs w:val="20"/>
              </w:rPr>
              <w:t xml:space="preserve">  Number of women and men with access to safe water</w:t>
            </w:r>
          </w:p>
        </w:tc>
        <w:tc>
          <w:tcPr>
            <w:tcW w:w="1560" w:type="dxa"/>
            <w:tcBorders>
              <w:left w:val="nil"/>
              <w:bottom w:val="single" w:sz="4" w:space="0" w:color="auto"/>
              <w:right w:val="nil"/>
            </w:tcBorders>
            <w:shd w:val="clear" w:color="auto" w:fill="D5EEE0" w:themeFill="accent6" w:themeFillTint="33"/>
          </w:tcPr>
          <w:p w:rsidR="000424ED" w:rsidRPr="00C462A7" w:rsidRDefault="000424ED" w:rsidP="00260844">
            <w:pPr>
              <w:rPr>
                <w:sz w:val="20"/>
                <w:szCs w:val="20"/>
              </w:rPr>
            </w:pPr>
            <w:r w:rsidRPr="00C462A7">
              <w:rPr>
                <w:sz w:val="20"/>
                <w:szCs w:val="20"/>
              </w:rPr>
              <w:t>No target set</w:t>
            </w:r>
          </w:p>
        </w:tc>
        <w:tc>
          <w:tcPr>
            <w:tcW w:w="1564" w:type="dxa"/>
            <w:tcBorders>
              <w:left w:val="nil"/>
              <w:bottom w:val="single" w:sz="4" w:space="0" w:color="auto"/>
              <w:right w:val="nil"/>
            </w:tcBorders>
            <w:shd w:val="clear" w:color="auto" w:fill="D5EEE0" w:themeFill="accent6" w:themeFillTint="33"/>
          </w:tcPr>
          <w:p w:rsidR="000424ED" w:rsidRPr="00C462A7" w:rsidRDefault="000424ED" w:rsidP="00260844">
            <w:pPr>
              <w:rPr>
                <w:sz w:val="20"/>
                <w:szCs w:val="20"/>
              </w:rPr>
            </w:pPr>
            <w:r w:rsidRPr="00C462A7">
              <w:rPr>
                <w:sz w:val="20"/>
                <w:szCs w:val="20"/>
              </w:rPr>
              <w:t xml:space="preserve">6,000 women and men </w:t>
            </w:r>
          </w:p>
        </w:tc>
        <w:tc>
          <w:tcPr>
            <w:tcW w:w="1560" w:type="dxa"/>
            <w:tcBorders>
              <w:left w:val="nil"/>
              <w:bottom w:val="single" w:sz="4" w:space="0" w:color="auto"/>
              <w:right w:val="nil"/>
            </w:tcBorders>
            <w:shd w:val="clear" w:color="auto" w:fill="D5EEE0" w:themeFill="accent6" w:themeFillTint="33"/>
          </w:tcPr>
          <w:p w:rsidR="000424ED" w:rsidRPr="00C462A7" w:rsidRDefault="000424ED" w:rsidP="00260844">
            <w:pPr>
              <w:rPr>
                <w:sz w:val="20"/>
                <w:szCs w:val="20"/>
              </w:rPr>
            </w:pPr>
            <w:r w:rsidRPr="00C462A7">
              <w:rPr>
                <w:sz w:val="20"/>
                <w:szCs w:val="20"/>
              </w:rPr>
              <w:t>9,000 women and men</w:t>
            </w:r>
          </w:p>
        </w:tc>
        <w:tc>
          <w:tcPr>
            <w:tcW w:w="1891" w:type="dxa"/>
            <w:tcBorders>
              <w:left w:val="nil"/>
              <w:bottom w:val="single" w:sz="4" w:space="0" w:color="auto"/>
              <w:right w:val="nil"/>
            </w:tcBorders>
            <w:shd w:val="clear" w:color="auto" w:fill="D5EEE0" w:themeFill="accent6" w:themeFillTint="33"/>
          </w:tcPr>
          <w:p w:rsidR="000424ED" w:rsidRPr="00C462A7" w:rsidRDefault="000424ED" w:rsidP="00260844">
            <w:pPr>
              <w:rPr>
                <w:sz w:val="20"/>
                <w:szCs w:val="20"/>
              </w:rPr>
            </w:pPr>
            <w:r w:rsidRPr="00C462A7">
              <w:rPr>
                <w:sz w:val="20"/>
                <w:szCs w:val="20"/>
              </w:rPr>
              <w:t>24,000 women and men</w:t>
            </w:r>
          </w:p>
        </w:tc>
        <w:tc>
          <w:tcPr>
            <w:tcW w:w="1647" w:type="dxa"/>
            <w:tcBorders>
              <w:left w:val="nil"/>
              <w:bottom w:val="single" w:sz="4" w:space="0" w:color="auto"/>
              <w:right w:val="single" w:sz="4" w:space="0" w:color="auto"/>
            </w:tcBorders>
            <w:shd w:val="clear" w:color="auto" w:fill="D5EEE0" w:themeFill="accent6" w:themeFillTint="33"/>
          </w:tcPr>
          <w:p w:rsidR="000424ED" w:rsidRPr="00C462A7" w:rsidRDefault="000424ED" w:rsidP="00260844">
            <w:pPr>
              <w:rPr>
                <w:sz w:val="20"/>
                <w:szCs w:val="20"/>
              </w:rPr>
            </w:pPr>
            <w:r w:rsidRPr="00C462A7">
              <w:rPr>
                <w:sz w:val="20"/>
                <w:szCs w:val="20"/>
              </w:rPr>
              <w:t>14,000 women and men</w:t>
            </w:r>
          </w:p>
        </w:tc>
      </w:tr>
    </w:tbl>
    <w:p w:rsidR="001C0A82" w:rsidRDefault="001C0A82">
      <w:r>
        <w:br w:type="page"/>
      </w:r>
    </w:p>
    <w:tbl>
      <w:tblPr>
        <w:tblStyle w:val="TableGrid"/>
        <w:tblW w:w="13887" w:type="dxa"/>
        <w:tblBorders>
          <w:left w:val="none" w:sz="0" w:space="0" w:color="auto"/>
          <w:right w:val="none" w:sz="0" w:space="0" w:color="auto"/>
        </w:tblBorders>
        <w:tblLayout w:type="fixed"/>
        <w:tblLook w:val="04A0" w:firstRow="1" w:lastRow="0" w:firstColumn="1" w:lastColumn="0" w:noHBand="0" w:noVBand="1"/>
      </w:tblPr>
      <w:tblGrid>
        <w:gridCol w:w="2830"/>
        <w:gridCol w:w="2835"/>
        <w:gridCol w:w="1412"/>
        <w:gridCol w:w="1564"/>
        <w:gridCol w:w="1370"/>
        <w:gridCol w:w="1749"/>
        <w:gridCol w:w="2127"/>
      </w:tblGrid>
      <w:tr w:rsidR="000424ED" w:rsidRPr="00C462A7" w:rsidTr="00686515">
        <w:tc>
          <w:tcPr>
            <w:tcW w:w="2830" w:type="dxa"/>
            <w:tcBorders>
              <w:left w:val="single" w:sz="4" w:space="0" w:color="auto"/>
              <w:right w:val="nil"/>
            </w:tcBorders>
            <w:shd w:val="clear" w:color="auto" w:fill="D5EEE0" w:themeFill="accent6" w:themeFillTint="33"/>
          </w:tcPr>
          <w:p w:rsidR="000424ED" w:rsidRPr="00C462A7" w:rsidRDefault="00343C7E" w:rsidP="00260844">
            <w:pPr>
              <w:rPr>
                <w:sz w:val="20"/>
                <w:szCs w:val="20"/>
              </w:rPr>
            </w:pPr>
            <w:r>
              <w:rPr>
                <w:sz w:val="20"/>
                <w:szCs w:val="20"/>
              </w:rPr>
              <w:lastRenderedPageBreak/>
              <w:t>1.</w:t>
            </w:r>
            <w:r w:rsidR="000424ED" w:rsidRPr="00C462A7">
              <w:rPr>
                <w:sz w:val="20"/>
                <w:szCs w:val="20"/>
              </w:rPr>
              <w:t>4. Improved economic policy is implemented</w:t>
            </w:r>
          </w:p>
        </w:tc>
        <w:tc>
          <w:tcPr>
            <w:tcW w:w="2835" w:type="dxa"/>
            <w:tcBorders>
              <w:left w:val="nil"/>
              <w:right w:val="nil"/>
            </w:tcBorders>
            <w:shd w:val="clear" w:color="auto" w:fill="D5EEE0" w:themeFill="accent6" w:themeFillTint="33"/>
          </w:tcPr>
          <w:p w:rsidR="000424ED" w:rsidRPr="00C462A7" w:rsidRDefault="00343C7E" w:rsidP="00343C7E">
            <w:pPr>
              <w:rPr>
                <w:sz w:val="20"/>
                <w:szCs w:val="20"/>
              </w:rPr>
            </w:pPr>
            <w:r>
              <w:rPr>
                <w:sz w:val="20"/>
                <w:szCs w:val="20"/>
              </w:rPr>
              <w:t>1.4.1</w:t>
            </w:r>
            <w:r w:rsidR="000424ED" w:rsidRPr="00C462A7">
              <w:rPr>
                <w:sz w:val="20"/>
                <w:szCs w:val="20"/>
              </w:rPr>
              <w:t xml:space="preserve">  Number of instances where DFAT support has contributed to improvements in economic policy and/or its implementation</w:t>
            </w:r>
          </w:p>
        </w:tc>
        <w:tc>
          <w:tcPr>
            <w:tcW w:w="1412"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No target set</w:t>
            </w:r>
          </w:p>
        </w:tc>
        <w:tc>
          <w:tcPr>
            <w:tcW w:w="1564"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Investment design completed and approved</w:t>
            </w:r>
          </w:p>
        </w:tc>
        <w:tc>
          <w:tcPr>
            <w:tcW w:w="1370"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Approval and enactment of an improved Competition Law in line with Vietnam’s international and regional economic commitments</w:t>
            </w:r>
          </w:p>
        </w:tc>
        <w:tc>
          <w:tcPr>
            <w:tcW w:w="1749"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Enactment of revised Land Law to ensure a more competitive market for land use</w:t>
            </w:r>
          </w:p>
        </w:tc>
        <w:tc>
          <w:tcPr>
            <w:tcW w:w="2127" w:type="dxa"/>
            <w:tcBorders>
              <w:left w:val="nil"/>
              <w:right w:val="single" w:sz="4" w:space="0" w:color="auto"/>
            </w:tcBorders>
            <w:shd w:val="clear" w:color="auto" w:fill="D5EEE0" w:themeFill="accent6" w:themeFillTint="33"/>
          </w:tcPr>
          <w:p w:rsidR="000424ED" w:rsidRPr="00C462A7" w:rsidRDefault="000424ED" w:rsidP="00260844">
            <w:pPr>
              <w:rPr>
                <w:sz w:val="20"/>
                <w:szCs w:val="20"/>
              </w:rPr>
            </w:pPr>
            <w:r w:rsidRPr="00C462A7">
              <w:rPr>
                <w:sz w:val="20"/>
                <w:szCs w:val="20"/>
              </w:rPr>
              <w:t>Establishment of an independent institution to exercise ownership rights in large SOEs to separate regulatory functions from ownership</w:t>
            </w:r>
          </w:p>
        </w:tc>
      </w:tr>
      <w:tr w:rsidR="000424ED" w:rsidRPr="00C462A7" w:rsidTr="00686515">
        <w:tc>
          <w:tcPr>
            <w:tcW w:w="2830" w:type="dxa"/>
            <w:tcBorders>
              <w:left w:val="single" w:sz="4" w:space="0" w:color="auto"/>
              <w:right w:val="nil"/>
            </w:tcBorders>
            <w:shd w:val="clear" w:color="auto" w:fill="D5EEE0" w:themeFill="accent6" w:themeFillTint="33"/>
          </w:tcPr>
          <w:p w:rsidR="000424ED" w:rsidRPr="00C462A7" w:rsidRDefault="00343C7E" w:rsidP="00260844">
            <w:pPr>
              <w:rPr>
                <w:sz w:val="20"/>
                <w:szCs w:val="20"/>
              </w:rPr>
            </w:pPr>
            <w:r>
              <w:rPr>
                <w:sz w:val="20"/>
                <w:szCs w:val="20"/>
              </w:rPr>
              <w:t>1.</w:t>
            </w:r>
            <w:r w:rsidR="000424ED" w:rsidRPr="00C462A7">
              <w:rPr>
                <w:sz w:val="20"/>
                <w:szCs w:val="20"/>
              </w:rPr>
              <w:t>5.  Innovation outcome</w:t>
            </w:r>
          </w:p>
        </w:tc>
        <w:tc>
          <w:tcPr>
            <w:tcW w:w="2835" w:type="dxa"/>
            <w:tcBorders>
              <w:left w:val="nil"/>
              <w:right w:val="nil"/>
            </w:tcBorders>
            <w:shd w:val="clear" w:color="auto" w:fill="D5EEE0" w:themeFill="accent6" w:themeFillTint="33"/>
          </w:tcPr>
          <w:p w:rsidR="000424ED" w:rsidRPr="00C462A7" w:rsidRDefault="00343C7E">
            <w:pPr>
              <w:rPr>
                <w:sz w:val="20"/>
                <w:szCs w:val="20"/>
              </w:rPr>
            </w:pPr>
            <w:r>
              <w:rPr>
                <w:sz w:val="20"/>
                <w:szCs w:val="20"/>
              </w:rPr>
              <w:t>1.5.1</w:t>
            </w:r>
            <w:r w:rsidR="000424ED" w:rsidRPr="00C462A7">
              <w:rPr>
                <w:sz w:val="20"/>
                <w:szCs w:val="20"/>
              </w:rPr>
              <w:t xml:space="preserve">  Vietnam better prepared for a digital future under Industry 4.0 with an increased number of Australian institutions hav</w:t>
            </w:r>
            <w:r w:rsidR="00902F9B">
              <w:rPr>
                <w:sz w:val="20"/>
                <w:szCs w:val="20"/>
              </w:rPr>
              <w:t>ing</w:t>
            </w:r>
            <w:r w:rsidR="000424ED" w:rsidRPr="00C462A7">
              <w:rPr>
                <w:sz w:val="20"/>
                <w:szCs w:val="20"/>
              </w:rPr>
              <w:t xml:space="preserve"> effective ongoing relationships with Vietnamese institutions</w:t>
            </w:r>
          </w:p>
        </w:tc>
        <w:tc>
          <w:tcPr>
            <w:tcW w:w="1412"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No Target Set</w:t>
            </w:r>
          </w:p>
        </w:tc>
        <w:tc>
          <w:tcPr>
            <w:tcW w:w="1564" w:type="dxa"/>
            <w:tcBorders>
              <w:left w:val="nil"/>
              <w:right w:val="nil"/>
            </w:tcBorders>
            <w:shd w:val="clear" w:color="auto" w:fill="D5EEE0" w:themeFill="accent6" w:themeFillTint="33"/>
          </w:tcPr>
          <w:p w:rsidR="000424ED" w:rsidRPr="00C462A7" w:rsidRDefault="000424ED" w:rsidP="00260844">
            <w:pPr>
              <w:rPr>
                <w:sz w:val="20"/>
                <w:szCs w:val="20"/>
              </w:rPr>
            </w:pPr>
            <w:r w:rsidRPr="00C462A7">
              <w:rPr>
                <w:sz w:val="20"/>
                <w:szCs w:val="20"/>
              </w:rPr>
              <w:t xml:space="preserve">No target set </w:t>
            </w:r>
          </w:p>
        </w:tc>
        <w:tc>
          <w:tcPr>
            <w:tcW w:w="1370" w:type="dxa"/>
            <w:tcBorders>
              <w:left w:val="nil"/>
              <w:right w:val="nil"/>
            </w:tcBorders>
            <w:shd w:val="clear" w:color="auto" w:fill="D5EEE0" w:themeFill="accent6" w:themeFillTint="33"/>
          </w:tcPr>
          <w:p w:rsidR="000424ED" w:rsidRPr="00C462A7" w:rsidRDefault="000424ED" w:rsidP="003E34CD">
            <w:pPr>
              <w:rPr>
                <w:sz w:val="20"/>
                <w:szCs w:val="20"/>
              </w:rPr>
            </w:pPr>
            <w:r w:rsidRPr="00C462A7">
              <w:rPr>
                <w:sz w:val="20"/>
                <w:szCs w:val="20"/>
              </w:rPr>
              <w:t xml:space="preserve">Project </w:t>
            </w:r>
            <w:r w:rsidR="00FB67F2">
              <w:rPr>
                <w:sz w:val="20"/>
                <w:szCs w:val="20"/>
              </w:rPr>
              <w:t>d</w:t>
            </w:r>
            <w:r w:rsidRPr="00C462A7">
              <w:rPr>
                <w:sz w:val="20"/>
                <w:szCs w:val="20"/>
              </w:rPr>
              <w:t>esign approved by DFAT/</w:t>
            </w:r>
            <w:proofErr w:type="spellStart"/>
            <w:r w:rsidR="00FB67F2">
              <w:rPr>
                <w:sz w:val="20"/>
                <w:szCs w:val="20"/>
              </w:rPr>
              <w:t>i</w:t>
            </w:r>
            <w:r w:rsidRPr="00C462A7">
              <w:rPr>
                <w:sz w:val="20"/>
                <w:szCs w:val="20"/>
              </w:rPr>
              <w:t>X</w:t>
            </w:r>
            <w:r w:rsidR="00FB67F2">
              <w:rPr>
                <w:sz w:val="20"/>
                <w:szCs w:val="20"/>
              </w:rPr>
              <w:t>c</w:t>
            </w:r>
            <w:proofErr w:type="spellEnd"/>
            <w:r w:rsidRPr="00C462A7">
              <w:rPr>
                <w:sz w:val="20"/>
                <w:szCs w:val="20"/>
              </w:rPr>
              <w:t xml:space="preserve"> and CSIRO </w:t>
            </w:r>
          </w:p>
        </w:tc>
        <w:tc>
          <w:tcPr>
            <w:tcW w:w="1749" w:type="dxa"/>
            <w:tcBorders>
              <w:left w:val="nil"/>
              <w:right w:val="nil"/>
            </w:tcBorders>
            <w:shd w:val="clear" w:color="auto" w:fill="D5EEE0" w:themeFill="accent6" w:themeFillTint="33"/>
          </w:tcPr>
          <w:p w:rsidR="000424ED" w:rsidRPr="000C5481" w:rsidRDefault="000424ED" w:rsidP="00260844">
            <w:pPr>
              <w:rPr>
                <w:sz w:val="20"/>
                <w:szCs w:val="20"/>
              </w:rPr>
            </w:pPr>
            <w:r w:rsidRPr="000C5481">
              <w:rPr>
                <w:sz w:val="20"/>
                <w:szCs w:val="20"/>
              </w:rPr>
              <w:t xml:space="preserve">A complete report on Vietnam’s Future Digital Economy </w:t>
            </w:r>
          </w:p>
          <w:p w:rsidR="000424ED" w:rsidRPr="00441FA9" w:rsidRDefault="00FB67F2" w:rsidP="00260844">
            <w:pPr>
              <w:pStyle w:val="ListParagraph"/>
              <w:ind w:left="0"/>
              <w:rPr>
                <w:rFonts w:asciiTheme="minorHAnsi" w:hAnsiTheme="minorHAnsi"/>
                <w:color w:val="495965" w:themeColor="text2"/>
                <w:sz w:val="20"/>
                <w:szCs w:val="20"/>
              </w:rPr>
            </w:pPr>
            <w:r w:rsidRPr="00441FA9">
              <w:rPr>
                <w:rFonts w:asciiTheme="minorHAnsi" w:hAnsiTheme="minorHAnsi"/>
                <w:color w:val="495965" w:themeColor="text2"/>
                <w:sz w:val="20"/>
                <w:szCs w:val="20"/>
              </w:rPr>
              <w:t>Three</w:t>
            </w:r>
            <w:r w:rsidR="000424ED" w:rsidRPr="00441FA9">
              <w:rPr>
                <w:rFonts w:asciiTheme="minorHAnsi" w:hAnsiTheme="minorHAnsi"/>
                <w:color w:val="495965" w:themeColor="text2"/>
                <w:sz w:val="20"/>
                <w:szCs w:val="20"/>
              </w:rPr>
              <w:t xml:space="preserve"> pilot science commercialization models </w:t>
            </w:r>
          </w:p>
          <w:p w:rsidR="000424ED" w:rsidRPr="000C5481" w:rsidRDefault="00FB67F2" w:rsidP="00260844">
            <w:pPr>
              <w:rPr>
                <w:sz w:val="20"/>
                <w:szCs w:val="20"/>
              </w:rPr>
            </w:pPr>
            <w:r w:rsidRPr="000C5481">
              <w:rPr>
                <w:sz w:val="20"/>
                <w:szCs w:val="20"/>
              </w:rPr>
              <w:t>Three</w:t>
            </w:r>
            <w:r w:rsidR="000424ED" w:rsidRPr="000C5481">
              <w:rPr>
                <w:sz w:val="20"/>
                <w:szCs w:val="20"/>
              </w:rPr>
              <w:t xml:space="preserve"> grants for pilot activities to address emerging challenges or opportunities in the innovation system</w:t>
            </w:r>
          </w:p>
        </w:tc>
        <w:tc>
          <w:tcPr>
            <w:tcW w:w="2127" w:type="dxa"/>
            <w:tcBorders>
              <w:left w:val="nil"/>
              <w:right w:val="single" w:sz="4" w:space="0" w:color="auto"/>
            </w:tcBorders>
            <w:shd w:val="clear" w:color="auto" w:fill="D5EEE0" w:themeFill="accent6" w:themeFillTint="33"/>
          </w:tcPr>
          <w:p w:rsidR="000424ED" w:rsidRPr="000C5481" w:rsidRDefault="00FB67F2" w:rsidP="00260844">
            <w:pPr>
              <w:rPr>
                <w:sz w:val="20"/>
                <w:szCs w:val="20"/>
              </w:rPr>
            </w:pPr>
            <w:r w:rsidRPr="000C5481">
              <w:rPr>
                <w:sz w:val="20"/>
                <w:szCs w:val="20"/>
              </w:rPr>
              <w:t>Three</w:t>
            </w:r>
            <w:r w:rsidR="000424ED" w:rsidRPr="000C5481">
              <w:rPr>
                <w:sz w:val="20"/>
                <w:szCs w:val="20"/>
              </w:rPr>
              <w:t xml:space="preserve"> commercialization models up and run successfully</w:t>
            </w:r>
          </w:p>
          <w:p w:rsidR="000424ED" w:rsidRPr="00441FA9" w:rsidRDefault="00FB67F2" w:rsidP="00260844">
            <w:pPr>
              <w:pStyle w:val="ListParagraph"/>
              <w:ind w:left="0"/>
              <w:rPr>
                <w:rFonts w:asciiTheme="minorHAnsi" w:hAnsiTheme="minorHAnsi"/>
                <w:color w:val="495965" w:themeColor="text2"/>
                <w:sz w:val="20"/>
                <w:szCs w:val="20"/>
              </w:rPr>
            </w:pPr>
            <w:r w:rsidRPr="00441FA9">
              <w:rPr>
                <w:rFonts w:asciiTheme="minorHAnsi" w:hAnsiTheme="minorHAnsi"/>
                <w:color w:val="495965" w:themeColor="text2"/>
                <w:sz w:val="20"/>
                <w:szCs w:val="20"/>
              </w:rPr>
              <w:t>Three</w:t>
            </w:r>
            <w:r w:rsidR="000424ED" w:rsidRPr="00441FA9">
              <w:rPr>
                <w:rFonts w:asciiTheme="minorHAnsi" w:hAnsiTheme="minorHAnsi"/>
                <w:color w:val="495965" w:themeColor="text2"/>
                <w:sz w:val="20"/>
                <w:szCs w:val="20"/>
              </w:rPr>
              <w:t xml:space="preserve"> more grants provided to address emerging challenges or opportunities in the innovation system</w:t>
            </w:r>
          </w:p>
          <w:p w:rsidR="000424ED" w:rsidRPr="000C5481" w:rsidRDefault="00FB67F2" w:rsidP="003E34CD">
            <w:pPr>
              <w:rPr>
                <w:sz w:val="20"/>
                <w:szCs w:val="20"/>
              </w:rPr>
            </w:pPr>
            <w:r w:rsidRPr="000C5481">
              <w:rPr>
                <w:sz w:val="20"/>
                <w:szCs w:val="20"/>
              </w:rPr>
              <w:t>A</w:t>
            </w:r>
            <w:r w:rsidR="000424ED" w:rsidRPr="000C5481">
              <w:rPr>
                <w:sz w:val="20"/>
                <w:szCs w:val="20"/>
              </w:rPr>
              <w:t xml:space="preserve">t least </w:t>
            </w:r>
            <w:r w:rsidRPr="000C5481">
              <w:rPr>
                <w:sz w:val="20"/>
                <w:szCs w:val="20"/>
              </w:rPr>
              <w:t>six</w:t>
            </w:r>
            <w:r w:rsidR="000424ED" w:rsidRPr="000C5481">
              <w:rPr>
                <w:sz w:val="20"/>
                <w:szCs w:val="20"/>
              </w:rPr>
              <w:t xml:space="preserve"> partnerships between Australian and Vietnamese institutions are established </w:t>
            </w:r>
            <w:r w:rsidR="00E923D0" w:rsidRPr="000C5481">
              <w:rPr>
                <w:sz w:val="20"/>
                <w:szCs w:val="20"/>
              </w:rPr>
              <w:t xml:space="preserve">to </w:t>
            </w:r>
            <w:r w:rsidR="000424ED" w:rsidRPr="000C5481">
              <w:rPr>
                <w:sz w:val="20"/>
                <w:szCs w:val="20"/>
              </w:rPr>
              <w:t>support innovation in Vietnam</w:t>
            </w:r>
          </w:p>
        </w:tc>
      </w:tr>
      <w:tr w:rsidR="00C8187B" w:rsidRPr="00C462A7" w:rsidTr="00686515">
        <w:tc>
          <w:tcPr>
            <w:tcW w:w="2830" w:type="dxa"/>
            <w:tcBorders>
              <w:left w:val="single" w:sz="4" w:space="0" w:color="auto"/>
              <w:right w:val="nil"/>
            </w:tcBorders>
            <w:shd w:val="clear" w:color="auto" w:fill="D5EEE0" w:themeFill="accent6" w:themeFillTint="33"/>
          </w:tcPr>
          <w:p w:rsidR="00C8187B" w:rsidRPr="00C462A7" w:rsidRDefault="00C8187B" w:rsidP="00C8187B">
            <w:pPr>
              <w:spacing w:before="100" w:beforeAutospacing="1"/>
              <w:rPr>
                <w:sz w:val="20"/>
                <w:szCs w:val="20"/>
              </w:rPr>
            </w:pPr>
            <w:r>
              <w:rPr>
                <w:sz w:val="20"/>
                <w:szCs w:val="20"/>
              </w:rPr>
              <w:t>1.</w:t>
            </w:r>
            <w:r w:rsidRPr="007B7782">
              <w:rPr>
                <w:sz w:val="20"/>
                <w:szCs w:val="20"/>
              </w:rPr>
              <w:t>6. Private sector actors improve income and employment for women in agriculture and tourism</w:t>
            </w:r>
          </w:p>
        </w:tc>
        <w:tc>
          <w:tcPr>
            <w:tcW w:w="2835" w:type="dxa"/>
            <w:tcBorders>
              <w:left w:val="nil"/>
              <w:right w:val="nil"/>
            </w:tcBorders>
            <w:shd w:val="clear" w:color="auto" w:fill="D5EEE0" w:themeFill="accent6" w:themeFillTint="33"/>
          </w:tcPr>
          <w:p w:rsidR="00C8187B" w:rsidRDefault="00E923D0" w:rsidP="00C8187B">
            <w:pPr>
              <w:rPr>
                <w:sz w:val="20"/>
                <w:szCs w:val="20"/>
              </w:rPr>
            </w:pPr>
            <w:r>
              <w:rPr>
                <w:sz w:val="20"/>
                <w:szCs w:val="20"/>
                <w:lang w:eastAsia="en-AU"/>
              </w:rPr>
              <w:t xml:space="preserve">1.6.1 </w:t>
            </w:r>
            <w:r w:rsidR="00C8187B" w:rsidRPr="007B7782">
              <w:rPr>
                <w:sz w:val="20"/>
                <w:szCs w:val="20"/>
                <w:lang w:eastAsia="en-AU"/>
              </w:rPr>
              <w:t xml:space="preserve">Private sector investment leveraged </w:t>
            </w:r>
          </w:p>
        </w:tc>
        <w:tc>
          <w:tcPr>
            <w:tcW w:w="1412" w:type="dxa"/>
            <w:tcBorders>
              <w:left w:val="nil"/>
              <w:right w:val="nil"/>
            </w:tcBorders>
            <w:shd w:val="clear" w:color="auto" w:fill="D5EEE0" w:themeFill="accent6" w:themeFillTint="33"/>
          </w:tcPr>
          <w:p w:rsidR="00C8187B" w:rsidRPr="00C462A7" w:rsidRDefault="00C8187B" w:rsidP="00C8187B">
            <w:pPr>
              <w:rPr>
                <w:sz w:val="20"/>
                <w:szCs w:val="20"/>
              </w:rPr>
            </w:pPr>
            <w:r w:rsidRPr="007B7782">
              <w:rPr>
                <w:sz w:val="20"/>
                <w:szCs w:val="20"/>
              </w:rPr>
              <w:t>No Target Set</w:t>
            </w:r>
          </w:p>
        </w:tc>
        <w:tc>
          <w:tcPr>
            <w:tcW w:w="1564" w:type="dxa"/>
            <w:tcBorders>
              <w:left w:val="nil"/>
              <w:right w:val="nil"/>
            </w:tcBorders>
            <w:shd w:val="clear" w:color="auto" w:fill="D5EEE0" w:themeFill="accent6" w:themeFillTint="33"/>
          </w:tcPr>
          <w:p w:rsidR="00C8187B" w:rsidRPr="00C462A7" w:rsidRDefault="00C8187B" w:rsidP="00C8187B">
            <w:pPr>
              <w:rPr>
                <w:sz w:val="20"/>
                <w:szCs w:val="20"/>
              </w:rPr>
            </w:pPr>
            <w:r w:rsidRPr="007B7782">
              <w:rPr>
                <w:sz w:val="20"/>
                <w:szCs w:val="20"/>
              </w:rPr>
              <w:t>No Target Set</w:t>
            </w:r>
          </w:p>
        </w:tc>
        <w:tc>
          <w:tcPr>
            <w:tcW w:w="1370" w:type="dxa"/>
            <w:tcBorders>
              <w:left w:val="nil"/>
              <w:right w:val="nil"/>
            </w:tcBorders>
            <w:shd w:val="clear" w:color="auto" w:fill="D5EEE0" w:themeFill="accent6" w:themeFillTint="33"/>
          </w:tcPr>
          <w:p w:rsidR="00C8187B" w:rsidRPr="00C462A7" w:rsidRDefault="00C8187B" w:rsidP="00C8187B">
            <w:pPr>
              <w:rPr>
                <w:sz w:val="20"/>
                <w:szCs w:val="20"/>
              </w:rPr>
            </w:pPr>
            <w:r w:rsidRPr="007B7782">
              <w:rPr>
                <w:sz w:val="20"/>
                <w:szCs w:val="20"/>
              </w:rPr>
              <w:t xml:space="preserve">No target set </w:t>
            </w:r>
          </w:p>
        </w:tc>
        <w:tc>
          <w:tcPr>
            <w:tcW w:w="1749" w:type="dxa"/>
            <w:tcBorders>
              <w:left w:val="nil"/>
              <w:right w:val="nil"/>
            </w:tcBorders>
            <w:shd w:val="clear" w:color="auto" w:fill="D5EEE0" w:themeFill="accent6" w:themeFillTint="33"/>
          </w:tcPr>
          <w:p w:rsidR="00C8187B" w:rsidRPr="00C462A7" w:rsidRDefault="00C8187B" w:rsidP="00C8187B">
            <w:pPr>
              <w:rPr>
                <w:sz w:val="20"/>
                <w:szCs w:val="20"/>
              </w:rPr>
            </w:pPr>
            <w:r w:rsidRPr="007B7782">
              <w:rPr>
                <w:sz w:val="20"/>
                <w:szCs w:val="20"/>
              </w:rPr>
              <w:t>USD 1.2m</w:t>
            </w:r>
          </w:p>
        </w:tc>
        <w:tc>
          <w:tcPr>
            <w:tcW w:w="2127" w:type="dxa"/>
            <w:tcBorders>
              <w:left w:val="nil"/>
              <w:right w:val="single" w:sz="4" w:space="0" w:color="auto"/>
            </w:tcBorders>
            <w:shd w:val="clear" w:color="auto" w:fill="D5EEE0" w:themeFill="accent6" w:themeFillTint="33"/>
          </w:tcPr>
          <w:p w:rsidR="00C8187B" w:rsidRPr="00C462A7" w:rsidRDefault="00C8187B" w:rsidP="00C8187B">
            <w:pPr>
              <w:rPr>
                <w:sz w:val="20"/>
                <w:szCs w:val="20"/>
              </w:rPr>
            </w:pPr>
            <w:r w:rsidRPr="007B7782">
              <w:rPr>
                <w:sz w:val="20"/>
                <w:szCs w:val="20"/>
              </w:rPr>
              <w:t>USD 4.2m</w:t>
            </w:r>
          </w:p>
        </w:tc>
      </w:tr>
    </w:tbl>
    <w:p w:rsidR="000424ED" w:rsidRDefault="000424ED" w:rsidP="000424ED">
      <w:pPr>
        <w:rPr>
          <w:b/>
        </w:rPr>
      </w:pPr>
    </w:p>
    <w:p w:rsidR="00AF766C" w:rsidRDefault="00AF766C" w:rsidP="000424ED">
      <w:pPr>
        <w:rPr>
          <w:b/>
        </w:rPr>
      </w:pPr>
    </w:p>
    <w:p w:rsidR="00AF766C" w:rsidRPr="00C462A7" w:rsidRDefault="00AF766C" w:rsidP="000424ED">
      <w:pPr>
        <w:rPr>
          <w:b/>
        </w:rPr>
        <w:sectPr w:rsidR="00AF766C" w:rsidRPr="00C462A7" w:rsidSect="00A3623F">
          <w:headerReference w:type="even" r:id="rId30"/>
          <w:headerReference w:type="default" r:id="rId31"/>
          <w:headerReference w:type="first" r:id="rId32"/>
          <w:footerReference w:type="first" r:id="rId33"/>
          <w:pgSz w:w="16838" w:h="11906" w:orient="landscape"/>
          <w:pgMar w:top="1440" w:right="1245" w:bottom="1440" w:left="1440" w:header="708" w:footer="708" w:gutter="0"/>
          <w:cols w:space="708"/>
          <w:docGrid w:linePitch="360"/>
        </w:sectPr>
      </w:pPr>
    </w:p>
    <w:tbl>
      <w:tblPr>
        <w:tblStyle w:val="TableGrid"/>
        <w:tblW w:w="13892" w:type="dxa"/>
        <w:tblInd w:w="562" w:type="dxa"/>
        <w:tblBorders>
          <w:left w:val="none" w:sz="0" w:space="0" w:color="auto"/>
          <w:right w:val="none" w:sz="0" w:space="0" w:color="auto"/>
        </w:tblBorders>
        <w:tblLayout w:type="fixed"/>
        <w:tblLook w:val="04A0" w:firstRow="1" w:lastRow="0" w:firstColumn="1" w:lastColumn="0" w:noHBand="0" w:noVBand="1"/>
      </w:tblPr>
      <w:tblGrid>
        <w:gridCol w:w="1883"/>
        <w:gridCol w:w="3220"/>
        <w:gridCol w:w="1701"/>
        <w:gridCol w:w="1842"/>
        <w:gridCol w:w="1701"/>
        <w:gridCol w:w="1701"/>
        <w:gridCol w:w="236"/>
        <w:gridCol w:w="1608"/>
      </w:tblGrid>
      <w:tr w:rsidR="000424ED" w:rsidRPr="00C462A7" w:rsidTr="00686515">
        <w:tc>
          <w:tcPr>
            <w:tcW w:w="1883" w:type="dxa"/>
            <w:tcBorders>
              <w:left w:val="single" w:sz="4" w:space="0" w:color="auto"/>
              <w:right w:val="nil"/>
            </w:tcBorders>
            <w:shd w:val="clear" w:color="auto" w:fill="D7DEE2" w:themeFill="text2" w:themeFillTint="33"/>
          </w:tcPr>
          <w:p w:rsidR="000424ED" w:rsidRPr="00C462A7" w:rsidRDefault="000424ED" w:rsidP="00441FA9">
            <w:pPr>
              <w:ind w:left="38"/>
              <w:rPr>
                <w:b/>
                <w:sz w:val="20"/>
                <w:szCs w:val="20"/>
              </w:rPr>
            </w:pPr>
            <w:r w:rsidRPr="00C462A7">
              <w:rPr>
                <w:b/>
                <w:sz w:val="20"/>
                <w:szCs w:val="20"/>
              </w:rPr>
              <w:lastRenderedPageBreak/>
              <w:t>Intermediate Outcome</w:t>
            </w:r>
          </w:p>
        </w:tc>
        <w:tc>
          <w:tcPr>
            <w:tcW w:w="3220" w:type="dxa"/>
            <w:tcBorders>
              <w:left w:val="nil"/>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t>Indicator</w:t>
            </w:r>
          </w:p>
        </w:tc>
        <w:tc>
          <w:tcPr>
            <w:tcW w:w="1701" w:type="dxa"/>
            <w:tcBorders>
              <w:left w:val="nil"/>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t>2015/16 Targets</w:t>
            </w:r>
          </w:p>
        </w:tc>
        <w:tc>
          <w:tcPr>
            <w:tcW w:w="1842" w:type="dxa"/>
            <w:tcBorders>
              <w:left w:val="nil"/>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t>2016/17 Targets</w:t>
            </w:r>
          </w:p>
        </w:tc>
        <w:tc>
          <w:tcPr>
            <w:tcW w:w="1701" w:type="dxa"/>
            <w:tcBorders>
              <w:left w:val="nil"/>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t>2017/18 Targets</w:t>
            </w:r>
          </w:p>
        </w:tc>
        <w:tc>
          <w:tcPr>
            <w:tcW w:w="1937" w:type="dxa"/>
            <w:gridSpan w:val="2"/>
            <w:tcBorders>
              <w:left w:val="nil"/>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t>2018/19 Targets</w:t>
            </w:r>
          </w:p>
        </w:tc>
        <w:tc>
          <w:tcPr>
            <w:tcW w:w="1608" w:type="dxa"/>
            <w:tcBorders>
              <w:left w:val="nil"/>
              <w:right w:val="single" w:sz="4" w:space="0" w:color="auto"/>
            </w:tcBorders>
            <w:shd w:val="clear" w:color="auto" w:fill="D7DEE2" w:themeFill="text2" w:themeFillTint="33"/>
          </w:tcPr>
          <w:p w:rsidR="000424ED" w:rsidRPr="00C462A7" w:rsidRDefault="00F956F1" w:rsidP="00260844">
            <w:pPr>
              <w:rPr>
                <w:b/>
                <w:sz w:val="20"/>
                <w:szCs w:val="20"/>
              </w:rPr>
            </w:pPr>
            <w:r>
              <w:rPr>
                <w:b/>
                <w:sz w:val="20"/>
                <w:szCs w:val="20"/>
              </w:rPr>
              <w:t>2019/</w:t>
            </w:r>
            <w:r w:rsidR="000424ED" w:rsidRPr="00C462A7">
              <w:rPr>
                <w:b/>
                <w:sz w:val="20"/>
                <w:szCs w:val="20"/>
              </w:rPr>
              <w:t>20 Targets</w:t>
            </w:r>
          </w:p>
        </w:tc>
      </w:tr>
      <w:tr w:rsidR="000424ED" w:rsidRPr="00C462A7" w:rsidTr="00686515">
        <w:tc>
          <w:tcPr>
            <w:tcW w:w="13892" w:type="dxa"/>
            <w:gridSpan w:val="8"/>
            <w:tcBorders>
              <w:left w:val="single" w:sz="4" w:space="0" w:color="auto"/>
              <w:right w:val="single" w:sz="4" w:space="0" w:color="auto"/>
            </w:tcBorders>
            <w:shd w:val="clear" w:color="auto" w:fill="EEF5E7" w:themeFill="accent3" w:themeFillTint="33"/>
          </w:tcPr>
          <w:p w:rsidR="000424ED" w:rsidRPr="00C462A7" w:rsidRDefault="000424ED" w:rsidP="00260844">
            <w:pPr>
              <w:rPr>
                <w:b/>
                <w:u w:val="single"/>
              </w:rPr>
            </w:pPr>
            <w:r w:rsidRPr="00C462A7">
              <w:rPr>
                <w:b/>
              </w:rPr>
              <w:t>Objective 2: Assisting the development and employment of a highly skilled workforce</w:t>
            </w:r>
          </w:p>
        </w:tc>
      </w:tr>
      <w:tr w:rsidR="000424ED" w:rsidRPr="00C462A7" w:rsidTr="00686515">
        <w:tc>
          <w:tcPr>
            <w:tcW w:w="1883" w:type="dxa"/>
            <w:tcBorders>
              <w:left w:val="single" w:sz="4" w:space="0" w:color="auto"/>
              <w:right w:val="nil"/>
            </w:tcBorders>
            <w:shd w:val="clear" w:color="auto" w:fill="EEF5E7" w:themeFill="accent3" w:themeFillTint="33"/>
          </w:tcPr>
          <w:p w:rsidR="000424ED" w:rsidRPr="00C462A7" w:rsidRDefault="00343C7E" w:rsidP="00343C7E">
            <w:pPr>
              <w:rPr>
                <w:b/>
                <w:sz w:val="20"/>
                <w:szCs w:val="20"/>
                <w:u w:val="single"/>
              </w:rPr>
            </w:pPr>
            <w:r>
              <w:rPr>
                <w:sz w:val="20"/>
                <w:szCs w:val="20"/>
              </w:rPr>
              <w:t>2.1</w:t>
            </w:r>
            <w:r w:rsidR="000424ED" w:rsidRPr="00C462A7">
              <w:rPr>
                <w:sz w:val="20"/>
                <w:szCs w:val="20"/>
              </w:rPr>
              <w:t xml:space="preserve"> Program participants use skills and knowledge to make positive contributions to priority areas</w:t>
            </w:r>
          </w:p>
        </w:tc>
        <w:tc>
          <w:tcPr>
            <w:tcW w:w="3220" w:type="dxa"/>
            <w:tcBorders>
              <w:left w:val="nil"/>
              <w:right w:val="nil"/>
            </w:tcBorders>
            <w:shd w:val="clear" w:color="auto" w:fill="EEF5E7" w:themeFill="accent3" w:themeFillTint="33"/>
          </w:tcPr>
          <w:p w:rsidR="000424ED" w:rsidRPr="00F4100E" w:rsidRDefault="00343C7E" w:rsidP="00343C7E">
            <w:pPr>
              <w:rPr>
                <w:sz w:val="20"/>
                <w:szCs w:val="20"/>
              </w:rPr>
            </w:pPr>
            <w:r>
              <w:rPr>
                <w:sz w:val="20"/>
                <w:szCs w:val="20"/>
              </w:rPr>
              <w:t>2.1.1</w:t>
            </w:r>
            <w:r w:rsidR="000424ED" w:rsidRPr="00C462A7">
              <w:rPr>
                <w:sz w:val="20"/>
                <w:szCs w:val="20"/>
              </w:rPr>
              <w:t xml:space="preserve">  </w:t>
            </w:r>
            <w:r w:rsidR="000424ED" w:rsidRPr="00F4100E">
              <w:rPr>
                <w:sz w:val="20"/>
                <w:szCs w:val="20"/>
              </w:rPr>
              <w:t xml:space="preserve">Percentage of program participants demonstrating positive contributions to priority areas </w:t>
            </w:r>
          </w:p>
        </w:tc>
        <w:tc>
          <w:tcPr>
            <w:tcW w:w="1701" w:type="dxa"/>
            <w:tcBorders>
              <w:left w:val="nil"/>
              <w:right w:val="nil"/>
            </w:tcBorders>
            <w:shd w:val="clear" w:color="auto" w:fill="EEF5E7" w:themeFill="accent3" w:themeFillTint="33"/>
          </w:tcPr>
          <w:p w:rsidR="000424ED" w:rsidRPr="00C462A7" w:rsidRDefault="000424ED" w:rsidP="00260844">
            <w:pPr>
              <w:rPr>
                <w:sz w:val="20"/>
                <w:szCs w:val="20"/>
              </w:rPr>
            </w:pPr>
            <w:r w:rsidRPr="00C462A7">
              <w:rPr>
                <w:sz w:val="20"/>
                <w:szCs w:val="20"/>
              </w:rPr>
              <w:t xml:space="preserve">75 per cent of alumni employed in position relevant to award skills after </w:t>
            </w:r>
            <w:r w:rsidR="004B47BD">
              <w:rPr>
                <w:sz w:val="20"/>
                <w:szCs w:val="20"/>
              </w:rPr>
              <w:t>three</w:t>
            </w:r>
            <w:r w:rsidRPr="00C462A7">
              <w:rPr>
                <w:sz w:val="20"/>
                <w:szCs w:val="20"/>
              </w:rPr>
              <w:t xml:space="preserve"> years</w:t>
            </w:r>
          </w:p>
        </w:tc>
        <w:tc>
          <w:tcPr>
            <w:tcW w:w="1842" w:type="dxa"/>
            <w:tcBorders>
              <w:left w:val="nil"/>
              <w:right w:val="nil"/>
            </w:tcBorders>
            <w:shd w:val="clear" w:color="auto" w:fill="EEF5E7" w:themeFill="accent3" w:themeFillTint="33"/>
          </w:tcPr>
          <w:p w:rsidR="000424ED" w:rsidRPr="00C462A7" w:rsidRDefault="000424ED" w:rsidP="00260844">
            <w:pPr>
              <w:rPr>
                <w:sz w:val="20"/>
                <w:szCs w:val="20"/>
              </w:rPr>
            </w:pPr>
            <w:r w:rsidRPr="00C462A7">
              <w:rPr>
                <w:sz w:val="20"/>
                <w:szCs w:val="20"/>
              </w:rPr>
              <w:t>75 per cent of program participants demonstrating positive contributions to priority areas</w:t>
            </w:r>
          </w:p>
        </w:tc>
        <w:tc>
          <w:tcPr>
            <w:tcW w:w="1701" w:type="dxa"/>
            <w:tcBorders>
              <w:left w:val="nil"/>
              <w:right w:val="nil"/>
            </w:tcBorders>
            <w:shd w:val="clear" w:color="auto" w:fill="EEF5E7" w:themeFill="accent3" w:themeFillTint="33"/>
          </w:tcPr>
          <w:p w:rsidR="000424ED" w:rsidRPr="00C462A7" w:rsidRDefault="000424ED" w:rsidP="00260844">
            <w:pPr>
              <w:rPr>
                <w:sz w:val="20"/>
                <w:szCs w:val="20"/>
              </w:rPr>
            </w:pPr>
            <w:r w:rsidRPr="00C462A7">
              <w:rPr>
                <w:sz w:val="20"/>
                <w:szCs w:val="20"/>
              </w:rPr>
              <w:t>80 per cent of program participants demonstrating positive contributions to priority areas</w:t>
            </w:r>
          </w:p>
        </w:tc>
        <w:tc>
          <w:tcPr>
            <w:tcW w:w="1701" w:type="dxa"/>
            <w:tcBorders>
              <w:left w:val="nil"/>
              <w:right w:val="nil"/>
            </w:tcBorders>
            <w:shd w:val="clear" w:color="auto" w:fill="EEF5E7" w:themeFill="accent3" w:themeFillTint="33"/>
          </w:tcPr>
          <w:p w:rsidR="000424ED" w:rsidRPr="00C462A7" w:rsidRDefault="000424ED" w:rsidP="00260844">
            <w:pPr>
              <w:rPr>
                <w:sz w:val="20"/>
                <w:szCs w:val="20"/>
              </w:rPr>
            </w:pPr>
            <w:r w:rsidRPr="00C462A7">
              <w:rPr>
                <w:sz w:val="20"/>
                <w:szCs w:val="20"/>
              </w:rPr>
              <w:t>80 per cent of program participants demonstrating positive contributions to priority areas</w:t>
            </w:r>
          </w:p>
        </w:tc>
        <w:tc>
          <w:tcPr>
            <w:tcW w:w="1844" w:type="dxa"/>
            <w:gridSpan w:val="2"/>
            <w:tcBorders>
              <w:left w:val="nil"/>
              <w:right w:val="single" w:sz="4" w:space="0" w:color="auto"/>
            </w:tcBorders>
            <w:shd w:val="clear" w:color="auto" w:fill="EEF5E7" w:themeFill="accent3" w:themeFillTint="33"/>
          </w:tcPr>
          <w:p w:rsidR="000424ED" w:rsidRPr="00C462A7" w:rsidRDefault="000424ED" w:rsidP="00260844">
            <w:pPr>
              <w:rPr>
                <w:sz w:val="20"/>
                <w:szCs w:val="20"/>
              </w:rPr>
            </w:pPr>
            <w:r w:rsidRPr="00C462A7">
              <w:rPr>
                <w:sz w:val="20"/>
                <w:szCs w:val="20"/>
              </w:rPr>
              <w:t>85 per cent of program participants demonstrating positive contributions to priority areas</w:t>
            </w:r>
          </w:p>
        </w:tc>
      </w:tr>
      <w:tr w:rsidR="000424ED" w:rsidRPr="00C462A7" w:rsidTr="00686515">
        <w:tc>
          <w:tcPr>
            <w:tcW w:w="1883" w:type="dxa"/>
            <w:tcBorders>
              <w:left w:val="single" w:sz="4" w:space="0" w:color="auto"/>
              <w:bottom w:val="single" w:sz="4" w:space="0" w:color="auto"/>
              <w:right w:val="nil"/>
            </w:tcBorders>
            <w:shd w:val="clear" w:color="auto" w:fill="EEF5E7" w:themeFill="accent3" w:themeFillTint="33"/>
          </w:tcPr>
          <w:p w:rsidR="000424ED" w:rsidRPr="00C462A7" w:rsidRDefault="00343C7E" w:rsidP="00260844">
            <w:pPr>
              <w:rPr>
                <w:b/>
                <w:sz w:val="20"/>
                <w:szCs w:val="20"/>
                <w:u w:val="single"/>
              </w:rPr>
            </w:pPr>
            <w:r>
              <w:rPr>
                <w:sz w:val="20"/>
                <w:szCs w:val="20"/>
              </w:rPr>
              <w:t>2.2</w:t>
            </w:r>
            <w:r w:rsidR="000424ED" w:rsidRPr="00C462A7">
              <w:rPr>
                <w:sz w:val="20"/>
                <w:szCs w:val="20"/>
              </w:rPr>
              <w:t xml:space="preserve"> Stronger workplace enabling environments for improved skill utilisation in priority areas</w:t>
            </w:r>
          </w:p>
        </w:tc>
        <w:tc>
          <w:tcPr>
            <w:tcW w:w="3220" w:type="dxa"/>
            <w:tcBorders>
              <w:left w:val="nil"/>
              <w:bottom w:val="single" w:sz="4" w:space="0" w:color="auto"/>
              <w:right w:val="nil"/>
            </w:tcBorders>
            <w:shd w:val="clear" w:color="auto" w:fill="EEF5E7" w:themeFill="accent3" w:themeFillTint="33"/>
          </w:tcPr>
          <w:p w:rsidR="000424ED" w:rsidRPr="00F4100E" w:rsidRDefault="00343C7E" w:rsidP="00260844">
            <w:pPr>
              <w:rPr>
                <w:sz w:val="20"/>
                <w:szCs w:val="20"/>
              </w:rPr>
            </w:pPr>
            <w:r>
              <w:rPr>
                <w:sz w:val="20"/>
                <w:szCs w:val="20"/>
              </w:rPr>
              <w:t>2.2.1</w:t>
            </w:r>
            <w:r w:rsidR="000424ED" w:rsidRPr="00C462A7">
              <w:rPr>
                <w:sz w:val="20"/>
                <w:szCs w:val="20"/>
              </w:rPr>
              <w:t xml:space="preserve">  </w:t>
            </w:r>
            <w:r w:rsidR="000424ED" w:rsidRPr="00F4100E">
              <w:rPr>
                <w:sz w:val="20"/>
                <w:szCs w:val="20"/>
              </w:rPr>
              <w:t>Increase in number of improved skills utili</w:t>
            </w:r>
            <w:r w:rsidR="000C5481">
              <w:rPr>
                <w:sz w:val="20"/>
                <w:szCs w:val="20"/>
              </w:rPr>
              <w:t>s</w:t>
            </w:r>
            <w:r w:rsidR="000424ED" w:rsidRPr="00F4100E">
              <w:rPr>
                <w:sz w:val="20"/>
                <w:szCs w:val="20"/>
              </w:rPr>
              <w:t xml:space="preserve">ation practices implemented on an ongoing basis in targeted work units </w:t>
            </w:r>
          </w:p>
          <w:p w:rsidR="000424ED" w:rsidRPr="00F4100E" w:rsidRDefault="000424ED" w:rsidP="00260844">
            <w:pPr>
              <w:rPr>
                <w:sz w:val="20"/>
                <w:szCs w:val="20"/>
              </w:rPr>
            </w:pPr>
          </w:p>
        </w:tc>
        <w:tc>
          <w:tcPr>
            <w:tcW w:w="1701" w:type="dxa"/>
            <w:tcBorders>
              <w:left w:val="nil"/>
              <w:bottom w:val="single" w:sz="4" w:space="0" w:color="auto"/>
              <w:right w:val="nil"/>
            </w:tcBorders>
            <w:shd w:val="clear" w:color="auto" w:fill="EEF5E7" w:themeFill="accent3" w:themeFillTint="33"/>
          </w:tcPr>
          <w:p w:rsidR="000424ED" w:rsidRPr="00C462A7" w:rsidRDefault="000424ED" w:rsidP="00260844">
            <w:pPr>
              <w:rPr>
                <w:sz w:val="20"/>
                <w:szCs w:val="20"/>
              </w:rPr>
            </w:pPr>
            <w:r w:rsidRPr="00C462A7">
              <w:rPr>
                <w:sz w:val="20"/>
                <w:szCs w:val="20"/>
              </w:rPr>
              <w:t>Human resource development scoping work undertaken</w:t>
            </w:r>
          </w:p>
        </w:tc>
        <w:tc>
          <w:tcPr>
            <w:tcW w:w="1842" w:type="dxa"/>
            <w:tcBorders>
              <w:left w:val="nil"/>
              <w:bottom w:val="single" w:sz="4" w:space="0" w:color="auto"/>
              <w:right w:val="nil"/>
            </w:tcBorders>
            <w:shd w:val="clear" w:color="auto" w:fill="EEF5E7" w:themeFill="accent3" w:themeFillTint="33"/>
          </w:tcPr>
          <w:p w:rsidR="000424ED" w:rsidRPr="00C462A7" w:rsidRDefault="000424ED" w:rsidP="00260844">
            <w:pPr>
              <w:rPr>
                <w:sz w:val="20"/>
                <w:szCs w:val="20"/>
              </w:rPr>
            </w:pPr>
            <w:r w:rsidRPr="00C462A7">
              <w:rPr>
                <w:sz w:val="20"/>
                <w:szCs w:val="20"/>
              </w:rPr>
              <w:t xml:space="preserve">Project Inception phase commenced </w:t>
            </w:r>
          </w:p>
        </w:tc>
        <w:tc>
          <w:tcPr>
            <w:tcW w:w="1701" w:type="dxa"/>
            <w:tcBorders>
              <w:left w:val="nil"/>
              <w:bottom w:val="single" w:sz="4" w:space="0" w:color="auto"/>
              <w:right w:val="nil"/>
            </w:tcBorders>
            <w:shd w:val="clear" w:color="auto" w:fill="EEF5E7" w:themeFill="accent3" w:themeFillTint="33"/>
          </w:tcPr>
          <w:p w:rsidR="000424ED" w:rsidRPr="00C462A7" w:rsidRDefault="000424ED" w:rsidP="00260844">
            <w:pPr>
              <w:rPr>
                <w:sz w:val="20"/>
                <w:szCs w:val="20"/>
                <w:u w:val="single"/>
              </w:rPr>
            </w:pPr>
            <w:r w:rsidRPr="00C462A7">
              <w:rPr>
                <w:rStyle w:val="Strong"/>
                <w:b w:val="0"/>
                <w:sz w:val="20"/>
                <w:szCs w:val="20"/>
              </w:rPr>
              <w:t>Baseline established by Jun</w:t>
            </w:r>
            <w:r w:rsidR="00E923D0">
              <w:rPr>
                <w:rStyle w:val="Strong"/>
                <w:b w:val="0"/>
                <w:sz w:val="20"/>
                <w:szCs w:val="20"/>
              </w:rPr>
              <w:t>e</w:t>
            </w:r>
            <w:r w:rsidRPr="00C462A7">
              <w:rPr>
                <w:rStyle w:val="Strong"/>
                <w:b w:val="0"/>
                <w:sz w:val="20"/>
                <w:szCs w:val="20"/>
              </w:rPr>
              <w:t xml:space="preserve"> 2018</w:t>
            </w:r>
          </w:p>
        </w:tc>
        <w:tc>
          <w:tcPr>
            <w:tcW w:w="1701" w:type="dxa"/>
            <w:tcBorders>
              <w:left w:val="nil"/>
              <w:bottom w:val="single" w:sz="4" w:space="0" w:color="auto"/>
              <w:right w:val="nil"/>
            </w:tcBorders>
            <w:shd w:val="clear" w:color="auto" w:fill="EEF5E7" w:themeFill="accent3" w:themeFillTint="33"/>
          </w:tcPr>
          <w:p w:rsidR="000424ED" w:rsidRPr="00C462A7" w:rsidRDefault="000424ED" w:rsidP="00AB154C">
            <w:pPr>
              <w:rPr>
                <w:b/>
                <w:sz w:val="20"/>
                <w:szCs w:val="20"/>
                <w:u w:val="single"/>
              </w:rPr>
            </w:pPr>
            <w:r w:rsidRPr="00C462A7">
              <w:rPr>
                <w:rStyle w:val="Strong"/>
                <w:b w:val="0"/>
                <w:sz w:val="20"/>
                <w:szCs w:val="20"/>
              </w:rPr>
              <w:t xml:space="preserve">Increase in number of improved </w:t>
            </w:r>
            <w:r w:rsidR="00AB154C">
              <w:rPr>
                <w:rStyle w:val="Strong"/>
                <w:b w:val="0"/>
                <w:sz w:val="20"/>
                <w:szCs w:val="20"/>
              </w:rPr>
              <w:t>skills utili</w:t>
            </w:r>
            <w:r w:rsidR="000C5481">
              <w:rPr>
                <w:rStyle w:val="Strong"/>
                <w:b w:val="0"/>
                <w:sz w:val="20"/>
                <w:szCs w:val="20"/>
              </w:rPr>
              <w:t>s</w:t>
            </w:r>
            <w:r w:rsidR="00AB154C">
              <w:rPr>
                <w:rStyle w:val="Strong"/>
                <w:b w:val="0"/>
                <w:sz w:val="20"/>
                <w:szCs w:val="20"/>
              </w:rPr>
              <w:t>ation</w:t>
            </w:r>
            <w:r w:rsidRPr="00C462A7">
              <w:rPr>
                <w:rStyle w:val="Strong"/>
                <w:b w:val="0"/>
                <w:sz w:val="20"/>
                <w:szCs w:val="20"/>
              </w:rPr>
              <w:t xml:space="preserve"> practices implemented on an ongoing basis in targeted work </w:t>
            </w:r>
            <w:r>
              <w:rPr>
                <w:rStyle w:val="Strong"/>
                <w:b w:val="0"/>
                <w:sz w:val="20"/>
                <w:szCs w:val="20"/>
              </w:rPr>
              <w:t>units</w:t>
            </w:r>
            <w:r w:rsidRPr="00C462A7">
              <w:rPr>
                <w:rStyle w:val="Strong"/>
                <w:b w:val="0"/>
                <w:sz w:val="20"/>
                <w:szCs w:val="20"/>
              </w:rPr>
              <w:t xml:space="preserve"> (</w:t>
            </w:r>
            <w:r>
              <w:rPr>
                <w:rStyle w:val="Strong"/>
                <w:b w:val="0"/>
                <w:sz w:val="20"/>
                <w:szCs w:val="20"/>
              </w:rPr>
              <w:t>10</w:t>
            </w:r>
            <w:r w:rsidRPr="00C462A7">
              <w:rPr>
                <w:rStyle w:val="Strong"/>
                <w:b w:val="0"/>
                <w:sz w:val="20"/>
                <w:szCs w:val="20"/>
              </w:rPr>
              <w:t>)</w:t>
            </w:r>
          </w:p>
        </w:tc>
        <w:tc>
          <w:tcPr>
            <w:tcW w:w="1844" w:type="dxa"/>
            <w:gridSpan w:val="2"/>
            <w:tcBorders>
              <w:left w:val="nil"/>
              <w:bottom w:val="single" w:sz="4" w:space="0" w:color="auto"/>
              <w:right w:val="single" w:sz="4" w:space="0" w:color="auto"/>
            </w:tcBorders>
            <w:shd w:val="clear" w:color="auto" w:fill="EEF5E7" w:themeFill="accent3" w:themeFillTint="33"/>
          </w:tcPr>
          <w:p w:rsidR="000424ED" w:rsidRPr="00C462A7" w:rsidRDefault="000424ED" w:rsidP="00260844">
            <w:pPr>
              <w:rPr>
                <w:b/>
                <w:sz w:val="20"/>
                <w:szCs w:val="20"/>
                <w:u w:val="single"/>
              </w:rPr>
            </w:pPr>
            <w:r w:rsidRPr="00C462A7">
              <w:rPr>
                <w:rStyle w:val="Strong"/>
                <w:b w:val="0"/>
                <w:sz w:val="20"/>
                <w:szCs w:val="20"/>
              </w:rPr>
              <w:t xml:space="preserve">Increase in number of improved </w:t>
            </w:r>
            <w:r w:rsidR="00AB154C">
              <w:rPr>
                <w:rStyle w:val="Strong"/>
                <w:b w:val="0"/>
                <w:sz w:val="20"/>
                <w:szCs w:val="20"/>
              </w:rPr>
              <w:t>skills utili</w:t>
            </w:r>
            <w:r w:rsidR="000C5481">
              <w:rPr>
                <w:rStyle w:val="Strong"/>
                <w:b w:val="0"/>
                <w:sz w:val="20"/>
                <w:szCs w:val="20"/>
              </w:rPr>
              <w:t>s</w:t>
            </w:r>
            <w:r w:rsidR="00AB154C">
              <w:rPr>
                <w:rStyle w:val="Strong"/>
                <w:b w:val="0"/>
                <w:sz w:val="20"/>
                <w:szCs w:val="20"/>
              </w:rPr>
              <w:t>ation</w:t>
            </w:r>
            <w:r w:rsidR="00AB154C" w:rsidRPr="00C462A7">
              <w:rPr>
                <w:rStyle w:val="Strong"/>
                <w:b w:val="0"/>
                <w:sz w:val="20"/>
                <w:szCs w:val="20"/>
              </w:rPr>
              <w:t xml:space="preserve"> </w:t>
            </w:r>
            <w:r w:rsidRPr="00C462A7">
              <w:rPr>
                <w:rStyle w:val="Strong"/>
                <w:b w:val="0"/>
                <w:sz w:val="20"/>
                <w:szCs w:val="20"/>
              </w:rPr>
              <w:t xml:space="preserve">practices implemented on an ongoing basis in targeted work </w:t>
            </w:r>
            <w:r>
              <w:rPr>
                <w:rStyle w:val="Strong"/>
                <w:b w:val="0"/>
                <w:sz w:val="20"/>
                <w:szCs w:val="20"/>
              </w:rPr>
              <w:t>units</w:t>
            </w:r>
            <w:r w:rsidRPr="00C462A7">
              <w:rPr>
                <w:rStyle w:val="Strong"/>
                <w:b w:val="0"/>
                <w:sz w:val="20"/>
                <w:szCs w:val="20"/>
              </w:rPr>
              <w:t xml:space="preserve"> (</w:t>
            </w:r>
            <w:r>
              <w:rPr>
                <w:rStyle w:val="Strong"/>
                <w:b w:val="0"/>
                <w:sz w:val="20"/>
                <w:szCs w:val="20"/>
              </w:rPr>
              <w:t>20</w:t>
            </w:r>
            <w:r w:rsidRPr="00C462A7">
              <w:rPr>
                <w:rStyle w:val="Strong"/>
                <w:b w:val="0"/>
                <w:sz w:val="20"/>
                <w:szCs w:val="20"/>
              </w:rPr>
              <w:t>)</w:t>
            </w:r>
          </w:p>
        </w:tc>
      </w:tr>
    </w:tbl>
    <w:p w:rsidR="000424ED" w:rsidRPr="00C462A7" w:rsidRDefault="000424ED" w:rsidP="000424ED">
      <w:r w:rsidRPr="00C462A7">
        <w:br w:type="page"/>
      </w:r>
    </w:p>
    <w:tbl>
      <w:tblPr>
        <w:tblStyle w:val="TableGrid"/>
        <w:tblW w:w="13892" w:type="dxa"/>
        <w:tblInd w:w="562" w:type="dxa"/>
        <w:tblBorders>
          <w:left w:val="none" w:sz="0" w:space="0" w:color="auto"/>
          <w:right w:val="none" w:sz="0" w:space="0" w:color="auto"/>
        </w:tblBorders>
        <w:tblLayout w:type="fixed"/>
        <w:tblLook w:val="04A0" w:firstRow="1" w:lastRow="0" w:firstColumn="1" w:lastColumn="0" w:noHBand="0" w:noVBand="1"/>
      </w:tblPr>
      <w:tblGrid>
        <w:gridCol w:w="1462"/>
        <w:gridCol w:w="3500"/>
        <w:gridCol w:w="1814"/>
        <w:gridCol w:w="1842"/>
        <w:gridCol w:w="1588"/>
        <w:gridCol w:w="1814"/>
        <w:gridCol w:w="236"/>
        <w:gridCol w:w="1636"/>
      </w:tblGrid>
      <w:tr w:rsidR="000424ED" w:rsidRPr="00C462A7" w:rsidTr="00686515">
        <w:tc>
          <w:tcPr>
            <w:tcW w:w="1462" w:type="dxa"/>
            <w:tcBorders>
              <w:left w:val="single" w:sz="4" w:space="0" w:color="auto"/>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lastRenderedPageBreak/>
              <w:t>Intermediate Outcome</w:t>
            </w:r>
          </w:p>
        </w:tc>
        <w:tc>
          <w:tcPr>
            <w:tcW w:w="3500" w:type="dxa"/>
            <w:tcBorders>
              <w:left w:val="nil"/>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t>Indicator</w:t>
            </w:r>
          </w:p>
        </w:tc>
        <w:tc>
          <w:tcPr>
            <w:tcW w:w="1814" w:type="dxa"/>
            <w:tcBorders>
              <w:left w:val="nil"/>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t>2015/16 Targets</w:t>
            </w:r>
          </w:p>
        </w:tc>
        <w:tc>
          <w:tcPr>
            <w:tcW w:w="1842" w:type="dxa"/>
            <w:tcBorders>
              <w:left w:val="nil"/>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t>2016/17 Targets</w:t>
            </w:r>
          </w:p>
        </w:tc>
        <w:tc>
          <w:tcPr>
            <w:tcW w:w="1588" w:type="dxa"/>
            <w:tcBorders>
              <w:left w:val="nil"/>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t>2017/18 Targets</w:t>
            </w:r>
          </w:p>
        </w:tc>
        <w:tc>
          <w:tcPr>
            <w:tcW w:w="2050" w:type="dxa"/>
            <w:gridSpan w:val="2"/>
            <w:tcBorders>
              <w:left w:val="nil"/>
              <w:right w:val="nil"/>
            </w:tcBorders>
            <w:shd w:val="clear" w:color="auto" w:fill="D7DEE2" w:themeFill="text2" w:themeFillTint="33"/>
          </w:tcPr>
          <w:p w:rsidR="000424ED" w:rsidRPr="00C462A7" w:rsidRDefault="000424ED" w:rsidP="00260844">
            <w:pPr>
              <w:rPr>
                <w:b/>
                <w:sz w:val="20"/>
                <w:szCs w:val="20"/>
              </w:rPr>
            </w:pPr>
            <w:r w:rsidRPr="00C462A7">
              <w:rPr>
                <w:b/>
                <w:sz w:val="20"/>
                <w:szCs w:val="20"/>
              </w:rPr>
              <w:t>2018/19 Targets</w:t>
            </w:r>
          </w:p>
        </w:tc>
        <w:tc>
          <w:tcPr>
            <w:tcW w:w="1636" w:type="dxa"/>
            <w:tcBorders>
              <w:left w:val="nil"/>
              <w:right w:val="single" w:sz="4" w:space="0" w:color="auto"/>
            </w:tcBorders>
            <w:shd w:val="clear" w:color="auto" w:fill="D7DEE2" w:themeFill="text2" w:themeFillTint="33"/>
          </w:tcPr>
          <w:p w:rsidR="000424ED" w:rsidRPr="00C462A7" w:rsidRDefault="00F956F1" w:rsidP="00260844">
            <w:pPr>
              <w:rPr>
                <w:b/>
                <w:sz w:val="20"/>
                <w:szCs w:val="20"/>
              </w:rPr>
            </w:pPr>
            <w:r>
              <w:rPr>
                <w:b/>
                <w:sz w:val="20"/>
                <w:szCs w:val="20"/>
              </w:rPr>
              <w:t>2019/</w:t>
            </w:r>
            <w:r w:rsidR="000424ED" w:rsidRPr="00C462A7">
              <w:rPr>
                <w:b/>
                <w:sz w:val="20"/>
                <w:szCs w:val="20"/>
              </w:rPr>
              <w:t>20 Targets</w:t>
            </w:r>
          </w:p>
        </w:tc>
      </w:tr>
      <w:tr w:rsidR="000424ED" w:rsidRPr="00C462A7" w:rsidTr="00686515">
        <w:tc>
          <w:tcPr>
            <w:tcW w:w="13892" w:type="dxa"/>
            <w:gridSpan w:val="8"/>
            <w:tcBorders>
              <w:left w:val="single" w:sz="4" w:space="0" w:color="auto"/>
              <w:right w:val="single" w:sz="4" w:space="0" w:color="auto"/>
            </w:tcBorders>
            <w:shd w:val="clear" w:color="auto" w:fill="E0F3EF" w:themeFill="accent1" w:themeFillTint="33"/>
          </w:tcPr>
          <w:p w:rsidR="000424ED" w:rsidRPr="00C462A7" w:rsidRDefault="000424ED" w:rsidP="00260844">
            <w:pPr>
              <w:rPr>
                <w:b/>
                <w:u w:val="single"/>
              </w:rPr>
            </w:pPr>
            <w:r w:rsidRPr="00C462A7">
              <w:rPr>
                <w:b/>
              </w:rPr>
              <w:t>Objective 3: Promoting women’s economic empowerment, including ethnic minorities</w:t>
            </w:r>
          </w:p>
        </w:tc>
      </w:tr>
      <w:tr w:rsidR="00C8187B" w:rsidRPr="00C462A7" w:rsidTr="00686515">
        <w:tc>
          <w:tcPr>
            <w:tcW w:w="1462" w:type="dxa"/>
            <w:tcBorders>
              <w:left w:val="single" w:sz="4" w:space="0" w:color="auto"/>
              <w:right w:val="nil"/>
            </w:tcBorders>
            <w:shd w:val="clear" w:color="auto" w:fill="E0F3EF" w:themeFill="accent1" w:themeFillTint="33"/>
          </w:tcPr>
          <w:p w:rsidR="00C8187B" w:rsidRPr="00C462A7" w:rsidRDefault="00C8187B" w:rsidP="00C8187B">
            <w:pPr>
              <w:rPr>
                <w:sz w:val="20"/>
                <w:szCs w:val="20"/>
              </w:rPr>
            </w:pPr>
            <w:r>
              <w:rPr>
                <w:sz w:val="20"/>
                <w:szCs w:val="20"/>
              </w:rPr>
              <w:t>3.1</w:t>
            </w:r>
            <w:r w:rsidRPr="00C462A7">
              <w:rPr>
                <w:sz w:val="20"/>
                <w:szCs w:val="20"/>
              </w:rPr>
              <w:t>. Women are more economically secure</w:t>
            </w:r>
          </w:p>
        </w:tc>
        <w:tc>
          <w:tcPr>
            <w:tcW w:w="3500" w:type="dxa"/>
            <w:tcBorders>
              <w:left w:val="nil"/>
              <w:right w:val="nil"/>
            </w:tcBorders>
            <w:shd w:val="clear" w:color="auto" w:fill="E0F3EF" w:themeFill="accent1" w:themeFillTint="33"/>
          </w:tcPr>
          <w:p w:rsidR="00C8187B" w:rsidRPr="00C462A7" w:rsidRDefault="00C8187B" w:rsidP="00C8187B">
            <w:pPr>
              <w:rPr>
                <w:sz w:val="20"/>
                <w:szCs w:val="20"/>
              </w:rPr>
            </w:pPr>
            <w:r>
              <w:rPr>
                <w:sz w:val="20"/>
                <w:szCs w:val="20"/>
              </w:rPr>
              <w:t>3.1</w:t>
            </w:r>
            <w:r w:rsidRPr="00C462A7">
              <w:rPr>
                <w:sz w:val="20"/>
                <w:szCs w:val="20"/>
              </w:rPr>
              <w:t>.</w:t>
            </w:r>
            <w:r>
              <w:rPr>
                <w:sz w:val="20"/>
                <w:szCs w:val="20"/>
              </w:rPr>
              <w:t>1</w:t>
            </w:r>
            <w:r w:rsidRPr="00C462A7">
              <w:rPr>
                <w:sz w:val="20"/>
                <w:szCs w:val="20"/>
              </w:rPr>
              <w:t xml:space="preserve">  Number of households with increased incomes</w:t>
            </w:r>
          </w:p>
          <w:p w:rsidR="00C8187B" w:rsidRPr="00C462A7" w:rsidRDefault="00C8187B" w:rsidP="00C8187B">
            <w:pPr>
              <w:rPr>
                <w:sz w:val="20"/>
                <w:szCs w:val="20"/>
              </w:rPr>
            </w:pPr>
          </w:p>
        </w:tc>
        <w:tc>
          <w:tcPr>
            <w:tcW w:w="1814" w:type="dxa"/>
            <w:tcBorders>
              <w:left w:val="nil"/>
              <w:right w:val="nil"/>
            </w:tcBorders>
            <w:shd w:val="clear" w:color="auto" w:fill="E0F3EF" w:themeFill="accent1" w:themeFillTint="33"/>
          </w:tcPr>
          <w:p w:rsidR="00C8187B" w:rsidRPr="00C462A7" w:rsidRDefault="00C8187B" w:rsidP="00C8187B">
            <w:pPr>
              <w:rPr>
                <w:sz w:val="20"/>
                <w:szCs w:val="20"/>
              </w:rPr>
            </w:pPr>
            <w:r w:rsidRPr="007B7782">
              <w:rPr>
                <w:sz w:val="20"/>
                <w:szCs w:val="20"/>
              </w:rPr>
              <w:t>Investment concept developed</w:t>
            </w:r>
          </w:p>
        </w:tc>
        <w:tc>
          <w:tcPr>
            <w:tcW w:w="1842" w:type="dxa"/>
            <w:tcBorders>
              <w:left w:val="nil"/>
              <w:right w:val="nil"/>
            </w:tcBorders>
            <w:shd w:val="clear" w:color="auto" w:fill="E0F3EF" w:themeFill="accent1" w:themeFillTint="33"/>
          </w:tcPr>
          <w:p w:rsidR="00C8187B" w:rsidRPr="00C462A7" w:rsidRDefault="00C8187B" w:rsidP="00C8187B">
            <w:pPr>
              <w:rPr>
                <w:sz w:val="20"/>
                <w:szCs w:val="20"/>
              </w:rPr>
            </w:pPr>
            <w:r w:rsidRPr="007B7782">
              <w:rPr>
                <w:sz w:val="20"/>
                <w:szCs w:val="20"/>
              </w:rPr>
              <w:t>Mobilisation of program; inception phase; baseline established</w:t>
            </w:r>
          </w:p>
        </w:tc>
        <w:tc>
          <w:tcPr>
            <w:tcW w:w="1588" w:type="dxa"/>
            <w:tcBorders>
              <w:left w:val="nil"/>
              <w:right w:val="nil"/>
            </w:tcBorders>
            <w:shd w:val="clear" w:color="auto" w:fill="E0F3EF" w:themeFill="accent1" w:themeFillTint="33"/>
          </w:tcPr>
          <w:p w:rsidR="00404F8A" w:rsidRDefault="00C8187B" w:rsidP="00404F8A">
            <w:pPr>
              <w:rPr>
                <w:sz w:val="20"/>
                <w:szCs w:val="20"/>
              </w:rPr>
            </w:pPr>
            <w:r w:rsidRPr="007B7782">
              <w:rPr>
                <w:sz w:val="20"/>
                <w:szCs w:val="20"/>
              </w:rPr>
              <w:t>587 households trained on agricultural production, marketing and economic literacy</w:t>
            </w:r>
          </w:p>
          <w:p w:rsidR="00C8187B" w:rsidRPr="00C462A7" w:rsidRDefault="00C8187B" w:rsidP="00404F8A">
            <w:pPr>
              <w:rPr>
                <w:sz w:val="20"/>
                <w:szCs w:val="20"/>
              </w:rPr>
            </w:pPr>
            <w:r w:rsidRPr="007B7782">
              <w:rPr>
                <w:sz w:val="20"/>
                <w:szCs w:val="20"/>
              </w:rPr>
              <w:t xml:space="preserve">Women farmers who use advanced farming techniques have at least 15% </w:t>
            </w:r>
            <w:r w:rsidR="00404F8A">
              <w:rPr>
                <w:sz w:val="20"/>
                <w:szCs w:val="20"/>
              </w:rPr>
              <w:t>more income</w:t>
            </w:r>
          </w:p>
        </w:tc>
        <w:tc>
          <w:tcPr>
            <w:tcW w:w="1814" w:type="dxa"/>
            <w:tcBorders>
              <w:left w:val="nil"/>
              <w:right w:val="nil"/>
            </w:tcBorders>
            <w:shd w:val="clear" w:color="auto" w:fill="E0F3EF" w:themeFill="accent1" w:themeFillTint="33"/>
          </w:tcPr>
          <w:p w:rsidR="00C8187B" w:rsidRPr="007B7782" w:rsidRDefault="00C8187B" w:rsidP="00C8187B">
            <w:pPr>
              <w:rPr>
                <w:sz w:val="20"/>
                <w:szCs w:val="20"/>
              </w:rPr>
            </w:pPr>
            <w:r w:rsidRPr="007B7782">
              <w:rPr>
                <w:sz w:val="20"/>
                <w:szCs w:val="20"/>
              </w:rPr>
              <w:t>Two new contracts signed between farmer groups and processing companies</w:t>
            </w:r>
          </w:p>
          <w:p w:rsidR="00C8187B" w:rsidRPr="007B7782" w:rsidRDefault="00B82BA1" w:rsidP="00C8187B">
            <w:pPr>
              <w:rPr>
                <w:sz w:val="20"/>
                <w:szCs w:val="20"/>
              </w:rPr>
            </w:pPr>
            <w:r>
              <w:rPr>
                <w:sz w:val="20"/>
                <w:szCs w:val="20"/>
              </w:rPr>
              <w:t>1,750</w:t>
            </w:r>
            <w:r w:rsidR="00C8187B" w:rsidRPr="007B7782">
              <w:rPr>
                <w:sz w:val="20"/>
                <w:szCs w:val="20"/>
              </w:rPr>
              <w:t xml:space="preserve"> women report enhanced skills and stronger networks.</w:t>
            </w:r>
          </w:p>
          <w:p w:rsidR="00C8187B" w:rsidRPr="00C462A7" w:rsidRDefault="00B82BA1" w:rsidP="00C8187B">
            <w:pPr>
              <w:rPr>
                <w:sz w:val="20"/>
                <w:szCs w:val="20"/>
              </w:rPr>
            </w:pPr>
            <w:r>
              <w:rPr>
                <w:sz w:val="20"/>
                <w:szCs w:val="20"/>
              </w:rPr>
              <w:t xml:space="preserve">1,663 </w:t>
            </w:r>
            <w:r w:rsidR="00C8187B" w:rsidRPr="007B7782">
              <w:rPr>
                <w:sz w:val="20"/>
                <w:szCs w:val="20"/>
              </w:rPr>
              <w:t>women have better access to productive resources and inputs</w:t>
            </w:r>
          </w:p>
        </w:tc>
        <w:tc>
          <w:tcPr>
            <w:tcW w:w="1872" w:type="dxa"/>
            <w:gridSpan w:val="2"/>
            <w:tcBorders>
              <w:left w:val="nil"/>
              <w:right w:val="single" w:sz="4" w:space="0" w:color="auto"/>
            </w:tcBorders>
            <w:shd w:val="clear" w:color="auto" w:fill="E0F3EF" w:themeFill="accent1" w:themeFillTint="33"/>
          </w:tcPr>
          <w:p w:rsidR="00C8187B" w:rsidRPr="00C462A7" w:rsidRDefault="00C8187B" w:rsidP="00C8187B">
            <w:pPr>
              <w:rPr>
                <w:sz w:val="20"/>
                <w:szCs w:val="20"/>
              </w:rPr>
            </w:pPr>
            <w:r w:rsidRPr="007B7782">
              <w:rPr>
                <w:sz w:val="20"/>
                <w:szCs w:val="20"/>
              </w:rPr>
              <w:t>8,263 households have increased incomes through women’s improved economic engagement</w:t>
            </w:r>
          </w:p>
        </w:tc>
      </w:tr>
      <w:tr w:rsidR="00C8187B" w:rsidRPr="00C462A7" w:rsidTr="00686515">
        <w:tc>
          <w:tcPr>
            <w:tcW w:w="1462" w:type="dxa"/>
            <w:tcBorders>
              <w:left w:val="single" w:sz="4" w:space="0" w:color="auto"/>
              <w:right w:val="nil"/>
            </w:tcBorders>
            <w:shd w:val="clear" w:color="auto" w:fill="E0F3EF" w:themeFill="accent1" w:themeFillTint="33"/>
          </w:tcPr>
          <w:p w:rsidR="00C8187B" w:rsidRPr="00C462A7" w:rsidRDefault="00C8187B" w:rsidP="00C8187B">
            <w:pPr>
              <w:rPr>
                <w:sz w:val="20"/>
                <w:szCs w:val="20"/>
              </w:rPr>
            </w:pPr>
            <w:r>
              <w:rPr>
                <w:sz w:val="20"/>
                <w:szCs w:val="20"/>
              </w:rPr>
              <w:t>3.2</w:t>
            </w:r>
            <w:r w:rsidRPr="00C462A7">
              <w:rPr>
                <w:sz w:val="20"/>
                <w:szCs w:val="20"/>
              </w:rPr>
              <w:t>. Women influence decision-making in the family, the community, workplaces and businesses</w:t>
            </w:r>
          </w:p>
        </w:tc>
        <w:tc>
          <w:tcPr>
            <w:tcW w:w="3500" w:type="dxa"/>
            <w:tcBorders>
              <w:left w:val="nil"/>
              <w:right w:val="nil"/>
            </w:tcBorders>
            <w:shd w:val="clear" w:color="auto" w:fill="E0F3EF" w:themeFill="accent1" w:themeFillTint="33"/>
          </w:tcPr>
          <w:p w:rsidR="00C8187B" w:rsidRPr="00C462A7" w:rsidRDefault="00C8187B" w:rsidP="00C8187B">
            <w:pPr>
              <w:rPr>
                <w:sz w:val="20"/>
                <w:szCs w:val="20"/>
              </w:rPr>
            </w:pPr>
            <w:r>
              <w:rPr>
                <w:sz w:val="20"/>
                <w:szCs w:val="20"/>
              </w:rPr>
              <w:t>3.2.1</w:t>
            </w:r>
            <w:r w:rsidRPr="00C462A7">
              <w:rPr>
                <w:sz w:val="20"/>
                <w:szCs w:val="20"/>
              </w:rPr>
              <w:t xml:space="preserve">  Evidence that the interests of women and girls have influenced decisions at the local level </w:t>
            </w:r>
          </w:p>
        </w:tc>
        <w:tc>
          <w:tcPr>
            <w:tcW w:w="1814" w:type="dxa"/>
            <w:tcBorders>
              <w:left w:val="nil"/>
              <w:right w:val="nil"/>
            </w:tcBorders>
            <w:shd w:val="clear" w:color="auto" w:fill="E0F3EF" w:themeFill="accent1" w:themeFillTint="33"/>
          </w:tcPr>
          <w:p w:rsidR="00C8187B" w:rsidRPr="00C462A7" w:rsidRDefault="00C8187B" w:rsidP="00C8187B">
            <w:pPr>
              <w:rPr>
                <w:sz w:val="20"/>
                <w:szCs w:val="20"/>
              </w:rPr>
            </w:pPr>
            <w:r w:rsidRPr="007B7782">
              <w:rPr>
                <w:sz w:val="20"/>
                <w:szCs w:val="20"/>
              </w:rPr>
              <w:t>Investment concept developed</w:t>
            </w:r>
          </w:p>
        </w:tc>
        <w:tc>
          <w:tcPr>
            <w:tcW w:w="1842" w:type="dxa"/>
            <w:tcBorders>
              <w:left w:val="nil"/>
              <w:right w:val="nil"/>
            </w:tcBorders>
            <w:shd w:val="clear" w:color="auto" w:fill="E0F3EF" w:themeFill="accent1" w:themeFillTint="33"/>
          </w:tcPr>
          <w:p w:rsidR="00C8187B" w:rsidRPr="00C462A7" w:rsidRDefault="00C8187B" w:rsidP="00C8187B">
            <w:pPr>
              <w:rPr>
                <w:sz w:val="20"/>
                <w:szCs w:val="20"/>
              </w:rPr>
            </w:pPr>
            <w:r w:rsidRPr="007B7782">
              <w:rPr>
                <w:sz w:val="20"/>
                <w:szCs w:val="20"/>
              </w:rPr>
              <w:t xml:space="preserve">Detailed investment design completed </w:t>
            </w:r>
          </w:p>
        </w:tc>
        <w:tc>
          <w:tcPr>
            <w:tcW w:w="1588" w:type="dxa"/>
            <w:tcBorders>
              <w:left w:val="nil"/>
              <w:right w:val="nil"/>
            </w:tcBorders>
            <w:shd w:val="clear" w:color="auto" w:fill="E0F3EF" w:themeFill="accent1" w:themeFillTint="33"/>
          </w:tcPr>
          <w:p w:rsidR="00C8187B" w:rsidRPr="00C462A7" w:rsidRDefault="00C8187B" w:rsidP="00C8187B">
            <w:pPr>
              <w:rPr>
                <w:sz w:val="20"/>
                <w:szCs w:val="20"/>
              </w:rPr>
            </w:pPr>
            <w:r w:rsidRPr="007B7782">
              <w:rPr>
                <w:sz w:val="20"/>
                <w:szCs w:val="20"/>
              </w:rPr>
              <w:t xml:space="preserve">Investment design approved by </w:t>
            </w:r>
            <w:proofErr w:type="spellStart"/>
            <w:r w:rsidR="008D4FB4">
              <w:rPr>
                <w:sz w:val="20"/>
                <w:szCs w:val="20"/>
              </w:rPr>
              <w:t>GoV</w:t>
            </w:r>
            <w:proofErr w:type="spellEnd"/>
          </w:p>
        </w:tc>
        <w:tc>
          <w:tcPr>
            <w:tcW w:w="1814" w:type="dxa"/>
            <w:tcBorders>
              <w:left w:val="nil"/>
              <w:right w:val="nil"/>
            </w:tcBorders>
            <w:shd w:val="clear" w:color="auto" w:fill="E0F3EF" w:themeFill="accent1" w:themeFillTint="33"/>
          </w:tcPr>
          <w:p w:rsidR="00C8187B" w:rsidRPr="007B7782" w:rsidRDefault="00B91D34" w:rsidP="00C8187B">
            <w:pPr>
              <w:rPr>
                <w:sz w:val="20"/>
                <w:szCs w:val="20"/>
              </w:rPr>
            </w:pPr>
            <w:r w:rsidRPr="00B91D34">
              <w:rPr>
                <w:sz w:val="20"/>
                <w:szCs w:val="20"/>
              </w:rPr>
              <w:t>Longitudinal study that includes in-depth women</w:t>
            </w:r>
            <w:r w:rsidR="00B82BA1">
              <w:rPr>
                <w:sz w:val="20"/>
                <w:szCs w:val="20"/>
              </w:rPr>
              <w:t>’s</w:t>
            </w:r>
            <w:r w:rsidRPr="00B91D34">
              <w:rPr>
                <w:sz w:val="20"/>
                <w:szCs w:val="20"/>
              </w:rPr>
              <w:t xml:space="preserve"> economic empowerment analysis launched </w:t>
            </w:r>
            <w:r w:rsidR="00C8187B" w:rsidRPr="007B7782">
              <w:rPr>
                <w:sz w:val="20"/>
                <w:szCs w:val="20"/>
              </w:rPr>
              <w:t>in two provinces</w:t>
            </w:r>
          </w:p>
          <w:p w:rsidR="00C8187B" w:rsidRPr="00C462A7" w:rsidRDefault="00B82BA1" w:rsidP="00B82BA1">
            <w:pPr>
              <w:rPr>
                <w:sz w:val="20"/>
                <w:szCs w:val="20"/>
              </w:rPr>
            </w:pPr>
            <w:r w:rsidRPr="00B82BA1">
              <w:rPr>
                <w:sz w:val="20"/>
                <w:szCs w:val="20"/>
              </w:rPr>
              <w:t xml:space="preserve">All partnerships mainstream gender and </w:t>
            </w:r>
            <w:r>
              <w:rPr>
                <w:sz w:val="20"/>
                <w:szCs w:val="20"/>
              </w:rPr>
              <w:t>a</w:t>
            </w:r>
            <w:r w:rsidR="00404F8A">
              <w:rPr>
                <w:sz w:val="20"/>
                <w:szCs w:val="20"/>
              </w:rPr>
              <w:t xml:space="preserve">t least </w:t>
            </w:r>
            <w:r>
              <w:rPr>
                <w:sz w:val="20"/>
                <w:szCs w:val="20"/>
              </w:rPr>
              <w:t xml:space="preserve">three </w:t>
            </w:r>
            <w:r w:rsidR="00C8187B" w:rsidRPr="007B7782">
              <w:rPr>
                <w:sz w:val="20"/>
                <w:szCs w:val="20"/>
              </w:rPr>
              <w:t xml:space="preserve">partnerships prioritise work on </w:t>
            </w:r>
            <w:r w:rsidR="00404F8A">
              <w:rPr>
                <w:sz w:val="20"/>
                <w:szCs w:val="20"/>
              </w:rPr>
              <w:t>women’s agency</w:t>
            </w:r>
          </w:p>
        </w:tc>
        <w:tc>
          <w:tcPr>
            <w:tcW w:w="1872" w:type="dxa"/>
            <w:gridSpan w:val="2"/>
            <w:tcBorders>
              <w:left w:val="nil"/>
              <w:right w:val="single" w:sz="4" w:space="0" w:color="auto"/>
            </w:tcBorders>
            <w:shd w:val="clear" w:color="auto" w:fill="E0F3EF" w:themeFill="accent1" w:themeFillTint="33"/>
          </w:tcPr>
          <w:p w:rsidR="00C8187B" w:rsidRPr="00C462A7" w:rsidRDefault="00C8187B" w:rsidP="00C8187B">
            <w:pPr>
              <w:rPr>
                <w:sz w:val="20"/>
                <w:szCs w:val="20"/>
              </w:rPr>
            </w:pPr>
            <w:r w:rsidRPr="007B7782">
              <w:rPr>
                <w:sz w:val="20"/>
                <w:szCs w:val="20"/>
              </w:rPr>
              <w:t xml:space="preserve">Women report an increase in income, and control over </w:t>
            </w:r>
            <w:r w:rsidR="00404F8A">
              <w:rPr>
                <w:sz w:val="20"/>
                <w:szCs w:val="20"/>
              </w:rPr>
              <w:t>how it is spent</w:t>
            </w:r>
          </w:p>
        </w:tc>
      </w:tr>
    </w:tbl>
    <w:p w:rsidR="00404F8A" w:rsidRDefault="00404F8A"/>
    <w:tbl>
      <w:tblPr>
        <w:tblStyle w:val="TableGrid"/>
        <w:tblW w:w="13892" w:type="dxa"/>
        <w:tblInd w:w="562" w:type="dxa"/>
        <w:tblBorders>
          <w:left w:val="none" w:sz="0" w:space="0" w:color="auto"/>
          <w:right w:val="none" w:sz="0" w:space="0" w:color="auto"/>
        </w:tblBorders>
        <w:tblLayout w:type="fixed"/>
        <w:tblLook w:val="04A0" w:firstRow="1" w:lastRow="0" w:firstColumn="1" w:lastColumn="0" w:noHBand="0" w:noVBand="1"/>
      </w:tblPr>
      <w:tblGrid>
        <w:gridCol w:w="1462"/>
        <w:gridCol w:w="3613"/>
        <w:gridCol w:w="1701"/>
        <w:gridCol w:w="1842"/>
        <w:gridCol w:w="1701"/>
        <w:gridCol w:w="1701"/>
        <w:gridCol w:w="1872"/>
      </w:tblGrid>
      <w:tr w:rsidR="00C8187B" w:rsidRPr="00C462A7" w:rsidTr="00686515">
        <w:tc>
          <w:tcPr>
            <w:tcW w:w="1462" w:type="dxa"/>
            <w:tcBorders>
              <w:left w:val="single" w:sz="4" w:space="0" w:color="auto"/>
              <w:bottom w:val="single" w:sz="4" w:space="0" w:color="auto"/>
              <w:right w:val="nil"/>
            </w:tcBorders>
            <w:shd w:val="clear" w:color="auto" w:fill="E0F3EF" w:themeFill="accent1" w:themeFillTint="33"/>
          </w:tcPr>
          <w:p w:rsidR="00C8187B" w:rsidRPr="00C462A7" w:rsidRDefault="00C8187B" w:rsidP="00C8187B">
            <w:pPr>
              <w:rPr>
                <w:sz w:val="20"/>
                <w:szCs w:val="20"/>
              </w:rPr>
            </w:pPr>
          </w:p>
        </w:tc>
        <w:tc>
          <w:tcPr>
            <w:tcW w:w="3613" w:type="dxa"/>
            <w:tcBorders>
              <w:left w:val="nil"/>
              <w:bottom w:val="single" w:sz="4" w:space="0" w:color="auto"/>
              <w:right w:val="nil"/>
            </w:tcBorders>
            <w:shd w:val="clear" w:color="auto" w:fill="E0F3EF" w:themeFill="accent1" w:themeFillTint="33"/>
          </w:tcPr>
          <w:p w:rsidR="00C8187B" w:rsidRPr="00C462A7" w:rsidRDefault="00C8187B" w:rsidP="00C8187B">
            <w:pPr>
              <w:rPr>
                <w:sz w:val="20"/>
                <w:szCs w:val="20"/>
              </w:rPr>
            </w:pPr>
            <w:r>
              <w:rPr>
                <w:sz w:val="20"/>
                <w:szCs w:val="20"/>
              </w:rPr>
              <w:t>3.2.2</w:t>
            </w:r>
            <w:r w:rsidRPr="00C462A7">
              <w:rPr>
                <w:sz w:val="20"/>
                <w:szCs w:val="20"/>
              </w:rPr>
              <w:t xml:space="preserve">  Number of firms activ</w:t>
            </w:r>
            <w:r>
              <w:rPr>
                <w:sz w:val="20"/>
                <w:szCs w:val="20"/>
              </w:rPr>
              <w:t>ely implementing gender equity r</w:t>
            </w:r>
            <w:r w:rsidRPr="00C462A7">
              <w:rPr>
                <w:sz w:val="20"/>
                <w:szCs w:val="20"/>
              </w:rPr>
              <w:t>oadmap</w:t>
            </w:r>
          </w:p>
        </w:tc>
        <w:tc>
          <w:tcPr>
            <w:tcW w:w="1701" w:type="dxa"/>
            <w:tcBorders>
              <w:left w:val="nil"/>
              <w:bottom w:val="single" w:sz="4" w:space="0" w:color="auto"/>
              <w:right w:val="nil"/>
            </w:tcBorders>
            <w:shd w:val="clear" w:color="auto" w:fill="E0F3EF" w:themeFill="accent1" w:themeFillTint="33"/>
          </w:tcPr>
          <w:p w:rsidR="00C8187B" w:rsidRPr="00C462A7" w:rsidRDefault="00C8187B" w:rsidP="00C8187B">
            <w:pPr>
              <w:rPr>
                <w:sz w:val="20"/>
                <w:szCs w:val="20"/>
              </w:rPr>
            </w:pPr>
            <w:r w:rsidRPr="007B7782">
              <w:rPr>
                <w:sz w:val="20"/>
                <w:szCs w:val="20"/>
              </w:rPr>
              <w:t>Investment concept developed</w:t>
            </w:r>
          </w:p>
        </w:tc>
        <w:tc>
          <w:tcPr>
            <w:tcW w:w="1842" w:type="dxa"/>
            <w:tcBorders>
              <w:left w:val="nil"/>
              <w:bottom w:val="single" w:sz="4" w:space="0" w:color="auto"/>
              <w:right w:val="nil"/>
            </w:tcBorders>
            <w:shd w:val="clear" w:color="auto" w:fill="E0F3EF" w:themeFill="accent1" w:themeFillTint="33"/>
          </w:tcPr>
          <w:p w:rsidR="00C8187B" w:rsidRPr="00C462A7" w:rsidRDefault="00C8187B" w:rsidP="00C8187B">
            <w:pPr>
              <w:rPr>
                <w:sz w:val="20"/>
                <w:szCs w:val="20"/>
              </w:rPr>
            </w:pPr>
            <w:r w:rsidRPr="007B7782">
              <w:rPr>
                <w:sz w:val="20"/>
                <w:szCs w:val="20"/>
              </w:rPr>
              <w:t>Detailed investment design completed and approved</w:t>
            </w:r>
          </w:p>
        </w:tc>
        <w:tc>
          <w:tcPr>
            <w:tcW w:w="1701" w:type="dxa"/>
            <w:tcBorders>
              <w:left w:val="nil"/>
              <w:bottom w:val="single" w:sz="4" w:space="0" w:color="auto"/>
              <w:right w:val="nil"/>
            </w:tcBorders>
            <w:shd w:val="clear" w:color="auto" w:fill="E0F3EF" w:themeFill="accent1" w:themeFillTint="33"/>
          </w:tcPr>
          <w:p w:rsidR="00C8187B" w:rsidRPr="00C462A7" w:rsidRDefault="00C8187B">
            <w:pPr>
              <w:rPr>
                <w:sz w:val="20"/>
                <w:szCs w:val="20"/>
              </w:rPr>
            </w:pPr>
            <w:r w:rsidRPr="007B7782">
              <w:rPr>
                <w:sz w:val="20"/>
                <w:szCs w:val="20"/>
              </w:rPr>
              <w:t>Eight businesses become members of</w:t>
            </w:r>
            <w:r w:rsidR="00CC3BD5">
              <w:rPr>
                <w:sz w:val="20"/>
                <w:szCs w:val="20"/>
              </w:rPr>
              <w:t xml:space="preserve"> the</w:t>
            </w:r>
            <w:r w:rsidRPr="007B7782">
              <w:rPr>
                <w:sz w:val="20"/>
                <w:szCs w:val="20"/>
              </w:rPr>
              <w:t xml:space="preserve"> </w:t>
            </w:r>
            <w:r w:rsidR="00CC3BD5">
              <w:rPr>
                <w:i/>
                <w:sz w:val="20"/>
                <w:szCs w:val="20"/>
              </w:rPr>
              <w:t>IW</w:t>
            </w:r>
            <w:r w:rsidRPr="007B7782">
              <w:rPr>
                <w:sz w:val="20"/>
                <w:szCs w:val="20"/>
              </w:rPr>
              <w:t xml:space="preserve"> business coalition </w:t>
            </w:r>
          </w:p>
        </w:tc>
        <w:tc>
          <w:tcPr>
            <w:tcW w:w="1701" w:type="dxa"/>
            <w:tcBorders>
              <w:left w:val="nil"/>
              <w:bottom w:val="single" w:sz="4" w:space="0" w:color="auto"/>
              <w:right w:val="nil"/>
            </w:tcBorders>
            <w:shd w:val="clear" w:color="auto" w:fill="E0F3EF" w:themeFill="accent1" w:themeFillTint="33"/>
          </w:tcPr>
          <w:p w:rsidR="00C8187B" w:rsidRPr="00C462A7" w:rsidRDefault="00D854E0">
            <w:pPr>
              <w:rPr>
                <w:sz w:val="20"/>
                <w:szCs w:val="20"/>
              </w:rPr>
            </w:pPr>
            <w:r>
              <w:rPr>
                <w:sz w:val="20"/>
                <w:szCs w:val="20"/>
              </w:rPr>
              <w:t>Eight</w:t>
            </w:r>
            <w:r w:rsidRPr="007B7782">
              <w:rPr>
                <w:sz w:val="20"/>
                <w:szCs w:val="20"/>
              </w:rPr>
              <w:t xml:space="preserve"> </w:t>
            </w:r>
            <w:r w:rsidR="00C8187B" w:rsidRPr="007B7782">
              <w:rPr>
                <w:sz w:val="20"/>
                <w:szCs w:val="20"/>
              </w:rPr>
              <w:t>founding members of the business coalition complete Economic Dividend</w:t>
            </w:r>
            <w:r w:rsidR="0001007B">
              <w:rPr>
                <w:sz w:val="20"/>
                <w:szCs w:val="20"/>
              </w:rPr>
              <w:t>s</w:t>
            </w:r>
            <w:r w:rsidR="00C8187B" w:rsidRPr="007B7782">
              <w:rPr>
                <w:sz w:val="20"/>
                <w:szCs w:val="20"/>
              </w:rPr>
              <w:t xml:space="preserve"> for Gender Equality certification</w:t>
            </w:r>
          </w:p>
        </w:tc>
        <w:tc>
          <w:tcPr>
            <w:tcW w:w="1872" w:type="dxa"/>
            <w:tcBorders>
              <w:left w:val="nil"/>
              <w:bottom w:val="single" w:sz="4" w:space="0" w:color="auto"/>
              <w:right w:val="single" w:sz="4" w:space="0" w:color="auto"/>
            </w:tcBorders>
            <w:shd w:val="clear" w:color="auto" w:fill="E0F3EF" w:themeFill="accent1" w:themeFillTint="33"/>
          </w:tcPr>
          <w:p w:rsidR="00C8187B" w:rsidRPr="00C462A7" w:rsidRDefault="00C8187B" w:rsidP="00C8187B">
            <w:pPr>
              <w:rPr>
                <w:sz w:val="20"/>
                <w:szCs w:val="20"/>
              </w:rPr>
            </w:pPr>
            <w:r w:rsidRPr="007B7782">
              <w:rPr>
                <w:sz w:val="20"/>
                <w:szCs w:val="20"/>
              </w:rPr>
              <w:t>N/A</w:t>
            </w:r>
          </w:p>
        </w:tc>
      </w:tr>
      <w:tr w:rsidR="00C8187B" w:rsidRPr="00C462A7" w:rsidTr="00686515">
        <w:tc>
          <w:tcPr>
            <w:tcW w:w="1462" w:type="dxa"/>
            <w:tcBorders>
              <w:left w:val="single" w:sz="4" w:space="0" w:color="auto"/>
              <w:right w:val="nil"/>
            </w:tcBorders>
            <w:shd w:val="clear" w:color="auto" w:fill="E0F3EF" w:themeFill="accent1" w:themeFillTint="33"/>
          </w:tcPr>
          <w:p w:rsidR="00C8187B" w:rsidRPr="00C462A7" w:rsidRDefault="00C8187B" w:rsidP="00C8187B">
            <w:pPr>
              <w:rPr>
                <w:sz w:val="20"/>
                <w:szCs w:val="20"/>
              </w:rPr>
            </w:pPr>
            <w:r>
              <w:rPr>
                <w:sz w:val="20"/>
                <w:szCs w:val="20"/>
              </w:rPr>
              <w:t>3.3</w:t>
            </w:r>
            <w:r w:rsidRPr="00C462A7">
              <w:rPr>
                <w:sz w:val="20"/>
                <w:szCs w:val="20"/>
              </w:rPr>
              <w:t>. More inclusive policies, programs and service delivery</w:t>
            </w:r>
          </w:p>
        </w:tc>
        <w:tc>
          <w:tcPr>
            <w:tcW w:w="3613" w:type="dxa"/>
            <w:tcBorders>
              <w:left w:val="nil"/>
              <w:right w:val="nil"/>
            </w:tcBorders>
            <w:shd w:val="clear" w:color="auto" w:fill="E0F3EF" w:themeFill="accent1" w:themeFillTint="33"/>
          </w:tcPr>
          <w:p w:rsidR="00C8187B" w:rsidRPr="00C462A7" w:rsidRDefault="00C8187B" w:rsidP="00C8187B">
            <w:pPr>
              <w:rPr>
                <w:sz w:val="20"/>
                <w:szCs w:val="20"/>
              </w:rPr>
            </w:pPr>
            <w:r>
              <w:rPr>
                <w:sz w:val="20"/>
                <w:szCs w:val="20"/>
              </w:rPr>
              <w:t>3.3.1</w:t>
            </w:r>
            <w:r w:rsidRPr="00C462A7">
              <w:rPr>
                <w:sz w:val="20"/>
                <w:szCs w:val="20"/>
              </w:rPr>
              <w:t xml:space="preserve">.  </w:t>
            </w:r>
            <w:r w:rsidRPr="00C8187B">
              <w:rPr>
                <w:sz w:val="20"/>
                <w:szCs w:val="20"/>
              </w:rPr>
              <w:t xml:space="preserve">Number of instances where DFAT support contributed to the interests of women (including ethnic minority women) being incorporated into </w:t>
            </w:r>
            <w:proofErr w:type="spellStart"/>
            <w:r w:rsidRPr="00C8187B">
              <w:rPr>
                <w:sz w:val="20"/>
                <w:szCs w:val="20"/>
              </w:rPr>
              <w:t>GoV’s</w:t>
            </w:r>
            <w:proofErr w:type="spellEnd"/>
            <w:r w:rsidRPr="00C8187B">
              <w:rPr>
                <w:sz w:val="20"/>
                <w:szCs w:val="20"/>
              </w:rPr>
              <w:t xml:space="preserve"> policies, programs and services</w:t>
            </w:r>
          </w:p>
        </w:tc>
        <w:tc>
          <w:tcPr>
            <w:tcW w:w="1701" w:type="dxa"/>
            <w:tcBorders>
              <w:left w:val="nil"/>
              <w:right w:val="nil"/>
            </w:tcBorders>
            <w:shd w:val="clear" w:color="auto" w:fill="E0F3EF" w:themeFill="accent1" w:themeFillTint="33"/>
          </w:tcPr>
          <w:p w:rsidR="00C8187B" w:rsidRPr="00C462A7" w:rsidRDefault="00C8187B" w:rsidP="00C8187B">
            <w:pPr>
              <w:rPr>
                <w:sz w:val="20"/>
                <w:szCs w:val="20"/>
              </w:rPr>
            </w:pPr>
            <w:r w:rsidRPr="007B7782">
              <w:rPr>
                <w:sz w:val="20"/>
                <w:szCs w:val="20"/>
              </w:rPr>
              <w:t>No target set</w:t>
            </w:r>
          </w:p>
        </w:tc>
        <w:tc>
          <w:tcPr>
            <w:tcW w:w="1842" w:type="dxa"/>
            <w:tcBorders>
              <w:left w:val="nil"/>
              <w:right w:val="nil"/>
            </w:tcBorders>
            <w:shd w:val="clear" w:color="auto" w:fill="E0F3EF" w:themeFill="accent1" w:themeFillTint="33"/>
          </w:tcPr>
          <w:p w:rsidR="00C8187B" w:rsidRPr="00C462A7" w:rsidRDefault="00C8187B" w:rsidP="00C8187B">
            <w:pPr>
              <w:rPr>
                <w:sz w:val="20"/>
                <w:szCs w:val="20"/>
              </w:rPr>
            </w:pPr>
            <w:r w:rsidRPr="007B7782">
              <w:rPr>
                <w:sz w:val="20"/>
                <w:szCs w:val="20"/>
              </w:rPr>
              <w:t>Mobilisation of program; inception phase; baseline established</w:t>
            </w:r>
          </w:p>
        </w:tc>
        <w:tc>
          <w:tcPr>
            <w:tcW w:w="1701" w:type="dxa"/>
            <w:tcBorders>
              <w:left w:val="nil"/>
              <w:right w:val="nil"/>
            </w:tcBorders>
            <w:shd w:val="clear" w:color="auto" w:fill="E0F3EF" w:themeFill="accent1" w:themeFillTint="33"/>
          </w:tcPr>
          <w:p w:rsidR="00C8187B" w:rsidRPr="00C462A7" w:rsidRDefault="00902F9B" w:rsidP="00C8187B">
            <w:pPr>
              <w:rPr>
                <w:sz w:val="20"/>
                <w:szCs w:val="20"/>
              </w:rPr>
            </w:pPr>
            <w:r>
              <w:rPr>
                <w:sz w:val="20"/>
                <w:szCs w:val="20"/>
              </w:rPr>
              <w:t>0</w:t>
            </w:r>
          </w:p>
        </w:tc>
        <w:tc>
          <w:tcPr>
            <w:tcW w:w="1701" w:type="dxa"/>
            <w:tcBorders>
              <w:left w:val="nil"/>
              <w:right w:val="nil"/>
            </w:tcBorders>
            <w:shd w:val="clear" w:color="auto" w:fill="E0F3EF" w:themeFill="accent1" w:themeFillTint="33"/>
          </w:tcPr>
          <w:p w:rsidR="00C8187B" w:rsidRPr="00C462A7" w:rsidRDefault="00F420D7" w:rsidP="00404F8A">
            <w:pPr>
              <w:rPr>
                <w:sz w:val="20"/>
                <w:szCs w:val="20"/>
              </w:rPr>
            </w:pPr>
            <w:r>
              <w:rPr>
                <w:sz w:val="20"/>
                <w:szCs w:val="20"/>
              </w:rPr>
              <w:t>At least</w:t>
            </w:r>
            <w:r w:rsidR="00C8187B" w:rsidRPr="007B7782">
              <w:rPr>
                <w:sz w:val="20"/>
                <w:szCs w:val="20"/>
              </w:rPr>
              <w:t xml:space="preserve"> 30 selected private sector and non-government  actors implement plans with the goal of increasing income or jobs for women</w:t>
            </w:r>
          </w:p>
        </w:tc>
        <w:tc>
          <w:tcPr>
            <w:tcW w:w="1872" w:type="dxa"/>
            <w:tcBorders>
              <w:left w:val="nil"/>
              <w:right w:val="single" w:sz="4" w:space="0" w:color="auto"/>
            </w:tcBorders>
            <w:shd w:val="clear" w:color="auto" w:fill="E0F3EF" w:themeFill="accent1" w:themeFillTint="33"/>
          </w:tcPr>
          <w:p w:rsidR="00C8187B" w:rsidRPr="00C462A7" w:rsidRDefault="00C8187B" w:rsidP="00C8187B">
            <w:pPr>
              <w:rPr>
                <w:sz w:val="20"/>
                <w:szCs w:val="20"/>
              </w:rPr>
            </w:pPr>
            <w:r w:rsidRPr="007B7782">
              <w:rPr>
                <w:sz w:val="20"/>
                <w:szCs w:val="20"/>
              </w:rPr>
              <w:t>Interim evidence produced for Government on the economic and social benefits of women’s enhanced engagement in agriculture and tourism</w:t>
            </w:r>
          </w:p>
        </w:tc>
      </w:tr>
    </w:tbl>
    <w:p w:rsidR="006C4F09" w:rsidRPr="00940808" w:rsidRDefault="006C4F09"/>
    <w:sectPr w:rsidR="006C4F09" w:rsidRPr="00940808" w:rsidSect="00686515">
      <w:headerReference w:type="default" r:id="rId34"/>
      <w:pgSz w:w="16838" w:h="11906" w:orient="landscape" w:code="9"/>
      <w:pgMar w:top="1134" w:right="1527" w:bottom="1134" w:left="851"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F0A" w:rsidRDefault="00683F0A" w:rsidP="00EF4574">
      <w:pPr>
        <w:spacing w:before="0" w:after="0" w:line="240" w:lineRule="auto"/>
      </w:pPr>
      <w:r>
        <w:separator/>
      </w:r>
    </w:p>
  </w:endnote>
  <w:endnote w:type="continuationSeparator" w:id="0">
    <w:p w:rsidR="00683F0A" w:rsidRDefault="00683F0A"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CB" w:rsidRDefault="00EF1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0A" w:rsidRPr="00CD0E4B" w:rsidRDefault="00683F0A" w:rsidP="00C406F0">
    <w:pPr>
      <w:pStyle w:val="Footer"/>
    </w:pPr>
    <w:r w:rsidRPr="00CD0E4B">
      <w:rPr>
        <w:noProof/>
        <w:lang w:val="en-AU" w:eastAsia="en-AU"/>
      </w:rPr>
      <w:drawing>
        <wp:inline distT="0" distB="0" distL="0" distR="0" wp14:anchorId="048FA883" wp14:editId="1640611D">
          <wp:extent cx="90000" cy="74520"/>
          <wp:effectExtent l="0" t="0" r="5715"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683F0A" w:rsidRDefault="00683F0A">
    <w:pPr>
      <w:pStyle w:val="Footer"/>
    </w:pPr>
    <w:r w:rsidRPr="00CD0E4B">
      <w:rPr>
        <w:color w:val="ACD08C" w:themeColor="accent3"/>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CB" w:rsidRDefault="00EF1B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0A" w:rsidRPr="00CD0E4B" w:rsidRDefault="00683F0A" w:rsidP="00784031">
    <w:pPr>
      <w:pStyle w:val="Footer"/>
    </w:pPr>
    <w:r w:rsidRPr="00CD0E4B">
      <w:rPr>
        <w:noProof/>
        <w:lang w:val="en-AU" w:eastAsia="en-AU"/>
      </w:rPr>
      <w:drawing>
        <wp:inline distT="0" distB="0" distL="0" distR="0" wp14:anchorId="136AB6B2" wp14:editId="7FEF773E">
          <wp:extent cx="90000" cy="74520"/>
          <wp:effectExtent l="0" t="0" r="571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683F0A" w:rsidRPr="00CD0E4B" w:rsidRDefault="00683F0A"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F0A" w:rsidRPr="008C5A0E" w:rsidRDefault="00683F0A" w:rsidP="001D663E">
      <w:pPr>
        <w:pStyle w:val="Footer"/>
        <w:pBdr>
          <w:top w:val="single" w:sz="4" w:space="1" w:color="495965" w:themeColor="text2"/>
        </w:pBdr>
      </w:pPr>
    </w:p>
  </w:footnote>
  <w:footnote w:type="continuationSeparator" w:id="0">
    <w:p w:rsidR="00683F0A" w:rsidRDefault="00683F0A" w:rsidP="00EF4574">
      <w:pPr>
        <w:spacing w:before="0" w:after="0" w:line="240" w:lineRule="auto"/>
      </w:pPr>
      <w:r>
        <w:continuationSeparator/>
      </w:r>
    </w:p>
  </w:footnote>
  <w:footnote w:id="1">
    <w:p w:rsidR="00683F0A" w:rsidRPr="0068608E" w:rsidRDefault="00683F0A" w:rsidP="0006526A">
      <w:pPr>
        <w:pStyle w:val="FootnoteText"/>
        <w:rPr>
          <w:lang w:val="en-AU"/>
        </w:rPr>
      </w:pPr>
      <w:r>
        <w:rPr>
          <w:rStyle w:val="FootnoteReference"/>
        </w:rPr>
        <w:footnoteRef/>
      </w:r>
      <w:r>
        <w:t xml:space="preserve"> </w:t>
      </w:r>
      <w:r>
        <w:rPr>
          <w:i/>
        </w:rPr>
        <w:t xml:space="preserve">Investing in Regional Prosperity: Positioning the Aid Program to Support Australia’s Economic Partnership in Asia, </w:t>
      </w:r>
      <w:r>
        <w:t xml:space="preserve">Office of Development Effectiveness, </w:t>
      </w:r>
      <w:proofErr w:type="gramStart"/>
      <w:r>
        <w:t>July</w:t>
      </w:r>
      <w:proofErr w:type="gramEnd"/>
      <w:r>
        <w:t xml:space="preserve"> 2018. </w:t>
      </w:r>
    </w:p>
  </w:footnote>
  <w:footnote w:id="2">
    <w:p w:rsidR="00683F0A" w:rsidRPr="00100F5A" w:rsidRDefault="00683F0A" w:rsidP="0006526A">
      <w:pPr>
        <w:pStyle w:val="FootnoteText"/>
        <w:rPr>
          <w:lang w:val="en-AU"/>
        </w:rPr>
      </w:pPr>
      <w:r>
        <w:rPr>
          <w:rStyle w:val="FootnoteReference"/>
        </w:rPr>
        <w:footnoteRef/>
      </w:r>
      <w:r>
        <w:t xml:space="preserve"> D</w:t>
      </w:r>
      <w:r w:rsidRPr="00100F5A">
        <w:t xml:space="preserve">ecree </w:t>
      </w:r>
      <w:r>
        <w:t>16 sets out provisions for the management and use of ODA, including concessional loans from international development partners</w:t>
      </w:r>
      <w:r w:rsidR="00E127A1">
        <w:t>.</w:t>
      </w:r>
    </w:p>
  </w:footnote>
  <w:footnote w:id="3">
    <w:p w:rsidR="00683F0A" w:rsidRPr="0024748D" w:rsidRDefault="00683F0A" w:rsidP="00C90460">
      <w:pPr>
        <w:pStyle w:val="FootnoteText"/>
        <w:rPr>
          <w:lang w:val="en-AU"/>
        </w:rPr>
      </w:pPr>
      <w:r>
        <w:rPr>
          <w:rStyle w:val="FootnoteReference"/>
        </w:rPr>
        <w:footnoteRef/>
      </w:r>
      <w:r>
        <w:t xml:space="preserve"> </w:t>
      </w:r>
      <w:r>
        <w:rPr>
          <w:i/>
        </w:rPr>
        <w:t xml:space="preserve">Investing in Regional Prosperity: Positioning the Aid Program to Support Australia’s Economic Partnership in Asia, </w:t>
      </w:r>
      <w:r>
        <w:t xml:space="preserve">Office of Development Effectiveness, </w:t>
      </w:r>
      <w:proofErr w:type="gramStart"/>
      <w:r>
        <w:t>July</w:t>
      </w:r>
      <w:proofErr w:type="gramEnd"/>
      <w:r>
        <w:t xml:space="preserve"> 2018</w:t>
      </w:r>
      <w:r w:rsidR="00E127A1">
        <w:t>.</w:t>
      </w:r>
    </w:p>
  </w:footnote>
  <w:footnote w:id="4">
    <w:p w:rsidR="00683F0A" w:rsidRPr="00A019AE" w:rsidRDefault="00683F0A">
      <w:pPr>
        <w:pStyle w:val="FootnoteText"/>
        <w:rPr>
          <w:lang w:val="en-AU"/>
        </w:rPr>
      </w:pPr>
      <w:r>
        <w:rPr>
          <w:rStyle w:val="FootnoteReference"/>
        </w:rPr>
        <w:footnoteRef/>
      </w:r>
      <w:r w:rsidRPr="00862F24">
        <w:t xml:space="preserve"> Vietnam’s Future Jobs: The Gender Dimension</w:t>
      </w:r>
      <w:r w:rsidR="00E127A1">
        <w:t xml:space="preserve">, World Bank, </w:t>
      </w:r>
      <w:r w:rsidR="00E127A1" w:rsidRPr="00862F24">
        <w:t>2018</w:t>
      </w:r>
      <w:r w:rsidR="00E127A1">
        <w:t>.</w:t>
      </w:r>
    </w:p>
  </w:footnote>
  <w:footnote w:id="5">
    <w:p w:rsidR="00683F0A" w:rsidRPr="00862F24" w:rsidRDefault="00683F0A" w:rsidP="00862F24">
      <w:pPr>
        <w:pStyle w:val="FootnoteText"/>
      </w:pPr>
      <w:r>
        <w:rPr>
          <w:rStyle w:val="FootnoteReference"/>
        </w:rPr>
        <w:footnoteRef/>
      </w:r>
      <w:r>
        <w:t xml:space="preserve"> </w:t>
      </w:r>
      <w:r w:rsidRPr="00862F24">
        <w:t>Inter-Parliamentary Union – Women in National Parliaments http://archive.ipu.org/wmn-e/classif.htm?month=6&amp;year=2018</w:t>
      </w:r>
    </w:p>
  </w:footnote>
  <w:footnote w:id="6">
    <w:p w:rsidR="00683F0A" w:rsidRPr="00A019AE" w:rsidRDefault="00683F0A">
      <w:pPr>
        <w:pStyle w:val="FootnoteText"/>
        <w:rPr>
          <w:lang w:val="en-AU"/>
        </w:rPr>
      </w:pPr>
      <w:r>
        <w:rPr>
          <w:rStyle w:val="FootnoteReference"/>
        </w:rPr>
        <w:footnoteRef/>
      </w:r>
      <w:r w:rsidRPr="00862F24">
        <w:t xml:space="preserve"> Keeping Silent is Dying – Results from the National Study on Domestic Violence </w:t>
      </w:r>
      <w:proofErr w:type="gramStart"/>
      <w:r w:rsidRPr="00862F24">
        <w:t>Against</w:t>
      </w:r>
      <w:proofErr w:type="gramEnd"/>
      <w:r w:rsidRPr="00862F24">
        <w:t xml:space="preserve"> Women in Vietnam</w:t>
      </w:r>
      <w:r w:rsidR="00E127A1">
        <w:t xml:space="preserve">, Government of Vietnam, </w:t>
      </w:r>
      <w:r w:rsidR="00E127A1" w:rsidRPr="00862F24">
        <w:t>2010</w:t>
      </w:r>
      <w:r w:rsidR="00E127A1">
        <w:t>.</w:t>
      </w:r>
    </w:p>
  </w:footnote>
  <w:footnote w:id="7">
    <w:p w:rsidR="00683F0A" w:rsidRPr="00D73937" w:rsidRDefault="00683F0A">
      <w:pPr>
        <w:pStyle w:val="FootnoteText"/>
        <w:rPr>
          <w:lang w:val="en-AU"/>
        </w:rPr>
      </w:pPr>
      <w:r>
        <w:rPr>
          <w:rStyle w:val="FootnoteReference"/>
        </w:rPr>
        <w:footnoteRef/>
      </w:r>
      <w:r>
        <w:t xml:space="preserve"> </w:t>
      </w:r>
      <w:r>
        <w:rPr>
          <w:lang w:val="en-AU"/>
        </w:rPr>
        <w:t>Australia’s rank is an estimate based on 2017 MPI data regarding grant-based ODA. MPI does not disclose the spends of other countries, but Post estimates that Japan, the World Bank, the Asian Development Bank, the EU and France make up the top five</w:t>
      </w:r>
      <w:r w:rsidR="00E127A1">
        <w:rPr>
          <w:lang w:val="en-AU"/>
        </w:rPr>
        <w:t>.</w:t>
      </w:r>
    </w:p>
  </w:footnote>
  <w:footnote w:id="8">
    <w:p w:rsidR="00683F0A" w:rsidRPr="00AE172C" w:rsidRDefault="00683F0A" w:rsidP="00672886">
      <w:pPr>
        <w:pStyle w:val="FootnoteText"/>
        <w:rPr>
          <w:lang w:val="en-AU"/>
        </w:rPr>
      </w:pPr>
      <w:r>
        <w:rPr>
          <w:rStyle w:val="FootnoteReference"/>
        </w:rPr>
        <w:footnoteRef/>
      </w:r>
      <w:r>
        <w:t xml:space="preserve"> </w:t>
      </w:r>
      <w:r>
        <w:rPr>
          <w:lang w:val="en-AU"/>
        </w:rPr>
        <w:t xml:space="preserve">Usage data is only collected by the </w:t>
      </w:r>
      <w:proofErr w:type="spellStart"/>
      <w:r>
        <w:rPr>
          <w:lang w:val="en-AU"/>
        </w:rPr>
        <w:t>GoV</w:t>
      </w:r>
      <w:proofErr w:type="spellEnd"/>
      <w:r>
        <w:rPr>
          <w:lang w:val="en-AU"/>
        </w:rPr>
        <w:t xml:space="preserve"> for Toll or Build-Operate Transfer roads, therefore data is unavailable until we conduct the impact evaluation.</w:t>
      </w:r>
    </w:p>
  </w:footnote>
  <w:footnote w:id="9">
    <w:p w:rsidR="00683F0A" w:rsidRPr="00DA7BCB" w:rsidRDefault="00683F0A" w:rsidP="00EC44AB">
      <w:pPr>
        <w:pStyle w:val="FootnoteText"/>
        <w:rPr>
          <w:szCs w:val="12"/>
          <w:lang w:val="en-AU"/>
        </w:rPr>
      </w:pPr>
      <w:r w:rsidRPr="00DA7BCB">
        <w:rPr>
          <w:rStyle w:val="FootnoteReference"/>
          <w:szCs w:val="12"/>
        </w:rPr>
        <w:footnoteRef/>
      </w:r>
      <w:r w:rsidRPr="00DA7BCB">
        <w:rPr>
          <w:szCs w:val="12"/>
        </w:rPr>
        <w:t xml:space="preserve"> In 2017, two </w:t>
      </w:r>
      <w:r w:rsidRPr="00CB0572">
        <w:rPr>
          <w:szCs w:val="12"/>
        </w:rPr>
        <w:t>Australian alumni</w:t>
      </w:r>
      <w:r w:rsidRPr="00DA7BCB">
        <w:rPr>
          <w:szCs w:val="12"/>
        </w:rPr>
        <w:t xml:space="preserve"> were appointed by Vietnamese Prime Minister Nguyen Xuan </w:t>
      </w:r>
      <w:proofErr w:type="spellStart"/>
      <w:r w:rsidRPr="00DA7BCB">
        <w:rPr>
          <w:szCs w:val="12"/>
        </w:rPr>
        <w:t>Phuc</w:t>
      </w:r>
      <w:proofErr w:type="spellEnd"/>
      <w:r w:rsidRPr="00DA7BCB">
        <w:rPr>
          <w:szCs w:val="12"/>
        </w:rPr>
        <w:t xml:space="preserve"> to his 15-member Economic Advisory Board, reflecting the high-quality knowledge and skills of Australian </w:t>
      </w:r>
      <w:r w:rsidR="00E127A1">
        <w:rPr>
          <w:szCs w:val="12"/>
        </w:rPr>
        <w:t>a</w:t>
      </w:r>
      <w:r w:rsidRPr="00DA7BCB">
        <w:rPr>
          <w:szCs w:val="12"/>
        </w:rPr>
        <w:t>lumni, and providing Australia with good access and insight into Vietnam’s planning and</w:t>
      </w:r>
      <w:r>
        <w:rPr>
          <w:szCs w:val="12"/>
        </w:rPr>
        <w:t xml:space="preserve"> strategies on economic issues</w:t>
      </w:r>
      <w:r w:rsidR="00E127A1">
        <w:rPr>
          <w:szCs w:val="12"/>
        </w:rPr>
        <w:t>.</w:t>
      </w:r>
    </w:p>
  </w:footnote>
  <w:footnote w:id="10">
    <w:p w:rsidR="00683F0A" w:rsidRPr="00DA7BCB" w:rsidRDefault="00683F0A" w:rsidP="00D26C67">
      <w:pPr>
        <w:pStyle w:val="FootnoteText"/>
        <w:rPr>
          <w:szCs w:val="12"/>
          <w:lang w:val="en-AU"/>
        </w:rPr>
      </w:pPr>
      <w:r w:rsidRPr="00DA7BCB">
        <w:rPr>
          <w:rStyle w:val="FootnoteReference"/>
          <w:szCs w:val="12"/>
        </w:rPr>
        <w:footnoteRef/>
      </w:r>
      <w:r w:rsidRPr="00DA7BCB">
        <w:rPr>
          <w:szCs w:val="12"/>
        </w:rPr>
        <w:t xml:space="preserve"> </w:t>
      </w:r>
      <w:r w:rsidRPr="00DA7BCB">
        <w:rPr>
          <w:szCs w:val="12"/>
          <w:lang w:val="en-AU"/>
        </w:rPr>
        <w:t xml:space="preserve">In August 2018, as an immediate impact of the </w:t>
      </w:r>
      <w:r w:rsidRPr="00584DDE">
        <w:rPr>
          <w:i/>
          <w:szCs w:val="12"/>
          <w:lang w:val="en-AU"/>
        </w:rPr>
        <w:t>Aus4Skills</w:t>
      </w:r>
      <w:r w:rsidRPr="00DA7BCB">
        <w:rPr>
          <w:szCs w:val="12"/>
          <w:lang w:val="en-AU"/>
        </w:rPr>
        <w:t xml:space="preserve">-supported project, </w:t>
      </w:r>
      <w:r w:rsidR="00E127A1" w:rsidRPr="00DA7BCB">
        <w:rPr>
          <w:szCs w:val="12"/>
        </w:rPr>
        <w:t>Memoranda of Understanding</w:t>
      </w:r>
      <w:r w:rsidRPr="00DA7BCB">
        <w:rPr>
          <w:szCs w:val="12"/>
          <w:lang w:val="en-AU"/>
        </w:rPr>
        <w:t xml:space="preserve"> </w:t>
      </w:r>
      <w:r w:rsidR="00E127A1">
        <w:rPr>
          <w:szCs w:val="12"/>
          <w:lang w:val="en-AU"/>
        </w:rPr>
        <w:t xml:space="preserve">(MOUs) </w:t>
      </w:r>
      <w:r w:rsidRPr="00DA7BCB">
        <w:rPr>
          <w:szCs w:val="12"/>
          <w:lang w:val="en-AU"/>
        </w:rPr>
        <w:t xml:space="preserve">were signed between the six VET institutions participating in the project (comprising five public and one private) and logistics companies, and between </w:t>
      </w:r>
      <w:proofErr w:type="spellStart"/>
      <w:r w:rsidRPr="00DA7BCB">
        <w:rPr>
          <w:szCs w:val="12"/>
          <w:lang w:val="en-AU"/>
        </w:rPr>
        <w:t>GoV’s</w:t>
      </w:r>
      <w:proofErr w:type="spellEnd"/>
      <w:r w:rsidRPr="00DA7BCB">
        <w:rPr>
          <w:szCs w:val="12"/>
          <w:lang w:val="en-AU"/>
        </w:rPr>
        <w:t xml:space="preserve"> Department of Vocational Education and Training and Vietnam Logistics Business Association to strengthen linkages at institutional level</w:t>
      </w:r>
      <w:r w:rsidR="00E127A1">
        <w:rPr>
          <w:szCs w:val="12"/>
          <w:lang w:val="en-AU"/>
        </w:rPr>
        <w:t>.</w:t>
      </w:r>
    </w:p>
  </w:footnote>
  <w:footnote w:id="11">
    <w:p w:rsidR="00683F0A" w:rsidRPr="00DC335D" w:rsidRDefault="00683F0A" w:rsidP="00DA4C03">
      <w:pPr>
        <w:pStyle w:val="FootnoteText"/>
        <w:rPr>
          <w:lang w:val="en-AU"/>
        </w:rPr>
      </w:pPr>
      <w:r>
        <w:rPr>
          <w:rStyle w:val="FootnoteReference"/>
        </w:rPr>
        <w:footnoteRef/>
      </w:r>
      <w:r>
        <w:t xml:space="preserve"> </w:t>
      </w:r>
      <w:r>
        <w:rPr>
          <w:lang w:val="en-AU"/>
        </w:rPr>
        <w:t xml:space="preserve">This investment was requested by the </w:t>
      </w:r>
      <w:proofErr w:type="spellStart"/>
      <w:r>
        <w:rPr>
          <w:lang w:val="en-AU"/>
        </w:rPr>
        <w:t>GoV</w:t>
      </w:r>
      <w:proofErr w:type="spellEnd"/>
      <w:r>
        <w:rPr>
          <w:lang w:val="en-AU"/>
        </w:rPr>
        <w:t xml:space="preserve"> </w:t>
      </w:r>
      <w:r w:rsidRPr="00DA4C03">
        <w:rPr>
          <w:lang w:val="en-AU"/>
        </w:rPr>
        <w:t>and industry to support their relatively new feed</w:t>
      </w:r>
      <w:r>
        <w:rPr>
          <w:lang w:val="en-AU"/>
        </w:rPr>
        <w:t>-</w:t>
      </w:r>
      <w:r w:rsidRPr="00DA4C03">
        <w:rPr>
          <w:lang w:val="en-AU"/>
        </w:rPr>
        <w:t>lotting and modern meat processing industries. Improving the fragmented nature of the supply chain and assisting Vietnamese meat processors to market a higher value product provides a more stable supply chain for Australia’s live cattle exports, worth $245</w:t>
      </w:r>
      <w:r>
        <w:rPr>
          <w:lang w:val="en-AU"/>
        </w:rPr>
        <w:t xml:space="preserve"> </w:t>
      </w:r>
      <w:r w:rsidRPr="00DA4C03">
        <w:rPr>
          <w:lang w:val="en-AU"/>
        </w:rPr>
        <w:t>m</w:t>
      </w:r>
      <w:r>
        <w:rPr>
          <w:lang w:val="en-AU"/>
        </w:rPr>
        <w:t>illion</w:t>
      </w:r>
      <w:r w:rsidRPr="00DA4C03">
        <w:rPr>
          <w:lang w:val="en-AU"/>
        </w:rPr>
        <w:t xml:space="preserve"> in 2017-18.</w:t>
      </w:r>
    </w:p>
  </w:footnote>
  <w:footnote w:id="12">
    <w:p w:rsidR="00683F0A" w:rsidRPr="00DA7BCB" w:rsidRDefault="00683F0A" w:rsidP="004414D8">
      <w:pPr>
        <w:pStyle w:val="FootnoteText"/>
        <w:rPr>
          <w:szCs w:val="12"/>
          <w:lang w:val="en-AU"/>
        </w:rPr>
      </w:pPr>
      <w:r w:rsidRPr="00DA7BCB">
        <w:rPr>
          <w:rStyle w:val="FootnoteReference"/>
          <w:szCs w:val="12"/>
        </w:rPr>
        <w:footnoteRef/>
      </w:r>
      <w:r w:rsidRPr="00DA7BCB">
        <w:rPr>
          <w:szCs w:val="12"/>
        </w:rPr>
        <w:t xml:space="preserve"> Four MOUs to create cooperative relationships with Australian educational institutions have been signed by the three target </w:t>
      </w:r>
      <w:r>
        <w:rPr>
          <w:szCs w:val="12"/>
        </w:rPr>
        <w:t>u</w:t>
      </w:r>
      <w:r w:rsidRPr="00DA7BCB">
        <w:rPr>
          <w:szCs w:val="12"/>
        </w:rPr>
        <w:t xml:space="preserve">niversities of the </w:t>
      </w:r>
      <w:r w:rsidRPr="00584DDE">
        <w:rPr>
          <w:i/>
          <w:szCs w:val="12"/>
        </w:rPr>
        <w:t>Aus4Skills</w:t>
      </w:r>
      <w:r w:rsidRPr="00DA7BCB">
        <w:rPr>
          <w:szCs w:val="12"/>
        </w:rPr>
        <w:t xml:space="preserve"> QUNIS project.  Thai Nguyen University and Tay </w:t>
      </w:r>
      <w:proofErr w:type="gramStart"/>
      <w:r w:rsidRPr="00DA7BCB">
        <w:rPr>
          <w:szCs w:val="12"/>
        </w:rPr>
        <w:t>Bac</w:t>
      </w:r>
      <w:proofErr w:type="gramEnd"/>
      <w:r w:rsidRPr="00DA7BCB">
        <w:rPr>
          <w:szCs w:val="12"/>
        </w:rPr>
        <w:t xml:space="preserve"> University (TBU) have signed MOUs with Queensland University of Technology, and Thai Nguyen University of Agriculture and Forestry and TBU signed MOUs with the University of Sunshine Coast.</w:t>
      </w:r>
    </w:p>
  </w:footnote>
  <w:footnote w:id="13">
    <w:p w:rsidR="00683F0A" w:rsidRPr="00DA7BCB" w:rsidRDefault="00683F0A" w:rsidP="000A034B">
      <w:pPr>
        <w:pStyle w:val="FootnoteText"/>
        <w:rPr>
          <w:szCs w:val="12"/>
          <w:lang w:val="en-AU"/>
        </w:rPr>
      </w:pPr>
      <w:r w:rsidRPr="00DA7BCB">
        <w:rPr>
          <w:rStyle w:val="FootnoteReference"/>
          <w:szCs w:val="12"/>
        </w:rPr>
        <w:footnoteRef/>
      </w:r>
      <w:r w:rsidRPr="00DA7BCB">
        <w:rPr>
          <w:szCs w:val="12"/>
        </w:rPr>
        <w:t xml:space="preserve"> </w:t>
      </w:r>
      <w:r w:rsidRPr="00DA7BCB">
        <w:rPr>
          <w:szCs w:val="12"/>
          <w:lang w:val="en-AU"/>
        </w:rPr>
        <w:t>See addition</w:t>
      </w:r>
      <w:r>
        <w:rPr>
          <w:szCs w:val="12"/>
          <w:lang w:val="en-AU"/>
        </w:rPr>
        <w:t>al reporting under Objective 3.</w:t>
      </w:r>
    </w:p>
  </w:footnote>
  <w:footnote w:id="14">
    <w:p w:rsidR="00683F0A" w:rsidRPr="00754344" w:rsidRDefault="00683F0A" w:rsidP="000A034B">
      <w:pPr>
        <w:pStyle w:val="FootnoteText"/>
        <w:rPr>
          <w:sz w:val="16"/>
          <w:szCs w:val="16"/>
          <w:lang w:val="en-AU"/>
        </w:rPr>
      </w:pPr>
      <w:r w:rsidRPr="00754344">
        <w:rPr>
          <w:rStyle w:val="FootnoteReference"/>
          <w:sz w:val="16"/>
          <w:szCs w:val="16"/>
        </w:rPr>
        <w:footnoteRef/>
      </w:r>
      <w:r w:rsidRPr="00754344">
        <w:rPr>
          <w:sz w:val="16"/>
          <w:szCs w:val="16"/>
        </w:rPr>
        <w:t xml:space="preserve"> </w:t>
      </w:r>
      <w:r w:rsidRPr="00DA7BCB">
        <w:rPr>
          <w:szCs w:val="12"/>
          <w:lang w:val="en-AU"/>
        </w:rPr>
        <w:t>President of the HCMPA Dr Nguyen Xuan Thang, has invited Ambassador Chittick to extend cooperation between the Embassy and the CPV to more sensitive issues including executive leadership, maritime security</w:t>
      </w:r>
      <w:r w:rsidR="00E127A1">
        <w:rPr>
          <w:szCs w:val="12"/>
          <w:lang w:val="en-AU"/>
        </w:rPr>
        <w:t>,</w:t>
      </w:r>
      <w:r w:rsidRPr="00DA7BCB">
        <w:rPr>
          <w:szCs w:val="12"/>
          <w:lang w:val="en-AU"/>
        </w:rPr>
        <w:t xml:space="preserve"> and cyber cooperation. Post will explore opportunities to make additional investments that support Vietnam’s development and resilience, but also provide Australia with opportunities to enhance our understanding and influence with the CPV in the coming year.</w:t>
      </w:r>
    </w:p>
  </w:footnote>
  <w:footnote w:id="15">
    <w:p w:rsidR="00683F0A" w:rsidRPr="00792B7C" w:rsidRDefault="00683F0A" w:rsidP="00CB0572">
      <w:pPr>
        <w:pStyle w:val="FootnoteText"/>
        <w:rPr>
          <w:lang w:val="en-AU"/>
        </w:rPr>
      </w:pPr>
      <w:r w:rsidRPr="00754344">
        <w:rPr>
          <w:rStyle w:val="FootnoteReference"/>
          <w:sz w:val="16"/>
          <w:szCs w:val="16"/>
        </w:rPr>
        <w:footnoteRef/>
      </w:r>
      <w:r w:rsidRPr="00754344">
        <w:rPr>
          <w:sz w:val="16"/>
          <w:szCs w:val="16"/>
        </w:rPr>
        <w:t xml:space="preserve"> </w:t>
      </w:r>
      <w:r w:rsidRPr="00441FA9">
        <w:rPr>
          <w:szCs w:val="12"/>
          <w:lang w:val="en-AU"/>
        </w:rPr>
        <w:t xml:space="preserve">The Embassy and the AHRC signed a Human Rights Capacity Building Fund Agreement in August 2018. The AHRC will partner with the HCMPA to cooperate on human rights education. </w:t>
      </w:r>
      <w:r>
        <w:rPr>
          <w:szCs w:val="12"/>
          <w:lang w:val="en-AU"/>
        </w:rPr>
        <w:t xml:space="preserve">The </w:t>
      </w:r>
      <w:r w:rsidRPr="00441FA9">
        <w:rPr>
          <w:szCs w:val="12"/>
          <w:lang w:val="en-AU"/>
        </w:rPr>
        <w:t>AHRC and HCMPA are now working to agree a program of activities, implementation of which should commence next year.</w:t>
      </w:r>
    </w:p>
  </w:footnote>
  <w:footnote w:id="16">
    <w:p w:rsidR="00683F0A" w:rsidRPr="008F1849" w:rsidRDefault="00683F0A" w:rsidP="00CB0572">
      <w:pPr>
        <w:pStyle w:val="FootnoteText"/>
        <w:rPr>
          <w:lang w:val="en-AU"/>
        </w:rPr>
      </w:pPr>
      <w:r>
        <w:rPr>
          <w:rStyle w:val="FootnoteReference"/>
        </w:rPr>
        <w:footnoteRef/>
      </w:r>
      <w:r>
        <w:t xml:space="preserve"> In 2018, delivery of the Australian Volunteer </w:t>
      </w:r>
      <w:r w:rsidR="00E127A1">
        <w:t>p</w:t>
      </w:r>
      <w:r>
        <w:t xml:space="preserve">rogram transitioned from a combination of Scope Global and </w:t>
      </w:r>
      <w:r w:rsidRPr="008F1849">
        <w:t>Australian Volunteers International</w:t>
      </w:r>
      <w:r>
        <w:t xml:space="preserve"> (AVI) to be solely managed by AVI.</w:t>
      </w:r>
    </w:p>
  </w:footnote>
  <w:footnote w:id="17">
    <w:p w:rsidR="00683F0A" w:rsidRPr="002C474C" w:rsidRDefault="00683F0A" w:rsidP="007C645B">
      <w:pPr>
        <w:pStyle w:val="FootnoteText"/>
        <w:rPr>
          <w:lang w:val="en-AU"/>
        </w:rPr>
      </w:pPr>
      <w:r>
        <w:rPr>
          <w:rStyle w:val="FootnoteReference"/>
        </w:rPr>
        <w:footnoteRef/>
      </w:r>
      <w:r>
        <w:t xml:space="preserve"> </w:t>
      </w:r>
      <w:r>
        <w:rPr>
          <w:lang w:val="en-AU"/>
        </w:rPr>
        <w:t xml:space="preserve">More information on the </w:t>
      </w:r>
      <w:r w:rsidRPr="00FD04E8">
        <w:rPr>
          <w:i/>
          <w:lang w:val="en-AU"/>
        </w:rPr>
        <w:t>Australia Vietnam Strategic Partnership</w:t>
      </w:r>
      <w:r>
        <w:rPr>
          <w:lang w:val="en-AU"/>
        </w:rPr>
        <w:t xml:space="preserve"> can be found on the DFAT website: </w:t>
      </w:r>
      <w:hyperlink r:id="rId1" w:history="1">
        <w:r w:rsidRPr="000260EF">
          <w:rPr>
            <w:rStyle w:val="Hyperlink"/>
            <w:rFonts w:cstheme="minorBidi"/>
            <w:lang w:val="en-AU"/>
          </w:rPr>
          <w:t>https://dfat.gov.au/geo/vietnam/Pages/joint-statement-on-the-establishment-of-a-strategic-partnership-between-australia-and-viet-nam.aspx</w:t>
        </w:r>
      </w:hyperlink>
    </w:p>
  </w:footnote>
  <w:footnote w:id="18">
    <w:p w:rsidR="00683F0A" w:rsidRPr="002C474C" w:rsidRDefault="00683F0A" w:rsidP="007C645B">
      <w:pPr>
        <w:pStyle w:val="FootnoteText"/>
        <w:rPr>
          <w:lang w:val="en-AU"/>
        </w:rPr>
      </w:pPr>
      <w:r>
        <w:rPr>
          <w:rStyle w:val="FootnoteReference"/>
        </w:rPr>
        <w:footnoteRef/>
      </w:r>
      <w:r>
        <w:t xml:space="preserve"> </w:t>
      </w:r>
      <w:r>
        <w:rPr>
          <w:lang w:val="en-AU"/>
        </w:rPr>
        <w:t xml:space="preserve">More information on the </w:t>
      </w:r>
      <w:r w:rsidRPr="00FD04E8">
        <w:rPr>
          <w:i/>
          <w:lang w:val="en-AU"/>
        </w:rPr>
        <w:t>Plan of Action 2016-19</w:t>
      </w:r>
      <w:r>
        <w:rPr>
          <w:lang w:val="en-AU"/>
        </w:rPr>
        <w:t xml:space="preserve"> can be found on the Department of Foreign Affairs and Trade website: </w:t>
      </w:r>
      <w:hyperlink r:id="rId2" w:history="1">
        <w:r w:rsidRPr="000260EF">
          <w:rPr>
            <w:rStyle w:val="Hyperlink"/>
            <w:rFonts w:cstheme="minorBidi"/>
            <w:lang w:val="en-AU"/>
          </w:rPr>
          <w:t>https://dfat.gov.au/geo/vietnam/Pages/vietnam-country-brief.aspx</w:t>
        </w:r>
      </w:hyperlink>
    </w:p>
  </w:footnote>
  <w:footnote w:id="19">
    <w:p w:rsidR="00683F0A" w:rsidRPr="006A048D" w:rsidRDefault="00683F0A" w:rsidP="00E86013">
      <w:pPr>
        <w:pStyle w:val="FootnoteText"/>
        <w:rPr>
          <w:lang w:val="en-AU"/>
        </w:rPr>
      </w:pPr>
      <w:r>
        <w:rPr>
          <w:rStyle w:val="FootnoteReference"/>
        </w:rPr>
        <w:footnoteRef/>
      </w:r>
      <w:r>
        <w:t xml:space="preserve"> </w:t>
      </w:r>
      <w:r>
        <w:rPr>
          <w:i/>
        </w:rPr>
        <w:t xml:space="preserve">Investing in Regional Prosperity: Positioning the Aid Program to Support Australia’s Economic Partnership in Asia, </w:t>
      </w:r>
      <w:r>
        <w:t>Office of Development Effectiveness, July 2018, p.vi.</w:t>
      </w:r>
    </w:p>
  </w:footnote>
  <w:footnote w:id="20">
    <w:p w:rsidR="00683F0A" w:rsidRPr="0003751D" w:rsidRDefault="00683F0A" w:rsidP="0003751D">
      <w:pPr>
        <w:pStyle w:val="FootnoteText"/>
        <w:rPr>
          <w:lang w:val="en-AU"/>
        </w:rPr>
      </w:pPr>
      <w:r>
        <w:rPr>
          <w:rStyle w:val="FootnoteReference"/>
        </w:rPr>
        <w:footnoteRef/>
      </w:r>
      <w:r>
        <w:t xml:space="preserve"> </w:t>
      </w:r>
      <w:r>
        <w:rPr>
          <w:lang w:val="en-AU"/>
        </w:rPr>
        <w:t>This is a deferred evaluation due to the project end-date extension to ensure all activities could be completed.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CB" w:rsidRDefault="00EF1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0A" w:rsidRPr="00333501" w:rsidRDefault="00683F0A" w:rsidP="008F56A8">
    <w:pPr>
      <w:pStyle w:val="Header"/>
      <w:jc w:val="left"/>
    </w:pPr>
    <w:r>
      <w:rPr>
        <w:noProof/>
        <w:lang w:val="en-AU" w:eastAsia="en-AU"/>
      </w:rPr>
      <w:drawing>
        <wp:anchor distT="0" distB="0" distL="114300" distR="114300" simplePos="0" relativeHeight="251681792" behindDoc="1" locked="1" layoutInCell="1" allowOverlap="1" wp14:anchorId="39A3E519" wp14:editId="5F98D0D0">
          <wp:simplePos x="0" y="0"/>
          <wp:positionH relativeFrom="page">
            <wp:posOffset>7620</wp:posOffset>
          </wp:positionH>
          <wp:positionV relativeFrom="page">
            <wp:posOffset>55880</wp:posOffset>
          </wp:positionV>
          <wp:extent cx="7545705" cy="10702290"/>
          <wp:effectExtent l="0" t="0" r="0" b="381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CB" w:rsidRDefault="00EF1B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0A" w:rsidRDefault="00683F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0A" w:rsidRPr="00333501" w:rsidRDefault="00683F0A" w:rsidP="008F56A8">
    <w:pPr>
      <w:pStyle w:val="Header"/>
      <w:jc w:val="left"/>
    </w:pPr>
    <w:r>
      <w:rPr>
        <w:noProof/>
        <w:lang w:val="en-AU" w:eastAsia="en-AU"/>
      </w:rPr>
      <w:drawing>
        <wp:anchor distT="0" distB="0" distL="114300" distR="114300" simplePos="0" relativeHeight="251697152" behindDoc="1" locked="1" layoutInCell="1" allowOverlap="1" wp14:anchorId="3EDA5FDD" wp14:editId="5A9C8251">
          <wp:simplePos x="0" y="0"/>
          <wp:positionH relativeFrom="page">
            <wp:posOffset>160020</wp:posOffset>
          </wp:positionH>
          <wp:positionV relativeFrom="page">
            <wp:posOffset>160020</wp:posOffset>
          </wp:positionV>
          <wp:extent cx="10662285" cy="7545705"/>
          <wp:effectExtent l="0" t="0" r="5715"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0A" w:rsidRPr="003D352D" w:rsidRDefault="00683F0A" w:rsidP="003D352D">
    <w:pPr>
      <w:pStyle w:val="Header"/>
      <w:jc w:val="left"/>
    </w:pPr>
    <w:r>
      <w:rPr>
        <w:noProof/>
        <w:lang w:val="en-AU" w:eastAsia="en-AU"/>
      </w:rPr>
      <w:drawing>
        <wp:anchor distT="0" distB="0" distL="114300" distR="114300" simplePos="0" relativeHeight="251695104" behindDoc="1" locked="1" layoutInCell="1" allowOverlap="1" wp14:anchorId="41403FE2" wp14:editId="58DF8E80">
          <wp:simplePos x="0" y="0"/>
          <wp:positionH relativeFrom="page">
            <wp:posOffset>7620</wp:posOffset>
          </wp:positionH>
          <wp:positionV relativeFrom="page">
            <wp:posOffset>7620</wp:posOffset>
          </wp:positionV>
          <wp:extent cx="10662285" cy="7545705"/>
          <wp:effectExtent l="0" t="0" r="5715"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0A" w:rsidRPr="00333501" w:rsidRDefault="00EF1BCB" w:rsidP="008F56A8">
    <w:pPr>
      <w:pStyle w:val="Header"/>
      <w:jc w:val="left"/>
    </w:pPr>
    <w:r>
      <w:rPr>
        <w:noProof/>
        <w:lang w:val="en-AU" w:eastAsia="en-AU"/>
      </w:rPr>
      <w:drawing>
        <wp:anchor distT="0" distB="0" distL="114300" distR="114300" simplePos="0" relativeHeight="251701248" behindDoc="1" locked="1" layoutInCell="1" allowOverlap="1" wp14:anchorId="08E52AA2" wp14:editId="5AA14F0F">
          <wp:simplePos x="0" y="0"/>
          <wp:positionH relativeFrom="page">
            <wp:posOffset>190500</wp:posOffset>
          </wp:positionH>
          <wp:positionV relativeFrom="page">
            <wp:posOffset>0</wp:posOffset>
          </wp:positionV>
          <wp:extent cx="10662285" cy="7545705"/>
          <wp:effectExtent l="0" t="0" r="5715"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r w:rsidR="00683F0A">
      <w:rPr>
        <w:noProof/>
        <w:lang w:val="en-AU" w:eastAsia="en-AU"/>
      </w:rPr>
      <w:drawing>
        <wp:anchor distT="0" distB="0" distL="114300" distR="114300" simplePos="0" relativeHeight="251699200" behindDoc="1" locked="1" layoutInCell="1" allowOverlap="1" wp14:anchorId="68ABBF63" wp14:editId="1FDA33ED">
          <wp:simplePos x="0" y="0"/>
          <wp:positionH relativeFrom="page">
            <wp:posOffset>190500</wp:posOffset>
          </wp:positionH>
          <wp:positionV relativeFrom="page">
            <wp:align>top</wp:align>
          </wp:positionV>
          <wp:extent cx="10502265" cy="11025505"/>
          <wp:effectExtent l="0" t="0" r="0" b="4445"/>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502265"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E1E91"/>
    <w:multiLevelType w:val="hybridMultilevel"/>
    <w:tmpl w:val="C1068D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612E8F"/>
    <w:multiLevelType w:val="hybridMultilevel"/>
    <w:tmpl w:val="1186A4EA"/>
    <w:lvl w:ilvl="0" w:tplc="FCA4AE88">
      <w:numFmt w:val="bullet"/>
      <w:lvlText w:val="-"/>
      <w:lvlJc w:val="left"/>
      <w:pPr>
        <w:ind w:left="720" w:hanging="360"/>
      </w:pPr>
      <w:rPr>
        <w:rFonts w:ascii="Calibri Light" w:eastAsia="Calibri Light" w:hAnsi="Calibri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6566B2"/>
    <w:multiLevelType w:val="hybridMultilevel"/>
    <w:tmpl w:val="33CA21CE"/>
    <w:lvl w:ilvl="0" w:tplc="3EE68596">
      <w:numFmt w:val="bullet"/>
      <w:lvlText w:val=""/>
      <w:lvlJc w:val="left"/>
      <w:pPr>
        <w:ind w:left="644" w:hanging="360"/>
      </w:pPr>
      <w:rPr>
        <w:rFonts w:ascii="Symbol" w:eastAsiaTheme="minorHAnsi" w:hAnsi="Symbol" w:cstheme="minorBidi" w:hint="default"/>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9305743"/>
    <w:multiLevelType w:val="hybridMultilevel"/>
    <w:tmpl w:val="DDF6C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30AD184F"/>
    <w:multiLevelType w:val="hybridMultilevel"/>
    <w:tmpl w:val="56F8EAA4"/>
    <w:lvl w:ilvl="0" w:tplc="0C09000F">
      <w:start w:val="1"/>
      <w:numFmt w:val="decimal"/>
      <w:lvlText w:val="%1."/>
      <w:lvlJc w:val="left"/>
      <w:pPr>
        <w:ind w:left="-1422" w:hanging="360"/>
      </w:pPr>
    </w:lvl>
    <w:lvl w:ilvl="1" w:tplc="0C090019">
      <w:start w:val="1"/>
      <w:numFmt w:val="lowerLetter"/>
      <w:lvlText w:val="%2."/>
      <w:lvlJc w:val="left"/>
      <w:pPr>
        <w:ind w:left="-702" w:hanging="360"/>
      </w:pPr>
    </w:lvl>
    <w:lvl w:ilvl="2" w:tplc="0C09001B">
      <w:start w:val="1"/>
      <w:numFmt w:val="lowerRoman"/>
      <w:lvlText w:val="%3."/>
      <w:lvlJc w:val="right"/>
      <w:pPr>
        <w:ind w:left="18" w:hanging="180"/>
      </w:pPr>
    </w:lvl>
    <w:lvl w:ilvl="3" w:tplc="0C09000F">
      <w:start w:val="1"/>
      <w:numFmt w:val="decimal"/>
      <w:lvlText w:val="%4."/>
      <w:lvlJc w:val="left"/>
      <w:pPr>
        <w:ind w:left="738" w:hanging="360"/>
      </w:pPr>
    </w:lvl>
    <w:lvl w:ilvl="4" w:tplc="0C090019">
      <w:start w:val="1"/>
      <w:numFmt w:val="lowerLetter"/>
      <w:lvlText w:val="%5."/>
      <w:lvlJc w:val="left"/>
      <w:pPr>
        <w:ind w:left="1458" w:hanging="360"/>
      </w:pPr>
    </w:lvl>
    <w:lvl w:ilvl="5" w:tplc="0C09001B">
      <w:start w:val="1"/>
      <w:numFmt w:val="lowerRoman"/>
      <w:lvlText w:val="%6."/>
      <w:lvlJc w:val="right"/>
      <w:pPr>
        <w:ind w:left="2178" w:hanging="180"/>
      </w:pPr>
    </w:lvl>
    <w:lvl w:ilvl="6" w:tplc="0C09000F">
      <w:start w:val="1"/>
      <w:numFmt w:val="decimal"/>
      <w:lvlText w:val="%7."/>
      <w:lvlJc w:val="left"/>
      <w:pPr>
        <w:ind w:left="2898" w:hanging="360"/>
      </w:pPr>
    </w:lvl>
    <w:lvl w:ilvl="7" w:tplc="0C090019">
      <w:start w:val="1"/>
      <w:numFmt w:val="lowerLetter"/>
      <w:lvlText w:val="%8."/>
      <w:lvlJc w:val="left"/>
      <w:pPr>
        <w:ind w:left="3618" w:hanging="360"/>
      </w:pPr>
    </w:lvl>
    <w:lvl w:ilvl="8" w:tplc="0C09001B">
      <w:start w:val="1"/>
      <w:numFmt w:val="lowerRoman"/>
      <w:lvlText w:val="%9."/>
      <w:lvlJc w:val="right"/>
      <w:pPr>
        <w:ind w:left="4338" w:hanging="180"/>
      </w:pPr>
    </w:lvl>
  </w:abstractNum>
  <w:abstractNum w:abstractNumId="20"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2C4EC5"/>
    <w:multiLevelType w:val="hybridMultilevel"/>
    <w:tmpl w:val="36A4A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D3C1EA7"/>
    <w:multiLevelType w:val="multilevel"/>
    <w:tmpl w:val="43428892"/>
    <w:numStyleLink w:val="BulletsList"/>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C5136F9"/>
    <w:multiLevelType w:val="hybridMultilevel"/>
    <w:tmpl w:val="4EA8FEBA"/>
    <w:lvl w:ilvl="0" w:tplc="FCA4AE88">
      <w:numFmt w:val="bullet"/>
      <w:lvlText w:val="-"/>
      <w:lvlJc w:val="left"/>
      <w:pPr>
        <w:ind w:left="720" w:hanging="360"/>
      </w:pPr>
      <w:rPr>
        <w:rFonts w:ascii="Calibri Light" w:eastAsia="Calibri Light" w:hAnsi="Calibri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39F7DFC"/>
    <w:multiLevelType w:val="hybridMultilevel"/>
    <w:tmpl w:val="D0AA92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023F24"/>
    <w:multiLevelType w:val="hybridMultilevel"/>
    <w:tmpl w:val="EE7EE4D6"/>
    <w:lvl w:ilvl="0" w:tplc="F3E6412E">
      <w:numFmt w:val="bullet"/>
      <w:lvlText w:val="-"/>
      <w:lvlJc w:val="left"/>
      <w:pPr>
        <w:ind w:left="360" w:hanging="360"/>
      </w:pPr>
      <w:rPr>
        <w:rFonts w:ascii="Calibri" w:eastAsia="Calibri"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4"/>
  </w:num>
  <w:num w:numId="10">
    <w:abstractNumId w:val="2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8"/>
  </w:num>
  <w:num w:numId="23">
    <w:abstractNumId w:val="18"/>
  </w:num>
  <w:num w:numId="24">
    <w:abstractNumId w:val="25"/>
  </w:num>
  <w:num w:numId="25">
    <w:abstractNumId w:val="25"/>
  </w:num>
  <w:num w:numId="26">
    <w:abstractNumId w:val="25"/>
  </w:num>
  <w:num w:numId="27">
    <w:abstractNumId w:val="24"/>
  </w:num>
  <w:num w:numId="28">
    <w:abstractNumId w:val="11"/>
  </w:num>
  <w:num w:numId="29">
    <w:abstractNumId w:val="11"/>
  </w:num>
  <w:num w:numId="30">
    <w:abstractNumId w:val="11"/>
  </w:num>
  <w:num w:numId="31">
    <w:abstractNumId w:val="20"/>
  </w:num>
  <w:num w:numId="32">
    <w:abstractNumId w:val="23"/>
  </w:num>
  <w:num w:numId="33">
    <w:abstractNumId w:val="30"/>
  </w:num>
  <w:num w:numId="34">
    <w:abstractNumId w:val="22"/>
  </w:num>
  <w:num w:numId="35">
    <w:abstractNumId w:val="13"/>
  </w:num>
  <w:num w:numId="36">
    <w:abstractNumId w:val="16"/>
  </w:num>
  <w:num w:numId="37">
    <w:abstractNumId w:val="14"/>
  </w:num>
  <w:num w:numId="38">
    <w:abstractNumId w:val="31"/>
  </w:num>
  <w:num w:numId="39">
    <w:abstractNumId w:val="19"/>
  </w:num>
  <w:num w:numId="40">
    <w:abstractNumId w:val="10"/>
  </w:num>
  <w:num w:numId="41">
    <w:abstractNumId w:val="29"/>
  </w:num>
  <w:num w:numId="42">
    <w:abstractNumId w:val="15"/>
  </w:num>
  <w:num w:numId="43">
    <w:abstractNumId w:val="27"/>
  </w:num>
  <w:num w:numId="44">
    <w:abstractNumId w:val="17"/>
  </w:num>
  <w:num w:numId="45">
    <w:abstractNumId w:val="1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09"/>
    <w:rsid w:val="00001DA8"/>
    <w:rsid w:val="000036D2"/>
    <w:rsid w:val="00006A4D"/>
    <w:rsid w:val="0001007B"/>
    <w:rsid w:val="000144C6"/>
    <w:rsid w:val="00015316"/>
    <w:rsid w:val="00015473"/>
    <w:rsid w:val="000165CE"/>
    <w:rsid w:val="000200D0"/>
    <w:rsid w:val="0002080A"/>
    <w:rsid w:val="00021CCB"/>
    <w:rsid w:val="00022DF4"/>
    <w:rsid w:val="0002782F"/>
    <w:rsid w:val="00027F29"/>
    <w:rsid w:val="00031512"/>
    <w:rsid w:val="000332A9"/>
    <w:rsid w:val="00033AB7"/>
    <w:rsid w:val="0003751D"/>
    <w:rsid w:val="00042273"/>
    <w:rsid w:val="000424ED"/>
    <w:rsid w:val="0004311C"/>
    <w:rsid w:val="0004659E"/>
    <w:rsid w:val="0005162C"/>
    <w:rsid w:val="00051C3A"/>
    <w:rsid w:val="00054E4D"/>
    <w:rsid w:val="00055688"/>
    <w:rsid w:val="00055E8B"/>
    <w:rsid w:val="00056A0D"/>
    <w:rsid w:val="00060073"/>
    <w:rsid w:val="00060268"/>
    <w:rsid w:val="00060A05"/>
    <w:rsid w:val="00060E7A"/>
    <w:rsid w:val="0006493E"/>
    <w:rsid w:val="0006526A"/>
    <w:rsid w:val="0007370A"/>
    <w:rsid w:val="00074B87"/>
    <w:rsid w:val="00076D52"/>
    <w:rsid w:val="00081709"/>
    <w:rsid w:val="00082D8C"/>
    <w:rsid w:val="00084483"/>
    <w:rsid w:val="00092E77"/>
    <w:rsid w:val="000A034B"/>
    <w:rsid w:val="000A5382"/>
    <w:rsid w:val="000A53A5"/>
    <w:rsid w:val="000A6970"/>
    <w:rsid w:val="000B316C"/>
    <w:rsid w:val="000B31F7"/>
    <w:rsid w:val="000C5481"/>
    <w:rsid w:val="000C6C4F"/>
    <w:rsid w:val="000C7654"/>
    <w:rsid w:val="000D2CA9"/>
    <w:rsid w:val="000D3406"/>
    <w:rsid w:val="000D66D6"/>
    <w:rsid w:val="000E0850"/>
    <w:rsid w:val="000E0DEE"/>
    <w:rsid w:val="000E314A"/>
    <w:rsid w:val="000E471C"/>
    <w:rsid w:val="000E588C"/>
    <w:rsid w:val="000E7260"/>
    <w:rsid w:val="000F5797"/>
    <w:rsid w:val="00100F5A"/>
    <w:rsid w:val="0010121A"/>
    <w:rsid w:val="00104B68"/>
    <w:rsid w:val="00105DE1"/>
    <w:rsid w:val="00106FFE"/>
    <w:rsid w:val="001103E6"/>
    <w:rsid w:val="00110E92"/>
    <w:rsid w:val="00115DAA"/>
    <w:rsid w:val="001215C3"/>
    <w:rsid w:val="00122C32"/>
    <w:rsid w:val="00130D85"/>
    <w:rsid w:val="00131CE9"/>
    <w:rsid w:val="001326D1"/>
    <w:rsid w:val="00135DBB"/>
    <w:rsid w:val="00143EB9"/>
    <w:rsid w:val="00147E59"/>
    <w:rsid w:val="00153EFF"/>
    <w:rsid w:val="001541EA"/>
    <w:rsid w:val="00156C29"/>
    <w:rsid w:val="00162218"/>
    <w:rsid w:val="0016392B"/>
    <w:rsid w:val="00163D09"/>
    <w:rsid w:val="00165AA2"/>
    <w:rsid w:val="00166962"/>
    <w:rsid w:val="00174B8C"/>
    <w:rsid w:val="00176ECC"/>
    <w:rsid w:val="00184818"/>
    <w:rsid w:val="00186EA3"/>
    <w:rsid w:val="00186F20"/>
    <w:rsid w:val="00187F9C"/>
    <w:rsid w:val="00190C63"/>
    <w:rsid w:val="00192638"/>
    <w:rsid w:val="00195629"/>
    <w:rsid w:val="001959A5"/>
    <w:rsid w:val="001977CD"/>
    <w:rsid w:val="001A1C55"/>
    <w:rsid w:val="001B1970"/>
    <w:rsid w:val="001B3C09"/>
    <w:rsid w:val="001B4246"/>
    <w:rsid w:val="001B5019"/>
    <w:rsid w:val="001C0A82"/>
    <w:rsid w:val="001C0C2E"/>
    <w:rsid w:val="001D2F22"/>
    <w:rsid w:val="001D663E"/>
    <w:rsid w:val="001E1AB8"/>
    <w:rsid w:val="001E1DC0"/>
    <w:rsid w:val="001E3753"/>
    <w:rsid w:val="001E3B43"/>
    <w:rsid w:val="001F1A7F"/>
    <w:rsid w:val="001F3C28"/>
    <w:rsid w:val="001F7486"/>
    <w:rsid w:val="001F7980"/>
    <w:rsid w:val="0020363F"/>
    <w:rsid w:val="0020517E"/>
    <w:rsid w:val="002053CB"/>
    <w:rsid w:val="00210C7F"/>
    <w:rsid w:val="00211EB9"/>
    <w:rsid w:val="002161A9"/>
    <w:rsid w:val="002206C9"/>
    <w:rsid w:val="00224004"/>
    <w:rsid w:val="00224C7E"/>
    <w:rsid w:val="00225913"/>
    <w:rsid w:val="002309D8"/>
    <w:rsid w:val="00236A53"/>
    <w:rsid w:val="00236E14"/>
    <w:rsid w:val="00244CE9"/>
    <w:rsid w:val="0024748D"/>
    <w:rsid w:val="00260844"/>
    <w:rsid w:val="00261558"/>
    <w:rsid w:val="00264545"/>
    <w:rsid w:val="00272C99"/>
    <w:rsid w:val="00274FED"/>
    <w:rsid w:val="00275DB7"/>
    <w:rsid w:val="0027602A"/>
    <w:rsid w:val="0027642D"/>
    <w:rsid w:val="0028036C"/>
    <w:rsid w:val="00282A3C"/>
    <w:rsid w:val="00283B8C"/>
    <w:rsid w:val="00284957"/>
    <w:rsid w:val="0028602A"/>
    <w:rsid w:val="002869F0"/>
    <w:rsid w:val="002A27BF"/>
    <w:rsid w:val="002A51CA"/>
    <w:rsid w:val="002A53E4"/>
    <w:rsid w:val="002A6AC8"/>
    <w:rsid w:val="002B1C6F"/>
    <w:rsid w:val="002B3E95"/>
    <w:rsid w:val="002B5E10"/>
    <w:rsid w:val="002B6B34"/>
    <w:rsid w:val="002B79F6"/>
    <w:rsid w:val="002C474C"/>
    <w:rsid w:val="002C56CE"/>
    <w:rsid w:val="002C6590"/>
    <w:rsid w:val="002D2377"/>
    <w:rsid w:val="002D294A"/>
    <w:rsid w:val="002D2B16"/>
    <w:rsid w:val="002D37BC"/>
    <w:rsid w:val="002D7C26"/>
    <w:rsid w:val="002E68E7"/>
    <w:rsid w:val="002F0D4D"/>
    <w:rsid w:val="002F2802"/>
    <w:rsid w:val="002F4129"/>
    <w:rsid w:val="002F43F6"/>
    <w:rsid w:val="003002C0"/>
    <w:rsid w:val="00301144"/>
    <w:rsid w:val="00301A1D"/>
    <w:rsid w:val="003065AE"/>
    <w:rsid w:val="00306CA9"/>
    <w:rsid w:val="00307CA7"/>
    <w:rsid w:val="003103AE"/>
    <w:rsid w:val="0031341A"/>
    <w:rsid w:val="003148B7"/>
    <w:rsid w:val="003158C3"/>
    <w:rsid w:val="00316C4B"/>
    <w:rsid w:val="00320251"/>
    <w:rsid w:val="00324651"/>
    <w:rsid w:val="003274CD"/>
    <w:rsid w:val="00332EC9"/>
    <w:rsid w:val="00333501"/>
    <w:rsid w:val="00341489"/>
    <w:rsid w:val="00341A45"/>
    <w:rsid w:val="00343014"/>
    <w:rsid w:val="003437A3"/>
    <w:rsid w:val="00343C7E"/>
    <w:rsid w:val="003457C4"/>
    <w:rsid w:val="0034581E"/>
    <w:rsid w:val="00345A3D"/>
    <w:rsid w:val="00347959"/>
    <w:rsid w:val="00350799"/>
    <w:rsid w:val="0035119D"/>
    <w:rsid w:val="003535AF"/>
    <w:rsid w:val="00353DB4"/>
    <w:rsid w:val="00355BFF"/>
    <w:rsid w:val="0035610B"/>
    <w:rsid w:val="00356E2B"/>
    <w:rsid w:val="003570C7"/>
    <w:rsid w:val="00362B3E"/>
    <w:rsid w:val="0036601E"/>
    <w:rsid w:val="003708BC"/>
    <w:rsid w:val="00373253"/>
    <w:rsid w:val="00385DFD"/>
    <w:rsid w:val="0038773F"/>
    <w:rsid w:val="003A436E"/>
    <w:rsid w:val="003A44F8"/>
    <w:rsid w:val="003A6D40"/>
    <w:rsid w:val="003B10F8"/>
    <w:rsid w:val="003B4F12"/>
    <w:rsid w:val="003C0AB8"/>
    <w:rsid w:val="003C6D69"/>
    <w:rsid w:val="003D352D"/>
    <w:rsid w:val="003D5879"/>
    <w:rsid w:val="003D6076"/>
    <w:rsid w:val="003E34CD"/>
    <w:rsid w:val="003F018D"/>
    <w:rsid w:val="00400B0F"/>
    <w:rsid w:val="0040165F"/>
    <w:rsid w:val="00402ACC"/>
    <w:rsid w:val="0040479B"/>
    <w:rsid w:val="00404F8A"/>
    <w:rsid w:val="00406930"/>
    <w:rsid w:val="00406A4C"/>
    <w:rsid w:val="004120EC"/>
    <w:rsid w:val="00414D60"/>
    <w:rsid w:val="0042384B"/>
    <w:rsid w:val="00423F31"/>
    <w:rsid w:val="00430EB1"/>
    <w:rsid w:val="00431899"/>
    <w:rsid w:val="00431E2C"/>
    <w:rsid w:val="0043564E"/>
    <w:rsid w:val="004414D8"/>
    <w:rsid w:val="00441543"/>
    <w:rsid w:val="00441FA9"/>
    <w:rsid w:val="00442C7E"/>
    <w:rsid w:val="0044762A"/>
    <w:rsid w:val="004500B9"/>
    <w:rsid w:val="00452B28"/>
    <w:rsid w:val="004613AC"/>
    <w:rsid w:val="004708AF"/>
    <w:rsid w:val="004758CC"/>
    <w:rsid w:val="00477EE5"/>
    <w:rsid w:val="00483C8E"/>
    <w:rsid w:val="0048464F"/>
    <w:rsid w:val="00485EF7"/>
    <w:rsid w:val="00486804"/>
    <w:rsid w:val="00487106"/>
    <w:rsid w:val="004977A1"/>
    <w:rsid w:val="004A0595"/>
    <w:rsid w:val="004A1F30"/>
    <w:rsid w:val="004B1D83"/>
    <w:rsid w:val="004B22D6"/>
    <w:rsid w:val="004B3775"/>
    <w:rsid w:val="004B3A80"/>
    <w:rsid w:val="004B47BD"/>
    <w:rsid w:val="004B6701"/>
    <w:rsid w:val="004C2686"/>
    <w:rsid w:val="004C2A4C"/>
    <w:rsid w:val="004C5ABA"/>
    <w:rsid w:val="004D0BA0"/>
    <w:rsid w:val="004D0DED"/>
    <w:rsid w:val="004D10CA"/>
    <w:rsid w:val="004D1734"/>
    <w:rsid w:val="004D43F3"/>
    <w:rsid w:val="004D5297"/>
    <w:rsid w:val="004D5BB2"/>
    <w:rsid w:val="004D7EBA"/>
    <w:rsid w:val="004E0264"/>
    <w:rsid w:val="004E058F"/>
    <w:rsid w:val="004E08C1"/>
    <w:rsid w:val="004E22A2"/>
    <w:rsid w:val="004E3B87"/>
    <w:rsid w:val="004E4C52"/>
    <w:rsid w:val="004E77B7"/>
    <w:rsid w:val="004F3BCB"/>
    <w:rsid w:val="004F437F"/>
    <w:rsid w:val="004F58D1"/>
    <w:rsid w:val="004F6016"/>
    <w:rsid w:val="00501C58"/>
    <w:rsid w:val="00502913"/>
    <w:rsid w:val="00504945"/>
    <w:rsid w:val="00510921"/>
    <w:rsid w:val="00510AD3"/>
    <w:rsid w:val="00510BA4"/>
    <w:rsid w:val="00510CCC"/>
    <w:rsid w:val="00510FAB"/>
    <w:rsid w:val="00511244"/>
    <w:rsid w:val="00512B6E"/>
    <w:rsid w:val="00513348"/>
    <w:rsid w:val="00513B0B"/>
    <w:rsid w:val="00525FA8"/>
    <w:rsid w:val="0053312A"/>
    <w:rsid w:val="00533B5D"/>
    <w:rsid w:val="005351A9"/>
    <w:rsid w:val="005409EB"/>
    <w:rsid w:val="00546471"/>
    <w:rsid w:val="00547CAC"/>
    <w:rsid w:val="005511BF"/>
    <w:rsid w:val="00565A86"/>
    <w:rsid w:val="00577D69"/>
    <w:rsid w:val="005828E7"/>
    <w:rsid w:val="00584DDE"/>
    <w:rsid w:val="00591031"/>
    <w:rsid w:val="0059146A"/>
    <w:rsid w:val="0059150F"/>
    <w:rsid w:val="005950EA"/>
    <w:rsid w:val="005A470C"/>
    <w:rsid w:val="005B0145"/>
    <w:rsid w:val="005B2375"/>
    <w:rsid w:val="005B2A85"/>
    <w:rsid w:val="005B5769"/>
    <w:rsid w:val="005C06D4"/>
    <w:rsid w:val="005C0B64"/>
    <w:rsid w:val="005C6954"/>
    <w:rsid w:val="005D3655"/>
    <w:rsid w:val="005D3DB5"/>
    <w:rsid w:val="005D44C4"/>
    <w:rsid w:val="005D6C15"/>
    <w:rsid w:val="005E110E"/>
    <w:rsid w:val="005E511F"/>
    <w:rsid w:val="005E571D"/>
    <w:rsid w:val="005E5E2D"/>
    <w:rsid w:val="005E606B"/>
    <w:rsid w:val="005E6926"/>
    <w:rsid w:val="005F41CB"/>
    <w:rsid w:val="005F611E"/>
    <w:rsid w:val="00600479"/>
    <w:rsid w:val="00600984"/>
    <w:rsid w:val="0060222C"/>
    <w:rsid w:val="0060584B"/>
    <w:rsid w:val="006067B0"/>
    <w:rsid w:val="00611260"/>
    <w:rsid w:val="00615669"/>
    <w:rsid w:val="00623283"/>
    <w:rsid w:val="00623BA1"/>
    <w:rsid w:val="0063141D"/>
    <w:rsid w:val="006346BC"/>
    <w:rsid w:val="006426B8"/>
    <w:rsid w:val="0065245F"/>
    <w:rsid w:val="00652572"/>
    <w:rsid w:val="00657AEE"/>
    <w:rsid w:val="00660A14"/>
    <w:rsid w:val="00665D4C"/>
    <w:rsid w:val="0066652A"/>
    <w:rsid w:val="00667285"/>
    <w:rsid w:val="00672076"/>
    <w:rsid w:val="00672886"/>
    <w:rsid w:val="006766D5"/>
    <w:rsid w:val="00676734"/>
    <w:rsid w:val="00680522"/>
    <w:rsid w:val="00681F08"/>
    <w:rsid w:val="00682167"/>
    <w:rsid w:val="00683F0A"/>
    <w:rsid w:val="0068608E"/>
    <w:rsid w:val="00686515"/>
    <w:rsid w:val="0069128D"/>
    <w:rsid w:val="00692661"/>
    <w:rsid w:val="006926A1"/>
    <w:rsid w:val="0069568B"/>
    <w:rsid w:val="006A000E"/>
    <w:rsid w:val="006A048D"/>
    <w:rsid w:val="006A478F"/>
    <w:rsid w:val="006A5274"/>
    <w:rsid w:val="006A5F02"/>
    <w:rsid w:val="006B52B8"/>
    <w:rsid w:val="006C42AF"/>
    <w:rsid w:val="006C4F09"/>
    <w:rsid w:val="006D0728"/>
    <w:rsid w:val="006D6E38"/>
    <w:rsid w:val="006D7CA7"/>
    <w:rsid w:val="006E6376"/>
    <w:rsid w:val="006F27B1"/>
    <w:rsid w:val="006F2817"/>
    <w:rsid w:val="007021FF"/>
    <w:rsid w:val="00711D8E"/>
    <w:rsid w:val="00712672"/>
    <w:rsid w:val="00712CB4"/>
    <w:rsid w:val="007146CB"/>
    <w:rsid w:val="00715318"/>
    <w:rsid w:val="00720171"/>
    <w:rsid w:val="00727173"/>
    <w:rsid w:val="00734E3F"/>
    <w:rsid w:val="00736985"/>
    <w:rsid w:val="00741071"/>
    <w:rsid w:val="00744BD3"/>
    <w:rsid w:val="00745DF5"/>
    <w:rsid w:val="00760C59"/>
    <w:rsid w:val="007616F1"/>
    <w:rsid w:val="00761A50"/>
    <w:rsid w:val="007620F5"/>
    <w:rsid w:val="0076250F"/>
    <w:rsid w:val="00763827"/>
    <w:rsid w:val="00771B53"/>
    <w:rsid w:val="00772C0C"/>
    <w:rsid w:val="00776CA1"/>
    <w:rsid w:val="0078152E"/>
    <w:rsid w:val="00782A5B"/>
    <w:rsid w:val="00784031"/>
    <w:rsid w:val="00784BF2"/>
    <w:rsid w:val="0079311C"/>
    <w:rsid w:val="007A0C6C"/>
    <w:rsid w:val="007A1397"/>
    <w:rsid w:val="007A1768"/>
    <w:rsid w:val="007B3923"/>
    <w:rsid w:val="007B4865"/>
    <w:rsid w:val="007B5E6A"/>
    <w:rsid w:val="007B6200"/>
    <w:rsid w:val="007B7FDB"/>
    <w:rsid w:val="007C2540"/>
    <w:rsid w:val="007C3843"/>
    <w:rsid w:val="007C62D4"/>
    <w:rsid w:val="007C645B"/>
    <w:rsid w:val="007C7418"/>
    <w:rsid w:val="007D0299"/>
    <w:rsid w:val="007D2465"/>
    <w:rsid w:val="007D2E25"/>
    <w:rsid w:val="007D2EF0"/>
    <w:rsid w:val="007E5D2C"/>
    <w:rsid w:val="007F246C"/>
    <w:rsid w:val="007F3395"/>
    <w:rsid w:val="007F3EAE"/>
    <w:rsid w:val="00800708"/>
    <w:rsid w:val="00801B9F"/>
    <w:rsid w:val="008026F1"/>
    <w:rsid w:val="00802850"/>
    <w:rsid w:val="00804206"/>
    <w:rsid w:val="008057FD"/>
    <w:rsid w:val="00807378"/>
    <w:rsid w:val="008101BF"/>
    <w:rsid w:val="00814FCA"/>
    <w:rsid w:val="008212B1"/>
    <w:rsid w:val="0082241C"/>
    <w:rsid w:val="00822670"/>
    <w:rsid w:val="00827A9E"/>
    <w:rsid w:val="00831B5C"/>
    <w:rsid w:val="008337E5"/>
    <w:rsid w:val="008360AD"/>
    <w:rsid w:val="0084260A"/>
    <w:rsid w:val="00845C67"/>
    <w:rsid w:val="008475F0"/>
    <w:rsid w:val="008518C3"/>
    <w:rsid w:val="0085265D"/>
    <w:rsid w:val="00852C04"/>
    <w:rsid w:val="0085427B"/>
    <w:rsid w:val="00856D28"/>
    <w:rsid w:val="0086193D"/>
    <w:rsid w:val="00862F24"/>
    <w:rsid w:val="00864210"/>
    <w:rsid w:val="00866263"/>
    <w:rsid w:val="00866D4F"/>
    <w:rsid w:val="00867723"/>
    <w:rsid w:val="008705F6"/>
    <w:rsid w:val="00872DDA"/>
    <w:rsid w:val="0087314E"/>
    <w:rsid w:val="008755EB"/>
    <w:rsid w:val="00880004"/>
    <w:rsid w:val="00881924"/>
    <w:rsid w:val="0089104A"/>
    <w:rsid w:val="00891631"/>
    <w:rsid w:val="00891BC8"/>
    <w:rsid w:val="008A0051"/>
    <w:rsid w:val="008A3CFF"/>
    <w:rsid w:val="008A5AFE"/>
    <w:rsid w:val="008B0962"/>
    <w:rsid w:val="008B24FA"/>
    <w:rsid w:val="008B32C2"/>
    <w:rsid w:val="008B3CE4"/>
    <w:rsid w:val="008B68D7"/>
    <w:rsid w:val="008B7D42"/>
    <w:rsid w:val="008C0483"/>
    <w:rsid w:val="008C2F58"/>
    <w:rsid w:val="008C3D69"/>
    <w:rsid w:val="008C5A0E"/>
    <w:rsid w:val="008D4FB4"/>
    <w:rsid w:val="008E3290"/>
    <w:rsid w:val="008E3AF8"/>
    <w:rsid w:val="008F0C31"/>
    <w:rsid w:val="008F1849"/>
    <w:rsid w:val="008F39AF"/>
    <w:rsid w:val="008F56A8"/>
    <w:rsid w:val="008F7DBE"/>
    <w:rsid w:val="00900019"/>
    <w:rsid w:val="00902F9B"/>
    <w:rsid w:val="009137D0"/>
    <w:rsid w:val="00916091"/>
    <w:rsid w:val="00916944"/>
    <w:rsid w:val="009208D5"/>
    <w:rsid w:val="009228A2"/>
    <w:rsid w:val="00927500"/>
    <w:rsid w:val="009312DC"/>
    <w:rsid w:val="009339D9"/>
    <w:rsid w:val="00940808"/>
    <w:rsid w:val="009413C0"/>
    <w:rsid w:val="00941E34"/>
    <w:rsid w:val="0094278F"/>
    <w:rsid w:val="0094781D"/>
    <w:rsid w:val="00947E05"/>
    <w:rsid w:val="00953379"/>
    <w:rsid w:val="009535D5"/>
    <w:rsid w:val="00953FED"/>
    <w:rsid w:val="009546AD"/>
    <w:rsid w:val="009554B0"/>
    <w:rsid w:val="00955BBB"/>
    <w:rsid w:val="00956266"/>
    <w:rsid w:val="009600CF"/>
    <w:rsid w:val="00965B1E"/>
    <w:rsid w:val="00970924"/>
    <w:rsid w:val="00970B75"/>
    <w:rsid w:val="00973A63"/>
    <w:rsid w:val="00973CF4"/>
    <w:rsid w:val="00975350"/>
    <w:rsid w:val="00977F67"/>
    <w:rsid w:val="00980067"/>
    <w:rsid w:val="00983157"/>
    <w:rsid w:val="00984B42"/>
    <w:rsid w:val="00987617"/>
    <w:rsid w:val="009903F3"/>
    <w:rsid w:val="00992C76"/>
    <w:rsid w:val="00992F76"/>
    <w:rsid w:val="00994CAB"/>
    <w:rsid w:val="009961B9"/>
    <w:rsid w:val="009A2129"/>
    <w:rsid w:val="009B0F26"/>
    <w:rsid w:val="009B20C8"/>
    <w:rsid w:val="009B36A9"/>
    <w:rsid w:val="009B4D3B"/>
    <w:rsid w:val="009B736C"/>
    <w:rsid w:val="009C1AF7"/>
    <w:rsid w:val="009C248A"/>
    <w:rsid w:val="009C3B86"/>
    <w:rsid w:val="009C54AF"/>
    <w:rsid w:val="009C5CFB"/>
    <w:rsid w:val="009C6664"/>
    <w:rsid w:val="009D7407"/>
    <w:rsid w:val="009E0866"/>
    <w:rsid w:val="009E17DE"/>
    <w:rsid w:val="009E36AC"/>
    <w:rsid w:val="009E3DDE"/>
    <w:rsid w:val="009E7BB8"/>
    <w:rsid w:val="009F5488"/>
    <w:rsid w:val="009F6423"/>
    <w:rsid w:val="009F6593"/>
    <w:rsid w:val="00A019AE"/>
    <w:rsid w:val="00A0348A"/>
    <w:rsid w:val="00A03F07"/>
    <w:rsid w:val="00A0755E"/>
    <w:rsid w:val="00A116DC"/>
    <w:rsid w:val="00A152F7"/>
    <w:rsid w:val="00A24A62"/>
    <w:rsid w:val="00A25675"/>
    <w:rsid w:val="00A30C01"/>
    <w:rsid w:val="00A31C9F"/>
    <w:rsid w:val="00A331E9"/>
    <w:rsid w:val="00A34A28"/>
    <w:rsid w:val="00A3623F"/>
    <w:rsid w:val="00A40EEC"/>
    <w:rsid w:val="00A4144F"/>
    <w:rsid w:val="00A461A2"/>
    <w:rsid w:val="00A46BFF"/>
    <w:rsid w:val="00A471C4"/>
    <w:rsid w:val="00A52F97"/>
    <w:rsid w:val="00A54034"/>
    <w:rsid w:val="00A56F14"/>
    <w:rsid w:val="00A63FB4"/>
    <w:rsid w:val="00A80F95"/>
    <w:rsid w:val="00A80F9E"/>
    <w:rsid w:val="00A8197B"/>
    <w:rsid w:val="00A84F92"/>
    <w:rsid w:val="00A8542E"/>
    <w:rsid w:val="00A85500"/>
    <w:rsid w:val="00A92E2F"/>
    <w:rsid w:val="00A94442"/>
    <w:rsid w:val="00A973D9"/>
    <w:rsid w:val="00AA3E21"/>
    <w:rsid w:val="00AA7BE3"/>
    <w:rsid w:val="00AB154C"/>
    <w:rsid w:val="00AB2E42"/>
    <w:rsid w:val="00AB2FAC"/>
    <w:rsid w:val="00AB5E7F"/>
    <w:rsid w:val="00AB792D"/>
    <w:rsid w:val="00AC164A"/>
    <w:rsid w:val="00AC2F76"/>
    <w:rsid w:val="00AC302F"/>
    <w:rsid w:val="00AC4E4D"/>
    <w:rsid w:val="00AC5ACB"/>
    <w:rsid w:val="00AD02C7"/>
    <w:rsid w:val="00AD08F1"/>
    <w:rsid w:val="00AD1091"/>
    <w:rsid w:val="00AD147D"/>
    <w:rsid w:val="00AD2BE2"/>
    <w:rsid w:val="00AD31CC"/>
    <w:rsid w:val="00AD7CAE"/>
    <w:rsid w:val="00AE130F"/>
    <w:rsid w:val="00AE172C"/>
    <w:rsid w:val="00AF1B85"/>
    <w:rsid w:val="00AF1F53"/>
    <w:rsid w:val="00AF2050"/>
    <w:rsid w:val="00AF493C"/>
    <w:rsid w:val="00AF766C"/>
    <w:rsid w:val="00B0179D"/>
    <w:rsid w:val="00B03CA8"/>
    <w:rsid w:val="00B07721"/>
    <w:rsid w:val="00B11491"/>
    <w:rsid w:val="00B11FC6"/>
    <w:rsid w:val="00B1576B"/>
    <w:rsid w:val="00B16214"/>
    <w:rsid w:val="00B27987"/>
    <w:rsid w:val="00B331DC"/>
    <w:rsid w:val="00B35D9D"/>
    <w:rsid w:val="00B36D4C"/>
    <w:rsid w:val="00B37C19"/>
    <w:rsid w:val="00B4226C"/>
    <w:rsid w:val="00B438D3"/>
    <w:rsid w:val="00B4670A"/>
    <w:rsid w:val="00B5115E"/>
    <w:rsid w:val="00B55476"/>
    <w:rsid w:val="00B55E19"/>
    <w:rsid w:val="00B62126"/>
    <w:rsid w:val="00B623A2"/>
    <w:rsid w:val="00B63991"/>
    <w:rsid w:val="00B6558B"/>
    <w:rsid w:val="00B71205"/>
    <w:rsid w:val="00B775EE"/>
    <w:rsid w:val="00B82BA1"/>
    <w:rsid w:val="00B87252"/>
    <w:rsid w:val="00B91D34"/>
    <w:rsid w:val="00B92C96"/>
    <w:rsid w:val="00B953F8"/>
    <w:rsid w:val="00B96BF0"/>
    <w:rsid w:val="00BA03CC"/>
    <w:rsid w:val="00BA0AC6"/>
    <w:rsid w:val="00BA0D51"/>
    <w:rsid w:val="00BA347B"/>
    <w:rsid w:val="00BA4B6D"/>
    <w:rsid w:val="00BB254C"/>
    <w:rsid w:val="00BB26C5"/>
    <w:rsid w:val="00BB3090"/>
    <w:rsid w:val="00BC337C"/>
    <w:rsid w:val="00BC47CF"/>
    <w:rsid w:val="00BC4C11"/>
    <w:rsid w:val="00BD520C"/>
    <w:rsid w:val="00BD5879"/>
    <w:rsid w:val="00BE6B92"/>
    <w:rsid w:val="00BE6C6D"/>
    <w:rsid w:val="00BE6D1C"/>
    <w:rsid w:val="00BE6E48"/>
    <w:rsid w:val="00BE737D"/>
    <w:rsid w:val="00BF011B"/>
    <w:rsid w:val="00BF39D2"/>
    <w:rsid w:val="00BF4DE6"/>
    <w:rsid w:val="00BF6D39"/>
    <w:rsid w:val="00C0469E"/>
    <w:rsid w:val="00C046AB"/>
    <w:rsid w:val="00C0716A"/>
    <w:rsid w:val="00C12636"/>
    <w:rsid w:val="00C15F07"/>
    <w:rsid w:val="00C200D5"/>
    <w:rsid w:val="00C22DC0"/>
    <w:rsid w:val="00C244C8"/>
    <w:rsid w:val="00C265C1"/>
    <w:rsid w:val="00C2673D"/>
    <w:rsid w:val="00C3490C"/>
    <w:rsid w:val="00C357E5"/>
    <w:rsid w:val="00C37399"/>
    <w:rsid w:val="00C406F0"/>
    <w:rsid w:val="00C41316"/>
    <w:rsid w:val="00C41FF3"/>
    <w:rsid w:val="00C42CDE"/>
    <w:rsid w:val="00C4464B"/>
    <w:rsid w:val="00C500D7"/>
    <w:rsid w:val="00C5182A"/>
    <w:rsid w:val="00C51AB9"/>
    <w:rsid w:val="00C522CC"/>
    <w:rsid w:val="00C56BB7"/>
    <w:rsid w:val="00C57C31"/>
    <w:rsid w:val="00C60E83"/>
    <w:rsid w:val="00C63EE9"/>
    <w:rsid w:val="00C6626C"/>
    <w:rsid w:val="00C6626E"/>
    <w:rsid w:val="00C7297E"/>
    <w:rsid w:val="00C80E70"/>
    <w:rsid w:val="00C8187B"/>
    <w:rsid w:val="00C81AEA"/>
    <w:rsid w:val="00C903C9"/>
    <w:rsid w:val="00C90460"/>
    <w:rsid w:val="00C90AA1"/>
    <w:rsid w:val="00C921F3"/>
    <w:rsid w:val="00C92471"/>
    <w:rsid w:val="00C95BB2"/>
    <w:rsid w:val="00C97D25"/>
    <w:rsid w:val="00CA37B1"/>
    <w:rsid w:val="00CA70C1"/>
    <w:rsid w:val="00CA7DD8"/>
    <w:rsid w:val="00CB0572"/>
    <w:rsid w:val="00CB1959"/>
    <w:rsid w:val="00CB4C2F"/>
    <w:rsid w:val="00CB5B73"/>
    <w:rsid w:val="00CB5DBC"/>
    <w:rsid w:val="00CC0861"/>
    <w:rsid w:val="00CC2560"/>
    <w:rsid w:val="00CC3BD5"/>
    <w:rsid w:val="00CD0E4B"/>
    <w:rsid w:val="00CE0155"/>
    <w:rsid w:val="00CE0201"/>
    <w:rsid w:val="00CE03D4"/>
    <w:rsid w:val="00CE32B2"/>
    <w:rsid w:val="00CE5DF0"/>
    <w:rsid w:val="00CF3512"/>
    <w:rsid w:val="00D00802"/>
    <w:rsid w:val="00D0296C"/>
    <w:rsid w:val="00D0507C"/>
    <w:rsid w:val="00D07C52"/>
    <w:rsid w:val="00D13480"/>
    <w:rsid w:val="00D135B2"/>
    <w:rsid w:val="00D1387B"/>
    <w:rsid w:val="00D1389B"/>
    <w:rsid w:val="00D14263"/>
    <w:rsid w:val="00D146A2"/>
    <w:rsid w:val="00D15A00"/>
    <w:rsid w:val="00D233CF"/>
    <w:rsid w:val="00D26C67"/>
    <w:rsid w:val="00D3315E"/>
    <w:rsid w:val="00D33BF8"/>
    <w:rsid w:val="00D37717"/>
    <w:rsid w:val="00D40AEB"/>
    <w:rsid w:val="00D4281B"/>
    <w:rsid w:val="00D447B6"/>
    <w:rsid w:val="00D460DC"/>
    <w:rsid w:val="00D5718E"/>
    <w:rsid w:val="00D64BD1"/>
    <w:rsid w:val="00D71A50"/>
    <w:rsid w:val="00D72760"/>
    <w:rsid w:val="00D72E16"/>
    <w:rsid w:val="00D73937"/>
    <w:rsid w:val="00D73EFE"/>
    <w:rsid w:val="00D7484E"/>
    <w:rsid w:val="00D74B61"/>
    <w:rsid w:val="00D82E1D"/>
    <w:rsid w:val="00D854E0"/>
    <w:rsid w:val="00D86954"/>
    <w:rsid w:val="00D90284"/>
    <w:rsid w:val="00D927C2"/>
    <w:rsid w:val="00D937FB"/>
    <w:rsid w:val="00D95580"/>
    <w:rsid w:val="00D97D87"/>
    <w:rsid w:val="00DA040F"/>
    <w:rsid w:val="00DA0542"/>
    <w:rsid w:val="00DA2710"/>
    <w:rsid w:val="00DA4059"/>
    <w:rsid w:val="00DA4C03"/>
    <w:rsid w:val="00DA598B"/>
    <w:rsid w:val="00DA6794"/>
    <w:rsid w:val="00DA7BCB"/>
    <w:rsid w:val="00DB1EFA"/>
    <w:rsid w:val="00DB41B4"/>
    <w:rsid w:val="00DB4D60"/>
    <w:rsid w:val="00DB6B9B"/>
    <w:rsid w:val="00DC0204"/>
    <w:rsid w:val="00DC2454"/>
    <w:rsid w:val="00DC335D"/>
    <w:rsid w:val="00DC62EE"/>
    <w:rsid w:val="00DC7AC7"/>
    <w:rsid w:val="00DD1986"/>
    <w:rsid w:val="00DD5B40"/>
    <w:rsid w:val="00DE084C"/>
    <w:rsid w:val="00DE6100"/>
    <w:rsid w:val="00DF018E"/>
    <w:rsid w:val="00E007CA"/>
    <w:rsid w:val="00E042A7"/>
    <w:rsid w:val="00E05814"/>
    <w:rsid w:val="00E0719C"/>
    <w:rsid w:val="00E10487"/>
    <w:rsid w:val="00E127A1"/>
    <w:rsid w:val="00E16599"/>
    <w:rsid w:val="00E2086F"/>
    <w:rsid w:val="00E23A80"/>
    <w:rsid w:val="00E245D7"/>
    <w:rsid w:val="00E278C1"/>
    <w:rsid w:val="00E32BCD"/>
    <w:rsid w:val="00E33A4D"/>
    <w:rsid w:val="00E34E9D"/>
    <w:rsid w:val="00E357B7"/>
    <w:rsid w:val="00E36F91"/>
    <w:rsid w:val="00E41274"/>
    <w:rsid w:val="00E44EAD"/>
    <w:rsid w:val="00E46AD2"/>
    <w:rsid w:val="00E47CE3"/>
    <w:rsid w:val="00E5277A"/>
    <w:rsid w:val="00E53800"/>
    <w:rsid w:val="00E5707B"/>
    <w:rsid w:val="00E6081F"/>
    <w:rsid w:val="00E60863"/>
    <w:rsid w:val="00E636D6"/>
    <w:rsid w:val="00E64CD9"/>
    <w:rsid w:val="00E73C50"/>
    <w:rsid w:val="00E73D43"/>
    <w:rsid w:val="00E76001"/>
    <w:rsid w:val="00E776BC"/>
    <w:rsid w:val="00E7797C"/>
    <w:rsid w:val="00E8076D"/>
    <w:rsid w:val="00E83FB7"/>
    <w:rsid w:val="00E86013"/>
    <w:rsid w:val="00E923D0"/>
    <w:rsid w:val="00E96AAE"/>
    <w:rsid w:val="00EA04B2"/>
    <w:rsid w:val="00EA20F3"/>
    <w:rsid w:val="00EA2A3F"/>
    <w:rsid w:val="00EA441A"/>
    <w:rsid w:val="00EA7907"/>
    <w:rsid w:val="00EB2D0F"/>
    <w:rsid w:val="00EB36A6"/>
    <w:rsid w:val="00EB3DD3"/>
    <w:rsid w:val="00EB6A97"/>
    <w:rsid w:val="00EB6BDE"/>
    <w:rsid w:val="00EC38DB"/>
    <w:rsid w:val="00EC44AB"/>
    <w:rsid w:val="00EC5C8D"/>
    <w:rsid w:val="00ED1B68"/>
    <w:rsid w:val="00ED2831"/>
    <w:rsid w:val="00ED43D1"/>
    <w:rsid w:val="00ED71F5"/>
    <w:rsid w:val="00EE4EE1"/>
    <w:rsid w:val="00EE5CB6"/>
    <w:rsid w:val="00EE5D1D"/>
    <w:rsid w:val="00EF1BCB"/>
    <w:rsid w:val="00EF3D8B"/>
    <w:rsid w:val="00EF4574"/>
    <w:rsid w:val="00EF6543"/>
    <w:rsid w:val="00EF6D5A"/>
    <w:rsid w:val="00F02ED2"/>
    <w:rsid w:val="00F03CF2"/>
    <w:rsid w:val="00F06D49"/>
    <w:rsid w:val="00F16365"/>
    <w:rsid w:val="00F26475"/>
    <w:rsid w:val="00F2684E"/>
    <w:rsid w:val="00F30CE7"/>
    <w:rsid w:val="00F3148D"/>
    <w:rsid w:val="00F35BFF"/>
    <w:rsid w:val="00F4100E"/>
    <w:rsid w:val="00F41E19"/>
    <w:rsid w:val="00F420D7"/>
    <w:rsid w:val="00F50E54"/>
    <w:rsid w:val="00F53422"/>
    <w:rsid w:val="00F53C81"/>
    <w:rsid w:val="00F53EE8"/>
    <w:rsid w:val="00F5404C"/>
    <w:rsid w:val="00F55920"/>
    <w:rsid w:val="00F61DCE"/>
    <w:rsid w:val="00F653B4"/>
    <w:rsid w:val="00F67487"/>
    <w:rsid w:val="00F729EF"/>
    <w:rsid w:val="00F73681"/>
    <w:rsid w:val="00F770AB"/>
    <w:rsid w:val="00F77CAE"/>
    <w:rsid w:val="00F77ECA"/>
    <w:rsid w:val="00F802F7"/>
    <w:rsid w:val="00F82271"/>
    <w:rsid w:val="00F83428"/>
    <w:rsid w:val="00F8511D"/>
    <w:rsid w:val="00F85C8F"/>
    <w:rsid w:val="00F9429D"/>
    <w:rsid w:val="00F956F1"/>
    <w:rsid w:val="00F962BE"/>
    <w:rsid w:val="00F96BB9"/>
    <w:rsid w:val="00FA5D51"/>
    <w:rsid w:val="00FA7192"/>
    <w:rsid w:val="00FB20E8"/>
    <w:rsid w:val="00FB223C"/>
    <w:rsid w:val="00FB67F2"/>
    <w:rsid w:val="00FC31D9"/>
    <w:rsid w:val="00FC72A4"/>
    <w:rsid w:val="00FD04E8"/>
    <w:rsid w:val="00FD3AE5"/>
    <w:rsid w:val="00FD72E3"/>
    <w:rsid w:val="00FE2442"/>
    <w:rsid w:val="00FE6D51"/>
    <w:rsid w:val="00FF09F3"/>
    <w:rsid w:val="00FF1EAB"/>
    <w:rsid w:val="00FF21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ETS,single space"/>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ETS Char"/>
    <w:basedOn w:val="DefaultParagraphFont"/>
    <w:link w:val="FootnoteText"/>
    <w:qFormat/>
    <w:rsid w:val="008C5A0E"/>
    <w:rPr>
      <w:color w:val="495965" w:themeColor="text2"/>
      <w:sz w:val="12"/>
      <w:szCs w:val="20"/>
    </w:rPr>
  </w:style>
  <w:style w:type="character" w:styleId="FootnoteReference">
    <w:name w:val="footnote reference"/>
    <w:aliases w:val="Footnote,Footnote text,Footnote + Arial,10 pt,Black,ftref,(NECG) Footnote Reference,footnote ref,SUPERS,EN Footnote Reference,16 Point,Superscript 6 Point,Footnote Reference Number,Style 6,Ref,de nota al pie,fr,Footnote Ref in FtNote"/>
    <w:basedOn w:val="DefaultParagraphFont"/>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qFormat/>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bl,Bullet L1,bl1,Bullet,Sub-heading,References,Абзац списка1,EASPR13-01 normal,List Paragraph 1,List Paragraph1,Bullets,ADB paragraph numbering,Colorful List - Accent 11"/>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bl Char,Bullet L1 Char,bl1 Char,Bullet Char,Sub-heading Char,References Char,Абзац списка1 Char,EASPR13-01 normal Char,List Paragraph 1 Char,Bullets Char"/>
    <w:basedOn w:val="DefaultParagraphFont"/>
    <w:link w:val="ListParagraph"/>
    <w:uiPriority w:val="34"/>
    <w:qFormat/>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character" w:styleId="CommentReference">
    <w:name w:val="annotation reference"/>
    <w:basedOn w:val="DefaultParagraphFont"/>
    <w:uiPriority w:val="99"/>
    <w:semiHidden/>
    <w:unhideWhenUsed/>
    <w:rsid w:val="00B11491"/>
    <w:rPr>
      <w:sz w:val="16"/>
      <w:szCs w:val="16"/>
    </w:rPr>
  </w:style>
  <w:style w:type="paragraph" w:styleId="CommentText">
    <w:name w:val="annotation text"/>
    <w:basedOn w:val="Normal"/>
    <w:link w:val="CommentTextChar"/>
    <w:uiPriority w:val="99"/>
    <w:semiHidden/>
    <w:unhideWhenUsed/>
    <w:rsid w:val="00B11491"/>
    <w:pPr>
      <w:spacing w:line="240" w:lineRule="auto"/>
    </w:pPr>
    <w:rPr>
      <w:sz w:val="20"/>
      <w:szCs w:val="20"/>
    </w:rPr>
  </w:style>
  <w:style w:type="character" w:customStyle="1" w:styleId="CommentTextChar">
    <w:name w:val="Comment Text Char"/>
    <w:basedOn w:val="DefaultParagraphFont"/>
    <w:link w:val="CommentText"/>
    <w:uiPriority w:val="99"/>
    <w:semiHidden/>
    <w:rsid w:val="00B11491"/>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B11491"/>
    <w:rPr>
      <w:b/>
      <w:bCs/>
    </w:rPr>
  </w:style>
  <w:style w:type="character" w:customStyle="1" w:styleId="CommentSubjectChar">
    <w:name w:val="Comment Subject Char"/>
    <w:basedOn w:val="CommentTextChar"/>
    <w:link w:val="CommentSubject"/>
    <w:uiPriority w:val="99"/>
    <w:semiHidden/>
    <w:rsid w:val="00B11491"/>
    <w:rPr>
      <w:b/>
      <w:bCs/>
      <w:color w:val="495965" w:themeColor="text2"/>
      <w:sz w:val="20"/>
      <w:szCs w:val="20"/>
      <w:lang w:val="en-GB"/>
    </w:rPr>
  </w:style>
  <w:style w:type="paragraph" w:customStyle="1" w:styleId="Default">
    <w:name w:val="Default"/>
    <w:qFormat/>
    <w:rsid w:val="009312DC"/>
    <w:pPr>
      <w:spacing w:after="0" w:line="240" w:lineRule="auto"/>
    </w:pPr>
    <w:rPr>
      <w:rFonts w:ascii="Arial" w:eastAsia="Calibri Light" w:hAnsi="Arial" w:cs="Arial"/>
      <w:color w:val="000000"/>
      <w:sz w:val="24"/>
      <w:szCs w:val="24"/>
    </w:rPr>
  </w:style>
  <w:style w:type="character" w:customStyle="1" w:styleId="FootnoteAnchor">
    <w:name w:val="Footnote Anchor"/>
    <w:rsid w:val="00665D4C"/>
    <w:rPr>
      <w:vertAlign w:val="superscript"/>
    </w:rPr>
  </w:style>
  <w:style w:type="paragraph" w:styleId="Revision">
    <w:name w:val="Revision"/>
    <w:hidden/>
    <w:uiPriority w:val="99"/>
    <w:semiHidden/>
    <w:rsid w:val="00272C99"/>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1665">
      <w:bodyDiv w:val="1"/>
      <w:marLeft w:val="0"/>
      <w:marRight w:val="0"/>
      <w:marTop w:val="0"/>
      <w:marBottom w:val="0"/>
      <w:divBdr>
        <w:top w:val="none" w:sz="0" w:space="0" w:color="auto"/>
        <w:left w:val="none" w:sz="0" w:space="0" w:color="auto"/>
        <w:bottom w:val="none" w:sz="0" w:space="0" w:color="auto"/>
        <w:right w:val="none" w:sz="0" w:space="0" w:color="auto"/>
      </w:divBdr>
    </w:div>
    <w:div w:id="115295459">
      <w:bodyDiv w:val="1"/>
      <w:marLeft w:val="0"/>
      <w:marRight w:val="0"/>
      <w:marTop w:val="0"/>
      <w:marBottom w:val="0"/>
      <w:divBdr>
        <w:top w:val="none" w:sz="0" w:space="0" w:color="auto"/>
        <w:left w:val="none" w:sz="0" w:space="0" w:color="auto"/>
        <w:bottom w:val="none" w:sz="0" w:space="0" w:color="auto"/>
        <w:right w:val="none" w:sz="0" w:space="0" w:color="auto"/>
      </w:divBdr>
    </w:div>
    <w:div w:id="464352249">
      <w:bodyDiv w:val="1"/>
      <w:marLeft w:val="0"/>
      <w:marRight w:val="0"/>
      <w:marTop w:val="0"/>
      <w:marBottom w:val="0"/>
      <w:divBdr>
        <w:top w:val="none" w:sz="0" w:space="0" w:color="auto"/>
        <w:left w:val="none" w:sz="0" w:space="0" w:color="auto"/>
        <w:bottom w:val="none" w:sz="0" w:space="0" w:color="auto"/>
        <w:right w:val="none" w:sz="0" w:space="0" w:color="auto"/>
      </w:divBdr>
    </w:div>
    <w:div w:id="612592493">
      <w:bodyDiv w:val="1"/>
      <w:marLeft w:val="0"/>
      <w:marRight w:val="0"/>
      <w:marTop w:val="0"/>
      <w:marBottom w:val="0"/>
      <w:divBdr>
        <w:top w:val="none" w:sz="0" w:space="0" w:color="auto"/>
        <w:left w:val="none" w:sz="0" w:space="0" w:color="auto"/>
        <w:bottom w:val="none" w:sz="0" w:space="0" w:color="auto"/>
        <w:right w:val="none" w:sz="0" w:space="0" w:color="auto"/>
      </w:divBdr>
    </w:div>
    <w:div w:id="834226588">
      <w:bodyDiv w:val="1"/>
      <w:marLeft w:val="0"/>
      <w:marRight w:val="0"/>
      <w:marTop w:val="0"/>
      <w:marBottom w:val="0"/>
      <w:divBdr>
        <w:top w:val="none" w:sz="0" w:space="0" w:color="auto"/>
        <w:left w:val="none" w:sz="0" w:space="0" w:color="auto"/>
        <w:bottom w:val="none" w:sz="0" w:space="0" w:color="auto"/>
        <w:right w:val="none" w:sz="0" w:space="0" w:color="auto"/>
      </w:divBdr>
    </w:div>
    <w:div w:id="903612900">
      <w:bodyDiv w:val="1"/>
      <w:marLeft w:val="0"/>
      <w:marRight w:val="0"/>
      <w:marTop w:val="0"/>
      <w:marBottom w:val="0"/>
      <w:divBdr>
        <w:top w:val="none" w:sz="0" w:space="0" w:color="auto"/>
        <w:left w:val="none" w:sz="0" w:space="0" w:color="auto"/>
        <w:bottom w:val="none" w:sz="0" w:space="0" w:color="auto"/>
        <w:right w:val="none" w:sz="0" w:space="0" w:color="auto"/>
      </w:divBdr>
    </w:div>
    <w:div w:id="924069459">
      <w:bodyDiv w:val="1"/>
      <w:marLeft w:val="0"/>
      <w:marRight w:val="0"/>
      <w:marTop w:val="0"/>
      <w:marBottom w:val="0"/>
      <w:divBdr>
        <w:top w:val="none" w:sz="0" w:space="0" w:color="auto"/>
        <w:left w:val="none" w:sz="0" w:space="0" w:color="auto"/>
        <w:bottom w:val="none" w:sz="0" w:space="0" w:color="auto"/>
        <w:right w:val="none" w:sz="0" w:space="0" w:color="auto"/>
      </w:divBdr>
    </w:div>
    <w:div w:id="1099792126">
      <w:bodyDiv w:val="1"/>
      <w:marLeft w:val="0"/>
      <w:marRight w:val="0"/>
      <w:marTop w:val="0"/>
      <w:marBottom w:val="0"/>
      <w:divBdr>
        <w:top w:val="none" w:sz="0" w:space="0" w:color="auto"/>
        <w:left w:val="none" w:sz="0" w:space="0" w:color="auto"/>
        <w:bottom w:val="none" w:sz="0" w:space="0" w:color="auto"/>
        <w:right w:val="none" w:sz="0" w:space="0" w:color="auto"/>
      </w:divBdr>
    </w:div>
    <w:div w:id="1239637731">
      <w:bodyDiv w:val="1"/>
      <w:marLeft w:val="0"/>
      <w:marRight w:val="0"/>
      <w:marTop w:val="0"/>
      <w:marBottom w:val="0"/>
      <w:divBdr>
        <w:top w:val="none" w:sz="0" w:space="0" w:color="auto"/>
        <w:left w:val="none" w:sz="0" w:space="0" w:color="auto"/>
        <w:bottom w:val="none" w:sz="0" w:space="0" w:color="auto"/>
        <w:right w:val="none" w:sz="0" w:space="0" w:color="auto"/>
      </w:divBdr>
    </w:div>
    <w:div w:id="1314679829">
      <w:bodyDiv w:val="1"/>
      <w:marLeft w:val="0"/>
      <w:marRight w:val="0"/>
      <w:marTop w:val="0"/>
      <w:marBottom w:val="0"/>
      <w:divBdr>
        <w:top w:val="none" w:sz="0" w:space="0" w:color="auto"/>
        <w:left w:val="none" w:sz="0" w:space="0" w:color="auto"/>
        <w:bottom w:val="none" w:sz="0" w:space="0" w:color="auto"/>
        <w:right w:val="none" w:sz="0" w:space="0" w:color="auto"/>
      </w:divBdr>
    </w:div>
    <w:div w:id="1458521492">
      <w:bodyDiv w:val="1"/>
      <w:marLeft w:val="0"/>
      <w:marRight w:val="0"/>
      <w:marTop w:val="0"/>
      <w:marBottom w:val="0"/>
      <w:divBdr>
        <w:top w:val="none" w:sz="0" w:space="0" w:color="auto"/>
        <w:left w:val="none" w:sz="0" w:space="0" w:color="auto"/>
        <w:bottom w:val="none" w:sz="0" w:space="0" w:color="auto"/>
        <w:right w:val="none" w:sz="0" w:space="0" w:color="auto"/>
      </w:divBdr>
    </w:div>
    <w:div w:id="1485050719">
      <w:bodyDiv w:val="1"/>
      <w:marLeft w:val="0"/>
      <w:marRight w:val="0"/>
      <w:marTop w:val="0"/>
      <w:marBottom w:val="0"/>
      <w:divBdr>
        <w:top w:val="none" w:sz="0" w:space="0" w:color="auto"/>
        <w:left w:val="none" w:sz="0" w:space="0" w:color="auto"/>
        <w:bottom w:val="none" w:sz="0" w:space="0" w:color="auto"/>
        <w:right w:val="none" w:sz="0" w:space="0" w:color="auto"/>
      </w:divBdr>
    </w:div>
    <w:div w:id="1493639330">
      <w:bodyDiv w:val="1"/>
      <w:marLeft w:val="0"/>
      <w:marRight w:val="0"/>
      <w:marTop w:val="0"/>
      <w:marBottom w:val="0"/>
      <w:divBdr>
        <w:top w:val="none" w:sz="0" w:space="0" w:color="auto"/>
        <w:left w:val="none" w:sz="0" w:space="0" w:color="auto"/>
        <w:bottom w:val="none" w:sz="0" w:space="0" w:color="auto"/>
        <w:right w:val="none" w:sz="0" w:space="0" w:color="auto"/>
      </w:divBdr>
    </w:div>
    <w:div w:id="1617372878">
      <w:bodyDiv w:val="1"/>
      <w:marLeft w:val="0"/>
      <w:marRight w:val="0"/>
      <w:marTop w:val="0"/>
      <w:marBottom w:val="0"/>
      <w:divBdr>
        <w:top w:val="none" w:sz="0" w:space="0" w:color="auto"/>
        <w:left w:val="none" w:sz="0" w:space="0" w:color="auto"/>
        <w:bottom w:val="none" w:sz="0" w:space="0" w:color="auto"/>
        <w:right w:val="none" w:sz="0" w:space="0" w:color="auto"/>
      </w:divBdr>
    </w:div>
    <w:div w:id="1622104255">
      <w:bodyDiv w:val="1"/>
      <w:marLeft w:val="0"/>
      <w:marRight w:val="0"/>
      <w:marTop w:val="0"/>
      <w:marBottom w:val="0"/>
      <w:divBdr>
        <w:top w:val="none" w:sz="0" w:space="0" w:color="auto"/>
        <w:left w:val="none" w:sz="0" w:space="0" w:color="auto"/>
        <w:bottom w:val="none" w:sz="0" w:space="0" w:color="auto"/>
        <w:right w:val="none" w:sz="0" w:space="0" w:color="auto"/>
      </w:divBdr>
    </w:div>
    <w:div w:id="1654406898">
      <w:bodyDiv w:val="1"/>
      <w:marLeft w:val="0"/>
      <w:marRight w:val="0"/>
      <w:marTop w:val="0"/>
      <w:marBottom w:val="0"/>
      <w:divBdr>
        <w:top w:val="none" w:sz="0" w:space="0" w:color="auto"/>
        <w:left w:val="none" w:sz="0" w:space="0" w:color="auto"/>
        <w:bottom w:val="none" w:sz="0" w:space="0" w:color="auto"/>
        <w:right w:val="none" w:sz="0" w:space="0" w:color="auto"/>
      </w:divBdr>
    </w:div>
    <w:div w:id="1993169494">
      <w:bodyDiv w:val="1"/>
      <w:marLeft w:val="0"/>
      <w:marRight w:val="0"/>
      <w:marTop w:val="0"/>
      <w:marBottom w:val="0"/>
      <w:divBdr>
        <w:top w:val="none" w:sz="0" w:space="0" w:color="auto"/>
        <w:left w:val="none" w:sz="0" w:space="0" w:color="auto"/>
        <w:bottom w:val="none" w:sz="0" w:space="0" w:color="auto"/>
        <w:right w:val="none" w:sz="0" w:space="0" w:color="auto"/>
      </w:divBdr>
    </w:div>
    <w:div w:id="2029522535">
      <w:bodyDiv w:val="1"/>
      <w:marLeft w:val="0"/>
      <w:marRight w:val="0"/>
      <w:marTop w:val="0"/>
      <w:marBottom w:val="0"/>
      <w:divBdr>
        <w:top w:val="none" w:sz="0" w:space="0" w:color="auto"/>
        <w:left w:val="none" w:sz="0" w:space="0" w:color="auto"/>
        <w:bottom w:val="none" w:sz="0" w:space="0" w:color="auto"/>
        <w:right w:val="none" w:sz="0" w:space="0" w:color="auto"/>
      </w:divBdr>
    </w:div>
    <w:div w:id="2105953823">
      <w:bodyDiv w:val="1"/>
      <w:marLeft w:val="0"/>
      <w:marRight w:val="0"/>
      <w:marTop w:val="0"/>
      <w:marBottom w:val="0"/>
      <w:divBdr>
        <w:top w:val="none" w:sz="0" w:space="0" w:color="auto"/>
        <w:left w:val="none" w:sz="0" w:space="0" w:color="auto"/>
        <w:bottom w:val="none" w:sz="0" w:space="0" w:color="auto"/>
        <w:right w:val="none" w:sz="0" w:space="0" w:color="auto"/>
      </w:divBdr>
    </w:div>
    <w:div w:id="21128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customXml" Target="../customXml/item4.xml"/><Relationship Id="rId21" Type="http://schemas.openxmlformats.org/officeDocument/2006/relationships/image" Target="media/image10.png"/><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image" Target="media/image14.png"/><Relationship Id="rId33" Type="http://schemas.openxmlformats.org/officeDocument/2006/relationships/footer" Target="footer4.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header" Target="header6.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dfat.gov.au/geo/vietnam/Pages/vietnam-country-brief.aspx" TargetMode="External"/><Relationship Id="rId1" Type="http://schemas.openxmlformats.org/officeDocument/2006/relationships/hyperlink" Target="https://dfat.gov.au/geo/vietnam/Pages/joint-statement-on-the-establishment-of-a-strategic-partnership-between-australia-and-viet-nam.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580724-4E9D-42AC-8130-69A8E7AFFB70}"/>
</file>

<file path=customXml/itemProps2.xml><?xml version="1.0" encoding="utf-8"?>
<ds:datastoreItem xmlns:ds="http://schemas.openxmlformats.org/officeDocument/2006/customXml" ds:itemID="{AFD46C6A-33D5-4D76-BED5-DE12DDE90CE6}"/>
</file>

<file path=customXml/itemProps3.xml><?xml version="1.0" encoding="utf-8"?>
<ds:datastoreItem xmlns:ds="http://schemas.openxmlformats.org/officeDocument/2006/customXml" ds:itemID="{D8ACEBD5-8F13-42FC-A44B-BE5F8B443EE9}"/>
</file>

<file path=customXml/itemProps4.xml><?xml version="1.0" encoding="utf-8"?>
<ds:datastoreItem xmlns:ds="http://schemas.openxmlformats.org/officeDocument/2006/customXml" ds:itemID="{1B08A410-7B8C-4AD6-992D-3690AC4EFB3F}"/>
</file>

<file path=docProps/app.xml><?xml version="1.0" encoding="utf-8"?>
<Properties xmlns="http://schemas.openxmlformats.org/officeDocument/2006/extended-properties" xmlns:vt="http://schemas.openxmlformats.org/officeDocument/2006/docPropsVTypes">
  <Template>Normal.dotm</Template>
  <TotalTime>0</TotalTime>
  <Pages>30</Pages>
  <Words>11894</Words>
  <Characters>67799</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 Aid Program Performance Report 2017-18</dc:title>
  <dc:creator/>
  <cp:lastModifiedBy/>
  <cp:revision>1</cp:revision>
  <dcterms:created xsi:type="dcterms:W3CDTF">2018-10-19T04:01:00Z</dcterms:created>
  <dcterms:modified xsi:type="dcterms:W3CDTF">2018-10-19T04:01:00Z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f0f3681e-e91f-42e3-8fde-d9dbf85c8815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1202200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