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884B9" w14:textId="77777777" w:rsidR="0059146A" w:rsidRDefault="0059146A" w:rsidP="005B5769">
      <w:pPr>
        <w:pStyle w:val="ListBullet"/>
        <w:tabs>
          <w:tab w:val="clear" w:pos="284"/>
        </w:tabs>
      </w:pPr>
    </w:p>
    <w:p w14:paraId="3B1870DE" w14:textId="77777777" w:rsidR="0059146A" w:rsidRDefault="0059146A" w:rsidP="005B5769">
      <w:pPr>
        <w:pStyle w:val="ListBullet"/>
        <w:tabs>
          <w:tab w:val="clear" w:pos="284"/>
        </w:tabs>
      </w:pPr>
    </w:p>
    <w:p w14:paraId="33AECF50" w14:textId="77777777" w:rsidR="0059146A" w:rsidRPr="0059146A" w:rsidRDefault="0059146A" w:rsidP="005B5769">
      <w:pPr>
        <w:pStyle w:val="ListBullet"/>
        <w:tabs>
          <w:tab w:val="clear" w:pos="284"/>
        </w:tabs>
      </w:pPr>
    </w:p>
    <w:p w14:paraId="545401A9" w14:textId="77777777" w:rsidR="00A56F14" w:rsidRPr="0059146A" w:rsidRDefault="00A56F14" w:rsidP="0059146A">
      <w:pPr>
        <w:pStyle w:val="ListBullet"/>
        <w:tabs>
          <w:tab w:val="clear" w:pos="284"/>
        </w:tabs>
      </w:pPr>
    </w:p>
    <w:p w14:paraId="35D082D1" w14:textId="77777777" w:rsidR="00A56F14" w:rsidRDefault="00A56F14" w:rsidP="00A56F14">
      <w:pPr>
        <w:spacing w:after="200" w:line="276" w:lineRule="auto"/>
        <w:rPr>
          <w:b/>
        </w:rPr>
      </w:pPr>
    </w:p>
    <w:p w14:paraId="1B375E46" w14:textId="77777777" w:rsidR="00A56F14" w:rsidRDefault="00A56F14" w:rsidP="00A56F14">
      <w:pPr>
        <w:spacing w:after="200" w:line="276" w:lineRule="auto"/>
        <w:rPr>
          <w:b/>
        </w:rPr>
      </w:pPr>
    </w:p>
    <w:p w14:paraId="36286ECF" w14:textId="77777777" w:rsidR="00C6626C" w:rsidRDefault="00C6626C" w:rsidP="00A56F14"/>
    <w:p w14:paraId="482FCAB3" w14:textId="77777777" w:rsidR="00C6626C" w:rsidRDefault="00C6626C" w:rsidP="00A56F14"/>
    <w:p w14:paraId="6C800426" w14:textId="77777777" w:rsidR="00C6626C" w:rsidRDefault="00C6626C" w:rsidP="00A56F14"/>
    <w:p w14:paraId="062C1ED1" w14:textId="77777777" w:rsidR="00C6626C" w:rsidRDefault="00C6626C" w:rsidP="00A56F14"/>
    <w:p w14:paraId="65A6F8E3" w14:textId="77777777" w:rsidR="00C6626C" w:rsidRDefault="00C6626C" w:rsidP="00A56F14"/>
    <w:p w14:paraId="51A708CF" w14:textId="77777777" w:rsidR="00C6626C" w:rsidRDefault="00C6626C" w:rsidP="00A56F14"/>
    <w:p w14:paraId="1009E011" w14:textId="77777777" w:rsidR="00C6626C" w:rsidRDefault="00C6626C" w:rsidP="00A56F14"/>
    <w:p w14:paraId="65E5B11C" w14:textId="77777777" w:rsidR="00C6626C" w:rsidRDefault="00C6626C" w:rsidP="00A56F14"/>
    <w:p w14:paraId="37C85D35" w14:textId="77777777" w:rsidR="00C6626C" w:rsidRDefault="00C6626C" w:rsidP="00A56F14"/>
    <w:p w14:paraId="1CAC9286" w14:textId="77777777" w:rsidR="00C6626C" w:rsidRDefault="00C6626C" w:rsidP="00A56F14"/>
    <w:p w14:paraId="237DD11C" w14:textId="77777777" w:rsidR="00C6626C" w:rsidRDefault="00C6626C" w:rsidP="00A56F14"/>
    <w:p w14:paraId="2CCBDC04" w14:textId="77777777" w:rsidR="00C6626C" w:rsidRDefault="00C6626C" w:rsidP="00A56F14"/>
    <w:p w14:paraId="23C44BD0" w14:textId="77777777" w:rsidR="00C6626C" w:rsidRDefault="00C6626C" w:rsidP="00A56F14"/>
    <w:p w14:paraId="3C9D338B" w14:textId="77777777" w:rsidR="00C6626C" w:rsidRDefault="00C6626C" w:rsidP="00A56F14"/>
    <w:p w14:paraId="75CF322F" w14:textId="77777777" w:rsidR="00C6626C" w:rsidRDefault="00C6626C" w:rsidP="00A56F14"/>
    <w:p w14:paraId="28C53B59" w14:textId="77777777" w:rsidR="00C6626C" w:rsidRDefault="00C6626C" w:rsidP="00A56F14"/>
    <w:p w14:paraId="31828BFE" w14:textId="77777777" w:rsidR="00C6626C" w:rsidRDefault="00C6626C" w:rsidP="00A56F14"/>
    <w:p w14:paraId="78414DC3" w14:textId="77777777" w:rsidR="00C6626C" w:rsidRDefault="00C6626C" w:rsidP="00A56F14"/>
    <w:p w14:paraId="7C511E68" w14:textId="77777777" w:rsidR="00C6626C" w:rsidRDefault="00C6626C" w:rsidP="00A56F14"/>
    <w:p w14:paraId="4F0883A0" w14:textId="77777777" w:rsidR="00C6626C" w:rsidRDefault="00C6626C" w:rsidP="00A56F14"/>
    <w:p w14:paraId="14AE771B" w14:textId="77777777" w:rsidR="00C6626C" w:rsidRDefault="00C6626C" w:rsidP="00A56F14"/>
    <w:p w14:paraId="041C0275" w14:textId="77777777" w:rsidR="00A56F14"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2E9C6592" wp14:editId="40F16702">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080990D2" wp14:editId="72057AA3">
            <wp:simplePos x="0" y="0"/>
            <wp:positionH relativeFrom="page">
              <wp:posOffset>-52705</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2A51CA">
        <w:rPr>
          <w:spacing w:val="-20"/>
          <w:sz w:val="60"/>
        </w:rPr>
        <w:t xml:space="preserve">Aid Program, Performance </w:t>
      </w:r>
    </w:p>
    <w:p w14:paraId="4196E618" w14:textId="77777777" w:rsidR="00C6626C" w:rsidRPr="002A51CA" w:rsidRDefault="00C6626C" w:rsidP="002A51CA">
      <w:pPr>
        <w:pStyle w:val="Title"/>
        <w:spacing w:after="120" w:line="600" w:lineRule="exact"/>
        <w:rPr>
          <w:spacing w:val="-20"/>
          <w:sz w:val="60"/>
        </w:rPr>
      </w:pPr>
      <w:r w:rsidRPr="002A51CA">
        <w:rPr>
          <w:spacing w:val="-20"/>
          <w:sz w:val="60"/>
        </w:rPr>
        <w:t>Report 2015-16</w:t>
      </w:r>
    </w:p>
    <w:p w14:paraId="55060B46" w14:textId="77777777" w:rsidR="00C6626C" w:rsidRDefault="009D7F67" w:rsidP="00A56F14">
      <w:r>
        <w:rPr>
          <w:sz w:val="40"/>
        </w:rPr>
        <w:t>Vietnam</w:t>
      </w:r>
    </w:p>
    <w:p w14:paraId="63EB4D20" w14:textId="77777777" w:rsidR="00C6626C" w:rsidRPr="002A51CA" w:rsidRDefault="00C6626C" w:rsidP="00A56F14">
      <w:pPr>
        <w:rPr>
          <w:sz w:val="24"/>
        </w:rPr>
      </w:pPr>
      <w:r w:rsidRPr="002A51CA">
        <w:rPr>
          <w:sz w:val="24"/>
        </w:rPr>
        <w:t>September 2016</w:t>
      </w:r>
    </w:p>
    <w:p w14:paraId="54FAB684" w14:textId="77777777" w:rsidR="00C6626C" w:rsidRDefault="00C6626C" w:rsidP="00A56F14">
      <w:pPr>
        <w:sectPr w:rsidR="00C6626C" w:rsidSect="009C18B5">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docGrid w:linePitch="360"/>
        </w:sectPr>
      </w:pPr>
    </w:p>
    <w:p w14:paraId="3138C364" w14:textId="77777777" w:rsidR="00C6626C" w:rsidRPr="00C61187" w:rsidRDefault="00C6626C" w:rsidP="002A51CA">
      <w:pPr>
        <w:pStyle w:val="ListBullet"/>
        <w:tabs>
          <w:tab w:val="clear" w:pos="284"/>
        </w:tabs>
        <w:spacing w:before="360"/>
        <w:rPr>
          <w:kern w:val="28"/>
        </w:rPr>
      </w:pPr>
      <w:r w:rsidRPr="002A51CA">
        <w:rPr>
          <w:rFonts w:asciiTheme="majorHAnsi" w:eastAsiaTheme="majorEastAsia" w:hAnsiTheme="majorHAnsi" w:cstheme="majorBidi"/>
          <w:caps/>
          <w:color w:val="495965" w:themeColor="text2"/>
          <w:sz w:val="38"/>
          <w:szCs w:val="26"/>
          <w:lang w:val="en-GB" w:eastAsia="en-US"/>
        </w:rPr>
        <w:lastRenderedPageBreak/>
        <w:t>Key Messages</w:t>
      </w:r>
    </w:p>
    <w:p w14:paraId="69AC9A35" w14:textId="77777777" w:rsidR="00AA29F1" w:rsidRDefault="00AA29F1" w:rsidP="00AA29F1">
      <w:pPr>
        <w:pStyle w:val="BodyText"/>
      </w:pPr>
      <w:r>
        <w:t xml:space="preserve">This report summarises the aid program’s progress and performance in Vietnam during 2015-16. This is the first report on progress against the </w:t>
      </w:r>
      <w:r>
        <w:rPr>
          <w:i/>
        </w:rPr>
        <w:t>Aid Investment Plan 2015-20</w:t>
      </w:r>
      <w:r>
        <w:t xml:space="preserve"> which was launch</w:t>
      </w:r>
      <w:r w:rsidR="00364C54">
        <w:t>ed</w:t>
      </w:r>
      <w:r>
        <w:t xml:space="preserve"> in September 2015</w:t>
      </w:r>
      <w:r>
        <w:rPr>
          <w:i/>
        </w:rPr>
        <w:t>.</w:t>
      </w:r>
      <w:r>
        <w:t xml:space="preserve"> </w:t>
      </w:r>
      <w:r w:rsidR="00022349">
        <w:t>In</w:t>
      </w:r>
      <w:r>
        <w:t xml:space="preserve"> 2015-16, Australia’s offici</w:t>
      </w:r>
      <w:r w:rsidR="00022349">
        <w:t xml:space="preserve">al development assistance </w:t>
      </w:r>
      <w:r>
        <w:t>to Vietnam was A$ 85.96 million.</w:t>
      </w:r>
    </w:p>
    <w:p w14:paraId="1DA4DD04" w14:textId="77777777" w:rsidR="00C93A01" w:rsidRPr="003B0E86" w:rsidRDefault="00C93A01" w:rsidP="00C93A01">
      <w:pPr>
        <w:pStyle w:val="BodyText"/>
      </w:pPr>
      <w:r w:rsidRPr="003B0E86">
        <w:t xml:space="preserve">The aid program is continuing its </w:t>
      </w:r>
      <w:r w:rsidRPr="003B0E86">
        <w:rPr>
          <w:b/>
        </w:rPr>
        <w:t>transition</w:t>
      </w:r>
      <w:r w:rsidRPr="003B0E86">
        <w:t xml:space="preserve"> from the aid relationship outlined in the 2010-15 Country Strategy </w:t>
      </w:r>
      <w:r w:rsidRPr="003B0E86">
        <w:rPr>
          <w:b/>
        </w:rPr>
        <w:t>to an economic partnership</w:t>
      </w:r>
      <w:r w:rsidRPr="003B0E86">
        <w:t xml:space="preserve"> agreed in the</w:t>
      </w:r>
      <w:r w:rsidRPr="003B0E86">
        <w:rPr>
          <w:i/>
        </w:rPr>
        <w:t xml:space="preserve"> Aid Investment Plan 2015-20</w:t>
      </w:r>
      <w:r w:rsidRPr="003B0E86">
        <w:t xml:space="preserve">. This year saw further consolidation of the aid program with closure of eight aid investments. Four new aid investments are being designed to deepen our sectoral focus in infrastructure, economic reform, and water and sanitation. One new aid investment is seeing us move into a new geographical area, the Northern Mountainous region, with a new focus on women’s economic empowerment. </w:t>
      </w:r>
    </w:p>
    <w:p w14:paraId="58BF9C4C" w14:textId="77777777" w:rsidR="00C93A01" w:rsidRPr="003B0E86" w:rsidRDefault="00C93A01" w:rsidP="00022349">
      <w:pPr>
        <w:pStyle w:val="BodyText"/>
      </w:pPr>
      <w:r w:rsidRPr="003B0E86">
        <w:t xml:space="preserve">In 2015-16 our infrastructure program </w:t>
      </w:r>
      <w:r w:rsidR="002F1086" w:rsidRPr="003B0E86">
        <w:t xml:space="preserve">completed </w:t>
      </w:r>
      <w:r w:rsidR="002F1086" w:rsidRPr="003B0E86">
        <w:rPr>
          <w:b/>
        </w:rPr>
        <w:t xml:space="preserve">66 per cent of the construction of the </w:t>
      </w:r>
      <w:r w:rsidRPr="003B0E86">
        <w:rPr>
          <w:b/>
        </w:rPr>
        <w:t>Cao Lanh Bridge</w:t>
      </w:r>
      <w:r w:rsidR="002F1086" w:rsidRPr="003B0E86">
        <w:t>, with opening of the bridge on track for November 2017. Two other major transport projects were completed this year</w:t>
      </w:r>
      <w:r w:rsidR="00D1718C" w:rsidRPr="003B0E86">
        <w:t xml:space="preserve">. These have built a total of </w:t>
      </w:r>
      <w:r w:rsidR="002F1086" w:rsidRPr="003B0E86">
        <w:t xml:space="preserve">231 kms of rural roads, </w:t>
      </w:r>
      <w:r w:rsidR="00D1718C" w:rsidRPr="003B0E86">
        <w:t xml:space="preserve">102 small bridges and reconstructed </w:t>
      </w:r>
      <w:r w:rsidR="002F1086" w:rsidRPr="003B0E86">
        <w:t>70 kms of national highway</w:t>
      </w:r>
      <w:r w:rsidR="000E2B25" w:rsidRPr="003B0E86">
        <w:t>,</w:t>
      </w:r>
      <w:r w:rsidR="002F1086" w:rsidRPr="003B0E86">
        <w:t xml:space="preserve"> </w:t>
      </w:r>
      <w:r w:rsidR="00D1718C" w:rsidRPr="003B0E86">
        <w:t>benefiting an</w:t>
      </w:r>
      <w:r w:rsidR="00D1718C" w:rsidRPr="003B0E86">
        <w:rPr>
          <w:b/>
        </w:rPr>
        <w:t xml:space="preserve"> </w:t>
      </w:r>
      <w:r w:rsidR="00D1718C" w:rsidRPr="003B0E86">
        <w:t>estimated</w:t>
      </w:r>
      <w:r w:rsidR="00D1718C" w:rsidRPr="003B0E86">
        <w:rPr>
          <w:b/>
        </w:rPr>
        <w:t xml:space="preserve"> 316,000 people in the Mekong Delta</w:t>
      </w:r>
      <w:r w:rsidR="00D1718C" w:rsidRPr="003B0E86">
        <w:t>.</w:t>
      </w:r>
      <w:r w:rsidR="000E2B25" w:rsidRPr="003B0E86">
        <w:t xml:space="preserve"> The completion of our water and sanitation program saw a further </w:t>
      </w:r>
      <w:r w:rsidR="000E2B25" w:rsidRPr="003B0E86">
        <w:rPr>
          <w:b/>
        </w:rPr>
        <w:t>56,000 households</w:t>
      </w:r>
      <w:r w:rsidR="000E2B25" w:rsidRPr="003B0E86">
        <w:t xml:space="preserve"> obtain a water connection for the first time and </w:t>
      </w:r>
      <w:r w:rsidR="000E2B25" w:rsidRPr="003B0E86">
        <w:rPr>
          <w:b/>
        </w:rPr>
        <w:t>111,000 households</w:t>
      </w:r>
      <w:r w:rsidR="000E2B25" w:rsidRPr="003B0E86">
        <w:t xml:space="preserve"> gaining access to a toilet.</w:t>
      </w:r>
      <w:r w:rsidR="00D1718C" w:rsidRPr="003B0E86">
        <w:t xml:space="preserve"> </w:t>
      </w:r>
      <w:r w:rsidR="00096756" w:rsidRPr="003B0E86">
        <w:t>In 2015-16</w:t>
      </w:r>
      <w:r w:rsidR="00FC6128" w:rsidRPr="003B0E86">
        <w:t>,</w:t>
      </w:r>
      <w:r w:rsidR="00096756" w:rsidRPr="003B0E86">
        <w:t xml:space="preserve"> </w:t>
      </w:r>
      <w:r w:rsidR="00D1718C" w:rsidRPr="003B0E86">
        <w:rPr>
          <w:b/>
        </w:rPr>
        <w:t xml:space="preserve">268 </w:t>
      </w:r>
      <w:r w:rsidR="00D1718C" w:rsidRPr="003B0E86">
        <w:t xml:space="preserve">emerging leaders </w:t>
      </w:r>
      <w:r w:rsidR="000E2B25" w:rsidRPr="003B0E86">
        <w:t xml:space="preserve">from </w:t>
      </w:r>
      <w:r w:rsidR="00D1718C" w:rsidRPr="003B0E86">
        <w:t>Vietnam complete</w:t>
      </w:r>
      <w:r w:rsidR="00096756" w:rsidRPr="003B0E86">
        <w:t>d</w:t>
      </w:r>
      <w:r w:rsidR="00D1718C" w:rsidRPr="003B0E86">
        <w:t xml:space="preserve"> </w:t>
      </w:r>
      <w:r w:rsidR="008D69D4" w:rsidRPr="003B0E86">
        <w:t>postgraduate</w:t>
      </w:r>
      <w:r w:rsidR="00D1718C" w:rsidRPr="003B0E86">
        <w:t xml:space="preserve"> education in Australia</w:t>
      </w:r>
      <w:r w:rsidR="00513EE0" w:rsidRPr="003B0E86">
        <w:t xml:space="preserve"> with our support</w:t>
      </w:r>
      <w:r w:rsidR="00D1718C" w:rsidRPr="003B0E86">
        <w:t>, and our new five year Human Resource Development Partnership began in January 201</w:t>
      </w:r>
      <w:r w:rsidR="00513EE0" w:rsidRPr="003B0E86">
        <w:t>6</w:t>
      </w:r>
      <w:r w:rsidR="00D1718C" w:rsidRPr="003B0E86">
        <w:t>.</w:t>
      </w:r>
      <w:r w:rsidR="000E2B25" w:rsidRPr="003B0E86">
        <w:t xml:space="preserve"> </w:t>
      </w:r>
    </w:p>
    <w:p w14:paraId="49DBF224" w14:textId="77777777" w:rsidR="00986B41" w:rsidRPr="003B0E86" w:rsidRDefault="00986B41" w:rsidP="00986B41">
      <w:pPr>
        <w:pStyle w:val="BodyText"/>
      </w:pPr>
      <w:r w:rsidRPr="003B0E86">
        <w:t xml:space="preserve">Leveraging our aid program and reputation, Australia continued to </w:t>
      </w:r>
      <w:r w:rsidRPr="003B0E86">
        <w:rPr>
          <w:b/>
        </w:rPr>
        <w:t>engage at the highest levels</w:t>
      </w:r>
      <w:r w:rsidRPr="003B0E86">
        <w:t xml:space="preserve"> on public policy making. </w:t>
      </w:r>
      <w:r w:rsidR="008D69D4" w:rsidRPr="003B0E86">
        <w:t xml:space="preserve">Our technical contributions to the Vietnam 2035 report, a government vision for the future, were acknowledged by the Deputy Prime Minister at its launch. We presented on Australia’s experience on strengthening market institutions to the Prime Minister and were able to present recommendations which he acknowledged at the Vietnam Development Partners Forum, the </w:t>
      </w:r>
      <w:r w:rsidR="00FC6128" w:rsidRPr="003B0E86">
        <w:t>p</w:t>
      </w:r>
      <w:r w:rsidR="008D69D4" w:rsidRPr="003B0E86">
        <w:t xml:space="preserve">eak forum in Vietnam where </w:t>
      </w:r>
      <w:r w:rsidR="00FC6128" w:rsidRPr="003B0E86">
        <w:t xml:space="preserve">the </w:t>
      </w:r>
      <w:r w:rsidR="00714CB7" w:rsidRPr="003B0E86">
        <w:t xml:space="preserve">international </w:t>
      </w:r>
      <w:r w:rsidR="008D69D4" w:rsidRPr="003B0E86">
        <w:t>community</w:t>
      </w:r>
      <w:r w:rsidR="00FC6128" w:rsidRPr="003B0E86">
        <w:t xml:space="preserve"> is able to directly engage with the Prime Minister and Ministers</w:t>
      </w:r>
      <w:r w:rsidR="008D69D4" w:rsidRPr="003B0E86">
        <w:t xml:space="preserve">. </w:t>
      </w:r>
      <w:r w:rsidRPr="003B0E86">
        <w:t xml:space="preserve">Australia is </w:t>
      </w:r>
      <w:r w:rsidR="008D69D4" w:rsidRPr="003B0E86">
        <w:t xml:space="preserve">also </w:t>
      </w:r>
      <w:r w:rsidRPr="003B0E86">
        <w:t xml:space="preserve">now seen by Vietnam as a </w:t>
      </w:r>
      <w:r w:rsidRPr="003B0E86">
        <w:rPr>
          <w:b/>
        </w:rPr>
        <w:t>partner of choice in pursuing gender equality</w:t>
      </w:r>
      <w:r w:rsidRPr="003B0E86">
        <w:t xml:space="preserve">. The Vietnam Women’s Union and the Ambassador meet quarterly to progress gender equality, and a gender strategy will be developed in the coming year. </w:t>
      </w:r>
    </w:p>
    <w:p w14:paraId="15E52373" w14:textId="77777777" w:rsidR="000E2B25" w:rsidRPr="003B0E86" w:rsidRDefault="000E2B25" w:rsidP="000E2B25">
      <w:pPr>
        <w:pStyle w:val="BodyText"/>
      </w:pPr>
      <w:r w:rsidRPr="003B0E86">
        <w:t>L</w:t>
      </w:r>
      <w:r w:rsidR="00F47286" w:rsidRPr="003B0E86">
        <w:t xml:space="preserve">essons from this year highlight the importance of ensuring we </w:t>
      </w:r>
      <w:r w:rsidR="00F47286" w:rsidRPr="003B0E86">
        <w:rPr>
          <w:b/>
        </w:rPr>
        <w:t>allocate sufficient staff resources</w:t>
      </w:r>
      <w:r w:rsidR="00F47286" w:rsidRPr="003B0E86">
        <w:t xml:space="preserve"> to </w:t>
      </w:r>
      <w:r w:rsidR="000703C2" w:rsidRPr="003B0E86">
        <w:t xml:space="preserve">redirect </w:t>
      </w:r>
      <w:r w:rsidR="00F47286" w:rsidRPr="003B0E86">
        <w:t xml:space="preserve">our </w:t>
      </w:r>
      <w:r w:rsidR="000703C2" w:rsidRPr="003B0E86">
        <w:t xml:space="preserve">program in </w:t>
      </w:r>
      <w:r w:rsidR="00986B41" w:rsidRPr="003B0E86">
        <w:t xml:space="preserve">the </w:t>
      </w:r>
      <w:r w:rsidR="000703C2" w:rsidRPr="003B0E86">
        <w:t>short period of time</w:t>
      </w:r>
      <w:r w:rsidR="00986B41" w:rsidRPr="003B0E86">
        <w:t xml:space="preserve"> we have</w:t>
      </w:r>
      <w:r w:rsidR="000703C2" w:rsidRPr="003B0E86">
        <w:t>.</w:t>
      </w:r>
      <w:r w:rsidR="00096756" w:rsidRPr="003B0E86">
        <w:t xml:space="preserve"> Our staff need to work closely with our partners both nationally and provincially to ensure new projects obtain Government of Vietnam approvals in a new and complex regulatory environment</w:t>
      </w:r>
      <w:r w:rsidR="00986B41" w:rsidRPr="003B0E86">
        <w:t xml:space="preserve">. </w:t>
      </w:r>
      <w:r w:rsidRPr="003B0E86">
        <w:t>Fragmentation of the program needs to be avoided to better realise the benefits of consolidation and quality of new investments.</w:t>
      </w:r>
    </w:p>
    <w:p w14:paraId="128DBA7D" w14:textId="77777777" w:rsidR="00CC1E7B" w:rsidRDefault="00CC1E7B"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6237FA5E" w14:textId="77777777" w:rsidR="00CC1E7B" w:rsidRDefault="00CC1E7B"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188CC164" w14:textId="77777777" w:rsidR="00CC1E7B" w:rsidRDefault="00CC1E7B"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6AE3D99D" w14:textId="77777777" w:rsidR="00CC1E7B" w:rsidRDefault="00CC1E7B"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42205665" w14:textId="77777777" w:rsidR="00CC1E7B" w:rsidRDefault="00CC1E7B"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6D9F2BFE" w14:textId="77777777" w:rsidR="00CC1E7B" w:rsidRDefault="00CC1E7B"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0E679E2C" w14:textId="77777777" w:rsidR="00C6626C" w:rsidRPr="003B0E86" w:rsidRDefault="00990C80"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3B0E86">
        <w:rPr>
          <w:rFonts w:asciiTheme="majorHAnsi" w:eastAsiaTheme="majorEastAsia" w:hAnsiTheme="majorHAnsi" w:cstheme="majorBidi"/>
          <w:caps/>
          <w:color w:val="495965" w:themeColor="text2"/>
          <w:sz w:val="38"/>
          <w:szCs w:val="26"/>
          <w:lang w:val="en-GB" w:eastAsia="en-US"/>
        </w:rPr>
        <w:lastRenderedPageBreak/>
        <w:t>Context</w:t>
      </w:r>
    </w:p>
    <w:p w14:paraId="382BAADE" w14:textId="77777777" w:rsidR="00ED4F41" w:rsidRPr="00405CC0" w:rsidRDefault="00ED4F41" w:rsidP="00ED4F41">
      <w:pPr>
        <w:pStyle w:val="BodyText"/>
      </w:pPr>
      <w:r w:rsidRPr="003B0E86">
        <w:t xml:space="preserve">Vietnam marked a number of key </w:t>
      </w:r>
      <w:r w:rsidR="00A7164A" w:rsidRPr="003B0E86">
        <w:t>occasions</w:t>
      </w:r>
      <w:r w:rsidRPr="003B0E86">
        <w:t xml:space="preserve"> in 2015 – 70 years since the Declaration of Independence, </w:t>
      </w:r>
      <w:r w:rsidR="00CC1E7B">
        <w:br/>
      </w:r>
      <w:r w:rsidRPr="003B0E86">
        <w:t>40</w:t>
      </w:r>
      <w:r w:rsidRPr="00405CC0">
        <w:t xml:space="preserve"> years since Reunification</w:t>
      </w:r>
      <w:r w:rsidR="00F44B86">
        <w:t>,</w:t>
      </w:r>
      <w:r w:rsidRPr="00405CC0">
        <w:t xml:space="preserve"> and 30 years since the launch of </w:t>
      </w:r>
      <w:r w:rsidRPr="00405CC0">
        <w:rPr>
          <w:i/>
        </w:rPr>
        <w:t>Doi Moi</w:t>
      </w:r>
      <w:r>
        <w:t xml:space="preserve">, </w:t>
      </w:r>
      <w:r w:rsidRPr="00405CC0">
        <w:t xml:space="preserve">a significant political and economic reform process that transformed Vietnam from one of the poorest countries in the world to </w:t>
      </w:r>
      <w:r>
        <w:t xml:space="preserve">a </w:t>
      </w:r>
      <w:r w:rsidRPr="00405CC0">
        <w:t xml:space="preserve">lower middle income </w:t>
      </w:r>
      <w:r>
        <w:t xml:space="preserve">country </w:t>
      </w:r>
      <w:r w:rsidRPr="00405CC0">
        <w:t xml:space="preserve">with per capita income </w:t>
      </w:r>
      <w:r>
        <w:t xml:space="preserve">of </w:t>
      </w:r>
      <w:r w:rsidRPr="00405CC0">
        <w:t>USD 2,100.</w:t>
      </w:r>
      <w:r>
        <w:t xml:space="preserve"> It was also a critical political year, with the</w:t>
      </w:r>
      <w:r w:rsidR="007316EA">
        <w:t xml:space="preserve"> five-yearly change of Vietnam’s leadership and government starting with the National Party Congress in January and ending with the election and sitting of the new National Assembly in May-July</w:t>
      </w:r>
      <w:r>
        <w:t xml:space="preserve">. These </w:t>
      </w:r>
      <w:r w:rsidR="007316EA">
        <w:t xml:space="preserve">new leaders and government </w:t>
      </w:r>
      <w:r>
        <w:t xml:space="preserve">will oversee and guide the country’s </w:t>
      </w:r>
      <w:r w:rsidR="00905EC9">
        <w:t xml:space="preserve">economic and social </w:t>
      </w:r>
      <w:r>
        <w:t xml:space="preserve">development over the next five years. </w:t>
      </w:r>
    </w:p>
    <w:p w14:paraId="7E46D8EB" w14:textId="77777777" w:rsidR="00ED4F41" w:rsidRPr="00A26D95" w:rsidRDefault="004B6931" w:rsidP="00B27FD5">
      <w:pPr>
        <w:pStyle w:val="BodyText"/>
        <w:rPr>
          <w:color w:val="000000"/>
        </w:rPr>
      </w:pPr>
      <w:r w:rsidRPr="00A26D95">
        <w:rPr>
          <w:color w:val="000000"/>
        </w:rPr>
        <w:t xml:space="preserve">Over the past </w:t>
      </w:r>
      <w:r w:rsidR="00603638">
        <w:rPr>
          <w:color w:val="000000"/>
        </w:rPr>
        <w:t>25</w:t>
      </w:r>
      <w:r w:rsidRPr="00A26D95">
        <w:rPr>
          <w:color w:val="000000"/>
        </w:rPr>
        <w:t xml:space="preserve"> years, </w:t>
      </w:r>
      <w:r w:rsidR="00ED4F41" w:rsidRPr="00A26D95">
        <w:rPr>
          <w:color w:val="000000"/>
        </w:rPr>
        <w:t>Vietnam’s per capita GDP growth has been among the fastest in the world</w:t>
      </w:r>
      <w:r w:rsidR="00FC6251" w:rsidRPr="00A26D95">
        <w:rPr>
          <w:color w:val="000000"/>
        </w:rPr>
        <w:t>,</w:t>
      </w:r>
      <w:r w:rsidRPr="00A26D95">
        <w:rPr>
          <w:color w:val="000000"/>
        </w:rPr>
        <w:t xml:space="preserve"> lift</w:t>
      </w:r>
      <w:r w:rsidR="00FC6251" w:rsidRPr="00A26D95">
        <w:rPr>
          <w:color w:val="000000"/>
        </w:rPr>
        <w:t>ing</w:t>
      </w:r>
      <w:r w:rsidRPr="00A26D95">
        <w:rPr>
          <w:color w:val="000000"/>
        </w:rPr>
        <w:t xml:space="preserve"> over 35 million people out of poverty</w:t>
      </w:r>
      <w:r w:rsidR="00905EC9" w:rsidRPr="00A26D95">
        <w:rPr>
          <w:color w:val="000000"/>
        </w:rPr>
        <w:t>.</w:t>
      </w:r>
      <w:r w:rsidR="00ED4F41" w:rsidRPr="00A26D95">
        <w:rPr>
          <w:color w:val="000000"/>
        </w:rPr>
        <w:t xml:space="preserve"> </w:t>
      </w:r>
      <w:r w:rsidR="002D16D8">
        <w:rPr>
          <w:color w:val="000000"/>
        </w:rPr>
        <w:t xml:space="preserve">While growth has slowed somewhat due to continued structural constraints and the recent impact of severe drought and salinisation in the Mekong Delta, </w:t>
      </w:r>
      <w:r w:rsidR="00F44B86">
        <w:rPr>
          <w:color w:val="000000"/>
        </w:rPr>
        <w:t>the medium-term outlook</w:t>
      </w:r>
      <w:r w:rsidR="00AE3B5A" w:rsidRPr="00A26D95">
        <w:rPr>
          <w:color w:val="000000"/>
        </w:rPr>
        <w:t xml:space="preserve"> </w:t>
      </w:r>
      <w:r w:rsidR="00B275B7" w:rsidRPr="00A26D95">
        <w:rPr>
          <w:color w:val="000000"/>
        </w:rPr>
        <w:t>remains positive</w:t>
      </w:r>
      <w:r w:rsidR="002D16D8">
        <w:rPr>
          <w:color w:val="000000"/>
        </w:rPr>
        <w:t xml:space="preserve">; the </w:t>
      </w:r>
      <w:r w:rsidR="00B275B7" w:rsidRPr="00A26D95">
        <w:rPr>
          <w:color w:val="000000"/>
        </w:rPr>
        <w:t xml:space="preserve">projected growth rate of </w:t>
      </w:r>
      <w:r w:rsidR="00AE3B5A" w:rsidRPr="00A26D95">
        <w:rPr>
          <w:color w:val="000000"/>
        </w:rPr>
        <w:t xml:space="preserve">6 per cent </w:t>
      </w:r>
      <w:r w:rsidR="00B275B7" w:rsidRPr="00A26D95">
        <w:rPr>
          <w:color w:val="000000"/>
        </w:rPr>
        <w:t>is due to continue to</w:t>
      </w:r>
      <w:r w:rsidR="00F44B86">
        <w:rPr>
          <w:color w:val="000000"/>
        </w:rPr>
        <w:t xml:space="preserve"> 2020. Foreign Direct Investment</w:t>
      </w:r>
      <w:r w:rsidR="00AE3B5A" w:rsidRPr="00A26D95">
        <w:rPr>
          <w:color w:val="000000"/>
        </w:rPr>
        <w:t xml:space="preserve"> flows to Vietnam remain strong and it is a leading destination </w:t>
      </w:r>
      <w:r w:rsidR="00F44B86">
        <w:rPr>
          <w:color w:val="000000"/>
        </w:rPr>
        <w:t>for such investment</w:t>
      </w:r>
      <w:r w:rsidR="00AE3B5A" w:rsidRPr="00A26D95">
        <w:rPr>
          <w:color w:val="000000"/>
        </w:rPr>
        <w:t xml:space="preserve"> in the region, despite </w:t>
      </w:r>
      <w:r w:rsidR="00E412EC" w:rsidRPr="00A26D95">
        <w:rPr>
          <w:color w:val="000000"/>
        </w:rPr>
        <w:t xml:space="preserve">some </w:t>
      </w:r>
      <w:r w:rsidR="00AE3B5A" w:rsidRPr="00A26D95">
        <w:rPr>
          <w:color w:val="000000"/>
        </w:rPr>
        <w:t xml:space="preserve">institutional shortcomings. Vietnam is a growing hub in regional supply chains, particularly manufacturing, and its participation in ASEAN’s evolving </w:t>
      </w:r>
      <w:r w:rsidR="00B27FD5">
        <w:rPr>
          <w:color w:val="000000"/>
        </w:rPr>
        <w:t xml:space="preserve">economic </w:t>
      </w:r>
      <w:r w:rsidR="00AE3B5A" w:rsidRPr="00A26D95">
        <w:rPr>
          <w:color w:val="000000"/>
        </w:rPr>
        <w:t>architecture and the Trans-Pacific Partnership is likely to reinforce this trend.</w:t>
      </w:r>
    </w:p>
    <w:p w14:paraId="7EFC9A24" w14:textId="77777777" w:rsidR="00B275B7" w:rsidRPr="00A26D95" w:rsidRDefault="00F44B86" w:rsidP="00ED4F41">
      <w:pPr>
        <w:pStyle w:val="BodyText"/>
        <w:rPr>
          <w:color w:val="000000"/>
        </w:rPr>
      </w:pPr>
      <w:r>
        <w:rPr>
          <w:color w:val="000000"/>
        </w:rPr>
        <w:t>But t</w:t>
      </w:r>
      <w:r w:rsidR="00B275B7" w:rsidRPr="00A26D95">
        <w:rPr>
          <w:color w:val="000000"/>
        </w:rPr>
        <w:t>here are risks associated with</w:t>
      </w:r>
      <w:r w:rsidR="00E15BA4">
        <w:rPr>
          <w:color w:val="000000"/>
        </w:rPr>
        <w:t xml:space="preserve"> Vietnam’s transition to middle-</w:t>
      </w:r>
      <w:r w:rsidR="00B275B7" w:rsidRPr="00A26D95">
        <w:rPr>
          <w:color w:val="000000"/>
        </w:rPr>
        <w:t xml:space="preserve">income status. These include rising public debt, the level of non-performing </w:t>
      </w:r>
      <w:r w:rsidR="00E412EC" w:rsidRPr="00A26D95">
        <w:rPr>
          <w:color w:val="000000"/>
        </w:rPr>
        <w:t>loans in banks, inefficient state owned enterprises</w:t>
      </w:r>
      <w:r w:rsidR="00B275B7" w:rsidRPr="00A26D95">
        <w:rPr>
          <w:color w:val="000000"/>
        </w:rPr>
        <w:t xml:space="preserve"> and insufficient investme</w:t>
      </w:r>
      <w:r w:rsidR="00E412EC" w:rsidRPr="00A26D95">
        <w:rPr>
          <w:color w:val="000000"/>
        </w:rPr>
        <w:t>nt in skills and infrastructure</w:t>
      </w:r>
      <w:r w:rsidR="00B275B7" w:rsidRPr="00A26D95">
        <w:rPr>
          <w:color w:val="000000"/>
        </w:rPr>
        <w:t xml:space="preserve"> essential to raising productivity</w:t>
      </w:r>
      <w:r w:rsidR="00E412EC" w:rsidRPr="00A26D95">
        <w:rPr>
          <w:color w:val="000000"/>
        </w:rPr>
        <w:t xml:space="preserve">. </w:t>
      </w:r>
      <w:r w:rsidR="00B275B7" w:rsidRPr="00A26D95">
        <w:rPr>
          <w:color w:val="000000"/>
        </w:rPr>
        <w:t>Its prospective graduation from World Bank International Development Association concessional financing</w:t>
      </w:r>
      <w:r w:rsidR="00CB4665" w:rsidRPr="00A26D95">
        <w:rPr>
          <w:color w:val="000000"/>
        </w:rPr>
        <w:t xml:space="preserve"> in 2017 </w:t>
      </w:r>
      <w:r w:rsidR="00B275B7" w:rsidRPr="00A26D95">
        <w:rPr>
          <w:color w:val="000000"/>
        </w:rPr>
        <w:t xml:space="preserve">means Vietnam will have to rely on alternative </w:t>
      </w:r>
      <w:r>
        <w:rPr>
          <w:color w:val="000000"/>
        </w:rPr>
        <w:t xml:space="preserve">– and more expensive – sources </w:t>
      </w:r>
      <w:r w:rsidR="00B275B7" w:rsidRPr="00A26D95">
        <w:rPr>
          <w:color w:val="000000"/>
        </w:rPr>
        <w:t>of financing.</w:t>
      </w:r>
      <w:r>
        <w:rPr>
          <w:color w:val="000000"/>
        </w:rPr>
        <w:t xml:space="preserve"> </w:t>
      </w:r>
    </w:p>
    <w:p w14:paraId="3BB25123" w14:textId="77777777" w:rsidR="00E412EC" w:rsidRPr="00A26D95" w:rsidRDefault="00E412EC" w:rsidP="00E412EC">
      <w:pPr>
        <w:pStyle w:val="BodyText"/>
        <w:rPr>
          <w:color w:val="000000"/>
        </w:rPr>
      </w:pPr>
      <w:r w:rsidRPr="00A26D95">
        <w:rPr>
          <w:color w:val="000000"/>
        </w:rPr>
        <w:t>Inequality will also remain a challenge. Twelve million people live below Vietnam’s national poverty line and</w:t>
      </w:r>
      <w:r w:rsidR="00DF22CA" w:rsidRPr="00A26D95">
        <w:rPr>
          <w:color w:val="000000"/>
        </w:rPr>
        <w:t xml:space="preserve"> the 15 per cent of the population who </w:t>
      </w:r>
      <w:r w:rsidR="00603638">
        <w:rPr>
          <w:color w:val="000000"/>
        </w:rPr>
        <w:t>are ethnic minorities</w:t>
      </w:r>
      <w:r w:rsidR="00DF22CA" w:rsidRPr="00A26D95">
        <w:rPr>
          <w:color w:val="000000"/>
        </w:rPr>
        <w:t xml:space="preserve"> now represent 60 per cent of</w:t>
      </w:r>
      <w:r w:rsidR="00564556">
        <w:rPr>
          <w:color w:val="000000"/>
        </w:rPr>
        <w:t xml:space="preserve"> those living under the</w:t>
      </w:r>
      <w:r w:rsidR="00DF22CA" w:rsidRPr="00A26D95">
        <w:rPr>
          <w:color w:val="000000"/>
        </w:rPr>
        <w:t xml:space="preserve"> poverty line. And </w:t>
      </w:r>
      <w:r w:rsidRPr="00A26D95">
        <w:rPr>
          <w:color w:val="000000"/>
        </w:rPr>
        <w:t>while Vietnam met its Millennium Development Goal on gender equality,</w:t>
      </w:r>
      <w:r w:rsidR="007D43A3" w:rsidRPr="00A26D95">
        <w:rPr>
          <w:color w:val="000000"/>
        </w:rPr>
        <w:t xml:space="preserve"> g</w:t>
      </w:r>
      <w:r w:rsidRPr="00A26D95">
        <w:rPr>
          <w:color w:val="000000"/>
        </w:rPr>
        <w:t>ender disparities still exist</w:t>
      </w:r>
      <w:r w:rsidR="007D43A3" w:rsidRPr="00A26D95">
        <w:rPr>
          <w:color w:val="000000"/>
        </w:rPr>
        <w:t>. Women have less</w:t>
      </w:r>
      <w:r w:rsidRPr="00A26D95">
        <w:rPr>
          <w:color w:val="000000"/>
        </w:rPr>
        <w:t xml:space="preserve"> access to and ownership of economic assets</w:t>
      </w:r>
      <w:r w:rsidR="00564556">
        <w:rPr>
          <w:color w:val="000000"/>
        </w:rPr>
        <w:t xml:space="preserve"> than men</w:t>
      </w:r>
      <w:r w:rsidRPr="00A26D95">
        <w:rPr>
          <w:color w:val="000000"/>
        </w:rPr>
        <w:t xml:space="preserve">, </w:t>
      </w:r>
      <w:r w:rsidR="007D43A3" w:rsidRPr="00A26D95">
        <w:rPr>
          <w:color w:val="000000"/>
        </w:rPr>
        <w:t>and</w:t>
      </w:r>
      <w:r w:rsidR="00DF22CA" w:rsidRPr="00A26D95">
        <w:rPr>
          <w:color w:val="000000"/>
        </w:rPr>
        <w:t xml:space="preserve"> </w:t>
      </w:r>
      <w:r w:rsidR="00564556">
        <w:rPr>
          <w:color w:val="000000"/>
        </w:rPr>
        <w:t>unlike global trends, Vietnam’s gender pay gap has</w:t>
      </w:r>
      <w:r w:rsidR="00B27FD5" w:rsidRPr="00A26D95">
        <w:rPr>
          <w:color w:val="000000"/>
        </w:rPr>
        <w:t xml:space="preserve"> widened over the last decade.</w:t>
      </w:r>
      <w:r w:rsidR="00DF22CA" w:rsidRPr="00A26D95">
        <w:rPr>
          <w:color w:val="000000"/>
        </w:rPr>
        <w:t xml:space="preserve"> W</w:t>
      </w:r>
      <w:r w:rsidR="007D43A3" w:rsidRPr="00A26D95">
        <w:rPr>
          <w:color w:val="000000"/>
        </w:rPr>
        <w:t>omen’s representation in the National Assembly has fallen</w:t>
      </w:r>
      <w:r w:rsidR="00DF22CA" w:rsidRPr="00A26D95">
        <w:rPr>
          <w:color w:val="000000"/>
        </w:rPr>
        <w:t>, and women are poorly represented in other leadership roles</w:t>
      </w:r>
      <w:r w:rsidRPr="00A26D95">
        <w:rPr>
          <w:color w:val="000000"/>
        </w:rPr>
        <w:t xml:space="preserve">. </w:t>
      </w:r>
    </w:p>
    <w:p w14:paraId="42DF8182" w14:textId="77777777" w:rsidR="00E15BA4" w:rsidRPr="00955DD8" w:rsidRDefault="00E15BA4" w:rsidP="00E15BA4">
      <w:pPr>
        <w:pStyle w:val="BodyText"/>
        <w:rPr>
          <w:lang w:eastAsia="en-US"/>
        </w:rPr>
      </w:pPr>
      <w:r>
        <w:rPr>
          <w:lang w:eastAsia="en-US"/>
        </w:rPr>
        <w:t xml:space="preserve">In September 2015, Australia committed to a new five year development assistance program to support Vietnam address these challenges. </w:t>
      </w:r>
      <w:r w:rsidR="00603638">
        <w:rPr>
          <w:lang w:eastAsia="en-US"/>
        </w:rPr>
        <w:t>Shaped</w:t>
      </w:r>
      <w:r w:rsidR="00955DD8">
        <w:rPr>
          <w:lang w:eastAsia="en-US"/>
        </w:rPr>
        <w:t xml:space="preserve"> as an economic partnership and outlined in the </w:t>
      </w:r>
      <w:r w:rsidR="00955DD8">
        <w:rPr>
          <w:i/>
          <w:lang w:eastAsia="en-US"/>
        </w:rPr>
        <w:t>Aid Investment Plan 2015-2020</w:t>
      </w:r>
      <w:r w:rsidR="00955DD8">
        <w:rPr>
          <w:lang w:eastAsia="en-US"/>
        </w:rPr>
        <w:t xml:space="preserve">, </w:t>
      </w:r>
      <w:r w:rsidR="00961272">
        <w:rPr>
          <w:lang w:eastAsia="en-US"/>
        </w:rPr>
        <w:t>Australia’s development assistance complements</w:t>
      </w:r>
      <w:r w:rsidR="00DC14E2">
        <w:rPr>
          <w:lang w:eastAsia="en-US"/>
        </w:rPr>
        <w:t xml:space="preserve"> our</w:t>
      </w:r>
      <w:r w:rsidR="00961272">
        <w:rPr>
          <w:lang w:eastAsia="en-US"/>
        </w:rPr>
        <w:t xml:space="preserve"> broader economic diplomacy efforts and </w:t>
      </w:r>
      <w:r w:rsidR="00DC14E2">
        <w:rPr>
          <w:lang w:eastAsia="en-US"/>
        </w:rPr>
        <w:t xml:space="preserve">encourages greater </w:t>
      </w:r>
      <w:r w:rsidR="00CF6F1A">
        <w:rPr>
          <w:lang w:eastAsia="en-US"/>
        </w:rPr>
        <w:t xml:space="preserve">economic </w:t>
      </w:r>
      <w:r w:rsidR="00CC57B5">
        <w:rPr>
          <w:lang w:eastAsia="en-US"/>
        </w:rPr>
        <w:t xml:space="preserve">regional </w:t>
      </w:r>
      <w:r w:rsidR="00CF6F1A">
        <w:rPr>
          <w:lang w:eastAsia="en-US"/>
        </w:rPr>
        <w:t>integration</w:t>
      </w:r>
      <w:r w:rsidR="00961272">
        <w:rPr>
          <w:lang w:eastAsia="en-US"/>
        </w:rPr>
        <w:t xml:space="preserve">. </w:t>
      </w:r>
      <w:r w:rsidR="00955DD8">
        <w:rPr>
          <w:lang w:eastAsia="en-US"/>
        </w:rPr>
        <w:t xml:space="preserve">Australia’s development assistance is strongly aligned with the Government of Vietnam’s </w:t>
      </w:r>
      <w:r w:rsidR="00603638">
        <w:rPr>
          <w:lang w:eastAsia="en-US"/>
        </w:rPr>
        <w:t xml:space="preserve">two </w:t>
      </w:r>
      <w:r w:rsidR="00955DD8">
        <w:rPr>
          <w:lang w:eastAsia="en-US"/>
        </w:rPr>
        <w:t xml:space="preserve">roadmaps for continued economic growth and social development: the </w:t>
      </w:r>
      <w:r w:rsidR="00955DD8" w:rsidRPr="00955DD8">
        <w:rPr>
          <w:i/>
          <w:lang w:eastAsia="en-US"/>
        </w:rPr>
        <w:t>Vietnam 2035 Report</w:t>
      </w:r>
      <w:r w:rsidR="00955DD8">
        <w:rPr>
          <w:lang w:eastAsia="en-US"/>
        </w:rPr>
        <w:t xml:space="preserve"> (2016) and the </w:t>
      </w:r>
      <w:r w:rsidR="00955DD8" w:rsidRPr="00955DD8">
        <w:rPr>
          <w:i/>
          <w:lang w:eastAsia="en-US"/>
        </w:rPr>
        <w:t>Socio-Economic Development Plan 2016-2020</w:t>
      </w:r>
      <w:r w:rsidR="00955DD8">
        <w:rPr>
          <w:lang w:eastAsia="en-US"/>
        </w:rPr>
        <w:t xml:space="preserve"> (2015). Structural reform, macroeconomic stability, environmental sustainability and social equality are key themes of these reports and ones which Australia will support though our </w:t>
      </w:r>
      <w:r w:rsidR="00603638">
        <w:rPr>
          <w:lang w:eastAsia="en-US"/>
        </w:rPr>
        <w:t>three</w:t>
      </w:r>
      <w:r w:rsidR="00955DD8">
        <w:rPr>
          <w:lang w:eastAsia="en-US"/>
        </w:rPr>
        <w:t xml:space="preserve"> objectives of: enabling and engaging the private sector, skilling up the workforce and supporting inclusive growth.  </w:t>
      </w:r>
    </w:p>
    <w:p w14:paraId="1378313F" w14:textId="77777777" w:rsidR="00ED4F41" w:rsidRPr="005E63EB" w:rsidRDefault="00E15BA4" w:rsidP="00ED4F41">
      <w:pPr>
        <w:pStyle w:val="BodyText"/>
        <w:rPr>
          <w:lang w:val="en"/>
        </w:rPr>
      </w:pPr>
      <w:r w:rsidRPr="00E162D5">
        <w:rPr>
          <w:lang w:val="en"/>
        </w:rPr>
        <w:t xml:space="preserve">In 2015, </w:t>
      </w:r>
      <w:r w:rsidR="00ED4F41" w:rsidRPr="00E162D5">
        <w:rPr>
          <w:lang w:val="en"/>
        </w:rPr>
        <w:t xml:space="preserve">Australia </w:t>
      </w:r>
      <w:r w:rsidRPr="00E162D5">
        <w:rPr>
          <w:lang w:val="en"/>
        </w:rPr>
        <w:t>moved from the 6</w:t>
      </w:r>
      <w:r w:rsidRPr="00E162D5">
        <w:rPr>
          <w:vertAlign w:val="superscript"/>
          <w:lang w:val="en"/>
        </w:rPr>
        <w:t>th</w:t>
      </w:r>
      <w:r w:rsidRPr="00E162D5">
        <w:rPr>
          <w:lang w:val="en"/>
        </w:rPr>
        <w:t xml:space="preserve"> to the </w:t>
      </w:r>
      <w:r w:rsidR="00311EC2" w:rsidRPr="00E162D5">
        <w:rPr>
          <w:lang w:val="en"/>
        </w:rPr>
        <w:t>9</w:t>
      </w:r>
      <w:r w:rsidR="00311EC2" w:rsidRPr="00E162D5">
        <w:rPr>
          <w:vertAlign w:val="superscript"/>
          <w:lang w:val="en"/>
        </w:rPr>
        <w:t>th</w:t>
      </w:r>
      <w:r w:rsidR="00311EC2" w:rsidRPr="00E162D5">
        <w:rPr>
          <w:lang w:val="en"/>
        </w:rPr>
        <w:t xml:space="preserve"> largest donor. The World Bank, Asian Development Bank</w:t>
      </w:r>
      <w:r w:rsidR="00ED4F41" w:rsidRPr="00E162D5">
        <w:rPr>
          <w:lang w:val="en"/>
        </w:rPr>
        <w:t xml:space="preserve">, Japan, Korea, France, Germany, US, EU and Australia continue to be key </w:t>
      </w:r>
      <w:r w:rsidR="00311EC2" w:rsidRPr="00E162D5">
        <w:rPr>
          <w:lang w:val="en"/>
        </w:rPr>
        <w:t xml:space="preserve">development </w:t>
      </w:r>
      <w:r w:rsidR="00ED4F41" w:rsidRPr="00E162D5">
        <w:rPr>
          <w:lang w:val="en"/>
        </w:rPr>
        <w:t>partners with Vietnam, but new</w:t>
      </w:r>
      <w:r w:rsidR="00603638" w:rsidRPr="00E162D5">
        <w:rPr>
          <w:lang w:val="en"/>
        </w:rPr>
        <w:t xml:space="preserve"> and non-traditional OECD DAC</w:t>
      </w:r>
      <w:r w:rsidR="00ED4F41" w:rsidRPr="00E162D5">
        <w:rPr>
          <w:lang w:val="en"/>
        </w:rPr>
        <w:t xml:space="preserve"> partners are emerging such as Saudi Arabia</w:t>
      </w:r>
      <w:r w:rsidR="00311EC2" w:rsidRPr="00E162D5">
        <w:rPr>
          <w:lang w:val="en"/>
        </w:rPr>
        <w:t xml:space="preserve"> and China.</w:t>
      </w:r>
    </w:p>
    <w:p w14:paraId="0505E946" w14:textId="77777777" w:rsidR="00CC1E7B" w:rsidRDefault="00CC1E7B"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4ED2DC6C" w14:textId="77777777" w:rsidR="00CC1E7B" w:rsidRDefault="00CC1E7B"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0A5F0BB5" w14:textId="77777777" w:rsidR="00CC1E7B" w:rsidRDefault="00CC1E7B"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7B50C484" w14:textId="77777777" w:rsidR="00C6626C" w:rsidRPr="002A51CA" w:rsidRDefault="00C6626C"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Expenditure</w:t>
      </w:r>
    </w:p>
    <w:p w14:paraId="648FEAC5" w14:textId="77777777" w:rsidR="00C6626C" w:rsidRDefault="00B11695" w:rsidP="00B11695">
      <w:pPr>
        <w:pStyle w:val="BodyText"/>
      </w:pPr>
      <w:r>
        <w:t xml:space="preserve">Total ODA expenditure for 2015-16 </w:t>
      </w:r>
      <w:r w:rsidR="007151CE">
        <w:t xml:space="preserve">is set out in </w:t>
      </w:r>
      <w:r w:rsidR="007151CE">
        <w:fldChar w:fldCharType="begin"/>
      </w:r>
      <w:r w:rsidR="007151CE">
        <w:instrText xml:space="preserve"> REF _Ref457997173 \h </w:instrText>
      </w:r>
      <w:r w:rsidR="007151CE">
        <w:fldChar w:fldCharType="separate"/>
      </w:r>
      <w:r w:rsidR="00843955" w:rsidRPr="007059A0">
        <w:t xml:space="preserve">Table </w:t>
      </w:r>
      <w:r w:rsidR="00843955">
        <w:rPr>
          <w:noProof/>
        </w:rPr>
        <w:t>1</w:t>
      </w:r>
      <w:r w:rsidR="007151CE">
        <w:fldChar w:fldCharType="end"/>
      </w:r>
      <w:r w:rsidR="007151CE">
        <w:t xml:space="preserve">. Expenditure </w:t>
      </w:r>
      <w:r>
        <w:t xml:space="preserve">is </w:t>
      </w:r>
      <w:r w:rsidR="002C21E5">
        <w:t xml:space="preserve">less </w:t>
      </w:r>
      <w:r>
        <w:t>than last financial year due to a reduction in Australia’s overall ODA budget</w:t>
      </w:r>
      <w:r w:rsidR="0074217B">
        <w:t>. The relatively low</w:t>
      </w:r>
      <w:r w:rsidR="00A2467A">
        <w:t xml:space="preserve"> expenditure under Objective 3 </w:t>
      </w:r>
      <w:r w:rsidR="0074217B">
        <w:t xml:space="preserve">is reflective of a new design phase, and </w:t>
      </w:r>
      <w:r w:rsidR="002C21E5">
        <w:t>implementation</w:t>
      </w:r>
      <w:r w:rsidR="0074217B">
        <w:t xml:space="preserve"> – hence greater expenditure – will </w:t>
      </w:r>
      <w:r w:rsidR="002C21E5">
        <w:t>take place next year</w:t>
      </w:r>
      <w:r w:rsidR="00990C80">
        <w:t>.</w:t>
      </w:r>
    </w:p>
    <w:p w14:paraId="002E7A49" w14:textId="77777777" w:rsidR="009546F0" w:rsidRPr="008C2F58" w:rsidRDefault="009546F0" w:rsidP="00B11695">
      <w:pPr>
        <w:pStyle w:val="Caption"/>
        <w:keepNext/>
      </w:pPr>
      <w:bookmarkStart w:id="0" w:name="_Ref457997173"/>
      <w:r w:rsidRPr="007059A0">
        <w:t xml:space="preserve">Table </w:t>
      </w:r>
      <w:r w:rsidRPr="007059A0">
        <w:fldChar w:fldCharType="begin"/>
      </w:r>
      <w:r w:rsidRPr="007059A0">
        <w:instrText xml:space="preserve"> SEQ Table \* ARABIC </w:instrText>
      </w:r>
      <w:r w:rsidRPr="007059A0">
        <w:fldChar w:fldCharType="separate"/>
      </w:r>
      <w:r w:rsidR="00843955">
        <w:rPr>
          <w:noProof/>
        </w:rPr>
        <w:t>1</w:t>
      </w:r>
      <w:r w:rsidRPr="007059A0">
        <w:rPr>
          <w:noProof/>
        </w:rPr>
        <w:fldChar w:fldCharType="end"/>
      </w:r>
      <w:bookmarkEnd w:id="0"/>
      <w:r w:rsidR="007059A0">
        <w:rPr>
          <w:noProof/>
        </w:rPr>
        <w:t>:</w:t>
      </w:r>
      <w:r w:rsidR="007059A0" w:rsidRPr="007059A0">
        <w:t xml:space="preserve"> </w:t>
      </w:r>
      <w:r w:rsidRPr="007059A0">
        <w:t>Total ODA Expenditure in 2015-16</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Caption w:val="Table 1: Total ODA Expenditure in 2015-16"/>
        <w:tblDescription w:val="A breakdown of Total ODA Expenditure in 2015-16 to Vietnam. "/>
      </w:tblPr>
      <w:tblGrid>
        <w:gridCol w:w="6204"/>
        <w:gridCol w:w="1417"/>
        <w:gridCol w:w="1843"/>
      </w:tblGrid>
      <w:tr w:rsidR="009546F0" w:rsidRPr="009546F0" w14:paraId="2B212A68" w14:textId="77777777" w:rsidTr="00B11695">
        <w:trPr>
          <w:cantSplit/>
        </w:trPr>
        <w:tc>
          <w:tcPr>
            <w:tcW w:w="6204" w:type="dxa"/>
          </w:tcPr>
          <w:p w14:paraId="1215F985" w14:textId="77777777" w:rsidR="009546F0" w:rsidRPr="009546F0" w:rsidRDefault="009546F0" w:rsidP="00B11695">
            <w:pPr>
              <w:pStyle w:val="NormalIndented"/>
              <w:keepNext/>
              <w:rPr>
                <w:b/>
                <w:color w:val="000000" w:themeColor="text1"/>
                <w:sz w:val="20"/>
              </w:rPr>
            </w:pPr>
            <w:r w:rsidRPr="009546F0">
              <w:rPr>
                <w:b/>
                <w:color w:val="000000" w:themeColor="text1"/>
                <w:sz w:val="20"/>
              </w:rPr>
              <w:t>Objective</w:t>
            </w:r>
          </w:p>
        </w:tc>
        <w:tc>
          <w:tcPr>
            <w:tcW w:w="1417" w:type="dxa"/>
          </w:tcPr>
          <w:p w14:paraId="7012233B" w14:textId="77777777" w:rsidR="009546F0" w:rsidRPr="009546F0" w:rsidRDefault="009546F0" w:rsidP="00B11695">
            <w:pPr>
              <w:pStyle w:val="NormalIndented"/>
              <w:keepNext/>
              <w:rPr>
                <w:b/>
                <w:color w:val="000000" w:themeColor="text1"/>
                <w:sz w:val="20"/>
              </w:rPr>
            </w:pPr>
            <w:r w:rsidRPr="009546F0">
              <w:rPr>
                <w:b/>
                <w:color w:val="000000" w:themeColor="text1"/>
                <w:sz w:val="20"/>
              </w:rPr>
              <w:t>A$ million</w:t>
            </w:r>
          </w:p>
        </w:tc>
        <w:tc>
          <w:tcPr>
            <w:tcW w:w="1843" w:type="dxa"/>
          </w:tcPr>
          <w:p w14:paraId="02DE7452" w14:textId="77777777" w:rsidR="009546F0" w:rsidRPr="009546F0" w:rsidRDefault="009546F0" w:rsidP="00B11695">
            <w:pPr>
              <w:pStyle w:val="NormalIndented"/>
              <w:keepNext/>
              <w:rPr>
                <w:b/>
                <w:color w:val="000000" w:themeColor="text1"/>
                <w:sz w:val="20"/>
              </w:rPr>
            </w:pPr>
            <w:r w:rsidRPr="009546F0">
              <w:rPr>
                <w:b/>
                <w:color w:val="000000" w:themeColor="text1"/>
                <w:sz w:val="20"/>
              </w:rPr>
              <w:t>% of total ODA</w:t>
            </w:r>
          </w:p>
        </w:tc>
      </w:tr>
      <w:tr w:rsidR="009546F0" w:rsidRPr="009546F0" w14:paraId="3C5A72AA" w14:textId="77777777" w:rsidTr="00B11695">
        <w:trPr>
          <w:cantSplit/>
        </w:trPr>
        <w:tc>
          <w:tcPr>
            <w:tcW w:w="6204" w:type="dxa"/>
          </w:tcPr>
          <w:p w14:paraId="3264AF9A" w14:textId="77777777" w:rsidR="009546F0" w:rsidRPr="009546F0" w:rsidRDefault="009546F0" w:rsidP="00B11695">
            <w:pPr>
              <w:pStyle w:val="NormalIndented"/>
              <w:keepNext/>
              <w:rPr>
                <w:i/>
                <w:color w:val="000000" w:themeColor="text1"/>
                <w:sz w:val="20"/>
              </w:rPr>
            </w:pPr>
            <w:r w:rsidRPr="009546F0">
              <w:rPr>
                <w:i/>
                <w:color w:val="000000" w:themeColor="text1"/>
                <w:sz w:val="20"/>
              </w:rPr>
              <w:t xml:space="preserve">Bilateral </w:t>
            </w:r>
          </w:p>
        </w:tc>
        <w:tc>
          <w:tcPr>
            <w:tcW w:w="1417" w:type="dxa"/>
          </w:tcPr>
          <w:p w14:paraId="5BB16CED" w14:textId="77777777" w:rsidR="009546F0" w:rsidRPr="009546F0" w:rsidRDefault="009546F0" w:rsidP="00B11695">
            <w:pPr>
              <w:pStyle w:val="NormalIndented"/>
              <w:keepNext/>
              <w:rPr>
                <w:color w:val="000000" w:themeColor="text1"/>
                <w:sz w:val="20"/>
              </w:rPr>
            </w:pPr>
          </w:p>
        </w:tc>
        <w:tc>
          <w:tcPr>
            <w:tcW w:w="1843" w:type="dxa"/>
          </w:tcPr>
          <w:p w14:paraId="40ACB2F7" w14:textId="77777777" w:rsidR="009546F0" w:rsidRPr="009546F0" w:rsidRDefault="009546F0" w:rsidP="00B11695">
            <w:pPr>
              <w:pStyle w:val="NormalIndented"/>
              <w:keepNext/>
              <w:rPr>
                <w:color w:val="000000" w:themeColor="text1"/>
                <w:sz w:val="20"/>
              </w:rPr>
            </w:pPr>
          </w:p>
        </w:tc>
      </w:tr>
      <w:tr w:rsidR="009546F0" w:rsidRPr="009546F0" w14:paraId="04C3C2B0" w14:textId="77777777" w:rsidTr="00B11695">
        <w:trPr>
          <w:cantSplit/>
        </w:trPr>
        <w:tc>
          <w:tcPr>
            <w:tcW w:w="6204" w:type="dxa"/>
          </w:tcPr>
          <w:p w14:paraId="74EDC1CA" w14:textId="77777777" w:rsidR="009546F0" w:rsidRPr="009546F0" w:rsidRDefault="009546F0" w:rsidP="00B11695">
            <w:pPr>
              <w:pStyle w:val="NormalIndented"/>
              <w:keepNext/>
              <w:rPr>
                <w:color w:val="000000" w:themeColor="text1"/>
                <w:sz w:val="20"/>
              </w:rPr>
            </w:pPr>
            <w:r w:rsidRPr="009546F0">
              <w:rPr>
                <w:color w:val="000000" w:themeColor="text1"/>
                <w:sz w:val="20"/>
              </w:rPr>
              <w:t>Objective 1: Enabling and engaging the private sector for development</w:t>
            </w:r>
          </w:p>
        </w:tc>
        <w:tc>
          <w:tcPr>
            <w:tcW w:w="1417" w:type="dxa"/>
          </w:tcPr>
          <w:p w14:paraId="60306103" w14:textId="77777777" w:rsidR="009546F0" w:rsidRPr="009546F0" w:rsidRDefault="009546F0" w:rsidP="00B11695">
            <w:pPr>
              <w:pStyle w:val="NormalIndented"/>
              <w:keepNext/>
              <w:rPr>
                <w:color w:val="000000" w:themeColor="text1"/>
                <w:sz w:val="20"/>
              </w:rPr>
            </w:pPr>
            <w:r w:rsidRPr="009546F0">
              <w:rPr>
                <w:color w:val="000000" w:themeColor="text1"/>
                <w:sz w:val="20"/>
              </w:rPr>
              <w:t>23.50</w:t>
            </w:r>
          </w:p>
        </w:tc>
        <w:tc>
          <w:tcPr>
            <w:tcW w:w="1843" w:type="dxa"/>
          </w:tcPr>
          <w:p w14:paraId="3B068908" w14:textId="77777777" w:rsidR="009546F0" w:rsidRPr="009546F0" w:rsidRDefault="009546F0" w:rsidP="00B11695">
            <w:pPr>
              <w:pStyle w:val="NormalIndented"/>
              <w:keepNext/>
              <w:rPr>
                <w:color w:val="000000" w:themeColor="text1"/>
                <w:sz w:val="20"/>
              </w:rPr>
            </w:pPr>
            <w:r w:rsidRPr="009546F0">
              <w:rPr>
                <w:color w:val="000000" w:themeColor="text1"/>
                <w:sz w:val="20"/>
              </w:rPr>
              <w:t>27%</w:t>
            </w:r>
          </w:p>
        </w:tc>
      </w:tr>
      <w:tr w:rsidR="009546F0" w:rsidRPr="009546F0" w14:paraId="18AD4B77" w14:textId="77777777" w:rsidTr="00B11695">
        <w:trPr>
          <w:cantSplit/>
        </w:trPr>
        <w:tc>
          <w:tcPr>
            <w:tcW w:w="6204" w:type="dxa"/>
          </w:tcPr>
          <w:p w14:paraId="6510980D" w14:textId="77777777" w:rsidR="009546F0" w:rsidRPr="009546F0" w:rsidRDefault="009546F0" w:rsidP="00B11695">
            <w:pPr>
              <w:pStyle w:val="NormalIndented"/>
              <w:keepNext/>
              <w:rPr>
                <w:color w:val="000000" w:themeColor="text1"/>
                <w:sz w:val="20"/>
              </w:rPr>
            </w:pPr>
            <w:r w:rsidRPr="009546F0">
              <w:rPr>
                <w:color w:val="000000" w:themeColor="text1"/>
                <w:sz w:val="20"/>
              </w:rPr>
              <w:t>Objective 2: Assisting the development and employment of a highly skilled workforce</w:t>
            </w:r>
          </w:p>
        </w:tc>
        <w:tc>
          <w:tcPr>
            <w:tcW w:w="1417" w:type="dxa"/>
          </w:tcPr>
          <w:p w14:paraId="48A61AD1" w14:textId="77777777" w:rsidR="009546F0" w:rsidRPr="009546F0" w:rsidRDefault="009546F0" w:rsidP="00B11695">
            <w:pPr>
              <w:pStyle w:val="NormalIndented"/>
              <w:keepNext/>
              <w:rPr>
                <w:color w:val="000000" w:themeColor="text1"/>
                <w:sz w:val="20"/>
              </w:rPr>
            </w:pPr>
            <w:r w:rsidRPr="009546F0">
              <w:rPr>
                <w:color w:val="000000" w:themeColor="text1"/>
                <w:sz w:val="20"/>
              </w:rPr>
              <w:t>31.53</w:t>
            </w:r>
          </w:p>
        </w:tc>
        <w:tc>
          <w:tcPr>
            <w:tcW w:w="1843" w:type="dxa"/>
          </w:tcPr>
          <w:p w14:paraId="275F9394" w14:textId="77777777" w:rsidR="009546F0" w:rsidRPr="009546F0" w:rsidRDefault="009546F0" w:rsidP="00B11695">
            <w:pPr>
              <w:pStyle w:val="NormalIndented"/>
              <w:keepNext/>
              <w:rPr>
                <w:color w:val="000000" w:themeColor="text1"/>
                <w:sz w:val="20"/>
              </w:rPr>
            </w:pPr>
            <w:r w:rsidRPr="009546F0">
              <w:rPr>
                <w:color w:val="000000" w:themeColor="text1"/>
                <w:sz w:val="20"/>
              </w:rPr>
              <w:t>37%</w:t>
            </w:r>
          </w:p>
        </w:tc>
      </w:tr>
      <w:tr w:rsidR="009546F0" w:rsidRPr="009546F0" w14:paraId="11A1682F" w14:textId="77777777" w:rsidTr="00B11695">
        <w:trPr>
          <w:cantSplit/>
        </w:trPr>
        <w:tc>
          <w:tcPr>
            <w:tcW w:w="6204" w:type="dxa"/>
          </w:tcPr>
          <w:p w14:paraId="4B34DEA2" w14:textId="77777777" w:rsidR="009546F0" w:rsidRPr="009546F0" w:rsidRDefault="009546F0" w:rsidP="00B11695">
            <w:pPr>
              <w:pStyle w:val="NormalIndented"/>
              <w:keepNext/>
              <w:rPr>
                <w:color w:val="000000" w:themeColor="text1"/>
                <w:sz w:val="20"/>
              </w:rPr>
            </w:pPr>
            <w:r w:rsidRPr="009546F0">
              <w:rPr>
                <w:color w:val="000000" w:themeColor="text1"/>
                <w:sz w:val="20"/>
              </w:rPr>
              <w:t>Objective 3: Promoting women’s economic empowe</w:t>
            </w:r>
            <w:r w:rsidR="00853119">
              <w:rPr>
                <w:color w:val="000000" w:themeColor="text1"/>
                <w:sz w:val="20"/>
              </w:rPr>
              <w:t>rment, including ethnic minorities</w:t>
            </w:r>
          </w:p>
        </w:tc>
        <w:tc>
          <w:tcPr>
            <w:tcW w:w="1417" w:type="dxa"/>
          </w:tcPr>
          <w:p w14:paraId="464DD4DA" w14:textId="77777777" w:rsidR="009546F0" w:rsidRPr="009546F0" w:rsidRDefault="009546F0" w:rsidP="00B11695">
            <w:pPr>
              <w:pStyle w:val="NormalIndented"/>
              <w:keepNext/>
              <w:rPr>
                <w:color w:val="000000" w:themeColor="text1"/>
                <w:sz w:val="20"/>
              </w:rPr>
            </w:pPr>
            <w:r w:rsidRPr="009546F0">
              <w:rPr>
                <w:color w:val="000000" w:themeColor="text1"/>
                <w:sz w:val="20"/>
              </w:rPr>
              <w:t>4.99</w:t>
            </w:r>
          </w:p>
        </w:tc>
        <w:tc>
          <w:tcPr>
            <w:tcW w:w="1843" w:type="dxa"/>
          </w:tcPr>
          <w:p w14:paraId="32EB8D88" w14:textId="77777777" w:rsidR="009546F0" w:rsidRPr="009546F0" w:rsidRDefault="009546F0" w:rsidP="00B11695">
            <w:pPr>
              <w:pStyle w:val="NormalIndented"/>
              <w:keepNext/>
              <w:rPr>
                <w:color w:val="000000" w:themeColor="text1"/>
                <w:sz w:val="20"/>
              </w:rPr>
            </w:pPr>
            <w:r w:rsidRPr="009546F0">
              <w:rPr>
                <w:color w:val="000000" w:themeColor="text1"/>
                <w:sz w:val="20"/>
              </w:rPr>
              <w:t>6%</w:t>
            </w:r>
          </w:p>
        </w:tc>
      </w:tr>
      <w:tr w:rsidR="009546F0" w:rsidRPr="009546F0" w14:paraId="5F221CCC" w14:textId="77777777" w:rsidTr="00B11695">
        <w:trPr>
          <w:cantSplit/>
        </w:trPr>
        <w:tc>
          <w:tcPr>
            <w:tcW w:w="6204" w:type="dxa"/>
          </w:tcPr>
          <w:p w14:paraId="78269B60" w14:textId="77777777" w:rsidR="009546F0" w:rsidRPr="009546F0" w:rsidRDefault="009546F0" w:rsidP="00B11695">
            <w:pPr>
              <w:pStyle w:val="NormalIndented"/>
              <w:keepNext/>
              <w:rPr>
                <w:color w:val="000000" w:themeColor="text1"/>
                <w:sz w:val="20"/>
              </w:rPr>
            </w:pPr>
            <w:r w:rsidRPr="009546F0">
              <w:rPr>
                <w:color w:val="000000" w:themeColor="text1"/>
                <w:sz w:val="20"/>
              </w:rPr>
              <w:t>Operation and economic diplomacy</w:t>
            </w:r>
          </w:p>
        </w:tc>
        <w:tc>
          <w:tcPr>
            <w:tcW w:w="1417" w:type="dxa"/>
          </w:tcPr>
          <w:p w14:paraId="7C23BCF0" w14:textId="77777777" w:rsidR="009546F0" w:rsidRPr="009546F0" w:rsidRDefault="009546F0" w:rsidP="00B11695">
            <w:pPr>
              <w:pStyle w:val="NormalIndented"/>
              <w:keepNext/>
              <w:rPr>
                <w:color w:val="000000" w:themeColor="text1"/>
                <w:sz w:val="20"/>
              </w:rPr>
            </w:pPr>
            <w:r w:rsidRPr="009546F0">
              <w:rPr>
                <w:color w:val="000000" w:themeColor="text1"/>
                <w:sz w:val="20"/>
              </w:rPr>
              <w:t>1.33</w:t>
            </w:r>
          </w:p>
        </w:tc>
        <w:tc>
          <w:tcPr>
            <w:tcW w:w="1843" w:type="dxa"/>
          </w:tcPr>
          <w:p w14:paraId="02144830" w14:textId="77777777" w:rsidR="009546F0" w:rsidRPr="009546F0" w:rsidRDefault="009546F0" w:rsidP="00B11695">
            <w:pPr>
              <w:pStyle w:val="NormalIndented"/>
              <w:keepNext/>
              <w:rPr>
                <w:color w:val="000000" w:themeColor="text1"/>
                <w:sz w:val="20"/>
              </w:rPr>
            </w:pPr>
            <w:r w:rsidRPr="009546F0">
              <w:rPr>
                <w:color w:val="000000" w:themeColor="text1"/>
                <w:sz w:val="20"/>
              </w:rPr>
              <w:t>2%</w:t>
            </w:r>
          </w:p>
        </w:tc>
      </w:tr>
      <w:tr w:rsidR="009546F0" w:rsidRPr="009546F0" w14:paraId="3C365666" w14:textId="77777777" w:rsidTr="00B11695">
        <w:trPr>
          <w:cantSplit/>
        </w:trPr>
        <w:tc>
          <w:tcPr>
            <w:tcW w:w="6204" w:type="dxa"/>
          </w:tcPr>
          <w:p w14:paraId="3AB7A344" w14:textId="77777777" w:rsidR="009546F0" w:rsidRPr="009546F0" w:rsidRDefault="009546F0" w:rsidP="00CE33D9">
            <w:pPr>
              <w:pStyle w:val="NormalIndented"/>
              <w:keepNext/>
              <w:rPr>
                <w:i/>
                <w:color w:val="000000" w:themeColor="text1"/>
                <w:sz w:val="20"/>
              </w:rPr>
            </w:pPr>
            <w:r w:rsidRPr="009546F0">
              <w:rPr>
                <w:i/>
                <w:color w:val="000000" w:themeColor="text1"/>
                <w:sz w:val="20"/>
              </w:rPr>
              <w:t>Sub-Total Bilateral</w:t>
            </w:r>
          </w:p>
        </w:tc>
        <w:tc>
          <w:tcPr>
            <w:tcW w:w="1417" w:type="dxa"/>
          </w:tcPr>
          <w:p w14:paraId="31FF3A6D" w14:textId="77777777" w:rsidR="009546F0" w:rsidRPr="009546F0" w:rsidRDefault="009546F0" w:rsidP="002C21E5">
            <w:pPr>
              <w:pStyle w:val="NormalIndented"/>
              <w:keepNext/>
              <w:rPr>
                <w:i/>
                <w:color w:val="000000" w:themeColor="text1"/>
                <w:sz w:val="20"/>
              </w:rPr>
            </w:pPr>
            <w:r w:rsidRPr="009546F0">
              <w:rPr>
                <w:i/>
                <w:color w:val="000000" w:themeColor="text1"/>
                <w:sz w:val="20"/>
              </w:rPr>
              <w:t>61.36</w:t>
            </w:r>
          </w:p>
        </w:tc>
        <w:tc>
          <w:tcPr>
            <w:tcW w:w="1843" w:type="dxa"/>
          </w:tcPr>
          <w:p w14:paraId="27712F75" w14:textId="77777777" w:rsidR="009546F0" w:rsidRPr="009546F0" w:rsidRDefault="009546F0" w:rsidP="00B11695">
            <w:pPr>
              <w:pStyle w:val="NormalIndented"/>
              <w:keepNext/>
              <w:rPr>
                <w:i/>
                <w:color w:val="000000" w:themeColor="text1"/>
                <w:sz w:val="20"/>
              </w:rPr>
            </w:pPr>
            <w:r w:rsidRPr="009546F0">
              <w:rPr>
                <w:i/>
                <w:color w:val="000000" w:themeColor="text1"/>
                <w:sz w:val="20"/>
              </w:rPr>
              <w:t>71%</w:t>
            </w:r>
          </w:p>
        </w:tc>
      </w:tr>
      <w:tr w:rsidR="009546F0" w:rsidRPr="009546F0" w14:paraId="17851026" w14:textId="77777777" w:rsidTr="00B11695">
        <w:trPr>
          <w:cantSplit/>
        </w:trPr>
        <w:tc>
          <w:tcPr>
            <w:tcW w:w="6204" w:type="dxa"/>
          </w:tcPr>
          <w:p w14:paraId="0B9D580E" w14:textId="77777777" w:rsidR="009546F0" w:rsidRPr="009546F0" w:rsidRDefault="009546F0" w:rsidP="00B11695">
            <w:pPr>
              <w:pStyle w:val="NormalIndented"/>
              <w:keepNext/>
              <w:rPr>
                <w:color w:val="000000" w:themeColor="text1"/>
                <w:sz w:val="20"/>
              </w:rPr>
            </w:pPr>
            <w:r w:rsidRPr="009546F0">
              <w:rPr>
                <w:color w:val="000000" w:themeColor="text1"/>
                <w:sz w:val="20"/>
              </w:rPr>
              <w:t>Regional and Global</w:t>
            </w:r>
          </w:p>
        </w:tc>
        <w:tc>
          <w:tcPr>
            <w:tcW w:w="1417" w:type="dxa"/>
          </w:tcPr>
          <w:p w14:paraId="2E47D220" w14:textId="77777777" w:rsidR="009546F0" w:rsidRPr="009546F0" w:rsidRDefault="009546F0" w:rsidP="00B11695">
            <w:pPr>
              <w:pStyle w:val="NormalIndented"/>
              <w:keepNext/>
              <w:rPr>
                <w:color w:val="000000" w:themeColor="text1"/>
                <w:sz w:val="20"/>
              </w:rPr>
            </w:pPr>
            <w:r w:rsidRPr="009546F0">
              <w:rPr>
                <w:color w:val="000000" w:themeColor="text1"/>
                <w:sz w:val="20"/>
              </w:rPr>
              <w:t>20.4</w:t>
            </w:r>
          </w:p>
        </w:tc>
        <w:tc>
          <w:tcPr>
            <w:tcW w:w="1843" w:type="dxa"/>
          </w:tcPr>
          <w:p w14:paraId="1454E294" w14:textId="77777777" w:rsidR="009546F0" w:rsidRPr="009546F0" w:rsidRDefault="009546F0" w:rsidP="00B11695">
            <w:pPr>
              <w:pStyle w:val="NormalIndented"/>
              <w:keepNext/>
              <w:rPr>
                <w:color w:val="000000" w:themeColor="text1"/>
                <w:sz w:val="20"/>
              </w:rPr>
            </w:pPr>
            <w:r w:rsidRPr="009546F0">
              <w:rPr>
                <w:color w:val="000000" w:themeColor="text1"/>
                <w:sz w:val="20"/>
              </w:rPr>
              <w:t>24%</w:t>
            </w:r>
          </w:p>
        </w:tc>
      </w:tr>
      <w:tr w:rsidR="009546F0" w:rsidRPr="009546F0" w14:paraId="65061643" w14:textId="77777777" w:rsidTr="00B11695">
        <w:trPr>
          <w:cantSplit/>
        </w:trPr>
        <w:tc>
          <w:tcPr>
            <w:tcW w:w="6204" w:type="dxa"/>
          </w:tcPr>
          <w:p w14:paraId="66C9471C" w14:textId="77777777" w:rsidR="009546F0" w:rsidRPr="009546F0" w:rsidRDefault="009546F0" w:rsidP="00B11695">
            <w:pPr>
              <w:pStyle w:val="NormalIndented"/>
              <w:keepNext/>
              <w:rPr>
                <w:color w:val="000000" w:themeColor="text1"/>
                <w:sz w:val="20"/>
              </w:rPr>
            </w:pPr>
            <w:r w:rsidRPr="009546F0">
              <w:rPr>
                <w:color w:val="000000" w:themeColor="text1"/>
                <w:sz w:val="20"/>
              </w:rPr>
              <w:t>Other Government Departments</w:t>
            </w:r>
          </w:p>
        </w:tc>
        <w:tc>
          <w:tcPr>
            <w:tcW w:w="1417" w:type="dxa"/>
          </w:tcPr>
          <w:p w14:paraId="52B9FE0C" w14:textId="77777777" w:rsidR="009546F0" w:rsidRPr="009546F0" w:rsidRDefault="009546F0" w:rsidP="00B11695">
            <w:pPr>
              <w:pStyle w:val="NormalIndented"/>
              <w:keepNext/>
              <w:rPr>
                <w:color w:val="000000" w:themeColor="text1"/>
                <w:sz w:val="20"/>
              </w:rPr>
            </w:pPr>
            <w:r w:rsidRPr="009546F0">
              <w:rPr>
                <w:color w:val="000000" w:themeColor="text1"/>
                <w:sz w:val="20"/>
              </w:rPr>
              <w:t>4.2</w:t>
            </w:r>
          </w:p>
        </w:tc>
        <w:tc>
          <w:tcPr>
            <w:tcW w:w="1843" w:type="dxa"/>
          </w:tcPr>
          <w:p w14:paraId="4453FC62" w14:textId="77777777" w:rsidR="009546F0" w:rsidRPr="009546F0" w:rsidRDefault="009546F0" w:rsidP="00B11695">
            <w:pPr>
              <w:pStyle w:val="NormalIndented"/>
              <w:keepNext/>
              <w:rPr>
                <w:color w:val="000000" w:themeColor="text1"/>
                <w:sz w:val="20"/>
              </w:rPr>
            </w:pPr>
            <w:r w:rsidRPr="009546F0">
              <w:rPr>
                <w:color w:val="000000" w:themeColor="text1"/>
                <w:sz w:val="20"/>
              </w:rPr>
              <w:t>5%</w:t>
            </w:r>
          </w:p>
        </w:tc>
      </w:tr>
      <w:tr w:rsidR="009546F0" w:rsidRPr="009546F0" w14:paraId="54758802" w14:textId="77777777" w:rsidTr="00B11695">
        <w:trPr>
          <w:cantSplit/>
        </w:trPr>
        <w:tc>
          <w:tcPr>
            <w:tcW w:w="6204" w:type="dxa"/>
          </w:tcPr>
          <w:p w14:paraId="3591004D" w14:textId="77777777" w:rsidR="009546F0" w:rsidRPr="009546F0" w:rsidRDefault="009546F0" w:rsidP="006E6AB9">
            <w:pPr>
              <w:pStyle w:val="NormalIndented"/>
              <w:rPr>
                <w:b/>
                <w:color w:val="000000" w:themeColor="text1"/>
                <w:sz w:val="20"/>
              </w:rPr>
            </w:pPr>
            <w:r w:rsidRPr="009546F0">
              <w:rPr>
                <w:b/>
                <w:color w:val="000000" w:themeColor="text1"/>
                <w:sz w:val="20"/>
              </w:rPr>
              <w:t>Total ODA Expenditure</w:t>
            </w:r>
          </w:p>
        </w:tc>
        <w:tc>
          <w:tcPr>
            <w:tcW w:w="1417" w:type="dxa"/>
          </w:tcPr>
          <w:p w14:paraId="16C55C66" w14:textId="77777777" w:rsidR="009546F0" w:rsidRPr="009546F0" w:rsidRDefault="009546F0" w:rsidP="002C21E5">
            <w:pPr>
              <w:pStyle w:val="NormalIndented"/>
              <w:rPr>
                <w:b/>
                <w:color w:val="000000" w:themeColor="text1"/>
                <w:sz w:val="20"/>
              </w:rPr>
            </w:pPr>
            <w:r w:rsidRPr="009546F0">
              <w:rPr>
                <w:b/>
                <w:color w:val="000000" w:themeColor="text1"/>
                <w:sz w:val="20"/>
              </w:rPr>
              <w:t>85.96</w:t>
            </w:r>
          </w:p>
        </w:tc>
        <w:tc>
          <w:tcPr>
            <w:tcW w:w="1843" w:type="dxa"/>
          </w:tcPr>
          <w:p w14:paraId="2C76610A" w14:textId="77777777" w:rsidR="009546F0" w:rsidRPr="009546F0" w:rsidRDefault="009546F0" w:rsidP="006E6AB9">
            <w:pPr>
              <w:pStyle w:val="NormalIndented"/>
              <w:rPr>
                <w:b/>
                <w:color w:val="000000" w:themeColor="text1"/>
                <w:sz w:val="20"/>
              </w:rPr>
            </w:pPr>
            <w:r w:rsidRPr="009546F0">
              <w:rPr>
                <w:b/>
                <w:color w:val="000000" w:themeColor="text1"/>
                <w:sz w:val="20"/>
              </w:rPr>
              <w:t>100%</w:t>
            </w:r>
          </w:p>
        </w:tc>
      </w:tr>
    </w:tbl>
    <w:p w14:paraId="3BEFAA97" w14:textId="77777777" w:rsidR="00022349" w:rsidRDefault="00022349" w:rsidP="00022349">
      <w:pPr>
        <w:pStyle w:val="ListBullet"/>
        <w:tabs>
          <w:tab w:val="clear" w:pos="284"/>
        </w:tabs>
        <w:spacing w:after="0"/>
        <w:rPr>
          <w:rFonts w:asciiTheme="majorHAnsi" w:eastAsiaTheme="majorEastAsia" w:hAnsiTheme="majorHAnsi" w:cstheme="majorBidi"/>
          <w:caps/>
          <w:color w:val="495965" w:themeColor="text2"/>
          <w:sz w:val="38"/>
          <w:szCs w:val="26"/>
          <w:lang w:val="en-GB" w:eastAsia="en-US"/>
        </w:rPr>
      </w:pPr>
    </w:p>
    <w:p w14:paraId="747031FA" w14:textId="77777777" w:rsidR="002A51CA" w:rsidRPr="002A51CA" w:rsidRDefault="00FE5E1C"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Progress towards Objectives</w:t>
      </w:r>
    </w:p>
    <w:p w14:paraId="0F3A3CD5" w14:textId="77777777" w:rsidR="001B36A6" w:rsidRPr="001B36A6" w:rsidRDefault="001B36A6" w:rsidP="001B36A6">
      <w:pPr>
        <w:pStyle w:val="BodyText"/>
      </w:pPr>
      <w:r>
        <w:t xml:space="preserve">This year is the first report on progress </w:t>
      </w:r>
      <w:r w:rsidR="002C21E5">
        <w:t xml:space="preserve">against </w:t>
      </w:r>
      <w:r>
        <w:t xml:space="preserve">the </w:t>
      </w:r>
      <w:r w:rsidRPr="001B36A6">
        <w:rPr>
          <w:i/>
        </w:rPr>
        <w:t>Aid Investment Plan Vietnam 2015-20</w:t>
      </w:r>
      <w:r>
        <w:t xml:space="preserve"> with a new set of objectives. </w:t>
      </w:r>
      <w:r w:rsidR="007151CE">
        <w:t>For this reason,</w:t>
      </w:r>
      <w:r w:rsidR="0074217B">
        <w:t xml:space="preserve"> there is no comparison to last year’s objectives</w:t>
      </w:r>
      <w:r w:rsidR="007151CE">
        <w:t xml:space="preserve"> </w:t>
      </w:r>
      <w:r w:rsidR="0074217B">
        <w:t>(</w:t>
      </w:r>
      <w:r w:rsidR="007151CE">
        <w:fldChar w:fldCharType="begin"/>
      </w:r>
      <w:r w:rsidR="007151CE">
        <w:instrText xml:space="preserve"> REF _Ref457997238 \h </w:instrText>
      </w:r>
      <w:r w:rsidR="007151CE">
        <w:fldChar w:fldCharType="separate"/>
      </w:r>
      <w:r w:rsidR="00843955" w:rsidRPr="008C2F58">
        <w:t xml:space="preserve">Table </w:t>
      </w:r>
      <w:r w:rsidR="00843955">
        <w:rPr>
          <w:noProof/>
        </w:rPr>
        <w:t>2</w:t>
      </w:r>
      <w:r w:rsidR="007151CE">
        <w:fldChar w:fldCharType="end"/>
      </w:r>
      <w:r w:rsidR="0074217B">
        <w:t>)</w:t>
      </w:r>
      <w:r w:rsidR="007151CE">
        <w:t xml:space="preserve">. </w:t>
      </w:r>
    </w:p>
    <w:p w14:paraId="483C7857" w14:textId="77777777" w:rsidR="002A51CA" w:rsidRPr="008C2F58" w:rsidRDefault="002A51CA" w:rsidP="007059A0">
      <w:pPr>
        <w:pStyle w:val="Caption"/>
      </w:pPr>
      <w:bookmarkStart w:id="1" w:name="_Ref457997238"/>
      <w:r w:rsidRPr="008C2F58">
        <w:t xml:space="preserve">Table </w:t>
      </w:r>
      <w:r w:rsidRPr="008C2F58">
        <w:fldChar w:fldCharType="begin"/>
      </w:r>
      <w:r w:rsidRPr="008C2F58">
        <w:instrText xml:space="preserve"> SEQ Table \* ARABIC </w:instrText>
      </w:r>
      <w:r w:rsidRPr="008C2F58">
        <w:fldChar w:fldCharType="separate"/>
      </w:r>
      <w:r w:rsidR="00843955">
        <w:rPr>
          <w:noProof/>
        </w:rPr>
        <w:t>2</w:t>
      </w:r>
      <w:r w:rsidRPr="008C2F58">
        <w:rPr>
          <w:noProof/>
        </w:rPr>
        <w:fldChar w:fldCharType="end"/>
      </w:r>
      <w:bookmarkEnd w:id="1"/>
      <w:r w:rsidR="007059A0">
        <w:rPr>
          <w:noProof/>
        </w:rPr>
        <w:t>:</w:t>
      </w:r>
      <w:r w:rsidRPr="008C2F58">
        <w:t xml:space="preserve"> Rating of the</w:t>
      </w:r>
      <w:r w:rsidR="007151CE">
        <w:t xml:space="preserve"> p</w:t>
      </w:r>
      <w:r w:rsidRPr="008C2F58">
        <w:t xml:space="preserve">rogram's </w:t>
      </w:r>
      <w:r w:rsidR="007151CE">
        <w:t>p</w:t>
      </w:r>
      <w:r w:rsidRPr="008C2F58">
        <w:t xml:space="preserve">rogress towards Australia’s </w:t>
      </w:r>
      <w:r w:rsidR="007151CE">
        <w:t>a</w:t>
      </w:r>
      <w:r w:rsidRPr="008C2F58">
        <w:t xml:space="preserve">id </w:t>
      </w:r>
      <w:r w:rsidR="007151CE">
        <w:t>o</w:t>
      </w:r>
      <w:r w:rsidRPr="008C2F58">
        <w:t>bjectives</w:t>
      </w:r>
    </w:p>
    <w:tbl>
      <w:tblPr>
        <w:tblStyle w:val="APPR"/>
        <w:tblW w:w="4974" w:type="pct"/>
        <w:tblLook w:val="0000" w:firstRow="0" w:lastRow="0" w:firstColumn="0" w:lastColumn="0" w:noHBand="0" w:noVBand="0"/>
        <w:tblCaption w:val="Table 2: Rating of the program's progress towards Australia’s aid objectives"/>
        <w:tblDescription w:val="Current ratings of each of the three Australian aid objectives in Vietnam. For 2015-16 each objective is rated green: progress is as expected at this stage of implementation and it is likely that the objective will be achieved. Standard program management practices are sufficient. "/>
      </w:tblPr>
      <w:tblGrid>
        <w:gridCol w:w="7224"/>
        <w:gridCol w:w="1216"/>
        <w:gridCol w:w="1148"/>
      </w:tblGrid>
      <w:tr w:rsidR="00B52AA0" w:rsidRPr="00853119" w14:paraId="629D16E9" w14:textId="77777777" w:rsidTr="00B52AA0">
        <w:trPr>
          <w:cnfStyle w:val="000000010000" w:firstRow="0" w:lastRow="0" w:firstColumn="0" w:lastColumn="0" w:oddVBand="0" w:evenVBand="0" w:oddHBand="0" w:evenHBand="1" w:firstRowFirstColumn="0" w:firstRowLastColumn="0" w:lastRowFirstColumn="0" w:lastRowLastColumn="0"/>
          <w:trHeight w:val="651"/>
        </w:trPr>
        <w:tc>
          <w:tcPr>
            <w:tcW w:w="7465" w:type="dxa"/>
          </w:tcPr>
          <w:p w14:paraId="52E18DF3" w14:textId="77777777" w:rsidR="00B52AA0" w:rsidRPr="00853119" w:rsidRDefault="00B52AA0" w:rsidP="00BE6C6D">
            <w:pPr>
              <w:pStyle w:val="NormalIndented"/>
              <w:rPr>
                <w:rFonts w:asciiTheme="minorHAnsi" w:hAnsiTheme="minorHAnsi"/>
                <w:b/>
                <w:color w:val="auto"/>
                <w:sz w:val="20"/>
                <w:szCs w:val="20"/>
                <w:lang w:eastAsia="en-US"/>
              </w:rPr>
            </w:pPr>
            <w:r w:rsidRPr="00853119">
              <w:rPr>
                <w:b/>
                <w:noProof/>
                <w:color w:val="auto"/>
                <w:sz w:val="20"/>
                <w:szCs w:val="20"/>
                <w:lang w:val="en-AU"/>
              </w:rPr>
              <w:drawing>
                <wp:anchor distT="0" distB="0" distL="114300" distR="114300" simplePos="0" relativeHeight="251685888" behindDoc="0" locked="0" layoutInCell="1" allowOverlap="1" wp14:anchorId="573EC1D0" wp14:editId="1D9E397B">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3119">
              <w:rPr>
                <w:rFonts w:asciiTheme="minorHAnsi" w:hAnsiTheme="minorHAnsi"/>
                <w:b/>
                <w:color w:val="auto"/>
                <w:sz w:val="20"/>
                <w:szCs w:val="20"/>
                <w:lang w:eastAsia="en-US"/>
              </w:rPr>
              <w:t>Objective</w:t>
            </w:r>
          </w:p>
        </w:tc>
        <w:tc>
          <w:tcPr>
            <w:tcW w:w="1175" w:type="dxa"/>
          </w:tcPr>
          <w:p w14:paraId="320F9625" w14:textId="77777777" w:rsidR="00B52AA0" w:rsidRPr="00853119" w:rsidRDefault="00B52AA0" w:rsidP="00BE6C6D">
            <w:pPr>
              <w:pStyle w:val="NormalIndented"/>
              <w:rPr>
                <w:rFonts w:asciiTheme="minorHAnsi" w:hAnsiTheme="minorHAnsi"/>
                <w:b/>
                <w:color w:val="auto"/>
                <w:sz w:val="20"/>
                <w:szCs w:val="20"/>
                <w:lang w:eastAsia="en-US"/>
              </w:rPr>
            </w:pPr>
            <w:r w:rsidRPr="00853119">
              <w:rPr>
                <w:rFonts w:asciiTheme="minorHAnsi" w:hAnsiTheme="minorHAnsi"/>
                <w:b/>
                <w:color w:val="auto"/>
                <w:sz w:val="20"/>
                <w:szCs w:val="20"/>
                <w:lang w:eastAsia="en-US"/>
              </w:rPr>
              <w:t>Previous Rating</w:t>
            </w:r>
          </w:p>
        </w:tc>
        <w:tc>
          <w:tcPr>
            <w:tcW w:w="1106" w:type="dxa"/>
          </w:tcPr>
          <w:p w14:paraId="1AFFCE61" w14:textId="77777777" w:rsidR="00B52AA0" w:rsidRPr="00853119" w:rsidRDefault="00B52AA0" w:rsidP="00B52AA0">
            <w:pPr>
              <w:pStyle w:val="NormalIndented"/>
              <w:ind w:left="70"/>
              <w:rPr>
                <w:rFonts w:asciiTheme="minorHAnsi" w:hAnsiTheme="minorHAnsi"/>
                <w:b/>
                <w:color w:val="auto"/>
                <w:sz w:val="20"/>
                <w:szCs w:val="20"/>
                <w:lang w:eastAsia="en-US"/>
              </w:rPr>
            </w:pPr>
            <w:r w:rsidRPr="00853119">
              <w:rPr>
                <w:rFonts w:asciiTheme="minorHAnsi" w:hAnsiTheme="minorHAnsi"/>
                <w:b/>
                <w:color w:val="auto"/>
                <w:sz w:val="20"/>
                <w:szCs w:val="20"/>
                <w:lang w:eastAsia="en-US"/>
              </w:rPr>
              <w:t xml:space="preserve">Current </w:t>
            </w:r>
            <w:r>
              <w:rPr>
                <w:rFonts w:asciiTheme="minorHAnsi" w:hAnsiTheme="minorHAnsi"/>
                <w:b/>
                <w:color w:val="auto"/>
                <w:sz w:val="20"/>
                <w:szCs w:val="20"/>
                <w:lang w:eastAsia="en-US"/>
              </w:rPr>
              <w:t xml:space="preserve">   </w:t>
            </w:r>
            <w:r w:rsidRPr="00853119">
              <w:rPr>
                <w:rFonts w:asciiTheme="minorHAnsi" w:hAnsiTheme="minorHAnsi"/>
                <w:b/>
                <w:color w:val="auto"/>
                <w:sz w:val="20"/>
                <w:szCs w:val="20"/>
                <w:lang w:eastAsia="en-US"/>
              </w:rPr>
              <w:t>Rating</w:t>
            </w:r>
          </w:p>
        </w:tc>
      </w:tr>
      <w:tr w:rsidR="00B52AA0" w:rsidRPr="00853119" w14:paraId="22A753C4" w14:textId="77777777" w:rsidTr="00B52AA0">
        <w:trPr>
          <w:cnfStyle w:val="000000010000" w:firstRow="0" w:lastRow="0" w:firstColumn="0" w:lastColumn="0" w:oddVBand="0" w:evenVBand="0" w:oddHBand="0" w:evenHBand="1" w:firstRowFirstColumn="0" w:firstRowLastColumn="0" w:lastRowFirstColumn="0" w:lastRowLastColumn="0"/>
        </w:trPr>
        <w:tc>
          <w:tcPr>
            <w:tcW w:w="7465" w:type="dxa"/>
          </w:tcPr>
          <w:p w14:paraId="3F84C0E9" w14:textId="77777777" w:rsidR="00B52AA0" w:rsidRPr="00853119" w:rsidRDefault="00B52AA0" w:rsidP="001B36A6">
            <w:pPr>
              <w:pStyle w:val="NormalIndented"/>
              <w:keepNext/>
              <w:rPr>
                <w:rFonts w:asciiTheme="minorHAnsi" w:hAnsiTheme="minorHAnsi"/>
                <w:color w:val="000000" w:themeColor="text1"/>
                <w:sz w:val="20"/>
                <w:szCs w:val="20"/>
              </w:rPr>
            </w:pPr>
            <w:r w:rsidRPr="00853119">
              <w:rPr>
                <w:rFonts w:asciiTheme="minorHAnsi" w:hAnsiTheme="minorHAnsi"/>
                <w:color w:val="000000" w:themeColor="text1"/>
                <w:sz w:val="20"/>
                <w:szCs w:val="20"/>
              </w:rPr>
              <w:t>Objective 1: Enabling and engaging the private sector for development</w:t>
            </w:r>
          </w:p>
        </w:tc>
        <w:tc>
          <w:tcPr>
            <w:tcW w:w="1175" w:type="dxa"/>
            <w:shd w:val="clear" w:color="auto" w:fill="auto"/>
            <w:noWrap/>
          </w:tcPr>
          <w:p w14:paraId="62E9836F" w14:textId="77777777" w:rsidR="00B52AA0" w:rsidRPr="004A47D4" w:rsidRDefault="00B52AA0" w:rsidP="001B36A6">
            <w:pPr>
              <w:pStyle w:val="NormalIndented"/>
              <w:ind w:left="2"/>
              <w:jc w:val="center"/>
              <w:rPr>
                <w:rFonts w:asciiTheme="minorHAnsi" w:hAnsiTheme="minorHAnsi"/>
                <w:color w:val="auto"/>
                <w:sz w:val="20"/>
                <w:szCs w:val="20"/>
                <w:lang w:eastAsia="en-US"/>
              </w:rPr>
            </w:pPr>
            <w:r w:rsidRPr="004A47D4">
              <w:rPr>
                <w:rFonts w:asciiTheme="minorHAnsi" w:hAnsiTheme="minorHAnsi"/>
                <w:color w:val="auto"/>
                <w:sz w:val="20"/>
                <w:szCs w:val="20"/>
                <w:lang w:eastAsia="en-US"/>
              </w:rPr>
              <w:t>n/a</w:t>
            </w:r>
          </w:p>
        </w:tc>
        <w:tc>
          <w:tcPr>
            <w:tcW w:w="1106" w:type="dxa"/>
            <w:shd w:val="clear" w:color="auto" w:fill="669900"/>
            <w:noWrap/>
          </w:tcPr>
          <w:p w14:paraId="33641C88" w14:textId="77777777" w:rsidR="00B52AA0" w:rsidRPr="00853119" w:rsidRDefault="00B52AA0" w:rsidP="001B36A6">
            <w:pPr>
              <w:pStyle w:val="NormalIndented"/>
              <w:rPr>
                <w:rFonts w:asciiTheme="minorHAnsi" w:hAnsiTheme="minorHAnsi"/>
                <w:color w:val="FFFFFF" w:themeColor="background1"/>
                <w:sz w:val="20"/>
                <w:szCs w:val="20"/>
                <w:lang w:eastAsia="en-US"/>
              </w:rPr>
            </w:pPr>
            <w:r w:rsidRPr="00853119">
              <w:rPr>
                <w:rFonts w:asciiTheme="minorHAnsi" w:hAnsiTheme="minorHAnsi"/>
                <w:color w:val="FFFFFF" w:themeColor="background1"/>
                <w:sz w:val="20"/>
                <w:szCs w:val="20"/>
                <w:lang w:eastAsia="en-US"/>
              </w:rPr>
              <w:t>Green</w:t>
            </w:r>
          </w:p>
        </w:tc>
      </w:tr>
      <w:tr w:rsidR="00B52AA0" w:rsidRPr="00853119" w14:paraId="798F3630" w14:textId="77777777" w:rsidTr="00B52AA0">
        <w:trPr>
          <w:cnfStyle w:val="000000010000" w:firstRow="0" w:lastRow="0" w:firstColumn="0" w:lastColumn="0" w:oddVBand="0" w:evenVBand="0" w:oddHBand="0" w:evenHBand="1" w:firstRowFirstColumn="0" w:firstRowLastColumn="0" w:lastRowFirstColumn="0" w:lastRowLastColumn="0"/>
        </w:trPr>
        <w:tc>
          <w:tcPr>
            <w:tcW w:w="7465" w:type="dxa"/>
          </w:tcPr>
          <w:p w14:paraId="08454F30" w14:textId="77777777" w:rsidR="00B52AA0" w:rsidRPr="00853119" w:rsidRDefault="00B52AA0" w:rsidP="001B36A6">
            <w:pPr>
              <w:pStyle w:val="NormalIndented"/>
              <w:keepNext/>
              <w:rPr>
                <w:rFonts w:asciiTheme="minorHAnsi" w:hAnsiTheme="minorHAnsi"/>
                <w:color w:val="000000" w:themeColor="text1"/>
                <w:sz w:val="20"/>
                <w:szCs w:val="20"/>
              </w:rPr>
            </w:pPr>
            <w:r w:rsidRPr="00853119">
              <w:rPr>
                <w:rFonts w:asciiTheme="minorHAnsi" w:hAnsiTheme="minorHAnsi"/>
                <w:color w:val="000000" w:themeColor="text1"/>
                <w:sz w:val="20"/>
                <w:szCs w:val="20"/>
              </w:rPr>
              <w:t>Objective 2: Assisting the development and employment of a highly skilled workforce</w:t>
            </w:r>
          </w:p>
        </w:tc>
        <w:tc>
          <w:tcPr>
            <w:tcW w:w="1175" w:type="dxa"/>
            <w:shd w:val="clear" w:color="auto" w:fill="auto"/>
            <w:noWrap/>
          </w:tcPr>
          <w:p w14:paraId="65FB94C4" w14:textId="77777777" w:rsidR="00B52AA0" w:rsidRPr="004A47D4" w:rsidRDefault="00B52AA0" w:rsidP="001B36A6">
            <w:pPr>
              <w:pStyle w:val="NormalIndented"/>
              <w:ind w:left="2"/>
              <w:jc w:val="center"/>
              <w:rPr>
                <w:rFonts w:asciiTheme="minorHAnsi" w:hAnsiTheme="minorHAnsi"/>
                <w:color w:val="auto"/>
                <w:sz w:val="20"/>
                <w:szCs w:val="20"/>
                <w:lang w:eastAsia="en-US"/>
              </w:rPr>
            </w:pPr>
            <w:r w:rsidRPr="004A47D4">
              <w:rPr>
                <w:rFonts w:asciiTheme="minorHAnsi" w:hAnsiTheme="minorHAnsi"/>
                <w:color w:val="auto"/>
                <w:sz w:val="20"/>
                <w:szCs w:val="20"/>
                <w:lang w:eastAsia="en-US"/>
              </w:rPr>
              <w:t>n/a</w:t>
            </w:r>
          </w:p>
        </w:tc>
        <w:tc>
          <w:tcPr>
            <w:tcW w:w="1106" w:type="dxa"/>
            <w:shd w:val="clear" w:color="auto" w:fill="669900"/>
            <w:noWrap/>
          </w:tcPr>
          <w:p w14:paraId="7F87031C" w14:textId="77777777" w:rsidR="00B52AA0" w:rsidRPr="00853119" w:rsidRDefault="00B52AA0" w:rsidP="00BE6C6D">
            <w:pPr>
              <w:pStyle w:val="NormalIndented"/>
              <w:rPr>
                <w:rFonts w:asciiTheme="minorHAnsi" w:hAnsiTheme="minorHAnsi"/>
                <w:color w:val="FFFFFF" w:themeColor="background1"/>
                <w:sz w:val="20"/>
                <w:szCs w:val="20"/>
                <w:lang w:eastAsia="en-US"/>
              </w:rPr>
            </w:pPr>
            <w:r w:rsidRPr="00853119">
              <w:rPr>
                <w:rFonts w:asciiTheme="minorHAnsi" w:hAnsiTheme="minorHAnsi"/>
                <w:color w:val="FFFFFF" w:themeColor="background1"/>
                <w:sz w:val="20"/>
                <w:szCs w:val="20"/>
                <w:lang w:eastAsia="en-US"/>
              </w:rPr>
              <w:t>Green</w:t>
            </w:r>
          </w:p>
        </w:tc>
      </w:tr>
      <w:tr w:rsidR="00B52AA0" w:rsidRPr="00853119" w14:paraId="319031B4" w14:textId="77777777" w:rsidTr="00B52AA0">
        <w:trPr>
          <w:cnfStyle w:val="000000010000" w:firstRow="0" w:lastRow="0" w:firstColumn="0" w:lastColumn="0" w:oddVBand="0" w:evenVBand="0" w:oddHBand="0" w:evenHBand="1" w:firstRowFirstColumn="0" w:firstRowLastColumn="0" w:lastRowFirstColumn="0" w:lastRowLastColumn="0"/>
        </w:trPr>
        <w:tc>
          <w:tcPr>
            <w:tcW w:w="7465" w:type="dxa"/>
          </w:tcPr>
          <w:p w14:paraId="061EDABC" w14:textId="77777777" w:rsidR="00B52AA0" w:rsidRPr="00853119" w:rsidRDefault="00B52AA0" w:rsidP="001B36A6">
            <w:pPr>
              <w:pStyle w:val="NormalIndented"/>
              <w:keepNext/>
              <w:rPr>
                <w:rFonts w:asciiTheme="minorHAnsi" w:hAnsiTheme="minorHAnsi"/>
                <w:color w:val="000000" w:themeColor="text1"/>
                <w:sz w:val="20"/>
                <w:szCs w:val="20"/>
              </w:rPr>
            </w:pPr>
            <w:r w:rsidRPr="00853119">
              <w:rPr>
                <w:rFonts w:asciiTheme="minorHAnsi" w:hAnsiTheme="minorHAnsi"/>
                <w:color w:val="000000" w:themeColor="text1"/>
                <w:sz w:val="20"/>
                <w:szCs w:val="20"/>
              </w:rPr>
              <w:t>Objective 3: Promoting women’s economic empowerment, including ethnic minorities</w:t>
            </w:r>
          </w:p>
        </w:tc>
        <w:tc>
          <w:tcPr>
            <w:tcW w:w="1175" w:type="dxa"/>
            <w:shd w:val="clear" w:color="auto" w:fill="auto"/>
            <w:noWrap/>
          </w:tcPr>
          <w:p w14:paraId="68BA052F" w14:textId="77777777" w:rsidR="00B52AA0" w:rsidRPr="004A47D4" w:rsidRDefault="00B52AA0" w:rsidP="00BE6C6D">
            <w:pPr>
              <w:pStyle w:val="NormalIndented"/>
              <w:ind w:left="2"/>
              <w:jc w:val="center"/>
              <w:rPr>
                <w:rFonts w:asciiTheme="minorHAnsi" w:hAnsiTheme="minorHAnsi"/>
                <w:color w:val="auto"/>
                <w:sz w:val="20"/>
                <w:szCs w:val="20"/>
                <w:lang w:eastAsia="en-US"/>
              </w:rPr>
            </w:pPr>
            <w:r w:rsidRPr="004A47D4">
              <w:rPr>
                <w:rFonts w:asciiTheme="minorHAnsi" w:hAnsiTheme="minorHAnsi"/>
                <w:color w:val="auto"/>
                <w:sz w:val="20"/>
                <w:szCs w:val="20"/>
                <w:lang w:eastAsia="en-US"/>
              </w:rPr>
              <w:t>n/a</w:t>
            </w:r>
          </w:p>
        </w:tc>
        <w:tc>
          <w:tcPr>
            <w:tcW w:w="1106" w:type="dxa"/>
            <w:shd w:val="clear" w:color="auto" w:fill="669900"/>
            <w:noWrap/>
          </w:tcPr>
          <w:p w14:paraId="4365C054" w14:textId="77777777" w:rsidR="00B52AA0" w:rsidRPr="00853119" w:rsidRDefault="00B52AA0" w:rsidP="001B36A6">
            <w:pPr>
              <w:pStyle w:val="NormalIndented"/>
              <w:rPr>
                <w:rFonts w:asciiTheme="minorHAnsi" w:hAnsiTheme="minorHAnsi"/>
                <w:color w:val="FFFFFF" w:themeColor="background1"/>
                <w:sz w:val="20"/>
                <w:szCs w:val="20"/>
                <w:lang w:eastAsia="en-US"/>
              </w:rPr>
            </w:pPr>
            <w:r w:rsidRPr="00853119">
              <w:rPr>
                <w:rFonts w:asciiTheme="minorHAnsi" w:hAnsiTheme="minorHAnsi"/>
                <w:color w:val="FFFFFF" w:themeColor="background1"/>
                <w:sz w:val="20"/>
                <w:szCs w:val="20"/>
                <w:lang w:eastAsia="en-US"/>
              </w:rPr>
              <w:t>Green</w:t>
            </w:r>
          </w:p>
        </w:tc>
      </w:tr>
    </w:tbl>
    <w:p w14:paraId="03CFA268" w14:textId="77777777" w:rsidR="002A51CA" w:rsidRPr="00853119" w:rsidRDefault="002A51CA" w:rsidP="00BE6C6D">
      <w:pPr>
        <w:rPr>
          <w:color w:val="auto"/>
          <w:sz w:val="18"/>
        </w:rPr>
      </w:pPr>
      <w:r w:rsidRPr="00853119">
        <w:rPr>
          <w:color w:val="auto"/>
          <w:sz w:val="18"/>
        </w:rPr>
        <w:t xml:space="preserve">Note: </w:t>
      </w:r>
    </w:p>
    <w:p w14:paraId="4F96255B" w14:textId="77777777" w:rsidR="002A51CA" w:rsidRPr="00853119" w:rsidRDefault="002A51CA" w:rsidP="00BE6C6D">
      <w:pPr>
        <w:pStyle w:val="NormalIndented"/>
        <w:rPr>
          <w:color w:val="auto"/>
          <w:sz w:val="16"/>
        </w:rPr>
      </w:pPr>
      <w:r w:rsidRPr="00BE6C6D">
        <w:rPr>
          <w:color w:val="72AF2F"/>
          <w:sz w:val="16"/>
        </w:rPr>
        <w:sym w:font="Webdings" w:char="F067"/>
      </w:r>
      <w:r w:rsidRPr="00BE6C6D">
        <w:rPr>
          <w:sz w:val="16"/>
        </w:rPr>
        <w:t> </w:t>
      </w:r>
      <w:r w:rsidRPr="00BE6C6D">
        <w:rPr>
          <w:sz w:val="16"/>
        </w:rPr>
        <w:t xml:space="preserve"> </w:t>
      </w:r>
      <w:r w:rsidRPr="00853119">
        <w:rPr>
          <w:b/>
          <w:color w:val="auto"/>
          <w:sz w:val="16"/>
        </w:rPr>
        <w:t>Green</w:t>
      </w:r>
      <w:r w:rsidRPr="00853119">
        <w:rPr>
          <w:color w:val="auto"/>
          <w:sz w:val="16"/>
        </w:rPr>
        <w:t>. Progress is as expected at this stage of implementation and it is likely that the objective will be achieved. Standard program management practices are sufficient.</w:t>
      </w:r>
    </w:p>
    <w:p w14:paraId="4E23E907" w14:textId="77777777" w:rsidR="002A51CA" w:rsidRPr="00853119" w:rsidRDefault="002A51CA" w:rsidP="00BE6C6D">
      <w:pPr>
        <w:pStyle w:val="NormalIndented"/>
        <w:rPr>
          <w:color w:val="auto"/>
          <w:sz w:val="16"/>
        </w:rPr>
      </w:pPr>
      <w:r w:rsidRPr="00BE6C6D">
        <w:rPr>
          <w:color w:val="E36C0A"/>
          <w:sz w:val="16"/>
        </w:rPr>
        <w:sym w:font="Webdings" w:char="F067"/>
      </w:r>
      <w:r w:rsidRPr="00BE6C6D">
        <w:rPr>
          <w:sz w:val="16"/>
        </w:rPr>
        <w:t> </w:t>
      </w:r>
      <w:r w:rsidRPr="00BE6C6D">
        <w:rPr>
          <w:sz w:val="16"/>
        </w:rPr>
        <w:t xml:space="preserve"> </w:t>
      </w:r>
      <w:r w:rsidRPr="00853119">
        <w:rPr>
          <w:b/>
          <w:color w:val="auto"/>
          <w:sz w:val="16"/>
        </w:rPr>
        <w:t>Amber</w:t>
      </w:r>
      <w:r w:rsidRPr="00853119">
        <w:rPr>
          <w:color w:val="auto"/>
          <w:sz w:val="16"/>
        </w:rPr>
        <w:t>. Progress is somewhat less than expected at this stage of implementation and restorative action will be necessary if the objective is to be achieved. Close performance monitoring is recommended.</w:t>
      </w:r>
    </w:p>
    <w:p w14:paraId="52AF8AA2" w14:textId="77777777" w:rsidR="002A51CA" w:rsidRPr="00853119" w:rsidRDefault="002A51CA" w:rsidP="00BE6C6D">
      <w:pPr>
        <w:pStyle w:val="NormalIndented"/>
        <w:rPr>
          <w:color w:val="auto"/>
          <w:sz w:val="16"/>
        </w:rPr>
      </w:pPr>
      <w:r w:rsidRPr="00BE6C6D">
        <w:rPr>
          <w:color w:val="FF0000"/>
          <w:sz w:val="16"/>
        </w:rPr>
        <w:sym w:font="Webdings" w:char="F067"/>
      </w:r>
      <w:r w:rsidRPr="00BE6C6D">
        <w:rPr>
          <w:sz w:val="16"/>
        </w:rPr>
        <w:t> </w:t>
      </w:r>
      <w:r w:rsidRPr="00BE6C6D">
        <w:rPr>
          <w:sz w:val="16"/>
        </w:rPr>
        <w:t xml:space="preserve"> </w:t>
      </w:r>
      <w:r w:rsidRPr="00853119">
        <w:rPr>
          <w:b/>
          <w:color w:val="auto"/>
          <w:sz w:val="16"/>
        </w:rPr>
        <w:t>Red.</w:t>
      </w:r>
      <w:r w:rsidRPr="00853119">
        <w:rPr>
          <w:color w:val="auto"/>
          <w:sz w:val="16"/>
        </w:rPr>
        <w:t xml:space="preserve"> Progress is significantly less than expected at this stage of implementation and the objective is not likely to be met given available resources and priorities. Recasting the objective may be required.</w:t>
      </w:r>
    </w:p>
    <w:p w14:paraId="33664191" w14:textId="77777777" w:rsidR="009D7F67" w:rsidRDefault="002A51CA" w:rsidP="00B52AA0">
      <w:pPr>
        <w:pStyle w:val="ListBullet"/>
        <w:keepNext/>
        <w:tabs>
          <w:tab w:val="clear" w:pos="284"/>
        </w:tabs>
        <w:spacing w:before="360" w:line="240" w:lineRule="auto"/>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Objective 1</w:t>
      </w:r>
      <w:r w:rsidR="007A5756">
        <w:rPr>
          <w:rFonts w:asciiTheme="majorHAnsi" w:eastAsiaTheme="majorEastAsia" w:hAnsiTheme="majorHAnsi" w:cstheme="majorBidi"/>
          <w:caps/>
          <w:color w:val="495965" w:themeColor="text2"/>
          <w:sz w:val="38"/>
          <w:szCs w:val="26"/>
          <w:lang w:val="en-GB" w:eastAsia="en-US"/>
        </w:rPr>
        <w:t xml:space="preserve">: </w:t>
      </w:r>
      <w:r w:rsidR="007A5756" w:rsidRPr="00A26D95">
        <w:rPr>
          <w:rFonts w:asciiTheme="majorHAnsi" w:eastAsiaTheme="majorEastAsia" w:hAnsiTheme="majorHAnsi" w:cstheme="majorBidi"/>
          <w:caps/>
          <w:color w:val="495965" w:themeColor="text2"/>
          <w:sz w:val="38"/>
          <w:szCs w:val="26"/>
          <w:lang w:val="en-GB" w:eastAsia="en-US"/>
        </w:rPr>
        <w:t>Enabling and engaging the private sector for development</w:t>
      </w:r>
    </w:p>
    <w:p w14:paraId="74EE33E9" w14:textId="77777777" w:rsidR="006E6AB9" w:rsidRDefault="006E6AB9" w:rsidP="006E6AB9">
      <w:pPr>
        <w:pStyle w:val="BodyText"/>
      </w:pPr>
      <w:r>
        <w:t xml:space="preserve">This </w:t>
      </w:r>
      <w:r w:rsidRPr="004E534F">
        <w:rPr>
          <w:b/>
        </w:rPr>
        <w:t>objective is rated green</w:t>
      </w:r>
      <w:r>
        <w:t xml:space="preserve"> </w:t>
      </w:r>
      <w:r w:rsidR="002D16D8">
        <w:t>as most</w:t>
      </w:r>
      <w:r>
        <w:t xml:space="preserve"> activities are expected to meet </w:t>
      </w:r>
      <w:r w:rsidR="002D16D8">
        <w:t>their targets</w:t>
      </w:r>
      <w:r>
        <w:t xml:space="preserve"> in proposed timeframes. </w:t>
      </w:r>
    </w:p>
    <w:p w14:paraId="714A627C" w14:textId="77777777" w:rsidR="006E6AB9" w:rsidRPr="00E162D5" w:rsidRDefault="006E6AB9" w:rsidP="00C14C2E">
      <w:pPr>
        <w:pStyle w:val="BodyText"/>
      </w:pPr>
      <w:r>
        <w:t>Vietnam has made progress in improving the environment for private sector development</w:t>
      </w:r>
      <w:r w:rsidR="00203BF4">
        <w:t xml:space="preserve"> over the past twelve months</w:t>
      </w:r>
      <w:r>
        <w:t xml:space="preserve">. Implementation of the </w:t>
      </w:r>
      <w:r w:rsidR="00B27FD5">
        <w:t xml:space="preserve">2014 </w:t>
      </w:r>
      <w:r>
        <w:t>revised enterprise and investment laws has continued</w:t>
      </w:r>
      <w:r w:rsidR="00B27FD5">
        <w:t xml:space="preserve">, </w:t>
      </w:r>
      <w:r>
        <w:t>reduc</w:t>
      </w:r>
      <w:r w:rsidR="00B27FD5">
        <w:t>ing</w:t>
      </w:r>
      <w:r>
        <w:t xml:space="preserve"> the </w:t>
      </w:r>
      <w:r w:rsidRPr="00E162D5">
        <w:t>number of conditions placed on business and open</w:t>
      </w:r>
      <w:r w:rsidR="00B27FD5" w:rsidRPr="00E162D5">
        <w:t>ing</w:t>
      </w:r>
      <w:r w:rsidRPr="00E162D5">
        <w:t xml:space="preserve"> up new sectors to competition. </w:t>
      </w:r>
      <w:r w:rsidR="00B27FD5" w:rsidRPr="00E162D5">
        <w:t>T</w:t>
      </w:r>
      <w:r w:rsidRPr="00E162D5">
        <w:t xml:space="preserve">his has </w:t>
      </w:r>
      <w:r w:rsidR="00DB3C6D" w:rsidRPr="00E162D5">
        <w:t>seen</w:t>
      </w:r>
      <w:r w:rsidRPr="00E162D5">
        <w:t xml:space="preserve"> a large increase in the number of new business</w:t>
      </w:r>
      <w:r w:rsidR="00DB3C6D" w:rsidRPr="00E162D5">
        <w:t>es registered:</w:t>
      </w:r>
      <w:r w:rsidR="00B27FD5" w:rsidRPr="00E162D5">
        <w:t xml:space="preserve"> </w:t>
      </w:r>
      <w:r w:rsidRPr="00E162D5">
        <w:t>more than 100,000 in 2015-16 representing an increase of 25 per ce</w:t>
      </w:r>
      <w:r w:rsidR="00DB3C6D" w:rsidRPr="00E162D5">
        <w:t>nt</w:t>
      </w:r>
      <w:r w:rsidRPr="00E162D5">
        <w:t xml:space="preserve">. </w:t>
      </w:r>
      <w:r w:rsidR="00C14C2E" w:rsidRPr="00E162D5">
        <w:t xml:space="preserve">Foreign investment has increased by 12 per cent in 2015 in the expectation of a post TPP and </w:t>
      </w:r>
      <w:r w:rsidRPr="00E162D5">
        <w:t>EU</w:t>
      </w:r>
      <w:r w:rsidR="00B27FD5" w:rsidRPr="00E162D5">
        <w:t>-</w:t>
      </w:r>
      <w:r w:rsidRPr="00E162D5">
        <w:t xml:space="preserve">Vietnam </w:t>
      </w:r>
      <w:r w:rsidR="00C14C2E" w:rsidRPr="00E162D5">
        <w:t xml:space="preserve">Free Trade Agreement environment. These agreements </w:t>
      </w:r>
      <w:r w:rsidR="00DB3C6D" w:rsidRPr="00E162D5">
        <w:t>present</w:t>
      </w:r>
      <w:r w:rsidRPr="00E162D5">
        <w:t xml:space="preserve"> new market access opportunities for Vietnamese manufacturers</w:t>
      </w:r>
      <w:r w:rsidR="00B27FD5" w:rsidRPr="00E162D5">
        <w:t xml:space="preserve">, </w:t>
      </w:r>
      <w:r w:rsidRPr="00E162D5">
        <w:t xml:space="preserve">particularly in the garments and textiles sector. </w:t>
      </w:r>
    </w:p>
    <w:p w14:paraId="4DB11E2A" w14:textId="77777777" w:rsidR="006E6AB9" w:rsidRDefault="006E6AB9" w:rsidP="006E6AB9">
      <w:pPr>
        <w:pStyle w:val="BodyText"/>
      </w:pPr>
      <w:r w:rsidRPr="00E162D5">
        <w:t>However</w:t>
      </w:r>
      <w:r w:rsidR="00DB3C6D" w:rsidRPr="00E162D5">
        <w:t>,</w:t>
      </w:r>
      <w:r w:rsidRPr="00E162D5">
        <w:t xml:space="preserve"> </w:t>
      </w:r>
      <w:r w:rsidR="0054761D" w:rsidRPr="00E162D5">
        <w:t>increasing</w:t>
      </w:r>
      <w:r w:rsidRPr="00E162D5">
        <w:t xml:space="preserve"> public debt has potential for negative </w:t>
      </w:r>
      <w:r w:rsidR="00DB3C6D" w:rsidRPr="00E162D5">
        <w:t>spill over</w:t>
      </w:r>
      <w:r w:rsidRPr="00E162D5">
        <w:t xml:space="preserve"> effects by crowding out lending to the private sector or reducing government spending. To address this, Vietnam is exploring new private sector delivery models to improve efficiency in </w:t>
      </w:r>
      <w:r w:rsidR="0054761D" w:rsidRPr="00E162D5">
        <w:t xml:space="preserve">public service </w:t>
      </w:r>
      <w:r w:rsidRPr="00E162D5">
        <w:t xml:space="preserve">delivery. Fiscal constraints have also slowed investments in transport infrastructure, which at 3 per cent of GDP since 2012 are already below long term trend levels </w:t>
      </w:r>
      <w:r w:rsidR="00DB3C6D" w:rsidRPr="00E162D5">
        <w:t xml:space="preserve">of </w:t>
      </w:r>
      <w:r w:rsidRPr="00E162D5">
        <w:t>5 per cent</w:t>
      </w:r>
      <w:r w:rsidR="00DB3C6D">
        <w:t>.</w:t>
      </w:r>
      <w:r>
        <w:t xml:space="preserve"> </w:t>
      </w:r>
      <w:r w:rsidR="00A564C9">
        <w:t>T</w:t>
      </w:r>
      <w:r>
        <w:t xml:space="preserve">he quality of Vietnam’s transport infrastructure is </w:t>
      </w:r>
      <w:r w:rsidR="00A564C9">
        <w:t>low,</w:t>
      </w:r>
      <w:r w:rsidR="00DB3C6D">
        <w:t xml:space="preserve"> </w:t>
      </w:r>
      <w:r w:rsidR="00A564C9">
        <w:t>and</w:t>
      </w:r>
      <w:r>
        <w:t xml:space="preserve"> new investments are critical to ensure that this does not become an even greater brake on economic growth.  </w:t>
      </w:r>
    </w:p>
    <w:p w14:paraId="1EDF197C" w14:textId="77777777" w:rsidR="004B4759" w:rsidRDefault="004B4759" w:rsidP="004B4759">
      <w:pPr>
        <w:pStyle w:val="BodyText"/>
      </w:pPr>
      <w:r>
        <w:t>Australia’s program of assistance under this objective is reducing the barriers to private sector development as well as engagement of the private sector in critical areas of service delivery. We are reducing physical barriers by investing in new transport infrastructure and introducing regulatory reform to further stimulate business development in Vietnam. We are also piloting new private sector led service delivery models, focused on water and sanitation a</w:t>
      </w:r>
      <w:r w:rsidR="00700904">
        <w:t>s well as</w:t>
      </w:r>
      <w:r>
        <w:t xml:space="preserve"> </w:t>
      </w:r>
      <w:r w:rsidR="00700904">
        <w:t>climate change adaptation and mitigation. Achieving reform in these areas is critical to ensuring Vietnam become</w:t>
      </w:r>
      <w:r w:rsidR="00364C54">
        <w:t>s</w:t>
      </w:r>
      <w:r w:rsidR="00700904">
        <w:t xml:space="preserve"> an industrialised and competitive country by 2020 consistent with</w:t>
      </w:r>
      <w:r>
        <w:t xml:space="preserve"> the Government of Vietnam’s </w:t>
      </w:r>
      <w:r w:rsidRPr="002D16D8">
        <w:rPr>
          <w:i/>
        </w:rPr>
        <w:t>Socio</w:t>
      </w:r>
      <w:r>
        <w:rPr>
          <w:i/>
        </w:rPr>
        <w:t>-Economic Development Strategy 2011-2020</w:t>
      </w:r>
      <w:r w:rsidR="00700904">
        <w:t>.</w:t>
      </w:r>
      <w:r>
        <w:t xml:space="preserve"> </w:t>
      </w:r>
    </w:p>
    <w:p w14:paraId="6FE176EC" w14:textId="77777777" w:rsidR="006E6AB9" w:rsidRPr="00F77FFD" w:rsidRDefault="006E6AB9" w:rsidP="00F5577B">
      <w:pPr>
        <w:pStyle w:val="Heading4"/>
      </w:pPr>
      <w:r w:rsidRPr="00F77FFD">
        <w:t>Transport infrastructure</w:t>
      </w:r>
    </w:p>
    <w:p w14:paraId="379C2383" w14:textId="77777777" w:rsidR="0072259C" w:rsidRDefault="006E6AB9" w:rsidP="006E6AB9">
      <w:pPr>
        <w:pStyle w:val="BodyText"/>
      </w:pPr>
      <w:r>
        <w:t xml:space="preserve">Australia’s investment in the </w:t>
      </w:r>
      <w:r w:rsidRPr="00A26D95">
        <w:rPr>
          <w:b/>
        </w:rPr>
        <w:t>Cao Lanh Bridge</w:t>
      </w:r>
      <w:r>
        <w:t xml:space="preserve"> will improve connectivity between the Southern Mekong Delta and Ho Chi Minh City</w:t>
      </w:r>
      <w:r w:rsidR="00DB3C6D">
        <w:t>,</w:t>
      </w:r>
      <w:r w:rsidR="00C42F6C">
        <w:t xml:space="preserve"> and </w:t>
      </w:r>
      <w:r>
        <w:t xml:space="preserve">continues to make good progress. Construction is now 66 per cent complete, slightly ahead of schedule. As a result, we have achieved our performance benchmark for this activity of completing 60 per cent of construction progress. Resettlement at the bridge site is fully complete but some households still remain at locations along the bridge’s approach roads as negotiations on compensation continue. This carries a risk of delay if not resolved soon by the authorities of Dong Thap Province. We, along with our partner ADB, are monitoring the situation closely to ensure that remaining resettlement activities proceed consistent with the project’s resettlement plan. </w:t>
      </w:r>
    </w:p>
    <w:p w14:paraId="7C0B2217" w14:textId="77777777" w:rsidR="006E6AB9" w:rsidRDefault="006E6AB9" w:rsidP="006E6AB9">
      <w:pPr>
        <w:pStyle w:val="BodyText"/>
      </w:pPr>
      <w:r>
        <w:t xml:space="preserve">In addition to </w:t>
      </w:r>
      <w:r w:rsidR="00C42F6C">
        <w:t>this plan</w:t>
      </w:r>
      <w:r>
        <w:t>, Australia is support</w:t>
      </w:r>
      <w:r w:rsidR="0072259C">
        <w:t xml:space="preserve">ing </w:t>
      </w:r>
      <w:r>
        <w:t xml:space="preserve">vulnerable </w:t>
      </w:r>
      <w:r w:rsidR="00C42F6C">
        <w:t xml:space="preserve">and poor </w:t>
      </w:r>
      <w:r>
        <w:t>affected households adjacent to the project site</w:t>
      </w:r>
      <w:r w:rsidR="0072259C">
        <w:t xml:space="preserve"> through a local microfinance NGO</w:t>
      </w:r>
      <w:r>
        <w:t xml:space="preserve">. A </w:t>
      </w:r>
      <w:r w:rsidR="007B6F11">
        <w:t xml:space="preserve">2016 </w:t>
      </w:r>
      <w:r>
        <w:t xml:space="preserve">review found that this </w:t>
      </w:r>
      <w:r w:rsidR="0072259C">
        <w:t>support</w:t>
      </w:r>
      <w:r>
        <w:t xml:space="preserve"> </w:t>
      </w:r>
      <w:r w:rsidR="0072259C">
        <w:t>is</w:t>
      </w:r>
      <w:r>
        <w:t xml:space="preserve"> effective</w:t>
      </w:r>
      <w:r w:rsidR="0072259C">
        <w:t>ly</w:t>
      </w:r>
      <w:r>
        <w:t xml:space="preserve"> helping people to improv</w:t>
      </w:r>
      <w:r w:rsidR="007B6F11">
        <w:t>e</w:t>
      </w:r>
      <w:r>
        <w:t xml:space="preserve"> </w:t>
      </w:r>
      <w:r w:rsidR="0072259C">
        <w:t xml:space="preserve">their </w:t>
      </w:r>
      <w:r>
        <w:t>housing and income. Over the last 12 months</w:t>
      </w:r>
      <w:r w:rsidR="0072259C">
        <w:t>,</w:t>
      </w:r>
      <w:r>
        <w:t xml:space="preserve"> Australia and ADB have pushed to increase resourcing to monitor health and safety management on the project, </w:t>
      </w:r>
      <w:r w:rsidR="007B6F11">
        <w:t xml:space="preserve">and </w:t>
      </w:r>
      <w:r>
        <w:t>as a result an additional health safety officer was mobilised in June 2016.</w:t>
      </w:r>
      <w:r w:rsidR="00700904">
        <w:t xml:space="preserve"> In parallel, we are engaged in policy dialogue with the Government of Vietnam to highlight the benefits that come from effective management of environmental and social safeguards so that these can be replicated on other, non-ODA financed</w:t>
      </w:r>
      <w:r w:rsidR="00F050B4">
        <w:t>,</w:t>
      </w:r>
      <w:r w:rsidR="00700904">
        <w:t xml:space="preserve"> projects.</w:t>
      </w:r>
    </w:p>
    <w:p w14:paraId="5227D3D3" w14:textId="77777777" w:rsidR="006E6AB9" w:rsidRDefault="0072259C" w:rsidP="006E6AB9">
      <w:pPr>
        <w:pStyle w:val="BodyText"/>
      </w:pPr>
      <w:r>
        <w:t>In June 2016, the design of</w:t>
      </w:r>
      <w:r w:rsidR="006E6AB9">
        <w:t xml:space="preserve"> an impact evaluation of the Cao Lanh bridge was completed </w:t>
      </w:r>
      <w:r>
        <w:t>and</w:t>
      </w:r>
      <w:r w:rsidR="006E6AB9">
        <w:t xml:space="preserve"> will allow for a rigorous assessment of the project benefits</w:t>
      </w:r>
      <w:r>
        <w:t xml:space="preserve"> (or any</w:t>
      </w:r>
      <w:r w:rsidR="006E6AB9">
        <w:t xml:space="preserve"> </w:t>
      </w:r>
      <w:r>
        <w:t xml:space="preserve">unforeseen negative impacts) </w:t>
      </w:r>
      <w:r w:rsidR="006E6AB9">
        <w:t>for men and wom</w:t>
      </w:r>
      <w:r>
        <w:t>en in the surrounding provinces in</w:t>
      </w:r>
      <w:r w:rsidR="006E6AB9">
        <w:t xml:space="preserve"> one and three years after completion. An initial survey, against which to benchmark socio-economic impacts, will be carried out in September 2016.</w:t>
      </w:r>
    </w:p>
    <w:p w14:paraId="5CF62F13" w14:textId="77777777" w:rsidR="007B6F11" w:rsidRDefault="006E6AB9" w:rsidP="006E6AB9">
      <w:pPr>
        <w:pStyle w:val="BodyText"/>
      </w:pPr>
      <w:r>
        <w:lastRenderedPageBreak/>
        <w:t>In 2015-16 two other major tra</w:t>
      </w:r>
      <w:r w:rsidR="0072259C">
        <w:t xml:space="preserve">nsport projects were </w:t>
      </w:r>
      <w:r w:rsidR="0072259C" w:rsidRPr="00195DDB">
        <w:t>completed:</w:t>
      </w:r>
      <w:r w:rsidRPr="00195DDB">
        <w:t xml:space="preserve"> the Southern Coastal Corridor Project and the Mekong Delta Transport Infrastructure Development Project.</w:t>
      </w:r>
      <w:r>
        <w:t xml:space="preserve"> </w:t>
      </w:r>
      <w:r w:rsidR="00195DDB">
        <w:t>About 70 kms of national highway were reconstructed between Ca Mau and Rach Gia in the Mekong Delta through t</w:t>
      </w:r>
      <w:r>
        <w:t xml:space="preserve">he </w:t>
      </w:r>
      <w:r w:rsidRPr="00195DDB">
        <w:rPr>
          <w:b/>
        </w:rPr>
        <w:t>Southern Coastal Corridor Project</w:t>
      </w:r>
      <w:r>
        <w:t xml:space="preserve">. The </w:t>
      </w:r>
      <w:r w:rsidR="00195DDB">
        <w:t>highway</w:t>
      </w:r>
      <w:r>
        <w:t xml:space="preserve"> was open in September 2015</w:t>
      </w:r>
      <w:r w:rsidR="007B6F11">
        <w:t>, about</w:t>
      </w:r>
      <w:r>
        <w:t xml:space="preserve"> four months</w:t>
      </w:r>
      <w:r w:rsidR="0072259C">
        <w:t xml:space="preserve"> later than expected. A</w:t>
      </w:r>
      <w:r>
        <w:t xml:space="preserve"> final evaluation will </w:t>
      </w:r>
      <w:r w:rsidR="00022349">
        <w:t>occur</w:t>
      </w:r>
      <w:r>
        <w:t xml:space="preserve"> in late 2016</w:t>
      </w:r>
      <w:r w:rsidR="0072259C">
        <w:t>,</w:t>
      </w:r>
      <w:r>
        <w:t xml:space="preserve"> but informal consultations with residents suggest that the road has reduced travel times by up to an hour and </w:t>
      </w:r>
      <w:r w:rsidR="00022349">
        <w:t>allowed</w:t>
      </w:r>
      <w:r>
        <w:t xml:space="preserve"> local agricultural producers to gain new </w:t>
      </w:r>
      <w:r w:rsidR="00022349">
        <w:t>market access.</w:t>
      </w:r>
    </w:p>
    <w:p w14:paraId="6B78DB8B" w14:textId="77777777" w:rsidR="006E6AB9" w:rsidRDefault="006E6AB9" w:rsidP="006E6AB9">
      <w:pPr>
        <w:pStyle w:val="BodyText"/>
      </w:pPr>
      <w:r>
        <w:t xml:space="preserve">An additional benefit of the project has been to </w:t>
      </w:r>
      <w:r w:rsidR="0072259C">
        <w:t>promote</w:t>
      </w:r>
      <w:r>
        <w:t xml:space="preserve"> enhanced treatment for soft soil conditions, which were piloted on this project at Australia’s request. If adopted nationally</w:t>
      </w:r>
      <w:r w:rsidR="0072259C">
        <w:t>,</w:t>
      </w:r>
      <w:r>
        <w:t xml:space="preserve"> this</w:t>
      </w:r>
      <w:r w:rsidR="0072259C">
        <w:t xml:space="preserve"> </w:t>
      </w:r>
      <w:r>
        <w:t>has</w:t>
      </w:r>
      <w:r w:rsidR="0072259C">
        <w:t xml:space="preserve"> the potential for</w:t>
      </w:r>
      <w:r>
        <w:t xml:space="preserve"> </w:t>
      </w:r>
      <w:r w:rsidR="00022349">
        <w:t xml:space="preserve">major </w:t>
      </w:r>
      <w:r>
        <w:t xml:space="preserve">road safety benefits </w:t>
      </w:r>
      <w:r w:rsidR="0072259C">
        <w:t>by reducing</w:t>
      </w:r>
      <w:r>
        <w:t xml:space="preserve"> the prevalence of steep and dangerous bridge approaches. The Government of Vietnam has already expressed an interest in applying these techniques at sites </w:t>
      </w:r>
      <w:r w:rsidR="00022349">
        <w:t>with similar soil conditions.</w:t>
      </w:r>
    </w:p>
    <w:p w14:paraId="168B5610" w14:textId="77777777" w:rsidR="006E6AB9" w:rsidRPr="00E162D5" w:rsidRDefault="006E6AB9" w:rsidP="006E6AB9">
      <w:pPr>
        <w:pStyle w:val="BodyText"/>
      </w:pPr>
      <w:r>
        <w:t xml:space="preserve">Under the </w:t>
      </w:r>
      <w:r w:rsidRPr="0072259C">
        <w:rPr>
          <w:b/>
        </w:rPr>
        <w:t>Mekong Delta Infrastructure Connectivity Project</w:t>
      </w:r>
      <w:r>
        <w:t xml:space="preserve">, Australia supported the construction of 231 kms of rural roads and 102 small bridges across the Mekong Delta, of which 32 kms of rural roads and 17 </w:t>
      </w:r>
      <w:r w:rsidR="002D6FBA">
        <w:t>bridges</w:t>
      </w:r>
      <w:r w:rsidR="0072259C">
        <w:t xml:space="preserve"> </w:t>
      </w:r>
      <w:r>
        <w:t xml:space="preserve">were completed in 2015-16. This has directly benefited more than 74,000 households and an estimated </w:t>
      </w:r>
      <w:r w:rsidRPr="00E162D5">
        <w:t>316,000 people. A jo</w:t>
      </w:r>
      <w:r w:rsidR="0072259C" w:rsidRPr="00E162D5">
        <w:t xml:space="preserve">int World Bank and DFAT </w:t>
      </w:r>
      <w:r w:rsidRPr="00E162D5">
        <w:t>completion r</w:t>
      </w:r>
      <w:r w:rsidR="00C01920" w:rsidRPr="00E162D5">
        <w:t>eview found that the project</w:t>
      </w:r>
      <w:r w:rsidRPr="00E162D5">
        <w:t xml:space="preserve"> </w:t>
      </w:r>
      <w:r w:rsidR="0072259C" w:rsidRPr="00E162D5">
        <w:t>met</w:t>
      </w:r>
      <w:r w:rsidRPr="00E162D5">
        <w:t xml:space="preserve"> its objective of improving </w:t>
      </w:r>
      <w:r w:rsidR="0072259C" w:rsidRPr="00E162D5">
        <w:t>access</w:t>
      </w:r>
      <w:r w:rsidRPr="00E162D5">
        <w:t xml:space="preserve"> to major transport corridors</w:t>
      </w:r>
      <w:r w:rsidR="0072259C" w:rsidRPr="00E162D5">
        <w:t xml:space="preserve"> for the poor in rural areas</w:t>
      </w:r>
      <w:r w:rsidRPr="00E162D5">
        <w:t xml:space="preserve">. A further benefit has been </w:t>
      </w:r>
      <w:r w:rsidR="0072259C" w:rsidRPr="00E162D5">
        <w:t>an increase in</w:t>
      </w:r>
      <w:r w:rsidRPr="00E162D5">
        <w:t xml:space="preserve"> road safety through the replacement of unsafe bamboo bridges</w:t>
      </w:r>
      <w:r w:rsidR="0072259C" w:rsidRPr="00E162D5">
        <w:t xml:space="preserve"> with larger concrete bridges</w:t>
      </w:r>
      <w:r w:rsidRPr="00E162D5">
        <w:t xml:space="preserve">. A full </w:t>
      </w:r>
      <w:r w:rsidR="00C01920" w:rsidRPr="00E162D5">
        <w:t xml:space="preserve">project </w:t>
      </w:r>
      <w:r w:rsidRPr="00E162D5">
        <w:t xml:space="preserve">evaluation in 2017 </w:t>
      </w:r>
      <w:r w:rsidR="00C01920" w:rsidRPr="00E162D5">
        <w:t>will</w:t>
      </w:r>
      <w:r w:rsidRPr="00E162D5">
        <w:t xml:space="preserve"> determine impacts on women</w:t>
      </w:r>
      <w:r w:rsidR="00C01920" w:rsidRPr="00E162D5">
        <w:t>,</w:t>
      </w:r>
      <w:r w:rsidRPr="00E162D5">
        <w:t xml:space="preserve"> men and poor households.</w:t>
      </w:r>
    </w:p>
    <w:p w14:paraId="7A71734F" w14:textId="77777777" w:rsidR="006E6AB9" w:rsidRPr="00E162D5" w:rsidRDefault="00DD1BFD" w:rsidP="006E6AB9">
      <w:pPr>
        <w:pStyle w:val="BodyText"/>
      </w:pPr>
      <w:r w:rsidRPr="00E162D5">
        <w:t xml:space="preserve">During the project Australia also </w:t>
      </w:r>
      <w:r w:rsidR="006E6AB9" w:rsidRPr="00E162D5">
        <w:t>support</w:t>
      </w:r>
      <w:r w:rsidRPr="00E162D5">
        <w:t>ed</w:t>
      </w:r>
      <w:r w:rsidR="00C14C2E" w:rsidRPr="00E162D5">
        <w:t xml:space="preserve">, through the World Bank, </w:t>
      </w:r>
      <w:r w:rsidR="006E6AB9" w:rsidRPr="00E162D5">
        <w:t xml:space="preserve">the Ministry of Transport’s </w:t>
      </w:r>
      <w:r w:rsidR="0072259C" w:rsidRPr="00E162D5">
        <w:t>Public Private Partnership (PPP)</w:t>
      </w:r>
      <w:r w:rsidR="006E6AB9" w:rsidRPr="00E162D5">
        <w:t xml:space="preserve"> department to develop and manage </w:t>
      </w:r>
      <w:r w:rsidR="0072259C" w:rsidRPr="00E162D5">
        <w:t>PPP</w:t>
      </w:r>
      <w:r w:rsidR="006E6AB9" w:rsidRPr="00E162D5">
        <w:t xml:space="preserve"> projects. </w:t>
      </w:r>
      <w:r w:rsidR="0072259C" w:rsidRPr="00E162D5">
        <w:t>This</w:t>
      </w:r>
      <w:r w:rsidR="006E6AB9" w:rsidRPr="00E162D5">
        <w:t xml:space="preserve"> will </w:t>
      </w:r>
      <w:r w:rsidR="007259C5" w:rsidRPr="00E162D5">
        <w:t>increase awareness of PPPs as an</w:t>
      </w:r>
      <w:r w:rsidR="006E6AB9" w:rsidRPr="00E162D5">
        <w:t xml:space="preserve"> effective mechanism </w:t>
      </w:r>
      <w:r w:rsidR="007259C5" w:rsidRPr="00E162D5">
        <w:t>for financing</w:t>
      </w:r>
      <w:r w:rsidR="006E6AB9" w:rsidRPr="00E162D5">
        <w:t xml:space="preserve"> infrastructure projects</w:t>
      </w:r>
      <w:r w:rsidR="007259C5" w:rsidRPr="00E162D5">
        <w:t>, especially issues of</w:t>
      </w:r>
      <w:r w:rsidR="006E6AB9" w:rsidRPr="00E162D5">
        <w:t xml:space="preserve"> risk sharing arrangements. Resolving these issues is critical </w:t>
      </w:r>
      <w:r w:rsidR="007259C5" w:rsidRPr="00E162D5">
        <w:t>for reducing</w:t>
      </w:r>
      <w:r w:rsidR="006E6AB9" w:rsidRPr="00E162D5">
        <w:t xml:space="preserve"> delay</w:t>
      </w:r>
      <w:r w:rsidR="007259C5" w:rsidRPr="00E162D5">
        <w:t>s</w:t>
      </w:r>
      <w:r w:rsidR="006E6AB9" w:rsidRPr="00E162D5">
        <w:t xml:space="preserve"> </w:t>
      </w:r>
      <w:r w:rsidR="007259C5" w:rsidRPr="00E162D5">
        <w:t>to</w:t>
      </w:r>
      <w:r w:rsidR="006E6AB9" w:rsidRPr="00E162D5">
        <w:t xml:space="preserve"> pioneering transactions, like the Dau Giay - Phan Thiet project which Australia </w:t>
      </w:r>
      <w:r w:rsidR="007259C5" w:rsidRPr="00E162D5">
        <w:t>also supports</w:t>
      </w:r>
      <w:r w:rsidR="006E6AB9" w:rsidRPr="00E162D5">
        <w:t xml:space="preserve"> through the World Bank.</w:t>
      </w:r>
    </w:p>
    <w:p w14:paraId="6D61932F" w14:textId="77777777" w:rsidR="006E6AB9" w:rsidRPr="00E162D5" w:rsidRDefault="006E6AB9" w:rsidP="00F5577B">
      <w:pPr>
        <w:pStyle w:val="Heading4"/>
      </w:pPr>
      <w:r w:rsidRPr="00E162D5">
        <w:t>Business Environment Reform</w:t>
      </w:r>
    </w:p>
    <w:p w14:paraId="53586B15" w14:textId="77777777" w:rsidR="004E534F" w:rsidRDefault="006E6AB9" w:rsidP="006E6AB9">
      <w:pPr>
        <w:pStyle w:val="BodyText"/>
      </w:pPr>
      <w:r w:rsidRPr="00E162D5">
        <w:t xml:space="preserve">Our support </w:t>
      </w:r>
      <w:r w:rsidR="00FD7897" w:rsidRPr="00E162D5">
        <w:t xml:space="preserve">for </w:t>
      </w:r>
      <w:r w:rsidRPr="00E162D5">
        <w:t xml:space="preserve">business environment </w:t>
      </w:r>
      <w:r w:rsidR="00FD7897" w:rsidRPr="00E162D5">
        <w:t xml:space="preserve">reform </w:t>
      </w:r>
      <w:r w:rsidRPr="00E162D5">
        <w:t xml:space="preserve">through the </w:t>
      </w:r>
      <w:r w:rsidRPr="00E162D5">
        <w:rPr>
          <w:b/>
        </w:rPr>
        <w:t xml:space="preserve">Restructuring for a </w:t>
      </w:r>
      <w:r w:rsidR="00FD7897" w:rsidRPr="00E162D5">
        <w:rPr>
          <w:b/>
        </w:rPr>
        <w:t>M</w:t>
      </w:r>
      <w:r w:rsidRPr="00E162D5">
        <w:rPr>
          <w:b/>
        </w:rPr>
        <w:t xml:space="preserve">ore Competitive Vietnam (RCV) Project </w:t>
      </w:r>
      <w:r w:rsidRPr="00E162D5">
        <w:t>made</w:t>
      </w:r>
      <w:r>
        <w:t xml:space="preserve"> good progress in 2015-16. We built on earlier support to </w:t>
      </w:r>
      <w:r w:rsidR="00C14C2E">
        <w:t xml:space="preserve">support Vietnam’s revision of the </w:t>
      </w:r>
      <w:r>
        <w:t>Enterprise and Investment la</w:t>
      </w:r>
      <w:r w:rsidR="00FD7897">
        <w:t>ws by focusing on monitoring legislative</w:t>
      </w:r>
      <w:r>
        <w:t xml:space="preserve"> compliance </w:t>
      </w:r>
      <w:r w:rsidR="00FD7897">
        <w:t>by various m</w:t>
      </w:r>
      <w:r>
        <w:t xml:space="preserve">inistries and agencies. This led to the abolition of 3299 business conditions that placed restrictions on participation in certain sectors and industries. </w:t>
      </w:r>
      <w:r w:rsidR="004E534F">
        <w:t xml:space="preserve">We </w:t>
      </w:r>
      <w:r>
        <w:t>also supported the Vietnam Chamber of Commerce and Industry to conduct a survey of the best and worst regulations issued</w:t>
      </w:r>
      <w:r w:rsidR="004E534F">
        <w:t xml:space="preserve"> in the previous 18 months. The findings</w:t>
      </w:r>
      <w:r>
        <w:t xml:space="preserve"> will help to raise public awareness of inefficient regulation and </w:t>
      </w:r>
      <w:r w:rsidR="00826563">
        <w:t>help</w:t>
      </w:r>
      <w:r>
        <w:t xml:space="preserve"> repeal regulations that </w:t>
      </w:r>
      <w:r w:rsidR="004E534F">
        <w:t>damage</w:t>
      </w:r>
      <w:r>
        <w:t xml:space="preserve"> Vietnam’s economic competitiveness. </w:t>
      </w:r>
    </w:p>
    <w:p w14:paraId="0210EBF6" w14:textId="1760A5E3" w:rsidR="006E6AB9" w:rsidRDefault="006E6AB9" w:rsidP="006E6AB9">
      <w:pPr>
        <w:pStyle w:val="BodyText"/>
      </w:pPr>
      <w:r>
        <w:t xml:space="preserve">A mid-term review found that </w:t>
      </w:r>
      <w:r w:rsidR="004E534F">
        <w:t>RCV</w:t>
      </w:r>
      <w:r>
        <w:t xml:space="preserve"> is relevant, effective and efficient</w:t>
      </w:r>
      <w:r w:rsidR="00826563">
        <w:t>,</w:t>
      </w:r>
      <w:r>
        <w:t xml:space="preserve"> although </w:t>
      </w:r>
      <w:r w:rsidR="00D37FB7">
        <w:t xml:space="preserve">monitoring and evaluation needs improvement, and the project </w:t>
      </w:r>
      <w:r w:rsidR="00826563">
        <w:t>needs</w:t>
      </w:r>
      <w:r>
        <w:t xml:space="preserve"> to better </w:t>
      </w:r>
      <w:r w:rsidR="00826563">
        <w:t>address gender equality</w:t>
      </w:r>
      <w:r w:rsidRPr="00344490">
        <w:t xml:space="preserve">. </w:t>
      </w:r>
      <w:r w:rsidR="007418AF" w:rsidRPr="00344490">
        <w:t>We are working with our partners to strengthen monitoring and evaluation</w:t>
      </w:r>
      <w:r w:rsidR="00DE18A8" w:rsidRPr="00344490">
        <w:t xml:space="preserve"> including giving explicit indicators on gender in the design of our next phase of support</w:t>
      </w:r>
      <w:r w:rsidR="007418AF" w:rsidRPr="00344490">
        <w:t xml:space="preserve">. </w:t>
      </w:r>
      <w:r w:rsidRPr="00344490">
        <w:t>We continue to work closely with the Central Institute of Economic</w:t>
      </w:r>
      <w:r>
        <w:t xml:space="preserve"> Management (CIEM) to better understand how reforms to market institutions can affect women and men differently. CIEM is now leading a study to better understand the</w:t>
      </w:r>
      <w:r w:rsidR="00826563">
        <w:t>se issues to inform future work.</w:t>
      </w:r>
    </w:p>
    <w:p w14:paraId="5E38DBFC" w14:textId="77777777" w:rsidR="006E6AB9" w:rsidRDefault="006E6AB9" w:rsidP="00FF1894">
      <w:pPr>
        <w:pStyle w:val="BodyText"/>
      </w:pPr>
      <w:r>
        <w:t xml:space="preserve">We have </w:t>
      </w:r>
      <w:r w:rsidR="00FF1894">
        <w:t xml:space="preserve">worked with Australia’s world-class institutions, the ACCC and Productivity Commission, to engage the Government of Vietnam in discussions on economic competitiveness. </w:t>
      </w:r>
      <w:r>
        <w:t xml:space="preserve"> </w:t>
      </w:r>
      <w:r w:rsidR="00FF1894">
        <w:t>I</w:t>
      </w:r>
      <w:r>
        <w:t>n December 2015</w:t>
      </w:r>
      <w:r w:rsidR="00826563">
        <w:t>,</w:t>
      </w:r>
      <w:r>
        <w:t xml:space="preserve"> Australia led donor representations to </w:t>
      </w:r>
      <w:r w:rsidR="00826563">
        <w:t>Vietnam’s</w:t>
      </w:r>
      <w:r>
        <w:t xml:space="preserve"> Prime Minister on the need to accelerate market-based reform</w:t>
      </w:r>
      <w:r w:rsidR="00826563">
        <w:t>, and made</w:t>
      </w:r>
      <w:r>
        <w:t xml:space="preserve"> recommendations on specific measures through the annual Vietnam Development Partner Forum.</w:t>
      </w:r>
    </w:p>
    <w:p w14:paraId="465C456A" w14:textId="77777777" w:rsidR="006E6AB9" w:rsidRPr="00F77FFD" w:rsidRDefault="006E6AB9" w:rsidP="00F5577B">
      <w:pPr>
        <w:pStyle w:val="Heading4"/>
      </w:pPr>
      <w:r w:rsidRPr="00F77FFD">
        <w:t>Private Sector Development and Service Delivery</w:t>
      </w:r>
    </w:p>
    <w:p w14:paraId="5CDFCF72" w14:textId="77777777" w:rsidR="006E6AB9" w:rsidRDefault="006E6AB9" w:rsidP="006E6AB9">
      <w:pPr>
        <w:pStyle w:val="BodyText"/>
      </w:pPr>
      <w:r>
        <w:t xml:space="preserve">In 2015-16, Australian budget support for the Government of Vietnam’s </w:t>
      </w:r>
      <w:r w:rsidRPr="00A26D95">
        <w:rPr>
          <w:b/>
        </w:rPr>
        <w:t>National Target Program 3</w:t>
      </w:r>
      <w:r>
        <w:t xml:space="preserve"> on water and sanitation was completed. During 2015-16, Australia financed a total of 56,000 new water connections </w:t>
      </w:r>
      <w:r>
        <w:lastRenderedPageBreak/>
        <w:t>and provided an additional 111,000 households with hygienic latrines. Over the lif</w:t>
      </w:r>
      <w:r w:rsidR="004D695C">
        <w:t>e of the project</w:t>
      </w:r>
      <w:r>
        <w:t xml:space="preserve"> 86 per cent</w:t>
      </w:r>
      <w:r w:rsidR="004D695C">
        <w:t xml:space="preserve"> of the rural population gained</w:t>
      </w:r>
      <w:r>
        <w:t xml:space="preserve"> access to hygienic water</w:t>
      </w:r>
      <w:r w:rsidR="004D695C">
        <w:t>,</w:t>
      </w:r>
      <w:r>
        <w:t xml:space="preserve"> </w:t>
      </w:r>
      <w:r w:rsidR="004D695C">
        <w:t xml:space="preserve">slightly exceeding the </w:t>
      </w:r>
      <w:r>
        <w:t xml:space="preserve">target of 85 per cent. The target of 65 per cent of rural households with access to a hygienic latrine was also met. A notable fact is that the project was still able to meet (and in some cases exceed) targets while pursuing a pro-poor strategy of increasing access in remote areas which have higher costs and are difficult to deliver. </w:t>
      </w:r>
    </w:p>
    <w:p w14:paraId="11261D63" w14:textId="77777777" w:rsidR="004D695C" w:rsidRDefault="004D695C" w:rsidP="006E6AB9">
      <w:pPr>
        <w:pStyle w:val="BodyText"/>
      </w:pPr>
      <w:r>
        <w:t>I</w:t>
      </w:r>
      <w:r w:rsidR="006E6AB9">
        <w:t xml:space="preserve">n 2015-16 </w:t>
      </w:r>
      <w:r>
        <w:t xml:space="preserve">we have </w:t>
      </w:r>
      <w:r w:rsidR="006E6AB9">
        <w:t>continue</w:t>
      </w:r>
      <w:r>
        <w:t>d</w:t>
      </w:r>
      <w:r w:rsidR="006E6AB9">
        <w:t xml:space="preserve"> preparing the groundwork for greater involvement of the private sector in delivering</w:t>
      </w:r>
      <w:r>
        <w:t xml:space="preserve"> water and sanitation</w:t>
      </w:r>
      <w:r w:rsidR="006E6AB9">
        <w:t xml:space="preserve"> services. </w:t>
      </w:r>
      <w:r>
        <w:t>By helping to develop</w:t>
      </w:r>
      <w:r w:rsidR="006E6AB9">
        <w:t xml:space="preserve"> a rural water infrastructure asset database to improve prioritisation of investments, </w:t>
      </w:r>
      <w:r>
        <w:t>there has been</w:t>
      </w:r>
      <w:r w:rsidR="006E6AB9">
        <w:t xml:space="preserve"> an increase in functionality of water schemes from 60</w:t>
      </w:r>
      <w:r>
        <w:t xml:space="preserve"> per cent</w:t>
      </w:r>
      <w:r w:rsidR="006E6AB9">
        <w:t xml:space="preserve"> in 2013 to 75</w:t>
      </w:r>
      <w:r>
        <w:t xml:space="preserve"> cent</w:t>
      </w:r>
      <w:r w:rsidR="006E6AB9">
        <w:t xml:space="preserve"> in 2015. </w:t>
      </w:r>
    </w:p>
    <w:p w14:paraId="7E4211B0" w14:textId="77777777" w:rsidR="006E6AB9" w:rsidRDefault="006E6AB9" w:rsidP="006E6AB9">
      <w:pPr>
        <w:pStyle w:val="BodyText"/>
      </w:pPr>
      <w:r>
        <w:t>Australia has also led policy di</w:t>
      </w:r>
      <w:r w:rsidR="004D695C">
        <w:t>scussions</w:t>
      </w:r>
      <w:r>
        <w:t xml:space="preserve"> between donors and </w:t>
      </w:r>
      <w:r w:rsidR="004D695C">
        <w:t xml:space="preserve">the </w:t>
      </w:r>
      <w:r>
        <w:t xml:space="preserve">government on </w:t>
      </w:r>
      <w:r w:rsidR="004D695C">
        <w:t>improving</w:t>
      </w:r>
      <w:r>
        <w:t xml:space="preserve"> private sector engagement and financial sustainability </w:t>
      </w:r>
      <w:r w:rsidR="004D695C">
        <w:t>through improved</w:t>
      </w:r>
      <w:r>
        <w:t xml:space="preserve"> cost recovery new low-cost technologies. In 2015, Australia successfully brokered a partnership between the Au</w:t>
      </w:r>
      <w:r w:rsidR="004D695C">
        <w:t>stralian Water Association</w:t>
      </w:r>
      <w:r>
        <w:t xml:space="preserve"> and Vietnam Water Supply a</w:t>
      </w:r>
      <w:r w:rsidR="004D695C">
        <w:t xml:space="preserve">nd Sewerage Association </w:t>
      </w:r>
      <w:r>
        <w:t xml:space="preserve">to strengthen governance and regulatory structures </w:t>
      </w:r>
      <w:r w:rsidR="004D695C">
        <w:t xml:space="preserve">that </w:t>
      </w:r>
      <w:r>
        <w:t xml:space="preserve">nurture private sector engagement and facilitate commercial partnerships between the Australian and Vietnamese industries. Output based subsidies have also been trialled under the </w:t>
      </w:r>
      <w:r w:rsidRPr="004D695C">
        <w:rPr>
          <w:b/>
        </w:rPr>
        <w:t>Global Civil Society WASH fund</w:t>
      </w:r>
      <w:r>
        <w:t xml:space="preserve"> which can provide protection for poor households in the face of increasing tariffs. The Government of Vietnam has expressed interest in this approach and </w:t>
      </w:r>
      <w:r w:rsidR="004D695C">
        <w:t>it</w:t>
      </w:r>
      <w:r>
        <w:t xml:space="preserve"> will be a key feature of future Australian assistance from 2017</w:t>
      </w:r>
      <w:r w:rsidR="004D695C">
        <w:t>.</w:t>
      </w:r>
    </w:p>
    <w:p w14:paraId="47AD8C04" w14:textId="77777777" w:rsidR="006E6AB9" w:rsidRPr="00841FF4" w:rsidRDefault="006E6AB9" w:rsidP="006E6AB9">
      <w:pPr>
        <w:pStyle w:val="BodyText"/>
      </w:pPr>
      <w:r w:rsidRPr="00841FF4">
        <w:t xml:space="preserve">The </w:t>
      </w:r>
      <w:r w:rsidRPr="00A26D95">
        <w:rPr>
          <w:b/>
        </w:rPr>
        <w:t>Vietnam Climate Innovation Centre (VCIC)</w:t>
      </w:r>
      <w:r w:rsidRPr="00841FF4">
        <w:t xml:space="preserve"> was officially launched in December 2015</w:t>
      </w:r>
      <w:r w:rsidR="00FF1894">
        <w:t>. It</w:t>
      </w:r>
      <w:r w:rsidRPr="00841FF4">
        <w:t xml:space="preserve"> provides early-stage financing, technical and business advisory support to small and medium enterprises</w:t>
      </w:r>
      <w:r w:rsidR="00FF1894">
        <w:t xml:space="preserve">, </w:t>
      </w:r>
      <w:r w:rsidRPr="00841FF4">
        <w:t>focusing on innovative climate technologies at incubation, acceleration and commercialis</w:t>
      </w:r>
      <w:r>
        <w:t>ation</w:t>
      </w:r>
      <w:r w:rsidRPr="00841FF4">
        <w:t xml:space="preserve"> stages. </w:t>
      </w:r>
      <w:r>
        <w:t>This reflects significant</w:t>
      </w:r>
      <w:r w:rsidRPr="00841FF4">
        <w:t xml:space="preserve"> progress since DFAT put forward a Remediation Plan for World Bank’s improved performance in April 2015. </w:t>
      </w:r>
      <w:r w:rsidR="00FF1894">
        <w:t>Nineteen</w:t>
      </w:r>
      <w:r>
        <w:t xml:space="preserve"> finalist companies</w:t>
      </w:r>
      <w:r w:rsidR="002D6FBA">
        <w:t>,</w:t>
      </w:r>
      <w:r>
        <w:t xml:space="preserve"> </w:t>
      </w:r>
      <w:r w:rsidR="002D6FBA" w:rsidRPr="002D6FBA">
        <w:t>seven of which are headed by women</w:t>
      </w:r>
      <w:r w:rsidR="002D6FBA">
        <w:t xml:space="preserve">, </w:t>
      </w:r>
      <w:r>
        <w:t>have been nominated for support</w:t>
      </w:r>
      <w:r w:rsidR="00FF1894">
        <w:t xml:space="preserve"> to progress </w:t>
      </w:r>
      <w:r w:rsidRPr="00841FF4">
        <w:t>innovative clean-tech solutions in sustainable agriculture, renewable energy</w:t>
      </w:r>
      <w:r>
        <w:t>, energy efficiency</w:t>
      </w:r>
      <w:r w:rsidRPr="00841FF4">
        <w:t xml:space="preserve"> and water management.</w:t>
      </w:r>
    </w:p>
    <w:p w14:paraId="67E151B0" w14:textId="77777777" w:rsidR="006E6AB9" w:rsidRPr="00841FF4" w:rsidRDefault="006E6AB9" w:rsidP="006E6AB9">
      <w:pPr>
        <w:pStyle w:val="BodyText"/>
      </w:pPr>
      <w:r w:rsidRPr="00841FF4">
        <w:t xml:space="preserve">Vietnam’s National Agency for Technology Entrepreneurship and Commercialization has demonstrated strong commitment and leadership in taking </w:t>
      </w:r>
      <w:r w:rsidR="008A3345">
        <w:t>VCIC</w:t>
      </w:r>
      <w:r w:rsidRPr="00841FF4">
        <w:t xml:space="preserve"> forward</w:t>
      </w:r>
      <w:r>
        <w:t xml:space="preserve">. This represents a </w:t>
      </w:r>
      <w:r w:rsidR="008A3345">
        <w:t>key component of Vietnam’s commitment to</w:t>
      </w:r>
      <w:r w:rsidRPr="00841FF4">
        <w:t xml:space="preserve"> the global climate change agreement reached in Paris in December 2015</w:t>
      </w:r>
      <w:r>
        <w:t>.</w:t>
      </w:r>
    </w:p>
    <w:p w14:paraId="4A07BDC7" w14:textId="77777777" w:rsidR="009D7F67" w:rsidRDefault="009D7F67" w:rsidP="005F51F2">
      <w:pPr>
        <w:pStyle w:val="ListBullet"/>
        <w:tabs>
          <w:tab w:val="clear" w:pos="284"/>
        </w:tabs>
        <w:spacing w:before="360" w:line="240" w:lineRule="auto"/>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 xml:space="preserve">Objective </w:t>
      </w:r>
      <w:r w:rsidR="002A51CA" w:rsidRPr="002A51CA">
        <w:rPr>
          <w:rFonts w:asciiTheme="majorHAnsi" w:eastAsiaTheme="majorEastAsia" w:hAnsiTheme="majorHAnsi" w:cstheme="majorBidi"/>
          <w:caps/>
          <w:color w:val="495965" w:themeColor="text2"/>
          <w:sz w:val="38"/>
          <w:szCs w:val="26"/>
          <w:lang w:val="en-GB" w:eastAsia="en-US"/>
        </w:rPr>
        <w:t>2</w:t>
      </w:r>
      <w:r w:rsidR="00DF61E5">
        <w:rPr>
          <w:rFonts w:asciiTheme="majorHAnsi" w:eastAsiaTheme="majorEastAsia" w:hAnsiTheme="majorHAnsi" w:cstheme="majorBidi"/>
          <w:caps/>
          <w:color w:val="495965" w:themeColor="text2"/>
          <w:sz w:val="38"/>
          <w:szCs w:val="26"/>
          <w:lang w:val="en-GB" w:eastAsia="en-US"/>
        </w:rPr>
        <w:t xml:space="preserve">: </w:t>
      </w:r>
      <w:r w:rsidR="00DF61E5" w:rsidRPr="00DF61E5">
        <w:rPr>
          <w:rFonts w:asciiTheme="majorHAnsi" w:eastAsiaTheme="majorEastAsia" w:hAnsiTheme="majorHAnsi" w:cstheme="majorBidi"/>
          <w:caps/>
          <w:color w:val="495965" w:themeColor="text2"/>
          <w:sz w:val="38"/>
          <w:szCs w:val="26"/>
          <w:lang w:val="en-GB" w:eastAsia="en-US"/>
        </w:rPr>
        <w:t>Assisting the development and employment of a highly skilled workforce</w:t>
      </w:r>
    </w:p>
    <w:p w14:paraId="26086A44" w14:textId="77777777" w:rsidR="00DD1BFD" w:rsidRDefault="0036539E" w:rsidP="00D47E58">
      <w:pPr>
        <w:pStyle w:val="BodyText"/>
      </w:pPr>
      <w:r w:rsidRPr="0036539E">
        <w:t xml:space="preserve">The overall </w:t>
      </w:r>
      <w:r w:rsidRPr="004E534F">
        <w:rPr>
          <w:b/>
        </w:rPr>
        <w:t>rating for this objective is green</w:t>
      </w:r>
      <w:r w:rsidRPr="00DD1BFD">
        <w:t>. The 2015-16 review period was a transition year from the previous Australia Awards</w:t>
      </w:r>
      <w:r w:rsidRPr="00DD1BFD">
        <w:rPr>
          <w:rStyle w:val="FootnoteReference"/>
        </w:rPr>
        <w:footnoteReference w:id="1"/>
      </w:r>
      <w:r w:rsidR="00DD1BFD" w:rsidRPr="00DD1BFD">
        <w:t xml:space="preserve"> Vietnam</w:t>
      </w:r>
      <w:r w:rsidRPr="00DD1BFD">
        <w:t xml:space="preserve"> program to the new Vietnam-Australia Human Res</w:t>
      </w:r>
      <w:r w:rsidR="006411FA">
        <w:t>ource Development Partnership.</w:t>
      </w:r>
      <w:r w:rsidRPr="00DD1BFD">
        <w:t xml:space="preserve"> </w:t>
      </w:r>
      <w:r w:rsidRPr="0036539E">
        <w:t xml:space="preserve"> </w:t>
      </w:r>
    </w:p>
    <w:p w14:paraId="2BE1668E" w14:textId="77777777" w:rsidR="0036539E" w:rsidRPr="0036539E" w:rsidRDefault="0036539E" w:rsidP="00D47E58">
      <w:pPr>
        <w:pStyle w:val="BodyText"/>
      </w:pPr>
      <w:r w:rsidRPr="0036539E">
        <w:t>The new partnership shifts our h</w:t>
      </w:r>
      <w:r w:rsidR="006411FA">
        <w:t xml:space="preserve">uman resource development </w:t>
      </w:r>
      <w:r w:rsidRPr="0036539E">
        <w:t xml:space="preserve">support from just the provision of individual scholarships for long-term study in Australia to including a broader and more flexible suite of tools. These will develop human resources in target organisations aligned to the </w:t>
      </w:r>
      <w:r w:rsidRPr="006411FA">
        <w:rPr>
          <w:i/>
        </w:rPr>
        <w:t>Aid Investment Plan</w:t>
      </w:r>
      <w:r w:rsidRPr="0036539E">
        <w:t xml:space="preserve"> and support improvements to targeted areas of Vietnam’s higher education systems and institutions.</w:t>
      </w:r>
    </w:p>
    <w:p w14:paraId="012823BE" w14:textId="77777777" w:rsidR="0036539E" w:rsidRPr="0036539E" w:rsidRDefault="000F0E8D" w:rsidP="00D47E58">
      <w:pPr>
        <w:pStyle w:val="BodyText"/>
      </w:pPr>
      <w:r>
        <w:t>T</w:t>
      </w:r>
      <w:r w:rsidR="0036539E" w:rsidRPr="0036539E">
        <w:t xml:space="preserve">he </w:t>
      </w:r>
      <w:r w:rsidR="00DD1BFD" w:rsidRPr="00DD1BFD">
        <w:rPr>
          <w:b/>
        </w:rPr>
        <w:t>Australia Awards Vietnam (AAV)</w:t>
      </w:r>
      <w:r w:rsidR="0036539E" w:rsidRPr="0036539E">
        <w:t xml:space="preserve"> was assessed as high</w:t>
      </w:r>
      <w:r w:rsidR="00DD1BFD">
        <w:t>ly successful in</w:t>
      </w:r>
      <w:r w:rsidR="0036539E" w:rsidRPr="0036539E">
        <w:t xml:space="preserve"> </w:t>
      </w:r>
      <w:r w:rsidR="00DD1BFD">
        <w:t>providing</w:t>
      </w:r>
      <w:r w:rsidR="0036539E" w:rsidRPr="0036539E">
        <w:t xml:space="preserve"> opportunities for </w:t>
      </w:r>
      <w:r w:rsidR="00DD1BFD">
        <w:t>short-</w:t>
      </w:r>
      <w:r w:rsidR="0036539E" w:rsidRPr="0036539E">
        <w:t xml:space="preserve">term and postgraduate studies for government central and local officers, university lecturers and researchers. </w:t>
      </w:r>
      <w:r w:rsidR="00DD1BFD">
        <w:t xml:space="preserve">Around 93 </w:t>
      </w:r>
      <w:r w:rsidR="0036539E" w:rsidRPr="0036539E">
        <w:t xml:space="preserve">per cent of </w:t>
      </w:r>
      <w:r w:rsidR="00DD1BFD">
        <w:t>AAV</w:t>
      </w:r>
      <w:r w:rsidR="0036539E" w:rsidRPr="0036539E">
        <w:t xml:space="preserve"> alumni </w:t>
      </w:r>
      <w:r w:rsidR="00DD1BFD">
        <w:t xml:space="preserve">were </w:t>
      </w:r>
      <w:r w:rsidR="0036539E" w:rsidRPr="0036539E">
        <w:t xml:space="preserve">employed in positions that were relevant to their award </w:t>
      </w:r>
      <w:r w:rsidR="0036539E" w:rsidRPr="0036539E">
        <w:lastRenderedPageBreak/>
        <w:t>ski</w:t>
      </w:r>
      <w:r w:rsidR="00DD1BFD">
        <w:t>lls after three years of return, which exceeds the performance benchmark of 75 per cent.</w:t>
      </w:r>
      <w:r w:rsidR="00F415A3">
        <w:t xml:space="preserve"> Over 98 per cent of awardees completed their courses successfully, above the benchmark of 90 per cent.</w:t>
      </w:r>
    </w:p>
    <w:p w14:paraId="7BEFCE71" w14:textId="77777777" w:rsidR="00F415A3" w:rsidRPr="00E162D5" w:rsidRDefault="00F415A3" w:rsidP="00F415A3">
      <w:pPr>
        <w:pStyle w:val="BodyText"/>
      </w:pPr>
      <w:r w:rsidRPr="00F415A3">
        <w:t xml:space="preserve">In support of the Government of Vietnam’s strategies, social inclusion continued as a strong focus, setting the Australia Awards apart from other donor-funded scholarships in Vietnam. Over its six years, the Australia Awards Vietnam program provided scholarships to 28 people with disability, 65 ethnic minorities and 103 </w:t>
      </w:r>
      <w:r w:rsidRPr="00E162D5">
        <w:t xml:space="preserve">people from a rural disadvantaged background. This was achieved through deliberate efforts throughout the scholarship cycle, ranging from targeted promotion, to pre-award and on-award and alumni support. </w:t>
      </w:r>
    </w:p>
    <w:p w14:paraId="39CFBB84" w14:textId="77777777" w:rsidR="0036539E" w:rsidRPr="00E162D5" w:rsidRDefault="0036539E" w:rsidP="00D47E58">
      <w:pPr>
        <w:pStyle w:val="BodyText"/>
      </w:pPr>
      <w:r w:rsidRPr="00E162D5">
        <w:t>The new</w:t>
      </w:r>
      <w:r w:rsidR="00DD1BFD" w:rsidRPr="00E162D5">
        <w:t xml:space="preserve"> </w:t>
      </w:r>
      <w:r w:rsidR="00DD1BFD" w:rsidRPr="00E162D5">
        <w:rPr>
          <w:b/>
        </w:rPr>
        <w:t>Vietnam-Australia Human Resource Development Partnership (VAHRDP)</w:t>
      </w:r>
      <w:r w:rsidRPr="00E162D5">
        <w:t xml:space="preserve"> </w:t>
      </w:r>
      <w:r w:rsidR="00C14C2E" w:rsidRPr="00E162D5">
        <w:t xml:space="preserve">has been progressed through the development of </w:t>
      </w:r>
      <w:r w:rsidRPr="00E162D5">
        <w:t xml:space="preserve">new partnerships and </w:t>
      </w:r>
      <w:r w:rsidR="008505FB" w:rsidRPr="00E162D5">
        <w:t>establishment of</w:t>
      </w:r>
      <w:r w:rsidR="000F0E8D" w:rsidRPr="00E162D5">
        <w:t xml:space="preserve"> </w:t>
      </w:r>
      <w:r w:rsidRPr="00E162D5">
        <w:t xml:space="preserve">niche areas for the non-scholarship components </w:t>
      </w:r>
      <w:r w:rsidR="008505FB" w:rsidRPr="00E162D5">
        <w:t>to</w:t>
      </w:r>
      <w:r w:rsidRPr="00E162D5">
        <w:t xml:space="preserve"> commence in 2016-17. </w:t>
      </w:r>
      <w:r w:rsidR="00F415A3" w:rsidRPr="00E162D5">
        <w:t>The</w:t>
      </w:r>
      <w:r w:rsidRPr="00E162D5">
        <w:t xml:space="preserve"> identif</w:t>
      </w:r>
      <w:r w:rsidR="00F415A3" w:rsidRPr="00E162D5">
        <w:t>ication of</w:t>
      </w:r>
      <w:r w:rsidRPr="00E162D5">
        <w:t xml:space="preserve"> activities for selected universities in the Northern Mountainous Region and in technical and vocational training</w:t>
      </w:r>
      <w:r w:rsidR="00F415A3" w:rsidRPr="00E162D5">
        <w:t xml:space="preserve"> progressed as expected</w:t>
      </w:r>
      <w:r w:rsidRPr="00E162D5">
        <w:t xml:space="preserve">. </w:t>
      </w:r>
    </w:p>
    <w:p w14:paraId="71597CB5" w14:textId="77777777" w:rsidR="0036539E" w:rsidRPr="00E162D5" w:rsidRDefault="00DD1BFD" w:rsidP="00D47E58">
      <w:pPr>
        <w:pStyle w:val="BodyText"/>
      </w:pPr>
      <w:r w:rsidRPr="00E162D5">
        <w:t>The VAHRDP supports Vietnam’s</w:t>
      </w:r>
      <w:r w:rsidR="0036539E" w:rsidRPr="00E162D5">
        <w:t xml:space="preserve"> </w:t>
      </w:r>
      <w:r w:rsidR="0036539E" w:rsidRPr="00E162D5">
        <w:rPr>
          <w:i/>
        </w:rPr>
        <w:t>Socio-Economic Development Plan</w:t>
      </w:r>
      <w:r w:rsidRPr="00E162D5">
        <w:rPr>
          <w:i/>
        </w:rPr>
        <w:t xml:space="preserve"> 2016-2020</w:t>
      </w:r>
      <w:r w:rsidR="0036539E" w:rsidRPr="00E162D5">
        <w:t>, which reiterates improving t</w:t>
      </w:r>
      <w:r w:rsidRPr="00E162D5">
        <w:t>he quality of human resources, especially</w:t>
      </w:r>
      <w:r w:rsidR="0036539E" w:rsidRPr="00E162D5">
        <w:t xml:space="preserve"> at higher e</w:t>
      </w:r>
      <w:r w:rsidRPr="00E162D5">
        <w:t>ducation and vocation</w:t>
      </w:r>
      <w:r w:rsidR="0036539E" w:rsidRPr="00E162D5">
        <w:t xml:space="preserve"> levels. VAHRDP </w:t>
      </w:r>
      <w:r w:rsidR="00601657" w:rsidRPr="00E162D5">
        <w:t xml:space="preserve">targets </w:t>
      </w:r>
      <w:r w:rsidRPr="00E162D5">
        <w:t xml:space="preserve">key areas identified by the </w:t>
      </w:r>
      <w:r w:rsidR="005F51F2" w:rsidRPr="00E162D5">
        <w:t>Government of Vietnam</w:t>
      </w:r>
      <w:r w:rsidR="0036539E" w:rsidRPr="00E162D5">
        <w:t>, including strengthening the relevance and quality of training to meet industry demands, facilitating labour mobility</w:t>
      </w:r>
      <w:r w:rsidRPr="00E162D5">
        <w:t>,</w:t>
      </w:r>
      <w:r w:rsidR="0036539E" w:rsidRPr="00E162D5">
        <w:t xml:space="preserve"> and increasing attention to social equity in education and training opportunities. </w:t>
      </w:r>
      <w:r w:rsidR="00601657" w:rsidRPr="00E162D5">
        <w:t>T</w:t>
      </w:r>
      <w:r w:rsidR="0036539E" w:rsidRPr="00E162D5">
        <w:t>he program utilis</w:t>
      </w:r>
      <w:r w:rsidR="00601657" w:rsidRPr="00E162D5">
        <w:t>es</w:t>
      </w:r>
      <w:r w:rsidR="0036539E" w:rsidRPr="00E162D5">
        <w:t xml:space="preserve"> Australia’s expertise and experience </w:t>
      </w:r>
      <w:r w:rsidR="00601657" w:rsidRPr="00E162D5">
        <w:t xml:space="preserve">by </w:t>
      </w:r>
      <w:r w:rsidR="005F51F2" w:rsidRPr="00E162D5">
        <w:t>showcasing</w:t>
      </w:r>
      <w:r w:rsidR="0036539E" w:rsidRPr="00E162D5">
        <w:t xml:space="preserve"> Australian training and education systems. </w:t>
      </w:r>
      <w:r w:rsidR="00601657" w:rsidRPr="00E162D5">
        <w:t>T</w:t>
      </w:r>
      <w:r w:rsidR="0036539E" w:rsidRPr="00E162D5">
        <w:t xml:space="preserve">he </w:t>
      </w:r>
      <w:r w:rsidRPr="00E162D5">
        <w:t>Australia Awards component of VAHRDP</w:t>
      </w:r>
      <w:r w:rsidR="0036539E" w:rsidRPr="00E162D5">
        <w:t xml:space="preserve"> </w:t>
      </w:r>
      <w:r w:rsidR="001500F7" w:rsidRPr="00E162D5">
        <w:t xml:space="preserve">will only provide Masters </w:t>
      </w:r>
      <w:r w:rsidR="005F51F2" w:rsidRPr="00E162D5">
        <w:t>Degrees</w:t>
      </w:r>
      <w:r w:rsidR="001500F7" w:rsidRPr="00E162D5">
        <w:t xml:space="preserve"> from 2016, complementing the Government </w:t>
      </w:r>
      <w:r w:rsidRPr="00E162D5">
        <w:t xml:space="preserve">of </w:t>
      </w:r>
      <w:r w:rsidR="001500F7" w:rsidRPr="00E162D5">
        <w:t>Vietnam’s recent move to providing 100 scholarships f</w:t>
      </w:r>
      <w:r w:rsidRPr="00E162D5">
        <w:t>o</w:t>
      </w:r>
      <w:r w:rsidR="001500F7" w:rsidRPr="00E162D5">
        <w:t>r PhD studies in Australia.</w:t>
      </w:r>
    </w:p>
    <w:p w14:paraId="11123015" w14:textId="77777777" w:rsidR="0036539E" w:rsidRDefault="0036539E" w:rsidP="00D47E58">
      <w:pPr>
        <w:pStyle w:val="BodyText"/>
      </w:pPr>
      <w:r w:rsidRPr="00E162D5">
        <w:t>A key outcome of the Australia Awards</w:t>
      </w:r>
      <w:r w:rsidR="00626BB4" w:rsidRPr="00E162D5">
        <w:t xml:space="preserve"> Scholarships</w:t>
      </w:r>
      <w:r w:rsidRPr="00E162D5">
        <w:t xml:space="preserve"> is </w:t>
      </w:r>
      <w:r w:rsidR="00DD1BFD" w:rsidRPr="00E162D5">
        <w:t>high number of alumni that can contribute to shared learning and influence</w:t>
      </w:r>
      <w:r w:rsidR="00DD1BFD">
        <w:t>.</w:t>
      </w:r>
      <w:r w:rsidR="00626BB4">
        <w:t xml:space="preserve"> There are</w:t>
      </w:r>
      <w:r w:rsidRPr="0036539E">
        <w:t xml:space="preserve"> over 5,600 alumni from Vietnam dating back to the 1970s, represent</w:t>
      </w:r>
      <w:r w:rsidR="00626BB4">
        <w:t>ing</w:t>
      </w:r>
      <w:r w:rsidRPr="0036539E">
        <w:t xml:space="preserve"> a significant resource to </w:t>
      </w:r>
      <w:r w:rsidR="00626BB4">
        <w:t>bolster academic and leadership linkages that benefit Vietnam’s development.</w:t>
      </w:r>
      <w:r w:rsidRPr="0036539E">
        <w:t xml:space="preserve"> </w:t>
      </w:r>
    </w:p>
    <w:p w14:paraId="01CB40B8" w14:textId="77777777" w:rsidR="006F714E" w:rsidRPr="006F714E" w:rsidRDefault="007059A0" w:rsidP="00D47E58">
      <w:pPr>
        <w:pStyle w:val="Caption"/>
      </w:pPr>
      <w:r w:rsidRPr="007059A0">
        <w:t xml:space="preserve">Table </w:t>
      </w:r>
      <w:r w:rsidRPr="007059A0">
        <w:fldChar w:fldCharType="begin"/>
      </w:r>
      <w:r w:rsidRPr="007059A0">
        <w:instrText xml:space="preserve"> SEQ Table \* ARABIC </w:instrText>
      </w:r>
      <w:r w:rsidRPr="007059A0">
        <w:fldChar w:fldCharType="separate"/>
      </w:r>
      <w:r w:rsidR="00843955">
        <w:rPr>
          <w:noProof/>
        </w:rPr>
        <w:t>3</w:t>
      </w:r>
      <w:r w:rsidRPr="007059A0">
        <w:rPr>
          <w:noProof/>
        </w:rPr>
        <w:fldChar w:fldCharType="end"/>
      </w:r>
      <w:r w:rsidR="006F714E" w:rsidRPr="007059A0">
        <w:t>: Australia Awards offered and completed in 2015</w:t>
      </w:r>
    </w:p>
    <w:tbl>
      <w:tblPr>
        <w:tblStyle w:val="DFATTable"/>
        <w:tblW w:w="4690" w:type="pct"/>
        <w:tblLook w:val="04A0" w:firstRow="1" w:lastRow="0" w:firstColumn="1" w:lastColumn="0" w:noHBand="0" w:noVBand="1"/>
        <w:tblCaption w:val="Table 3: Australia Awards offered and completed in 2015"/>
        <w:tblDescription w:val="A break down of New awards offered in 2015 by type and gender (male/female) as well as awards completed in 2015 by type and gender (male/female). "/>
      </w:tblPr>
      <w:tblGrid>
        <w:gridCol w:w="3977"/>
        <w:gridCol w:w="933"/>
        <w:gridCol w:w="629"/>
        <w:gridCol w:w="803"/>
        <w:gridCol w:w="1204"/>
        <w:gridCol w:w="657"/>
        <w:gridCol w:w="837"/>
      </w:tblGrid>
      <w:tr w:rsidR="00D47E58" w:rsidRPr="00D47E58" w14:paraId="37A919B6" w14:textId="77777777" w:rsidTr="00D47E58">
        <w:tc>
          <w:tcPr>
            <w:tcW w:w="2205" w:type="pct"/>
            <w:tcBorders>
              <w:top w:val="single" w:sz="12" w:space="0" w:color="auto"/>
              <w:left w:val="nil"/>
              <w:bottom w:val="nil"/>
              <w:right w:val="nil"/>
            </w:tcBorders>
          </w:tcPr>
          <w:p w14:paraId="6D7E70F6" w14:textId="77777777" w:rsidR="006F714E" w:rsidRPr="00D47E58" w:rsidRDefault="006F714E" w:rsidP="005F51F2">
            <w:pPr>
              <w:pStyle w:val="NormalIndented"/>
              <w:spacing w:before="60"/>
              <w:jc w:val="right"/>
              <w:rPr>
                <w:rFonts w:asciiTheme="minorHAnsi" w:hAnsiTheme="minorHAnsi"/>
                <w:color w:val="000000" w:themeColor="text1"/>
                <w:sz w:val="20"/>
                <w:szCs w:val="20"/>
              </w:rPr>
            </w:pPr>
          </w:p>
        </w:tc>
        <w:tc>
          <w:tcPr>
            <w:tcW w:w="1323" w:type="pct"/>
            <w:gridSpan w:val="3"/>
            <w:tcBorders>
              <w:top w:val="single" w:sz="12" w:space="0" w:color="auto"/>
              <w:left w:val="nil"/>
              <w:bottom w:val="nil"/>
              <w:right w:val="nil"/>
            </w:tcBorders>
          </w:tcPr>
          <w:p w14:paraId="26C08E53" w14:textId="77777777" w:rsidR="006F714E" w:rsidRPr="00D47E58" w:rsidRDefault="006F714E" w:rsidP="005F51F2">
            <w:pPr>
              <w:pStyle w:val="NormalIndented"/>
              <w:spacing w:before="60"/>
              <w:ind w:left="0"/>
              <w:jc w:val="right"/>
              <w:rPr>
                <w:rFonts w:asciiTheme="minorHAnsi" w:hAnsiTheme="minorHAnsi"/>
                <w:b/>
                <w:color w:val="000000" w:themeColor="text1"/>
                <w:sz w:val="20"/>
                <w:szCs w:val="20"/>
              </w:rPr>
            </w:pPr>
            <w:r w:rsidRPr="00D47E58">
              <w:rPr>
                <w:rFonts w:asciiTheme="minorHAnsi" w:hAnsiTheme="minorHAnsi"/>
                <w:b/>
                <w:color w:val="000000" w:themeColor="text1"/>
                <w:sz w:val="20"/>
                <w:szCs w:val="20"/>
              </w:rPr>
              <w:t>New awards offered (2015)</w:t>
            </w:r>
          </w:p>
        </w:tc>
        <w:tc>
          <w:tcPr>
            <w:tcW w:w="1472" w:type="pct"/>
            <w:gridSpan w:val="3"/>
            <w:tcBorders>
              <w:top w:val="single" w:sz="12" w:space="0" w:color="auto"/>
              <w:left w:val="nil"/>
              <w:bottom w:val="nil"/>
              <w:right w:val="nil"/>
            </w:tcBorders>
          </w:tcPr>
          <w:p w14:paraId="4420C16C" w14:textId="77777777" w:rsidR="006F714E" w:rsidRPr="00D47E58" w:rsidRDefault="006F714E" w:rsidP="005F51F2">
            <w:pPr>
              <w:pStyle w:val="NormalIndented"/>
              <w:spacing w:before="60"/>
              <w:ind w:left="34"/>
              <w:jc w:val="right"/>
              <w:rPr>
                <w:rFonts w:asciiTheme="minorHAnsi" w:hAnsiTheme="minorHAnsi"/>
                <w:b/>
                <w:color w:val="000000" w:themeColor="text1"/>
                <w:sz w:val="20"/>
                <w:szCs w:val="20"/>
              </w:rPr>
            </w:pPr>
            <w:r w:rsidRPr="00D47E58">
              <w:rPr>
                <w:rFonts w:asciiTheme="minorHAnsi" w:hAnsiTheme="minorHAnsi"/>
                <w:b/>
                <w:color w:val="000000" w:themeColor="text1"/>
                <w:sz w:val="20"/>
                <w:szCs w:val="20"/>
              </w:rPr>
              <w:t>Awards completed (2015)</w:t>
            </w:r>
          </w:p>
        </w:tc>
      </w:tr>
      <w:tr w:rsidR="00D47E58" w:rsidRPr="00D47E58" w14:paraId="6B8D0B9F" w14:textId="77777777" w:rsidTr="00D47E58">
        <w:tc>
          <w:tcPr>
            <w:tcW w:w="2205" w:type="pct"/>
            <w:tcBorders>
              <w:top w:val="nil"/>
              <w:left w:val="nil"/>
              <w:bottom w:val="nil"/>
              <w:right w:val="nil"/>
            </w:tcBorders>
          </w:tcPr>
          <w:p w14:paraId="6D4C2DE9" w14:textId="77777777" w:rsidR="006F714E" w:rsidRPr="00D47E58" w:rsidRDefault="006F714E" w:rsidP="005F51F2">
            <w:pPr>
              <w:pStyle w:val="NormalIndented"/>
              <w:spacing w:before="60"/>
              <w:rPr>
                <w:rFonts w:asciiTheme="minorHAnsi" w:hAnsiTheme="minorHAnsi"/>
                <w:b/>
                <w:color w:val="000000" w:themeColor="text1"/>
                <w:sz w:val="20"/>
                <w:szCs w:val="20"/>
              </w:rPr>
            </w:pPr>
          </w:p>
        </w:tc>
        <w:tc>
          <w:tcPr>
            <w:tcW w:w="521" w:type="pct"/>
            <w:tcBorders>
              <w:top w:val="nil"/>
              <w:left w:val="nil"/>
              <w:bottom w:val="nil"/>
              <w:right w:val="nil"/>
            </w:tcBorders>
          </w:tcPr>
          <w:p w14:paraId="1E8A38D6" w14:textId="77777777" w:rsidR="006F714E" w:rsidRPr="00D47E58" w:rsidRDefault="006F714E" w:rsidP="005F51F2">
            <w:pPr>
              <w:pStyle w:val="NormalIndented"/>
              <w:spacing w:before="60"/>
              <w:ind w:left="0"/>
              <w:jc w:val="right"/>
              <w:rPr>
                <w:rFonts w:asciiTheme="minorHAnsi" w:hAnsiTheme="minorHAnsi"/>
                <w:b/>
                <w:i/>
                <w:color w:val="000000" w:themeColor="text1"/>
                <w:sz w:val="20"/>
                <w:szCs w:val="20"/>
              </w:rPr>
            </w:pPr>
            <w:r w:rsidRPr="00D47E58">
              <w:rPr>
                <w:rFonts w:asciiTheme="minorHAnsi" w:hAnsiTheme="minorHAnsi"/>
                <w:b/>
                <w:i/>
                <w:color w:val="000000" w:themeColor="text1"/>
                <w:sz w:val="20"/>
                <w:szCs w:val="20"/>
              </w:rPr>
              <w:t>Total</w:t>
            </w:r>
          </w:p>
        </w:tc>
        <w:tc>
          <w:tcPr>
            <w:tcW w:w="353" w:type="pct"/>
            <w:tcBorders>
              <w:top w:val="nil"/>
              <w:left w:val="nil"/>
              <w:bottom w:val="nil"/>
              <w:right w:val="nil"/>
            </w:tcBorders>
          </w:tcPr>
          <w:p w14:paraId="37B32084" w14:textId="77777777" w:rsidR="006F714E" w:rsidRPr="00D47E58" w:rsidRDefault="006F714E" w:rsidP="005F51F2">
            <w:pPr>
              <w:pStyle w:val="NormalIndented"/>
              <w:spacing w:before="60"/>
              <w:ind w:left="0"/>
              <w:jc w:val="right"/>
              <w:rPr>
                <w:rFonts w:asciiTheme="minorHAnsi" w:hAnsiTheme="minorHAnsi"/>
                <w:b/>
                <w:color w:val="000000" w:themeColor="text1"/>
                <w:sz w:val="20"/>
                <w:szCs w:val="20"/>
              </w:rPr>
            </w:pPr>
            <w:r w:rsidRPr="00D47E58">
              <w:rPr>
                <w:rFonts w:asciiTheme="minorHAnsi" w:hAnsiTheme="minorHAnsi"/>
                <w:b/>
                <w:color w:val="000000" w:themeColor="text1"/>
                <w:sz w:val="20"/>
                <w:szCs w:val="20"/>
              </w:rPr>
              <w:t>Male</w:t>
            </w:r>
          </w:p>
        </w:tc>
        <w:tc>
          <w:tcPr>
            <w:tcW w:w="449" w:type="pct"/>
            <w:tcBorders>
              <w:top w:val="nil"/>
              <w:left w:val="nil"/>
              <w:bottom w:val="nil"/>
              <w:right w:val="nil"/>
            </w:tcBorders>
          </w:tcPr>
          <w:p w14:paraId="6DF33953" w14:textId="77777777" w:rsidR="006F714E" w:rsidRPr="00D47E58" w:rsidRDefault="006F714E" w:rsidP="005F51F2">
            <w:pPr>
              <w:pStyle w:val="NormalIndented"/>
              <w:spacing w:before="60"/>
              <w:ind w:left="0"/>
              <w:jc w:val="right"/>
              <w:rPr>
                <w:rFonts w:asciiTheme="minorHAnsi" w:hAnsiTheme="minorHAnsi"/>
                <w:b/>
                <w:color w:val="000000" w:themeColor="text1"/>
                <w:sz w:val="20"/>
                <w:szCs w:val="20"/>
              </w:rPr>
            </w:pPr>
            <w:r w:rsidRPr="00D47E58">
              <w:rPr>
                <w:rFonts w:asciiTheme="minorHAnsi" w:hAnsiTheme="minorHAnsi"/>
                <w:b/>
                <w:color w:val="000000" w:themeColor="text1"/>
                <w:sz w:val="20"/>
                <w:szCs w:val="20"/>
              </w:rPr>
              <w:t>Female</w:t>
            </w:r>
          </w:p>
        </w:tc>
        <w:tc>
          <w:tcPr>
            <w:tcW w:w="671" w:type="pct"/>
            <w:tcBorders>
              <w:top w:val="nil"/>
              <w:left w:val="nil"/>
              <w:bottom w:val="nil"/>
              <w:right w:val="nil"/>
            </w:tcBorders>
          </w:tcPr>
          <w:p w14:paraId="26EB0909" w14:textId="77777777" w:rsidR="006F714E" w:rsidRPr="00D47E58" w:rsidRDefault="006F714E" w:rsidP="005F51F2">
            <w:pPr>
              <w:pStyle w:val="NormalIndented"/>
              <w:spacing w:before="60"/>
              <w:ind w:left="33"/>
              <w:jc w:val="right"/>
              <w:rPr>
                <w:rFonts w:asciiTheme="minorHAnsi" w:hAnsiTheme="minorHAnsi"/>
                <w:b/>
                <w:color w:val="000000" w:themeColor="text1"/>
                <w:sz w:val="20"/>
                <w:szCs w:val="20"/>
              </w:rPr>
            </w:pPr>
            <w:r w:rsidRPr="00D47E58">
              <w:rPr>
                <w:rFonts w:asciiTheme="minorHAnsi" w:hAnsiTheme="minorHAnsi"/>
                <w:b/>
                <w:color w:val="000000" w:themeColor="text1"/>
                <w:sz w:val="20"/>
                <w:szCs w:val="20"/>
              </w:rPr>
              <w:t>Total</w:t>
            </w:r>
          </w:p>
        </w:tc>
        <w:tc>
          <w:tcPr>
            <w:tcW w:w="352" w:type="pct"/>
            <w:tcBorders>
              <w:top w:val="nil"/>
              <w:left w:val="nil"/>
              <w:bottom w:val="nil"/>
              <w:right w:val="nil"/>
            </w:tcBorders>
          </w:tcPr>
          <w:p w14:paraId="21C656B1" w14:textId="77777777" w:rsidR="006F714E" w:rsidRPr="00D47E58" w:rsidRDefault="006F714E" w:rsidP="005F51F2">
            <w:pPr>
              <w:pStyle w:val="NormalIndented"/>
              <w:spacing w:before="60"/>
              <w:ind w:left="34"/>
              <w:jc w:val="right"/>
              <w:rPr>
                <w:rFonts w:asciiTheme="minorHAnsi" w:hAnsiTheme="minorHAnsi"/>
                <w:b/>
                <w:color w:val="000000" w:themeColor="text1"/>
                <w:sz w:val="20"/>
                <w:szCs w:val="20"/>
              </w:rPr>
            </w:pPr>
            <w:r w:rsidRPr="00D47E58">
              <w:rPr>
                <w:rFonts w:asciiTheme="minorHAnsi" w:hAnsiTheme="minorHAnsi"/>
                <w:b/>
                <w:color w:val="000000" w:themeColor="text1"/>
                <w:sz w:val="20"/>
                <w:szCs w:val="20"/>
              </w:rPr>
              <w:t>Male</w:t>
            </w:r>
          </w:p>
        </w:tc>
        <w:tc>
          <w:tcPr>
            <w:tcW w:w="449" w:type="pct"/>
            <w:tcBorders>
              <w:top w:val="nil"/>
              <w:left w:val="nil"/>
              <w:bottom w:val="nil"/>
              <w:right w:val="nil"/>
            </w:tcBorders>
          </w:tcPr>
          <w:p w14:paraId="50F89586" w14:textId="77777777" w:rsidR="006F714E" w:rsidRPr="00D47E58" w:rsidRDefault="006F714E" w:rsidP="005F51F2">
            <w:pPr>
              <w:pStyle w:val="NormalIndented"/>
              <w:spacing w:before="60"/>
              <w:ind w:left="34"/>
              <w:jc w:val="right"/>
              <w:rPr>
                <w:rFonts w:asciiTheme="minorHAnsi" w:hAnsiTheme="minorHAnsi"/>
                <w:b/>
                <w:color w:val="000000" w:themeColor="text1"/>
                <w:sz w:val="20"/>
                <w:szCs w:val="20"/>
              </w:rPr>
            </w:pPr>
            <w:r w:rsidRPr="00D47E58">
              <w:rPr>
                <w:rFonts w:asciiTheme="minorHAnsi" w:hAnsiTheme="minorHAnsi"/>
                <w:b/>
                <w:color w:val="000000" w:themeColor="text1"/>
                <w:sz w:val="20"/>
                <w:szCs w:val="20"/>
              </w:rPr>
              <w:t>Female</w:t>
            </w:r>
          </w:p>
        </w:tc>
      </w:tr>
      <w:tr w:rsidR="00D47E58" w:rsidRPr="00D47E58" w14:paraId="1DADE219" w14:textId="77777777" w:rsidTr="00D47E58">
        <w:tc>
          <w:tcPr>
            <w:tcW w:w="2205" w:type="pct"/>
            <w:tcBorders>
              <w:top w:val="nil"/>
              <w:left w:val="nil"/>
              <w:bottom w:val="nil"/>
              <w:right w:val="nil"/>
            </w:tcBorders>
          </w:tcPr>
          <w:p w14:paraId="1D03B9B7" w14:textId="77777777" w:rsidR="000F64E4" w:rsidRPr="00D47E58" w:rsidRDefault="000F64E4" w:rsidP="005F51F2">
            <w:pPr>
              <w:pStyle w:val="NormalIndented"/>
              <w:spacing w:before="60"/>
              <w:rPr>
                <w:rFonts w:asciiTheme="minorHAnsi" w:hAnsiTheme="minorHAnsi"/>
                <w:color w:val="000000" w:themeColor="text1"/>
                <w:sz w:val="20"/>
                <w:szCs w:val="20"/>
              </w:rPr>
            </w:pPr>
            <w:r w:rsidRPr="00D47E58">
              <w:rPr>
                <w:rFonts w:asciiTheme="minorHAnsi" w:hAnsiTheme="minorHAnsi"/>
                <w:color w:val="000000" w:themeColor="text1"/>
                <w:sz w:val="20"/>
                <w:szCs w:val="20"/>
              </w:rPr>
              <w:t>Australia Awards Scholarships</w:t>
            </w:r>
            <w:r w:rsidR="00D47E58" w:rsidRPr="00D47E58">
              <w:rPr>
                <w:rStyle w:val="FootnoteReference"/>
                <w:color w:val="000000" w:themeColor="text1"/>
              </w:rPr>
              <w:footnoteReference w:id="2"/>
            </w:r>
          </w:p>
        </w:tc>
        <w:tc>
          <w:tcPr>
            <w:tcW w:w="521" w:type="pct"/>
            <w:tcBorders>
              <w:top w:val="nil"/>
              <w:left w:val="nil"/>
              <w:bottom w:val="nil"/>
              <w:right w:val="nil"/>
            </w:tcBorders>
          </w:tcPr>
          <w:p w14:paraId="32F86B23" w14:textId="77777777" w:rsidR="000F64E4" w:rsidRPr="00D47E58" w:rsidRDefault="000F64E4" w:rsidP="005F51F2">
            <w:pPr>
              <w:spacing w:before="60"/>
              <w:jc w:val="right"/>
              <w:rPr>
                <w:rFonts w:asciiTheme="minorHAnsi" w:hAnsiTheme="minorHAnsi"/>
                <w:i/>
                <w:color w:val="000000" w:themeColor="text1"/>
                <w:sz w:val="20"/>
                <w:szCs w:val="20"/>
              </w:rPr>
            </w:pPr>
            <w:r w:rsidRPr="00D47E58">
              <w:rPr>
                <w:rFonts w:asciiTheme="minorHAnsi" w:hAnsiTheme="minorHAnsi"/>
                <w:i/>
                <w:color w:val="000000" w:themeColor="text1"/>
                <w:sz w:val="20"/>
                <w:szCs w:val="20"/>
              </w:rPr>
              <w:t>100</w:t>
            </w:r>
          </w:p>
        </w:tc>
        <w:tc>
          <w:tcPr>
            <w:tcW w:w="353" w:type="pct"/>
            <w:tcBorders>
              <w:top w:val="nil"/>
              <w:left w:val="nil"/>
              <w:bottom w:val="nil"/>
              <w:right w:val="nil"/>
            </w:tcBorders>
          </w:tcPr>
          <w:p w14:paraId="7F32E664" w14:textId="77777777" w:rsidR="000F64E4" w:rsidRPr="00D47E58" w:rsidRDefault="000F64E4" w:rsidP="005F51F2">
            <w:pPr>
              <w:spacing w:before="60"/>
              <w:jc w:val="right"/>
              <w:rPr>
                <w:rFonts w:asciiTheme="minorHAnsi" w:hAnsiTheme="minorHAnsi"/>
                <w:color w:val="000000" w:themeColor="text1"/>
                <w:sz w:val="20"/>
                <w:szCs w:val="20"/>
              </w:rPr>
            </w:pPr>
            <w:r w:rsidRPr="00D47E58">
              <w:rPr>
                <w:rFonts w:asciiTheme="minorHAnsi" w:hAnsiTheme="minorHAnsi"/>
                <w:color w:val="000000" w:themeColor="text1"/>
                <w:sz w:val="20"/>
                <w:szCs w:val="20"/>
              </w:rPr>
              <w:t>36</w:t>
            </w:r>
          </w:p>
        </w:tc>
        <w:tc>
          <w:tcPr>
            <w:tcW w:w="449" w:type="pct"/>
            <w:tcBorders>
              <w:top w:val="nil"/>
              <w:left w:val="nil"/>
              <w:bottom w:val="nil"/>
              <w:right w:val="nil"/>
            </w:tcBorders>
          </w:tcPr>
          <w:p w14:paraId="5EBD91DF" w14:textId="77777777" w:rsidR="000F64E4" w:rsidRPr="00D47E58" w:rsidRDefault="000F64E4" w:rsidP="005F51F2">
            <w:pPr>
              <w:spacing w:before="60"/>
              <w:jc w:val="right"/>
              <w:rPr>
                <w:rFonts w:asciiTheme="minorHAnsi" w:hAnsiTheme="minorHAnsi"/>
                <w:color w:val="000000" w:themeColor="text1"/>
                <w:sz w:val="20"/>
                <w:szCs w:val="20"/>
              </w:rPr>
            </w:pPr>
            <w:r w:rsidRPr="00D47E58">
              <w:rPr>
                <w:rFonts w:asciiTheme="minorHAnsi" w:hAnsiTheme="minorHAnsi"/>
                <w:color w:val="000000" w:themeColor="text1"/>
                <w:sz w:val="20"/>
                <w:szCs w:val="20"/>
              </w:rPr>
              <w:t>64</w:t>
            </w:r>
          </w:p>
        </w:tc>
        <w:tc>
          <w:tcPr>
            <w:tcW w:w="671" w:type="pct"/>
            <w:tcBorders>
              <w:top w:val="nil"/>
              <w:left w:val="nil"/>
              <w:bottom w:val="nil"/>
              <w:right w:val="nil"/>
            </w:tcBorders>
          </w:tcPr>
          <w:p w14:paraId="2992087B" w14:textId="77777777" w:rsidR="000F64E4" w:rsidRPr="00D47E58" w:rsidRDefault="000F64E4" w:rsidP="005F51F2">
            <w:pPr>
              <w:spacing w:before="60"/>
              <w:jc w:val="right"/>
              <w:rPr>
                <w:rFonts w:asciiTheme="minorHAnsi" w:hAnsiTheme="minorHAnsi"/>
                <w:color w:val="000000" w:themeColor="text1"/>
                <w:sz w:val="20"/>
                <w:szCs w:val="20"/>
              </w:rPr>
            </w:pPr>
            <w:r w:rsidRPr="00D47E58">
              <w:rPr>
                <w:rFonts w:asciiTheme="minorHAnsi" w:hAnsiTheme="minorHAnsi"/>
                <w:color w:val="000000" w:themeColor="text1"/>
                <w:sz w:val="20"/>
                <w:szCs w:val="20"/>
              </w:rPr>
              <w:t>230</w:t>
            </w:r>
          </w:p>
        </w:tc>
        <w:tc>
          <w:tcPr>
            <w:tcW w:w="352" w:type="pct"/>
            <w:tcBorders>
              <w:top w:val="nil"/>
              <w:left w:val="nil"/>
              <w:bottom w:val="nil"/>
              <w:right w:val="nil"/>
            </w:tcBorders>
          </w:tcPr>
          <w:p w14:paraId="625C22CF" w14:textId="77777777" w:rsidR="000F64E4" w:rsidRPr="00D47E58" w:rsidRDefault="000F64E4" w:rsidP="005F51F2">
            <w:pPr>
              <w:spacing w:before="60"/>
              <w:jc w:val="right"/>
              <w:rPr>
                <w:rFonts w:asciiTheme="minorHAnsi" w:hAnsiTheme="minorHAnsi"/>
                <w:color w:val="000000" w:themeColor="text1"/>
                <w:sz w:val="20"/>
                <w:szCs w:val="20"/>
              </w:rPr>
            </w:pPr>
            <w:r w:rsidRPr="00D47E58">
              <w:rPr>
                <w:rFonts w:asciiTheme="minorHAnsi" w:hAnsiTheme="minorHAnsi"/>
                <w:color w:val="000000" w:themeColor="text1"/>
                <w:sz w:val="20"/>
                <w:szCs w:val="20"/>
              </w:rPr>
              <w:t>98</w:t>
            </w:r>
          </w:p>
        </w:tc>
        <w:tc>
          <w:tcPr>
            <w:tcW w:w="449" w:type="pct"/>
            <w:tcBorders>
              <w:top w:val="nil"/>
              <w:left w:val="nil"/>
              <w:bottom w:val="nil"/>
              <w:right w:val="nil"/>
            </w:tcBorders>
          </w:tcPr>
          <w:p w14:paraId="03B04E06" w14:textId="77777777" w:rsidR="000F64E4" w:rsidRPr="00D47E58" w:rsidRDefault="000F64E4" w:rsidP="005F51F2">
            <w:pPr>
              <w:spacing w:before="60"/>
              <w:jc w:val="right"/>
              <w:rPr>
                <w:rFonts w:asciiTheme="minorHAnsi" w:hAnsiTheme="minorHAnsi"/>
                <w:color w:val="000000" w:themeColor="text1"/>
                <w:sz w:val="20"/>
                <w:szCs w:val="20"/>
              </w:rPr>
            </w:pPr>
            <w:r w:rsidRPr="00D47E58">
              <w:rPr>
                <w:rFonts w:asciiTheme="minorHAnsi" w:hAnsiTheme="minorHAnsi"/>
                <w:color w:val="000000" w:themeColor="text1"/>
                <w:sz w:val="20"/>
                <w:szCs w:val="20"/>
              </w:rPr>
              <w:t>132</w:t>
            </w:r>
          </w:p>
        </w:tc>
      </w:tr>
      <w:tr w:rsidR="00D47E58" w:rsidRPr="00D47E58" w14:paraId="4A5DC3AC" w14:textId="77777777" w:rsidTr="00D47E58">
        <w:tc>
          <w:tcPr>
            <w:tcW w:w="2205" w:type="pct"/>
            <w:tcBorders>
              <w:top w:val="nil"/>
              <w:left w:val="nil"/>
              <w:bottom w:val="nil"/>
              <w:right w:val="nil"/>
            </w:tcBorders>
          </w:tcPr>
          <w:p w14:paraId="32C7891D" w14:textId="77777777" w:rsidR="000F64E4" w:rsidRPr="00D47E58" w:rsidRDefault="00D47E58" w:rsidP="005F51F2">
            <w:pPr>
              <w:pStyle w:val="NormalIndented"/>
              <w:spacing w:before="60"/>
              <w:rPr>
                <w:rFonts w:asciiTheme="minorHAnsi" w:hAnsiTheme="minorHAnsi"/>
                <w:color w:val="000000" w:themeColor="text1"/>
                <w:sz w:val="20"/>
                <w:szCs w:val="20"/>
              </w:rPr>
            </w:pPr>
            <w:r w:rsidRPr="00D47E58">
              <w:rPr>
                <w:rFonts w:asciiTheme="minorHAnsi" w:hAnsiTheme="minorHAnsi"/>
                <w:color w:val="000000" w:themeColor="text1"/>
                <w:sz w:val="20"/>
                <w:szCs w:val="20"/>
              </w:rPr>
              <w:t>Australia Awards Fellowships</w:t>
            </w:r>
            <w:r w:rsidRPr="00D47E58">
              <w:rPr>
                <w:rStyle w:val="FootnoteReference"/>
                <w:color w:val="000000" w:themeColor="text1"/>
                <w:szCs w:val="16"/>
              </w:rPr>
              <w:footnoteReference w:id="3"/>
            </w:r>
          </w:p>
        </w:tc>
        <w:tc>
          <w:tcPr>
            <w:tcW w:w="521" w:type="pct"/>
            <w:tcBorders>
              <w:top w:val="nil"/>
              <w:left w:val="nil"/>
              <w:bottom w:val="nil"/>
              <w:right w:val="nil"/>
            </w:tcBorders>
          </w:tcPr>
          <w:p w14:paraId="2BE3E192" w14:textId="77777777" w:rsidR="000F64E4" w:rsidRPr="00D47E58" w:rsidRDefault="000F64E4" w:rsidP="005F51F2">
            <w:pPr>
              <w:spacing w:before="60"/>
              <w:jc w:val="right"/>
              <w:rPr>
                <w:rFonts w:asciiTheme="minorHAnsi" w:hAnsiTheme="minorHAnsi"/>
                <w:i/>
                <w:color w:val="000000" w:themeColor="text1"/>
                <w:sz w:val="20"/>
                <w:szCs w:val="20"/>
              </w:rPr>
            </w:pPr>
            <w:r w:rsidRPr="00D47E58">
              <w:rPr>
                <w:rFonts w:asciiTheme="minorHAnsi" w:hAnsiTheme="minorHAnsi"/>
                <w:i/>
                <w:color w:val="000000" w:themeColor="text1"/>
                <w:sz w:val="20"/>
                <w:szCs w:val="20"/>
              </w:rPr>
              <w:t>n/a</w:t>
            </w:r>
          </w:p>
        </w:tc>
        <w:tc>
          <w:tcPr>
            <w:tcW w:w="353" w:type="pct"/>
            <w:tcBorders>
              <w:top w:val="nil"/>
              <w:left w:val="nil"/>
              <w:bottom w:val="nil"/>
              <w:right w:val="nil"/>
            </w:tcBorders>
          </w:tcPr>
          <w:p w14:paraId="6051752E" w14:textId="77777777" w:rsidR="000F64E4" w:rsidRPr="00D47E58" w:rsidRDefault="000F64E4" w:rsidP="005F51F2">
            <w:pPr>
              <w:spacing w:before="60"/>
              <w:jc w:val="right"/>
              <w:rPr>
                <w:rFonts w:asciiTheme="minorHAnsi" w:hAnsiTheme="minorHAnsi"/>
                <w:color w:val="000000" w:themeColor="text1"/>
                <w:sz w:val="20"/>
                <w:szCs w:val="20"/>
              </w:rPr>
            </w:pPr>
            <w:r w:rsidRPr="00D47E58">
              <w:rPr>
                <w:rFonts w:asciiTheme="minorHAnsi" w:hAnsiTheme="minorHAnsi"/>
                <w:color w:val="000000" w:themeColor="text1"/>
                <w:sz w:val="20"/>
                <w:szCs w:val="20"/>
              </w:rPr>
              <w:t>n/a</w:t>
            </w:r>
          </w:p>
        </w:tc>
        <w:tc>
          <w:tcPr>
            <w:tcW w:w="449" w:type="pct"/>
            <w:tcBorders>
              <w:top w:val="nil"/>
              <w:left w:val="nil"/>
              <w:bottom w:val="nil"/>
              <w:right w:val="nil"/>
            </w:tcBorders>
          </w:tcPr>
          <w:p w14:paraId="30094911" w14:textId="77777777" w:rsidR="000F64E4" w:rsidRPr="00D47E58" w:rsidRDefault="000F64E4" w:rsidP="005F51F2">
            <w:pPr>
              <w:spacing w:before="60"/>
              <w:jc w:val="right"/>
              <w:rPr>
                <w:rFonts w:asciiTheme="minorHAnsi" w:hAnsiTheme="minorHAnsi"/>
                <w:color w:val="000000" w:themeColor="text1"/>
                <w:sz w:val="20"/>
                <w:szCs w:val="20"/>
              </w:rPr>
            </w:pPr>
            <w:r w:rsidRPr="00D47E58">
              <w:rPr>
                <w:rFonts w:asciiTheme="minorHAnsi" w:hAnsiTheme="minorHAnsi"/>
                <w:color w:val="000000" w:themeColor="text1"/>
                <w:sz w:val="20"/>
                <w:szCs w:val="20"/>
              </w:rPr>
              <w:t>n/a</w:t>
            </w:r>
          </w:p>
        </w:tc>
        <w:tc>
          <w:tcPr>
            <w:tcW w:w="671" w:type="pct"/>
            <w:tcBorders>
              <w:top w:val="nil"/>
              <w:left w:val="nil"/>
              <w:bottom w:val="nil"/>
              <w:right w:val="nil"/>
            </w:tcBorders>
          </w:tcPr>
          <w:p w14:paraId="6F44E578" w14:textId="77777777" w:rsidR="000F64E4" w:rsidRPr="00D47E58" w:rsidRDefault="000F64E4" w:rsidP="005F51F2">
            <w:pPr>
              <w:spacing w:before="60"/>
              <w:jc w:val="right"/>
              <w:rPr>
                <w:rFonts w:asciiTheme="minorHAnsi" w:hAnsiTheme="minorHAnsi"/>
                <w:color w:val="000000" w:themeColor="text1"/>
                <w:sz w:val="20"/>
                <w:szCs w:val="20"/>
              </w:rPr>
            </w:pPr>
            <w:r w:rsidRPr="00D47E58">
              <w:rPr>
                <w:rFonts w:asciiTheme="minorHAnsi" w:hAnsiTheme="minorHAnsi"/>
                <w:color w:val="000000" w:themeColor="text1"/>
                <w:sz w:val="20"/>
                <w:szCs w:val="20"/>
              </w:rPr>
              <w:t>n/a</w:t>
            </w:r>
          </w:p>
        </w:tc>
        <w:tc>
          <w:tcPr>
            <w:tcW w:w="352" w:type="pct"/>
            <w:tcBorders>
              <w:top w:val="nil"/>
              <w:left w:val="nil"/>
              <w:bottom w:val="nil"/>
              <w:right w:val="nil"/>
            </w:tcBorders>
          </w:tcPr>
          <w:p w14:paraId="412413B2" w14:textId="77777777" w:rsidR="000F64E4" w:rsidRPr="00D47E58" w:rsidRDefault="000F64E4" w:rsidP="005F51F2">
            <w:pPr>
              <w:spacing w:before="60"/>
              <w:jc w:val="right"/>
              <w:rPr>
                <w:rFonts w:asciiTheme="minorHAnsi" w:hAnsiTheme="minorHAnsi"/>
                <w:color w:val="000000" w:themeColor="text1"/>
                <w:sz w:val="20"/>
                <w:szCs w:val="20"/>
              </w:rPr>
            </w:pPr>
            <w:r w:rsidRPr="00D47E58">
              <w:rPr>
                <w:rFonts w:asciiTheme="minorHAnsi" w:hAnsiTheme="minorHAnsi"/>
                <w:color w:val="000000" w:themeColor="text1"/>
                <w:sz w:val="20"/>
                <w:szCs w:val="20"/>
              </w:rPr>
              <w:t>n/a</w:t>
            </w:r>
          </w:p>
        </w:tc>
        <w:tc>
          <w:tcPr>
            <w:tcW w:w="449" w:type="pct"/>
            <w:tcBorders>
              <w:top w:val="nil"/>
              <w:left w:val="nil"/>
              <w:bottom w:val="nil"/>
              <w:right w:val="nil"/>
            </w:tcBorders>
          </w:tcPr>
          <w:p w14:paraId="20146B1C" w14:textId="77777777" w:rsidR="000F64E4" w:rsidRPr="00D47E58" w:rsidRDefault="000F64E4" w:rsidP="005F51F2">
            <w:pPr>
              <w:spacing w:before="60"/>
              <w:jc w:val="right"/>
              <w:rPr>
                <w:rFonts w:asciiTheme="minorHAnsi" w:hAnsiTheme="minorHAnsi"/>
                <w:color w:val="000000" w:themeColor="text1"/>
                <w:sz w:val="20"/>
                <w:szCs w:val="20"/>
              </w:rPr>
            </w:pPr>
            <w:r w:rsidRPr="00D47E58">
              <w:rPr>
                <w:rFonts w:asciiTheme="minorHAnsi" w:hAnsiTheme="minorHAnsi"/>
                <w:color w:val="000000" w:themeColor="text1"/>
                <w:sz w:val="20"/>
                <w:szCs w:val="20"/>
              </w:rPr>
              <w:t>n/a</w:t>
            </w:r>
          </w:p>
        </w:tc>
      </w:tr>
      <w:tr w:rsidR="00D47E58" w:rsidRPr="00D47E58" w14:paraId="0BEDD574" w14:textId="77777777" w:rsidTr="00D47E58">
        <w:tc>
          <w:tcPr>
            <w:tcW w:w="2205" w:type="pct"/>
            <w:tcBorders>
              <w:top w:val="nil"/>
              <w:left w:val="nil"/>
              <w:bottom w:val="nil"/>
              <w:right w:val="nil"/>
            </w:tcBorders>
          </w:tcPr>
          <w:p w14:paraId="0A2887A9" w14:textId="77777777" w:rsidR="000F64E4" w:rsidRPr="00D47E58" w:rsidRDefault="000F64E4" w:rsidP="005F51F2">
            <w:pPr>
              <w:pStyle w:val="NormalIndented"/>
              <w:spacing w:before="60"/>
              <w:rPr>
                <w:rFonts w:asciiTheme="minorHAnsi" w:hAnsiTheme="minorHAnsi"/>
                <w:color w:val="000000" w:themeColor="text1"/>
                <w:sz w:val="20"/>
                <w:szCs w:val="20"/>
              </w:rPr>
            </w:pPr>
            <w:r w:rsidRPr="00D47E58">
              <w:rPr>
                <w:rFonts w:asciiTheme="minorHAnsi" w:hAnsiTheme="minorHAnsi"/>
                <w:color w:val="000000" w:themeColor="text1"/>
                <w:sz w:val="20"/>
                <w:szCs w:val="20"/>
              </w:rPr>
              <w:t>Australia Aw</w:t>
            </w:r>
            <w:r w:rsidR="00D47E58" w:rsidRPr="00D47E58">
              <w:rPr>
                <w:rFonts w:asciiTheme="minorHAnsi" w:hAnsiTheme="minorHAnsi"/>
                <w:color w:val="000000" w:themeColor="text1"/>
                <w:sz w:val="20"/>
                <w:szCs w:val="20"/>
              </w:rPr>
              <w:t>ards John Allwright Fellowships</w:t>
            </w:r>
            <w:r w:rsidR="00D47E58" w:rsidRPr="00D47E58">
              <w:rPr>
                <w:rStyle w:val="FootnoteReference"/>
                <w:color w:val="000000" w:themeColor="text1"/>
                <w:szCs w:val="16"/>
              </w:rPr>
              <w:footnoteReference w:id="4"/>
            </w:r>
          </w:p>
        </w:tc>
        <w:tc>
          <w:tcPr>
            <w:tcW w:w="521" w:type="pct"/>
            <w:tcBorders>
              <w:top w:val="nil"/>
              <w:left w:val="nil"/>
              <w:bottom w:val="nil"/>
              <w:right w:val="nil"/>
            </w:tcBorders>
          </w:tcPr>
          <w:p w14:paraId="4FE920A1" w14:textId="77777777" w:rsidR="000F64E4" w:rsidRPr="00D47E58" w:rsidRDefault="000F64E4" w:rsidP="005F51F2">
            <w:pPr>
              <w:spacing w:before="60"/>
              <w:jc w:val="right"/>
              <w:rPr>
                <w:rFonts w:asciiTheme="minorHAnsi" w:hAnsiTheme="minorHAnsi"/>
                <w:i/>
                <w:color w:val="000000" w:themeColor="text1"/>
                <w:sz w:val="20"/>
                <w:szCs w:val="20"/>
              </w:rPr>
            </w:pPr>
            <w:r w:rsidRPr="00D47E58">
              <w:rPr>
                <w:rFonts w:asciiTheme="minorHAnsi" w:hAnsiTheme="minorHAnsi"/>
                <w:i/>
                <w:color w:val="000000" w:themeColor="text1"/>
                <w:sz w:val="20"/>
                <w:szCs w:val="20"/>
              </w:rPr>
              <w:t>2</w:t>
            </w:r>
          </w:p>
        </w:tc>
        <w:tc>
          <w:tcPr>
            <w:tcW w:w="353" w:type="pct"/>
            <w:tcBorders>
              <w:top w:val="nil"/>
              <w:left w:val="nil"/>
              <w:bottom w:val="nil"/>
              <w:right w:val="nil"/>
            </w:tcBorders>
          </w:tcPr>
          <w:p w14:paraId="3D95B035" w14:textId="77777777" w:rsidR="000F64E4" w:rsidRPr="00D47E58" w:rsidRDefault="000F64E4" w:rsidP="005F51F2">
            <w:pPr>
              <w:spacing w:before="60"/>
              <w:jc w:val="right"/>
              <w:rPr>
                <w:rFonts w:asciiTheme="minorHAnsi" w:hAnsiTheme="minorHAnsi"/>
                <w:color w:val="000000" w:themeColor="text1"/>
                <w:sz w:val="20"/>
                <w:szCs w:val="20"/>
              </w:rPr>
            </w:pPr>
            <w:r w:rsidRPr="00D47E58">
              <w:rPr>
                <w:rFonts w:asciiTheme="minorHAnsi" w:hAnsiTheme="minorHAnsi"/>
                <w:color w:val="000000" w:themeColor="text1"/>
                <w:sz w:val="20"/>
                <w:szCs w:val="20"/>
              </w:rPr>
              <w:t>-</w:t>
            </w:r>
          </w:p>
        </w:tc>
        <w:tc>
          <w:tcPr>
            <w:tcW w:w="449" w:type="pct"/>
            <w:tcBorders>
              <w:top w:val="nil"/>
              <w:left w:val="nil"/>
              <w:bottom w:val="nil"/>
              <w:right w:val="nil"/>
            </w:tcBorders>
          </w:tcPr>
          <w:p w14:paraId="3295B46D" w14:textId="77777777" w:rsidR="000F64E4" w:rsidRPr="00D47E58" w:rsidRDefault="000F64E4" w:rsidP="005F51F2">
            <w:pPr>
              <w:spacing w:before="60"/>
              <w:jc w:val="right"/>
              <w:rPr>
                <w:rFonts w:asciiTheme="minorHAnsi" w:hAnsiTheme="minorHAnsi"/>
                <w:color w:val="000000" w:themeColor="text1"/>
                <w:sz w:val="20"/>
                <w:szCs w:val="20"/>
              </w:rPr>
            </w:pPr>
            <w:r w:rsidRPr="00D47E58">
              <w:rPr>
                <w:rFonts w:asciiTheme="minorHAnsi" w:hAnsiTheme="minorHAnsi"/>
                <w:color w:val="000000" w:themeColor="text1"/>
                <w:sz w:val="20"/>
                <w:szCs w:val="20"/>
              </w:rPr>
              <w:t>2</w:t>
            </w:r>
          </w:p>
        </w:tc>
        <w:tc>
          <w:tcPr>
            <w:tcW w:w="671" w:type="pct"/>
            <w:tcBorders>
              <w:top w:val="nil"/>
              <w:left w:val="nil"/>
              <w:bottom w:val="nil"/>
              <w:right w:val="nil"/>
            </w:tcBorders>
          </w:tcPr>
          <w:p w14:paraId="343784E7" w14:textId="77777777" w:rsidR="000F64E4" w:rsidRPr="00D47E58" w:rsidRDefault="000F64E4" w:rsidP="005F51F2">
            <w:pPr>
              <w:spacing w:before="60"/>
              <w:jc w:val="right"/>
              <w:rPr>
                <w:rFonts w:asciiTheme="minorHAnsi" w:hAnsiTheme="minorHAnsi"/>
                <w:color w:val="000000" w:themeColor="text1"/>
                <w:sz w:val="20"/>
                <w:szCs w:val="20"/>
              </w:rPr>
            </w:pPr>
            <w:r w:rsidRPr="00D47E58">
              <w:rPr>
                <w:rFonts w:asciiTheme="minorHAnsi" w:hAnsiTheme="minorHAnsi"/>
                <w:color w:val="000000" w:themeColor="text1"/>
                <w:sz w:val="20"/>
                <w:szCs w:val="20"/>
              </w:rPr>
              <w:t>3</w:t>
            </w:r>
          </w:p>
        </w:tc>
        <w:tc>
          <w:tcPr>
            <w:tcW w:w="352" w:type="pct"/>
            <w:tcBorders>
              <w:top w:val="nil"/>
              <w:left w:val="nil"/>
              <w:bottom w:val="nil"/>
              <w:right w:val="nil"/>
            </w:tcBorders>
          </w:tcPr>
          <w:p w14:paraId="50F25A73" w14:textId="77777777" w:rsidR="000F64E4" w:rsidRPr="00D47E58" w:rsidRDefault="000F64E4" w:rsidP="005F51F2">
            <w:pPr>
              <w:spacing w:before="60"/>
              <w:jc w:val="right"/>
              <w:rPr>
                <w:rFonts w:asciiTheme="minorHAnsi" w:hAnsiTheme="minorHAnsi"/>
                <w:color w:val="000000" w:themeColor="text1"/>
                <w:sz w:val="20"/>
                <w:szCs w:val="20"/>
              </w:rPr>
            </w:pPr>
            <w:r w:rsidRPr="00D47E58">
              <w:rPr>
                <w:rFonts w:asciiTheme="minorHAnsi" w:hAnsiTheme="minorHAnsi"/>
                <w:color w:val="000000" w:themeColor="text1"/>
                <w:sz w:val="20"/>
                <w:szCs w:val="20"/>
              </w:rPr>
              <w:t>3</w:t>
            </w:r>
          </w:p>
        </w:tc>
        <w:tc>
          <w:tcPr>
            <w:tcW w:w="449" w:type="pct"/>
            <w:tcBorders>
              <w:top w:val="nil"/>
              <w:left w:val="nil"/>
              <w:bottom w:val="nil"/>
              <w:right w:val="nil"/>
            </w:tcBorders>
          </w:tcPr>
          <w:p w14:paraId="7C84C105" w14:textId="77777777" w:rsidR="000F64E4" w:rsidRPr="00D47E58" w:rsidRDefault="000F64E4" w:rsidP="005F51F2">
            <w:pPr>
              <w:spacing w:before="60"/>
              <w:jc w:val="right"/>
              <w:rPr>
                <w:rFonts w:asciiTheme="minorHAnsi" w:hAnsiTheme="minorHAnsi"/>
                <w:color w:val="000000" w:themeColor="text1"/>
                <w:sz w:val="20"/>
                <w:szCs w:val="20"/>
              </w:rPr>
            </w:pPr>
            <w:r w:rsidRPr="00D47E58">
              <w:rPr>
                <w:rFonts w:asciiTheme="minorHAnsi" w:hAnsiTheme="minorHAnsi"/>
                <w:color w:val="000000" w:themeColor="text1"/>
                <w:sz w:val="20"/>
                <w:szCs w:val="20"/>
              </w:rPr>
              <w:t>-</w:t>
            </w:r>
          </w:p>
        </w:tc>
      </w:tr>
      <w:tr w:rsidR="00D47E58" w:rsidRPr="00D47E58" w14:paraId="0C54ACEA" w14:textId="77777777" w:rsidTr="00D47E58">
        <w:tc>
          <w:tcPr>
            <w:tcW w:w="2205" w:type="pct"/>
            <w:tcBorders>
              <w:top w:val="nil"/>
              <w:left w:val="nil"/>
              <w:bottom w:val="nil"/>
              <w:right w:val="nil"/>
            </w:tcBorders>
          </w:tcPr>
          <w:p w14:paraId="3E2287B3" w14:textId="77777777" w:rsidR="000F64E4" w:rsidRPr="00D47E58" w:rsidRDefault="000F64E4" w:rsidP="005F51F2">
            <w:pPr>
              <w:pStyle w:val="NormalIndented"/>
              <w:spacing w:before="60"/>
              <w:rPr>
                <w:rFonts w:asciiTheme="minorHAnsi" w:hAnsiTheme="minorHAnsi"/>
                <w:color w:val="000000" w:themeColor="text1"/>
                <w:sz w:val="20"/>
                <w:szCs w:val="20"/>
              </w:rPr>
            </w:pPr>
            <w:r w:rsidRPr="00D47E58">
              <w:rPr>
                <w:rFonts w:asciiTheme="minorHAnsi" w:hAnsiTheme="minorHAnsi"/>
                <w:color w:val="000000" w:themeColor="text1"/>
                <w:sz w:val="20"/>
                <w:szCs w:val="20"/>
              </w:rPr>
              <w:t>Australi</w:t>
            </w:r>
            <w:r w:rsidR="00D47E58" w:rsidRPr="00D47E58">
              <w:rPr>
                <w:rFonts w:asciiTheme="minorHAnsi" w:hAnsiTheme="minorHAnsi"/>
                <w:color w:val="000000" w:themeColor="text1"/>
                <w:sz w:val="20"/>
                <w:szCs w:val="20"/>
              </w:rPr>
              <w:t>a Awards Endeavour Scholarships</w:t>
            </w:r>
            <w:r w:rsidR="00D47E58" w:rsidRPr="00D47E58">
              <w:rPr>
                <w:rStyle w:val="FootnoteReference"/>
                <w:color w:val="000000" w:themeColor="text1"/>
                <w:szCs w:val="16"/>
              </w:rPr>
              <w:footnoteReference w:id="5"/>
            </w:r>
          </w:p>
        </w:tc>
        <w:tc>
          <w:tcPr>
            <w:tcW w:w="521" w:type="pct"/>
            <w:tcBorders>
              <w:top w:val="nil"/>
              <w:left w:val="nil"/>
              <w:bottom w:val="nil"/>
              <w:right w:val="nil"/>
            </w:tcBorders>
          </w:tcPr>
          <w:p w14:paraId="4DBCBF95" w14:textId="77777777" w:rsidR="000F64E4" w:rsidRPr="00D47E58" w:rsidRDefault="000F64E4" w:rsidP="005F51F2">
            <w:pPr>
              <w:spacing w:before="60"/>
              <w:jc w:val="right"/>
              <w:rPr>
                <w:rFonts w:asciiTheme="minorHAnsi" w:hAnsiTheme="minorHAnsi"/>
                <w:i/>
                <w:color w:val="000000" w:themeColor="text1"/>
                <w:sz w:val="20"/>
                <w:szCs w:val="20"/>
              </w:rPr>
            </w:pPr>
            <w:r w:rsidRPr="00D47E58">
              <w:rPr>
                <w:rFonts w:asciiTheme="minorHAnsi" w:hAnsiTheme="minorHAnsi"/>
                <w:i/>
                <w:color w:val="000000" w:themeColor="text1"/>
                <w:sz w:val="20"/>
                <w:szCs w:val="20"/>
              </w:rPr>
              <w:t>21</w:t>
            </w:r>
          </w:p>
        </w:tc>
        <w:tc>
          <w:tcPr>
            <w:tcW w:w="353" w:type="pct"/>
            <w:tcBorders>
              <w:top w:val="nil"/>
              <w:left w:val="nil"/>
              <w:bottom w:val="nil"/>
              <w:right w:val="nil"/>
            </w:tcBorders>
          </w:tcPr>
          <w:p w14:paraId="5D0EA400" w14:textId="77777777" w:rsidR="000F64E4" w:rsidRPr="00D47E58" w:rsidRDefault="000F64E4" w:rsidP="005F51F2">
            <w:pPr>
              <w:spacing w:before="60"/>
              <w:jc w:val="right"/>
              <w:rPr>
                <w:rFonts w:asciiTheme="minorHAnsi" w:hAnsiTheme="minorHAnsi"/>
                <w:color w:val="000000" w:themeColor="text1"/>
                <w:sz w:val="20"/>
                <w:szCs w:val="20"/>
              </w:rPr>
            </w:pPr>
            <w:r w:rsidRPr="00D47E58">
              <w:rPr>
                <w:rFonts w:asciiTheme="minorHAnsi" w:hAnsiTheme="minorHAnsi"/>
                <w:color w:val="000000" w:themeColor="text1"/>
                <w:sz w:val="20"/>
                <w:szCs w:val="20"/>
              </w:rPr>
              <w:t>9</w:t>
            </w:r>
          </w:p>
        </w:tc>
        <w:tc>
          <w:tcPr>
            <w:tcW w:w="449" w:type="pct"/>
            <w:tcBorders>
              <w:top w:val="nil"/>
              <w:left w:val="nil"/>
              <w:bottom w:val="nil"/>
              <w:right w:val="nil"/>
            </w:tcBorders>
          </w:tcPr>
          <w:p w14:paraId="15B66AEB" w14:textId="77777777" w:rsidR="000F64E4" w:rsidRPr="00D47E58" w:rsidRDefault="000F64E4" w:rsidP="005F51F2">
            <w:pPr>
              <w:spacing w:before="60"/>
              <w:jc w:val="right"/>
              <w:rPr>
                <w:rFonts w:asciiTheme="minorHAnsi" w:hAnsiTheme="minorHAnsi"/>
                <w:color w:val="000000" w:themeColor="text1"/>
                <w:sz w:val="20"/>
                <w:szCs w:val="20"/>
              </w:rPr>
            </w:pPr>
            <w:r w:rsidRPr="00D47E58">
              <w:rPr>
                <w:rFonts w:asciiTheme="minorHAnsi" w:hAnsiTheme="minorHAnsi"/>
                <w:color w:val="000000" w:themeColor="text1"/>
                <w:sz w:val="20"/>
                <w:szCs w:val="20"/>
              </w:rPr>
              <w:t>12</w:t>
            </w:r>
          </w:p>
        </w:tc>
        <w:tc>
          <w:tcPr>
            <w:tcW w:w="671" w:type="pct"/>
            <w:vMerge w:val="restart"/>
            <w:tcBorders>
              <w:top w:val="nil"/>
              <w:left w:val="nil"/>
              <w:right w:val="nil"/>
            </w:tcBorders>
          </w:tcPr>
          <w:p w14:paraId="123087D3" w14:textId="77777777" w:rsidR="000F64E4" w:rsidRPr="00D47E58" w:rsidRDefault="000F64E4" w:rsidP="005F51F2">
            <w:pPr>
              <w:spacing w:before="60"/>
              <w:jc w:val="right"/>
              <w:rPr>
                <w:rFonts w:asciiTheme="minorHAnsi" w:hAnsiTheme="minorHAnsi"/>
                <w:color w:val="000000" w:themeColor="text1"/>
                <w:sz w:val="20"/>
                <w:szCs w:val="20"/>
              </w:rPr>
            </w:pPr>
            <w:r w:rsidRPr="00D47E58">
              <w:rPr>
                <w:rFonts w:asciiTheme="minorHAnsi" w:hAnsiTheme="minorHAnsi"/>
                <w:color w:val="000000" w:themeColor="text1"/>
                <w:sz w:val="20"/>
                <w:szCs w:val="20"/>
              </w:rPr>
              <w:t>35</w:t>
            </w:r>
          </w:p>
        </w:tc>
        <w:tc>
          <w:tcPr>
            <w:tcW w:w="352" w:type="pct"/>
            <w:vMerge w:val="restart"/>
            <w:tcBorders>
              <w:top w:val="nil"/>
              <w:left w:val="nil"/>
              <w:right w:val="nil"/>
            </w:tcBorders>
          </w:tcPr>
          <w:p w14:paraId="6AD763F2" w14:textId="77777777" w:rsidR="000F64E4" w:rsidRPr="00D47E58" w:rsidRDefault="000F64E4" w:rsidP="005F51F2">
            <w:pPr>
              <w:spacing w:before="60"/>
              <w:jc w:val="right"/>
              <w:rPr>
                <w:rFonts w:asciiTheme="minorHAnsi" w:hAnsiTheme="minorHAnsi"/>
                <w:color w:val="000000" w:themeColor="text1"/>
                <w:sz w:val="20"/>
                <w:szCs w:val="20"/>
              </w:rPr>
            </w:pPr>
            <w:r w:rsidRPr="00D47E58">
              <w:rPr>
                <w:rFonts w:asciiTheme="minorHAnsi" w:hAnsiTheme="minorHAnsi"/>
                <w:color w:val="000000" w:themeColor="text1"/>
                <w:sz w:val="20"/>
                <w:szCs w:val="20"/>
              </w:rPr>
              <w:t>14</w:t>
            </w:r>
          </w:p>
        </w:tc>
        <w:tc>
          <w:tcPr>
            <w:tcW w:w="449" w:type="pct"/>
            <w:vMerge w:val="restart"/>
            <w:tcBorders>
              <w:top w:val="nil"/>
              <w:left w:val="nil"/>
              <w:right w:val="nil"/>
            </w:tcBorders>
          </w:tcPr>
          <w:p w14:paraId="642220E4" w14:textId="77777777" w:rsidR="000F64E4" w:rsidRPr="00D47E58" w:rsidRDefault="000F64E4" w:rsidP="005F51F2">
            <w:pPr>
              <w:spacing w:before="60"/>
              <w:jc w:val="right"/>
              <w:rPr>
                <w:rFonts w:asciiTheme="minorHAnsi" w:hAnsiTheme="minorHAnsi"/>
                <w:color w:val="000000" w:themeColor="text1"/>
                <w:sz w:val="20"/>
                <w:szCs w:val="20"/>
              </w:rPr>
            </w:pPr>
            <w:r w:rsidRPr="00D47E58">
              <w:rPr>
                <w:rFonts w:asciiTheme="minorHAnsi" w:hAnsiTheme="minorHAnsi"/>
                <w:color w:val="000000" w:themeColor="text1"/>
                <w:sz w:val="20"/>
                <w:szCs w:val="20"/>
              </w:rPr>
              <w:t>21</w:t>
            </w:r>
          </w:p>
        </w:tc>
      </w:tr>
      <w:tr w:rsidR="00D47E58" w:rsidRPr="00D47E58" w14:paraId="069459BB" w14:textId="77777777" w:rsidTr="00D47E58">
        <w:tc>
          <w:tcPr>
            <w:tcW w:w="2205" w:type="pct"/>
            <w:tcBorders>
              <w:top w:val="nil"/>
              <w:left w:val="nil"/>
              <w:bottom w:val="nil"/>
              <w:right w:val="nil"/>
            </w:tcBorders>
          </w:tcPr>
          <w:p w14:paraId="277A3792" w14:textId="77777777" w:rsidR="000F64E4" w:rsidRPr="00D47E58" w:rsidRDefault="000F64E4" w:rsidP="005F51F2">
            <w:pPr>
              <w:pStyle w:val="NormalIndented"/>
              <w:spacing w:before="60"/>
              <w:rPr>
                <w:rFonts w:asciiTheme="minorHAnsi" w:hAnsiTheme="minorHAnsi"/>
                <w:color w:val="000000" w:themeColor="text1"/>
                <w:sz w:val="20"/>
                <w:szCs w:val="20"/>
              </w:rPr>
            </w:pPr>
            <w:r w:rsidRPr="00D47E58">
              <w:rPr>
                <w:rFonts w:asciiTheme="minorHAnsi" w:hAnsiTheme="minorHAnsi"/>
                <w:color w:val="000000" w:themeColor="text1"/>
                <w:sz w:val="20"/>
                <w:szCs w:val="20"/>
              </w:rPr>
              <w:t>Austral</w:t>
            </w:r>
            <w:r w:rsidR="00D47E58" w:rsidRPr="00D47E58">
              <w:rPr>
                <w:rFonts w:asciiTheme="minorHAnsi" w:hAnsiTheme="minorHAnsi"/>
                <w:color w:val="000000" w:themeColor="text1"/>
                <w:sz w:val="20"/>
                <w:szCs w:val="20"/>
              </w:rPr>
              <w:t>ia Awards Endeavour Fellowships</w:t>
            </w:r>
            <w:r w:rsidR="00D47E58" w:rsidRPr="00D47E58">
              <w:rPr>
                <w:rStyle w:val="FootnoteReference"/>
                <w:color w:val="000000" w:themeColor="text1"/>
                <w:szCs w:val="16"/>
              </w:rPr>
              <w:footnoteReference w:id="6"/>
            </w:r>
          </w:p>
        </w:tc>
        <w:tc>
          <w:tcPr>
            <w:tcW w:w="521" w:type="pct"/>
            <w:tcBorders>
              <w:top w:val="nil"/>
              <w:left w:val="nil"/>
              <w:bottom w:val="nil"/>
              <w:right w:val="nil"/>
            </w:tcBorders>
          </w:tcPr>
          <w:p w14:paraId="16B2961D" w14:textId="77777777" w:rsidR="000F64E4" w:rsidRPr="00D47E58" w:rsidRDefault="000F64E4" w:rsidP="005F51F2">
            <w:pPr>
              <w:spacing w:before="60"/>
              <w:jc w:val="right"/>
              <w:rPr>
                <w:rFonts w:asciiTheme="minorHAnsi" w:hAnsiTheme="minorHAnsi"/>
                <w:i/>
                <w:color w:val="000000" w:themeColor="text1"/>
                <w:sz w:val="20"/>
                <w:szCs w:val="20"/>
              </w:rPr>
            </w:pPr>
            <w:r w:rsidRPr="00D47E58">
              <w:rPr>
                <w:rFonts w:asciiTheme="minorHAnsi" w:hAnsiTheme="minorHAnsi"/>
                <w:i/>
                <w:color w:val="000000" w:themeColor="text1"/>
                <w:sz w:val="20"/>
                <w:szCs w:val="20"/>
              </w:rPr>
              <w:t>18</w:t>
            </w:r>
          </w:p>
        </w:tc>
        <w:tc>
          <w:tcPr>
            <w:tcW w:w="353" w:type="pct"/>
            <w:tcBorders>
              <w:top w:val="nil"/>
              <w:left w:val="nil"/>
              <w:bottom w:val="nil"/>
              <w:right w:val="nil"/>
            </w:tcBorders>
          </w:tcPr>
          <w:p w14:paraId="5C35813E" w14:textId="77777777" w:rsidR="000F64E4" w:rsidRPr="00D47E58" w:rsidRDefault="000F64E4" w:rsidP="005F51F2">
            <w:pPr>
              <w:spacing w:before="60"/>
              <w:jc w:val="right"/>
              <w:rPr>
                <w:rFonts w:asciiTheme="minorHAnsi" w:hAnsiTheme="minorHAnsi"/>
                <w:color w:val="000000" w:themeColor="text1"/>
                <w:sz w:val="20"/>
                <w:szCs w:val="20"/>
              </w:rPr>
            </w:pPr>
            <w:r w:rsidRPr="00D47E58">
              <w:rPr>
                <w:rFonts w:asciiTheme="minorHAnsi" w:hAnsiTheme="minorHAnsi"/>
                <w:color w:val="000000" w:themeColor="text1"/>
                <w:sz w:val="20"/>
                <w:szCs w:val="20"/>
              </w:rPr>
              <w:t>9</w:t>
            </w:r>
          </w:p>
        </w:tc>
        <w:tc>
          <w:tcPr>
            <w:tcW w:w="449" w:type="pct"/>
            <w:tcBorders>
              <w:top w:val="nil"/>
              <w:left w:val="nil"/>
              <w:bottom w:val="nil"/>
              <w:right w:val="nil"/>
            </w:tcBorders>
          </w:tcPr>
          <w:p w14:paraId="0BAC15E5" w14:textId="77777777" w:rsidR="000F64E4" w:rsidRPr="00D47E58" w:rsidRDefault="000F64E4" w:rsidP="005F51F2">
            <w:pPr>
              <w:spacing w:before="60"/>
              <w:jc w:val="right"/>
              <w:rPr>
                <w:rFonts w:asciiTheme="minorHAnsi" w:hAnsiTheme="minorHAnsi"/>
                <w:color w:val="000000" w:themeColor="text1"/>
                <w:sz w:val="20"/>
                <w:szCs w:val="20"/>
              </w:rPr>
            </w:pPr>
            <w:r w:rsidRPr="00D47E58">
              <w:rPr>
                <w:rFonts w:asciiTheme="minorHAnsi" w:hAnsiTheme="minorHAnsi"/>
                <w:color w:val="000000" w:themeColor="text1"/>
                <w:sz w:val="20"/>
                <w:szCs w:val="20"/>
              </w:rPr>
              <w:t>9</w:t>
            </w:r>
          </w:p>
        </w:tc>
        <w:tc>
          <w:tcPr>
            <w:tcW w:w="671" w:type="pct"/>
            <w:vMerge/>
            <w:tcBorders>
              <w:left w:val="nil"/>
              <w:bottom w:val="nil"/>
              <w:right w:val="nil"/>
            </w:tcBorders>
          </w:tcPr>
          <w:p w14:paraId="63D0BB05" w14:textId="77777777" w:rsidR="000F64E4" w:rsidRPr="00D47E58" w:rsidRDefault="000F64E4" w:rsidP="005F51F2">
            <w:pPr>
              <w:spacing w:before="60"/>
              <w:jc w:val="right"/>
              <w:rPr>
                <w:rFonts w:asciiTheme="minorHAnsi" w:hAnsiTheme="minorHAnsi"/>
                <w:color w:val="000000" w:themeColor="text1"/>
                <w:sz w:val="20"/>
                <w:szCs w:val="20"/>
              </w:rPr>
            </w:pPr>
          </w:p>
        </w:tc>
        <w:tc>
          <w:tcPr>
            <w:tcW w:w="352" w:type="pct"/>
            <w:vMerge/>
            <w:tcBorders>
              <w:left w:val="nil"/>
              <w:bottom w:val="nil"/>
              <w:right w:val="nil"/>
            </w:tcBorders>
          </w:tcPr>
          <w:p w14:paraId="59A39DEF" w14:textId="77777777" w:rsidR="000F64E4" w:rsidRPr="00D47E58" w:rsidRDefault="000F64E4" w:rsidP="005F51F2">
            <w:pPr>
              <w:spacing w:before="60"/>
              <w:jc w:val="right"/>
              <w:rPr>
                <w:rFonts w:asciiTheme="minorHAnsi" w:hAnsiTheme="minorHAnsi"/>
                <w:color w:val="000000" w:themeColor="text1"/>
                <w:sz w:val="20"/>
                <w:szCs w:val="20"/>
              </w:rPr>
            </w:pPr>
          </w:p>
        </w:tc>
        <w:tc>
          <w:tcPr>
            <w:tcW w:w="449" w:type="pct"/>
            <w:vMerge/>
            <w:tcBorders>
              <w:left w:val="nil"/>
              <w:bottom w:val="nil"/>
              <w:right w:val="nil"/>
            </w:tcBorders>
          </w:tcPr>
          <w:p w14:paraId="74EEC1F9" w14:textId="77777777" w:rsidR="000F64E4" w:rsidRPr="00D47E58" w:rsidRDefault="000F64E4" w:rsidP="005F51F2">
            <w:pPr>
              <w:spacing w:before="60"/>
              <w:jc w:val="right"/>
              <w:rPr>
                <w:rFonts w:asciiTheme="minorHAnsi" w:hAnsiTheme="minorHAnsi"/>
                <w:color w:val="000000" w:themeColor="text1"/>
                <w:sz w:val="20"/>
                <w:szCs w:val="20"/>
              </w:rPr>
            </w:pPr>
          </w:p>
        </w:tc>
      </w:tr>
      <w:tr w:rsidR="00D47E58" w:rsidRPr="00D47E58" w14:paraId="5F343A7C" w14:textId="77777777" w:rsidTr="00D47E58">
        <w:tc>
          <w:tcPr>
            <w:tcW w:w="2205" w:type="pct"/>
            <w:tcBorders>
              <w:top w:val="nil"/>
              <w:left w:val="nil"/>
              <w:bottom w:val="single" w:sz="12" w:space="0" w:color="auto"/>
              <w:right w:val="nil"/>
            </w:tcBorders>
          </w:tcPr>
          <w:p w14:paraId="0443208C" w14:textId="77777777" w:rsidR="000F64E4" w:rsidRPr="00D47E58" w:rsidRDefault="00D47E58" w:rsidP="005F51F2">
            <w:pPr>
              <w:pStyle w:val="NormalIndented"/>
              <w:spacing w:before="60"/>
              <w:rPr>
                <w:rFonts w:asciiTheme="minorHAnsi" w:hAnsiTheme="minorHAnsi"/>
                <w:i/>
                <w:color w:val="000000" w:themeColor="text1"/>
                <w:sz w:val="20"/>
                <w:szCs w:val="20"/>
              </w:rPr>
            </w:pPr>
            <w:r w:rsidRPr="00D47E58">
              <w:rPr>
                <w:rFonts w:asciiTheme="minorHAnsi" w:hAnsiTheme="minorHAnsi"/>
                <w:i/>
                <w:color w:val="000000" w:themeColor="text1"/>
                <w:sz w:val="20"/>
                <w:szCs w:val="20"/>
              </w:rPr>
              <w:t>Total</w:t>
            </w:r>
          </w:p>
        </w:tc>
        <w:tc>
          <w:tcPr>
            <w:tcW w:w="521" w:type="pct"/>
            <w:tcBorders>
              <w:top w:val="nil"/>
              <w:left w:val="nil"/>
              <w:bottom w:val="single" w:sz="12" w:space="0" w:color="auto"/>
              <w:right w:val="nil"/>
            </w:tcBorders>
            <w:vAlign w:val="center"/>
          </w:tcPr>
          <w:p w14:paraId="1E444486" w14:textId="77777777" w:rsidR="000F64E4" w:rsidRPr="00D47E58" w:rsidRDefault="000F64E4" w:rsidP="005F51F2">
            <w:pPr>
              <w:spacing w:before="60"/>
              <w:jc w:val="right"/>
              <w:rPr>
                <w:rFonts w:asciiTheme="minorHAnsi" w:hAnsiTheme="minorHAnsi"/>
                <w:i/>
                <w:color w:val="000000" w:themeColor="text1"/>
                <w:sz w:val="20"/>
                <w:szCs w:val="20"/>
              </w:rPr>
            </w:pPr>
            <w:r w:rsidRPr="00D47E58">
              <w:rPr>
                <w:rFonts w:asciiTheme="minorHAnsi" w:hAnsiTheme="minorHAnsi"/>
                <w:i/>
                <w:color w:val="000000" w:themeColor="text1"/>
                <w:sz w:val="20"/>
                <w:szCs w:val="20"/>
              </w:rPr>
              <w:t>141</w:t>
            </w:r>
          </w:p>
        </w:tc>
        <w:tc>
          <w:tcPr>
            <w:tcW w:w="353" w:type="pct"/>
            <w:tcBorders>
              <w:top w:val="nil"/>
              <w:left w:val="nil"/>
              <w:bottom w:val="single" w:sz="12" w:space="0" w:color="auto"/>
              <w:right w:val="nil"/>
            </w:tcBorders>
            <w:vAlign w:val="center"/>
          </w:tcPr>
          <w:p w14:paraId="3C057BDB" w14:textId="77777777" w:rsidR="000F64E4" w:rsidRPr="00D47E58" w:rsidRDefault="000F64E4" w:rsidP="005F51F2">
            <w:pPr>
              <w:spacing w:before="60"/>
              <w:jc w:val="right"/>
              <w:rPr>
                <w:rFonts w:asciiTheme="minorHAnsi" w:hAnsiTheme="minorHAnsi"/>
                <w:i/>
                <w:color w:val="000000" w:themeColor="text1"/>
                <w:sz w:val="20"/>
                <w:szCs w:val="20"/>
              </w:rPr>
            </w:pPr>
            <w:r w:rsidRPr="00D47E58">
              <w:rPr>
                <w:rFonts w:asciiTheme="minorHAnsi" w:hAnsiTheme="minorHAnsi"/>
                <w:i/>
                <w:color w:val="000000" w:themeColor="text1"/>
                <w:sz w:val="20"/>
                <w:szCs w:val="20"/>
              </w:rPr>
              <w:t>54</w:t>
            </w:r>
          </w:p>
        </w:tc>
        <w:tc>
          <w:tcPr>
            <w:tcW w:w="449" w:type="pct"/>
            <w:tcBorders>
              <w:top w:val="nil"/>
              <w:left w:val="nil"/>
              <w:bottom w:val="single" w:sz="12" w:space="0" w:color="auto"/>
              <w:right w:val="nil"/>
            </w:tcBorders>
            <w:vAlign w:val="center"/>
          </w:tcPr>
          <w:p w14:paraId="396D5CB9" w14:textId="77777777" w:rsidR="000F64E4" w:rsidRPr="00D47E58" w:rsidRDefault="000F64E4" w:rsidP="005F51F2">
            <w:pPr>
              <w:spacing w:before="60"/>
              <w:jc w:val="right"/>
              <w:rPr>
                <w:rFonts w:asciiTheme="minorHAnsi" w:hAnsiTheme="minorHAnsi"/>
                <w:i/>
                <w:color w:val="000000" w:themeColor="text1"/>
                <w:sz w:val="20"/>
                <w:szCs w:val="20"/>
              </w:rPr>
            </w:pPr>
            <w:r w:rsidRPr="00D47E58">
              <w:rPr>
                <w:rFonts w:asciiTheme="minorHAnsi" w:hAnsiTheme="minorHAnsi"/>
                <w:i/>
                <w:color w:val="000000" w:themeColor="text1"/>
                <w:sz w:val="20"/>
                <w:szCs w:val="20"/>
              </w:rPr>
              <w:t>87</w:t>
            </w:r>
          </w:p>
        </w:tc>
        <w:tc>
          <w:tcPr>
            <w:tcW w:w="671" w:type="pct"/>
            <w:tcBorders>
              <w:top w:val="nil"/>
              <w:left w:val="nil"/>
              <w:bottom w:val="single" w:sz="12" w:space="0" w:color="auto"/>
              <w:right w:val="nil"/>
            </w:tcBorders>
            <w:vAlign w:val="center"/>
          </w:tcPr>
          <w:p w14:paraId="338AE8B8" w14:textId="77777777" w:rsidR="000F64E4" w:rsidRPr="00D47E58" w:rsidRDefault="000F64E4" w:rsidP="005F51F2">
            <w:pPr>
              <w:spacing w:before="60"/>
              <w:jc w:val="right"/>
              <w:rPr>
                <w:rFonts w:asciiTheme="minorHAnsi" w:hAnsiTheme="minorHAnsi"/>
                <w:i/>
                <w:color w:val="000000" w:themeColor="text1"/>
                <w:sz w:val="20"/>
                <w:szCs w:val="20"/>
              </w:rPr>
            </w:pPr>
            <w:r w:rsidRPr="00D47E58">
              <w:rPr>
                <w:rFonts w:asciiTheme="minorHAnsi" w:hAnsiTheme="minorHAnsi"/>
                <w:i/>
                <w:color w:val="000000" w:themeColor="text1"/>
                <w:sz w:val="20"/>
                <w:szCs w:val="20"/>
              </w:rPr>
              <w:t>268</w:t>
            </w:r>
          </w:p>
        </w:tc>
        <w:tc>
          <w:tcPr>
            <w:tcW w:w="352" w:type="pct"/>
            <w:tcBorders>
              <w:top w:val="nil"/>
              <w:left w:val="nil"/>
              <w:bottom w:val="single" w:sz="12" w:space="0" w:color="auto"/>
              <w:right w:val="nil"/>
            </w:tcBorders>
            <w:vAlign w:val="center"/>
          </w:tcPr>
          <w:p w14:paraId="730EA791" w14:textId="77777777" w:rsidR="000F64E4" w:rsidRPr="00D47E58" w:rsidRDefault="000F64E4" w:rsidP="005F51F2">
            <w:pPr>
              <w:spacing w:before="60"/>
              <w:jc w:val="right"/>
              <w:rPr>
                <w:rFonts w:asciiTheme="minorHAnsi" w:hAnsiTheme="minorHAnsi"/>
                <w:i/>
                <w:color w:val="000000" w:themeColor="text1"/>
                <w:sz w:val="20"/>
                <w:szCs w:val="20"/>
              </w:rPr>
            </w:pPr>
            <w:r w:rsidRPr="00D47E58">
              <w:rPr>
                <w:rFonts w:asciiTheme="minorHAnsi" w:hAnsiTheme="minorHAnsi"/>
                <w:i/>
                <w:color w:val="000000" w:themeColor="text1"/>
                <w:sz w:val="20"/>
                <w:szCs w:val="20"/>
              </w:rPr>
              <w:t>115</w:t>
            </w:r>
          </w:p>
        </w:tc>
        <w:tc>
          <w:tcPr>
            <w:tcW w:w="449" w:type="pct"/>
            <w:tcBorders>
              <w:top w:val="nil"/>
              <w:left w:val="nil"/>
              <w:bottom w:val="single" w:sz="12" w:space="0" w:color="auto"/>
              <w:right w:val="nil"/>
            </w:tcBorders>
            <w:vAlign w:val="center"/>
          </w:tcPr>
          <w:p w14:paraId="143F65E2" w14:textId="77777777" w:rsidR="000F64E4" w:rsidRPr="00D47E58" w:rsidRDefault="000F64E4" w:rsidP="005F51F2">
            <w:pPr>
              <w:spacing w:before="60"/>
              <w:jc w:val="right"/>
              <w:rPr>
                <w:rFonts w:asciiTheme="minorHAnsi" w:hAnsiTheme="minorHAnsi"/>
                <w:i/>
                <w:color w:val="000000" w:themeColor="text1"/>
                <w:sz w:val="20"/>
                <w:szCs w:val="20"/>
              </w:rPr>
            </w:pPr>
            <w:r w:rsidRPr="00D47E58">
              <w:rPr>
                <w:rFonts w:asciiTheme="minorHAnsi" w:hAnsiTheme="minorHAnsi"/>
                <w:i/>
                <w:color w:val="000000" w:themeColor="text1"/>
                <w:sz w:val="20"/>
                <w:szCs w:val="20"/>
              </w:rPr>
              <w:t>153</w:t>
            </w:r>
          </w:p>
        </w:tc>
      </w:tr>
    </w:tbl>
    <w:p w14:paraId="71B48767" w14:textId="77777777" w:rsidR="00D47E58" w:rsidRDefault="00D47E58" w:rsidP="00D47E58">
      <w:pPr>
        <w:pStyle w:val="BodyText"/>
      </w:pPr>
    </w:p>
    <w:p w14:paraId="35BB6AE3" w14:textId="77777777" w:rsidR="0036539E" w:rsidRPr="0036539E" w:rsidRDefault="0036539E" w:rsidP="00D47E58">
      <w:pPr>
        <w:pStyle w:val="BodyText"/>
      </w:pPr>
      <w:r w:rsidRPr="0036539E">
        <w:t xml:space="preserve">Women continued to account over 60 per cent of new awardees in 2015. Findings of our study "Strategies for promoting leadership pathways for female Australia Awards alumni" gained full support from alumni in mid-2015. The findings are informing the Women in Leadership investment being designed under VAHRDP. </w:t>
      </w:r>
    </w:p>
    <w:p w14:paraId="720052AA" w14:textId="77777777" w:rsidR="0036539E" w:rsidRPr="0036539E" w:rsidRDefault="0036539E" w:rsidP="00D47E58">
      <w:pPr>
        <w:pStyle w:val="BodyText"/>
      </w:pPr>
      <w:r w:rsidRPr="0036539E">
        <w:lastRenderedPageBreak/>
        <w:t>Improving the quality of Vietnam’s human resources is also supported through global programs:</w:t>
      </w:r>
    </w:p>
    <w:p w14:paraId="1170398C" w14:textId="77777777" w:rsidR="0036539E" w:rsidRPr="00A564FD" w:rsidRDefault="0036539E" w:rsidP="0036539E">
      <w:pPr>
        <w:pStyle w:val="ListParagraph"/>
        <w:numPr>
          <w:ilvl w:val="0"/>
          <w:numId w:val="36"/>
        </w:numPr>
        <w:spacing w:after="160" w:line="280" w:lineRule="exact"/>
        <w:rPr>
          <w:rFonts w:ascii="Franklin Gothic Book" w:hAnsi="Franklin Gothic Book" w:cs="FranklinGothic-Book"/>
          <w:sz w:val="21"/>
        </w:rPr>
      </w:pPr>
      <w:r w:rsidRPr="00A26D95">
        <w:rPr>
          <w:rFonts w:ascii="Franklin Gothic Book" w:hAnsi="Franklin Gothic Book" w:cs="FranklinGothic-Book"/>
          <w:b/>
          <w:sz w:val="21"/>
        </w:rPr>
        <w:t>Australian Volunteers for International Development (AVID) program</w:t>
      </w:r>
      <w:r>
        <w:rPr>
          <w:rFonts w:ascii="Franklin Gothic Book" w:hAnsi="Franklin Gothic Book" w:cs="FranklinGothic-Book"/>
          <w:sz w:val="21"/>
        </w:rPr>
        <w:t xml:space="preserve">: </w:t>
      </w:r>
      <w:r w:rsidRPr="00A564FD">
        <w:rPr>
          <w:rFonts w:ascii="Franklin Gothic Book" w:hAnsi="Franklin Gothic Book" w:cs="FranklinGothic-Book"/>
          <w:sz w:val="21"/>
        </w:rPr>
        <w:t xml:space="preserve">27 new AVID participants (including 19 women) </w:t>
      </w:r>
      <w:r>
        <w:rPr>
          <w:rFonts w:ascii="Franklin Gothic Book" w:hAnsi="Franklin Gothic Book" w:cs="FranklinGothic-Book"/>
          <w:sz w:val="21"/>
        </w:rPr>
        <w:t xml:space="preserve">were placed </w:t>
      </w:r>
      <w:r w:rsidRPr="00A564FD">
        <w:rPr>
          <w:rFonts w:ascii="Franklin Gothic Book" w:hAnsi="Franklin Gothic Book" w:cs="FranklinGothic-Book"/>
          <w:sz w:val="21"/>
        </w:rPr>
        <w:t xml:space="preserve">in Vietnam in 2015-16 to build capacity of host organisations in high priority </w:t>
      </w:r>
      <w:r>
        <w:rPr>
          <w:rFonts w:ascii="Franklin Gothic Book" w:hAnsi="Franklin Gothic Book" w:cs="FranklinGothic-Book"/>
          <w:sz w:val="21"/>
        </w:rPr>
        <w:t xml:space="preserve">sectors of both </w:t>
      </w:r>
      <w:r w:rsidRPr="00A564FD">
        <w:rPr>
          <w:rFonts w:ascii="Franklin Gothic Book" w:hAnsi="Franklin Gothic Book" w:cs="FranklinGothic-Book"/>
          <w:sz w:val="21"/>
        </w:rPr>
        <w:t>governments and promote positive people-to-people links.</w:t>
      </w:r>
      <w:r w:rsidR="00F415A3">
        <w:rPr>
          <w:rFonts w:ascii="Franklin Gothic Book" w:hAnsi="Franklin Gothic Book" w:cs="FranklinGothic-Book"/>
          <w:sz w:val="21"/>
        </w:rPr>
        <w:t xml:space="preserve"> Volunteers have been placed in organisations supporting priority areas of strategic reform for the Australian Government, such as alumni engagement.</w:t>
      </w:r>
    </w:p>
    <w:p w14:paraId="195C7805" w14:textId="77777777" w:rsidR="0036539E" w:rsidRPr="00241EC9" w:rsidRDefault="0036539E" w:rsidP="0036539E">
      <w:pPr>
        <w:pStyle w:val="BodyText"/>
        <w:numPr>
          <w:ilvl w:val="0"/>
          <w:numId w:val="36"/>
        </w:numPr>
        <w:rPr>
          <w:rFonts w:cs="FranklinGothic-Book"/>
        </w:rPr>
      </w:pPr>
      <w:r w:rsidRPr="00A26D95">
        <w:rPr>
          <w:rFonts w:cs="FranklinGothic-Book"/>
          <w:b/>
        </w:rPr>
        <w:t>Government Partnerships for Development (GPFD)</w:t>
      </w:r>
      <w:r w:rsidR="0028644D">
        <w:rPr>
          <w:rFonts w:cs="FranklinGothic-Book"/>
        </w:rPr>
        <w:t xml:space="preserve">: </w:t>
      </w:r>
      <w:r w:rsidRPr="00241EC9">
        <w:rPr>
          <w:rFonts w:cs="FranklinGothic-Book"/>
        </w:rPr>
        <w:t xml:space="preserve">managed by the Department of Education and Training to </w:t>
      </w:r>
      <w:r w:rsidR="004E534F">
        <w:rPr>
          <w:rFonts w:cs="FranklinGothic-Book"/>
        </w:rPr>
        <w:t>benchmark</w:t>
      </w:r>
      <w:r w:rsidRPr="00241EC9">
        <w:rPr>
          <w:rFonts w:cs="FranklinGothic-Book"/>
        </w:rPr>
        <w:t xml:space="preserve"> occupational standards between Vietnam and the Phi</w:t>
      </w:r>
      <w:r w:rsidR="004E534F">
        <w:rPr>
          <w:rFonts w:cs="FranklinGothic-Book"/>
        </w:rPr>
        <w:t xml:space="preserve">lippines was completed in </w:t>
      </w:r>
      <w:r w:rsidRPr="00241EC9">
        <w:rPr>
          <w:rFonts w:cs="FranklinGothic-Book"/>
        </w:rPr>
        <w:t xml:space="preserve">2016. Lessons from this </w:t>
      </w:r>
      <w:r>
        <w:rPr>
          <w:rFonts w:cs="FranklinGothic-Book"/>
        </w:rPr>
        <w:t xml:space="preserve">were </w:t>
      </w:r>
      <w:r w:rsidRPr="00241EC9">
        <w:rPr>
          <w:rFonts w:cs="FranklinGothic-Book"/>
        </w:rPr>
        <w:t xml:space="preserve">timely </w:t>
      </w:r>
      <w:r>
        <w:rPr>
          <w:rFonts w:cs="FranklinGothic-Book"/>
        </w:rPr>
        <w:t xml:space="preserve">in </w:t>
      </w:r>
      <w:r w:rsidRPr="00241EC9">
        <w:rPr>
          <w:rFonts w:cs="FranklinGothic-Book"/>
        </w:rPr>
        <w:t>inform</w:t>
      </w:r>
      <w:r>
        <w:rPr>
          <w:rFonts w:cs="FranklinGothic-Book"/>
        </w:rPr>
        <w:t>ing</w:t>
      </w:r>
      <w:r w:rsidRPr="00241EC9">
        <w:rPr>
          <w:rFonts w:cs="FranklinGothic-Book"/>
        </w:rPr>
        <w:t xml:space="preserve"> the new human resource development program’s increased engagement in </w:t>
      </w:r>
      <w:r w:rsidR="004E534F">
        <w:rPr>
          <w:rFonts w:cs="FranklinGothic-Book"/>
        </w:rPr>
        <w:t>TVET</w:t>
      </w:r>
      <w:r w:rsidRPr="00241EC9">
        <w:rPr>
          <w:rFonts w:cs="FranklinGothic-Book"/>
        </w:rPr>
        <w:t xml:space="preserve">, with a focus on industry engagement. </w:t>
      </w:r>
    </w:p>
    <w:p w14:paraId="0B750839" w14:textId="77777777" w:rsidR="0036539E" w:rsidRPr="0036539E" w:rsidRDefault="0036539E" w:rsidP="00D47E58">
      <w:pPr>
        <w:pStyle w:val="BodyText"/>
      </w:pPr>
      <w:r w:rsidRPr="0036539E">
        <w:t xml:space="preserve">Australia has engaged in policy dialogue with Vietnam on </w:t>
      </w:r>
      <w:r w:rsidR="0028644D">
        <w:t xml:space="preserve">human resource development </w:t>
      </w:r>
      <w:r w:rsidRPr="0036539E">
        <w:t>and education under the action plan for the Australia-Vietnam Joint Working Group on Education and Training</w:t>
      </w:r>
      <w:r w:rsidR="0028644D">
        <w:t>. This has been achieved through S</w:t>
      </w:r>
      <w:r w:rsidRPr="0036539E">
        <w:t>tate education minister visits to Vietnam</w:t>
      </w:r>
      <w:r w:rsidR="0028644D">
        <w:t>, APEC meetings and OECD forums.</w:t>
      </w:r>
    </w:p>
    <w:p w14:paraId="23C93339" w14:textId="77777777" w:rsidR="002A51CA" w:rsidRPr="002A51CA" w:rsidRDefault="009D7F67" w:rsidP="005F51F2">
      <w:pPr>
        <w:pStyle w:val="ListBullet"/>
        <w:tabs>
          <w:tab w:val="clear" w:pos="284"/>
        </w:tabs>
        <w:spacing w:before="360" w:line="240" w:lineRule="auto"/>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 xml:space="preserve">Objective </w:t>
      </w:r>
      <w:r w:rsidR="000602F8">
        <w:rPr>
          <w:rFonts w:asciiTheme="majorHAnsi" w:eastAsiaTheme="majorEastAsia" w:hAnsiTheme="majorHAnsi" w:cstheme="majorBidi"/>
          <w:caps/>
          <w:color w:val="495965" w:themeColor="text2"/>
          <w:sz w:val="38"/>
          <w:szCs w:val="26"/>
          <w:lang w:val="en-GB" w:eastAsia="en-US"/>
        </w:rPr>
        <w:t>3</w:t>
      </w:r>
      <w:r w:rsidR="005F51F2">
        <w:rPr>
          <w:rFonts w:asciiTheme="majorHAnsi" w:eastAsiaTheme="majorEastAsia" w:hAnsiTheme="majorHAnsi" w:cstheme="majorBidi"/>
          <w:caps/>
          <w:color w:val="495965" w:themeColor="text2"/>
          <w:sz w:val="38"/>
          <w:szCs w:val="26"/>
          <w:lang w:val="en-GB" w:eastAsia="en-US"/>
        </w:rPr>
        <w:t xml:space="preserve">: </w:t>
      </w:r>
      <w:r w:rsidR="005F51F2" w:rsidRPr="005F51F2">
        <w:rPr>
          <w:rFonts w:asciiTheme="majorHAnsi" w:eastAsiaTheme="majorEastAsia" w:hAnsiTheme="majorHAnsi" w:cstheme="majorBidi"/>
          <w:caps/>
          <w:color w:val="495965" w:themeColor="text2"/>
          <w:sz w:val="38"/>
          <w:szCs w:val="26"/>
          <w:lang w:val="en-GB" w:eastAsia="en-US"/>
        </w:rPr>
        <w:t>Promoting women’s economic empowerment, including ethnic minorities</w:t>
      </w:r>
      <w:r w:rsidR="005F51F2">
        <w:rPr>
          <w:rFonts w:asciiTheme="majorHAnsi" w:eastAsiaTheme="majorEastAsia" w:hAnsiTheme="majorHAnsi" w:cstheme="majorBidi"/>
          <w:caps/>
          <w:color w:val="495965" w:themeColor="text2"/>
          <w:sz w:val="38"/>
          <w:szCs w:val="26"/>
          <w:lang w:val="en-GB" w:eastAsia="en-US"/>
        </w:rPr>
        <w:t xml:space="preserve"> </w:t>
      </w:r>
    </w:p>
    <w:p w14:paraId="78BED43D" w14:textId="77777777" w:rsidR="006411FA" w:rsidRDefault="005B6AE3" w:rsidP="005B6AE3">
      <w:pPr>
        <w:pStyle w:val="BodyText"/>
      </w:pPr>
      <w:r w:rsidRPr="00107844">
        <w:t xml:space="preserve">The </w:t>
      </w:r>
      <w:r w:rsidRPr="00F42EED">
        <w:rPr>
          <w:b/>
        </w:rPr>
        <w:t>green rating</w:t>
      </w:r>
      <w:r>
        <w:t xml:space="preserve"> reflects </w:t>
      </w:r>
      <w:r w:rsidR="006E2F44">
        <w:t>progress as</w:t>
      </w:r>
      <w:r w:rsidR="006B2038">
        <w:t xml:space="preserve"> anticipated and the </w:t>
      </w:r>
      <w:r w:rsidR="00085F66">
        <w:t>achievement of all benchmarks.</w:t>
      </w:r>
    </w:p>
    <w:p w14:paraId="4BE133C0" w14:textId="77777777" w:rsidR="006E2F44" w:rsidRDefault="005B6AE3" w:rsidP="005B6AE3">
      <w:pPr>
        <w:pStyle w:val="BodyText"/>
      </w:pPr>
      <w:r>
        <w:t xml:space="preserve">We have made robust progress in designing the two flagship programs </w:t>
      </w:r>
      <w:r w:rsidR="006E2F44">
        <w:t xml:space="preserve">against this objective. These </w:t>
      </w:r>
      <w:r>
        <w:t>wil</w:t>
      </w:r>
      <w:r w:rsidR="00E2025E">
        <w:t xml:space="preserve">l form the backbone of the next </w:t>
      </w:r>
      <w:r>
        <w:t>five years of work promoting economic empowerment among ethn</w:t>
      </w:r>
      <w:r w:rsidR="006E2F44">
        <w:t xml:space="preserve">ic minority women, and women’s leadership in business. Our support for ethnic </w:t>
      </w:r>
      <w:r w:rsidR="00E2025E">
        <w:t xml:space="preserve">minority </w:t>
      </w:r>
      <w:r w:rsidR="006E2F44">
        <w:t>women will focus on their equitable participation in agriculture and tourism in the northwest provinces of Son La and Lao Cai.</w:t>
      </w:r>
    </w:p>
    <w:p w14:paraId="198B35E1" w14:textId="77777777" w:rsidR="005B6AE3" w:rsidRDefault="008A0CD6" w:rsidP="005B6AE3">
      <w:pPr>
        <w:pStyle w:val="BodyText"/>
      </w:pPr>
      <w:r>
        <w:t xml:space="preserve">Under the DFAT Gender Equity Fund, </w:t>
      </w:r>
      <w:r w:rsidR="000918AA">
        <w:t>we</w:t>
      </w:r>
      <w:r>
        <w:t xml:space="preserve"> accessed additional Australian ODA to </w:t>
      </w:r>
      <w:r w:rsidR="005B6AE3">
        <w:t xml:space="preserve">mobilise a consortium of NGOs to undertake early work on </w:t>
      </w:r>
      <w:r>
        <w:t xml:space="preserve">a new investment called </w:t>
      </w:r>
      <w:r w:rsidR="005B6AE3" w:rsidRPr="008A0CD6">
        <w:rPr>
          <w:b/>
        </w:rPr>
        <w:t xml:space="preserve">Women’s Economic Empowerment through </w:t>
      </w:r>
      <w:r>
        <w:rPr>
          <w:b/>
        </w:rPr>
        <w:t xml:space="preserve">Value Chain Enhancement (WEAVE). </w:t>
      </w:r>
      <w:r w:rsidR="000918AA">
        <w:t>This small investment will lay</w:t>
      </w:r>
      <w:r w:rsidR="005B6AE3">
        <w:t xml:space="preserve"> the foundations of the larger flagship program</w:t>
      </w:r>
      <w:r w:rsidR="000918AA">
        <w:t xml:space="preserve"> currently under design called the </w:t>
      </w:r>
      <w:r w:rsidR="000918AA" w:rsidRPr="000918AA">
        <w:rPr>
          <w:b/>
        </w:rPr>
        <w:t>Gender-Responsive Equitable Agriculture and Tourism program (GREAT)</w:t>
      </w:r>
      <w:r w:rsidR="005B6AE3">
        <w:t xml:space="preserve">. </w:t>
      </w:r>
      <w:r w:rsidR="000918AA">
        <w:t>WEAVE has e</w:t>
      </w:r>
      <w:r w:rsidR="005B6AE3">
        <w:t xml:space="preserve">nabled us to collaborate with NGOs and the Australian Centre for International Agricultural Research (ACIAR) to forge an innovative whole-of-government approach to </w:t>
      </w:r>
      <w:r w:rsidR="000918AA">
        <w:t>raising greater awareness on the important linkages between</w:t>
      </w:r>
      <w:r w:rsidR="005B6AE3">
        <w:t xml:space="preserve"> gender, aid and trade</w:t>
      </w:r>
      <w:r w:rsidR="000918AA">
        <w:t>. We worked with Vietname</w:t>
      </w:r>
      <w:r w:rsidR="005B6AE3">
        <w:t xml:space="preserve">se-Australian TV Chef Luke Nguyen to </w:t>
      </w:r>
      <w:r w:rsidR="000918AA">
        <w:t>promote, through video footage, the achievements of Australia’s efforts to increase jobs and incomes for women in</w:t>
      </w:r>
      <w:r w:rsidR="005B6AE3">
        <w:t xml:space="preserve"> ethnic minority communities</w:t>
      </w:r>
      <w:r w:rsidR="000918AA">
        <w:t>.</w:t>
      </w:r>
      <w:r w:rsidR="0054396A">
        <w:t xml:space="preserve"> Design of the Vietnam component of the </w:t>
      </w:r>
      <w:r w:rsidR="0054396A" w:rsidRPr="00576B19">
        <w:rPr>
          <w:b/>
        </w:rPr>
        <w:t>Investing in Women initiative</w:t>
      </w:r>
      <w:r w:rsidR="0054396A">
        <w:t xml:space="preserve"> is also well underway in close collaboration with the Ministry of Planning and Investment.</w:t>
      </w:r>
    </w:p>
    <w:p w14:paraId="0C9EA626" w14:textId="77777777" w:rsidR="005B6AE3" w:rsidRDefault="005B6AE3" w:rsidP="005B6AE3">
      <w:pPr>
        <w:pStyle w:val="BodyText"/>
      </w:pPr>
      <w:r>
        <w:t xml:space="preserve">The </w:t>
      </w:r>
      <w:r w:rsidR="00F42EED">
        <w:t xml:space="preserve">current </w:t>
      </w:r>
      <w:r>
        <w:t>context for progress against this objective is mixed. Vietnam has high participation of women in the workforce</w:t>
      </w:r>
      <w:r w:rsidR="00E2025E">
        <w:t xml:space="preserve"> compared with countries across the region</w:t>
      </w:r>
      <w:r>
        <w:t xml:space="preserve">. However, women </w:t>
      </w:r>
      <w:r w:rsidR="00D515AB">
        <w:t>are paid less</w:t>
      </w:r>
      <w:r>
        <w:t xml:space="preserve"> and</w:t>
      </w:r>
      <w:r w:rsidR="00D515AB">
        <w:t xml:space="preserve"> in</w:t>
      </w:r>
      <w:r>
        <w:t xml:space="preserve"> more vulnerable </w:t>
      </w:r>
      <w:r w:rsidR="00D515AB">
        <w:t>jobs</w:t>
      </w:r>
      <w:r>
        <w:t xml:space="preserve">, have less access to training, </w:t>
      </w:r>
      <w:r w:rsidR="00D515AB">
        <w:t xml:space="preserve">have </w:t>
      </w:r>
      <w:r>
        <w:t xml:space="preserve">fewer assets, and take on the </w:t>
      </w:r>
      <w:r w:rsidR="00D515AB">
        <w:t>bulk</w:t>
      </w:r>
      <w:r>
        <w:t xml:space="preserve"> of society’s unpaid domestic and care work. Women are not well represented in leadership positions in government or the private sector. In rural areas and especially among ethnic minority communities, a woman would find it economically impossible to leave her marriage even in the case of domestic violence. </w:t>
      </w:r>
    </w:p>
    <w:p w14:paraId="3D58B621" w14:textId="77777777" w:rsidR="005B6AE3" w:rsidRDefault="005B6AE3" w:rsidP="005B6AE3">
      <w:pPr>
        <w:pStyle w:val="BodyText"/>
      </w:pPr>
      <w:r>
        <w:t>Much of this situation is not for want of appropriate policies and legislation, but due to deeply ingrained societal attitudes. We recognise therefore that change may be incremental. In this forward-looking year of design and project preparation, we have placed a high priority on generating data and analysis. We launched two exceptional publications this year: ‘Social Determinants of Gender Inequality in Vietnam’ by ISDS, and ‘Towards Gender Equality in Vietnam: Making Inclusive Growth Work for Women</w:t>
      </w:r>
      <w:r w:rsidR="00D515AB">
        <w:t>’ by UN Women. These contribute</w:t>
      </w:r>
      <w:r>
        <w:t xml:space="preserve"> to the evidence informing our own program</w:t>
      </w:r>
      <w:r w:rsidR="00D515AB">
        <w:t>s</w:t>
      </w:r>
      <w:r>
        <w:t xml:space="preserve"> </w:t>
      </w:r>
      <w:r w:rsidR="00D515AB">
        <w:t>a</w:t>
      </w:r>
      <w:r>
        <w:t xml:space="preserve">nd policy advocacy, </w:t>
      </w:r>
      <w:r w:rsidR="00D515AB">
        <w:t>and have stimulated</w:t>
      </w:r>
      <w:r>
        <w:t xml:space="preserve"> lively public debate including in </w:t>
      </w:r>
      <w:r w:rsidR="0054396A">
        <w:t xml:space="preserve">Vietnamese </w:t>
      </w:r>
      <w:r>
        <w:t>social media</w:t>
      </w:r>
      <w:r w:rsidR="0054396A">
        <w:t xml:space="preserve"> and TV</w:t>
      </w:r>
      <w:r>
        <w:t>.</w:t>
      </w:r>
    </w:p>
    <w:p w14:paraId="0F4FDDEB" w14:textId="77777777" w:rsidR="005B6AE3" w:rsidRPr="00E162D5" w:rsidRDefault="00E2025E" w:rsidP="005B6AE3">
      <w:pPr>
        <w:pStyle w:val="BodyText"/>
      </w:pPr>
      <w:r>
        <w:lastRenderedPageBreak/>
        <w:t xml:space="preserve">We have increased our expectations for gender equality in our aid program. </w:t>
      </w:r>
      <w:r w:rsidR="005B6AE3">
        <w:t xml:space="preserve">We have demanded that under-performing partners such as the World Bank be more ambitious in terms of what they aspire to achieve in terms of gender equality, and how effectively they substantiate </w:t>
      </w:r>
      <w:r>
        <w:t>these</w:t>
      </w:r>
      <w:r w:rsidR="005B6AE3">
        <w:t xml:space="preserve"> impacts. We have strengthened our long-st</w:t>
      </w:r>
      <w:r>
        <w:t>anding relationship with the Vietnam Women’s Union</w:t>
      </w:r>
      <w:r w:rsidR="005B6AE3">
        <w:t xml:space="preserve"> </w:t>
      </w:r>
      <w:r>
        <w:t>through</w:t>
      </w:r>
      <w:r w:rsidR="005B6AE3">
        <w:t xml:space="preserve"> regular strategic dialogue</w:t>
      </w:r>
      <w:r>
        <w:t>s</w:t>
      </w:r>
      <w:r w:rsidR="005B6AE3">
        <w:t xml:space="preserve"> between the</w:t>
      </w:r>
      <w:r>
        <w:t>ir</w:t>
      </w:r>
      <w:r w:rsidR="005B6AE3">
        <w:t xml:space="preserve"> President and the Australian Ambassador. We have highlighted Australia and Vietnam’s joint efforts in support of women’s empowerment through a concerted wave of public diplomacy focused on Gender Month (from Vietnam </w:t>
      </w:r>
      <w:r w:rsidR="005B6AE3" w:rsidRPr="00E162D5">
        <w:t>Women’s Day in October through to White Ribbon Day in November).</w:t>
      </w:r>
    </w:p>
    <w:p w14:paraId="06013041" w14:textId="77777777" w:rsidR="004A1E47" w:rsidRPr="00E162D5" w:rsidRDefault="004A1E47" w:rsidP="00C14C2E">
      <w:pPr>
        <w:pStyle w:val="BodyText"/>
      </w:pPr>
      <w:r w:rsidRPr="00E162D5">
        <w:t xml:space="preserve">Two investments from our previous country strategy 2010-2015 are also reported on in this section. The </w:t>
      </w:r>
      <w:r w:rsidRPr="00E162D5">
        <w:rPr>
          <w:b/>
        </w:rPr>
        <w:t>Integrated Coastal Management Program (ICMP)</w:t>
      </w:r>
      <w:r w:rsidRPr="00E162D5">
        <w:t xml:space="preserve"> is well advanced in its scale-up phase (2014-2018), and has built on earlier lessons to assist the Government of Vietnam to embed climate-resilient development into regional planning. Research by UN indicates women face higher risks and greater burdens from the impacts of climate change and that their unequal participation in decision-making processes and labour markets compound inequalities. </w:t>
      </w:r>
      <w:r w:rsidR="00083696" w:rsidRPr="00E162D5">
        <w:t>There is an</w:t>
      </w:r>
      <w:r w:rsidRPr="00E162D5">
        <w:t xml:space="preserve"> opportunity through this well established program, to ensure </w:t>
      </w:r>
      <w:r w:rsidR="00083696" w:rsidRPr="00E162D5">
        <w:t xml:space="preserve">these risks are reduced and that </w:t>
      </w:r>
      <w:r w:rsidRPr="00E162D5">
        <w:t xml:space="preserve">women </w:t>
      </w:r>
      <w:r w:rsidR="00083696" w:rsidRPr="00E162D5">
        <w:t>achieve the same economic benefits.</w:t>
      </w:r>
    </w:p>
    <w:p w14:paraId="76A4E3B5" w14:textId="77777777" w:rsidR="00C14C2E" w:rsidRPr="00E162D5" w:rsidRDefault="00C14C2E" w:rsidP="00C14C2E">
      <w:pPr>
        <w:pStyle w:val="BodyText"/>
      </w:pPr>
      <w:r w:rsidRPr="00E162D5">
        <w:t>Our</w:t>
      </w:r>
      <w:r w:rsidR="00083696" w:rsidRPr="00E162D5">
        <w:t xml:space="preserve"> legacy project on</w:t>
      </w:r>
      <w:r w:rsidRPr="00E162D5">
        <w:t xml:space="preserve"> </w:t>
      </w:r>
      <w:r w:rsidRPr="00E162D5">
        <w:rPr>
          <w:b/>
        </w:rPr>
        <w:t xml:space="preserve">Disaster Risk Management </w:t>
      </w:r>
      <w:r w:rsidRPr="00E162D5">
        <w:t>concluded this year and successfully increased women’s contribution to and leadership in disaster risk management and decision making. Australia partnered with UNDP, Vietnam’s Disaster Management Centre, the Vietnam Red Cross, the Vietnam Women’s Union and Oxfam to achieve this at the national and community levels. Lasting impact has been achieved by the revision of the disaster risk management law to incorporate gender equality and Vietnam Women’s Union participation in decision-making. The ‘Women’s Leadership in Risk Resilient Development: Good Practices and Lessons Learned’, publication by the United Nations in 2015 notes this program as a best practice case study.</w:t>
      </w:r>
    </w:p>
    <w:p w14:paraId="2EC09C81" w14:textId="77777777" w:rsidR="005B6AE3" w:rsidRPr="00E162D5" w:rsidRDefault="005B6AE3" w:rsidP="005B6AE3">
      <w:pPr>
        <w:pStyle w:val="BodyText"/>
      </w:pPr>
      <w:r w:rsidRPr="00E162D5">
        <w:t xml:space="preserve">The most significant risk to </w:t>
      </w:r>
      <w:r w:rsidR="00E2025E" w:rsidRPr="00E162D5">
        <w:t xml:space="preserve">achieving </w:t>
      </w:r>
      <w:r w:rsidRPr="00E162D5">
        <w:t>this objective is the potential for delays in the Government of Vietnam’s approval of our two major flagship programs as a result of changing and increasingly complex regulations for ODA approval. We will mitigate this by work</w:t>
      </w:r>
      <w:r w:rsidR="00E2025E" w:rsidRPr="00E162D5">
        <w:t>ing</w:t>
      </w:r>
      <w:r w:rsidRPr="00E162D5">
        <w:t xml:space="preserve"> closely with </w:t>
      </w:r>
      <w:r w:rsidR="00E2025E" w:rsidRPr="00E162D5">
        <w:t>relevant government partners.</w:t>
      </w:r>
    </w:p>
    <w:p w14:paraId="2E40BD2F" w14:textId="77777777" w:rsidR="002A51CA" w:rsidRPr="00E162D5" w:rsidRDefault="002A51CA"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E162D5">
        <w:rPr>
          <w:rFonts w:asciiTheme="majorHAnsi" w:eastAsiaTheme="majorEastAsia" w:hAnsiTheme="majorHAnsi" w:cstheme="majorBidi"/>
          <w:caps/>
          <w:color w:val="495965" w:themeColor="text2"/>
          <w:sz w:val="38"/>
          <w:szCs w:val="26"/>
          <w:lang w:val="en-GB" w:eastAsia="en-US"/>
        </w:rPr>
        <w:t>Performance Benchmarks</w:t>
      </w:r>
    </w:p>
    <w:p w14:paraId="04A67005" w14:textId="77777777" w:rsidR="002A51CA" w:rsidRPr="00C61187" w:rsidRDefault="006C2020" w:rsidP="005615D2">
      <w:pPr>
        <w:pStyle w:val="BodyText"/>
      </w:pPr>
      <w:r w:rsidRPr="00E162D5">
        <w:t>All performance benchmarks</w:t>
      </w:r>
      <w:r>
        <w:t xml:space="preserve"> for 201516 were achieved. </w:t>
      </w:r>
      <w:r w:rsidR="00185EE9">
        <w:t>Comments on a</w:t>
      </w:r>
      <w:r w:rsidR="002A51CA" w:rsidRPr="00C61187">
        <w:t xml:space="preserve">chievements against each performance benchmark </w:t>
      </w:r>
      <w:r w:rsidR="00515376">
        <w:t xml:space="preserve">for 2015-16 </w:t>
      </w:r>
      <w:r w:rsidR="00185EE9">
        <w:t xml:space="preserve">can be found </w:t>
      </w:r>
      <w:r w:rsidR="002A51CA" w:rsidRPr="00C61187">
        <w:t xml:space="preserve">in </w:t>
      </w:r>
      <w:r w:rsidR="002A51CA" w:rsidRPr="00C61187">
        <w:rPr>
          <w:b/>
        </w:rPr>
        <w:t>Annex B</w:t>
      </w:r>
      <w:r w:rsidR="002A51CA" w:rsidRPr="00C61187">
        <w:t>.</w:t>
      </w:r>
      <w:r w:rsidR="00515376">
        <w:t xml:space="preserve"> </w:t>
      </w:r>
    </w:p>
    <w:p w14:paraId="00242F49" w14:textId="77777777" w:rsidR="002A51CA" w:rsidRDefault="002A51CA" w:rsidP="002A51CA">
      <w:pPr>
        <w:pStyle w:val="Heading2"/>
      </w:pPr>
      <w:r>
        <w:t>Mutual obligations</w:t>
      </w:r>
    </w:p>
    <w:p w14:paraId="0736B13B" w14:textId="77777777" w:rsidR="00E13F03" w:rsidRDefault="00E13F03" w:rsidP="00E13F03">
      <w:pPr>
        <w:pStyle w:val="BodyText"/>
      </w:pPr>
      <w:r>
        <w:t xml:space="preserve">The Governments of Vietnam and Australia committed to an economic partnership as outlined in the </w:t>
      </w:r>
      <w:r w:rsidRPr="00E2025E">
        <w:rPr>
          <w:i/>
        </w:rPr>
        <w:t>Aid Investment Plan 2015-2020</w:t>
      </w:r>
      <w:r>
        <w:t xml:space="preserve">.  This </w:t>
      </w:r>
      <w:r w:rsidR="001468F3">
        <w:t xml:space="preserve">new </w:t>
      </w:r>
      <w:r>
        <w:t xml:space="preserve">partnership </w:t>
      </w:r>
      <w:r w:rsidR="001468F3">
        <w:t>provides the foundation</w:t>
      </w:r>
      <w:r w:rsidR="00364C54">
        <w:t xml:space="preserve"> for </w:t>
      </w:r>
      <w:r>
        <w:t>mutual obligation</w:t>
      </w:r>
      <w:r w:rsidR="007021BF">
        <w:t>s</w:t>
      </w:r>
      <w:r w:rsidR="001468F3">
        <w:t xml:space="preserve">. This includes </w:t>
      </w:r>
      <w:r>
        <w:t xml:space="preserve">shaping strategic development directions to co-financing </w:t>
      </w:r>
      <w:r w:rsidR="001468F3">
        <w:t xml:space="preserve">aid investments by </w:t>
      </w:r>
      <w:r>
        <w:t xml:space="preserve">both governments.  </w:t>
      </w:r>
      <w:r w:rsidR="001468F3">
        <w:t>In 2015-16 w</w:t>
      </w:r>
      <w:r>
        <w:t xml:space="preserve">e </w:t>
      </w:r>
      <w:r w:rsidR="001468F3">
        <w:t xml:space="preserve">worked with the lead author of </w:t>
      </w:r>
      <w:r>
        <w:t xml:space="preserve">the </w:t>
      </w:r>
      <w:r w:rsidRPr="00E2025E">
        <w:rPr>
          <w:i/>
        </w:rPr>
        <w:t>Socio-Economic Development Plan 2016-2020</w:t>
      </w:r>
      <w:r w:rsidRPr="00355B1A">
        <w:t xml:space="preserve"> </w:t>
      </w:r>
      <w:r w:rsidR="001468F3">
        <w:t xml:space="preserve">to help shape its direction. We also provided finance and technical </w:t>
      </w:r>
      <w:r w:rsidRPr="00355B1A">
        <w:t xml:space="preserve">analysis </w:t>
      </w:r>
      <w:r w:rsidR="001468F3">
        <w:t xml:space="preserve">on </w:t>
      </w:r>
      <w:r w:rsidRPr="00355B1A">
        <w:t>g</w:t>
      </w:r>
      <w:r>
        <w:t>overnance</w:t>
      </w:r>
      <w:r w:rsidRPr="00355B1A">
        <w:t xml:space="preserve"> </w:t>
      </w:r>
      <w:r w:rsidR="001468F3">
        <w:t xml:space="preserve">issues </w:t>
      </w:r>
      <w:r>
        <w:t xml:space="preserve">in </w:t>
      </w:r>
      <w:r w:rsidRPr="00355B1A">
        <w:t xml:space="preserve">the </w:t>
      </w:r>
      <w:r w:rsidRPr="00E2025E">
        <w:rPr>
          <w:i/>
        </w:rPr>
        <w:t>Vietnam 2035</w:t>
      </w:r>
      <w:r w:rsidRPr="00355B1A">
        <w:t xml:space="preserve"> report</w:t>
      </w:r>
      <w:r w:rsidR="001468F3">
        <w:t xml:space="preserve"> which was launched jointly by the Deputy Prime Minister and President of the World Bank.</w:t>
      </w:r>
      <w:r>
        <w:t xml:space="preserve"> The “</w:t>
      </w:r>
      <w:r w:rsidR="001468F3">
        <w:t>R</w:t>
      </w:r>
      <w:r>
        <w:t>estructur</w:t>
      </w:r>
      <w:r w:rsidR="001468F3">
        <w:t>ing</w:t>
      </w:r>
      <w:r>
        <w:t xml:space="preserve"> for </w:t>
      </w:r>
      <w:r w:rsidR="001468F3">
        <w:t xml:space="preserve">a </w:t>
      </w:r>
      <w:r>
        <w:t xml:space="preserve">more competitive Vietnam” investment is also a </w:t>
      </w:r>
      <w:r w:rsidR="001468F3">
        <w:t xml:space="preserve">highlight of </w:t>
      </w:r>
      <w:r>
        <w:t xml:space="preserve">our economic partnership where Australia has </w:t>
      </w:r>
      <w:r w:rsidR="001468F3">
        <w:t xml:space="preserve">been able to share </w:t>
      </w:r>
      <w:r>
        <w:t>our own experience</w:t>
      </w:r>
      <w:r w:rsidR="001468F3">
        <w:t>s</w:t>
      </w:r>
      <w:r>
        <w:t xml:space="preserve"> of reform and liberalisation to </w:t>
      </w:r>
      <w:r w:rsidR="001468F3">
        <w:t xml:space="preserve">help shape </w:t>
      </w:r>
      <w:r>
        <w:t xml:space="preserve">Vietnam’s </w:t>
      </w:r>
      <w:r w:rsidR="001468F3">
        <w:t>reform process</w:t>
      </w:r>
      <w:r>
        <w:t>.</w:t>
      </w:r>
    </w:p>
    <w:p w14:paraId="5839D044" w14:textId="77777777" w:rsidR="002E1A30" w:rsidRDefault="004A4B74" w:rsidP="002E1A30">
      <w:pPr>
        <w:pStyle w:val="BodyText"/>
      </w:pPr>
      <w:r>
        <w:t>I</w:t>
      </w:r>
      <w:r w:rsidR="002E1A30">
        <w:t>mplementation of</w:t>
      </w:r>
      <w:r w:rsidR="002E1A30" w:rsidRPr="001B25CD">
        <w:t xml:space="preserve"> mutual obligations</w:t>
      </w:r>
      <w:r>
        <w:t xml:space="preserve"> agreed by the Government of Vietnam</w:t>
      </w:r>
      <w:r w:rsidR="002E1A30">
        <w:t xml:space="preserve"> and donors including Australia at the 2015 </w:t>
      </w:r>
      <w:r w:rsidR="002E1A30" w:rsidRPr="001B25CD">
        <w:rPr>
          <w:lang w:val="en-US"/>
        </w:rPr>
        <w:t>Vietnam Development Partnership Forum</w:t>
      </w:r>
      <w:r>
        <w:rPr>
          <w:lang w:val="en-US"/>
        </w:rPr>
        <w:t xml:space="preserve"> remains a challenge. This is due to t</w:t>
      </w:r>
      <w:r w:rsidR="002E1A30">
        <w:rPr>
          <w:lang w:val="en-US"/>
        </w:rPr>
        <w:t xml:space="preserve">he newly issued Decree 16 which makes </w:t>
      </w:r>
      <w:r w:rsidR="002E1A30" w:rsidRPr="001B25CD">
        <w:t xml:space="preserve">ODA procedures </w:t>
      </w:r>
      <w:r w:rsidR="002E1A30">
        <w:t xml:space="preserve">more </w:t>
      </w:r>
      <w:r>
        <w:t>complex</w:t>
      </w:r>
      <w:r w:rsidR="002E1A30">
        <w:t xml:space="preserve"> and time-consuming. We </w:t>
      </w:r>
      <w:r w:rsidR="002E1A30" w:rsidRPr="001B25CD">
        <w:t xml:space="preserve">have communicated our concerns </w:t>
      </w:r>
      <w:r w:rsidR="002E1A30">
        <w:t>to</w:t>
      </w:r>
      <w:r>
        <w:t xml:space="preserve"> responsible areas within</w:t>
      </w:r>
      <w:r w:rsidR="002E1A30">
        <w:t xml:space="preserve"> </w:t>
      </w:r>
      <w:r>
        <w:t>the Government of Vietnam</w:t>
      </w:r>
      <w:r w:rsidR="002E1A30">
        <w:t>.</w:t>
      </w:r>
    </w:p>
    <w:p w14:paraId="3CF7B2E3" w14:textId="77777777" w:rsidR="002E1A30" w:rsidRPr="001B25CD" w:rsidRDefault="004A4B74" w:rsidP="002E1A30">
      <w:pPr>
        <w:pStyle w:val="BodyText"/>
      </w:pPr>
      <w:r>
        <w:lastRenderedPageBreak/>
        <w:t>T</w:t>
      </w:r>
      <w:r w:rsidR="002E1A30">
        <w:t xml:space="preserve">he </w:t>
      </w:r>
      <w:r w:rsidR="002E1A30" w:rsidRPr="001B25CD">
        <w:t>Sustainable Development</w:t>
      </w:r>
      <w:r>
        <w:t xml:space="preserve"> Goals</w:t>
      </w:r>
      <w:r w:rsidR="002E1A30" w:rsidRPr="001B25CD">
        <w:t xml:space="preserve"> set </w:t>
      </w:r>
      <w:r>
        <w:t>out</w:t>
      </w:r>
      <w:r w:rsidR="002E1A30" w:rsidRPr="001B25CD">
        <w:t xml:space="preserve"> more comprehensive development goals for Vietnam</w:t>
      </w:r>
      <w:r>
        <w:t xml:space="preserve"> than the Millennium Development Goals. In support, </w:t>
      </w:r>
      <w:r w:rsidR="002E1A30">
        <w:t xml:space="preserve">Australia </w:t>
      </w:r>
      <w:r w:rsidR="002E1A30" w:rsidRPr="001B25CD">
        <w:t>continue</w:t>
      </w:r>
      <w:r>
        <w:t>s to build on existing partnerships in</w:t>
      </w:r>
      <w:r w:rsidR="002E1A30">
        <w:t xml:space="preserve"> areas of high priority </w:t>
      </w:r>
      <w:r w:rsidR="001E2205">
        <w:t>to assist</w:t>
      </w:r>
      <w:r w:rsidR="002E1A30">
        <w:t xml:space="preserve"> Vietnam. O</w:t>
      </w:r>
      <w:r w:rsidR="002E1A30" w:rsidRPr="001B25CD">
        <w:t xml:space="preserve">ur </w:t>
      </w:r>
      <w:r w:rsidR="001E2205" w:rsidRPr="001E2205">
        <w:rPr>
          <w:i/>
        </w:rPr>
        <w:t>Aid Investment Plan 2015-2020</w:t>
      </w:r>
      <w:r w:rsidR="001E2205">
        <w:t xml:space="preserve"> addresses 16</w:t>
      </w:r>
      <w:r w:rsidR="002E1A30" w:rsidRPr="001B25CD">
        <w:t xml:space="preserve"> of</w:t>
      </w:r>
      <w:r w:rsidR="001E2205">
        <w:t xml:space="preserve"> the</w:t>
      </w:r>
      <w:r w:rsidR="002E1A30" w:rsidRPr="001B25CD">
        <w:t xml:space="preserve"> 17 S</w:t>
      </w:r>
      <w:r w:rsidR="002E1A30">
        <w:t xml:space="preserve">ustainable </w:t>
      </w:r>
      <w:r w:rsidR="002E1A30" w:rsidRPr="001B25CD">
        <w:t>D</w:t>
      </w:r>
      <w:r w:rsidR="002E1A30">
        <w:t xml:space="preserve">evelopment </w:t>
      </w:r>
      <w:r w:rsidR="002E1A30" w:rsidRPr="001B25CD">
        <w:t>G</w:t>
      </w:r>
      <w:r w:rsidR="002E1A30">
        <w:t>oal</w:t>
      </w:r>
      <w:r w:rsidR="001E2205">
        <w:t>s with a main</w:t>
      </w:r>
      <w:r w:rsidR="002E1A30" w:rsidRPr="001B25CD">
        <w:t xml:space="preserve"> focus on alleviating poverty</w:t>
      </w:r>
      <w:r w:rsidR="002E1A30">
        <w:t xml:space="preserve"> (Goal 1)</w:t>
      </w:r>
      <w:r w:rsidR="002E1A30" w:rsidRPr="001B25CD">
        <w:t>, gender equality</w:t>
      </w:r>
      <w:r w:rsidR="002E1A30">
        <w:t xml:space="preserve"> (Goal 5)</w:t>
      </w:r>
      <w:r w:rsidR="002E1A30" w:rsidRPr="001B25CD">
        <w:t xml:space="preserve">, decent work and economic growth </w:t>
      </w:r>
      <w:r w:rsidR="002E1A30">
        <w:t xml:space="preserve">(Goal 8) </w:t>
      </w:r>
      <w:r w:rsidR="002E1A30" w:rsidRPr="001B25CD">
        <w:t>and partnerships for the goals</w:t>
      </w:r>
      <w:r w:rsidR="002E1A30">
        <w:t xml:space="preserve"> (Goal 17)</w:t>
      </w:r>
      <w:r w:rsidR="002E1A30" w:rsidRPr="001B25CD">
        <w:t xml:space="preserve">. </w:t>
      </w:r>
    </w:p>
    <w:p w14:paraId="05967221" w14:textId="77777777" w:rsidR="002E1A30" w:rsidRDefault="002E1A30" w:rsidP="002E1A30">
      <w:pPr>
        <w:pStyle w:val="BodyText"/>
      </w:pPr>
      <w:r>
        <w:t xml:space="preserve">The </w:t>
      </w:r>
      <w:r w:rsidR="001E2205">
        <w:t xml:space="preserve">Australia-Vietnam </w:t>
      </w:r>
      <w:r>
        <w:t xml:space="preserve">High Level Consultation in March 2017 will witness the joint commitment by the two governments to new investments </w:t>
      </w:r>
      <w:r w:rsidR="001E2205">
        <w:t xml:space="preserve">that will support </w:t>
      </w:r>
      <w:r>
        <w:t xml:space="preserve">private sector development and facilitate </w:t>
      </w:r>
      <w:r w:rsidR="001E2205">
        <w:t xml:space="preserve">greater </w:t>
      </w:r>
      <w:r>
        <w:t>economic inclusion.</w:t>
      </w:r>
    </w:p>
    <w:p w14:paraId="77A51049" w14:textId="77777777" w:rsidR="002A51CA" w:rsidRPr="002A51CA" w:rsidRDefault="002A51CA" w:rsidP="002A51CA">
      <w:pPr>
        <w:pStyle w:val="Heading2"/>
      </w:pPr>
      <w:r w:rsidRPr="002A51CA">
        <w:t xml:space="preserve">Program </w:t>
      </w:r>
      <w:r w:rsidR="000602F8">
        <w:t>Quality and Partner Performance</w:t>
      </w:r>
    </w:p>
    <w:p w14:paraId="126EB87C" w14:textId="77777777" w:rsidR="00305375" w:rsidRDefault="00305375" w:rsidP="00305375">
      <w:pPr>
        <w:pStyle w:val="BodyText"/>
      </w:pPr>
      <w:r>
        <w:t xml:space="preserve">The </w:t>
      </w:r>
      <w:r w:rsidR="0042053F" w:rsidRPr="0042053F">
        <w:rPr>
          <w:i/>
        </w:rPr>
        <w:t>Aid Investment Plan 2015-</w:t>
      </w:r>
      <w:r w:rsidRPr="0042053F">
        <w:rPr>
          <w:i/>
        </w:rPr>
        <w:t>2020</w:t>
      </w:r>
      <w:r>
        <w:t xml:space="preserve"> performance benchmarks </w:t>
      </w:r>
      <w:r w:rsidR="0042053F">
        <w:t>are</w:t>
      </w:r>
      <w:r>
        <w:t xml:space="preserve"> used in conjunction with other mechanisms to assess the performance of the Australian </w:t>
      </w:r>
      <w:r w:rsidR="0042053F">
        <w:t>aid program in Vietnam</w:t>
      </w:r>
      <w:r>
        <w:t xml:space="preserve">. In the 2016 Aid Quality Check (AQC) round, </w:t>
      </w:r>
      <w:r w:rsidR="0042053F">
        <w:t>eight</w:t>
      </w:r>
      <w:r>
        <w:t xml:space="preserve"> </w:t>
      </w:r>
      <w:r w:rsidR="0042053F">
        <w:t>of thirteen AQC reports were</w:t>
      </w:r>
      <w:r>
        <w:t xml:space="preserve"> Final AQC (FAQC)</w:t>
      </w:r>
      <w:r w:rsidR="0042053F">
        <w:t xml:space="preserve"> signalling the end of a major strategic phase of Australia’s aid program to Vietnam</w:t>
      </w:r>
      <w:r>
        <w:t>. The FAQ</w:t>
      </w:r>
      <w:r w:rsidR="0042053F">
        <w:t>Cs provided useful lessons learned for the new investments currently underway or in design</w:t>
      </w:r>
      <w:r>
        <w:t xml:space="preserve">. DFAT led one mid-term review of the Restructuring for </w:t>
      </w:r>
      <w:r w:rsidR="0042053F">
        <w:t>M</w:t>
      </w:r>
      <w:r>
        <w:t xml:space="preserve">ore </w:t>
      </w:r>
      <w:r w:rsidR="0042053F">
        <w:t>C</w:t>
      </w:r>
      <w:r>
        <w:t xml:space="preserve">ompetitive Vietnam program and one independent completion evaluation of the Joint Donor Support for the National Targeted Program on Water Supply and Sanitation. </w:t>
      </w:r>
      <w:r w:rsidR="002D44BB">
        <w:t>A p</w:t>
      </w:r>
      <w:r>
        <w:t>lan for evaluating the impacts of the Cao Lanh bridge</w:t>
      </w:r>
      <w:r w:rsidR="002D44BB">
        <w:t>,</w:t>
      </w:r>
      <w:r>
        <w:t xml:space="preserve"> including baseline data collection, evaluation at completion</w:t>
      </w:r>
      <w:r w:rsidR="002D44BB">
        <w:t>,</w:t>
      </w:r>
      <w:r>
        <w:t xml:space="preserve"> and ex-post evaluation</w:t>
      </w:r>
      <w:r w:rsidR="002D44BB">
        <w:t>,</w:t>
      </w:r>
      <w:r>
        <w:t xml:space="preserve"> has also been developed. </w:t>
      </w:r>
      <w:r w:rsidR="00900B0D">
        <w:t xml:space="preserve">Staff </w:t>
      </w:r>
      <w:r>
        <w:t xml:space="preserve">actively use supervision missions to monitor performance of the projects implemented by multilateral banks </w:t>
      </w:r>
      <w:r w:rsidR="002D44BB">
        <w:t>to make</w:t>
      </w:r>
      <w:r>
        <w:t xml:space="preserve"> sure that results </w:t>
      </w:r>
      <w:r w:rsidR="002D44BB">
        <w:t>and risk management are as expected.</w:t>
      </w:r>
      <w:r>
        <w:t xml:space="preserve"> </w:t>
      </w:r>
    </w:p>
    <w:p w14:paraId="3CA8192E" w14:textId="77777777" w:rsidR="00305375" w:rsidRDefault="00305375" w:rsidP="00305375">
      <w:pPr>
        <w:pStyle w:val="BodyText"/>
      </w:pPr>
      <w:r>
        <w:t>In t</w:t>
      </w:r>
      <w:r w:rsidR="002D44BB">
        <w:t xml:space="preserve">he last twelve months, DFAT </w:t>
      </w:r>
      <w:r w:rsidR="001468F3">
        <w:t xml:space="preserve">commenced the design of three </w:t>
      </w:r>
      <w:r w:rsidR="00D515AB">
        <w:t xml:space="preserve">new </w:t>
      </w:r>
      <w:r w:rsidR="001468F3">
        <w:t xml:space="preserve">aid investments </w:t>
      </w:r>
      <w:r w:rsidR="00D515AB">
        <w:t xml:space="preserve">under the </w:t>
      </w:r>
      <w:r w:rsidR="00D515AB">
        <w:rPr>
          <w:i/>
        </w:rPr>
        <w:t>Aid Investment Plan 2015-2020</w:t>
      </w:r>
      <w:r>
        <w:t>. The design mission</w:t>
      </w:r>
      <w:r w:rsidR="00D515AB">
        <w:t>s involved</w:t>
      </w:r>
      <w:r>
        <w:t xml:space="preserve"> strong </w:t>
      </w:r>
      <w:r w:rsidR="00D515AB">
        <w:t xml:space="preserve">monitoring and evaluation </w:t>
      </w:r>
      <w:r>
        <w:t>and gender specialist</w:t>
      </w:r>
      <w:r w:rsidR="00D515AB">
        <w:t>s</w:t>
      </w:r>
      <w:r>
        <w:t xml:space="preserve"> to </w:t>
      </w:r>
      <w:r w:rsidR="00D515AB">
        <w:t xml:space="preserve">develop </w:t>
      </w:r>
      <w:r>
        <w:t xml:space="preserve">vigorous </w:t>
      </w:r>
      <w:r w:rsidR="00D515AB">
        <w:t>performance</w:t>
      </w:r>
      <w:r>
        <w:t xml:space="preserve"> framework</w:t>
      </w:r>
      <w:r w:rsidR="00D515AB">
        <w:t>s</w:t>
      </w:r>
      <w:r>
        <w:t xml:space="preserve"> </w:t>
      </w:r>
      <w:r w:rsidR="00D515AB">
        <w:t>and well-integrated</w:t>
      </w:r>
      <w:r>
        <w:t xml:space="preserve"> gender equality </w:t>
      </w:r>
      <w:r w:rsidR="00D515AB">
        <w:t>measures</w:t>
      </w:r>
      <w:r>
        <w:t xml:space="preserve">. </w:t>
      </w:r>
    </w:p>
    <w:p w14:paraId="17DAD307" w14:textId="77777777" w:rsidR="00305375" w:rsidRDefault="00D515AB" w:rsidP="00305375">
      <w:pPr>
        <w:pStyle w:val="BodyText"/>
      </w:pPr>
      <w:r>
        <w:t>We have done well to meet the Australian Government’s efficiency target of reducing the number of individual aid investments by 20 per cent</w:t>
      </w:r>
      <w:r w:rsidR="00305375">
        <w:t xml:space="preserve"> by 2016-17. </w:t>
      </w:r>
      <w:r w:rsidR="00305375" w:rsidRPr="00684DAE">
        <w:t>I</w:t>
      </w:r>
      <w:r w:rsidR="00305375">
        <w:t xml:space="preserve">n the period from July 2015 to July 2016, the number of </w:t>
      </w:r>
      <w:r>
        <w:t xml:space="preserve">our </w:t>
      </w:r>
      <w:r w:rsidR="00305375">
        <w:t xml:space="preserve">active investments </w:t>
      </w:r>
      <w:r>
        <w:t>decreased by 33 per cent</w:t>
      </w:r>
      <w:r w:rsidR="00305375">
        <w:t xml:space="preserve"> (from 30 investments to 20 investments). Among the active investments, non-mon</w:t>
      </w:r>
      <w:r>
        <w:t xml:space="preserve">itored investment (under </w:t>
      </w:r>
      <w:r w:rsidR="00305375">
        <w:t>$</w:t>
      </w:r>
      <w:r>
        <w:t>3 million) represent 30 per cent</w:t>
      </w:r>
      <w:r w:rsidR="00305375">
        <w:t>, i</w:t>
      </w:r>
      <w:r>
        <w:t>nvestments above $10 million represent 50 per cent</w:t>
      </w:r>
      <w:r w:rsidR="00305375">
        <w:t xml:space="preserve">. </w:t>
      </w:r>
      <w:r>
        <w:t>We are planning to increase efficiency further by reducing the</w:t>
      </w:r>
      <w:r w:rsidR="00305375">
        <w:t xml:space="preserve"> </w:t>
      </w:r>
      <w:r>
        <w:t xml:space="preserve">number of </w:t>
      </w:r>
      <w:r w:rsidR="00305375">
        <w:t xml:space="preserve">investments to 13 </w:t>
      </w:r>
      <w:r>
        <w:t>by July 2017.</w:t>
      </w:r>
    </w:p>
    <w:p w14:paraId="40DE7ACD" w14:textId="77777777" w:rsidR="00305375" w:rsidRPr="00C61187" w:rsidRDefault="00305375" w:rsidP="00305375">
      <w:pPr>
        <w:pStyle w:val="BodyText"/>
      </w:pPr>
      <w:r w:rsidRPr="00C61187">
        <w:t xml:space="preserve">Comment on evaluations completed in the reporting period and discuss the forward evaluation pipeline with reference to </w:t>
      </w:r>
      <w:r w:rsidRPr="00C61187">
        <w:rPr>
          <w:b/>
        </w:rPr>
        <w:t>Annex C</w:t>
      </w:r>
      <w:r w:rsidRPr="00C61187">
        <w:t xml:space="preserve">.  </w:t>
      </w:r>
    </w:p>
    <w:p w14:paraId="3219DA59" w14:textId="77777777" w:rsidR="002A51CA" w:rsidRPr="002A51CA" w:rsidRDefault="002A51CA" w:rsidP="002A51CA">
      <w:pPr>
        <w:pStyle w:val="Heading2"/>
      </w:pPr>
      <w:r w:rsidRPr="002A51CA">
        <w:t>Analysis of Aid Quality Checks (AQCs)</w:t>
      </w:r>
    </w:p>
    <w:p w14:paraId="24DA53F0" w14:textId="77777777" w:rsidR="00305375" w:rsidRPr="00E162D5" w:rsidRDefault="00305375" w:rsidP="00305375">
      <w:pPr>
        <w:pStyle w:val="BodyText"/>
      </w:pPr>
      <w:r>
        <w:t xml:space="preserve">AQC and FAQC reports confirmed that all of </w:t>
      </w:r>
      <w:r w:rsidRPr="00E162D5">
        <w:t>the monitored investments are highly relevant with the new AIP strategic objectives and development priori</w:t>
      </w:r>
      <w:r w:rsidR="000728A5" w:rsidRPr="00E162D5">
        <w:t>ty of both Governments with 100 per cent</w:t>
      </w:r>
      <w:r w:rsidRPr="00E162D5">
        <w:t xml:space="preserve"> </w:t>
      </w:r>
      <w:r w:rsidR="000728A5" w:rsidRPr="00E162D5">
        <w:t>of investments rating as satisfactory against the relevance criteria.</w:t>
      </w:r>
    </w:p>
    <w:p w14:paraId="66D2DC3A" w14:textId="75A98E9B" w:rsidR="00305375" w:rsidRDefault="000728A5" w:rsidP="00305375">
      <w:pPr>
        <w:pStyle w:val="BodyText"/>
      </w:pPr>
      <w:r w:rsidRPr="00E162D5">
        <w:t>Compared</w:t>
      </w:r>
      <w:r w:rsidR="00305375" w:rsidRPr="00E162D5">
        <w:t xml:space="preserve"> with last year AQC process, </w:t>
      </w:r>
      <w:r w:rsidR="00083696" w:rsidRPr="00E162D5">
        <w:t>our overall performance has improved</w:t>
      </w:r>
      <w:r w:rsidR="00305375" w:rsidRPr="00E162D5">
        <w:t xml:space="preserve">. </w:t>
      </w:r>
      <w:r w:rsidR="008860C2">
        <w:t xml:space="preserve">Our </w:t>
      </w:r>
      <w:r w:rsidRPr="00E162D5">
        <w:t xml:space="preserve">rating for effectiveness </w:t>
      </w:r>
      <w:r w:rsidR="008860C2">
        <w:t xml:space="preserve">was 92 </w:t>
      </w:r>
      <w:r w:rsidRPr="00344490">
        <w:t>per cent</w:t>
      </w:r>
      <w:r w:rsidRPr="00E162D5">
        <w:t xml:space="preserve"> this year,</w:t>
      </w:r>
      <w:r w:rsidR="00305375" w:rsidRPr="00E162D5">
        <w:t xml:space="preserve"> and efficiency </w:t>
      </w:r>
      <w:r w:rsidR="008860C2">
        <w:t xml:space="preserve">85 </w:t>
      </w:r>
      <w:r w:rsidRPr="00E162D5">
        <w:t>per cent. This reflects concerted</w:t>
      </w:r>
      <w:r w:rsidR="00305375" w:rsidRPr="00E162D5">
        <w:t xml:space="preserve"> efforts </w:t>
      </w:r>
      <w:r w:rsidRPr="00E162D5">
        <w:t>to improve</w:t>
      </w:r>
      <w:r w:rsidR="00305375" w:rsidRPr="00E162D5">
        <w:t xml:space="preserve"> performance and value for money of Australian aid investments in Vietnam. DFAT has </w:t>
      </w:r>
      <w:r w:rsidR="00291EC3" w:rsidRPr="00E162D5">
        <w:t>worked</w:t>
      </w:r>
      <w:r w:rsidR="00305375" w:rsidRPr="00E162D5">
        <w:t xml:space="preserve"> in close </w:t>
      </w:r>
      <w:r w:rsidR="00291EC3" w:rsidRPr="00E162D5">
        <w:t>partnership with the World Bank</w:t>
      </w:r>
      <w:r w:rsidR="00305375" w:rsidRPr="00E162D5">
        <w:t xml:space="preserve"> to improve </w:t>
      </w:r>
      <w:r w:rsidR="00291EC3" w:rsidRPr="00E162D5">
        <w:t xml:space="preserve">the </w:t>
      </w:r>
      <w:r w:rsidR="00305375" w:rsidRPr="00E162D5">
        <w:t>result</w:t>
      </w:r>
      <w:r w:rsidR="00291EC3" w:rsidRPr="00E162D5">
        <w:t>s</w:t>
      </w:r>
      <w:r w:rsidR="00305375">
        <w:t xml:space="preserve"> management fra</w:t>
      </w:r>
      <w:r w:rsidR="00291EC3">
        <w:t xml:space="preserve">meworks of </w:t>
      </w:r>
      <w:r w:rsidR="00305375">
        <w:t>the World Bank Partnership Trust-fund and Vietnam Climate Change Innovation Centre</w:t>
      </w:r>
      <w:r w:rsidR="00291EC3">
        <w:t>. Both these investments had unsatisfactory M&amp;E ratings last year. DFAT</w:t>
      </w:r>
      <w:r w:rsidR="00305375">
        <w:t xml:space="preserve"> has been working </w:t>
      </w:r>
      <w:r w:rsidR="00291EC3">
        <w:t>closely</w:t>
      </w:r>
      <w:r w:rsidR="00305375">
        <w:t xml:space="preserve"> with the Bank’s implementation teams </w:t>
      </w:r>
      <w:r w:rsidR="00291EC3">
        <w:t xml:space="preserve">to mobilise additional </w:t>
      </w:r>
      <w:r w:rsidR="00305375">
        <w:t>M&amp;E resource</w:t>
      </w:r>
      <w:r w:rsidR="00291EC3">
        <w:t xml:space="preserve">s and participate in </w:t>
      </w:r>
      <w:r w:rsidR="00305375">
        <w:t>supervision missions.</w:t>
      </w:r>
    </w:p>
    <w:p w14:paraId="254775AA" w14:textId="77777777" w:rsidR="00E127A8" w:rsidRDefault="00E127A8" w:rsidP="00305375">
      <w:pPr>
        <w:pStyle w:val="BodyText"/>
      </w:pPr>
    </w:p>
    <w:p w14:paraId="42578632" w14:textId="606BDE99" w:rsidR="00305375" w:rsidRDefault="00FF35F6" w:rsidP="00305375">
      <w:pPr>
        <w:pStyle w:val="BodyText"/>
      </w:pPr>
      <w:r>
        <w:lastRenderedPageBreak/>
        <w:t xml:space="preserve">The </w:t>
      </w:r>
      <w:r w:rsidR="00305375">
        <w:t>Vietnam Climate</w:t>
      </w:r>
      <w:r>
        <w:t xml:space="preserve"> Change Innovation Centre</w:t>
      </w:r>
      <w:r w:rsidR="00305375">
        <w:t xml:space="preserve"> was </w:t>
      </w:r>
      <w:r>
        <w:t xml:space="preserve">an </w:t>
      </w:r>
      <w:r w:rsidR="00305375">
        <w:t>investment requiring improvement (IRI) in 2015 AQC round, due to the significan</w:t>
      </w:r>
      <w:r>
        <w:t>t delay in launching the Centre. We have now</w:t>
      </w:r>
      <w:r w:rsidR="00305375">
        <w:t xml:space="preserve"> </w:t>
      </w:r>
      <w:r>
        <w:t>successfully implemented the remediation p</w:t>
      </w:r>
      <w:r w:rsidR="00305375">
        <w:t>lan</w:t>
      </w:r>
      <w:r>
        <w:t xml:space="preserve"> and a</w:t>
      </w:r>
      <w:r w:rsidR="00305375" w:rsidRPr="00DE5B24">
        <w:t xml:space="preserve">chievements </w:t>
      </w:r>
      <w:r>
        <w:t>in the AQC report</w:t>
      </w:r>
      <w:r w:rsidR="00305375">
        <w:t xml:space="preserve"> includes</w:t>
      </w:r>
      <w:r>
        <w:t>:</w:t>
      </w:r>
      <w:r w:rsidR="00305375" w:rsidRPr="00DE5B24">
        <w:t xml:space="preserve"> Finalisation of Result Management Framework and Internal Project Operation Manual; </w:t>
      </w:r>
      <w:r>
        <w:t>d</w:t>
      </w:r>
      <w:r w:rsidR="00305375" w:rsidRPr="00DE5B24">
        <w:t>evelopment of an external</w:t>
      </w:r>
      <w:r>
        <w:t xml:space="preserve"> expert panel to support the first</w:t>
      </w:r>
      <w:r w:rsidR="00305375" w:rsidRPr="00DE5B24">
        <w:t xml:space="preserve"> six months of implementation; and Initial Training sessions for potential clients</w:t>
      </w:r>
      <w:r w:rsidR="00305375">
        <w:t>. DFAT will maintain close monitoring through implementation support missions.</w:t>
      </w:r>
    </w:p>
    <w:p w14:paraId="32C3FFEF" w14:textId="77777777" w:rsidR="00305375" w:rsidRDefault="000F5350" w:rsidP="00305375">
      <w:pPr>
        <w:pStyle w:val="BodyText"/>
      </w:pPr>
      <w:r>
        <w:t xml:space="preserve">The </w:t>
      </w:r>
      <w:r w:rsidR="00305375">
        <w:t xml:space="preserve">Vietnam </w:t>
      </w:r>
      <w:r w:rsidR="00D82B1C">
        <w:t>aid p</w:t>
      </w:r>
      <w:r w:rsidR="00305375">
        <w:t xml:space="preserve">rogram </w:t>
      </w:r>
      <w:r w:rsidR="00D82B1C">
        <w:t xml:space="preserve">did </w:t>
      </w:r>
      <w:r w:rsidR="00305375">
        <w:t xml:space="preserve">not met the </w:t>
      </w:r>
      <w:r w:rsidR="00D82B1C">
        <w:t>Australian Government’s</w:t>
      </w:r>
      <w:r w:rsidR="00FF35F6">
        <w:t xml:space="preserve"> 80 per cent</w:t>
      </w:r>
      <w:r w:rsidR="00305375">
        <w:t xml:space="preserve"> target on gender</w:t>
      </w:r>
      <w:r w:rsidR="00D82B1C">
        <w:t xml:space="preserve"> equality</w:t>
      </w:r>
      <w:r w:rsidR="00305375">
        <w:t xml:space="preserve"> for the second </w:t>
      </w:r>
      <w:r w:rsidR="00D82B1C">
        <w:t xml:space="preserve">year, with </w:t>
      </w:r>
      <w:r w:rsidR="00FF35F6">
        <w:t>only 76 per</w:t>
      </w:r>
      <w:r w:rsidR="00305375">
        <w:t xml:space="preserve"> of the AQC rated satisfac</w:t>
      </w:r>
      <w:r w:rsidR="00FF35F6">
        <w:t xml:space="preserve">tory </w:t>
      </w:r>
      <w:r w:rsidR="00305375">
        <w:t xml:space="preserve">on gender equality criteria. </w:t>
      </w:r>
      <w:r w:rsidR="00C5049F">
        <w:t>T</w:t>
      </w:r>
      <w:r w:rsidR="00305375">
        <w:t>he World Bank Partnership Trust</w:t>
      </w:r>
      <w:r w:rsidR="00C5049F">
        <w:t xml:space="preserve"> F</w:t>
      </w:r>
      <w:r w:rsidR="00305375">
        <w:t xml:space="preserve">und and Restructuring for More Competitive Vietnam Program </w:t>
      </w:r>
      <w:r w:rsidR="00C5049F">
        <w:t xml:space="preserve">received </w:t>
      </w:r>
      <w:r w:rsidR="00305375">
        <w:t>improv</w:t>
      </w:r>
      <w:r w:rsidR="00C5049F">
        <w:t xml:space="preserve">ed </w:t>
      </w:r>
      <w:r w:rsidR="00305375">
        <w:t>gender equality rating</w:t>
      </w:r>
      <w:r w:rsidR="00C5049F">
        <w:t xml:space="preserve">s in the recent AQC assessment. </w:t>
      </w:r>
      <w:r w:rsidR="00305375">
        <w:t xml:space="preserve"> </w:t>
      </w:r>
      <w:r w:rsidR="00C5049F">
        <w:t>However, the</w:t>
      </w:r>
      <w:r w:rsidR="00305375">
        <w:t xml:space="preserve"> Mekong Transport Infrastructure and Anti-corruption projects</w:t>
      </w:r>
      <w:r w:rsidR="00C5049F">
        <w:t xml:space="preserve"> received lower ratings, both unsatisfactory. </w:t>
      </w:r>
      <w:r w:rsidR="00305375">
        <w:t xml:space="preserve">They achieved certain gender equality targets or outputs but failed to put in place gender analysis to identify gender issues, set specific gender objective and systematically monitor through M&amp;E framework. VCIC has not been successful in improving its gender rating to </w:t>
      </w:r>
      <w:r w:rsidR="00083696">
        <w:t xml:space="preserve">a </w:t>
      </w:r>
      <w:r w:rsidR="00305375">
        <w:t>satisfactory level. Further gender enforcement (turning gender from a crosscutting issue to specific objective) will require influence at higher level and changes to the existing arrangement between DFAT and World Bank as well World Bank and Partner Government</w:t>
      </w:r>
      <w:r w:rsidR="00C5049F">
        <w:t xml:space="preserve">. </w:t>
      </w:r>
    </w:p>
    <w:p w14:paraId="243E5083" w14:textId="0B92A1C5" w:rsidR="00305375" w:rsidRDefault="00083696" w:rsidP="00305375">
      <w:pPr>
        <w:pStyle w:val="BodyText"/>
      </w:pPr>
      <w:r>
        <w:t>The a</w:t>
      </w:r>
      <w:r w:rsidR="00305375">
        <w:t xml:space="preserve">nti-corruption FAQC rating on </w:t>
      </w:r>
      <w:r w:rsidR="007418AF">
        <w:t xml:space="preserve">several </w:t>
      </w:r>
      <w:r w:rsidR="00305375">
        <w:t>criteria is unsatisfactory in 2016 round</w:t>
      </w:r>
      <w:r w:rsidR="007418AF">
        <w:t>,</w:t>
      </w:r>
      <w:r w:rsidR="00305375">
        <w:t xml:space="preserve"> </w:t>
      </w:r>
      <w:r w:rsidR="007418AF">
        <w:t xml:space="preserve">in part </w:t>
      </w:r>
      <w:r w:rsidR="00305375">
        <w:t xml:space="preserve">due to </w:t>
      </w:r>
      <w:r w:rsidR="00FF35F6">
        <w:t>reduced funding</w:t>
      </w:r>
      <w:r w:rsidR="00C85550">
        <w:t xml:space="preserve"> but also as m</w:t>
      </w:r>
      <w:r w:rsidR="00C85550" w:rsidRPr="00C85550">
        <w:t xml:space="preserve">any of the drivers of corruption are related to institutions and incentives which were beyond the scope of </w:t>
      </w:r>
      <w:r w:rsidR="00C85550">
        <w:t xml:space="preserve">Australia’s modest activities. </w:t>
      </w:r>
      <w:r w:rsidR="00305375" w:rsidRPr="00C61187">
        <w:t xml:space="preserve">A table of AQC </w:t>
      </w:r>
      <w:r w:rsidR="005615D2">
        <w:t xml:space="preserve">ratings </w:t>
      </w:r>
      <w:r w:rsidR="00305375">
        <w:t>is</w:t>
      </w:r>
      <w:r w:rsidR="00305375" w:rsidRPr="00C61187">
        <w:t xml:space="preserve"> included in </w:t>
      </w:r>
      <w:r w:rsidR="00305375" w:rsidRPr="00C61187">
        <w:rPr>
          <w:b/>
        </w:rPr>
        <w:t>Annex D</w:t>
      </w:r>
      <w:r w:rsidR="00305375" w:rsidRPr="00C61187">
        <w:t>.</w:t>
      </w:r>
    </w:p>
    <w:p w14:paraId="05A37F85" w14:textId="77777777" w:rsidR="002A51CA" w:rsidRPr="002A51CA" w:rsidRDefault="002A51CA" w:rsidP="002A51CA">
      <w:pPr>
        <w:pStyle w:val="Heading2"/>
      </w:pPr>
      <w:r w:rsidRPr="002A51CA">
        <w:t>Performance of key delivery partners</w:t>
      </w:r>
    </w:p>
    <w:p w14:paraId="6C5FC131" w14:textId="77777777" w:rsidR="002E1A30" w:rsidRDefault="002E1A30" w:rsidP="002E1A30">
      <w:pPr>
        <w:pStyle w:val="BodyText"/>
      </w:pPr>
      <w:r>
        <w:t>Our primary partner at the policy level remains the Government of Vietnam with which we have a long-established and highly productive working relationship.</w:t>
      </w:r>
      <w:r>
        <w:rPr>
          <w:rFonts w:asciiTheme="minorHAnsi" w:eastAsiaTheme="majorEastAsia" w:hAnsiTheme="minorHAnsi" w:cstheme="minorHAnsi"/>
        </w:rPr>
        <w:t xml:space="preserve"> </w:t>
      </w:r>
      <w:r>
        <w:t>Government of Vietnam performance is highlighted under the mutual obligation section of this report.</w:t>
      </w:r>
    </w:p>
    <w:p w14:paraId="308377A0" w14:textId="77777777" w:rsidR="002E1A30" w:rsidRPr="00E162D5" w:rsidRDefault="002E1A30" w:rsidP="002E1A30">
      <w:pPr>
        <w:pStyle w:val="BodyText"/>
      </w:pPr>
      <w:r>
        <w:t xml:space="preserve">In 2016, </w:t>
      </w:r>
      <w:r w:rsidR="009E1AAA">
        <w:t xml:space="preserve">the </w:t>
      </w:r>
      <w:r>
        <w:t>Australian Aid Program in Vietnam conducted eight partner performance assessments</w:t>
      </w:r>
      <w:r w:rsidR="009E1AAA">
        <w:t>:</w:t>
      </w:r>
      <w:r>
        <w:t xml:space="preserve"> four Multilateral Banks</w:t>
      </w:r>
      <w:r w:rsidR="009E1AAA">
        <w:t>;</w:t>
      </w:r>
      <w:r>
        <w:t xml:space="preserve"> one managing contractor</w:t>
      </w:r>
      <w:r w:rsidR="009E1AAA">
        <w:t>,</w:t>
      </w:r>
      <w:r>
        <w:t xml:space="preserve"> and</w:t>
      </w:r>
      <w:r w:rsidR="009E1AAA">
        <w:t>;</w:t>
      </w:r>
      <w:r>
        <w:t xml:space="preserve"> three NGOs. Multilateral Banks </w:t>
      </w:r>
      <w:r w:rsidR="009E1AAA">
        <w:t>remain</w:t>
      </w:r>
      <w:r>
        <w:t xml:space="preserve"> key partners though they only account </w:t>
      </w:r>
      <w:r w:rsidRPr="00E162D5">
        <w:t>for 3</w:t>
      </w:r>
      <w:r w:rsidR="009E1AAA" w:rsidRPr="00E162D5">
        <w:t>6</w:t>
      </w:r>
      <w:r w:rsidRPr="00E162D5">
        <w:t xml:space="preserve"> per cent of the 2015</w:t>
      </w:r>
      <w:r w:rsidR="009E1AAA" w:rsidRPr="00E162D5">
        <w:t>-</w:t>
      </w:r>
      <w:r w:rsidRPr="00E162D5">
        <w:t>16</w:t>
      </w:r>
      <w:r w:rsidR="00FF35F6" w:rsidRPr="00E162D5">
        <w:t xml:space="preserve"> budget</w:t>
      </w:r>
      <w:r w:rsidRPr="00E162D5">
        <w:t xml:space="preserve">. </w:t>
      </w:r>
      <w:r w:rsidR="001F3982" w:rsidRPr="00E162D5">
        <w:t>T</w:t>
      </w:r>
      <w:r w:rsidRPr="00E162D5">
        <w:t xml:space="preserve">hree out of five pipeline investments </w:t>
      </w:r>
      <w:r w:rsidR="001F3982" w:rsidRPr="00E162D5">
        <w:t xml:space="preserve">are scheduled for managing contractor implementation, and </w:t>
      </w:r>
      <w:r w:rsidRPr="00E162D5">
        <w:t xml:space="preserve">one </w:t>
      </w:r>
      <w:r w:rsidR="001F3982" w:rsidRPr="00E162D5">
        <w:t>for</w:t>
      </w:r>
      <w:r w:rsidRPr="00E162D5">
        <w:t xml:space="preserve"> World Bank</w:t>
      </w:r>
      <w:r w:rsidR="001F3982" w:rsidRPr="00E162D5">
        <w:t xml:space="preserve"> management.</w:t>
      </w:r>
    </w:p>
    <w:p w14:paraId="3E9114A9" w14:textId="77777777" w:rsidR="002E1A30" w:rsidRPr="00E162D5" w:rsidRDefault="00EF644E" w:rsidP="002E1A30">
      <w:pPr>
        <w:pStyle w:val="BodyText"/>
      </w:pPr>
      <w:r w:rsidRPr="00E162D5">
        <w:t>M</w:t>
      </w:r>
      <w:r w:rsidR="002E1A30" w:rsidRPr="00E162D5">
        <w:t xml:space="preserve">ost partners perform well in all of assessment areas, </w:t>
      </w:r>
      <w:r w:rsidRPr="00E162D5">
        <w:t xml:space="preserve">however the </w:t>
      </w:r>
      <w:r w:rsidR="002E1A30" w:rsidRPr="00E162D5">
        <w:t xml:space="preserve">World Bank team implementing the Vietnam Climate Change Innovation Centre project has </w:t>
      </w:r>
      <w:r w:rsidRPr="00E162D5">
        <w:t xml:space="preserve">only had </w:t>
      </w:r>
      <w:r w:rsidR="002E1A30" w:rsidRPr="00E162D5">
        <w:t>adequate performance across all criteria</w:t>
      </w:r>
      <w:r w:rsidRPr="00E162D5">
        <w:t>. DFAT</w:t>
      </w:r>
      <w:r w:rsidR="002E1A30" w:rsidRPr="00E162D5">
        <w:t xml:space="preserve"> </w:t>
      </w:r>
      <w:r w:rsidRPr="00E162D5">
        <w:t>is working with the</w:t>
      </w:r>
      <w:r w:rsidR="002E1A30" w:rsidRPr="00E162D5">
        <w:t xml:space="preserve"> World Bank </w:t>
      </w:r>
      <w:r w:rsidRPr="00E162D5">
        <w:t xml:space="preserve">to make sure it </w:t>
      </w:r>
      <w:r w:rsidR="002E1A30" w:rsidRPr="00E162D5">
        <w:t>provides effective personnel and communication with donors. DFAT is seeking member</w:t>
      </w:r>
      <w:r w:rsidR="00765EC9" w:rsidRPr="00E162D5">
        <w:t>ship</w:t>
      </w:r>
      <w:r w:rsidR="002E1A30" w:rsidRPr="00E162D5">
        <w:t xml:space="preserve"> of </w:t>
      </w:r>
      <w:r w:rsidR="00765EC9" w:rsidRPr="00E162D5">
        <w:t>the s</w:t>
      </w:r>
      <w:r w:rsidR="002E1A30" w:rsidRPr="00E162D5">
        <w:t xml:space="preserve">teering </w:t>
      </w:r>
      <w:r w:rsidR="00765EC9" w:rsidRPr="00E162D5">
        <w:t>c</w:t>
      </w:r>
      <w:r w:rsidR="002E1A30" w:rsidRPr="00E162D5">
        <w:t xml:space="preserve">ommittee to </w:t>
      </w:r>
      <w:r w:rsidR="00765EC9" w:rsidRPr="00E162D5">
        <w:t>further support our efforts to achieve this</w:t>
      </w:r>
      <w:r w:rsidR="002E1A30" w:rsidRPr="00E162D5">
        <w:t>.</w:t>
      </w:r>
    </w:p>
    <w:p w14:paraId="5ED26192" w14:textId="77777777" w:rsidR="002E1A30" w:rsidRPr="00E162D5" w:rsidRDefault="00B979C2" w:rsidP="002E1A30">
      <w:pPr>
        <w:pStyle w:val="BodyText"/>
      </w:pPr>
      <w:r w:rsidRPr="00E162D5">
        <w:t>T</w:t>
      </w:r>
      <w:r w:rsidR="002E1A30" w:rsidRPr="00E162D5">
        <w:t>he World Bank Partnership Trust</w:t>
      </w:r>
      <w:r w:rsidRPr="00E162D5">
        <w:t xml:space="preserve"> F</w:t>
      </w:r>
      <w:r w:rsidR="002E1A30" w:rsidRPr="00E162D5">
        <w:t>und is successful in achieving results and leveraging strategic level impacts</w:t>
      </w:r>
      <w:r w:rsidRPr="00E162D5">
        <w:t>, yet Australia’s contribution is much smaller this year due to a reduced budget</w:t>
      </w:r>
      <w:r w:rsidR="002E1A30" w:rsidRPr="00E162D5">
        <w:t>. The Joint Steering Committee membered by DFAT, World Bank and task team leaders proves to be an effective management mechanism to address issues at both policy and implementation level.</w:t>
      </w:r>
    </w:p>
    <w:p w14:paraId="47F6177F" w14:textId="77777777" w:rsidR="002E1A30" w:rsidRDefault="002E1A30" w:rsidP="002E1A30">
      <w:pPr>
        <w:pStyle w:val="BodyText"/>
      </w:pPr>
      <w:r w:rsidRPr="00E162D5">
        <w:t xml:space="preserve">The partnership with ADB through </w:t>
      </w:r>
      <w:r w:rsidR="00083696" w:rsidRPr="00E162D5">
        <w:t xml:space="preserve">the </w:t>
      </w:r>
      <w:r w:rsidRPr="00E162D5">
        <w:t xml:space="preserve">Cao Lanh bridge has been </w:t>
      </w:r>
      <w:r w:rsidR="00083696" w:rsidRPr="00E162D5">
        <w:t>responsive and effective</w:t>
      </w:r>
      <w:r w:rsidRPr="00E162D5">
        <w:t xml:space="preserve">. The collaboration mechanism among ADB, partner government and DFAT </w:t>
      </w:r>
      <w:r w:rsidR="00DA35AA" w:rsidRPr="00E162D5">
        <w:t>is effective in coordinating responses on emerging issues which has been further assisted through transferring management responsibility from Manila to the Vietnam Resident Mission</w:t>
      </w:r>
      <w:r w:rsidRPr="00E162D5">
        <w:t xml:space="preserve">. DFAT engagement of </w:t>
      </w:r>
      <w:r w:rsidR="00E47C98" w:rsidRPr="00E162D5">
        <w:t xml:space="preserve">an </w:t>
      </w:r>
      <w:r w:rsidRPr="00E162D5">
        <w:t>infrastructure advisor, who is former senior official of ADB</w:t>
      </w:r>
      <w:r w:rsidR="00513EE0" w:rsidRPr="00E162D5">
        <w:t>,</w:t>
      </w:r>
      <w:r w:rsidRPr="00E162D5">
        <w:t xml:space="preserve"> also added value in helping DFAT to better understand ADB system and provide strategic interventions to the implementation.</w:t>
      </w:r>
    </w:p>
    <w:p w14:paraId="46F04DD6" w14:textId="77777777" w:rsidR="00E162D5" w:rsidRDefault="00E162D5">
      <w:pPr>
        <w:suppressAutoHyphens w:val="0"/>
        <w:spacing w:before="0" w:after="120" w:line="440" w:lineRule="atLeast"/>
        <w:rPr>
          <w:rFonts w:asciiTheme="majorHAnsi" w:eastAsiaTheme="majorEastAsia" w:hAnsiTheme="majorHAnsi" w:cstheme="majorBidi"/>
          <w:caps/>
          <w:sz w:val="38"/>
          <w:szCs w:val="26"/>
        </w:rPr>
      </w:pPr>
      <w:r>
        <w:br w:type="page"/>
      </w:r>
    </w:p>
    <w:p w14:paraId="0BE6D766" w14:textId="77777777" w:rsidR="002A51CA" w:rsidRPr="002A51CA" w:rsidRDefault="002A51CA" w:rsidP="002A51CA">
      <w:pPr>
        <w:pStyle w:val="Heading2"/>
      </w:pPr>
      <w:r w:rsidRPr="002A51CA">
        <w:lastRenderedPageBreak/>
        <w:t>Risks</w:t>
      </w:r>
    </w:p>
    <w:p w14:paraId="31E21090" w14:textId="77777777" w:rsidR="002A51CA" w:rsidRPr="008C2F58" w:rsidRDefault="00B11695" w:rsidP="00305375">
      <w:pPr>
        <w:pStyle w:val="Caption"/>
      </w:pPr>
      <w:r w:rsidRPr="008C2F58">
        <w:t xml:space="preserve">Table </w:t>
      </w:r>
      <w:r w:rsidRPr="008C2F58">
        <w:fldChar w:fldCharType="begin"/>
      </w:r>
      <w:r w:rsidRPr="008C2F58">
        <w:instrText xml:space="preserve"> SEQ Table \* ARABIC </w:instrText>
      </w:r>
      <w:r w:rsidRPr="008C2F58">
        <w:fldChar w:fldCharType="separate"/>
      </w:r>
      <w:r w:rsidR="00843955">
        <w:rPr>
          <w:noProof/>
        </w:rPr>
        <w:t>4</w:t>
      </w:r>
      <w:r w:rsidRPr="008C2F58">
        <w:rPr>
          <w:noProof/>
        </w:rPr>
        <w:fldChar w:fldCharType="end"/>
      </w:r>
      <w:r w:rsidRPr="00B11695">
        <w:t>:</w:t>
      </w:r>
      <w:r w:rsidR="002A51CA" w:rsidRPr="00B11695">
        <w:t xml:space="preserve"> Management of Key Risks to Achieving Objectives</w:t>
      </w:r>
    </w:p>
    <w:tbl>
      <w:tblPr>
        <w:tblStyle w:val="APPR"/>
        <w:tblW w:w="5190" w:type="pct"/>
        <w:tblLook w:val="0600" w:firstRow="0" w:lastRow="0" w:firstColumn="0" w:lastColumn="0" w:noHBand="1" w:noVBand="1"/>
        <w:tblCaption w:val="Table 4: Management of Key Risks to Achieving Objectives"/>
        <w:tblDescription w:val="Detal on how to manage the five key risks identified and description of what actions were taken to manage the risks over the past year, what furtheractions will be taken to manage the risks in the coming year and a risk rating. "/>
      </w:tblPr>
      <w:tblGrid>
        <w:gridCol w:w="2480"/>
        <w:gridCol w:w="3113"/>
        <w:gridCol w:w="3161"/>
        <w:gridCol w:w="1250"/>
      </w:tblGrid>
      <w:tr w:rsidR="00305375" w:rsidRPr="005615D2" w14:paraId="4E3D4F9D" w14:textId="77777777" w:rsidTr="00CB0376">
        <w:tc>
          <w:tcPr>
            <w:tcW w:w="2505" w:type="dxa"/>
            <w:hideMark/>
          </w:tcPr>
          <w:p w14:paraId="48A23A1B" w14:textId="77777777" w:rsidR="002A51CA" w:rsidRPr="005615D2" w:rsidRDefault="002A51CA" w:rsidP="00BE6C6D">
            <w:pPr>
              <w:rPr>
                <w:rFonts w:asciiTheme="minorHAnsi" w:hAnsiTheme="minorHAnsi"/>
                <w:b/>
                <w:color w:val="000000" w:themeColor="text1"/>
                <w:sz w:val="20"/>
                <w:szCs w:val="20"/>
              </w:rPr>
            </w:pPr>
            <w:r w:rsidRPr="005615D2">
              <w:rPr>
                <w:rFonts w:asciiTheme="minorHAnsi" w:hAnsiTheme="minorHAnsi"/>
                <w:b/>
                <w:color w:val="000000" w:themeColor="text1"/>
                <w:sz w:val="20"/>
                <w:szCs w:val="20"/>
              </w:rPr>
              <w:t>Key risks</w:t>
            </w:r>
          </w:p>
        </w:tc>
        <w:tc>
          <w:tcPr>
            <w:tcW w:w="3183" w:type="dxa"/>
          </w:tcPr>
          <w:p w14:paraId="129BF6D4" w14:textId="77777777" w:rsidR="002A51CA" w:rsidRPr="005615D2" w:rsidRDefault="002A51CA" w:rsidP="00BE6C6D">
            <w:pPr>
              <w:rPr>
                <w:rFonts w:asciiTheme="minorHAnsi" w:hAnsiTheme="minorHAnsi"/>
                <w:b/>
                <w:color w:val="000000" w:themeColor="text1"/>
                <w:sz w:val="20"/>
                <w:szCs w:val="20"/>
              </w:rPr>
            </w:pPr>
            <w:r w:rsidRPr="005615D2">
              <w:rPr>
                <w:rFonts w:asciiTheme="minorHAnsi" w:hAnsiTheme="minorHAnsi"/>
                <w:b/>
                <w:color w:val="000000" w:themeColor="text1"/>
                <w:sz w:val="20"/>
                <w:szCs w:val="20"/>
              </w:rPr>
              <w:t>What actions were taken to manage the risks over the past year?</w:t>
            </w:r>
          </w:p>
        </w:tc>
        <w:tc>
          <w:tcPr>
            <w:tcW w:w="3232" w:type="dxa"/>
          </w:tcPr>
          <w:p w14:paraId="0458CE67" w14:textId="77777777" w:rsidR="002A51CA" w:rsidRPr="005615D2" w:rsidRDefault="002A51CA" w:rsidP="00BE6C6D">
            <w:pPr>
              <w:rPr>
                <w:rFonts w:asciiTheme="minorHAnsi" w:hAnsiTheme="minorHAnsi"/>
                <w:b/>
                <w:color w:val="000000" w:themeColor="text1"/>
                <w:sz w:val="20"/>
                <w:szCs w:val="20"/>
              </w:rPr>
            </w:pPr>
            <w:r w:rsidRPr="005615D2">
              <w:rPr>
                <w:rFonts w:asciiTheme="minorHAnsi" w:hAnsiTheme="minorHAnsi"/>
                <w:b/>
                <w:color w:val="000000" w:themeColor="text1"/>
                <w:sz w:val="20"/>
                <w:szCs w:val="20"/>
              </w:rPr>
              <w:t>What further actions will be taken to manage the risks in the coming year?</w:t>
            </w:r>
          </w:p>
        </w:tc>
        <w:tc>
          <w:tcPr>
            <w:tcW w:w="1227" w:type="dxa"/>
          </w:tcPr>
          <w:p w14:paraId="5DF2FF69" w14:textId="77777777" w:rsidR="002A51CA" w:rsidRPr="005615D2" w:rsidRDefault="00305375" w:rsidP="00305375">
            <w:pPr>
              <w:rPr>
                <w:rFonts w:asciiTheme="minorHAnsi" w:hAnsiTheme="minorHAnsi"/>
                <w:b/>
                <w:color w:val="000000" w:themeColor="text1"/>
                <w:sz w:val="20"/>
                <w:szCs w:val="20"/>
              </w:rPr>
            </w:pPr>
            <w:r w:rsidRPr="005615D2">
              <w:rPr>
                <w:rFonts w:asciiTheme="minorHAnsi" w:hAnsiTheme="minorHAnsi"/>
                <w:b/>
                <w:color w:val="000000" w:themeColor="text1"/>
                <w:sz w:val="20"/>
                <w:szCs w:val="20"/>
              </w:rPr>
              <w:t>Risk Rating</w:t>
            </w:r>
          </w:p>
        </w:tc>
      </w:tr>
      <w:tr w:rsidR="00305375" w:rsidRPr="005615D2" w14:paraId="080DDB49" w14:textId="77777777" w:rsidTr="00CB0376">
        <w:tc>
          <w:tcPr>
            <w:tcW w:w="2505" w:type="dxa"/>
            <w:hideMark/>
          </w:tcPr>
          <w:p w14:paraId="2124062A" w14:textId="77777777" w:rsidR="00305375" w:rsidRPr="00E162D5" w:rsidRDefault="005F51F2">
            <w:pPr>
              <w:rPr>
                <w:rFonts w:asciiTheme="minorHAnsi" w:hAnsiTheme="minorHAnsi"/>
                <w:color w:val="000000" w:themeColor="text1"/>
                <w:sz w:val="20"/>
                <w:szCs w:val="20"/>
              </w:rPr>
            </w:pPr>
            <w:r w:rsidRPr="00E162D5">
              <w:rPr>
                <w:rFonts w:asciiTheme="minorHAnsi" w:hAnsiTheme="minorHAnsi"/>
                <w:color w:val="000000" w:themeColor="text1"/>
                <w:sz w:val="20"/>
                <w:szCs w:val="20"/>
              </w:rPr>
              <w:t>1</w:t>
            </w:r>
            <w:r w:rsidRPr="00E162D5">
              <w:rPr>
                <w:color w:val="000000" w:themeColor="text1"/>
                <w:sz w:val="20"/>
                <w:szCs w:val="20"/>
              </w:rPr>
              <w:t xml:space="preserve">. </w:t>
            </w:r>
            <w:r w:rsidR="00305375" w:rsidRPr="00E162D5">
              <w:rPr>
                <w:color w:val="000000" w:themeColor="text1"/>
                <w:sz w:val="20"/>
                <w:szCs w:val="20"/>
              </w:rPr>
              <w:t xml:space="preserve">Delays in the approval and procurement of </w:t>
            </w:r>
            <w:r w:rsidR="00004F37" w:rsidRPr="00E162D5">
              <w:rPr>
                <w:color w:val="000000" w:themeColor="text1"/>
                <w:sz w:val="20"/>
                <w:szCs w:val="20"/>
              </w:rPr>
              <w:t>5 major</w:t>
            </w:r>
            <w:r w:rsidR="00305375" w:rsidRPr="00E162D5">
              <w:rPr>
                <w:color w:val="000000" w:themeColor="text1"/>
                <w:sz w:val="20"/>
                <w:szCs w:val="20"/>
              </w:rPr>
              <w:t xml:space="preserve"> investments</w:t>
            </w:r>
            <w:r w:rsidR="00004F37" w:rsidRPr="00E162D5">
              <w:rPr>
                <w:color w:val="000000" w:themeColor="text1"/>
                <w:sz w:val="20"/>
                <w:szCs w:val="20"/>
              </w:rPr>
              <w:t xml:space="preserve"> due to the new Vietnam Government decree requiring this ODA to be approved </w:t>
            </w:r>
            <w:r w:rsidR="00083696" w:rsidRPr="00E162D5">
              <w:rPr>
                <w:color w:val="000000" w:themeColor="text1"/>
                <w:sz w:val="20"/>
                <w:szCs w:val="20"/>
              </w:rPr>
              <w:t xml:space="preserve">by the </w:t>
            </w:r>
            <w:r w:rsidR="00004F37" w:rsidRPr="00E162D5">
              <w:rPr>
                <w:color w:val="000000" w:themeColor="text1"/>
                <w:sz w:val="20"/>
                <w:szCs w:val="20"/>
              </w:rPr>
              <w:t>Prime</w:t>
            </w:r>
            <w:r w:rsidR="00083696" w:rsidRPr="00E162D5">
              <w:rPr>
                <w:color w:val="000000" w:themeColor="text1"/>
                <w:sz w:val="20"/>
                <w:szCs w:val="20"/>
              </w:rPr>
              <w:t xml:space="preserve"> Minister three times</w:t>
            </w:r>
            <w:r w:rsidR="00305375" w:rsidRPr="00E162D5">
              <w:rPr>
                <w:color w:val="000000" w:themeColor="text1"/>
                <w:sz w:val="20"/>
                <w:szCs w:val="20"/>
              </w:rPr>
              <w:t>.</w:t>
            </w:r>
          </w:p>
        </w:tc>
        <w:tc>
          <w:tcPr>
            <w:tcW w:w="3183" w:type="dxa"/>
          </w:tcPr>
          <w:p w14:paraId="7E0D41B6" w14:textId="77777777" w:rsidR="00305375" w:rsidRPr="00E162D5" w:rsidRDefault="00004F37" w:rsidP="005F51F2">
            <w:pPr>
              <w:spacing w:after="120"/>
              <w:rPr>
                <w:rFonts w:asciiTheme="minorHAnsi" w:hAnsiTheme="minorHAnsi"/>
                <w:color w:val="000000" w:themeColor="text1"/>
                <w:sz w:val="20"/>
                <w:szCs w:val="20"/>
              </w:rPr>
            </w:pPr>
            <w:r w:rsidRPr="00E162D5">
              <w:rPr>
                <w:rFonts w:asciiTheme="minorHAnsi" w:hAnsiTheme="minorHAnsi"/>
                <w:color w:val="000000" w:themeColor="text1"/>
                <w:sz w:val="20"/>
                <w:szCs w:val="20"/>
              </w:rPr>
              <w:t>Aid M</w:t>
            </w:r>
            <w:r w:rsidR="00305375" w:rsidRPr="00E162D5">
              <w:rPr>
                <w:rFonts w:asciiTheme="minorHAnsi" w:hAnsiTheme="minorHAnsi"/>
                <w:color w:val="000000" w:themeColor="text1"/>
                <w:sz w:val="20"/>
                <w:szCs w:val="20"/>
              </w:rPr>
              <w:t xml:space="preserve">anagement steering committee reviewed timeline for concept and design approval on monthly basis.  </w:t>
            </w:r>
          </w:p>
          <w:p w14:paraId="5D9ED5C2" w14:textId="77777777" w:rsidR="00305375" w:rsidRPr="00E162D5" w:rsidRDefault="00305375" w:rsidP="005F51F2">
            <w:pPr>
              <w:spacing w:after="120"/>
              <w:rPr>
                <w:rFonts w:asciiTheme="minorHAnsi" w:hAnsiTheme="minorHAnsi"/>
                <w:color w:val="000000" w:themeColor="text1"/>
                <w:sz w:val="20"/>
                <w:szCs w:val="20"/>
              </w:rPr>
            </w:pPr>
            <w:r w:rsidRPr="00E162D5">
              <w:rPr>
                <w:rFonts w:asciiTheme="minorHAnsi" w:hAnsiTheme="minorHAnsi"/>
                <w:color w:val="000000" w:themeColor="text1"/>
                <w:sz w:val="20"/>
                <w:szCs w:val="20"/>
              </w:rPr>
              <w:t xml:space="preserve">DFAT raised </w:t>
            </w:r>
            <w:r w:rsidR="00004F37" w:rsidRPr="00E162D5">
              <w:rPr>
                <w:rFonts w:asciiTheme="minorHAnsi" w:hAnsiTheme="minorHAnsi"/>
                <w:color w:val="000000" w:themeColor="text1"/>
                <w:sz w:val="20"/>
                <w:szCs w:val="20"/>
              </w:rPr>
              <w:t xml:space="preserve">this risk </w:t>
            </w:r>
            <w:r w:rsidRPr="00E162D5">
              <w:rPr>
                <w:rFonts w:asciiTheme="minorHAnsi" w:hAnsiTheme="minorHAnsi"/>
                <w:color w:val="000000" w:themeColor="text1"/>
                <w:sz w:val="20"/>
                <w:szCs w:val="20"/>
              </w:rPr>
              <w:t>with Mini</w:t>
            </w:r>
            <w:r w:rsidR="00004F37" w:rsidRPr="00E162D5">
              <w:rPr>
                <w:rFonts w:asciiTheme="minorHAnsi" w:hAnsiTheme="minorHAnsi"/>
                <w:color w:val="000000" w:themeColor="text1"/>
                <w:sz w:val="20"/>
                <w:szCs w:val="20"/>
              </w:rPr>
              <w:t>stry of Planning and Investment (MPI).</w:t>
            </w:r>
          </w:p>
        </w:tc>
        <w:tc>
          <w:tcPr>
            <w:tcW w:w="3232" w:type="dxa"/>
          </w:tcPr>
          <w:p w14:paraId="317B4A05" w14:textId="77777777" w:rsidR="00305375" w:rsidRPr="005615D2" w:rsidRDefault="00305375" w:rsidP="00F35985">
            <w:pPr>
              <w:rPr>
                <w:rFonts w:asciiTheme="minorHAnsi" w:hAnsiTheme="minorHAnsi"/>
                <w:color w:val="000000" w:themeColor="text1"/>
                <w:sz w:val="20"/>
                <w:szCs w:val="20"/>
              </w:rPr>
            </w:pPr>
            <w:r w:rsidRPr="005615D2">
              <w:rPr>
                <w:rFonts w:asciiTheme="minorHAnsi" w:hAnsiTheme="minorHAnsi"/>
                <w:color w:val="000000" w:themeColor="text1"/>
                <w:sz w:val="20"/>
                <w:szCs w:val="20"/>
              </w:rPr>
              <w:t xml:space="preserve">DFAT </w:t>
            </w:r>
            <w:r w:rsidR="00900B0D">
              <w:rPr>
                <w:rFonts w:asciiTheme="minorHAnsi" w:hAnsiTheme="minorHAnsi"/>
                <w:color w:val="000000" w:themeColor="text1"/>
                <w:sz w:val="20"/>
                <w:szCs w:val="20"/>
              </w:rPr>
              <w:t>w</w:t>
            </w:r>
            <w:r w:rsidRPr="005615D2">
              <w:rPr>
                <w:rFonts w:asciiTheme="minorHAnsi" w:hAnsiTheme="minorHAnsi"/>
                <w:color w:val="000000" w:themeColor="text1"/>
                <w:sz w:val="20"/>
                <w:szCs w:val="20"/>
              </w:rPr>
              <w:t xml:space="preserve">ill </w:t>
            </w:r>
            <w:r w:rsidR="00F35985">
              <w:rPr>
                <w:rFonts w:asciiTheme="minorHAnsi" w:hAnsiTheme="minorHAnsi"/>
                <w:color w:val="000000" w:themeColor="text1"/>
                <w:sz w:val="20"/>
                <w:szCs w:val="20"/>
              </w:rPr>
              <w:t xml:space="preserve">bring forward the High Level Consultations on Development Cooperation from June 2017 to March 2017. We will </w:t>
            </w:r>
            <w:r w:rsidRPr="005615D2">
              <w:rPr>
                <w:rFonts w:asciiTheme="minorHAnsi" w:hAnsiTheme="minorHAnsi"/>
                <w:color w:val="000000" w:themeColor="text1"/>
                <w:sz w:val="20"/>
                <w:szCs w:val="20"/>
              </w:rPr>
              <w:t>work with MPI to ensure tha</w:t>
            </w:r>
            <w:r w:rsidR="00004F37">
              <w:rPr>
                <w:rFonts w:asciiTheme="minorHAnsi" w:hAnsiTheme="minorHAnsi"/>
                <w:color w:val="000000" w:themeColor="text1"/>
                <w:sz w:val="20"/>
                <w:szCs w:val="20"/>
              </w:rPr>
              <w:t>t these investments</w:t>
            </w:r>
            <w:r w:rsidRPr="005615D2">
              <w:rPr>
                <w:rFonts w:asciiTheme="minorHAnsi" w:hAnsiTheme="minorHAnsi"/>
                <w:color w:val="000000" w:themeColor="text1"/>
                <w:sz w:val="20"/>
                <w:szCs w:val="20"/>
              </w:rPr>
              <w:t xml:space="preserve"> will be approved by both government</w:t>
            </w:r>
            <w:r w:rsidR="00004F37">
              <w:rPr>
                <w:rFonts w:asciiTheme="minorHAnsi" w:hAnsiTheme="minorHAnsi"/>
                <w:color w:val="000000" w:themeColor="text1"/>
                <w:sz w:val="20"/>
                <w:szCs w:val="20"/>
              </w:rPr>
              <w:t>s</w:t>
            </w:r>
            <w:r w:rsidRPr="005615D2">
              <w:rPr>
                <w:rFonts w:asciiTheme="minorHAnsi" w:hAnsiTheme="minorHAnsi"/>
                <w:color w:val="000000" w:themeColor="text1"/>
                <w:sz w:val="20"/>
                <w:szCs w:val="20"/>
              </w:rPr>
              <w:t xml:space="preserve"> for </w:t>
            </w:r>
            <w:r w:rsidR="00004F37">
              <w:rPr>
                <w:rFonts w:asciiTheme="minorHAnsi" w:hAnsiTheme="minorHAnsi"/>
                <w:color w:val="000000" w:themeColor="text1"/>
                <w:sz w:val="20"/>
                <w:szCs w:val="20"/>
              </w:rPr>
              <w:t>implementation i</w:t>
            </w:r>
            <w:r w:rsidRPr="005615D2">
              <w:rPr>
                <w:rFonts w:asciiTheme="minorHAnsi" w:hAnsiTheme="minorHAnsi"/>
                <w:color w:val="000000" w:themeColor="text1"/>
                <w:sz w:val="20"/>
                <w:szCs w:val="20"/>
              </w:rPr>
              <w:t xml:space="preserve">n </w:t>
            </w:r>
            <w:r w:rsidR="00004F37">
              <w:rPr>
                <w:rFonts w:asciiTheme="minorHAnsi" w:hAnsiTheme="minorHAnsi"/>
                <w:color w:val="000000" w:themeColor="text1"/>
                <w:sz w:val="20"/>
                <w:szCs w:val="20"/>
              </w:rPr>
              <w:t xml:space="preserve">a </w:t>
            </w:r>
            <w:r w:rsidRPr="005615D2">
              <w:rPr>
                <w:rFonts w:asciiTheme="minorHAnsi" w:hAnsiTheme="minorHAnsi"/>
                <w:color w:val="000000" w:themeColor="text1"/>
                <w:sz w:val="20"/>
                <w:szCs w:val="20"/>
              </w:rPr>
              <w:t>timely manner.</w:t>
            </w:r>
          </w:p>
        </w:tc>
        <w:tc>
          <w:tcPr>
            <w:tcW w:w="1227" w:type="dxa"/>
          </w:tcPr>
          <w:p w14:paraId="61D373C9" w14:textId="77777777" w:rsidR="00305375" w:rsidRPr="005615D2" w:rsidRDefault="00305375" w:rsidP="006E6AB9">
            <w:pPr>
              <w:rPr>
                <w:rFonts w:asciiTheme="minorHAnsi" w:hAnsiTheme="minorHAnsi"/>
                <w:color w:val="000000" w:themeColor="text1"/>
                <w:sz w:val="20"/>
                <w:szCs w:val="20"/>
              </w:rPr>
            </w:pPr>
            <w:r w:rsidRPr="005615D2">
              <w:rPr>
                <w:rFonts w:asciiTheme="minorHAnsi" w:hAnsiTheme="minorHAnsi"/>
                <w:color w:val="000000" w:themeColor="text1"/>
                <w:sz w:val="20"/>
                <w:szCs w:val="20"/>
              </w:rPr>
              <w:t>High</w:t>
            </w:r>
          </w:p>
        </w:tc>
      </w:tr>
      <w:tr w:rsidR="00305375" w:rsidRPr="005615D2" w14:paraId="44DE97CA" w14:textId="77777777" w:rsidTr="00CB0376">
        <w:tc>
          <w:tcPr>
            <w:tcW w:w="2505" w:type="dxa"/>
            <w:hideMark/>
          </w:tcPr>
          <w:p w14:paraId="16A23D43" w14:textId="77777777" w:rsidR="00305375" w:rsidRPr="00E162D5" w:rsidRDefault="005F51F2" w:rsidP="00004F37">
            <w:pPr>
              <w:rPr>
                <w:rFonts w:asciiTheme="minorHAnsi" w:hAnsiTheme="minorHAnsi"/>
                <w:color w:val="000000" w:themeColor="text1"/>
                <w:sz w:val="20"/>
                <w:szCs w:val="20"/>
              </w:rPr>
            </w:pPr>
            <w:r w:rsidRPr="00E162D5">
              <w:rPr>
                <w:rFonts w:asciiTheme="minorHAnsi" w:hAnsiTheme="minorHAnsi"/>
                <w:color w:val="000000" w:themeColor="text1"/>
                <w:sz w:val="20"/>
                <w:szCs w:val="20"/>
              </w:rPr>
              <w:t xml:space="preserve">2. </w:t>
            </w:r>
            <w:r w:rsidR="00004F37" w:rsidRPr="00E162D5">
              <w:rPr>
                <w:rFonts w:asciiTheme="minorHAnsi" w:hAnsiTheme="minorHAnsi"/>
                <w:color w:val="000000" w:themeColor="text1"/>
                <w:sz w:val="20"/>
                <w:szCs w:val="20"/>
              </w:rPr>
              <w:t>Our</w:t>
            </w:r>
            <w:r w:rsidR="00305375" w:rsidRPr="00E162D5">
              <w:rPr>
                <w:rFonts w:asciiTheme="minorHAnsi" w:hAnsiTheme="minorHAnsi"/>
                <w:color w:val="000000" w:themeColor="text1"/>
                <w:sz w:val="20"/>
                <w:szCs w:val="20"/>
              </w:rPr>
              <w:t xml:space="preserve"> </w:t>
            </w:r>
            <w:r w:rsidR="00004F37" w:rsidRPr="00E162D5">
              <w:rPr>
                <w:rFonts w:asciiTheme="minorHAnsi" w:hAnsiTheme="minorHAnsi"/>
                <w:color w:val="000000" w:themeColor="text1"/>
                <w:sz w:val="20"/>
                <w:szCs w:val="20"/>
              </w:rPr>
              <w:t>b</w:t>
            </w:r>
            <w:r w:rsidR="00305375" w:rsidRPr="00E162D5">
              <w:rPr>
                <w:rFonts w:asciiTheme="minorHAnsi" w:hAnsiTheme="minorHAnsi"/>
                <w:color w:val="000000" w:themeColor="text1"/>
                <w:sz w:val="20"/>
                <w:szCs w:val="20"/>
              </w:rPr>
              <w:t xml:space="preserve">udget </w:t>
            </w:r>
            <w:r w:rsidR="00004F37" w:rsidRPr="00E162D5">
              <w:rPr>
                <w:rFonts w:asciiTheme="minorHAnsi" w:hAnsiTheme="minorHAnsi"/>
                <w:color w:val="000000" w:themeColor="text1"/>
                <w:sz w:val="20"/>
                <w:szCs w:val="20"/>
              </w:rPr>
              <w:t>allocation is in</w:t>
            </w:r>
            <w:r w:rsidR="00305375" w:rsidRPr="00E162D5">
              <w:rPr>
                <w:rFonts w:asciiTheme="minorHAnsi" w:hAnsiTheme="minorHAnsi"/>
                <w:color w:val="000000" w:themeColor="text1"/>
                <w:sz w:val="20"/>
                <w:szCs w:val="20"/>
              </w:rPr>
              <w:t xml:space="preserve">sufficient to cover existing commitments and mobilise new </w:t>
            </w:r>
            <w:r w:rsidR="00004F37" w:rsidRPr="00E162D5">
              <w:rPr>
                <w:rFonts w:asciiTheme="minorHAnsi" w:hAnsiTheme="minorHAnsi"/>
                <w:color w:val="000000" w:themeColor="text1"/>
                <w:sz w:val="20"/>
                <w:szCs w:val="20"/>
              </w:rPr>
              <w:t>investments before 2017-18.</w:t>
            </w:r>
          </w:p>
        </w:tc>
        <w:tc>
          <w:tcPr>
            <w:tcW w:w="3183" w:type="dxa"/>
          </w:tcPr>
          <w:p w14:paraId="69150097" w14:textId="77777777" w:rsidR="00305375" w:rsidRPr="00E162D5" w:rsidRDefault="00004F37" w:rsidP="006E6AB9">
            <w:pPr>
              <w:rPr>
                <w:rFonts w:asciiTheme="minorHAnsi" w:hAnsiTheme="minorHAnsi"/>
                <w:color w:val="000000" w:themeColor="text1"/>
                <w:sz w:val="20"/>
                <w:szCs w:val="20"/>
              </w:rPr>
            </w:pPr>
            <w:r w:rsidRPr="00E162D5">
              <w:rPr>
                <w:rFonts w:asciiTheme="minorHAnsi" w:hAnsiTheme="minorHAnsi"/>
                <w:color w:val="000000" w:themeColor="text1"/>
                <w:sz w:val="20"/>
                <w:szCs w:val="20"/>
              </w:rPr>
              <w:t>Aid Management s</w:t>
            </w:r>
            <w:r w:rsidR="00E145BC" w:rsidRPr="00E162D5">
              <w:rPr>
                <w:rFonts w:asciiTheme="minorHAnsi" w:hAnsiTheme="minorHAnsi"/>
                <w:color w:val="000000" w:themeColor="text1"/>
                <w:sz w:val="20"/>
                <w:szCs w:val="20"/>
              </w:rPr>
              <w:t>teering committee</w:t>
            </w:r>
            <w:r w:rsidRPr="00E162D5">
              <w:rPr>
                <w:rFonts w:asciiTheme="minorHAnsi" w:hAnsiTheme="minorHAnsi"/>
                <w:color w:val="000000" w:themeColor="text1"/>
                <w:sz w:val="20"/>
                <w:szCs w:val="20"/>
              </w:rPr>
              <w:t xml:space="preserve"> identified</w:t>
            </w:r>
            <w:r w:rsidR="00305375" w:rsidRPr="00E162D5">
              <w:rPr>
                <w:rFonts w:asciiTheme="minorHAnsi" w:hAnsiTheme="minorHAnsi"/>
                <w:color w:val="000000" w:themeColor="text1"/>
                <w:sz w:val="20"/>
                <w:szCs w:val="20"/>
              </w:rPr>
              <w:t xml:space="preserve"> funding as a priority agenda item.</w:t>
            </w:r>
          </w:p>
          <w:p w14:paraId="65C4851C" w14:textId="77777777" w:rsidR="00305375" w:rsidRPr="00E162D5" w:rsidRDefault="00004F37" w:rsidP="006E6AB9">
            <w:pPr>
              <w:rPr>
                <w:rFonts w:asciiTheme="minorHAnsi" w:hAnsiTheme="minorHAnsi"/>
                <w:color w:val="000000" w:themeColor="text1"/>
                <w:sz w:val="20"/>
                <w:szCs w:val="20"/>
              </w:rPr>
            </w:pPr>
            <w:r w:rsidRPr="00E162D5">
              <w:rPr>
                <w:rFonts w:asciiTheme="minorHAnsi" w:hAnsiTheme="minorHAnsi"/>
                <w:color w:val="000000" w:themeColor="text1"/>
                <w:sz w:val="20"/>
                <w:szCs w:val="20"/>
              </w:rPr>
              <w:t>P</w:t>
            </w:r>
            <w:r w:rsidR="00305375" w:rsidRPr="00E162D5">
              <w:rPr>
                <w:rFonts w:asciiTheme="minorHAnsi" w:hAnsiTheme="minorHAnsi"/>
                <w:color w:val="000000" w:themeColor="text1"/>
                <w:sz w:val="20"/>
                <w:szCs w:val="20"/>
              </w:rPr>
              <w:t xml:space="preserve">rogram pipeline plan is kept up to date by </w:t>
            </w:r>
            <w:r w:rsidRPr="00E162D5">
              <w:rPr>
                <w:rFonts w:asciiTheme="minorHAnsi" w:hAnsiTheme="minorHAnsi"/>
                <w:color w:val="000000" w:themeColor="text1"/>
                <w:sz w:val="20"/>
                <w:szCs w:val="20"/>
              </w:rPr>
              <w:t>Embassy corporate team.</w:t>
            </w:r>
          </w:p>
          <w:p w14:paraId="3F335E5C" w14:textId="77777777" w:rsidR="00305375" w:rsidRPr="00E162D5" w:rsidRDefault="007A2B8D" w:rsidP="006E6AB9">
            <w:pPr>
              <w:rPr>
                <w:rFonts w:asciiTheme="minorHAnsi" w:hAnsiTheme="minorHAnsi"/>
                <w:color w:val="000000" w:themeColor="text1"/>
                <w:sz w:val="20"/>
                <w:szCs w:val="20"/>
              </w:rPr>
            </w:pPr>
            <w:r w:rsidRPr="00E162D5">
              <w:rPr>
                <w:rFonts w:asciiTheme="minorHAnsi" w:hAnsiTheme="minorHAnsi"/>
                <w:color w:val="000000" w:themeColor="text1"/>
                <w:sz w:val="20"/>
                <w:szCs w:val="20"/>
              </w:rPr>
              <w:t>Regular communication</w:t>
            </w:r>
            <w:r w:rsidR="004B19C3" w:rsidRPr="00E162D5">
              <w:rPr>
                <w:rFonts w:asciiTheme="minorHAnsi" w:hAnsiTheme="minorHAnsi"/>
                <w:color w:val="000000" w:themeColor="text1"/>
                <w:sz w:val="20"/>
                <w:szCs w:val="20"/>
              </w:rPr>
              <w:t xml:space="preserve"> with</w:t>
            </w:r>
            <w:r w:rsidR="00004F37" w:rsidRPr="00E162D5">
              <w:rPr>
                <w:rFonts w:asciiTheme="minorHAnsi" w:hAnsiTheme="minorHAnsi"/>
                <w:color w:val="000000" w:themeColor="text1"/>
                <w:sz w:val="20"/>
                <w:szCs w:val="20"/>
              </w:rPr>
              <w:t xml:space="preserve"> </w:t>
            </w:r>
            <w:r w:rsidR="00305375" w:rsidRPr="00E162D5">
              <w:rPr>
                <w:rFonts w:asciiTheme="minorHAnsi" w:hAnsiTheme="minorHAnsi"/>
                <w:color w:val="000000" w:themeColor="text1"/>
                <w:sz w:val="20"/>
                <w:szCs w:val="20"/>
              </w:rPr>
              <w:t>partners o</w:t>
            </w:r>
            <w:r w:rsidR="00004F37" w:rsidRPr="00E162D5">
              <w:rPr>
                <w:rFonts w:asciiTheme="minorHAnsi" w:hAnsiTheme="minorHAnsi"/>
                <w:color w:val="000000" w:themeColor="text1"/>
                <w:sz w:val="20"/>
                <w:szCs w:val="20"/>
              </w:rPr>
              <w:t xml:space="preserve">n </w:t>
            </w:r>
            <w:r w:rsidR="00E145BC" w:rsidRPr="00E162D5">
              <w:rPr>
                <w:rFonts w:asciiTheme="minorHAnsi" w:hAnsiTheme="minorHAnsi"/>
                <w:color w:val="000000" w:themeColor="text1"/>
                <w:sz w:val="20"/>
                <w:szCs w:val="20"/>
              </w:rPr>
              <w:t>budget</w:t>
            </w:r>
            <w:r w:rsidR="00004F37" w:rsidRPr="00E162D5">
              <w:rPr>
                <w:rFonts w:asciiTheme="minorHAnsi" w:hAnsiTheme="minorHAnsi"/>
                <w:color w:val="000000" w:themeColor="text1"/>
                <w:sz w:val="20"/>
                <w:szCs w:val="20"/>
              </w:rPr>
              <w:t xml:space="preserve"> changes </w:t>
            </w:r>
            <w:r w:rsidR="00305375" w:rsidRPr="00E162D5">
              <w:rPr>
                <w:rFonts w:asciiTheme="minorHAnsi" w:hAnsiTheme="minorHAnsi"/>
                <w:color w:val="000000" w:themeColor="text1"/>
                <w:sz w:val="20"/>
                <w:szCs w:val="20"/>
              </w:rPr>
              <w:t xml:space="preserve">and </w:t>
            </w:r>
            <w:r w:rsidRPr="00E162D5">
              <w:rPr>
                <w:rFonts w:asciiTheme="minorHAnsi" w:hAnsiTheme="minorHAnsi"/>
                <w:color w:val="000000" w:themeColor="text1"/>
                <w:sz w:val="20"/>
                <w:szCs w:val="20"/>
              </w:rPr>
              <w:t xml:space="preserve">development of </w:t>
            </w:r>
            <w:r w:rsidR="004B19C3" w:rsidRPr="00E162D5">
              <w:rPr>
                <w:rFonts w:asciiTheme="minorHAnsi" w:hAnsiTheme="minorHAnsi"/>
                <w:color w:val="000000" w:themeColor="text1"/>
                <w:sz w:val="20"/>
                <w:szCs w:val="20"/>
              </w:rPr>
              <w:t>d</w:t>
            </w:r>
            <w:r w:rsidR="00E145BC" w:rsidRPr="00E162D5">
              <w:rPr>
                <w:rFonts w:asciiTheme="minorHAnsi" w:hAnsiTheme="minorHAnsi"/>
                <w:color w:val="000000" w:themeColor="text1"/>
                <w:sz w:val="20"/>
                <w:szCs w:val="20"/>
              </w:rPr>
              <w:t>ifferent scenarios</w:t>
            </w:r>
            <w:r w:rsidR="005F51F2" w:rsidRPr="00E162D5">
              <w:rPr>
                <w:rFonts w:asciiTheme="minorHAnsi" w:hAnsiTheme="minorHAnsi"/>
                <w:color w:val="000000" w:themeColor="text1"/>
                <w:sz w:val="20"/>
                <w:szCs w:val="20"/>
              </w:rPr>
              <w:t>.</w:t>
            </w:r>
          </w:p>
        </w:tc>
        <w:tc>
          <w:tcPr>
            <w:tcW w:w="3232" w:type="dxa"/>
          </w:tcPr>
          <w:p w14:paraId="30B7CB6F" w14:textId="77777777" w:rsidR="00305375" w:rsidRPr="005615D2" w:rsidRDefault="004B19C3" w:rsidP="006E6AB9">
            <w:pPr>
              <w:rPr>
                <w:rFonts w:asciiTheme="minorHAnsi" w:hAnsiTheme="minorHAnsi"/>
                <w:color w:val="000000" w:themeColor="text1"/>
                <w:sz w:val="20"/>
                <w:szCs w:val="20"/>
              </w:rPr>
            </w:pPr>
            <w:r>
              <w:rPr>
                <w:rFonts w:asciiTheme="minorHAnsi" w:hAnsiTheme="minorHAnsi"/>
                <w:color w:val="000000" w:themeColor="text1"/>
                <w:sz w:val="20"/>
                <w:szCs w:val="20"/>
              </w:rPr>
              <w:t>Aid Management s</w:t>
            </w:r>
            <w:r w:rsidR="00305375" w:rsidRPr="005615D2">
              <w:rPr>
                <w:rFonts w:asciiTheme="minorHAnsi" w:hAnsiTheme="minorHAnsi"/>
                <w:color w:val="000000" w:themeColor="text1"/>
                <w:sz w:val="20"/>
                <w:szCs w:val="20"/>
              </w:rPr>
              <w:t xml:space="preserve">teering committee will continue to closely </w:t>
            </w:r>
            <w:r>
              <w:rPr>
                <w:rFonts w:asciiTheme="minorHAnsi" w:hAnsiTheme="minorHAnsi"/>
                <w:color w:val="000000" w:themeColor="text1"/>
                <w:sz w:val="20"/>
                <w:szCs w:val="20"/>
              </w:rPr>
              <w:t>monitor</w:t>
            </w:r>
            <w:r w:rsidR="00305375" w:rsidRPr="005615D2">
              <w:rPr>
                <w:rFonts w:asciiTheme="minorHAnsi" w:hAnsiTheme="minorHAnsi"/>
                <w:color w:val="000000" w:themeColor="text1"/>
                <w:sz w:val="20"/>
                <w:szCs w:val="20"/>
              </w:rPr>
              <w:t xml:space="preserve"> </w:t>
            </w:r>
            <w:r>
              <w:rPr>
                <w:rFonts w:asciiTheme="minorHAnsi" w:hAnsiTheme="minorHAnsi"/>
                <w:color w:val="000000" w:themeColor="text1"/>
                <w:sz w:val="20"/>
                <w:szCs w:val="20"/>
              </w:rPr>
              <w:t>expenditure in 2016-</w:t>
            </w:r>
            <w:r w:rsidR="00305375" w:rsidRPr="005615D2">
              <w:rPr>
                <w:rFonts w:asciiTheme="minorHAnsi" w:hAnsiTheme="minorHAnsi"/>
                <w:color w:val="000000" w:themeColor="text1"/>
                <w:sz w:val="20"/>
                <w:szCs w:val="20"/>
              </w:rPr>
              <w:t xml:space="preserve">17 </w:t>
            </w:r>
            <w:r>
              <w:rPr>
                <w:rFonts w:asciiTheme="minorHAnsi" w:hAnsiTheme="minorHAnsi"/>
                <w:color w:val="000000" w:themeColor="text1"/>
                <w:sz w:val="20"/>
                <w:szCs w:val="20"/>
              </w:rPr>
              <w:t>and adjust quickly if needed.</w:t>
            </w:r>
          </w:p>
          <w:p w14:paraId="16043D44" w14:textId="77777777" w:rsidR="00305375" w:rsidRPr="005615D2" w:rsidRDefault="00305375" w:rsidP="004B19C3">
            <w:pPr>
              <w:rPr>
                <w:rFonts w:asciiTheme="minorHAnsi" w:hAnsiTheme="minorHAnsi"/>
                <w:color w:val="000000" w:themeColor="text1"/>
                <w:sz w:val="20"/>
                <w:szCs w:val="20"/>
              </w:rPr>
            </w:pPr>
            <w:r w:rsidRPr="005615D2">
              <w:rPr>
                <w:rFonts w:asciiTheme="minorHAnsi" w:hAnsiTheme="minorHAnsi"/>
                <w:color w:val="000000" w:themeColor="text1"/>
                <w:sz w:val="20"/>
                <w:szCs w:val="20"/>
              </w:rPr>
              <w:t>C</w:t>
            </w:r>
            <w:r w:rsidR="004B19C3">
              <w:rPr>
                <w:rFonts w:asciiTheme="minorHAnsi" w:hAnsiTheme="minorHAnsi"/>
                <w:color w:val="000000" w:themeColor="text1"/>
                <w:sz w:val="20"/>
                <w:szCs w:val="20"/>
              </w:rPr>
              <w:t>orporate team will</w:t>
            </w:r>
            <w:r w:rsidRPr="005615D2">
              <w:rPr>
                <w:rFonts w:asciiTheme="minorHAnsi" w:hAnsiTheme="minorHAnsi"/>
                <w:color w:val="000000" w:themeColor="text1"/>
                <w:sz w:val="20"/>
                <w:szCs w:val="20"/>
              </w:rPr>
              <w:t xml:space="preserve"> frequently update the </w:t>
            </w:r>
            <w:r w:rsidR="004B19C3">
              <w:rPr>
                <w:rFonts w:asciiTheme="minorHAnsi" w:hAnsiTheme="minorHAnsi"/>
                <w:color w:val="000000" w:themeColor="text1"/>
                <w:sz w:val="20"/>
                <w:szCs w:val="20"/>
              </w:rPr>
              <w:t xml:space="preserve">program </w:t>
            </w:r>
            <w:r w:rsidRPr="005615D2">
              <w:rPr>
                <w:rFonts w:asciiTheme="minorHAnsi" w:hAnsiTheme="minorHAnsi"/>
                <w:color w:val="000000" w:themeColor="text1"/>
                <w:sz w:val="20"/>
                <w:szCs w:val="20"/>
              </w:rPr>
              <w:t>fund plan</w:t>
            </w:r>
            <w:r w:rsidR="004B19C3">
              <w:rPr>
                <w:rFonts w:asciiTheme="minorHAnsi" w:hAnsiTheme="minorHAnsi"/>
                <w:color w:val="000000" w:themeColor="text1"/>
                <w:sz w:val="20"/>
                <w:szCs w:val="20"/>
              </w:rPr>
              <w:t xml:space="preserve"> for investment </w:t>
            </w:r>
            <w:r w:rsidRPr="005615D2">
              <w:rPr>
                <w:rFonts w:asciiTheme="minorHAnsi" w:hAnsiTheme="minorHAnsi"/>
                <w:color w:val="000000" w:themeColor="text1"/>
                <w:sz w:val="20"/>
                <w:szCs w:val="20"/>
              </w:rPr>
              <w:t>budgets</w:t>
            </w:r>
            <w:r w:rsidR="004B19C3">
              <w:rPr>
                <w:rFonts w:asciiTheme="minorHAnsi" w:hAnsiTheme="minorHAnsi"/>
                <w:color w:val="000000" w:themeColor="text1"/>
                <w:sz w:val="20"/>
                <w:szCs w:val="20"/>
              </w:rPr>
              <w:t xml:space="preserve"> and</w:t>
            </w:r>
            <w:r w:rsidRPr="005615D2">
              <w:rPr>
                <w:rFonts w:asciiTheme="minorHAnsi" w:hAnsiTheme="minorHAnsi"/>
                <w:color w:val="000000" w:themeColor="text1"/>
                <w:sz w:val="20"/>
                <w:szCs w:val="20"/>
              </w:rPr>
              <w:t xml:space="preserve"> </w:t>
            </w:r>
            <w:r w:rsidR="004B19C3">
              <w:rPr>
                <w:rFonts w:asciiTheme="minorHAnsi" w:hAnsiTheme="minorHAnsi"/>
                <w:color w:val="000000" w:themeColor="text1"/>
                <w:sz w:val="20"/>
                <w:szCs w:val="20"/>
              </w:rPr>
              <w:t xml:space="preserve">pipeline </w:t>
            </w:r>
            <w:r w:rsidRPr="005615D2">
              <w:rPr>
                <w:rFonts w:asciiTheme="minorHAnsi" w:hAnsiTheme="minorHAnsi"/>
                <w:color w:val="000000" w:themeColor="text1"/>
                <w:sz w:val="20"/>
                <w:szCs w:val="20"/>
              </w:rPr>
              <w:t>budget</w:t>
            </w:r>
            <w:r w:rsidR="004B19C3">
              <w:rPr>
                <w:rFonts w:asciiTheme="minorHAnsi" w:hAnsiTheme="minorHAnsi"/>
                <w:color w:val="000000" w:themeColor="text1"/>
                <w:sz w:val="20"/>
                <w:szCs w:val="20"/>
              </w:rPr>
              <w:t>s</w:t>
            </w:r>
          </w:p>
        </w:tc>
        <w:tc>
          <w:tcPr>
            <w:tcW w:w="1227" w:type="dxa"/>
          </w:tcPr>
          <w:p w14:paraId="3BAF084F" w14:textId="77777777" w:rsidR="00305375" w:rsidRPr="005615D2" w:rsidRDefault="00305375" w:rsidP="006E6AB9">
            <w:pPr>
              <w:rPr>
                <w:rFonts w:asciiTheme="minorHAnsi" w:hAnsiTheme="minorHAnsi"/>
                <w:color w:val="000000" w:themeColor="text1"/>
                <w:sz w:val="20"/>
                <w:szCs w:val="20"/>
              </w:rPr>
            </w:pPr>
            <w:r w:rsidRPr="005615D2">
              <w:rPr>
                <w:rFonts w:asciiTheme="minorHAnsi" w:hAnsiTheme="minorHAnsi"/>
                <w:color w:val="000000" w:themeColor="text1"/>
                <w:sz w:val="20"/>
                <w:szCs w:val="20"/>
              </w:rPr>
              <w:t>Medium</w:t>
            </w:r>
          </w:p>
        </w:tc>
      </w:tr>
      <w:tr w:rsidR="00305375" w:rsidRPr="005615D2" w14:paraId="7B47A770" w14:textId="77777777" w:rsidTr="00CB0376">
        <w:trPr>
          <w:trHeight w:val="56"/>
        </w:trPr>
        <w:tc>
          <w:tcPr>
            <w:tcW w:w="2505" w:type="dxa"/>
          </w:tcPr>
          <w:p w14:paraId="2A71F919" w14:textId="77777777" w:rsidR="00305375" w:rsidRPr="005615D2" w:rsidRDefault="005F51F2" w:rsidP="00EF4CAB">
            <w:pPr>
              <w:rPr>
                <w:rFonts w:asciiTheme="minorHAnsi" w:hAnsiTheme="minorHAnsi"/>
                <w:color w:val="000000" w:themeColor="text1"/>
                <w:sz w:val="20"/>
                <w:szCs w:val="20"/>
              </w:rPr>
            </w:pPr>
            <w:r>
              <w:rPr>
                <w:rFonts w:asciiTheme="minorHAnsi" w:hAnsiTheme="minorHAnsi"/>
                <w:color w:val="000000" w:themeColor="text1"/>
                <w:sz w:val="20"/>
                <w:szCs w:val="20"/>
              </w:rPr>
              <w:t xml:space="preserve">3. </w:t>
            </w:r>
            <w:r w:rsidR="00305375" w:rsidRPr="005615D2">
              <w:rPr>
                <w:rFonts w:asciiTheme="minorHAnsi" w:hAnsiTheme="minorHAnsi"/>
                <w:color w:val="000000" w:themeColor="text1"/>
                <w:sz w:val="20"/>
                <w:szCs w:val="20"/>
              </w:rPr>
              <w:t>Slow progress of institutional reform in the AIP focus a</w:t>
            </w:r>
            <w:r w:rsidR="00EF4CAB">
              <w:rPr>
                <w:rFonts w:asciiTheme="minorHAnsi" w:hAnsiTheme="minorHAnsi"/>
                <w:color w:val="000000" w:themeColor="text1"/>
                <w:sz w:val="20"/>
                <w:szCs w:val="20"/>
              </w:rPr>
              <w:t>reas (private sector</w:t>
            </w:r>
            <w:r w:rsidR="00305375" w:rsidRPr="005615D2">
              <w:rPr>
                <w:rFonts w:asciiTheme="minorHAnsi" w:hAnsiTheme="minorHAnsi"/>
                <w:color w:val="000000" w:themeColor="text1"/>
                <w:sz w:val="20"/>
                <w:szCs w:val="20"/>
              </w:rPr>
              <w:t>, gender equality</w:t>
            </w:r>
            <w:r w:rsidR="00EF4CAB">
              <w:rPr>
                <w:rFonts w:asciiTheme="minorHAnsi" w:hAnsiTheme="minorHAnsi"/>
                <w:color w:val="000000" w:themeColor="text1"/>
                <w:sz w:val="20"/>
                <w:szCs w:val="20"/>
              </w:rPr>
              <w:t>, human resources</w:t>
            </w:r>
            <w:r w:rsidR="00305375" w:rsidRPr="005615D2">
              <w:rPr>
                <w:rFonts w:asciiTheme="minorHAnsi" w:hAnsiTheme="minorHAnsi"/>
                <w:color w:val="000000" w:themeColor="text1"/>
                <w:sz w:val="20"/>
                <w:szCs w:val="20"/>
              </w:rPr>
              <w:t>)</w:t>
            </w:r>
            <w:r w:rsidR="00EF4CAB">
              <w:rPr>
                <w:rFonts w:asciiTheme="minorHAnsi" w:hAnsiTheme="minorHAnsi"/>
                <w:color w:val="000000" w:themeColor="text1"/>
                <w:sz w:val="20"/>
                <w:szCs w:val="20"/>
              </w:rPr>
              <w:t xml:space="preserve"> </w:t>
            </w:r>
            <w:r w:rsidR="00305375" w:rsidRPr="005615D2">
              <w:rPr>
                <w:rFonts w:asciiTheme="minorHAnsi" w:hAnsiTheme="minorHAnsi"/>
                <w:color w:val="000000" w:themeColor="text1"/>
                <w:sz w:val="20"/>
                <w:szCs w:val="20"/>
              </w:rPr>
              <w:t xml:space="preserve">may </w:t>
            </w:r>
            <w:r w:rsidR="00EF4CAB">
              <w:rPr>
                <w:rFonts w:asciiTheme="minorHAnsi" w:hAnsiTheme="minorHAnsi"/>
                <w:color w:val="000000" w:themeColor="text1"/>
                <w:sz w:val="20"/>
                <w:szCs w:val="20"/>
              </w:rPr>
              <w:t>delay achievement of objectives</w:t>
            </w:r>
            <w:r w:rsidR="00305375" w:rsidRPr="005615D2">
              <w:rPr>
                <w:rFonts w:asciiTheme="minorHAnsi" w:hAnsiTheme="minorHAnsi"/>
                <w:color w:val="000000" w:themeColor="text1"/>
                <w:sz w:val="20"/>
                <w:szCs w:val="20"/>
              </w:rPr>
              <w:t>.</w:t>
            </w:r>
          </w:p>
        </w:tc>
        <w:tc>
          <w:tcPr>
            <w:tcW w:w="3183" w:type="dxa"/>
          </w:tcPr>
          <w:p w14:paraId="716E1051" w14:textId="77777777" w:rsidR="00305375" w:rsidRPr="005615D2" w:rsidRDefault="00EF4CAB" w:rsidP="006E6AB9">
            <w:pPr>
              <w:rPr>
                <w:rFonts w:asciiTheme="minorHAnsi" w:hAnsiTheme="minorHAnsi"/>
                <w:color w:val="000000" w:themeColor="text1"/>
                <w:sz w:val="20"/>
                <w:szCs w:val="20"/>
              </w:rPr>
            </w:pPr>
            <w:r>
              <w:rPr>
                <w:rFonts w:asciiTheme="minorHAnsi" w:hAnsiTheme="minorHAnsi"/>
                <w:color w:val="000000" w:themeColor="text1"/>
                <w:sz w:val="20"/>
                <w:szCs w:val="20"/>
              </w:rPr>
              <w:t>Active engagement</w:t>
            </w:r>
            <w:r w:rsidR="00305375" w:rsidRPr="005615D2">
              <w:rPr>
                <w:rFonts w:asciiTheme="minorHAnsi" w:hAnsiTheme="minorHAnsi"/>
                <w:color w:val="000000" w:themeColor="text1"/>
                <w:sz w:val="20"/>
                <w:szCs w:val="20"/>
              </w:rPr>
              <w:t xml:space="preserve"> with a range of different institutions and support </w:t>
            </w:r>
            <w:r>
              <w:rPr>
                <w:rFonts w:asciiTheme="minorHAnsi" w:hAnsiTheme="minorHAnsi"/>
                <w:color w:val="000000" w:themeColor="text1"/>
                <w:sz w:val="20"/>
                <w:szCs w:val="20"/>
              </w:rPr>
              <w:t xml:space="preserve">of </w:t>
            </w:r>
            <w:r w:rsidR="00305375" w:rsidRPr="005615D2">
              <w:rPr>
                <w:rFonts w:asciiTheme="minorHAnsi" w:hAnsiTheme="minorHAnsi"/>
                <w:color w:val="000000" w:themeColor="text1"/>
                <w:sz w:val="20"/>
                <w:szCs w:val="20"/>
              </w:rPr>
              <w:t>other potential reform champions.</w:t>
            </w:r>
          </w:p>
        </w:tc>
        <w:tc>
          <w:tcPr>
            <w:tcW w:w="3232" w:type="dxa"/>
          </w:tcPr>
          <w:p w14:paraId="2674E445" w14:textId="77777777" w:rsidR="00305375" w:rsidRPr="005615D2" w:rsidRDefault="00EF4CAB" w:rsidP="00EF4CAB">
            <w:pPr>
              <w:rPr>
                <w:rFonts w:asciiTheme="minorHAnsi" w:hAnsiTheme="minorHAnsi"/>
                <w:color w:val="000000" w:themeColor="text1"/>
                <w:sz w:val="20"/>
                <w:szCs w:val="20"/>
              </w:rPr>
            </w:pPr>
            <w:r>
              <w:rPr>
                <w:rFonts w:asciiTheme="minorHAnsi" w:hAnsiTheme="minorHAnsi"/>
                <w:color w:val="000000" w:themeColor="text1"/>
                <w:sz w:val="20"/>
                <w:szCs w:val="20"/>
              </w:rPr>
              <w:t xml:space="preserve">All teams ensure </w:t>
            </w:r>
            <w:r w:rsidR="00305375" w:rsidRPr="005615D2">
              <w:rPr>
                <w:rFonts w:asciiTheme="minorHAnsi" w:hAnsiTheme="minorHAnsi"/>
                <w:color w:val="000000" w:themeColor="text1"/>
                <w:sz w:val="20"/>
                <w:szCs w:val="20"/>
              </w:rPr>
              <w:t xml:space="preserve">this issue is </w:t>
            </w:r>
            <w:r>
              <w:rPr>
                <w:rFonts w:asciiTheme="minorHAnsi" w:hAnsiTheme="minorHAnsi"/>
                <w:color w:val="000000" w:themeColor="text1"/>
                <w:sz w:val="20"/>
                <w:szCs w:val="20"/>
              </w:rPr>
              <w:t>accounted for</w:t>
            </w:r>
            <w:r w:rsidR="00305375" w:rsidRPr="005615D2">
              <w:rPr>
                <w:rFonts w:asciiTheme="minorHAnsi" w:hAnsiTheme="minorHAnsi"/>
                <w:color w:val="000000" w:themeColor="text1"/>
                <w:sz w:val="20"/>
                <w:szCs w:val="20"/>
              </w:rPr>
              <w:t xml:space="preserve"> in the design and implementation of new investments.</w:t>
            </w:r>
          </w:p>
        </w:tc>
        <w:tc>
          <w:tcPr>
            <w:tcW w:w="1227" w:type="dxa"/>
          </w:tcPr>
          <w:p w14:paraId="6D65F3D2" w14:textId="77777777" w:rsidR="00305375" w:rsidRPr="005615D2" w:rsidRDefault="00305375" w:rsidP="006E6AB9">
            <w:pPr>
              <w:rPr>
                <w:rFonts w:asciiTheme="minorHAnsi" w:hAnsiTheme="minorHAnsi"/>
                <w:color w:val="000000" w:themeColor="text1"/>
                <w:sz w:val="20"/>
                <w:szCs w:val="20"/>
              </w:rPr>
            </w:pPr>
            <w:r w:rsidRPr="005615D2">
              <w:rPr>
                <w:rFonts w:asciiTheme="minorHAnsi" w:hAnsiTheme="minorHAnsi"/>
                <w:color w:val="000000" w:themeColor="text1"/>
                <w:sz w:val="20"/>
                <w:szCs w:val="20"/>
              </w:rPr>
              <w:t>Medium</w:t>
            </w:r>
          </w:p>
        </w:tc>
      </w:tr>
      <w:tr w:rsidR="00F35985" w:rsidRPr="00CB0376" w14:paraId="28498727" w14:textId="77777777" w:rsidTr="00F35985">
        <w:trPr>
          <w:trHeight w:val="56"/>
        </w:trPr>
        <w:tc>
          <w:tcPr>
            <w:tcW w:w="2505" w:type="dxa"/>
          </w:tcPr>
          <w:p w14:paraId="06EF601D" w14:textId="77777777" w:rsidR="00F35985" w:rsidRPr="00CB0376" w:rsidRDefault="00F35985" w:rsidP="00F35985">
            <w:pPr>
              <w:rPr>
                <w:rFonts w:asciiTheme="minorHAnsi" w:hAnsiTheme="minorHAnsi"/>
                <w:color w:val="000000" w:themeColor="text1"/>
                <w:sz w:val="20"/>
                <w:szCs w:val="20"/>
              </w:rPr>
            </w:pPr>
            <w:r w:rsidRPr="00CB0376">
              <w:rPr>
                <w:rFonts w:asciiTheme="minorHAnsi" w:hAnsiTheme="minorHAnsi"/>
                <w:color w:val="000000" w:themeColor="text1"/>
                <w:sz w:val="20"/>
                <w:szCs w:val="20"/>
              </w:rPr>
              <w:t xml:space="preserve">4. Development of relationships with new Ministers and Vice Ministers following the  National Congress </w:t>
            </w:r>
          </w:p>
        </w:tc>
        <w:tc>
          <w:tcPr>
            <w:tcW w:w="3183" w:type="dxa"/>
          </w:tcPr>
          <w:p w14:paraId="2846E5B8" w14:textId="77777777" w:rsidR="00F35985" w:rsidRPr="00CB0376" w:rsidRDefault="00F35985" w:rsidP="00F35985">
            <w:pPr>
              <w:rPr>
                <w:rFonts w:asciiTheme="minorHAnsi" w:hAnsiTheme="minorHAnsi"/>
                <w:color w:val="000000" w:themeColor="text1"/>
                <w:sz w:val="20"/>
                <w:szCs w:val="20"/>
              </w:rPr>
            </w:pPr>
            <w:r w:rsidRPr="00CB0376">
              <w:rPr>
                <w:rFonts w:asciiTheme="minorHAnsi" w:hAnsiTheme="minorHAnsi"/>
                <w:color w:val="000000" w:themeColor="text1"/>
                <w:sz w:val="20"/>
                <w:szCs w:val="20"/>
              </w:rPr>
              <w:t>New risk identified this year following the five yearly change of Vietnam’s leadership and government.</w:t>
            </w:r>
          </w:p>
        </w:tc>
        <w:tc>
          <w:tcPr>
            <w:tcW w:w="3232" w:type="dxa"/>
          </w:tcPr>
          <w:p w14:paraId="42E78BA0" w14:textId="77777777" w:rsidR="00F35985" w:rsidRPr="00CB0376" w:rsidRDefault="00F35985" w:rsidP="00F35985">
            <w:pPr>
              <w:rPr>
                <w:rFonts w:asciiTheme="minorHAnsi" w:hAnsiTheme="minorHAnsi"/>
                <w:color w:val="000000" w:themeColor="text1"/>
                <w:sz w:val="20"/>
                <w:szCs w:val="20"/>
              </w:rPr>
            </w:pPr>
            <w:r w:rsidRPr="00CB0376">
              <w:rPr>
                <w:rFonts w:asciiTheme="minorHAnsi" w:hAnsiTheme="minorHAnsi"/>
                <w:color w:val="000000" w:themeColor="text1"/>
                <w:sz w:val="20"/>
                <w:szCs w:val="20"/>
              </w:rPr>
              <w:t>All teams will work closely with counterpart agencies to identify opportunities for building new and strong relationships with counterpart agencies.</w:t>
            </w:r>
          </w:p>
          <w:p w14:paraId="47E4536A" w14:textId="77777777" w:rsidR="00F35985" w:rsidRPr="00CB0376" w:rsidRDefault="00F35985" w:rsidP="00F35985">
            <w:pPr>
              <w:rPr>
                <w:rFonts w:asciiTheme="minorHAnsi" w:hAnsiTheme="minorHAnsi"/>
                <w:color w:val="000000" w:themeColor="text1"/>
                <w:sz w:val="20"/>
                <w:szCs w:val="20"/>
              </w:rPr>
            </w:pPr>
            <w:r w:rsidRPr="00CB0376">
              <w:rPr>
                <w:rFonts w:asciiTheme="minorHAnsi" w:hAnsiTheme="minorHAnsi"/>
                <w:color w:val="000000" w:themeColor="text1"/>
                <w:sz w:val="20"/>
                <w:szCs w:val="20"/>
              </w:rPr>
              <w:t>Ambassador calls on Ministers and Vice Ministers will highlight the development cooperation program.</w:t>
            </w:r>
          </w:p>
        </w:tc>
        <w:tc>
          <w:tcPr>
            <w:tcW w:w="1227" w:type="dxa"/>
          </w:tcPr>
          <w:p w14:paraId="1D60DEA1" w14:textId="77777777" w:rsidR="00F35985" w:rsidRPr="00CB0376" w:rsidRDefault="00F35985" w:rsidP="00CE33D9">
            <w:pPr>
              <w:rPr>
                <w:rFonts w:asciiTheme="minorHAnsi" w:hAnsiTheme="minorHAnsi"/>
                <w:color w:val="000000" w:themeColor="text1"/>
                <w:sz w:val="20"/>
                <w:szCs w:val="20"/>
              </w:rPr>
            </w:pPr>
            <w:r w:rsidRPr="00CB0376">
              <w:rPr>
                <w:rFonts w:asciiTheme="minorHAnsi" w:hAnsiTheme="minorHAnsi"/>
                <w:color w:val="000000" w:themeColor="text1"/>
                <w:sz w:val="20"/>
                <w:szCs w:val="20"/>
              </w:rPr>
              <w:t xml:space="preserve">Medium </w:t>
            </w:r>
          </w:p>
        </w:tc>
      </w:tr>
      <w:tr w:rsidR="00305375" w:rsidRPr="005615D2" w14:paraId="1DAFBC8E" w14:textId="77777777" w:rsidTr="00CB0376">
        <w:trPr>
          <w:trHeight w:val="56"/>
        </w:trPr>
        <w:tc>
          <w:tcPr>
            <w:tcW w:w="2505" w:type="dxa"/>
          </w:tcPr>
          <w:p w14:paraId="27D2B3A5" w14:textId="77777777" w:rsidR="00305375" w:rsidRPr="005615D2" w:rsidRDefault="00F35985" w:rsidP="005F51F2">
            <w:pPr>
              <w:rPr>
                <w:rFonts w:asciiTheme="minorHAnsi" w:hAnsiTheme="minorHAnsi"/>
                <w:color w:val="000000" w:themeColor="text1"/>
                <w:sz w:val="20"/>
                <w:szCs w:val="20"/>
              </w:rPr>
            </w:pPr>
            <w:r>
              <w:rPr>
                <w:rFonts w:asciiTheme="minorHAnsi" w:hAnsiTheme="minorHAnsi"/>
                <w:color w:val="000000" w:themeColor="text1"/>
                <w:sz w:val="20"/>
                <w:szCs w:val="20"/>
              </w:rPr>
              <w:t>5</w:t>
            </w:r>
            <w:r w:rsidR="005F51F2">
              <w:rPr>
                <w:rFonts w:asciiTheme="minorHAnsi" w:hAnsiTheme="minorHAnsi"/>
                <w:color w:val="000000" w:themeColor="text1"/>
                <w:sz w:val="20"/>
                <w:szCs w:val="20"/>
              </w:rPr>
              <w:t xml:space="preserve">. </w:t>
            </w:r>
            <w:r w:rsidR="00305375" w:rsidRPr="005615D2">
              <w:rPr>
                <w:rFonts w:asciiTheme="minorHAnsi" w:hAnsiTheme="minorHAnsi"/>
                <w:color w:val="000000" w:themeColor="text1"/>
                <w:sz w:val="20"/>
                <w:szCs w:val="20"/>
              </w:rPr>
              <w:t>Insufficient fraud and corruption detect</w:t>
            </w:r>
            <w:r w:rsidR="00EF4CAB">
              <w:rPr>
                <w:rFonts w:asciiTheme="minorHAnsi" w:hAnsiTheme="minorHAnsi"/>
                <w:color w:val="000000" w:themeColor="text1"/>
                <w:sz w:val="20"/>
                <w:szCs w:val="20"/>
              </w:rPr>
              <w:t>ion</w:t>
            </w:r>
            <w:r w:rsidR="00305375" w:rsidRPr="005615D2">
              <w:rPr>
                <w:rFonts w:asciiTheme="minorHAnsi" w:hAnsiTheme="minorHAnsi"/>
                <w:color w:val="000000" w:themeColor="text1"/>
                <w:sz w:val="20"/>
                <w:szCs w:val="20"/>
              </w:rPr>
              <w:t xml:space="preserve"> and control mechanism</w:t>
            </w:r>
            <w:r w:rsidR="00EF4CAB">
              <w:rPr>
                <w:rFonts w:asciiTheme="minorHAnsi" w:hAnsiTheme="minorHAnsi"/>
                <w:color w:val="000000" w:themeColor="text1"/>
                <w:sz w:val="20"/>
                <w:szCs w:val="20"/>
              </w:rPr>
              <w:t>s</w:t>
            </w:r>
            <w:r w:rsidR="005F51F2">
              <w:rPr>
                <w:rFonts w:asciiTheme="minorHAnsi" w:hAnsiTheme="minorHAnsi"/>
                <w:color w:val="000000" w:themeColor="text1"/>
                <w:sz w:val="20"/>
                <w:szCs w:val="20"/>
              </w:rPr>
              <w:t xml:space="preserve"> </w:t>
            </w:r>
            <w:r w:rsidR="00305375" w:rsidRPr="005615D2">
              <w:rPr>
                <w:rFonts w:asciiTheme="minorHAnsi" w:hAnsiTheme="minorHAnsi"/>
                <w:color w:val="000000" w:themeColor="text1"/>
                <w:sz w:val="20"/>
                <w:szCs w:val="20"/>
              </w:rPr>
              <w:t>may cause reputational damage for DFAT.</w:t>
            </w:r>
          </w:p>
        </w:tc>
        <w:tc>
          <w:tcPr>
            <w:tcW w:w="3183" w:type="dxa"/>
          </w:tcPr>
          <w:p w14:paraId="59427790" w14:textId="77777777" w:rsidR="00305375" w:rsidRPr="005615D2" w:rsidRDefault="00305375" w:rsidP="00EF4CAB">
            <w:pPr>
              <w:rPr>
                <w:rFonts w:asciiTheme="minorHAnsi" w:hAnsiTheme="minorHAnsi"/>
                <w:color w:val="000000" w:themeColor="text1"/>
                <w:sz w:val="20"/>
                <w:szCs w:val="20"/>
              </w:rPr>
            </w:pPr>
            <w:r w:rsidRPr="005615D2">
              <w:rPr>
                <w:rFonts w:asciiTheme="minorHAnsi" w:hAnsiTheme="minorHAnsi"/>
                <w:color w:val="000000" w:themeColor="text1"/>
                <w:sz w:val="20"/>
                <w:szCs w:val="20"/>
              </w:rPr>
              <w:t xml:space="preserve">Corporate </w:t>
            </w:r>
            <w:r w:rsidR="00EF4CAB">
              <w:rPr>
                <w:rFonts w:asciiTheme="minorHAnsi" w:hAnsiTheme="minorHAnsi"/>
                <w:color w:val="000000" w:themeColor="text1"/>
                <w:sz w:val="20"/>
                <w:szCs w:val="20"/>
              </w:rPr>
              <w:t>team</w:t>
            </w:r>
            <w:r w:rsidRPr="005615D2">
              <w:rPr>
                <w:rFonts w:asciiTheme="minorHAnsi" w:hAnsiTheme="minorHAnsi"/>
                <w:color w:val="000000" w:themeColor="text1"/>
                <w:sz w:val="20"/>
                <w:szCs w:val="20"/>
              </w:rPr>
              <w:t xml:space="preserve"> conducted fraud and anti-corruption training for staff and partners.</w:t>
            </w:r>
          </w:p>
        </w:tc>
        <w:tc>
          <w:tcPr>
            <w:tcW w:w="3232" w:type="dxa"/>
          </w:tcPr>
          <w:p w14:paraId="65F1B91C" w14:textId="77777777" w:rsidR="00305375" w:rsidRPr="005615D2" w:rsidRDefault="00EF4CAB" w:rsidP="006E6AB9">
            <w:pPr>
              <w:rPr>
                <w:rFonts w:asciiTheme="minorHAnsi" w:hAnsiTheme="minorHAnsi"/>
                <w:color w:val="000000" w:themeColor="text1"/>
                <w:sz w:val="20"/>
                <w:szCs w:val="20"/>
              </w:rPr>
            </w:pPr>
            <w:r>
              <w:rPr>
                <w:rFonts w:asciiTheme="minorHAnsi" w:hAnsiTheme="minorHAnsi"/>
                <w:color w:val="000000" w:themeColor="text1"/>
                <w:sz w:val="20"/>
                <w:szCs w:val="20"/>
              </w:rPr>
              <w:t>All teams</w:t>
            </w:r>
            <w:r w:rsidR="00305375" w:rsidRPr="005615D2">
              <w:rPr>
                <w:rFonts w:asciiTheme="minorHAnsi" w:hAnsiTheme="minorHAnsi"/>
                <w:color w:val="000000" w:themeColor="text1"/>
                <w:sz w:val="20"/>
                <w:szCs w:val="20"/>
              </w:rPr>
              <w:t xml:space="preserve"> include fraud and corruption </w:t>
            </w:r>
            <w:r>
              <w:rPr>
                <w:rFonts w:asciiTheme="minorHAnsi" w:hAnsiTheme="minorHAnsi"/>
                <w:color w:val="000000" w:themeColor="text1"/>
                <w:sz w:val="20"/>
                <w:szCs w:val="20"/>
              </w:rPr>
              <w:t>in work-plans and assess during</w:t>
            </w:r>
            <w:r w:rsidR="00305375" w:rsidRPr="005615D2">
              <w:rPr>
                <w:rFonts w:asciiTheme="minorHAnsi" w:hAnsiTheme="minorHAnsi"/>
                <w:color w:val="000000" w:themeColor="text1"/>
                <w:sz w:val="20"/>
                <w:szCs w:val="20"/>
              </w:rPr>
              <w:t xml:space="preserve"> monitoring visits.</w:t>
            </w:r>
          </w:p>
          <w:p w14:paraId="0557534C" w14:textId="77777777" w:rsidR="00305375" w:rsidRPr="005615D2" w:rsidRDefault="00305375" w:rsidP="00EF4CAB">
            <w:pPr>
              <w:rPr>
                <w:rFonts w:asciiTheme="minorHAnsi" w:hAnsiTheme="minorHAnsi"/>
                <w:color w:val="000000" w:themeColor="text1"/>
                <w:sz w:val="20"/>
                <w:szCs w:val="20"/>
              </w:rPr>
            </w:pPr>
            <w:r w:rsidRPr="005615D2">
              <w:rPr>
                <w:rFonts w:asciiTheme="minorHAnsi" w:hAnsiTheme="minorHAnsi"/>
                <w:color w:val="000000" w:themeColor="text1"/>
                <w:sz w:val="20"/>
                <w:szCs w:val="20"/>
              </w:rPr>
              <w:t xml:space="preserve">Corporate </w:t>
            </w:r>
            <w:r w:rsidR="00EF4CAB">
              <w:rPr>
                <w:rFonts w:asciiTheme="minorHAnsi" w:hAnsiTheme="minorHAnsi"/>
                <w:color w:val="000000" w:themeColor="text1"/>
                <w:sz w:val="20"/>
                <w:szCs w:val="20"/>
              </w:rPr>
              <w:t>team i</w:t>
            </w:r>
            <w:r w:rsidRPr="005615D2">
              <w:rPr>
                <w:rFonts w:asciiTheme="minorHAnsi" w:hAnsiTheme="minorHAnsi"/>
                <w:color w:val="000000" w:themeColor="text1"/>
                <w:sz w:val="20"/>
                <w:szCs w:val="20"/>
              </w:rPr>
              <w:t>dentifies high ri</w:t>
            </w:r>
            <w:r w:rsidR="00EF4CAB">
              <w:rPr>
                <w:rFonts w:asciiTheme="minorHAnsi" w:hAnsiTheme="minorHAnsi"/>
                <w:color w:val="000000" w:themeColor="text1"/>
                <w:sz w:val="20"/>
                <w:szCs w:val="20"/>
              </w:rPr>
              <w:t>sk investments for</w:t>
            </w:r>
            <w:r w:rsidRPr="005615D2">
              <w:rPr>
                <w:rFonts w:asciiTheme="minorHAnsi" w:hAnsiTheme="minorHAnsi"/>
                <w:color w:val="000000" w:themeColor="text1"/>
                <w:sz w:val="20"/>
                <w:szCs w:val="20"/>
              </w:rPr>
              <w:t xml:space="preserve"> audits and compliance spot-checks.</w:t>
            </w:r>
          </w:p>
        </w:tc>
        <w:tc>
          <w:tcPr>
            <w:tcW w:w="1227" w:type="dxa"/>
          </w:tcPr>
          <w:p w14:paraId="02234236" w14:textId="77777777" w:rsidR="00305375" w:rsidRPr="005615D2" w:rsidRDefault="00305375" w:rsidP="006E6AB9">
            <w:pPr>
              <w:rPr>
                <w:rFonts w:asciiTheme="minorHAnsi" w:hAnsiTheme="minorHAnsi"/>
                <w:color w:val="000000" w:themeColor="text1"/>
                <w:sz w:val="20"/>
                <w:szCs w:val="20"/>
              </w:rPr>
            </w:pPr>
            <w:r w:rsidRPr="005615D2">
              <w:rPr>
                <w:rFonts w:asciiTheme="minorHAnsi" w:hAnsiTheme="minorHAnsi"/>
                <w:color w:val="000000" w:themeColor="text1"/>
                <w:sz w:val="20"/>
                <w:szCs w:val="20"/>
              </w:rPr>
              <w:t>Medium</w:t>
            </w:r>
          </w:p>
        </w:tc>
      </w:tr>
    </w:tbl>
    <w:p w14:paraId="79E14A22" w14:textId="77777777" w:rsidR="002A51CA" w:rsidRPr="00C61187" w:rsidRDefault="002A51CA" w:rsidP="002A51CA">
      <w:pPr>
        <w:spacing w:before="20" w:after="20" w:line="180" w:lineRule="atLeast"/>
        <w:jc w:val="both"/>
        <w:rPr>
          <w:rFonts w:ascii="Franklin Gothic Book" w:eastAsia="Times New Roman" w:hAnsi="Franklin Gothic Book"/>
          <w:b/>
          <w:sz w:val="14"/>
          <w:szCs w:val="14"/>
        </w:rPr>
      </w:pPr>
    </w:p>
    <w:p w14:paraId="52E5F42F" w14:textId="77777777" w:rsidR="00E162D5" w:rsidRDefault="00E162D5">
      <w:pPr>
        <w:suppressAutoHyphens w:val="0"/>
        <w:spacing w:before="0" w:after="120" w:line="440" w:lineRule="atLeast"/>
        <w:rPr>
          <w:rFonts w:asciiTheme="majorHAnsi" w:eastAsiaTheme="majorEastAsia" w:hAnsiTheme="majorHAnsi" w:cstheme="majorBidi"/>
          <w:caps/>
          <w:sz w:val="38"/>
          <w:szCs w:val="26"/>
        </w:rPr>
      </w:pPr>
      <w:r>
        <w:br w:type="page"/>
      </w:r>
    </w:p>
    <w:p w14:paraId="5AD59666" w14:textId="77777777" w:rsidR="002A51CA" w:rsidRPr="009B08E9" w:rsidRDefault="002A51CA" w:rsidP="002A51CA">
      <w:pPr>
        <w:pStyle w:val="Heading2"/>
        <w:rPr>
          <w:highlight w:val="yellow"/>
        </w:rPr>
      </w:pPr>
      <w:r w:rsidRPr="002A51CA">
        <w:lastRenderedPageBreak/>
        <w:t>Management Responses</w:t>
      </w:r>
      <w:r w:rsidRPr="002A51CA">
        <w:tab/>
      </w:r>
    </w:p>
    <w:p w14:paraId="4EF7B367" w14:textId="77777777" w:rsidR="00381BE0" w:rsidRDefault="00381BE0" w:rsidP="00381BE0">
      <w:pPr>
        <w:pStyle w:val="BodyText"/>
      </w:pPr>
      <w:r>
        <w:t>Annex A outlines progress in addressing last year’s management responses. During 2</w:t>
      </w:r>
      <w:r w:rsidR="00617936">
        <w:t>015-16, a 40 per cent budget reduction</w:t>
      </w:r>
      <w:r>
        <w:t xml:space="preserve"> was implemented. Extensive outreach by our locally engaged team enabled relationships to be maintained. The commitment to the design of five new aid investments starting in 2016-17 has rebuilt trust, and confirmed Australia’s role as a key development partner in Vietnam.</w:t>
      </w:r>
    </w:p>
    <w:p w14:paraId="0FAA42EC" w14:textId="77777777" w:rsidR="00381BE0" w:rsidRDefault="00381BE0" w:rsidP="00381BE0">
      <w:pPr>
        <w:pStyle w:val="BodyText"/>
      </w:pPr>
      <w:r>
        <w:t xml:space="preserve">To continue </w:t>
      </w:r>
      <w:r w:rsidR="00F35985">
        <w:t xml:space="preserve">the </w:t>
      </w:r>
      <w:r>
        <w:t>transition to an economic partnership, and to address the issues covered in this review, the Vietnam program will prioritise the following in 2016-17:</w:t>
      </w:r>
    </w:p>
    <w:p w14:paraId="11D61CAC" w14:textId="77777777" w:rsidR="00381BE0" w:rsidRPr="00E162D5" w:rsidRDefault="00381BE0" w:rsidP="00381BE0">
      <w:pPr>
        <w:pStyle w:val="ListBullet"/>
        <w:numPr>
          <w:ilvl w:val="0"/>
          <w:numId w:val="39"/>
        </w:numPr>
      </w:pPr>
      <w:r w:rsidRPr="00E162D5">
        <w:t xml:space="preserve">Allocate </w:t>
      </w:r>
      <w:r w:rsidRPr="00E162D5">
        <w:rPr>
          <w:b/>
        </w:rPr>
        <w:t>sufficient staff resources to mobilise five new aid investments</w:t>
      </w:r>
      <w:r w:rsidRPr="00E162D5">
        <w:t>, complete the tender of three new investments and obtain Government of Vietnam approvals</w:t>
      </w:r>
      <w:r w:rsidR="00F35985" w:rsidRPr="00E162D5">
        <w:t xml:space="preserve"> for all new investments</w:t>
      </w:r>
      <w:r w:rsidRPr="00E162D5">
        <w:t>.</w:t>
      </w:r>
    </w:p>
    <w:p w14:paraId="5E16AA28" w14:textId="77777777" w:rsidR="00381BE0" w:rsidRPr="00E162D5" w:rsidRDefault="00381BE0" w:rsidP="00381BE0">
      <w:pPr>
        <w:pStyle w:val="ListBullet"/>
        <w:numPr>
          <w:ilvl w:val="0"/>
          <w:numId w:val="39"/>
        </w:numPr>
      </w:pPr>
      <w:r w:rsidRPr="00E162D5">
        <w:t xml:space="preserve">Hold </w:t>
      </w:r>
      <w:r w:rsidRPr="00E162D5">
        <w:rPr>
          <w:b/>
        </w:rPr>
        <w:t>High Level Consultations on Development Cooperation in Canberra in March 2017</w:t>
      </w:r>
      <w:r w:rsidRPr="00E162D5">
        <w:t xml:space="preserve"> to </w:t>
      </w:r>
      <w:r w:rsidR="00083696" w:rsidRPr="00E162D5">
        <w:t xml:space="preserve">seek </w:t>
      </w:r>
      <w:r w:rsidRPr="00E162D5">
        <w:t>Government of Vietnam</w:t>
      </w:r>
      <w:r w:rsidR="00083696" w:rsidRPr="00E162D5">
        <w:t xml:space="preserve"> prioritisation of</w:t>
      </w:r>
      <w:r w:rsidRPr="00E162D5">
        <w:t xml:space="preserve"> approvals </w:t>
      </w:r>
      <w:r w:rsidR="00083696" w:rsidRPr="00E162D5">
        <w:t xml:space="preserve">for our </w:t>
      </w:r>
      <w:r w:rsidRPr="00E162D5">
        <w:t xml:space="preserve">new aid investments and agree mutual obligations. </w:t>
      </w:r>
    </w:p>
    <w:p w14:paraId="268A98CC" w14:textId="77777777" w:rsidR="00381BE0" w:rsidRPr="00E162D5" w:rsidRDefault="00381BE0" w:rsidP="00381BE0">
      <w:pPr>
        <w:pStyle w:val="ListBullet"/>
        <w:numPr>
          <w:ilvl w:val="0"/>
          <w:numId w:val="39"/>
        </w:numPr>
      </w:pPr>
      <w:r w:rsidRPr="00E162D5">
        <w:rPr>
          <w:b/>
        </w:rPr>
        <w:t>Prepare a gender strategy</w:t>
      </w:r>
      <w:r w:rsidRPr="00E162D5">
        <w:t xml:space="preserve"> and </w:t>
      </w:r>
      <w:r w:rsidR="003260EB" w:rsidRPr="00E162D5">
        <w:t xml:space="preserve">train and </w:t>
      </w:r>
      <w:r w:rsidRPr="00E162D5">
        <w:t>mentor staff, to enable us to achieve 100 per cent of programs effectively addressing gender in their implementation by 2016-17.</w:t>
      </w:r>
    </w:p>
    <w:p w14:paraId="2E14A2E7" w14:textId="77777777" w:rsidR="00381BE0" w:rsidRDefault="00CB0376" w:rsidP="00381BE0">
      <w:pPr>
        <w:pStyle w:val="ListBullet"/>
        <w:numPr>
          <w:ilvl w:val="0"/>
          <w:numId w:val="39"/>
        </w:numPr>
      </w:pPr>
      <w:r w:rsidRPr="00E162D5">
        <w:t xml:space="preserve">Identify </w:t>
      </w:r>
      <w:r w:rsidRPr="00E162D5">
        <w:rPr>
          <w:b/>
        </w:rPr>
        <w:t>greater opportunities for innovation</w:t>
      </w:r>
      <w:r w:rsidRPr="00E162D5">
        <w:t xml:space="preserve"> in the way we deliver our aid investments, as well as fostering greater</w:t>
      </w:r>
      <w:r>
        <w:t xml:space="preserve"> innovation in trade and private sector development aid investments.</w:t>
      </w:r>
    </w:p>
    <w:p w14:paraId="68BA34C2" w14:textId="77777777" w:rsidR="00381BE0" w:rsidRDefault="00381BE0" w:rsidP="00381BE0">
      <w:pPr>
        <w:pStyle w:val="ListBullet"/>
        <w:numPr>
          <w:ilvl w:val="0"/>
          <w:numId w:val="39"/>
        </w:numPr>
      </w:pPr>
      <w:r>
        <w:t xml:space="preserve">Close </w:t>
      </w:r>
      <w:r w:rsidRPr="00F35985">
        <w:t>seven</w:t>
      </w:r>
      <w:r>
        <w:t xml:space="preserve"> investments in 2016-17 to complete </w:t>
      </w:r>
      <w:r w:rsidRPr="00617936">
        <w:rPr>
          <w:b/>
        </w:rPr>
        <w:t>program consolidation</w:t>
      </w:r>
      <w:r>
        <w:t>.</w:t>
      </w:r>
    </w:p>
    <w:p w14:paraId="4A86E332" w14:textId="77777777" w:rsidR="00381BE0" w:rsidRDefault="00381BE0" w:rsidP="00381BE0">
      <w:pPr>
        <w:pStyle w:val="ListBullet"/>
        <w:numPr>
          <w:ilvl w:val="0"/>
          <w:numId w:val="39"/>
        </w:numPr>
      </w:pPr>
      <w:r>
        <w:t xml:space="preserve">Maintain Australia’s reputation and influence as a leading development partner in Vietnam, </w:t>
      </w:r>
      <w:r w:rsidRPr="00617936">
        <w:rPr>
          <w:b/>
        </w:rPr>
        <w:t>engaging in quality policy dialogue</w:t>
      </w:r>
      <w:r>
        <w:t xml:space="preserve"> with the Government of Vietnam and ensuring donor coordination. </w:t>
      </w:r>
    </w:p>
    <w:p w14:paraId="33C6E482" w14:textId="77777777" w:rsidR="00D15A00" w:rsidRDefault="00D15A00" w:rsidP="002A51CA"/>
    <w:p w14:paraId="703925EA" w14:textId="77777777" w:rsidR="00D15A00" w:rsidRDefault="00D15A00" w:rsidP="002A51CA"/>
    <w:p w14:paraId="5B708847" w14:textId="77777777" w:rsidR="00D15A00" w:rsidRDefault="00D15A00" w:rsidP="002A51CA"/>
    <w:p w14:paraId="0728F8D1" w14:textId="77777777" w:rsidR="00D15A00" w:rsidRDefault="00D15A00" w:rsidP="002A51CA">
      <w:pPr>
        <w:sectPr w:rsidR="00D15A00" w:rsidSect="005B6AE3">
          <w:footnotePr>
            <w:pos w:val="beneathText"/>
          </w:footnotePr>
          <w:pgSz w:w="11906" w:h="16838" w:code="9"/>
          <w:pgMar w:top="1527" w:right="1134" w:bottom="1134" w:left="1134" w:header="1418" w:footer="567" w:gutter="0"/>
          <w:cols w:space="397"/>
          <w:docGrid w:linePitch="360"/>
        </w:sectPr>
      </w:pPr>
    </w:p>
    <w:p w14:paraId="49DE286A" w14:textId="77777777" w:rsidR="00400B0F" w:rsidRPr="00C61187" w:rsidRDefault="00400B0F" w:rsidP="003461B9">
      <w:pPr>
        <w:pStyle w:val="Subtitle"/>
        <w:numPr>
          <w:ilvl w:val="0"/>
          <w:numId w:val="0"/>
        </w:numPr>
      </w:pPr>
      <w:r w:rsidRPr="00400B0F">
        <w:lastRenderedPageBreak/>
        <w:t>Annex A - Progress in Addressing Management Responses</w:t>
      </w:r>
    </w:p>
    <w:tbl>
      <w:tblPr>
        <w:tblStyle w:val="APPR"/>
        <w:tblpPr w:leftFromText="180" w:rightFromText="180" w:vertAnchor="text" w:tblpY="1"/>
        <w:tblW w:w="5000" w:type="pct"/>
        <w:tblLayout w:type="fixed"/>
        <w:tblLook w:val="0000" w:firstRow="0" w:lastRow="0" w:firstColumn="0" w:lastColumn="0" w:noHBand="0" w:noVBand="0"/>
      </w:tblPr>
      <w:tblGrid>
        <w:gridCol w:w="6391"/>
        <w:gridCol w:w="977"/>
        <w:gridCol w:w="6805"/>
      </w:tblGrid>
      <w:tr w:rsidR="00400B0F" w:rsidRPr="002B4446" w14:paraId="233A6C08" w14:textId="77777777" w:rsidTr="006F27B1">
        <w:trPr>
          <w:cnfStyle w:val="000000010000" w:firstRow="0" w:lastRow="0" w:firstColumn="0" w:lastColumn="0" w:oddVBand="0" w:evenVBand="0" w:oddHBand="0" w:evenHBand="1" w:firstRowFirstColumn="0" w:firstRowLastColumn="0" w:lastRowFirstColumn="0" w:lastRowLastColumn="0"/>
        </w:trPr>
        <w:tc>
          <w:tcPr>
            <w:tcW w:w="6473" w:type="dxa"/>
          </w:tcPr>
          <w:p w14:paraId="6AC15714" w14:textId="77777777" w:rsidR="00400B0F" w:rsidRPr="002B4446" w:rsidRDefault="00400B0F" w:rsidP="006F27B1">
            <w:pPr>
              <w:keepLines/>
              <w:spacing w:before="80" w:after="80" w:line="200" w:lineRule="atLeast"/>
              <w:rPr>
                <w:rFonts w:asciiTheme="minorHAnsi" w:eastAsia="Times New Roman" w:hAnsiTheme="minorHAnsi"/>
                <w:b/>
                <w:iCs/>
                <w:color w:val="000000" w:themeColor="text1"/>
                <w:szCs w:val="17"/>
                <w:lang w:eastAsia="en-US"/>
              </w:rPr>
            </w:pPr>
            <w:r w:rsidRPr="002B4446">
              <w:rPr>
                <w:rFonts w:asciiTheme="minorHAnsi" w:eastAsia="Times New Roman" w:hAnsiTheme="minorHAnsi"/>
                <w:b/>
                <w:iCs/>
                <w:color w:val="000000" w:themeColor="text1"/>
                <w:szCs w:val="17"/>
                <w:lang w:eastAsia="en-US"/>
              </w:rPr>
              <w:t>Management respo</w:t>
            </w:r>
            <w:r w:rsidR="002B4446">
              <w:rPr>
                <w:rFonts w:asciiTheme="minorHAnsi" w:eastAsia="Times New Roman" w:hAnsiTheme="minorHAnsi"/>
                <w:b/>
                <w:iCs/>
                <w:color w:val="000000" w:themeColor="text1"/>
                <w:szCs w:val="17"/>
                <w:lang w:eastAsia="en-US"/>
              </w:rPr>
              <w:t>nses identified in 2014-15 APPR</w:t>
            </w:r>
          </w:p>
        </w:tc>
        <w:tc>
          <w:tcPr>
            <w:tcW w:w="964" w:type="dxa"/>
          </w:tcPr>
          <w:p w14:paraId="16367BAD" w14:textId="77777777" w:rsidR="00400B0F" w:rsidRPr="002B4446" w:rsidRDefault="00400B0F" w:rsidP="006F27B1">
            <w:pPr>
              <w:keepLines/>
              <w:spacing w:before="80" w:after="80" w:line="200" w:lineRule="atLeast"/>
              <w:rPr>
                <w:rFonts w:asciiTheme="minorHAnsi" w:eastAsia="Times New Roman" w:hAnsiTheme="minorHAnsi"/>
                <w:b/>
                <w:iCs/>
                <w:color w:val="000000" w:themeColor="text1"/>
                <w:szCs w:val="17"/>
                <w:lang w:eastAsia="en-US"/>
              </w:rPr>
            </w:pPr>
            <w:r w:rsidRPr="002B4446">
              <w:rPr>
                <w:rFonts w:asciiTheme="minorHAnsi" w:eastAsia="Times New Roman" w:hAnsiTheme="minorHAnsi"/>
                <w:b/>
                <w:iCs/>
                <w:color w:val="000000" w:themeColor="text1"/>
                <w:szCs w:val="17"/>
                <w:lang w:eastAsia="en-US"/>
              </w:rPr>
              <w:t>Rating</w:t>
            </w:r>
          </w:p>
        </w:tc>
        <w:tc>
          <w:tcPr>
            <w:tcW w:w="6896" w:type="dxa"/>
          </w:tcPr>
          <w:p w14:paraId="4333546B" w14:textId="77777777" w:rsidR="00400B0F" w:rsidRPr="002B4446" w:rsidRDefault="00400B0F" w:rsidP="002B4446">
            <w:pPr>
              <w:keepLines/>
              <w:spacing w:before="80" w:after="80" w:line="200" w:lineRule="atLeast"/>
              <w:rPr>
                <w:rFonts w:asciiTheme="minorHAnsi" w:eastAsia="Times New Roman" w:hAnsiTheme="minorHAnsi"/>
                <w:b/>
                <w:iCs/>
                <w:color w:val="000000" w:themeColor="text1"/>
                <w:szCs w:val="17"/>
                <w:lang w:eastAsia="en-US"/>
              </w:rPr>
            </w:pPr>
            <w:r w:rsidRPr="002B4446">
              <w:rPr>
                <w:rFonts w:asciiTheme="minorHAnsi" w:eastAsia="Times New Roman" w:hAnsiTheme="minorHAnsi"/>
                <w:b/>
                <w:iCs/>
                <w:color w:val="000000" w:themeColor="text1"/>
                <w:szCs w:val="17"/>
                <w:lang w:eastAsia="en-US"/>
              </w:rPr>
              <w:t>Progress made in 2015-16</w:t>
            </w:r>
          </w:p>
        </w:tc>
      </w:tr>
      <w:tr w:rsidR="003461B9" w:rsidRPr="002B4446" w14:paraId="174A3B10" w14:textId="77777777" w:rsidTr="003B0E86">
        <w:trPr>
          <w:cnfStyle w:val="000000010000" w:firstRow="0" w:lastRow="0" w:firstColumn="0" w:lastColumn="0" w:oddVBand="0" w:evenVBand="0" w:oddHBand="0" w:evenHBand="1" w:firstRowFirstColumn="0" w:firstRowLastColumn="0" w:lastRowFirstColumn="0" w:lastRowLastColumn="0"/>
        </w:trPr>
        <w:tc>
          <w:tcPr>
            <w:tcW w:w="6473" w:type="dxa"/>
          </w:tcPr>
          <w:p w14:paraId="134F3C9C" w14:textId="77777777" w:rsidR="003461B9" w:rsidRPr="002B4446" w:rsidRDefault="003461B9" w:rsidP="002B4446">
            <w:pPr>
              <w:pStyle w:val="ListParagraph"/>
              <w:keepLines/>
              <w:numPr>
                <w:ilvl w:val="0"/>
                <w:numId w:val="37"/>
              </w:numPr>
              <w:spacing w:before="40" w:after="40" w:line="200" w:lineRule="atLeast"/>
              <w:rPr>
                <w:rFonts w:asciiTheme="minorHAnsi" w:eastAsia="Times New Roman" w:hAnsiTheme="minorHAnsi"/>
                <w:iCs/>
                <w:color w:val="000000" w:themeColor="text1"/>
                <w:sz w:val="17"/>
                <w:szCs w:val="17"/>
              </w:rPr>
            </w:pPr>
            <w:r w:rsidRPr="002B4446">
              <w:rPr>
                <w:rFonts w:asciiTheme="minorHAnsi" w:eastAsia="Times New Roman" w:hAnsiTheme="minorHAnsi"/>
                <w:iCs/>
                <w:color w:val="000000" w:themeColor="text1"/>
                <w:sz w:val="17"/>
                <w:szCs w:val="17"/>
              </w:rPr>
              <w:t>Design and approve five new aid investments to address the priorities of the Aid Investment Plan.</w:t>
            </w:r>
          </w:p>
        </w:tc>
        <w:tc>
          <w:tcPr>
            <w:tcW w:w="964" w:type="dxa"/>
            <w:shd w:val="clear" w:color="auto" w:fill="FF6600"/>
          </w:tcPr>
          <w:p w14:paraId="61D4EE02" w14:textId="77777777" w:rsidR="003461B9" w:rsidRPr="002B4446" w:rsidRDefault="003461B9" w:rsidP="003461B9">
            <w:pPr>
              <w:keepLines/>
              <w:spacing w:before="40" w:after="40" w:line="200" w:lineRule="atLeast"/>
              <w:jc w:val="center"/>
              <w:rPr>
                <w:rFonts w:asciiTheme="minorHAnsi" w:eastAsia="Times New Roman" w:hAnsiTheme="minorHAnsi"/>
                <w:iCs/>
                <w:color w:val="FFFFFF" w:themeColor="background1"/>
                <w:szCs w:val="17"/>
                <w:lang w:eastAsia="en-US"/>
              </w:rPr>
            </w:pPr>
            <w:r w:rsidRPr="002B4446">
              <w:rPr>
                <w:rFonts w:asciiTheme="minorHAnsi" w:eastAsia="Times New Roman" w:hAnsiTheme="minorHAnsi"/>
                <w:iCs/>
                <w:color w:val="FFFFFF" w:themeColor="background1"/>
                <w:szCs w:val="17"/>
                <w:lang w:eastAsia="en-US"/>
              </w:rPr>
              <w:t>Partly achieved</w:t>
            </w:r>
          </w:p>
        </w:tc>
        <w:tc>
          <w:tcPr>
            <w:tcW w:w="6896" w:type="dxa"/>
          </w:tcPr>
          <w:p w14:paraId="40BBAB8D" w14:textId="77777777" w:rsidR="003461B9" w:rsidRPr="002B4446" w:rsidRDefault="003461B9" w:rsidP="002B4446">
            <w:pPr>
              <w:keepLines/>
              <w:spacing w:before="40" w:after="40" w:line="200" w:lineRule="atLeast"/>
              <w:rPr>
                <w:rFonts w:asciiTheme="minorHAnsi" w:eastAsia="Times New Roman" w:hAnsiTheme="minorHAnsi"/>
                <w:iCs/>
                <w:color w:val="000000" w:themeColor="text1"/>
                <w:szCs w:val="17"/>
                <w:lang w:eastAsia="en-US"/>
              </w:rPr>
            </w:pPr>
            <w:r w:rsidRPr="002B4446">
              <w:rPr>
                <w:rFonts w:asciiTheme="minorHAnsi" w:eastAsia="Times New Roman" w:hAnsiTheme="minorHAnsi"/>
                <w:iCs/>
                <w:color w:val="000000" w:themeColor="text1"/>
                <w:szCs w:val="17"/>
                <w:lang w:eastAsia="en-US"/>
              </w:rPr>
              <w:t>Economic diplomacy Fund 2015 – 2018 design was approved</w:t>
            </w:r>
          </w:p>
          <w:p w14:paraId="7AB11E7B" w14:textId="77777777" w:rsidR="003461B9" w:rsidRPr="002B4446" w:rsidRDefault="003461B9" w:rsidP="002B4446">
            <w:pPr>
              <w:keepLines/>
              <w:spacing w:before="40" w:after="40" w:line="200" w:lineRule="atLeast"/>
              <w:rPr>
                <w:rFonts w:asciiTheme="minorHAnsi" w:eastAsia="Times New Roman" w:hAnsiTheme="minorHAnsi"/>
                <w:iCs/>
                <w:color w:val="000000" w:themeColor="text1"/>
                <w:szCs w:val="17"/>
                <w:lang w:eastAsia="en-US"/>
              </w:rPr>
            </w:pPr>
            <w:r w:rsidRPr="002B4446">
              <w:rPr>
                <w:rFonts w:asciiTheme="minorHAnsi" w:eastAsia="Times New Roman" w:hAnsiTheme="minorHAnsi"/>
                <w:iCs/>
                <w:color w:val="000000" w:themeColor="text1"/>
                <w:szCs w:val="17"/>
                <w:lang w:eastAsia="en-US"/>
              </w:rPr>
              <w:t>Design missions</w:t>
            </w:r>
            <w:r w:rsidR="00FD397A">
              <w:rPr>
                <w:rFonts w:asciiTheme="minorHAnsi" w:eastAsia="Times New Roman" w:hAnsiTheme="minorHAnsi"/>
                <w:iCs/>
                <w:color w:val="000000" w:themeColor="text1"/>
                <w:szCs w:val="17"/>
                <w:lang w:eastAsia="en-US"/>
              </w:rPr>
              <w:t xml:space="preserve"> (x2) for Australia-</w:t>
            </w:r>
            <w:r w:rsidRPr="002B4446">
              <w:rPr>
                <w:rFonts w:asciiTheme="minorHAnsi" w:eastAsia="Times New Roman" w:hAnsiTheme="minorHAnsi"/>
                <w:iCs/>
                <w:color w:val="000000" w:themeColor="text1"/>
                <w:szCs w:val="17"/>
                <w:lang w:eastAsia="en-US"/>
              </w:rPr>
              <w:t>Vietnam Women</w:t>
            </w:r>
            <w:r w:rsidR="00FD397A">
              <w:rPr>
                <w:rFonts w:asciiTheme="minorHAnsi" w:eastAsia="Times New Roman" w:hAnsiTheme="minorHAnsi"/>
                <w:iCs/>
                <w:color w:val="000000" w:themeColor="text1"/>
                <w:szCs w:val="17"/>
                <w:lang w:eastAsia="en-US"/>
              </w:rPr>
              <w:t>’s</w:t>
            </w:r>
            <w:r w:rsidRPr="002B4446">
              <w:rPr>
                <w:rFonts w:asciiTheme="minorHAnsi" w:eastAsia="Times New Roman" w:hAnsiTheme="minorHAnsi"/>
                <w:iCs/>
                <w:color w:val="000000" w:themeColor="text1"/>
                <w:szCs w:val="17"/>
                <w:lang w:eastAsia="en-US"/>
              </w:rPr>
              <w:t xml:space="preserve"> Economic Empowermen</w:t>
            </w:r>
            <w:r w:rsidR="00FD397A">
              <w:rPr>
                <w:rFonts w:asciiTheme="minorHAnsi" w:eastAsia="Times New Roman" w:hAnsiTheme="minorHAnsi"/>
                <w:iCs/>
                <w:color w:val="000000" w:themeColor="text1"/>
                <w:szCs w:val="17"/>
                <w:lang w:eastAsia="en-US"/>
              </w:rPr>
              <w:t xml:space="preserve">t and Transport Partnership completed. </w:t>
            </w:r>
            <w:r w:rsidRPr="002B4446">
              <w:rPr>
                <w:rFonts w:asciiTheme="minorHAnsi" w:eastAsia="Times New Roman" w:hAnsiTheme="minorHAnsi"/>
                <w:iCs/>
                <w:color w:val="000000" w:themeColor="text1"/>
                <w:szCs w:val="17"/>
                <w:lang w:eastAsia="en-US"/>
              </w:rPr>
              <w:t xml:space="preserve">Design </w:t>
            </w:r>
            <w:r w:rsidR="00C9343A">
              <w:rPr>
                <w:rFonts w:asciiTheme="minorHAnsi" w:eastAsia="Times New Roman" w:hAnsiTheme="minorHAnsi"/>
                <w:iCs/>
                <w:color w:val="000000" w:themeColor="text1"/>
                <w:szCs w:val="17"/>
                <w:lang w:eastAsia="en-US"/>
              </w:rPr>
              <w:t>d</w:t>
            </w:r>
            <w:r w:rsidR="00C9343A" w:rsidRPr="002B4446">
              <w:rPr>
                <w:rFonts w:asciiTheme="minorHAnsi" w:eastAsia="Times New Roman" w:hAnsiTheme="minorHAnsi"/>
                <w:iCs/>
                <w:color w:val="000000" w:themeColor="text1"/>
                <w:szCs w:val="17"/>
                <w:lang w:eastAsia="en-US"/>
              </w:rPr>
              <w:t>ocument</w:t>
            </w:r>
            <w:r w:rsidR="00C9343A">
              <w:rPr>
                <w:rFonts w:asciiTheme="minorHAnsi" w:eastAsia="Times New Roman" w:hAnsiTheme="minorHAnsi"/>
                <w:iCs/>
                <w:color w:val="000000" w:themeColor="text1"/>
                <w:szCs w:val="17"/>
                <w:lang w:eastAsia="en-US"/>
              </w:rPr>
              <w:t>s</w:t>
            </w:r>
            <w:r w:rsidR="00C9343A" w:rsidRPr="002B4446">
              <w:rPr>
                <w:rFonts w:asciiTheme="minorHAnsi" w:eastAsia="Times New Roman" w:hAnsiTheme="minorHAnsi"/>
                <w:iCs/>
                <w:color w:val="000000" w:themeColor="text1"/>
                <w:szCs w:val="17"/>
                <w:lang w:eastAsia="en-US"/>
              </w:rPr>
              <w:t xml:space="preserve"> </w:t>
            </w:r>
            <w:r w:rsidRPr="002B4446">
              <w:rPr>
                <w:rFonts w:asciiTheme="minorHAnsi" w:eastAsia="Times New Roman" w:hAnsiTheme="minorHAnsi"/>
                <w:iCs/>
                <w:color w:val="000000" w:themeColor="text1"/>
                <w:szCs w:val="17"/>
                <w:lang w:eastAsia="en-US"/>
              </w:rPr>
              <w:t>submitted to DFAT.</w:t>
            </w:r>
          </w:p>
          <w:p w14:paraId="77EB41DA" w14:textId="77777777" w:rsidR="003461B9" w:rsidRPr="002B4446" w:rsidRDefault="003461B9" w:rsidP="002B4446">
            <w:pPr>
              <w:keepLines/>
              <w:spacing w:before="40" w:after="40" w:line="200" w:lineRule="atLeast"/>
              <w:rPr>
                <w:rFonts w:asciiTheme="minorHAnsi" w:eastAsia="Times New Roman" w:hAnsiTheme="minorHAnsi"/>
                <w:iCs/>
                <w:color w:val="000000" w:themeColor="text1"/>
                <w:szCs w:val="17"/>
                <w:lang w:eastAsia="en-US"/>
              </w:rPr>
            </w:pPr>
            <w:r w:rsidRPr="002B4446">
              <w:rPr>
                <w:rFonts w:asciiTheme="minorHAnsi" w:eastAsia="Times New Roman" w:hAnsiTheme="minorHAnsi"/>
                <w:iCs/>
                <w:color w:val="000000" w:themeColor="text1"/>
                <w:szCs w:val="17"/>
                <w:lang w:eastAsia="en-US"/>
              </w:rPr>
              <w:t>Design</w:t>
            </w:r>
            <w:r w:rsidR="00FD397A">
              <w:rPr>
                <w:rFonts w:asciiTheme="minorHAnsi" w:eastAsia="Times New Roman" w:hAnsiTheme="minorHAnsi"/>
                <w:iCs/>
                <w:color w:val="000000" w:themeColor="text1"/>
                <w:szCs w:val="17"/>
                <w:lang w:eastAsia="en-US"/>
              </w:rPr>
              <w:t xml:space="preserve"> of the</w:t>
            </w:r>
            <w:r w:rsidRPr="002B4446">
              <w:rPr>
                <w:rFonts w:asciiTheme="minorHAnsi" w:eastAsia="Times New Roman" w:hAnsiTheme="minorHAnsi"/>
                <w:iCs/>
                <w:color w:val="000000" w:themeColor="text1"/>
                <w:szCs w:val="17"/>
                <w:lang w:eastAsia="en-US"/>
              </w:rPr>
              <w:t xml:space="preserve"> Australi</w:t>
            </w:r>
            <w:r w:rsidR="00FD397A">
              <w:rPr>
                <w:rFonts w:asciiTheme="minorHAnsi" w:eastAsia="Times New Roman" w:hAnsiTheme="minorHAnsi"/>
                <w:iCs/>
                <w:color w:val="000000" w:themeColor="text1"/>
                <w:szCs w:val="17"/>
                <w:lang w:eastAsia="en-US"/>
              </w:rPr>
              <w:t>a-</w:t>
            </w:r>
            <w:r w:rsidRPr="002B4446">
              <w:rPr>
                <w:rFonts w:asciiTheme="minorHAnsi" w:eastAsia="Times New Roman" w:hAnsiTheme="minorHAnsi"/>
                <w:iCs/>
                <w:color w:val="000000" w:themeColor="text1"/>
                <w:szCs w:val="17"/>
                <w:lang w:eastAsia="en-US"/>
              </w:rPr>
              <w:t>Vietnam Enterprise Development Partnership mission mobilised</w:t>
            </w:r>
            <w:r w:rsidR="00C9343A">
              <w:rPr>
                <w:rFonts w:asciiTheme="minorHAnsi" w:eastAsia="Times New Roman" w:hAnsiTheme="minorHAnsi"/>
                <w:iCs/>
                <w:color w:val="000000" w:themeColor="text1"/>
                <w:szCs w:val="17"/>
                <w:lang w:eastAsia="en-US"/>
              </w:rPr>
              <w:t>.</w:t>
            </w:r>
          </w:p>
        </w:tc>
      </w:tr>
      <w:tr w:rsidR="003461B9" w:rsidRPr="002B4446" w14:paraId="3E51047E" w14:textId="77777777" w:rsidTr="003461B9">
        <w:trPr>
          <w:cnfStyle w:val="000000010000" w:firstRow="0" w:lastRow="0" w:firstColumn="0" w:lastColumn="0" w:oddVBand="0" w:evenVBand="0" w:oddHBand="0" w:evenHBand="1" w:firstRowFirstColumn="0" w:firstRowLastColumn="0" w:lastRowFirstColumn="0" w:lastRowLastColumn="0"/>
        </w:trPr>
        <w:tc>
          <w:tcPr>
            <w:tcW w:w="6473" w:type="dxa"/>
          </w:tcPr>
          <w:p w14:paraId="15C899D3" w14:textId="77777777" w:rsidR="003461B9" w:rsidRPr="002B4446" w:rsidRDefault="003461B9" w:rsidP="002B4446">
            <w:pPr>
              <w:pStyle w:val="ListParagraph"/>
              <w:keepLines/>
              <w:numPr>
                <w:ilvl w:val="0"/>
                <w:numId w:val="37"/>
              </w:numPr>
              <w:spacing w:before="40" w:after="40" w:line="200" w:lineRule="atLeast"/>
              <w:rPr>
                <w:rFonts w:asciiTheme="minorHAnsi" w:eastAsia="Times New Roman" w:hAnsiTheme="minorHAnsi"/>
                <w:iCs/>
                <w:color w:val="000000" w:themeColor="text1"/>
                <w:sz w:val="17"/>
                <w:szCs w:val="17"/>
              </w:rPr>
            </w:pPr>
            <w:r w:rsidRPr="002B4446">
              <w:rPr>
                <w:rFonts w:asciiTheme="minorHAnsi" w:eastAsia="Times New Roman" w:hAnsiTheme="minorHAnsi"/>
                <w:iCs/>
                <w:color w:val="000000" w:themeColor="text1"/>
                <w:sz w:val="17"/>
                <w:szCs w:val="17"/>
              </w:rPr>
              <w:t xml:space="preserve">For new designs, focus on innovation. Consult the private sector as we design.  </w:t>
            </w:r>
          </w:p>
        </w:tc>
        <w:tc>
          <w:tcPr>
            <w:tcW w:w="964" w:type="dxa"/>
            <w:shd w:val="clear" w:color="auto" w:fill="669900"/>
          </w:tcPr>
          <w:p w14:paraId="4BC1F24B" w14:textId="77777777" w:rsidR="003461B9" w:rsidRPr="002B4446" w:rsidRDefault="003461B9" w:rsidP="003461B9">
            <w:pPr>
              <w:keepLines/>
              <w:spacing w:before="40" w:after="40" w:line="200" w:lineRule="atLeast"/>
              <w:jc w:val="center"/>
              <w:rPr>
                <w:rFonts w:asciiTheme="minorHAnsi" w:eastAsia="Times New Roman" w:hAnsiTheme="minorHAnsi"/>
                <w:iCs/>
                <w:color w:val="FFFFFF" w:themeColor="background1"/>
                <w:szCs w:val="17"/>
                <w:lang w:eastAsia="en-US"/>
              </w:rPr>
            </w:pPr>
            <w:r w:rsidRPr="002B4446">
              <w:rPr>
                <w:rFonts w:asciiTheme="minorHAnsi" w:eastAsia="Times New Roman" w:hAnsiTheme="minorHAnsi"/>
                <w:iCs/>
                <w:color w:val="FFFFFF" w:themeColor="background1"/>
                <w:szCs w:val="17"/>
                <w:lang w:eastAsia="en-US"/>
              </w:rPr>
              <w:t>Achieved</w:t>
            </w:r>
            <w:r w:rsidRPr="002B4446">
              <w:rPr>
                <w:rFonts w:eastAsia="Times New Roman"/>
                <w:iCs/>
                <w:color w:val="FFFFFF" w:themeColor="background1"/>
                <w:szCs w:val="17"/>
              </w:rPr>
              <w:fldChar w:fldCharType="begin"/>
            </w:r>
            <w:r w:rsidRPr="002B4446">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2B4446">
              <w:rPr>
                <w:rFonts w:eastAsia="Times New Roman"/>
                <w:iCs/>
                <w:color w:val="FFFFFF" w:themeColor="background1"/>
                <w:szCs w:val="17"/>
              </w:rPr>
              <w:fldChar w:fldCharType="end"/>
            </w:r>
          </w:p>
        </w:tc>
        <w:tc>
          <w:tcPr>
            <w:tcW w:w="6896" w:type="dxa"/>
          </w:tcPr>
          <w:p w14:paraId="6A78FB63" w14:textId="77777777" w:rsidR="003461B9" w:rsidRPr="002B4446" w:rsidRDefault="00C9343A" w:rsidP="00C9343A">
            <w:pPr>
              <w:keepLines/>
              <w:spacing w:before="40" w:after="40" w:line="200" w:lineRule="atLeast"/>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 xml:space="preserve">Independent reference groups </w:t>
            </w:r>
            <w:r w:rsidR="00FD397A">
              <w:rPr>
                <w:rFonts w:asciiTheme="minorHAnsi" w:eastAsia="Times New Roman" w:hAnsiTheme="minorHAnsi"/>
                <w:iCs/>
                <w:color w:val="000000" w:themeColor="text1"/>
                <w:szCs w:val="17"/>
                <w:lang w:eastAsia="en-US"/>
              </w:rPr>
              <w:t xml:space="preserve">of </w:t>
            </w:r>
            <w:r>
              <w:rPr>
                <w:rFonts w:asciiTheme="minorHAnsi" w:eastAsia="Times New Roman" w:hAnsiTheme="minorHAnsi"/>
                <w:iCs/>
                <w:color w:val="000000" w:themeColor="text1"/>
                <w:szCs w:val="17"/>
                <w:lang w:eastAsia="en-US"/>
              </w:rPr>
              <w:t xml:space="preserve">all new </w:t>
            </w:r>
            <w:r w:rsidR="003461B9" w:rsidRPr="002B4446">
              <w:rPr>
                <w:rFonts w:asciiTheme="minorHAnsi" w:eastAsia="Times New Roman" w:hAnsiTheme="minorHAnsi"/>
                <w:iCs/>
                <w:color w:val="000000" w:themeColor="text1"/>
                <w:szCs w:val="17"/>
                <w:lang w:eastAsia="en-US"/>
              </w:rPr>
              <w:t>designs have Vietnamese Private Sector representatives</w:t>
            </w:r>
          </w:p>
        </w:tc>
      </w:tr>
      <w:tr w:rsidR="003461B9" w:rsidRPr="002B4446" w14:paraId="20C6417C" w14:textId="77777777" w:rsidTr="003461B9">
        <w:trPr>
          <w:cnfStyle w:val="000000010000" w:firstRow="0" w:lastRow="0" w:firstColumn="0" w:lastColumn="0" w:oddVBand="0" w:evenVBand="0" w:oddHBand="0" w:evenHBand="1" w:firstRowFirstColumn="0" w:firstRowLastColumn="0" w:lastRowFirstColumn="0" w:lastRowLastColumn="0"/>
        </w:trPr>
        <w:tc>
          <w:tcPr>
            <w:tcW w:w="6473" w:type="dxa"/>
          </w:tcPr>
          <w:p w14:paraId="45263575" w14:textId="77777777" w:rsidR="003461B9" w:rsidRPr="002B4446" w:rsidRDefault="003461B9" w:rsidP="002B4446">
            <w:pPr>
              <w:pStyle w:val="ListParagraph"/>
              <w:keepLines/>
              <w:numPr>
                <w:ilvl w:val="0"/>
                <w:numId w:val="37"/>
              </w:numPr>
              <w:spacing w:before="40" w:after="40" w:line="200" w:lineRule="atLeast"/>
              <w:rPr>
                <w:rFonts w:asciiTheme="minorHAnsi" w:eastAsia="Times New Roman" w:hAnsiTheme="minorHAnsi"/>
                <w:iCs/>
                <w:color w:val="000000" w:themeColor="text1"/>
                <w:sz w:val="17"/>
                <w:szCs w:val="17"/>
              </w:rPr>
            </w:pPr>
            <w:r w:rsidRPr="002B4446">
              <w:rPr>
                <w:rFonts w:asciiTheme="minorHAnsi" w:eastAsia="Times New Roman" w:hAnsiTheme="minorHAnsi"/>
                <w:iCs/>
                <w:color w:val="000000" w:themeColor="text1"/>
                <w:sz w:val="17"/>
                <w:szCs w:val="17"/>
              </w:rPr>
              <w:t>Close nine investments in 2015-16 and drive program consolidation.</w:t>
            </w:r>
          </w:p>
        </w:tc>
        <w:tc>
          <w:tcPr>
            <w:tcW w:w="964" w:type="dxa"/>
            <w:shd w:val="clear" w:color="auto" w:fill="669900"/>
          </w:tcPr>
          <w:p w14:paraId="65DDA19E" w14:textId="77777777" w:rsidR="003461B9" w:rsidRPr="002B4446" w:rsidRDefault="003461B9" w:rsidP="003461B9">
            <w:pPr>
              <w:keepLines/>
              <w:spacing w:before="40" w:after="40" w:line="200" w:lineRule="atLeast"/>
              <w:jc w:val="center"/>
              <w:rPr>
                <w:rFonts w:asciiTheme="minorHAnsi" w:eastAsia="Times New Roman" w:hAnsiTheme="minorHAnsi"/>
                <w:iCs/>
                <w:color w:val="FFFFFF" w:themeColor="background1"/>
                <w:szCs w:val="17"/>
                <w:lang w:eastAsia="en-US"/>
              </w:rPr>
            </w:pPr>
            <w:r w:rsidRPr="002B4446">
              <w:rPr>
                <w:rFonts w:asciiTheme="minorHAnsi" w:eastAsia="Times New Roman" w:hAnsiTheme="minorHAnsi"/>
                <w:iCs/>
                <w:color w:val="FFFFFF" w:themeColor="background1"/>
                <w:szCs w:val="17"/>
                <w:lang w:eastAsia="en-US"/>
              </w:rPr>
              <w:t>Achieved</w:t>
            </w:r>
          </w:p>
        </w:tc>
        <w:tc>
          <w:tcPr>
            <w:tcW w:w="6896" w:type="dxa"/>
          </w:tcPr>
          <w:p w14:paraId="028E1B9F" w14:textId="77777777" w:rsidR="003461B9" w:rsidRPr="002B4446" w:rsidRDefault="00FD397A" w:rsidP="00FD397A">
            <w:pPr>
              <w:keepLines/>
              <w:spacing w:before="40" w:after="40" w:line="200" w:lineRule="atLeast"/>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Ten</w:t>
            </w:r>
            <w:r w:rsidR="003461B9" w:rsidRPr="002B4446">
              <w:rPr>
                <w:rFonts w:asciiTheme="minorHAnsi" w:eastAsia="Times New Roman" w:hAnsiTheme="minorHAnsi"/>
                <w:iCs/>
                <w:color w:val="000000" w:themeColor="text1"/>
                <w:szCs w:val="17"/>
                <w:lang w:eastAsia="en-US"/>
              </w:rPr>
              <w:t xml:space="preserve"> investments closed by July 2016</w:t>
            </w:r>
          </w:p>
        </w:tc>
      </w:tr>
      <w:tr w:rsidR="003461B9" w:rsidRPr="002B4446" w14:paraId="5F7E1497" w14:textId="77777777" w:rsidTr="003B0E86">
        <w:trPr>
          <w:cnfStyle w:val="000000010000" w:firstRow="0" w:lastRow="0" w:firstColumn="0" w:lastColumn="0" w:oddVBand="0" w:evenVBand="0" w:oddHBand="0" w:evenHBand="1" w:firstRowFirstColumn="0" w:firstRowLastColumn="0" w:lastRowFirstColumn="0" w:lastRowLastColumn="0"/>
        </w:trPr>
        <w:tc>
          <w:tcPr>
            <w:tcW w:w="6473" w:type="dxa"/>
          </w:tcPr>
          <w:p w14:paraId="70CAF7A8" w14:textId="77777777" w:rsidR="003461B9" w:rsidRPr="002B4446" w:rsidRDefault="003461B9" w:rsidP="002B4446">
            <w:pPr>
              <w:pStyle w:val="ListParagraph"/>
              <w:keepLines/>
              <w:numPr>
                <w:ilvl w:val="0"/>
                <w:numId w:val="37"/>
              </w:numPr>
              <w:spacing w:before="40" w:after="40" w:line="200" w:lineRule="atLeast"/>
              <w:rPr>
                <w:rFonts w:asciiTheme="minorHAnsi" w:eastAsia="Times New Roman" w:hAnsiTheme="minorHAnsi"/>
                <w:iCs/>
                <w:color w:val="000000" w:themeColor="text1"/>
                <w:sz w:val="17"/>
                <w:szCs w:val="17"/>
              </w:rPr>
            </w:pPr>
            <w:r w:rsidRPr="002B4446">
              <w:rPr>
                <w:rFonts w:asciiTheme="minorHAnsi" w:eastAsia="Times New Roman" w:hAnsiTheme="minorHAnsi"/>
                <w:iCs/>
                <w:color w:val="000000" w:themeColor="text1"/>
                <w:sz w:val="17"/>
                <w:szCs w:val="17"/>
              </w:rPr>
              <w:t>Prepare a gender strategy and secure resources to enable us to achieve 100 per cent of programs effectively addressing gender in their implementation by 2016-17.</w:t>
            </w:r>
          </w:p>
        </w:tc>
        <w:tc>
          <w:tcPr>
            <w:tcW w:w="964" w:type="dxa"/>
            <w:shd w:val="clear" w:color="auto" w:fill="FF6600"/>
          </w:tcPr>
          <w:p w14:paraId="358BCF0F" w14:textId="77777777" w:rsidR="003461B9" w:rsidRPr="002B4446" w:rsidRDefault="003260EB" w:rsidP="003461B9">
            <w:pPr>
              <w:keepLines/>
              <w:spacing w:before="40" w:after="40" w:line="200" w:lineRule="atLeast"/>
              <w:jc w:val="center"/>
              <w:rPr>
                <w:rFonts w:asciiTheme="minorHAnsi" w:eastAsia="Times New Roman" w:hAnsiTheme="minorHAnsi"/>
                <w:iCs/>
                <w:color w:val="FFFFFF" w:themeColor="background1"/>
                <w:szCs w:val="17"/>
                <w:lang w:eastAsia="en-US"/>
              </w:rPr>
            </w:pPr>
            <w:r w:rsidRPr="002B4446">
              <w:rPr>
                <w:rFonts w:asciiTheme="minorHAnsi" w:eastAsia="Times New Roman" w:hAnsiTheme="minorHAnsi"/>
                <w:iCs/>
                <w:color w:val="FFFFFF" w:themeColor="background1"/>
                <w:szCs w:val="17"/>
                <w:lang w:eastAsia="en-US"/>
              </w:rPr>
              <w:t>Partly achieved</w:t>
            </w:r>
          </w:p>
        </w:tc>
        <w:tc>
          <w:tcPr>
            <w:tcW w:w="6896" w:type="dxa"/>
          </w:tcPr>
          <w:p w14:paraId="4F9342FF" w14:textId="77777777" w:rsidR="003461B9" w:rsidRPr="002B4446" w:rsidRDefault="00C9343A" w:rsidP="00C9343A">
            <w:pPr>
              <w:keepLines/>
              <w:spacing w:before="40" w:after="40" w:line="200" w:lineRule="atLeast"/>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 xml:space="preserve">Resources were secured for a locally engaged gender specialist who was recruited in July 2016. </w:t>
            </w:r>
            <w:r w:rsidR="003461B9" w:rsidRPr="002B4446">
              <w:rPr>
                <w:rFonts w:asciiTheme="minorHAnsi" w:eastAsia="Times New Roman" w:hAnsiTheme="minorHAnsi"/>
                <w:iCs/>
                <w:color w:val="000000" w:themeColor="text1"/>
                <w:szCs w:val="17"/>
                <w:lang w:eastAsia="en-US"/>
              </w:rPr>
              <w:t>Only 77% of investment</w:t>
            </w:r>
            <w:r>
              <w:rPr>
                <w:rFonts w:asciiTheme="minorHAnsi" w:eastAsia="Times New Roman" w:hAnsiTheme="minorHAnsi"/>
                <w:iCs/>
                <w:color w:val="000000" w:themeColor="text1"/>
                <w:szCs w:val="17"/>
                <w:lang w:eastAsia="en-US"/>
              </w:rPr>
              <w:t>s</w:t>
            </w:r>
            <w:r w:rsidR="003461B9" w:rsidRPr="002B4446">
              <w:rPr>
                <w:rFonts w:asciiTheme="minorHAnsi" w:eastAsia="Times New Roman" w:hAnsiTheme="minorHAnsi"/>
                <w:iCs/>
                <w:color w:val="000000" w:themeColor="text1"/>
                <w:szCs w:val="17"/>
                <w:lang w:eastAsia="en-US"/>
              </w:rPr>
              <w:t xml:space="preserve"> achieve</w:t>
            </w:r>
            <w:r>
              <w:rPr>
                <w:rFonts w:asciiTheme="minorHAnsi" w:eastAsia="Times New Roman" w:hAnsiTheme="minorHAnsi"/>
                <w:iCs/>
                <w:color w:val="000000" w:themeColor="text1"/>
                <w:szCs w:val="17"/>
                <w:lang w:eastAsia="en-US"/>
              </w:rPr>
              <w:t>d</w:t>
            </w:r>
            <w:r w:rsidR="003461B9" w:rsidRPr="002B4446">
              <w:rPr>
                <w:rFonts w:asciiTheme="minorHAnsi" w:eastAsia="Times New Roman" w:hAnsiTheme="minorHAnsi"/>
                <w:iCs/>
                <w:color w:val="000000" w:themeColor="text1"/>
                <w:szCs w:val="17"/>
                <w:lang w:eastAsia="en-US"/>
              </w:rPr>
              <w:t xml:space="preserve"> satisfactory or above rating on gender equality in </w:t>
            </w:r>
            <w:r>
              <w:rPr>
                <w:rFonts w:asciiTheme="minorHAnsi" w:eastAsia="Times New Roman" w:hAnsiTheme="minorHAnsi"/>
                <w:iCs/>
                <w:color w:val="000000" w:themeColor="text1"/>
                <w:szCs w:val="17"/>
                <w:lang w:eastAsia="en-US"/>
              </w:rPr>
              <w:t xml:space="preserve">the </w:t>
            </w:r>
            <w:r w:rsidR="003461B9" w:rsidRPr="002B4446">
              <w:rPr>
                <w:rFonts w:asciiTheme="minorHAnsi" w:eastAsia="Times New Roman" w:hAnsiTheme="minorHAnsi"/>
                <w:iCs/>
                <w:color w:val="000000" w:themeColor="text1"/>
                <w:szCs w:val="17"/>
                <w:lang w:eastAsia="en-US"/>
              </w:rPr>
              <w:t xml:space="preserve">2016 </w:t>
            </w:r>
            <w:r>
              <w:rPr>
                <w:rFonts w:asciiTheme="minorHAnsi" w:eastAsia="Times New Roman" w:hAnsiTheme="minorHAnsi"/>
                <w:iCs/>
                <w:color w:val="000000" w:themeColor="text1"/>
                <w:szCs w:val="17"/>
                <w:lang w:eastAsia="en-US"/>
              </w:rPr>
              <w:t xml:space="preserve">AQC </w:t>
            </w:r>
            <w:r w:rsidR="003461B9" w:rsidRPr="002B4446">
              <w:rPr>
                <w:rFonts w:asciiTheme="minorHAnsi" w:eastAsia="Times New Roman" w:hAnsiTheme="minorHAnsi"/>
                <w:iCs/>
                <w:color w:val="000000" w:themeColor="text1"/>
                <w:szCs w:val="17"/>
                <w:lang w:eastAsia="en-US"/>
              </w:rPr>
              <w:t>round</w:t>
            </w:r>
            <w:r w:rsidR="00FD397A">
              <w:rPr>
                <w:rFonts w:asciiTheme="minorHAnsi" w:eastAsia="Times New Roman" w:hAnsiTheme="minorHAnsi"/>
                <w:iCs/>
                <w:color w:val="000000" w:themeColor="text1"/>
                <w:szCs w:val="17"/>
                <w:lang w:eastAsia="en-US"/>
              </w:rPr>
              <w:t>.</w:t>
            </w:r>
            <w:r>
              <w:rPr>
                <w:rFonts w:asciiTheme="minorHAnsi" w:eastAsia="Times New Roman" w:hAnsiTheme="minorHAnsi"/>
                <w:iCs/>
                <w:color w:val="000000" w:themeColor="text1"/>
                <w:szCs w:val="17"/>
                <w:lang w:eastAsia="en-US"/>
              </w:rPr>
              <w:t xml:space="preserve"> </w:t>
            </w:r>
            <w:r w:rsidR="003461B9" w:rsidRPr="002B4446">
              <w:rPr>
                <w:rFonts w:asciiTheme="minorHAnsi" w:eastAsia="Times New Roman" w:hAnsiTheme="minorHAnsi"/>
                <w:iCs/>
                <w:color w:val="000000" w:themeColor="text1"/>
                <w:szCs w:val="17"/>
                <w:lang w:eastAsia="en-US"/>
              </w:rPr>
              <w:t xml:space="preserve">Gender strategy </w:t>
            </w:r>
            <w:r>
              <w:rPr>
                <w:rFonts w:asciiTheme="minorHAnsi" w:eastAsia="Times New Roman" w:hAnsiTheme="minorHAnsi"/>
                <w:iCs/>
                <w:color w:val="000000" w:themeColor="text1"/>
                <w:szCs w:val="17"/>
                <w:lang w:eastAsia="en-US"/>
              </w:rPr>
              <w:t>is currently being drafted</w:t>
            </w:r>
            <w:r w:rsidR="00FD397A">
              <w:rPr>
                <w:rFonts w:asciiTheme="minorHAnsi" w:eastAsia="Times New Roman" w:hAnsiTheme="minorHAnsi"/>
                <w:iCs/>
                <w:color w:val="000000" w:themeColor="text1"/>
                <w:szCs w:val="17"/>
                <w:lang w:eastAsia="en-US"/>
              </w:rPr>
              <w:t>.</w:t>
            </w:r>
          </w:p>
        </w:tc>
      </w:tr>
      <w:tr w:rsidR="003461B9" w:rsidRPr="002B4446" w14:paraId="47839C1E" w14:textId="77777777" w:rsidTr="002B4446">
        <w:trPr>
          <w:cnfStyle w:val="000000010000" w:firstRow="0" w:lastRow="0" w:firstColumn="0" w:lastColumn="0" w:oddVBand="0" w:evenVBand="0" w:oddHBand="0" w:evenHBand="1" w:firstRowFirstColumn="0" w:firstRowLastColumn="0" w:lastRowFirstColumn="0" w:lastRowLastColumn="0"/>
        </w:trPr>
        <w:tc>
          <w:tcPr>
            <w:tcW w:w="6473" w:type="dxa"/>
          </w:tcPr>
          <w:p w14:paraId="02E8CA8A" w14:textId="77777777" w:rsidR="003461B9" w:rsidRPr="002B4446" w:rsidRDefault="003461B9" w:rsidP="002B4446">
            <w:pPr>
              <w:pStyle w:val="ListParagraph"/>
              <w:keepLines/>
              <w:numPr>
                <w:ilvl w:val="0"/>
                <w:numId w:val="37"/>
              </w:numPr>
              <w:spacing w:before="40" w:after="40" w:line="200" w:lineRule="atLeast"/>
              <w:rPr>
                <w:rFonts w:asciiTheme="minorHAnsi" w:eastAsia="Times New Roman" w:hAnsiTheme="minorHAnsi"/>
                <w:iCs/>
                <w:color w:val="000000" w:themeColor="text1"/>
                <w:sz w:val="17"/>
                <w:szCs w:val="17"/>
              </w:rPr>
            </w:pPr>
            <w:r w:rsidRPr="002B4446">
              <w:rPr>
                <w:rFonts w:asciiTheme="minorHAnsi" w:eastAsia="Times New Roman" w:hAnsiTheme="minorHAnsi"/>
                <w:iCs/>
                <w:color w:val="000000" w:themeColor="text1"/>
                <w:sz w:val="17"/>
                <w:szCs w:val="17"/>
              </w:rPr>
              <w:t>Start the Vietnam-Australia Partnership on Human Resource Development 2016-2020.</w:t>
            </w:r>
          </w:p>
        </w:tc>
        <w:tc>
          <w:tcPr>
            <w:tcW w:w="964" w:type="dxa"/>
            <w:shd w:val="clear" w:color="auto" w:fill="669900"/>
          </w:tcPr>
          <w:p w14:paraId="37AEAFE7" w14:textId="77777777" w:rsidR="003461B9" w:rsidRPr="002B4446" w:rsidRDefault="003461B9" w:rsidP="003461B9">
            <w:pPr>
              <w:keepLines/>
              <w:spacing w:before="40" w:after="40" w:line="200" w:lineRule="atLeast"/>
              <w:jc w:val="center"/>
              <w:rPr>
                <w:rFonts w:asciiTheme="minorHAnsi" w:eastAsia="Times New Roman" w:hAnsiTheme="minorHAnsi"/>
                <w:iCs/>
                <w:color w:val="FFFFFF" w:themeColor="background1"/>
                <w:szCs w:val="17"/>
                <w:lang w:eastAsia="en-US"/>
              </w:rPr>
            </w:pPr>
            <w:r w:rsidRPr="002B4446">
              <w:rPr>
                <w:rFonts w:asciiTheme="minorHAnsi" w:eastAsia="Times New Roman" w:hAnsiTheme="minorHAnsi"/>
                <w:iCs/>
                <w:color w:val="FFFFFF" w:themeColor="background1"/>
                <w:szCs w:val="17"/>
                <w:lang w:eastAsia="en-US"/>
              </w:rPr>
              <w:t>Achieved</w:t>
            </w:r>
            <w:r w:rsidRPr="002B4446">
              <w:rPr>
                <w:rFonts w:eastAsia="Times New Roman"/>
                <w:iCs/>
                <w:color w:val="FFFFFF" w:themeColor="background1"/>
                <w:szCs w:val="17"/>
              </w:rPr>
              <w:fldChar w:fldCharType="begin"/>
            </w:r>
            <w:r w:rsidRPr="002B4446">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2B4446">
              <w:rPr>
                <w:rFonts w:eastAsia="Times New Roman"/>
                <w:iCs/>
                <w:color w:val="FFFFFF" w:themeColor="background1"/>
                <w:szCs w:val="17"/>
              </w:rPr>
              <w:fldChar w:fldCharType="end"/>
            </w:r>
          </w:p>
        </w:tc>
        <w:tc>
          <w:tcPr>
            <w:tcW w:w="6896" w:type="dxa"/>
          </w:tcPr>
          <w:p w14:paraId="439F0B5C" w14:textId="77777777" w:rsidR="003461B9" w:rsidRPr="002B4446" w:rsidRDefault="003461B9" w:rsidP="00FD397A">
            <w:pPr>
              <w:keepLines/>
              <w:spacing w:before="40" w:after="40" w:line="200" w:lineRule="atLeast"/>
              <w:rPr>
                <w:rFonts w:asciiTheme="minorHAnsi" w:eastAsia="Times New Roman" w:hAnsiTheme="minorHAnsi"/>
                <w:iCs/>
                <w:color w:val="000000" w:themeColor="text1"/>
                <w:szCs w:val="17"/>
                <w:lang w:eastAsia="en-US"/>
              </w:rPr>
            </w:pPr>
            <w:r w:rsidRPr="002B4446">
              <w:rPr>
                <w:rFonts w:asciiTheme="minorHAnsi" w:eastAsia="Times New Roman" w:hAnsiTheme="minorHAnsi"/>
                <w:iCs/>
                <w:color w:val="000000" w:themeColor="text1"/>
                <w:szCs w:val="17"/>
                <w:lang w:eastAsia="en-US"/>
              </w:rPr>
              <w:t xml:space="preserve">Investment implemented </w:t>
            </w:r>
            <w:r w:rsidR="00FD397A">
              <w:rPr>
                <w:rFonts w:asciiTheme="minorHAnsi" w:eastAsia="Times New Roman" w:hAnsiTheme="minorHAnsi"/>
                <w:iCs/>
                <w:color w:val="000000" w:themeColor="text1"/>
                <w:szCs w:val="17"/>
                <w:lang w:eastAsia="en-US"/>
              </w:rPr>
              <w:t>in</w:t>
            </w:r>
            <w:r w:rsidRPr="002B4446">
              <w:rPr>
                <w:rFonts w:asciiTheme="minorHAnsi" w:eastAsia="Times New Roman" w:hAnsiTheme="minorHAnsi"/>
                <w:iCs/>
                <w:color w:val="000000" w:themeColor="text1"/>
                <w:szCs w:val="17"/>
                <w:lang w:eastAsia="en-US"/>
              </w:rPr>
              <w:t xml:space="preserve"> February 2016</w:t>
            </w:r>
            <w:r w:rsidR="00FD397A">
              <w:rPr>
                <w:rFonts w:asciiTheme="minorHAnsi" w:eastAsia="Times New Roman" w:hAnsiTheme="minorHAnsi"/>
                <w:iCs/>
                <w:color w:val="000000" w:themeColor="text1"/>
                <w:szCs w:val="17"/>
                <w:lang w:eastAsia="en-US"/>
              </w:rPr>
              <w:t>.</w:t>
            </w:r>
          </w:p>
        </w:tc>
      </w:tr>
      <w:tr w:rsidR="003461B9" w:rsidRPr="002B4446" w14:paraId="0B6FC025" w14:textId="77777777" w:rsidTr="002B4446">
        <w:trPr>
          <w:cnfStyle w:val="000000010000" w:firstRow="0" w:lastRow="0" w:firstColumn="0" w:lastColumn="0" w:oddVBand="0" w:evenVBand="0" w:oddHBand="0" w:evenHBand="1" w:firstRowFirstColumn="0" w:firstRowLastColumn="0" w:lastRowFirstColumn="0" w:lastRowLastColumn="0"/>
        </w:trPr>
        <w:tc>
          <w:tcPr>
            <w:tcW w:w="6473" w:type="dxa"/>
          </w:tcPr>
          <w:p w14:paraId="1F09009E" w14:textId="77777777" w:rsidR="003461B9" w:rsidRPr="002B4446" w:rsidRDefault="003461B9" w:rsidP="002B4446">
            <w:pPr>
              <w:pStyle w:val="ListParagraph"/>
              <w:keepLines/>
              <w:numPr>
                <w:ilvl w:val="0"/>
                <w:numId w:val="37"/>
              </w:numPr>
              <w:spacing w:before="40" w:after="40" w:line="200" w:lineRule="atLeast"/>
              <w:rPr>
                <w:rFonts w:asciiTheme="minorHAnsi" w:eastAsia="Times New Roman" w:hAnsiTheme="minorHAnsi"/>
                <w:iCs/>
                <w:color w:val="000000" w:themeColor="text1"/>
                <w:sz w:val="17"/>
                <w:szCs w:val="17"/>
              </w:rPr>
            </w:pPr>
            <w:r w:rsidRPr="002B4446">
              <w:rPr>
                <w:rFonts w:asciiTheme="minorHAnsi" w:eastAsia="Times New Roman" w:hAnsiTheme="minorHAnsi"/>
                <w:iCs/>
                <w:color w:val="000000" w:themeColor="text1"/>
                <w:sz w:val="17"/>
                <w:szCs w:val="17"/>
              </w:rPr>
              <w:t>Work with partners to identify mechanisms for the private sector to access ODA.</w:t>
            </w:r>
          </w:p>
        </w:tc>
        <w:tc>
          <w:tcPr>
            <w:tcW w:w="964" w:type="dxa"/>
            <w:shd w:val="clear" w:color="auto" w:fill="FF6600"/>
          </w:tcPr>
          <w:p w14:paraId="37697F72" w14:textId="77777777" w:rsidR="003461B9" w:rsidRPr="002B4446" w:rsidRDefault="003461B9" w:rsidP="003461B9">
            <w:pPr>
              <w:keepLines/>
              <w:spacing w:before="40" w:after="40" w:line="200" w:lineRule="atLeast"/>
              <w:jc w:val="center"/>
              <w:rPr>
                <w:rFonts w:asciiTheme="minorHAnsi" w:eastAsia="Times New Roman" w:hAnsiTheme="minorHAnsi"/>
                <w:iCs/>
                <w:color w:val="FFFFFF" w:themeColor="background1"/>
                <w:szCs w:val="17"/>
                <w:lang w:eastAsia="en-US"/>
              </w:rPr>
            </w:pPr>
            <w:r w:rsidRPr="002B4446">
              <w:rPr>
                <w:rFonts w:asciiTheme="minorHAnsi" w:eastAsia="Times New Roman" w:hAnsiTheme="minorHAnsi"/>
                <w:iCs/>
                <w:color w:val="FFFFFF" w:themeColor="background1"/>
                <w:szCs w:val="17"/>
                <w:lang w:eastAsia="en-US"/>
              </w:rPr>
              <w:t>Partly achieved</w:t>
            </w:r>
          </w:p>
        </w:tc>
        <w:tc>
          <w:tcPr>
            <w:tcW w:w="6896" w:type="dxa"/>
          </w:tcPr>
          <w:p w14:paraId="654B0E48" w14:textId="77777777" w:rsidR="003461B9" w:rsidRPr="002B4446" w:rsidRDefault="00C9343A" w:rsidP="00C9343A">
            <w:pPr>
              <w:keepLines/>
              <w:spacing w:before="40" w:after="40" w:line="200" w:lineRule="atLeast"/>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Changes to the Decree on ODA management resulted in a new Decree 18 being published. This partly addresses the issue of private sector access to ODA. Ongoing discussions are taking place with GoV and Development Partners to further clarify.</w:t>
            </w:r>
          </w:p>
        </w:tc>
      </w:tr>
      <w:tr w:rsidR="003461B9" w:rsidRPr="002B4446" w14:paraId="3145BD24" w14:textId="77777777" w:rsidTr="002B4446">
        <w:trPr>
          <w:cnfStyle w:val="000000010000" w:firstRow="0" w:lastRow="0" w:firstColumn="0" w:lastColumn="0" w:oddVBand="0" w:evenVBand="0" w:oddHBand="0" w:evenHBand="1" w:firstRowFirstColumn="0" w:firstRowLastColumn="0" w:lastRowFirstColumn="0" w:lastRowLastColumn="0"/>
        </w:trPr>
        <w:tc>
          <w:tcPr>
            <w:tcW w:w="6473" w:type="dxa"/>
          </w:tcPr>
          <w:p w14:paraId="592AF2B4" w14:textId="77777777" w:rsidR="003461B9" w:rsidRPr="002B4446" w:rsidRDefault="003461B9" w:rsidP="002B4446">
            <w:pPr>
              <w:pStyle w:val="ListParagraph"/>
              <w:keepLines/>
              <w:numPr>
                <w:ilvl w:val="0"/>
                <w:numId w:val="37"/>
              </w:numPr>
              <w:spacing w:before="40" w:after="40" w:line="200" w:lineRule="atLeast"/>
              <w:rPr>
                <w:rFonts w:asciiTheme="minorHAnsi" w:eastAsia="Times New Roman" w:hAnsiTheme="minorHAnsi"/>
                <w:iCs/>
                <w:color w:val="000000" w:themeColor="text1"/>
                <w:sz w:val="17"/>
                <w:szCs w:val="17"/>
              </w:rPr>
            </w:pPr>
            <w:r w:rsidRPr="002B4446">
              <w:rPr>
                <w:rFonts w:asciiTheme="minorHAnsi" w:eastAsia="Times New Roman" w:hAnsiTheme="minorHAnsi"/>
                <w:iCs/>
                <w:color w:val="000000" w:themeColor="text1"/>
                <w:sz w:val="17"/>
                <w:szCs w:val="17"/>
              </w:rPr>
              <w:t>Closely monitor investments where there have been delays or performance issues and take action to address any ongoing issues.</w:t>
            </w:r>
          </w:p>
        </w:tc>
        <w:tc>
          <w:tcPr>
            <w:tcW w:w="964" w:type="dxa"/>
            <w:shd w:val="clear" w:color="auto" w:fill="669900"/>
          </w:tcPr>
          <w:p w14:paraId="5FADC41F" w14:textId="77777777" w:rsidR="003461B9" w:rsidRPr="002B4446" w:rsidRDefault="003461B9" w:rsidP="003461B9">
            <w:pPr>
              <w:keepLines/>
              <w:spacing w:before="40" w:after="40" w:line="200" w:lineRule="atLeast"/>
              <w:jc w:val="center"/>
              <w:rPr>
                <w:rFonts w:asciiTheme="minorHAnsi" w:eastAsia="Times New Roman" w:hAnsiTheme="minorHAnsi"/>
                <w:iCs/>
                <w:color w:val="FFFFFF" w:themeColor="background1"/>
                <w:szCs w:val="17"/>
                <w:lang w:eastAsia="en-US"/>
              </w:rPr>
            </w:pPr>
            <w:r w:rsidRPr="002B4446">
              <w:rPr>
                <w:rFonts w:asciiTheme="minorHAnsi" w:eastAsia="Times New Roman" w:hAnsiTheme="minorHAnsi"/>
                <w:iCs/>
                <w:color w:val="FFFFFF" w:themeColor="background1"/>
                <w:szCs w:val="17"/>
                <w:lang w:eastAsia="en-US"/>
              </w:rPr>
              <w:t>Achieved</w:t>
            </w:r>
            <w:r w:rsidRPr="002B4446">
              <w:rPr>
                <w:rFonts w:eastAsia="Times New Roman"/>
                <w:iCs/>
                <w:color w:val="FFFFFF" w:themeColor="background1"/>
                <w:szCs w:val="17"/>
              </w:rPr>
              <w:fldChar w:fldCharType="begin"/>
            </w:r>
            <w:r w:rsidRPr="002B4446">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2B4446">
              <w:rPr>
                <w:rFonts w:eastAsia="Times New Roman"/>
                <w:iCs/>
                <w:color w:val="FFFFFF" w:themeColor="background1"/>
                <w:szCs w:val="17"/>
              </w:rPr>
              <w:fldChar w:fldCharType="end"/>
            </w:r>
          </w:p>
        </w:tc>
        <w:tc>
          <w:tcPr>
            <w:tcW w:w="6896" w:type="dxa"/>
          </w:tcPr>
          <w:p w14:paraId="2849C636" w14:textId="77777777" w:rsidR="003461B9" w:rsidRPr="002B4446" w:rsidRDefault="00FD397A" w:rsidP="00FD397A">
            <w:pPr>
              <w:keepLines/>
              <w:spacing w:before="40" w:after="40" w:line="200" w:lineRule="atLeast"/>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Investment requiring improvement (IRI)</w:t>
            </w:r>
            <w:r w:rsidR="003461B9" w:rsidRPr="002B4446">
              <w:rPr>
                <w:rFonts w:asciiTheme="minorHAnsi" w:eastAsia="Times New Roman" w:hAnsiTheme="minorHAnsi"/>
                <w:iCs/>
                <w:color w:val="000000" w:themeColor="text1"/>
                <w:szCs w:val="17"/>
                <w:lang w:eastAsia="en-US"/>
              </w:rPr>
              <w:t xml:space="preserve"> </w:t>
            </w:r>
            <w:r>
              <w:rPr>
                <w:rFonts w:asciiTheme="minorHAnsi" w:eastAsia="Times New Roman" w:hAnsiTheme="minorHAnsi"/>
                <w:iCs/>
                <w:color w:val="000000" w:themeColor="text1"/>
                <w:szCs w:val="17"/>
                <w:lang w:eastAsia="en-US"/>
              </w:rPr>
              <w:t>improved and removed from the IRI category.</w:t>
            </w:r>
          </w:p>
        </w:tc>
      </w:tr>
      <w:tr w:rsidR="003461B9" w:rsidRPr="002B4446" w14:paraId="61DE23EE" w14:textId="77777777" w:rsidTr="002B4446">
        <w:trPr>
          <w:cnfStyle w:val="000000010000" w:firstRow="0" w:lastRow="0" w:firstColumn="0" w:lastColumn="0" w:oddVBand="0" w:evenVBand="0" w:oddHBand="0" w:evenHBand="1" w:firstRowFirstColumn="0" w:firstRowLastColumn="0" w:lastRowFirstColumn="0" w:lastRowLastColumn="0"/>
        </w:trPr>
        <w:tc>
          <w:tcPr>
            <w:tcW w:w="6473" w:type="dxa"/>
          </w:tcPr>
          <w:p w14:paraId="5B75D868" w14:textId="77777777" w:rsidR="003461B9" w:rsidRPr="002B4446" w:rsidRDefault="003461B9" w:rsidP="002B4446">
            <w:pPr>
              <w:pStyle w:val="ListParagraph"/>
              <w:keepLines/>
              <w:numPr>
                <w:ilvl w:val="0"/>
                <w:numId w:val="37"/>
              </w:numPr>
              <w:spacing w:before="40" w:after="40" w:line="200" w:lineRule="atLeast"/>
              <w:rPr>
                <w:rFonts w:asciiTheme="minorHAnsi" w:eastAsia="Times New Roman" w:hAnsiTheme="minorHAnsi"/>
                <w:iCs/>
                <w:color w:val="000000" w:themeColor="text1"/>
                <w:sz w:val="17"/>
                <w:szCs w:val="17"/>
              </w:rPr>
            </w:pPr>
            <w:r w:rsidRPr="002B4446">
              <w:rPr>
                <w:rFonts w:asciiTheme="minorHAnsi" w:eastAsia="Times New Roman" w:hAnsiTheme="minorHAnsi"/>
                <w:iCs/>
                <w:color w:val="000000" w:themeColor="text1"/>
                <w:sz w:val="17"/>
                <w:szCs w:val="17"/>
              </w:rPr>
              <w:t xml:space="preserve">Against a reducing aid budget and a lower donor ranking, maintain Australia’s reputation and influence.  </w:t>
            </w:r>
          </w:p>
        </w:tc>
        <w:tc>
          <w:tcPr>
            <w:tcW w:w="964" w:type="dxa"/>
            <w:shd w:val="clear" w:color="auto" w:fill="669900"/>
          </w:tcPr>
          <w:p w14:paraId="52FBEED0" w14:textId="77777777" w:rsidR="003461B9" w:rsidRPr="002B4446" w:rsidRDefault="003461B9" w:rsidP="003461B9">
            <w:pPr>
              <w:keepLines/>
              <w:spacing w:before="40" w:after="40" w:line="200" w:lineRule="atLeast"/>
              <w:jc w:val="center"/>
              <w:rPr>
                <w:rFonts w:asciiTheme="minorHAnsi" w:eastAsia="Times New Roman" w:hAnsiTheme="minorHAnsi"/>
                <w:iCs/>
                <w:color w:val="FFFFFF" w:themeColor="background1"/>
                <w:szCs w:val="17"/>
                <w:lang w:eastAsia="en-US"/>
              </w:rPr>
            </w:pPr>
            <w:r w:rsidRPr="002B4446">
              <w:rPr>
                <w:rFonts w:asciiTheme="minorHAnsi" w:eastAsia="Times New Roman" w:hAnsiTheme="minorHAnsi"/>
                <w:iCs/>
                <w:color w:val="FFFFFF" w:themeColor="background1"/>
                <w:szCs w:val="17"/>
                <w:lang w:eastAsia="en-US"/>
              </w:rPr>
              <w:t>Achieved</w:t>
            </w:r>
            <w:r w:rsidRPr="002B4446">
              <w:rPr>
                <w:rFonts w:eastAsia="Times New Roman"/>
                <w:iCs/>
                <w:color w:val="FFFFFF" w:themeColor="background1"/>
                <w:szCs w:val="17"/>
              </w:rPr>
              <w:fldChar w:fldCharType="begin"/>
            </w:r>
            <w:r w:rsidRPr="002B4446">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2B4446">
              <w:rPr>
                <w:rFonts w:eastAsia="Times New Roman"/>
                <w:iCs/>
                <w:color w:val="FFFFFF" w:themeColor="background1"/>
                <w:szCs w:val="17"/>
              </w:rPr>
              <w:fldChar w:fldCharType="end"/>
            </w:r>
          </w:p>
        </w:tc>
        <w:tc>
          <w:tcPr>
            <w:tcW w:w="6896" w:type="dxa"/>
          </w:tcPr>
          <w:p w14:paraId="26058405" w14:textId="77777777" w:rsidR="003461B9" w:rsidRPr="002B4446" w:rsidRDefault="003461B9" w:rsidP="003461B9">
            <w:pPr>
              <w:keepLines/>
              <w:spacing w:before="40" w:after="40" w:line="200" w:lineRule="atLeast"/>
              <w:rPr>
                <w:rFonts w:asciiTheme="minorHAnsi" w:eastAsia="Times New Roman" w:hAnsiTheme="minorHAnsi"/>
                <w:iCs/>
                <w:color w:val="000000" w:themeColor="text1"/>
                <w:szCs w:val="17"/>
                <w:lang w:eastAsia="en-US"/>
              </w:rPr>
            </w:pPr>
            <w:r w:rsidRPr="002B4446">
              <w:rPr>
                <w:rFonts w:asciiTheme="minorHAnsi" w:eastAsia="Times New Roman" w:hAnsiTheme="minorHAnsi"/>
                <w:iCs/>
                <w:color w:val="000000" w:themeColor="text1"/>
                <w:szCs w:val="17"/>
                <w:lang w:eastAsia="en-US"/>
              </w:rPr>
              <w:t xml:space="preserve">Australia worked with MPI </w:t>
            </w:r>
            <w:r w:rsidR="00EF4CAB">
              <w:rPr>
                <w:rFonts w:asciiTheme="minorHAnsi" w:eastAsia="Times New Roman" w:hAnsiTheme="minorHAnsi"/>
                <w:iCs/>
                <w:color w:val="000000" w:themeColor="text1"/>
                <w:szCs w:val="17"/>
                <w:lang w:eastAsia="en-US"/>
              </w:rPr>
              <w:t>on</w:t>
            </w:r>
            <w:r w:rsidRPr="002B4446">
              <w:rPr>
                <w:rFonts w:asciiTheme="minorHAnsi" w:eastAsia="Times New Roman" w:hAnsiTheme="minorHAnsi"/>
                <w:iCs/>
                <w:color w:val="000000" w:themeColor="text1"/>
                <w:szCs w:val="17"/>
                <w:lang w:eastAsia="en-US"/>
              </w:rPr>
              <w:t xml:space="preserve"> the </w:t>
            </w:r>
            <w:r w:rsidR="00EF4CAB">
              <w:rPr>
                <w:rFonts w:asciiTheme="minorHAnsi" w:eastAsia="Times New Roman" w:hAnsiTheme="minorHAnsi"/>
                <w:iCs/>
                <w:color w:val="000000" w:themeColor="text1"/>
                <w:szCs w:val="17"/>
                <w:lang w:eastAsia="en-US"/>
              </w:rPr>
              <w:t xml:space="preserve">2015 VPDF </w:t>
            </w:r>
            <w:r w:rsidRPr="002B4446">
              <w:rPr>
                <w:rFonts w:asciiTheme="minorHAnsi" w:eastAsia="Times New Roman" w:hAnsiTheme="minorHAnsi"/>
                <w:iCs/>
                <w:color w:val="000000" w:themeColor="text1"/>
                <w:szCs w:val="17"/>
                <w:lang w:eastAsia="en-US"/>
              </w:rPr>
              <w:t>agenda and was the only donor asked to deliver the lead discussion’s statement on market institutional reform.</w:t>
            </w:r>
          </w:p>
          <w:p w14:paraId="3CA68138" w14:textId="77777777" w:rsidR="003461B9" w:rsidRPr="002B4446" w:rsidRDefault="00FD397A" w:rsidP="003461B9">
            <w:pPr>
              <w:keepLines/>
              <w:spacing w:before="40" w:after="40" w:line="200" w:lineRule="atLeast"/>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 xml:space="preserve">Successful </w:t>
            </w:r>
            <w:r w:rsidR="003461B9" w:rsidRPr="002B4446">
              <w:rPr>
                <w:rFonts w:asciiTheme="minorHAnsi" w:eastAsia="Times New Roman" w:hAnsiTheme="minorHAnsi"/>
                <w:iCs/>
                <w:color w:val="000000" w:themeColor="text1"/>
                <w:szCs w:val="17"/>
                <w:lang w:eastAsia="en-US"/>
              </w:rPr>
              <w:t xml:space="preserve">Completion workshop of the National Targeted Program on Water Supply </w:t>
            </w:r>
            <w:r>
              <w:rPr>
                <w:rFonts w:asciiTheme="minorHAnsi" w:eastAsia="Times New Roman" w:hAnsiTheme="minorHAnsi"/>
                <w:iCs/>
                <w:color w:val="000000" w:themeColor="text1"/>
                <w:szCs w:val="17"/>
                <w:lang w:eastAsia="en-US"/>
              </w:rPr>
              <w:t>&amp;</w:t>
            </w:r>
            <w:r w:rsidR="003461B9" w:rsidRPr="002B4446">
              <w:rPr>
                <w:rFonts w:asciiTheme="minorHAnsi" w:eastAsia="Times New Roman" w:hAnsiTheme="minorHAnsi"/>
                <w:iCs/>
                <w:color w:val="000000" w:themeColor="text1"/>
                <w:szCs w:val="17"/>
                <w:lang w:eastAsia="en-US"/>
              </w:rPr>
              <w:t xml:space="preserve"> Sanitation and lessons shared with partners and Government of Vietnam.</w:t>
            </w:r>
            <w:r>
              <w:rPr>
                <w:rFonts w:asciiTheme="minorHAnsi" w:eastAsia="Times New Roman" w:hAnsiTheme="minorHAnsi"/>
                <w:iCs/>
                <w:color w:val="000000" w:themeColor="text1"/>
                <w:szCs w:val="17"/>
                <w:lang w:eastAsia="en-US"/>
              </w:rPr>
              <w:t xml:space="preserve"> </w:t>
            </w:r>
          </w:p>
          <w:p w14:paraId="5AB80D2B" w14:textId="77777777" w:rsidR="003461B9" w:rsidRPr="002B4446" w:rsidRDefault="00EF4CAB" w:rsidP="00EF4CAB">
            <w:pPr>
              <w:keepLines/>
              <w:spacing w:before="40" w:after="40" w:line="200" w:lineRule="atLeast"/>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Australia</w:t>
            </w:r>
            <w:r w:rsidR="003461B9" w:rsidRPr="002B4446">
              <w:rPr>
                <w:rFonts w:asciiTheme="minorHAnsi" w:eastAsia="Times New Roman" w:hAnsiTheme="minorHAnsi"/>
                <w:iCs/>
                <w:color w:val="000000" w:themeColor="text1"/>
                <w:szCs w:val="17"/>
                <w:lang w:eastAsia="en-US"/>
              </w:rPr>
              <w:t xml:space="preserve"> presented </w:t>
            </w:r>
            <w:r>
              <w:rPr>
                <w:rFonts w:asciiTheme="minorHAnsi" w:eastAsia="Times New Roman" w:hAnsiTheme="minorHAnsi"/>
                <w:iCs/>
                <w:color w:val="000000" w:themeColor="text1"/>
                <w:szCs w:val="17"/>
                <w:lang w:eastAsia="en-US"/>
              </w:rPr>
              <w:t>at</w:t>
            </w:r>
            <w:r w:rsidR="003461B9" w:rsidRPr="002B4446">
              <w:rPr>
                <w:rFonts w:asciiTheme="minorHAnsi" w:eastAsia="Times New Roman" w:hAnsiTheme="minorHAnsi"/>
                <w:iCs/>
                <w:color w:val="000000" w:themeColor="text1"/>
                <w:szCs w:val="17"/>
                <w:lang w:eastAsia="en-US"/>
              </w:rPr>
              <w:t xml:space="preserve"> the </w:t>
            </w:r>
            <w:r>
              <w:rPr>
                <w:rFonts w:asciiTheme="minorHAnsi" w:eastAsia="Times New Roman" w:hAnsiTheme="minorHAnsi"/>
                <w:iCs/>
                <w:color w:val="000000" w:themeColor="text1"/>
                <w:szCs w:val="17"/>
                <w:lang w:eastAsia="en-US"/>
              </w:rPr>
              <w:t xml:space="preserve">National Assembly’s </w:t>
            </w:r>
            <w:r w:rsidR="003461B9" w:rsidRPr="002B4446">
              <w:rPr>
                <w:rFonts w:asciiTheme="minorHAnsi" w:eastAsia="Times New Roman" w:hAnsiTheme="minorHAnsi"/>
                <w:iCs/>
                <w:color w:val="000000" w:themeColor="text1"/>
                <w:szCs w:val="17"/>
                <w:lang w:eastAsia="en-US"/>
              </w:rPr>
              <w:t>Autumn Economic Forum</w:t>
            </w:r>
            <w:r>
              <w:rPr>
                <w:rFonts w:asciiTheme="minorHAnsi" w:eastAsia="Times New Roman" w:hAnsiTheme="minorHAnsi"/>
                <w:iCs/>
                <w:color w:val="000000" w:themeColor="text1"/>
                <w:szCs w:val="17"/>
                <w:lang w:eastAsia="en-US"/>
              </w:rPr>
              <w:t xml:space="preserve"> </w:t>
            </w:r>
            <w:r w:rsidR="003461B9" w:rsidRPr="002B4446">
              <w:rPr>
                <w:rFonts w:asciiTheme="minorHAnsi" w:eastAsia="Times New Roman" w:hAnsiTheme="minorHAnsi"/>
                <w:iCs/>
                <w:color w:val="000000" w:themeColor="text1"/>
                <w:szCs w:val="17"/>
                <w:lang w:eastAsia="en-US"/>
              </w:rPr>
              <w:t>in August 2015.</w:t>
            </w:r>
          </w:p>
        </w:tc>
      </w:tr>
      <w:tr w:rsidR="003461B9" w:rsidRPr="002B4446" w14:paraId="492682F4" w14:textId="77777777" w:rsidTr="002B4446">
        <w:trPr>
          <w:cnfStyle w:val="000000010000" w:firstRow="0" w:lastRow="0" w:firstColumn="0" w:lastColumn="0" w:oddVBand="0" w:evenVBand="0" w:oddHBand="0" w:evenHBand="1" w:firstRowFirstColumn="0" w:firstRowLastColumn="0" w:lastRowFirstColumn="0" w:lastRowLastColumn="0"/>
        </w:trPr>
        <w:tc>
          <w:tcPr>
            <w:tcW w:w="6473" w:type="dxa"/>
          </w:tcPr>
          <w:p w14:paraId="22153E39" w14:textId="77777777" w:rsidR="003461B9" w:rsidRPr="002B4446" w:rsidRDefault="003461B9" w:rsidP="00FD397A">
            <w:pPr>
              <w:pStyle w:val="ListParagraph"/>
              <w:keepLines/>
              <w:numPr>
                <w:ilvl w:val="0"/>
                <w:numId w:val="37"/>
              </w:numPr>
              <w:spacing w:before="40" w:after="40" w:line="200" w:lineRule="atLeast"/>
              <w:rPr>
                <w:rFonts w:asciiTheme="minorHAnsi" w:eastAsia="Times New Roman" w:hAnsiTheme="minorHAnsi"/>
                <w:iCs/>
                <w:color w:val="000000" w:themeColor="text1"/>
                <w:sz w:val="17"/>
                <w:szCs w:val="17"/>
              </w:rPr>
            </w:pPr>
            <w:r w:rsidRPr="002B4446">
              <w:rPr>
                <w:rFonts w:asciiTheme="minorHAnsi" w:eastAsia="Times New Roman" w:hAnsiTheme="minorHAnsi"/>
                <w:iCs/>
                <w:color w:val="000000" w:themeColor="text1"/>
                <w:sz w:val="17"/>
                <w:szCs w:val="17"/>
              </w:rPr>
              <w:t xml:space="preserve">Following the restructure of post, deepen </w:t>
            </w:r>
            <w:r w:rsidR="00FD397A">
              <w:rPr>
                <w:rFonts w:asciiTheme="minorHAnsi" w:eastAsia="Times New Roman" w:hAnsiTheme="minorHAnsi"/>
                <w:iCs/>
                <w:color w:val="000000" w:themeColor="text1"/>
                <w:sz w:val="17"/>
                <w:szCs w:val="17"/>
              </w:rPr>
              <w:t xml:space="preserve">staff </w:t>
            </w:r>
            <w:r w:rsidRPr="002B4446">
              <w:rPr>
                <w:rFonts w:asciiTheme="minorHAnsi" w:eastAsia="Times New Roman" w:hAnsiTheme="minorHAnsi"/>
                <w:iCs/>
                <w:color w:val="000000" w:themeColor="text1"/>
                <w:sz w:val="17"/>
                <w:szCs w:val="17"/>
              </w:rPr>
              <w:t>capac</w:t>
            </w:r>
            <w:r w:rsidR="00FD397A">
              <w:rPr>
                <w:rFonts w:asciiTheme="minorHAnsi" w:eastAsia="Times New Roman" w:hAnsiTheme="minorHAnsi"/>
                <w:iCs/>
                <w:color w:val="000000" w:themeColor="text1"/>
                <w:sz w:val="17"/>
                <w:szCs w:val="17"/>
              </w:rPr>
              <w:t>ity: aid m</w:t>
            </w:r>
            <w:r w:rsidRPr="002B4446">
              <w:rPr>
                <w:rFonts w:asciiTheme="minorHAnsi" w:eastAsia="Times New Roman" w:hAnsiTheme="minorHAnsi"/>
                <w:iCs/>
                <w:color w:val="000000" w:themeColor="text1"/>
                <w:sz w:val="17"/>
                <w:szCs w:val="17"/>
              </w:rPr>
              <w:t>anagement, gender equality, private sector engagement, risk and fraud management</w:t>
            </w:r>
            <w:r w:rsidR="00FD397A">
              <w:rPr>
                <w:rFonts w:asciiTheme="minorHAnsi" w:eastAsia="Times New Roman" w:hAnsiTheme="minorHAnsi"/>
                <w:iCs/>
                <w:color w:val="000000" w:themeColor="text1"/>
                <w:sz w:val="17"/>
                <w:szCs w:val="17"/>
              </w:rPr>
              <w:t>,</w:t>
            </w:r>
            <w:r w:rsidRPr="002B4446">
              <w:rPr>
                <w:rFonts w:asciiTheme="minorHAnsi" w:eastAsia="Times New Roman" w:hAnsiTheme="minorHAnsi"/>
                <w:iCs/>
                <w:color w:val="000000" w:themeColor="text1"/>
                <w:sz w:val="17"/>
                <w:szCs w:val="17"/>
              </w:rPr>
              <w:t xml:space="preserve"> safeguard issues.</w:t>
            </w:r>
          </w:p>
        </w:tc>
        <w:tc>
          <w:tcPr>
            <w:tcW w:w="964" w:type="dxa"/>
            <w:shd w:val="clear" w:color="auto" w:fill="669900"/>
          </w:tcPr>
          <w:p w14:paraId="2400E59A" w14:textId="77777777" w:rsidR="003461B9" w:rsidRPr="002B4446" w:rsidRDefault="003461B9" w:rsidP="003461B9">
            <w:pPr>
              <w:keepLines/>
              <w:spacing w:before="40" w:after="40" w:line="200" w:lineRule="atLeast"/>
              <w:jc w:val="center"/>
              <w:rPr>
                <w:rFonts w:asciiTheme="minorHAnsi" w:eastAsia="Times New Roman" w:hAnsiTheme="minorHAnsi"/>
                <w:iCs/>
                <w:color w:val="FFFFFF" w:themeColor="background1"/>
                <w:szCs w:val="17"/>
                <w:lang w:eastAsia="en-US"/>
              </w:rPr>
            </w:pPr>
            <w:r w:rsidRPr="002B4446">
              <w:rPr>
                <w:rFonts w:asciiTheme="minorHAnsi" w:eastAsia="Times New Roman" w:hAnsiTheme="minorHAnsi"/>
                <w:iCs/>
                <w:color w:val="FFFFFF" w:themeColor="background1"/>
                <w:szCs w:val="17"/>
                <w:lang w:eastAsia="en-US"/>
              </w:rPr>
              <w:t>Achieved</w:t>
            </w:r>
            <w:r w:rsidRPr="002B4446">
              <w:rPr>
                <w:rFonts w:eastAsia="Times New Roman"/>
                <w:iCs/>
                <w:color w:val="FFFFFF" w:themeColor="background1"/>
                <w:szCs w:val="17"/>
              </w:rPr>
              <w:fldChar w:fldCharType="begin"/>
            </w:r>
            <w:r w:rsidRPr="002B4446">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2B4446">
              <w:rPr>
                <w:rFonts w:eastAsia="Times New Roman"/>
                <w:iCs/>
                <w:color w:val="FFFFFF" w:themeColor="background1"/>
                <w:szCs w:val="17"/>
              </w:rPr>
              <w:fldChar w:fldCharType="end"/>
            </w:r>
          </w:p>
        </w:tc>
        <w:tc>
          <w:tcPr>
            <w:tcW w:w="6896" w:type="dxa"/>
          </w:tcPr>
          <w:p w14:paraId="51751711" w14:textId="77777777" w:rsidR="003461B9" w:rsidRPr="002B4446" w:rsidRDefault="00FD397A" w:rsidP="003461B9">
            <w:pPr>
              <w:keepLines/>
              <w:spacing w:before="40" w:after="40" w:line="200" w:lineRule="atLeast"/>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T</w:t>
            </w:r>
            <w:r w:rsidR="003461B9" w:rsidRPr="002B4446">
              <w:rPr>
                <w:rFonts w:asciiTheme="minorHAnsi" w:eastAsia="Times New Roman" w:hAnsiTheme="minorHAnsi"/>
                <w:iCs/>
                <w:color w:val="000000" w:themeColor="text1"/>
                <w:szCs w:val="17"/>
                <w:lang w:eastAsia="en-US"/>
              </w:rPr>
              <w:t>raining</w:t>
            </w:r>
            <w:r>
              <w:rPr>
                <w:rFonts w:asciiTheme="minorHAnsi" w:eastAsia="Times New Roman" w:hAnsiTheme="minorHAnsi"/>
                <w:iCs/>
                <w:color w:val="000000" w:themeColor="text1"/>
                <w:szCs w:val="17"/>
                <w:lang w:eastAsia="en-US"/>
              </w:rPr>
              <w:t xml:space="preserve"> (x3)</w:t>
            </w:r>
            <w:r w:rsidR="003461B9" w:rsidRPr="002B4446">
              <w:rPr>
                <w:rFonts w:asciiTheme="minorHAnsi" w:eastAsia="Times New Roman" w:hAnsiTheme="minorHAnsi"/>
                <w:iCs/>
                <w:color w:val="000000" w:themeColor="text1"/>
                <w:szCs w:val="17"/>
                <w:lang w:eastAsia="en-US"/>
              </w:rPr>
              <w:t xml:space="preserve"> conducted for all DFAT staff at Post (fraud</w:t>
            </w:r>
            <w:r w:rsidR="00EF4CAB">
              <w:rPr>
                <w:rFonts w:asciiTheme="minorHAnsi" w:eastAsia="Times New Roman" w:hAnsiTheme="minorHAnsi"/>
                <w:iCs/>
                <w:color w:val="000000" w:themeColor="text1"/>
                <w:szCs w:val="17"/>
                <w:lang w:eastAsia="en-US"/>
              </w:rPr>
              <w:t xml:space="preserve"> control, child protection and A</w:t>
            </w:r>
            <w:r w:rsidR="003461B9" w:rsidRPr="002B4446">
              <w:rPr>
                <w:rFonts w:asciiTheme="minorHAnsi" w:eastAsia="Times New Roman" w:hAnsiTheme="minorHAnsi"/>
                <w:iCs/>
                <w:color w:val="000000" w:themeColor="text1"/>
                <w:szCs w:val="17"/>
                <w:lang w:eastAsia="en-US"/>
              </w:rPr>
              <w:t>idworks)</w:t>
            </w:r>
          </w:p>
          <w:p w14:paraId="1402C404" w14:textId="77777777" w:rsidR="003461B9" w:rsidRPr="002B4446" w:rsidRDefault="00FD397A" w:rsidP="00FD397A">
            <w:pPr>
              <w:keepLines/>
              <w:spacing w:before="40" w:after="40" w:line="200" w:lineRule="atLeast"/>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R</w:t>
            </w:r>
            <w:r w:rsidR="003461B9" w:rsidRPr="002B4446">
              <w:rPr>
                <w:rFonts w:asciiTheme="minorHAnsi" w:eastAsia="Times New Roman" w:hAnsiTheme="minorHAnsi"/>
                <w:iCs/>
                <w:color w:val="000000" w:themeColor="text1"/>
                <w:szCs w:val="17"/>
                <w:lang w:eastAsia="en-US"/>
              </w:rPr>
              <w:t>egional training</w:t>
            </w:r>
            <w:r>
              <w:rPr>
                <w:rFonts w:asciiTheme="minorHAnsi" w:eastAsia="Times New Roman" w:hAnsiTheme="minorHAnsi"/>
                <w:iCs/>
                <w:color w:val="000000" w:themeColor="text1"/>
                <w:szCs w:val="17"/>
                <w:lang w:eastAsia="en-US"/>
              </w:rPr>
              <w:t xml:space="preserve"> (x1)</w:t>
            </w:r>
            <w:r w:rsidR="003461B9" w:rsidRPr="002B4446">
              <w:rPr>
                <w:rFonts w:asciiTheme="minorHAnsi" w:eastAsia="Times New Roman" w:hAnsiTheme="minorHAnsi"/>
                <w:iCs/>
                <w:color w:val="000000" w:themeColor="text1"/>
                <w:szCs w:val="17"/>
                <w:lang w:eastAsia="en-US"/>
              </w:rPr>
              <w:t xml:space="preserve"> on aid project design, monitoring and evaluation </w:t>
            </w:r>
            <w:r>
              <w:rPr>
                <w:rFonts w:asciiTheme="minorHAnsi" w:eastAsia="Times New Roman" w:hAnsiTheme="minorHAnsi"/>
                <w:iCs/>
                <w:color w:val="000000" w:themeColor="text1"/>
                <w:szCs w:val="17"/>
                <w:lang w:eastAsia="en-US"/>
              </w:rPr>
              <w:t>held in Hanoi.</w:t>
            </w:r>
          </w:p>
        </w:tc>
      </w:tr>
    </w:tbl>
    <w:p w14:paraId="657A98A4" w14:textId="77777777" w:rsidR="00400B0F" w:rsidRPr="002B4446" w:rsidRDefault="00400B0F" w:rsidP="00400B0F">
      <w:pPr>
        <w:spacing w:before="20" w:after="20" w:line="180" w:lineRule="atLeast"/>
        <w:jc w:val="both"/>
        <w:rPr>
          <w:rFonts w:eastAsia="Times New Roman"/>
          <w:b/>
          <w:color w:val="000000" w:themeColor="text1"/>
          <w:sz w:val="16"/>
          <w:szCs w:val="14"/>
        </w:rPr>
      </w:pPr>
      <w:r w:rsidRPr="002B4446">
        <w:rPr>
          <w:rFonts w:eastAsia="Times New Roman"/>
          <w:b/>
          <w:color w:val="000000" w:themeColor="text1"/>
          <w:sz w:val="16"/>
          <w:szCs w:val="14"/>
        </w:rPr>
        <w:t xml:space="preserve">Note: </w:t>
      </w:r>
    </w:p>
    <w:p w14:paraId="2B3EA8CA" w14:textId="77777777" w:rsidR="00400B0F" w:rsidRPr="002B4446" w:rsidRDefault="00400B0F" w:rsidP="00400B0F">
      <w:pPr>
        <w:spacing w:before="20" w:after="20" w:line="180" w:lineRule="atLeast"/>
        <w:jc w:val="both"/>
        <w:rPr>
          <w:rFonts w:eastAsia="Times New Roman"/>
          <w:color w:val="000000" w:themeColor="text1"/>
          <w:sz w:val="16"/>
          <w:szCs w:val="14"/>
        </w:rPr>
      </w:pPr>
      <w:r w:rsidRPr="002B4446">
        <w:rPr>
          <w:rFonts w:eastAsia="Times New Roman"/>
          <w:color w:val="72AF2F"/>
          <w:sz w:val="16"/>
          <w:szCs w:val="14"/>
        </w:rPr>
        <w:sym w:font="Webdings" w:char="F067"/>
      </w:r>
      <w:r w:rsidRPr="002B4446">
        <w:rPr>
          <w:rFonts w:eastAsia="Times New Roman"/>
          <w:sz w:val="16"/>
          <w:szCs w:val="14"/>
        </w:rPr>
        <w:t> </w:t>
      </w:r>
      <w:r w:rsidRPr="002B4446">
        <w:rPr>
          <w:rFonts w:eastAsia="Times New Roman"/>
          <w:sz w:val="16"/>
          <w:szCs w:val="14"/>
        </w:rPr>
        <w:t xml:space="preserve"> </w:t>
      </w:r>
      <w:r w:rsidRPr="002B4446">
        <w:rPr>
          <w:rFonts w:eastAsia="Times New Roman"/>
          <w:color w:val="000000" w:themeColor="text1"/>
          <w:sz w:val="16"/>
          <w:szCs w:val="14"/>
        </w:rPr>
        <w:t xml:space="preserve">Achieved.  Significant progress has been made in addressing the issue </w:t>
      </w:r>
    </w:p>
    <w:p w14:paraId="1DDE25BA" w14:textId="77777777" w:rsidR="00400B0F" w:rsidRPr="002B4446" w:rsidRDefault="00400B0F" w:rsidP="00400B0F">
      <w:pPr>
        <w:spacing w:before="20" w:after="20" w:line="180" w:lineRule="atLeast"/>
        <w:jc w:val="both"/>
        <w:rPr>
          <w:rFonts w:eastAsia="Times New Roman"/>
          <w:color w:val="000000" w:themeColor="text1"/>
          <w:sz w:val="16"/>
          <w:szCs w:val="14"/>
        </w:rPr>
      </w:pPr>
      <w:r w:rsidRPr="002B4446">
        <w:rPr>
          <w:rFonts w:eastAsia="Times New Roman"/>
          <w:color w:val="E36C0A"/>
          <w:sz w:val="16"/>
          <w:szCs w:val="14"/>
        </w:rPr>
        <w:sym w:font="Webdings" w:char="F067"/>
      </w:r>
      <w:r w:rsidRPr="002B4446">
        <w:rPr>
          <w:rFonts w:eastAsia="Times New Roman"/>
          <w:sz w:val="16"/>
          <w:szCs w:val="14"/>
        </w:rPr>
        <w:t> </w:t>
      </w:r>
      <w:r w:rsidRPr="002B4446">
        <w:rPr>
          <w:rFonts w:eastAsia="Times New Roman"/>
          <w:sz w:val="16"/>
          <w:szCs w:val="14"/>
        </w:rPr>
        <w:t xml:space="preserve"> </w:t>
      </w:r>
      <w:r w:rsidRPr="002B4446">
        <w:rPr>
          <w:rFonts w:eastAsia="Times New Roman"/>
          <w:color w:val="000000" w:themeColor="text1"/>
          <w:sz w:val="16"/>
          <w:szCs w:val="14"/>
        </w:rPr>
        <w:t xml:space="preserve">Partly achieved.  Some progress has been made in addressing the issue, but the issue has not been resolved </w:t>
      </w:r>
    </w:p>
    <w:p w14:paraId="6E5A09F6" w14:textId="77777777" w:rsidR="00400B0F" w:rsidRPr="002B4446" w:rsidRDefault="00400B0F" w:rsidP="00400B0F">
      <w:pPr>
        <w:spacing w:before="20" w:after="20" w:line="180" w:lineRule="atLeast"/>
        <w:jc w:val="both"/>
        <w:rPr>
          <w:rFonts w:eastAsia="Times New Roman"/>
          <w:color w:val="000000" w:themeColor="text1"/>
          <w:sz w:val="16"/>
          <w:szCs w:val="14"/>
        </w:rPr>
      </w:pPr>
      <w:r w:rsidRPr="002B4446">
        <w:rPr>
          <w:rFonts w:eastAsia="Times New Roman"/>
          <w:color w:val="FF0000"/>
          <w:sz w:val="16"/>
          <w:szCs w:val="14"/>
        </w:rPr>
        <w:sym w:font="Webdings" w:char="F067"/>
      </w:r>
      <w:r w:rsidRPr="002B4446">
        <w:rPr>
          <w:rFonts w:eastAsia="Times New Roman"/>
          <w:sz w:val="16"/>
          <w:szCs w:val="14"/>
        </w:rPr>
        <w:t> </w:t>
      </w:r>
      <w:r w:rsidRPr="002B4446">
        <w:rPr>
          <w:rFonts w:eastAsia="Times New Roman"/>
          <w:sz w:val="16"/>
          <w:szCs w:val="14"/>
        </w:rPr>
        <w:t xml:space="preserve"> </w:t>
      </w:r>
      <w:r w:rsidRPr="002B4446">
        <w:rPr>
          <w:rFonts w:eastAsia="Times New Roman"/>
          <w:color w:val="000000" w:themeColor="text1"/>
          <w:sz w:val="16"/>
          <w:szCs w:val="14"/>
        </w:rPr>
        <w:t>Not achieved. Progress in addressing the issue has been significantly below expectations</w:t>
      </w:r>
    </w:p>
    <w:p w14:paraId="0F3D27D1" w14:textId="77777777" w:rsidR="00E2263A" w:rsidRDefault="00E2263A">
      <w:pPr>
        <w:suppressAutoHyphens w:val="0"/>
        <w:spacing w:before="0" w:after="120" w:line="440" w:lineRule="atLeast"/>
        <w:rPr>
          <w:rFonts w:ascii="Franklin Gothic Book" w:eastAsia="Times New Roman" w:hAnsi="Franklin Gothic Book" w:cstheme="majorBidi"/>
          <w:bCs/>
          <w:iCs/>
          <w:caps/>
          <w:spacing w:val="-10"/>
          <w:kern w:val="28"/>
          <w:sz w:val="21"/>
          <w:szCs w:val="24"/>
        </w:rPr>
      </w:pPr>
      <w:r>
        <w:rPr>
          <w:rFonts w:ascii="Franklin Gothic Book" w:eastAsia="Times New Roman" w:hAnsi="Franklin Gothic Book"/>
          <w:sz w:val="21"/>
        </w:rPr>
        <w:br w:type="page"/>
      </w:r>
    </w:p>
    <w:p w14:paraId="382D43BC" w14:textId="77777777" w:rsidR="00400B0F" w:rsidRDefault="002A51CA" w:rsidP="00400B0F">
      <w:pPr>
        <w:pStyle w:val="Subtitle"/>
        <w:numPr>
          <w:ilvl w:val="0"/>
          <w:numId w:val="0"/>
        </w:numPr>
      </w:pPr>
      <w:r w:rsidRPr="00C61187">
        <w:rPr>
          <w:rFonts w:ascii="Franklin Gothic Book" w:eastAsia="Times New Roman" w:hAnsi="Franklin Gothic Book"/>
          <w:sz w:val="21"/>
        </w:rPr>
        <w:lastRenderedPageBreak/>
        <w:t xml:space="preserve"> </w:t>
      </w:r>
      <w:r w:rsidR="00400B0F" w:rsidRPr="00400B0F">
        <w:t>Annex B - Progress towards Performance Benchmarks in 2015-16</w:t>
      </w:r>
    </w:p>
    <w:tbl>
      <w:tblPr>
        <w:tblStyle w:val="DFATTable"/>
        <w:tblW w:w="5000" w:type="pct"/>
        <w:tblLook w:val="00A0" w:firstRow="1" w:lastRow="0" w:firstColumn="1" w:lastColumn="0" w:noHBand="0" w:noVBand="0"/>
      </w:tblPr>
      <w:tblGrid>
        <w:gridCol w:w="2480"/>
        <w:gridCol w:w="2514"/>
        <w:gridCol w:w="2234"/>
        <w:gridCol w:w="1117"/>
        <w:gridCol w:w="5828"/>
      </w:tblGrid>
      <w:tr w:rsidR="00EE7D73" w:rsidRPr="00236649" w14:paraId="23FD1A28" w14:textId="77777777" w:rsidTr="00C93A01">
        <w:trPr>
          <w:tblHeader/>
        </w:trPr>
        <w:tc>
          <w:tcPr>
            <w:tcW w:w="875" w:type="pct"/>
            <w:tcMar>
              <w:top w:w="57" w:type="dxa"/>
              <w:bottom w:w="57" w:type="dxa"/>
            </w:tcMar>
          </w:tcPr>
          <w:p w14:paraId="3B8C4FB9" w14:textId="77777777" w:rsidR="00EE7D73" w:rsidRPr="00236649" w:rsidRDefault="00EE7D73" w:rsidP="00C93A01">
            <w:pPr>
              <w:keepLines/>
              <w:spacing w:before="80" w:after="80" w:line="200" w:lineRule="atLeast"/>
              <w:rPr>
                <w:rFonts w:asciiTheme="minorHAnsi" w:eastAsia="Times New Roman" w:hAnsiTheme="minorHAnsi"/>
                <w:b/>
                <w:iCs/>
                <w:color w:val="auto"/>
                <w:szCs w:val="17"/>
                <w:lang w:eastAsia="en-US"/>
              </w:rPr>
            </w:pPr>
            <w:r w:rsidRPr="00236649">
              <w:rPr>
                <w:rFonts w:asciiTheme="minorHAnsi" w:eastAsia="Times New Roman" w:hAnsiTheme="minorHAnsi"/>
                <w:b/>
                <w:iCs/>
                <w:color w:val="auto"/>
                <w:szCs w:val="17"/>
                <w:lang w:eastAsia="en-US"/>
              </w:rPr>
              <w:t>Aid objective</w:t>
            </w:r>
          </w:p>
        </w:tc>
        <w:tc>
          <w:tcPr>
            <w:tcW w:w="887" w:type="pct"/>
          </w:tcPr>
          <w:p w14:paraId="10DB508A" w14:textId="77777777" w:rsidR="00EE7D73" w:rsidRPr="00FB01A6" w:rsidRDefault="00EE7D73" w:rsidP="00C93A01">
            <w:pPr>
              <w:keepLines/>
              <w:spacing w:before="80" w:after="80" w:line="200" w:lineRule="atLeast"/>
              <w:rPr>
                <w:rFonts w:asciiTheme="minorHAnsi" w:eastAsia="Times New Roman" w:hAnsiTheme="minorHAnsi"/>
                <w:b/>
                <w:iCs/>
                <w:color w:val="auto"/>
                <w:szCs w:val="17"/>
                <w:lang w:eastAsia="en-US"/>
              </w:rPr>
            </w:pPr>
            <w:r w:rsidRPr="00FB01A6">
              <w:rPr>
                <w:rFonts w:asciiTheme="minorHAnsi" w:eastAsia="Times New Roman" w:hAnsiTheme="minorHAnsi"/>
                <w:b/>
                <w:iCs/>
                <w:color w:val="auto"/>
                <w:szCs w:val="17"/>
                <w:lang w:eastAsia="en-US"/>
              </w:rPr>
              <w:t>Intermediate outcome</w:t>
            </w:r>
          </w:p>
        </w:tc>
        <w:tc>
          <w:tcPr>
            <w:tcW w:w="788" w:type="pct"/>
          </w:tcPr>
          <w:p w14:paraId="48AD79ED" w14:textId="77777777" w:rsidR="00EE7D73" w:rsidRPr="00236649" w:rsidRDefault="00EE7D73" w:rsidP="00C93A01">
            <w:pPr>
              <w:keepLines/>
              <w:spacing w:before="80" w:after="80" w:line="200" w:lineRule="atLeast"/>
              <w:rPr>
                <w:rFonts w:asciiTheme="minorHAnsi" w:eastAsia="Times New Roman" w:hAnsiTheme="minorHAnsi"/>
                <w:b/>
                <w:iCs/>
                <w:color w:val="auto"/>
                <w:szCs w:val="17"/>
                <w:lang w:eastAsia="en-US"/>
              </w:rPr>
            </w:pPr>
            <w:r w:rsidRPr="00236649">
              <w:rPr>
                <w:rFonts w:asciiTheme="minorHAnsi" w:eastAsia="Times New Roman" w:hAnsiTheme="minorHAnsi"/>
                <w:b/>
                <w:iCs/>
                <w:color w:val="auto"/>
                <w:szCs w:val="17"/>
                <w:lang w:eastAsia="en-US"/>
              </w:rPr>
              <w:t xml:space="preserve">2015-16 benchmark </w:t>
            </w:r>
          </w:p>
        </w:tc>
        <w:tc>
          <w:tcPr>
            <w:tcW w:w="394" w:type="pct"/>
            <w:tcBorders>
              <w:bottom w:val="nil"/>
            </w:tcBorders>
          </w:tcPr>
          <w:p w14:paraId="422B50FD" w14:textId="77777777" w:rsidR="00EE7D73" w:rsidRPr="00236649" w:rsidRDefault="00EE7D73" w:rsidP="00C93A01">
            <w:pPr>
              <w:keepLines/>
              <w:spacing w:before="80" w:after="80" w:line="200" w:lineRule="atLeast"/>
              <w:jc w:val="center"/>
              <w:rPr>
                <w:rFonts w:asciiTheme="minorHAnsi" w:eastAsia="Times New Roman" w:hAnsiTheme="minorHAnsi"/>
                <w:b/>
                <w:iCs/>
                <w:color w:val="auto"/>
                <w:szCs w:val="17"/>
                <w:lang w:eastAsia="en-US"/>
              </w:rPr>
            </w:pPr>
            <w:r w:rsidRPr="00236649">
              <w:rPr>
                <w:rFonts w:asciiTheme="minorHAnsi" w:eastAsia="Times New Roman" w:hAnsiTheme="minorHAnsi"/>
                <w:b/>
                <w:iCs/>
                <w:color w:val="auto"/>
                <w:szCs w:val="17"/>
                <w:lang w:eastAsia="en-US"/>
              </w:rPr>
              <w:t>Rating</w:t>
            </w:r>
          </w:p>
        </w:tc>
        <w:tc>
          <w:tcPr>
            <w:tcW w:w="2056" w:type="pct"/>
          </w:tcPr>
          <w:p w14:paraId="12CED63A" w14:textId="77777777" w:rsidR="00EE7D73" w:rsidRPr="007D5180" w:rsidRDefault="00EE7D73" w:rsidP="00C93A01">
            <w:pPr>
              <w:keepLines/>
              <w:spacing w:before="80" w:after="80" w:line="200" w:lineRule="atLeast"/>
              <w:jc w:val="center"/>
              <w:rPr>
                <w:rFonts w:asciiTheme="minorHAnsi" w:eastAsia="Times New Roman" w:hAnsiTheme="minorHAnsi"/>
                <w:b/>
                <w:iCs/>
                <w:color w:val="auto"/>
                <w:szCs w:val="17"/>
                <w:lang w:eastAsia="en-US"/>
              </w:rPr>
            </w:pPr>
            <w:r w:rsidRPr="007D5180">
              <w:rPr>
                <w:rFonts w:asciiTheme="minorHAnsi" w:eastAsia="Times New Roman" w:hAnsiTheme="minorHAnsi"/>
                <w:b/>
                <w:iCs/>
                <w:color w:val="auto"/>
                <w:szCs w:val="17"/>
                <w:lang w:eastAsia="en-US"/>
              </w:rPr>
              <w:t>Progress in 2015-16</w:t>
            </w:r>
          </w:p>
        </w:tc>
      </w:tr>
      <w:tr w:rsidR="00EE7D73" w:rsidRPr="00012D77" w14:paraId="0545169F" w14:textId="77777777" w:rsidTr="00C93A01">
        <w:tc>
          <w:tcPr>
            <w:tcW w:w="875" w:type="pct"/>
            <w:tcMar>
              <w:top w:w="57" w:type="dxa"/>
              <w:bottom w:w="57" w:type="dxa"/>
            </w:tcMar>
          </w:tcPr>
          <w:p w14:paraId="3FE13504" w14:textId="77777777" w:rsidR="00EE7D73" w:rsidRPr="00012D77" w:rsidRDefault="00EE7D73" w:rsidP="00C93A01">
            <w:pPr>
              <w:keepLines/>
              <w:spacing w:before="40" w:after="40" w:line="200" w:lineRule="atLeast"/>
              <w:rPr>
                <w:rFonts w:asciiTheme="minorHAnsi" w:eastAsia="Times New Roman" w:hAnsiTheme="minorHAnsi"/>
                <w:iCs/>
                <w:szCs w:val="17"/>
                <w:lang w:eastAsia="en-US"/>
              </w:rPr>
            </w:pPr>
            <w:r w:rsidRPr="00012D77">
              <w:rPr>
                <w:rFonts w:asciiTheme="minorHAnsi" w:hAnsiTheme="minorHAnsi"/>
                <w:color w:val="000000" w:themeColor="text1"/>
                <w:szCs w:val="17"/>
              </w:rPr>
              <w:t>Objective 1: Enabling and engaging the private sector for development</w:t>
            </w:r>
          </w:p>
        </w:tc>
        <w:tc>
          <w:tcPr>
            <w:tcW w:w="887" w:type="pct"/>
          </w:tcPr>
          <w:p w14:paraId="3DBBB50B" w14:textId="77777777" w:rsidR="00EE7D73" w:rsidRPr="00012D77" w:rsidRDefault="00EE7D73" w:rsidP="00C93A01">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1.1 </w:t>
            </w:r>
            <w:r w:rsidRPr="00012D77">
              <w:rPr>
                <w:rFonts w:asciiTheme="minorHAnsi" w:eastAsia="Times New Roman" w:hAnsiTheme="minorHAnsi"/>
                <w:iCs/>
                <w:color w:val="auto"/>
                <w:szCs w:val="17"/>
                <w:lang w:eastAsia="en-US"/>
              </w:rPr>
              <w:t>Value-for-money transport infrastructure demonstrated and enabled</w:t>
            </w:r>
          </w:p>
        </w:tc>
        <w:tc>
          <w:tcPr>
            <w:tcW w:w="788" w:type="pct"/>
          </w:tcPr>
          <w:p w14:paraId="651D319F" w14:textId="77777777" w:rsidR="00EE7D73" w:rsidRPr="00012D77" w:rsidRDefault="00EE7D73" w:rsidP="00C93A01">
            <w:pPr>
              <w:keepLines/>
              <w:spacing w:before="40" w:after="40" w:line="200" w:lineRule="atLeast"/>
              <w:rPr>
                <w:rFonts w:asciiTheme="minorHAnsi" w:eastAsia="Times New Roman" w:hAnsiTheme="minorHAnsi"/>
                <w:iCs/>
                <w:color w:val="auto"/>
                <w:szCs w:val="17"/>
                <w:lang w:eastAsia="en-US"/>
              </w:rPr>
            </w:pPr>
            <w:r w:rsidRPr="006B776D">
              <w:rPr>
                <w:rFonts w:asciiTheme="minorHAnsi" w:eastAsia="Times New Roman" w:hAnsiTheme="minorHAnsi"/>
                <w:iCs/>
                <w:color w:val="auto"/>
                <w:szCs w:val="17"/>
                <w:lang w:eastAsia="en-US"/>
              </w:rPr>
              <w:t>60% construction complete</w:t>
            </w:r>
          </w:p>
        </w:tc>
        <w:tc>
          <w:tcPr>
            <w:tcW w:w="394" w:type="pct"/>
            <w:tcBorders>
              <w:top w:val="nil"/>
              <w:bottom w:val="nil"/>
            </w:tcBorders>
            <w:shd w:val="clear" w:color="auto" w:fill="669900"/>
          </w:tcPr>
          <w:p w14:paraId="2C059DAB" w14:textId="77777777" w:rsidR="00EE7D73" w:rsidRPr="002B4446" w:rsidRDefault="00EE7D73" w:rsidP="00C93A01">
            <w:pPr>
              <w:keepLines/>
              <w:spacing w:before="40" w:after="40" w:line="200" w:lineRule="atLeast"/>
              <w:jc w:val="center"/>
              <w:rPr>
                <w:rFonts w:asciiTheme="minorHAnsi" w:eastAsia="Times New Roman" w:hAnsiTheme="minorHAnsi"/>
                <w:iCs/>
                <w:color w:val="FFFFFF" w:themeColor="background1"/>
                <w:szCs w:val="17"/>
                <w:lang w:eastAsia="en-US"/>
              </w:rPr>
            </w:pPr>
            <w:r w:rsidRPr="002B4446">
              <w:rPr>
                <w:rFonts w:asciiTheme="minorHAnsi" w:eastAsia="Times New Roman" w:hAnsiTheme="minorHAnsi"/>
                <w:iCs/>
                <w:color w:val="FFFFFF" w:themeColor="background1"/>
                <w:szCs w:val="17"/>
                <w:lang w:eastAsia="en-US"/>
              </w:rPr>
              <w:t>Achieved</w:t>
            </w:r>
            <w:r w:rsidRPr="002B4446">
              <w:rPr>
                <w:rFonts w:eastAsia="Times New Roman"/>
                <w:iCs/>
                <w:color w:val="FFFFFF" w:themeColor="background1"/>
                <w:szCs w:val="17"/>
              </w:rPr>
              <w:fldChar w:fldCharType="begin"/>
            </w:r>
            <w:r w:rsidRPr="002B4446">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2B4446">
              <w:rPr>
                <w:rFonts w:eastAsia="Times New Roman"/>
                <w:iCs/>
                <w:color w:val="FFFFFF" w:themeColor="background1"/>
                <w:szCs w:val="17"/>
              </w:rPr>
              <w:fldChar w:fldCharType="end"/>
            </w:r>
          </w:p>
        </w:tc>
        <w:tc>
          <w:tcPr>
            <w:tcW w:w="2056" w:type="pct"/>
          </w:tcPr>
          <w:p w14:paraId="6E7E7B17" w14:textId="77777777" w:rsidR="00EE7D73" w:rsidRPr="007D5180" w:rsidRDefault="00EE7D73" w:rsidP="00C93A01">
            <w:pPr>
              <w:keepLines/>
              <w:spacing w:before="40" w:after="40" w:line="200" w:lineRule="atLeast"/>
              <w:rPr>
                <w:rFonts w:asciiTheme="minorHAnsi" w:eastAsia="Times New Roman" w:hAnsiTheme="minorHAnsi"/>
                <w:iCs/>
                <w:color w:val="auto"/>
                <w:szCs w:val="17"/>
                <w:lang w:eastAsia="en-US"/>
              </w:rPr>
            </w:pPr>
            <w:r w:rsidRPr="007D5180">
              <w:rPr>
                <w:rFonts w:asciiTheme="minorHAnsi" w:eastAsia="Times New Roman" w:hAnsiTheme="minorHAnsi"/>
                <w:iCs/>
                <w:color w:val="auto"/>
                <w:szCs w:val="17"/>
                <w:lang w:eastAsia="en-US"/>
              </w:rPr>
              <w:t>Construction progress on Cao Lanh bridge is at 66%.</w:t>
            </w:r>
          </w:p>
        </w:tc>
      </w:tr>
      <w:tr w:rsidR="00EE7D73" w:rsidRPr="00012D77" w14:paraId="42F99575" w14:textId="77777777" w:rsidTr="00C93A01">
        <w:tc>
          <w:tcPr>
            <w:tcW w:w="875" w:type="pct"/>
            <w:tcMar>
              <w:top w:w="57" w:type="dxa"/>
              <w:bottom w:w="57" w:type="dxa"/>
            </w:tcMar>
          </w:tcPr>
          <w:p w14:paraId="46818F94" w14:textId="77777777" w:rsidR="00EE7D73" w:rsidRPr="00012D77" w:rsidRDefault="00EE7D73" w:rsidP="00C93A01">
            <w:pPr>
              <w:keepLines/>
              <w:spacing w:before="40" w:after="40" w:line="200" w:lineRule="atLeast"/>
              <w:rPr>
                <w:color w:val="000000" w:themeColor="text1"/>
                <w:szCs w:val="17"/>
              </w:rPr>
            </w:pPr>
          </w:p>
        </w:tc>
        <w:tc>
          <w:tcPr>
            <w:tcW w:w="887" w:type="pct"/>
          </w:tcPr>
          <w:p w14:paraId="736DF4FB" w14:textId="77777777" w:rsidR="00EE7D73" w:rsidRPr="00012D77" w:rsidRDefault="00EE7D73" w:rsidP="00C93A01">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1.2 </w:t>
            </w:r>
            <w:r w:rsidRPr="00012D77">
              <w:rPr>
                <w:rFonts w:asciiTheme="minorHAnsi" w:eastAsia="Times New Roman" w:hAnsiTheme="minorHAnsi"/>
                <w:iCs/>
                <w:color w:val="auto"/>
                <w:szCs w:val="17"/>
                <w:lang w:eastAsia="en-US"/>
              </w:rPr>
              <w:t>Promotion of innovative enterprises to enhance service delivery</w:t>
            </w:r>
          </w:p>
        </w:tc>
        <w:tc>
          <w:tcPr>
            <w:tcW w:w="788" w:type="pct"/>
          </w:tcPr>
          <w:p w14:paraId="5C5C47AE" w14:textId="77777777" w:rsidR="00EE7D73" w:rsidRPr="00012D77" w:rsidRDefault="00EE7D73" w:rsidP="00C93A01">
            <w:pPr>
              <w:keepLines/>
              <w:spacing w:before="40" w:after="40" w:line="200" w:lineRule="atLeast"/>
              <w:rPr>
                <w:rFonts w:asciiTheme="minorHAnsi" w:eastAsia="Times New Roman" w:hAnsiTheme="minorHAnsi"/>
                <w:iCs/>
                <w:color w:val="auto"/>
                <w:szCs w:val="17"/>
                <w:lang w:eastAsia="en-US"/>
              </w:rPr>
            </w:pPr>
            <w:r w:rsidRPr="006B776D">
              <w:rPr>
                <w:rFonts w:asciiTheme="minorHAnsi" w:eastAsia="Times New Roman" w:hAnsiTheme="minorHAnsi"/>
                <w:iCs/>
                <w:color w:val="auto"/>
                <w:szCs w:val="17"/>
                <w:lang w:eastAsia="en-US"/>
              </w:rPr>
              <w:t>Investment launch</w:t>
            </w:r>
          </w:p>
        </w:tc>
        <w:tc>
          <w:tcPr>
            <w:tcW w:w="394" w:type="pct"/>
            <w:tcBorders>
              <w:top w:val="nil"/>
              <w:bottom w:val="nil"/>
            </w:tcBorders>
            <w:shd w:val="clear" w:color="auto" w:fill="669900"/>
          </w:tcPr>
          <w:p w14:paraId="5B36B9D9" w14:textId="77777777" w:rsidR="00EE7D73" w:rsidRPr="002B4446" w:rsidRDefault="00EE7D73" w:rsidP="00C93A01">
            <w:pPr>
              <w:keepLines/>
              <w:spacing w:before="40" w:after="40" w:line="200" w:lineRule="atLeast"/>
              <w:jc w:val="center"/>
              <w:rPr>
                <w:rFonts w:asciiTheme="minorHAnsi" w:eastAsia="Times New Roman" w:hAnsiTheme="minorHAnsi"/>
                <w:iCs/>
                <w:color w:val="FFFFFF" w:themeColor="background1"/>
                <w:szCs w:val="17"/>
                <w:lang w:eastAsia="en-US"/>
              </w:rPr>
            </w:pPr>
            <w:r w:rsidRPr="002B4446">
              <w:rPr>
                <w:rFonts w:asciiTheme="minorHAnsi" w:eastAsia="Times New Roman" w:hAnsiTheme="minorHAnsi"/>
                <w:iCs/>
                <w:color w:val="FFFFFF" w:themeColor="background1"/>
                <w:szCs w:val="17"/>
                <w:lang w:eastAsia="en-US"/>
              </w:rPr>
              <w:t>Achieved</w:t>
            </w:r>
            <w:r w:rsidRPr="002B4446">
              <w:rPr>
                <w:rFonts w:eastAsia="Times New Roman"/>
                <w:iCs/>
                <w:color w:val="FFFFFF" w:themeColor="background1"/>
                <w:szCs w:val="17"/>
              </w:rPr>
              <w:fldChar w:fldCharType="begin"/>
            </w:r>
            <w:r w:rsidRPr="002B4446">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2B4446">
              <w:rPr>
                <w:rFonts w:eastAsia="Times New Roman"/>
                <w:iCs/>
                <w:color w:val="FFFFFF" w:themeColor="background1"/>
                <w:szCs w:val="17"/>
              </w:rPr>
              <w:fldChar w:fldCharType="end"/>
            </w:r>
          </w:p>
        </w:tc>
        <w:tc>
          <w:tcPr>
            <w:tcW w:w="2056" w:type="pct"/>
          </w:tcPr>
          <w:p w14:paraId="5D84994A" w14:textId="77777777" w:rsidR="00EE7D73" w:rsidRPr="007D5180" w:rsidRDefault="00EE7D73" w:rsidP="00C93A01">
            <w:pPr>
              <w:keepLines/>
              <w:spacing w:before="40" w:after="40" w:line="200" w:lineRule="atLeast"/>
              <w:rPr>
                <w:rFonts w:asciiTheme="minorHAnsi" w:eastAsia="Times New Roman" w:hAnsiTheme="minorHAnsi"/>
                <w:iCs/>
                <w:color w:val="auto"/>
                <w:szCs w:val="17"/>
                <w:lang w:eastAsia="en-US"/>
              </w:rPr>
            </w:pPr>
            <w:r w:rsidRPr="007D5180">
              <w:rPr>
                <w:rFonts w:asciiTheme="minorHAnsi" w:eastAsia="Times New Roman" w:hAnsiTheme="minorHAnsi"/>
                <w:iCs/>
                <w:color w:val="auto"/>
                <w:szCs w:val="17"/>
                <w:lang w:eastAsia="en-US"/>
              </w:rPr>
              <w:t>Vietnam Climate Innovation Centre launched in December 2015.</w:t>
            </w:r>
          </w:p>
        </w:tc>
      </w:tr>
      <w:tr w:rsidR="00EE7D73" w:rsidRPr="00012D77" w14:paraId="408CC1D7" w14:textId="77777777" w:rsidTr="00C93A01">
        <w:tc>
          <w:tcPr>
            <w:tcW w:w="875" w:type="pct"/>
            <w:tcMar>
              <w:top w:w="57" w:type="dxa"/>
              <w:bottom w:w="57" w:type="dxa"/>
            </w:tcMar>
          </w:tcPr>
          <w:p w14:paraId="7BE780B8" w14:textId="77777777" w:rsidR="00EE7D73" w:rsidRPr="00012D77" w:rsidRDefault="00EE7D73" w:rsidP="00C93A01">
            <w:pPr>
              <w:keepLines/>
              <w:spacing w:before="40" w:after="40" w:line="200" w:lineRule="atLeast"/>
              <w:rPr>
                <w:rFonts w:asciiTheme="minorHAnsi" w:eastAsia="Times New Roman" w:hAnsiTheme="minorHAnsi"/>
                <w:iCs/>
                <w:szCs w:val="17"/>
                <w:lang w:eastAsia="en-US"/>
              </w:rPr>
            </w:pPr>
            <w:r w:rsidRPr="00012D77">
              <w:rPr>
                <w:rFonts w:asciiTheme="minorHAnsi" w:hAnsiTheme="minorHAnsi"/>
                <w:color w:val="000000" w:themeColor="text1"/>
                <w:szCs w:val="17"/>
              </w:rPr>
              <w:t>Objective 2: Assisting the development and employment of a highly skilled workforce</w:t>
            </w:r>
          </w:p>
        </w:tc>
        <w:tc>
          <w:tcPr>
            <w:tcW w:w="887" w:type="pct"/>
          </w:tcPr>
          <w:p w14:paraId="7B41FD2A" w14:textId="77777777" w:rsidR="00EE7D73" w:rsidRPr="00012D77" w:rsidRDefault="00EE7D73" w:rsidP="00C93A01">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2.1 </w:t>
            </w:r>
            <w:r w:rsidRPr="00012D77">
              <w:rPr>
                <w:rFonts w:asciiTheme="minorHAnsi" w:eastAsia="Times New Roman" w:hAnsiTheme="minorHAnsi"/>
                <w:iCs/>
                <w:color w:val="auto"/>
                <w:szCs w:val="17"/>
                <w:lang w:eastAsia="en-US"/>
              </w:rPr>
              <w:t>Male and female alumni use skills and knowledge to make positive contributions to selected priority areas</w:t>
            </w:r>
          </w:p>
        </w:tc>
        <w:tc>
          <w:tcPr>
            <w:tcW w:w="788" w:type="pct"/>
          </w:tcPr>
          <w:p w14:paraId="2D9A2ADF" w14:textId="77777777" w:rsidR="00EE7D73" w:rsidRPr="00012D77" w:rsidRDefault="00EE7D73" w:rsidP="00C93A01">
            <w:pPr>
              <w:keepLines/>
              <w:spacing w:before="40" w:after="40" w:line="200" w:lineRule="atLeast"/>
              <w:rPr>
                <w:rFonts w:asciiTheme="minorHAnsi" w:eastAsia="Times New Roman" w:hAnsiTheme="minorHAnsi"/>
                <w:iCs/>
                <w:color w:val="auto"/>
                <w:szCs w:val="17"/>
                <w:lang w:eastAsia="en-US"/>
              </w:rPr>
            </w:pPr>
            <w:r w:rsidRPr="006B776D">
              <w:rPr>
                <w:rFonts w:asciiTheme="minorHAnsi" w:eastAsia="Times New Roman" w:hAnsiTheme="minorHAnsi"/>
                <w:iCs/>
                <w:color w:val="auto"/>
                <w:szCs w:val="17"/>
                <w:lang w:eastAsia="en-US"/>
              </w:rPr>
              <w:t>75% of alumni employed in position relevant to award skills after 3 years</w:t>
            </w:r>
          </w:p>
        </w:tc>
        <w:tc>
          <w:tcPr>
            <w:tcW w:w="394" w:type="pct"/>
            <w:tcBorders>
              <w:top w:val="nil"/>
              <w:bottom w:val="nil"/>
            </w:tcBorders>
            <w:shd w:val="clear" w:color="auto" w:fill="669900"/>
          </w:tcPr>
          <w:p w14:paraId="0E6B752C" w14:textId="77777777" w:rsidR="00EE7D73" w:rsidRPr="002B4446" w:rsidRDefault="00EE7D73" w:rsidP="00C93A01">
            <w:pPr>
              <w:keepLines/>
              <w:spacing w:before="40" w:after="40" w:line="200" w:lineRule="atLeast"/>
              <w:jc w:val="center"/>
              <w:rPr>
                <w:rFonts w:asciiTheme="minorHAnsi" w:eastAsia="Times New Roman" w:hAnsiTheme="minorHAnsi"/>
                <w:iCs/>
                <w:color w:val="FFFFFF" w:themeColor="background1"/>
                <w:szCs w:val="17"/>
                <w:lang w:eastAsia="en-US"/>
              </w:rPr>
            </w:pPr>
            <w:r w:rsidRPr="002B4446">
              <w:rPr>
                <w:rFonts w:asciiTheme="minorHAnsi" w:eastAsia="Times New Roman" w:hAnsiTheme="minorHAnsi"/>
                <w:iCs/>
                <w:color w:val="FFFFFF" w:themeColor="background1"/>
                <w:szCs w:val="17"/>
                <w:lang w:eastAsia="en-US"/>
              </w:rPr>
              <w:t>Achieved</w:t>
            </w:r>
            <w:r w:rsidRPr="002B4446">
              <w:rPr>
                <w:rFonts w:eastAsia="Times New Roman"/>
                <w:iCs/>
                <w:color w:val="FFFFFF" w:themeColor="background1"/>
                <w:szCs w:val="17"/>
              </w:rPr>
              <w:fldChar w:fldCharType="begin"/>
            </w:r>
            <w:r w:rsidRPr="002B4446">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2B4446">
              <w:rPr>
                <w:rFonts w:eastAsia="Times New Roman"/>
                <w:iCs/>
                <w:color w:val="FFFFFF" w:themeColor="background1"/>
                <w:szCs w:val="17"/>
              </w:rPr>
              <w:fldChar w:fldCharType="end"/>
            </w:r>
          </w:p>
        </w:tc>
        <w:tc>
          <w:tcPr>
            <w:tcW w:w="2056" w:type="pct"/>
          </w:tcPr>
          <w:p w14:paraId="4B7AC963" w14:textId="77777777" w:rsidR="00EE7D73" w:rsidRPr="007D5180" w:rsidRDefault="00EE7D73" w:rsidP="00C93A01">
            <w:pPr>
              <w:keepLines/>
              <w:spacing w:before="40" w:after="40" w:line="200" w:lineRule="atLeast"/>
              <w:rPr>
                <w:rFonts w:asciiTheme="minorHAnsi" w:eastAsia="Times New Roman" w:hAnsiTheme="minorHAnsi"/>
                <w:iCs/>
                <w:color w:val="auto"/>
                <w:szCs w:val="17"/>
                <w:lang w:eastAsia="en-US"/>
              </w:rPr>
            </w:pPr>
            <w:r w:rsidRPr="007D5180">
              <w:rPr>
                <w:rFonts w:asciiTheme="minorHAnsi" w:eastAsia="Times New Roman" w:hAnsiTheme="minorHAnsi"/>
                <w:iCs/>
                <w:color w:val="auto"/>
                <w:szCs w:val="17"/>
                <w:lang w:eastAsia="en-US"/>
              </w:rPr>
              <w:t>Around 93% of alumni employed in positions relevant to their award skills after three years of return.</w:t>
            </w:r>
          </w:p>
        </w:tc>
      </w:tr>
      <w:tr w:rsidR="00EE7D73" w:rsidRPr="00012D77" w14:paraId="0EEABB30" w14:textId="77777777" w:rsidTr="00C93A01">
        <w:tc>
          <w:tcPr>
            <w:tcW w:w="875" w:type="pct"/>
            <w:tcMar>
              <w:top w:w="57" w:type="dxa"/>
              <w:bottom w:w="57" w:type="dxa"/>
            </w:tcMar>
          </w:tcPr>
          <w:p w14:paraId="72F53E01" w14:textId="77777777" w:rsidR="00EE7D73" w:rsidRPr="00012D77" w:rsidRDefault="00EE7D73" w:rsidP="00C93A01">
            <w:pPr>
              <w:keepLines/>
              <w:spacing w:before="40" w:after="40" w:line="200" w:lineRule="atLeast"/>
              <w:rPr>
                <w:color w:val="000000" w:themeColor="text1"/>
                <w:szCs w:val="17"/>
              </w:rPr>
            </w:pPr>
          </w:p>
        </w:tc>
        <w:tc>
          <w:tcPr>
            <w:tcW w:w="887" w:type="pct"/>
          </w:tcPr>
          <w:p w14:paraId="45589197" w14:textId="77777777" w:rsidR="00EE7D73" w:rsidRPr="00012D77" w:rsidRDefault="00EE7D73" w:rsidP="00C93A01">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2.2 </w:t>
            </w:r>
            <w:r w:rsidRPr="00012D77">
              <w:rPr>
                <w:rFonts w:asciiTheme="minorHAnsi" w:eastAsia="Times New Roman" w:hAnsiTheme="minorHAnsi"/>
                <w:iCs/>
                <w:color w:val="auto"/>
                <w:szCs w:val="17"/>
                <w:lang w:eastAsia="en-US"/>
              </w:rPr>
              <w:t>Stronger workplace enabling environments for improved skills utilisation in selected priority areas.</w:t>
            </w:r>
          </w:p>
        </w:tc>
        <w:tc>
          <w:tcPr>
            <w:tcW w:w="788" w:type="pct"/>
          </w:tcPr>
          <w:p w14:paraId="71D636FA" w14:textId="77777777" w:rsidR="00EE7D73" w:rsidRPr="007D5180" w:rsidRDefault="00EE7D73" w:rsidP="00C93A01">
            <w:pPr>
              <w:keepLines/>
              <w:spacing w:before="40" w:after="40" w:line="200" w:lineRule="atLeast"/>
              <w:rPr>
                <w:rFonts w:asciiTheme="minorHAnsi" w:eastAsia="Times New Roman" w:hAnsiTheme="minorHAnsi"/>
                <w:iCs/>
                <w:color w:val="auto"/>
                <w:szCs w:val="17"/>
                <w:lang w:eastAsia="en-US"/>
              </w:rPr>
            </w:pPr>
            <w:r w:rsidRPr="007D5180">
              <w:rPr>
                <w:rFonts w:asciiTheme="minorHAnsi" w:eastAsia="Times New Roman" w:hAnsiTheme="minorHAnsi"/>
                <w:iCs/>
                <w:color w:val="auto"/>
                <w:szCs w:val="17"/>
                <w:lang w:eastAsia="en-US"/>
              </w:rPr>
              <w:t xml:space="preserve">Human resource development scoping work undertaken </w:t>
            </w:r>
          </w:p>
        </w:tc>
        <w:tc>
          <w:tcPr>
            <w:tcW w:w="394" w:type="pct"/>
            <w:tcBorders>
              <w:top w:val="nil"/>
              <w:bottom w:val="nil"/>
            </w:tcBorders>
            <w:shd w:val="clear" w:color="auto" w:fill="669900"/>
          </w:tcPr>
          <w:p w14:paraId="42080EF4" w14:textId="77777777" w:rsidR="00EE7D73" w:rsidRPr="002B4446" w:rsidRDefault="00EE7D73" w:rsidP="00C93A01">
            <w:pPr>
              <w:keepLines/>
              <w:spacing w:before="40" w:after="40" w:line="200" w:lineRule="atLeast"/>
              <w:jc w:val="center"/>
              <w:rPr>
                <w:rFonts w:asciiTheme="minorHAnsi" w:eastAsia="Times New Roman" w:hAnsiTheme="minorHAnsi"/>
                <w:iCs/>
                <w:color w:val="FFFFFF" w:themeColor="background1"/>
                <w:szCs w:val="17"/>
                <w:lang w:eastAsia="en-US"/>
              </w:rPr>
            </w:pPr>
            <w:r w:rsidRPr="002B4446">
              <w:rPr>
                <w:rFonts w:asciiTheme="minorHAnsi" w:eastAsia="Times New Roman" w:hAnsiTheme="minorHAnsi"/>
                <w:iCs/>
                <w:color w:val="FFFFFF" w:themeColor="background1"/>
                <w:szCs w:val="17"/>
                <w:lang w:eastAsia="en-US"/>
              </w:rPr>
              <w:t>Achieved</w:t>
            </w:r>
            <w:r w:rsidRPr="002B4446">
              <w:rPr>
                <w:rFonts w:eastAsia="Times New Roman"/>
                <w:iCs/>
                <w:color w:val="FFFFFF" w:themeColor="background1"/>
                <w:szCs w:val="17"/>
              </w:rPr>
              <w:fldChar w:fldCharType="begin"/>
            </w:r>
            <w:r w:rsidRPr="002B4446">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2B4446">
              <w:rPr>
                <w:rFonts w:eastAsia="Times New Roman"/>
                <w:iCs/>
                <w:color w:val="FFFFFF" w:themeColor="background1"/>
                <w:szCs w:val="17"/>
              </w:rPr>
              <w:fldChar w:fldCharType="end"/>
            </w:r>
          </w:p>
        </w:tc>
        <w:tc>
          <w:tcPr>
            <w:tcW w:w="2056" w:type="pct"/>
          </w:tcPr>
          <w:p w14:paraId="4A32837A" w14:textId="77777777" w:rsidR="00EE7D73" w:rsidRPr="007D5180" w:rsidRDefault="00EE7D73" w:rsidP="00C93A01">
            <w:pPr>
              <w:keepLines/>
              <w:spacing w:before="40" w:after="40" w:line="200" w:lineRule="atLeast"/>
              <w:rPr>
                <w:rFonts w:asciiTheme="minorHAnsi" w:eastAsia="Times New Roman" w:hAnsiTheme="minorHAnsi"/>
                <w:iCs/>
                <w:color w:val="auto"/>
                <w:szCs w:val="17"/>
                <w:lang w:eastAsia="en-US"/>
              </w:rPr>
            </w:pPr>
            <w:r w:rsidRPr="007D5180">
              <w:rPr>
                <w:rFonts w:asciiTheme="minorHAnsi" w:eastAsia="Times New Roman" w:hAnsiTheme="minorHAnsi"/>
                <w:iCs/>
                <w:color w:val="auto"/>
                <w:szCs w:val="17"/>
                <w:lang w:eastAsia="en-US"/>
              </w:rPr>
              <w:t xml:space="preserve">Vietnam-Australia Human Resource Development Partnership established and scoping work underway. </w:t>
            </w:r>
            <w:r>
              <w:rPr>
                <w:rFonts w:asciiTheme="minorHAnsi" w:eastAsia="Times New Roman" w:hAnsiTheme="minorHAnsi"/>
                <w:iCs/>
                <w:color w:val="auto"/>
                <w:szCs w:val="17"/>
                <w:lang w:eastAsia="en-US"/>
              </w:rPr>
              <w:t>Progress as expected in identifying</w:t>
            </w:r>
            <w:r w:rsidRPr="007D5180">
              <w:rPr>
                <w:rFonts w:asciiTheme="minorHAnsi" w:eastAsia="Times New Roman" w:hAnsiTheme="minorHAnsi"/>
                <w:iCs/>
                <w:color w:val="auto"/>
                <w:szCs w:val="17"/>
                <w:lang w:eastAsia="en-US"/>
              </w:rPr>
              <w:t xml:space="preserve"> activities for </w:t>
            </w:r>
            <w:r>
              <w:rPr>
                <w:rFonts w:asciiTheme="minorHAnsi" w:eastAsia="Times New Roman" w:hAnsiTheme="minorHAnsi"/>
                <w:iCs/>
                <w:color w:val="auto"/>
                <w:szCs w:val="17"/>
                <w:lang w:eastAsia="en-US"/>
              </w:rPr>
              <w:t xml:space="preserve">all components - </w:t>
            </w:r>
            <w:r w:rsidRPr="007D5180">
              <w:rPr>
                <w:rFonts w:asciiTheme="minorHAnsi" w:eastAsia="Times New Roman" w:hAnsiTheme="minorHAnsi"/>
                <w:iCs/>
                <w:color w:val="auto"/>
                <w:szCs w:val="17"/>
                <w:lang w:eastAsia="en-US"/>
              </w:rPr>
              <w:t>selected universities in the Northern Mountainous Region</w:t>
            </w:r>
            <w:r>
              <w:rPr>
                <w:rFonts w:asciiTheme="minorHAnsi" w:eastAsia="Times New Roman" w:hAnsiTheme="minorHAnsi"/>
                <w:iCs/>
                <w:color w:val="auto"/>
                <w:szCs w:val="17"/>
                <w:lang w:eastAsia="en-US"/>
              </w:rPr>
              <w:t>,</w:t>
            </w:r>
            <w:r w:rsidRPr="007D5180">
              <w:rPr>
                <w:rFonts w:asciiTheme="minorHAnsi" w:eastAsia="Times New Roman" w:hAnsiTheme="minorHAnsi"/>
                <w:iCs/>
                <w:color w:val="auto"/>
                <w:szCs w:val="17"/>
                <w:lang w:eastAsia="en-US"/>
              </w:rPr>
              <w:t xml:space="preserve"> </w:t>
            </w:r>
            <w:r>
              <w:rPr>
                <w:rFonts w:asciiTheme="minorHAnsi" w:eastAsia="Times New Roman" w:hAnsiTheme="minorHAnsi"/>
                <w:iCs/>
                <w:color w:val="auto"/>
                <w:szCs w:val="17"/>
                <w:lang w:eastAsia="en-US"/>
              </w:rPr>
              <w:t xml:space="preserve">women in leadership, </w:t>
            </w:r>
            <w:r w:rsidRPr="007D5180">
              <w:rPr>
                <w:rFonts w:asciiTheme="minorHAnsi" w:eastAsia="Times New Roman" w:hAnsiTheme="minorHAnsi"/>
                <w:iCs/>
                <w:color w:val="auto"/>
                <w:szCs w:val="17"/>
                <w:lang w:eastAsia="en-US"/>
              </w:rPr>
              <w:t xml:space="preserve">and in technical and vocational training. </w:t>
            </w:r>
          </w:p>
        </w:tc>
      </w:tr>
      <w:tr w:rsidR="00EE7D73" w:rsidRPr="00012D77" w14:paraId="1EF41B51" w14:textId="77777777" w:rsidTr="00C93A01">
        <w:tc>
          <w:tcPr>
            <w:tcW w:w="875" w:type="pct"/>
            <w:tcMar>
              <w:top w:w="57" w:type="dxa"/>
              <w:bottom w:w="57" w:type="dxa"/>
            </w:tcMar>
          </w:tcPr>
          <w:p w14:paraId="5E1BC813" w14:textId="77777777" w:rsidR="00EE7D73" w:rsidRPr="00012D77" w:rsidRDefault="00EE7D73" w:rsidP="00C93A01">
            <w:pPr>
              <w:keepLines/>
              <w:spacing w:before="40" w:after="40" w:line="200" w:lineRule="atLeast"/>
              <w:rPr>
                <w:rFonts w:asciiTheme="minorHAnsi" w:eastAsia="Times New Roman" w:hAnsiTheme="minorHAnsi"/>
                <w:iCs/>
                <w:szCs w:val="17"/>
                <w:lang w:eastAsia="en-US"/>
              </w:rPr>
            </w:pPr>
            <w:r w:rsidRPr="00012D77">
              <w:rPr>
                <w:rFonts w:asciiTheme="minorHAnsi" w:hAnsiTheme="minorHAnsi"/>
                <w:color w:val="000000" w:themeColor="text1"/>
                <w:szCs w:val="17"/>
              </w:rPr>
              <w:t>Objective 3: Promoting women’s economic empowerment, including ethnic minorities</w:t>
            </w:r>
          </w:p>
        </w:tc>
        <w:tc>
          <w:tcPr>
            <w:tcW w:w="887" w:type="pct"/>
          </w:tcPr>
          <w:p w14:paraId="6AD75E1C" w14:textId="77777777" w:rsidR="00EE7D73" w:rsidRPr="00012D77" w:rsidRDefault="00EE7D73" w:rsidP="00C93A01">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3.1 </w:t>
            </w:r>
            <w:r w:rsidRPr="00012D77">
              <w:rPr>
                <w:rFonts w:asciiTheme="minorHAnsi" w:eastAsia="Times New Roman" w:hAnsiTheme="minorHAnsi"/>
                <w:iCs/>
                <w:color w:val="auto"/>
                <w:szCs w:val="17"/>
                <w:lang w:eastAsia="en-US"/>
              </w:rPr>
              <w:t>Rural women’s livelihood security improved</w:t>
            </w:r>
          </w:p>
        </w:tc>
        <w:tc>
          <w:tcPr>
            <w:tcW w:w="788" w:type="pct"/>
          </w:tcPr>
          <w:p w14:paraId="634256E0" w14:textId="77777777" w:rsidR="00EE7D73" w:rsidRPr="00012D77" w:rsidRDefault="00EE7D73" w:rsidP="00C93A01">
            <w:pPr>
              <w:keepLines/>
              <w:spacing w:before="40" w:after="40" w:line="200" w:lineRule="atLeast"/>
              <w:rPr>
                <w:rFonts w:asciiTheme="minorHAnsi" w:eastAsia="Times New Roman" w:hAnsiTheme="minorHAnsi"/>
                <w:iCs/>
                <w:color w:val="auto"/>
                <w:szCs w:val="17"/>
                <w:lang w:eastAsia="en-US"/>
              </w:rPr>
            </w:pPr>
            <w:r w:rsidRPr="00184C53">
              <w:rPr>
                <w:rFonts w:asciiTheme="minorHAnsi" w:eastAsia="Times New Roman" w:hAnsiTheme="minorHAnsi"/>
                <w:iCs/>
                <w:color w:val="auto"/>
                <w:szCs w:val="17"/>
                <w:lang w:eastAsia="en-US"/>
              </w:rPr>
              <w:t>Concept developed</w:t>
            </w:r>
          </w:p>
        </w:tc>
        <w:tc>
          <w:tcPr>
            <w:tcW w:w="394" w:type="pct"/>
            <w:tcBorders>
              <w:top w:val="nil"/>
              <w:bottom w:val="nil"/>
            </w:tcBorders>
            <w:shd w:val="clear" w:color="auto" w:fill="669900"/>
          </w:tcPr>
          <w:p w14:paraId="030BAF36" w14:textId="77777777" w:rsidR="00EE7D73" w:rsidRPr="00012D77" w:rsidRDefault="00EE7D73" w:rsidP="00C93A01">
            <w:pPr>
              <w:keepLines/>
              <w:spacing w:before="40" w:after="40" w:line="200" w:lineRule="atLeast"/>
              <w:jc w:val="center"/>
              <w:rPr>
                <w:rFonts w:asciiTheme="minorHAnsi" w:eastAsia="Times New Roman" w:hAnsiTheme="minorHAnsi"/>
                <w:iCs/>
                <w:szCs w:val="17"/>
                <w:lang w:eastAsia="en-US"/>
              </w:rPr>
            </w:pPr>
            <w:r w:rsidRPr="00012D77">
              <w:rPr>
                <w:rFonts w:asciiTheme="minorHAnsi" w:eastAsia="Times New Roman" w:hAnsiTheme="minorHAnsi"/>
                <w:iCs/>
                <w:color w:val="FFFFFF" w:themeColor="background1"/>
                <w:szCs w:val="17"/>
                <w:lang w:eastAsia="en-US"/>
              </w:rPr>
              <w:t>Achieved</w:t>
            </w:r>
          </w:p>
        </w:tc>
        <w:tc>
          <w:tcPr>
            <w:tcW w:w="2056" w:type="pct"/>
          </w:tcPr>
          <w:p w14:paraId="724D6A4E" w14:textId="77777777" w:rsidR="00EE7D73" w:rsidRPr="007D5180" w:rsidRDefault="00EE7D73" w:rsidP="00C93A01">
            <w:pPr>
              <w:keepLines/>
              <w:spacing w:before="40" w:after="40" w:line="200" w:lineRule="atLeast"/>
              <w:rPr>
                <w:rFonts w:asciiTheme="minorHAnsi" w:eastAsia="Times New Roman" w:hAnsiTheme="minorHAnsi"/>
                <w:iCs/>
                <w:color w:val="auto"/>
                <w:szCs w:val="17"/>
                <w:lang w:eastAsia="en-US"/>
              </w:rPr>
            </w:pPr>
            <w:r w:rsidRPr="007D5180">
              <w:rPr>
                <w:rFonts w:asciiTheme="minorHAnsi" w:eastAsia="Times New Roman" w:hAnsiTheme="minorHAnsi"/>
                <w:iCs/>
                <w:color w:val="auto"/>
                <w:szCs w:val="17"/>
                <w:lang w:eastAsia="en-US"/>
              </w:rPr>
              <w:t xml:space="preserve">Concept note for the new Gender-Responsive Equitable Agriculture and Tourism </w:t>
            </w:r>
            <w:r>
              <w:rPr>
                <w:rFonts w:asciiTheme="minorHAnsi" w:eastAsia="Times New Roman" w:hAnsiTheme="minorHAnsi"/>
                <w:iCs/>
                <w:color w:val="auto"/>
                <w:szCs w:val="17"/>
                <w:lang w:eastAsia="en-US"/>
              </w:rPr>
              <w:t>initiative</w:t>
            </w:r>
            <w:r w:rsidRPr="007D5180">
              <w:rPr>
                <w:rFonts w:asciiTheme="minorHAnsi" w:eastAsia="Times New Roman" w:hAnsiTheme="minorHAnsi"/>
                <w:iCs/>
                <w:color w:val="auto"/>
                <w:szCs w:val="17"/>
                <w:lang w:eastAsia="en-US"/>
              </w:rPr>
              <w:t xml:space="preserve"> developed and investment design significantly progressed.</w:t>
            </w:r>
          </w:p>
        </w:tc>
      </w:tr>
      <w:tr w:rsidR="00EE7D73" w:rsidRPr="00012D77" w14:paraId="1BEFA41F" w14:textId="77777777" w:rsidTr="00C93A01">
        <w:tc>
          <w:tcPr>
            <w:tcW w:w="875" w:type="pct"/>
            <w:tcMar>
              <w:top w:w="57" w:type="dxa"/>
              <w:bottom w:w="57" w:type="dxa"/>
            </w:tcMar>
          </w:tcPr>
          <w:p w14:paraId="15C8A8E7" w14:textId="77777777" w:rsidR="00EE7D73" w:rsidRPr="00012D77" w:rsidRDefault="00EE7D73" w:rsidP="00C93A01">
            <w:pPr>
              <w:keepLines/>
              <w:spacing w:before="40" w:after="40" w:line="200" w:lineRule="atLeast"/>
              <w:rPr>
                <w:color w:val="000000" w:themeColor="text1"/>
                <w:szCs w:val="17"/>
              </w:rPr>
            </w:pPr>
          </w:p>
        </w:tc>
        <w:tc>
          <w:tcPr>
            <w:tcW w:w="887" w:type="pct"/>
          </w:tcPr>
          <w:p w14:paraId="4E045B6B" w14:textId="77777777" w:rsidR="00EE7D73" w:rsidRPr="00012D77" w:rsidRDefault="00EE7D73" w:rsidP="00C93A01">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3.2 </w:t>
            </w:r>
            <w:r w:rsidRPr="00012D77">
              <w:rPr>
                <w:rFonts w:asciiTheme="minorHAnsi" w:eastAsia="Times New Roman" w:hAnsiTheme="minorHAnsi"/>
                <w:iCs/>
                <w:color w:val="auto"/>
                <w:szCs w:val="17"/>
                <w:lang w:eastAsia="en-US"/>
              </w:rPr>
              <w:t>Women’s empowerment</w:t>
            </w:r>
          </w:p>
        </w:tc>
        <w:tc>
          <w:tcPr>
            <w:tcW w:w="788" w:type="pct"/>
          </w:tcPr>
          <w:p w14:paraId="1833E5E0" w14:textId="77777777" w:rsidR="00EE7D73" w:rsidRPr="00012D77" w:rsidRDefault="00EE7D73" w:rsidP="00C93A01">
            <w:pPr>
              <w:keepLines/>
              <w:spacing w:before="40" w:after="40" w:line="200" w:lineRule="atLeast"/>
              <w:rPr>
                <w:rFonts w:asciiTheme="minorHAnsi" w:eastAsia="Times New Roman" w:hAnsiTheme="minorHAnsi"/>
                <w:iCs/>
                <w:color w:val="auto"/>
                <w:szCs w:val="17"/>
                <w:lang w:eastAsia="en-US"/>
              </w:rPr>
            </w:pPr>
            <w:r w:rsidRPr="00184C53">
              <w:rPr>
                <w:rFonts w:asciiTheme="minorHAnsi" w:eastAsia="Times New Roman" w:hAnsiTheme="minorHAnsi"/>
                <w:iCs/>
                <w:color w:val="auto"/>
                <w:szCs w:val="17"/>
                <w:lang w:eastAsia="en-US"/>
              </w:rPr>
              <w:t>Concept developed</w:t>
            </w:r>
          </w:p>
        </w:tc>
        <w:tc>
          <w:tcPr>
            <w:tcW w:w="394" w:type="pct"/>
            <w:tcBorders>
              <w:top w:val="nil"/>
              <w:bottom w:val="single" w:sz="12" w:space="0" w:color="auto"/>
            </w:tcBorders>
            <w:shd w:val="clear" w:color="auto" w:fill="669900"/>
          </w:tcPr>
          <w:p w14:paraId="1A06793A" w14:textId="77777777" w:rsidR="00EE7D73" w:rsidRPr="002B4446" w:rsidRDefault="00EE7D73" w:rsidP="00C93A01">
            <w:pPr>
              <w:keepLines/>
              <w:spacing w:before="40" w:after="40" w:line="200" w:lineRule="atLeast"/>
              <w:jc w:val="center"/>
              <w:rPr>
                <w:rFonts w:asciiTheme="minorHAnsi" w:eastAsia="Times New Roman" w:hAnsiTheme="minorHAnsi"/>
                <w:iCs/>
                <w:color w:val="FFFFFF" w:themeColor="background1"/>
                <w:szCs w:val="17"/>
                <w:lang w:eastAsia="en-US"/>
              </w:rPr>
            </w:pPr>
            <w:r w:rsidRPr="002B4446">
              <w:rPr>
                <w:rFonts w:asciiTheme="minorHAnsi" w:eastAsia="Times New Roman" w:hAnsiTheme="minorHAnsi"/>
                <w:iCs/>
                <w:color w:val="FFFFFF" w:themeColor="background1"/>
                <w:szCs w:val="17"/>
                <w:lang w:eastAsia="en-US"/>
              </w:rPr>
              <w:t>Achieved</w:t>
            </w:r>
            <w:r w:rsidRPr="002B4446">
              <w:rPr>
                <w:rFonts w:eastAsia="Times New Roman"/>
                <w:iCs/>
                <w:color w:val="FFFFFF" w:themeColor="background1"/>
                <w:szCs w:val="17"/>
              </w:rPr>
              <w:fldChar w:fldCharType="begin"/>
            </w:r>
            <w:r w:rsidRPr="002B4446">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2B4446">
              <w:rPr>
                <w:rFonts w:eastAsia="Times New Roman"/>
                <w:iCs/>
                <w:color w:val="FFFFFF" w:themeColor="background1"/>
                <w:szCs w:val="17"/>
              </w:rPr>
              <w:fldChar w:fldCharType="end"/>
            </w:r>
          </w:p>
        </w:tc>
        <w:tc>
          <w:tcPr>
            <w:tcW w:w="2056" w:type="pct"/>
          </w:tcPr>
          <w:p w14:paraId="0565580D" w14:textId="77777777" w:rsidR="00EE7D73" w:rsidRPr="007D5180" w:rsidRDefault="00EE7D73" w:rsidP="00C93A01">
            <w:pPr>
              <w:pStyle w:val="TableTextEntries"/>
              <w:keepNext/>
              <w:rPr>
                <w:rFonts w:asciiTheme="minorHAnsi" w:hAnsiTheme="minorHAnsi" w:cstheme="minorBidi"/>
                <w:lang w:val="en-GB"/>
              </w:rPr>
            </w:pPr>
            <w:r w:rsidRPr="007D5180">
              <w:rPr>
                <w:rFonts w:asciiTheme="minorHAnsi" w:hAnsiTheme="minorHAnsi" w:cstheme="minorBidi"/>
                <w:lang w:val="en-GB"/>
              </w:rPr>
              <w:t>As above</w:t>
            </w:r>
          </w:p>
        </w:tc>
      </w:tr>
    </w:tbl>
    <w:p w14:paraId="5377F1FB" w14:textId="77777777" w:rsidR="00400B0F" w:rsidRPr="00012D77" w:rsidRDefault="00400B0F" w:rsidP="00400B0F">
      <w:pPr>
        <w:spacing w:before="20" w:after="20" w:line="180" w:lineRule="atLeast"/>
        <w:jc w:val="both"/>
        <w:rPr>
          <w:rFonts w:eastAsia="Times New Roman"/>
          <w:b/>
          <w:color w:val="auto"/>
          <w:sz w:val="16"/>
          <w:szCs w:val="14"/>
        </w:rPr>
      </w:pPr>
      <w:r w:rsidRPr="00012D77">
        <w:rPr>
          <w:rFonts w:eastAsia="Times New Roman"/>
          <w:b/>
          <w:color w:val="auto"/>
          <w:sz w:val="16"/>
          <w:szCs w:val="14"/>
        </w:rPr>
        <w:t xml:space="preserve">Note: </w:t>
      </w:r>
    </w:p>
    <w:p w14:paraId="3B8B1748" w14:textId="77777777" w:rsidR="00400B0F" w:rsidRPr="00012D77" w:rsidRDefault="00400B0F" w:rsidP="00400B0F">
      <w:pPr>
        <w:spacing w:before="20" w:after="20" w:line="180" w:lineRule="atLeast"/>
        <w:jc w:val="both"/>
        <w:rPr>
          <w:rFonts w:eastAsia="Times New Roman"/>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w:t>
      </w:r>
      <w:r w:rsidRPr="00012D77">
        <w:rPr>
          <w:rFonts w:eastAsia="Times New Roman"/>
          <w:color w:val="auto"/>
          <w:sz w:val="16"/>
          <w:szCs w:val="14"/>
        </w:rPr>
        <w:t xml:space="preserve">Achieved.  Significant progress has been made and the performance benchmark was achieved </w:t>
      </w:r>
    </w:p>
    <w:p w14:paraId="6208EA9D" w14:textId="77777777" w:rsidR="00400B0F" w:rsidRPr="00012D77" w:rsidRDefault="00400B0F" w:rsidP="00400B0F">
      <w:pPr>
        <w:spacing w:before="20" w:after="20" w:line="180" w:lineRule="atLeast"/>
        <w:jc w:val="both"/>
        <w:rPr>
          <w:rFonts w:eastAsia="Times New Roman"/>
          <w:color w:val="auto"/>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w:t>
      </w:r>
      <w:r w:rsidRPr="00012D77">
        <w:rPr>
          <w:rFonts w:eastAsia="Times New Roman"/>
          <w:color w:val="auto"/>
          <w:sz w:val="16"/>
          <w:szCs w:val="14"/>
        </w:rPr>
        <w:t xml:space="preserve">Partly achieved.  Some progress has been made towards achieving the performance benchmark, but progress was less than anticipated. </w:t>
      </w:r>
    </w:p>
    <w:p w14:paraId="0B1D717D" w14:textId="77777777" w:rsidR="00400B0F" w:rsidRPr="00012D77" w:rsidRDefault="00400B0F" w:rsidP="00400B0F">
      <w:pPr>
        <w:spacing w:before="20" w:after="20" w:line="180" w:lineRule="atLeast"/>
        <w:jc w:val="both"/>
        <w:rPr>
          <w:rFonts w:eastAsia="Times New Roman"/>
          <w:color w:val="auto"/>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w:t>
      </w:r>
      <w:r w:rsidRPr="00012D77">
        <w:rPr>
          <w:rFonts w:eastAsia="Times New Roman"/>
          <w:color w:val="auto"/>
          <w:sz w:val="16"/>
          <w:szCs w:val="14"/>
        </w:rPr>
        <w:t>Not achieved. Progress towards the performance benchmark has been significantly below expectations</w:t>
      </w:r>
    </w:p>
    <w:p w14:paraId="039783D5" w14:textId="77777777" w:rsidR="00400B0F" w:rsidRPr="00C61187" w:rsidRDefault="00400B0F" w:rsidP="00400B0F">
      <w:pPr>
        <w:spacing w:after="160" w:line="280" w:lineRule="exact"/>
        <w:rPr>
          <w:rFonts w:ascii="Franklin Gothic Book" w:eastAsia="Times New Roman" w:hAnsi="Franklin Gothic Book"/>
          <w:sz w:val="21"/>
        </w:rPr>
      </w:pPr>
    </w:p>
    <w:p w14:paraId="66A9376D" w14:textId="77777777" w:rsidR="002A51CA" w:rsidRPr="00C61187" w:rsidRDefault="002A51CA" w:rsidP="002A51CA">
      <w:pPr>
        <w:spacing w:after="120" w:line="280" w:lineRule="exact"/>
        <w:rPr>
          <w:rFonts w:ascii="Franklin Gothic Book" w:eastAsia="Times New Roman" w:hAnsi="Franklin Gothic Book"/>
          <w:sz w:val="21"/>
        </w:rPr>
      </w:pPr>
    </w:p>
    <w:p w14:paraId="04C04185" w14:textId="77777777" w:rsidR="00400B0F" w:rsidRDefault="00400B0F">
      <w:pPr>
        <w:suppressAutoHyphens w:val="0"/>
        <w:spacing w:before="0" w:after="120" w:line="440" w:lineRule="atLeast"/>
        <w:rPr>
          <w:rFonts w:ascii="Franklin Gothic Book" w:eastAsia="Times New Roman" w:hAnsi="Franklin Gothic Book"/>
          <w:sz w:val="21"/>
        </w:rPr>
      </w:pPr>
      <w:r>
        <w:rPr>
          <w:rFonts w:ascii="Franklin Gothic Book" w:eastAsia="Times New Roman" w:hAnsi="Franklin Gothic Book"/>
          <w:sz w:val="21"/>
        </w:rPr>
        <w:br w:type="page"/>
      </w:r>
    </w:p>
    <w:p w14:paraId="5E9E3487" w14:textId="77777777" w:rsidR="00400B0F" w:rsidRPr="00784031" w:rsidRDefault="00400B0F" w:rsidP="00784031">
      <w:pPr>
        <w:pStyle w:val="Subtitle"/>
        <w:numPr>
          <w:ilvl w:val="0"/>
          <w:numId w:val="0"/>
        </w:numPr>
      </w:pPr>
      <w:r w:rsidRPr="00784031">
        <w:lastRenderedPageBreak/>
        <w:t>Annex C - Evaluation Planning</w:t>
      </w:r>
    </w:p>
    <w:p w14:paraId="7651F522" w14:textId="77777777" w:rsidR="00400B0F" w:rsidRPr="008C2F58" w:rsidRDefault="00400B0F" w:rsidP="00E2263A">
      <w:pPr>
        <w:pStyle w:val="Caption"/>
      </w:pPr>
      <w:r w:rsidRPr="008C2F58">
        <w:t xml:space="preserve">List of evaluations completed in the reporting period </w:t>
      </w:r>
    </w:p>
    <w:tbl>
      <w:tblPr>
        <w:tblStyle w:val="APPR"/>
        <w:tblW w:w="14453" w:type="dxa"/>
        <w:tblLayout w:type="fixed"/>
        <w:tblLook w:val="04A0" w:firstRow="1" w:lastRow="0" w:firstColumn="1" w:lastColumn="0" w:noHBand="0" w:noVBand="1"/>
      </w:tblPr>
      <w:tblGrid>
        <w:gridCol w:w="4105"/>
        <w:gridCol w:w="3828"/>
        <w:gridCol w:w="1701"/>
        <w:gridCol w:w="1842"/>
        <w:gridCol w:w="1701"/>
        <w:gridCol w:w="1276"/>
      </w:tblGrid>
      <w:tr w:rsidR="00176C6E" w:rsidRPr="00176C6E" w14:paraId="54678FCA" w14:textId="77777777" w:rsidTr="00176C6E">
        <w:trPr>
          <w:cnfStyle w:val="100000000000" w:firstRow="1" w:lastRow="0" w:firstColumn="0" w:lastColumn="0" w:oddVBand="0" w:evenVBand="0" w:oddHBand="0" w:evenHBand="0" w:firstRowFirstColumn="0" w:firstRowLastColumn="0" w:lastRowFirstColumn="0" w:lastRowLastColumn="0"/>
        </w:trPr>
        <w:tc>
          <w:tcPr>
            <w:tcW w:w="4063" w:type="dxa"/>
          </w:tcPr>
          <w:p w14:paraId="41360E3D" w14:textId="77777777" w:rsidR="00400B0F" w:rsidRPr="00176C6E" w:rsidRDefault="00400B0F" w:rsidP="00176C6E">
            <w:pPr>
              <w:keepLines/>
              <w:spacing w:line="200" w:lineRule="atLeast"/>
              <w:rPr>
                <w:rFonts w:asciiTheme="minorHAnsi" w:eastAsia="Times New Roman" w:hAnsiTheme="minorHAnsi"/>
                <w:iCs/>
                <w:color w:val="000000" w:themeColor="text1"/>
                <w:szCs w:val="17"/>
                <w:lang w:eastAsia="en-US"/>
              </w:rPr>
            </w:pPr>
            <w:r w:rsidRPr="00176C6E">
              <w:rPr>
                <w:rFonts w:asciiTheme="minorHAnsi" w:eastAsia="Times New Roman" w:hAnsiTheme="minorHAnsi"/>
                <w:iCs/>
                <w:color w:val="000000" w:themeColor="text1"/>
                <w:szCs w:val="17"/>
                <w:lang w:eastAsia="en-US"/>
              </w:rPr>
              <w:t>Investm</w:t>
            </w:r>
            <w:r w:rsidR="00E2263A" w:rsidRPr="00176C6E">
              <w:rPr>
                <w:rFonts w:asciiTheme="minorHAnsi" w:eastAsia="Times New Roman" w:hAnsiTheme="minorHAnsi"/>
                <w:iCs/>
                <w:color w:val="000000" w:themeColor="text1"/>
                <w:szCs w:val="17"/>
                <w:lang w:eastAsia="en-US"/>
              </w:rPr>
              <w:t>ent number and name</w:t>
            </w:r>
          </w:p>
        </w:tc>
        <w:tc>
          <w:tcPr>
            <w:tcW w:w="3800" w:type="dxa"/>
          </w:tcPr>
          <w:p w14:paraId="51CD21C9" w14:textId="77777777" w:rsidR="00400B0F" w:rsidRPr="00176C6E" w:rsidRDefault="00400B0F" w:rsidP="00176C6E">
            <w:pPr>
              <w:keepLines/>
              <w:spacing w:line="200" w:lineRule="atLeast"/>
              <w:rPr>
                <w:rFonts w:asciiTheme="minorHAnsi" w:eastAsia="Times New Roman" w:hAnsiTheme="minorHAnsi"/>
                <w:iCs/>
                <w:color w:val="000000" w:themeColor="text1"/>
                <w:szCs w:val="17"/>
                <w:lang w:eastAsia="en-US"/>
              </w:rPr>
            </w:pPr>
            <w:r w:rsidRPr="00176C6E">
              <w:rPr>
                <w:rFonts w:asciiTheme="minorHAnsi" w:eastAsia="Times New Roman" w:hAnsiTheme="minorHAnsi"/>
                <w:iCs/>
                <w:color w:val="000000" w:themeColor="text1"/>
                <w:szCs w:val="17"/>
                <w:lang w:eastAsia="en-US"/>
              </w:rPr>
              <w:t>Name of evaluation</w:t>
            </w:r>
          </w:p>
        </w:tc>
        <w:tc>
          <w:tcPr>
            <w:tcW w:w="1673" w:type="dxa"/>
          </w:tcPr>
          <w:p w14:paraId="4595FDE0" w14:textId="77777777" w:rsidR="00400B0F" w:rsidRPr="00176C6E" w:rsidRDefault="00400B0F" w:rsidP="00176C6E">
            <w:pPr>
              <w:keepLines/>
              <w:spacing w:line="200" w:lineRule="atLeast"/>
              <w:rPr>
                <w:rFonts w:asciiTheme="minorHAnsi" w:eastAsia="Times New Roman" w:hAnsiTheme="minorHAnsi"/>
                <w:iCs/>
                <w:color w:val="000000" w:themeColor="text1"/>
                <w:szCs w:val="17"/>
                <w:lang w:eastAsia="en-US"/>
              </w:rPr>
            </w:pPr>
            <w:r w:rsidRPr="00176C6E">
              <w:rPr>
                <w:rFonts w:asciiTheme="minorHAnsi" w:eastAsia="Times New Roman" w:hAnsiTheme="minorHAnsi"/>
                <w:iCs/>
                <w:color w:val="000000" w:themeColor="text1"/>
                <w:szCs w:val="17"/>
                <w:lang w:eastAsia="en-US"/>
              </w:rPr>
              <w:t>Date completed</w:t>
            </w:r>
          </w:p>
        </w:tc>
        <w:tc>
          <w:tcPr>
            <w:tcW w:w="1814" w:type="dxa"/>
          </w:tcPr>
          <w:p w14:paraId="26395CC2" w14:textId="77777777" w:rsidR="00400B0F" w:rsidRPr="00176C6E" w:rsidRDefault="00400B0F" w:rsidP="00176C6E">
            <w:pPr>
              <w:keepLines/>
              <w:spacing w:line="200" w:lineRule="atLeast"/>
              <w:rPr>
                <w:rFonts w:asciiTheme="minorHAnsi" w:eastAsia="Times New Roman" w:hAnsiTheme="minorHAnsi"/>
                <w:iCs/>
                <w:color w:val="000000" w:themeColor="text1"/>
                <w:szCs w:val="17"/>
                <w:lang w:eastAsia="en-US"/>
              </w:rPr>
            </w:pPr>
            <w:r w:rsidRPr="00176C6E">
              <w:rPr>
                <w:rFonts w:asciiTheme="minorHAnsi" w:eastAsia="Times New Roman" w:hAnsiTheme="minorHAnsi"/>
                <w:iCs/>
                <w:color w:val="000000" w:themeColor="text1"/>
                <w:szCs w:val="17"/>
                <w:lang w:eastAsia="en-US"/>
              </w:rPr>
              <w:t xml:space="preserve">Date </w:t>
            </w:r>
            <w:r w:rsidR="00176C6E" w:rsidRPr="00176C6E">
              <w:rPr>
                <w:rFonts w:asciiTheme="minorHAnsi" w:eastAsia="Times New Roman" w:hAnsiTheme="minorHAnsi"/>
                <w:iCs/>
                <w:color w:val="000000" w:themeColor="text1"/>
                <w:szCs w:val="17"/>
                <w:lang w:eastAsia="en-US"/>
              </w:rPr>
              <w:t>e</w:t>
            </w:r>
            <w:r w:rsidRPr="00176C6E">
              <w:rPr>
                <w:rFonts w:asciiTheme="minorHAnsi" w:eastAsia="Times New Roman" w:hAnsiTheme="minorHAnsi"/>
                <w:iCs/>
                <w:color w:val="000000" w:themeColor="text1"/>
                <w:szCs w:val="17"/>
                <w:lang w:eastAsia="en-US"/>
              </w:rPr>
              <w:t xml:space="preserve">valuation report </w:t>
            </w:r>
            <w:r w:rsidR="00176C6E" w:rsidRPr="00176C6E">
              <w:rPr>
                <w:rFonts w:asciiTheme="minorHAnsi" w:eastAsia="Times New Roman" w:hAnsiTheme="minorHAnsi"/>
                <w:iCs/>
                <w:color w:val="000000" w:themeColor="text1"/>
                <w:szCs w:val="17"/>
                <w:lang w:eastAsia="en-US"/>
              </w:rPr>
              <w:t>u</w:t>
            </w:r>
            <w:r w:rsidRPr="00176C6E">
              <w:rPr>
                <w:rFonts w:asciiTheme="minorHAnsi" w:eastAsia="Times New Roman" w:hAnsiTheme="minorHAnsi"/>
                <w:iCs/>
                <w:color w:val="000000" w:themeColor="text1"/>
                <w:szCs w:val="17"/>
                <w:lang w:eastAsia="en-US"/>
              </w:rPr>
              <w:t>ploaded into AidWorks</w:t>
            </w:r>
          </w:p>
        </w:tc>
        <w:tc>
          <w:tcPr>
            <w:tcW w:w="1673" w:type="dxa"/>
          </w:tcPr>
          <w:p w14:paraId="01A844EA" w14:textId="77777777" w:rsidR="00400B0F" w:rsidRPr="00176C6E" w:rsidRDefault="00400B0F" w:rsidP="00176C6E">
            <w:pPr>
              <w:keepLines/>
              <w:spacing w:line="200" w:lineRule="atLeast"/>
              <w:rPr>
                <w:rFonts w:asciiTheme="minorHAnsi" w:eastAsia="Times New Roman" w:hAnsiTheme="minorHAnsi"/>
                <w:iCs/>
                <w:color w:val="000000" w:themeColor="text1"/>
                <w:szCs w:val="17"/>
                <w:lang w:eastAsia="en-US"/>
              </w:rPr>
            </w:pPr>
            <w:r w:rsidRPr="00176C6E">
              <w:rPr>
                <w:rFonts w:asciiTheme="minorHAnsi" w:eastAsia="Times New Roman" w:hAnsiTheme="minorHAnsi"/>
                <w:iCs/>
                <w:color w:val="000000" w:themeColor="text1"/>
                <w:szCs w:val="17"/>
                <w:lang w:eastAsia="en-US"/>
              </w:rPr>
              <w:t xml:space="preserve">Date </w:t>
            </w:r>
            <w:r w:rsidR="00176C6E" w:rsidRPr="00176C6E">
              <w:rPr>
                <w:rFonts w:asciiTheme="minorHAnsi" w:eastAsia="Times New Roman" w:hAnsiTheme="minorHAnsi"/>
                <w:iCs/>
                <w:color w:val="000000" w:themeColor="text1"/>
                <w:szCs w:val="17"/>
                <w:lang w:eastAsia="en-US"/>
              </w:rPr>
              <w:t>m</w:t>
            </w:r>
            <w:r w:rsidRPr="00176C6E">
              <w:rPr>
                <w:rFonts w:asciiTheme="minorHAnsi" w:eastAsia="Times New Roman" w:hAnsiTheme="minorHAnsi"/>
                <w:iCs/>
                <w:color w:val="000000" w:themeColor="text1"/>
                <w:szCs w:val="17"/>
                <w:lang w:eastAsia="en-US"/>
              </w:rPr>
              <w:t>anagement response uploaded into AidWorks</w:t>
            </w:r>
          </w:p>
        </w:tc>
        <w:tc>
          <w:tcPr>
            <w:tcW w:w="1234" w:type="dxa"/>
          </w:tcPr>
          <w:p w14:paraId="2F686E98" w14:textId="77777777" w:rsidR="00400B0F" w:rsidRPr="00176C6E" w:rsidRDefault="00176C6E" w:rsidP="00176C6E">
            <w:pPr>
              <w:keepLines/>
              <w:spacing w:line="200" w:lineRule="atLeast"/>
              <w:rPr>
                <w:rFonts w:asciiTheme="minorHAnsi" w:eastAsia="Times New Roman" w:hAnsiTheme="minorHAnsi"/>
                <w:iCs/>
                <w:color w:val="000000" w:themeColor="text1"/>
                <w:szCs w:val="17"/>
                <w:lang w:eastAsia="en-US"/>
              </w:rPr>
            </w:pPr>
            <w:r w:rsidRPr="00176C6E">
              <w:rPr>
                <w:rFonts w:asciiTheme="minorHAnsi" w:eastAsia="Times New Roman" w:hAnsiTheme="minorHAnsi"/>
                <w:iCs/>
                <w:color w:val="000000" w:themeColor="text1"/>
                <w:szCs w:val="17"/>
                <w:lang w:eastAsia="en-US"/>
              </w:rPr>
              <w:t>Date p</w:t>
            </w:r>
            <w:r w:rsidR="00400B0F" w:rsidRPr="00176C6E">
              <w:rPr>
                <w:rFonts w:asciiTheme="minorHAnsi" w:eastAsia="Times New Roman" w:hAnsiTheme="minorHAnsi"/>
                <w:iCs/>
                <w:color w:val="000000" w:themeColor="text1"/>
                <w:szCs w:val="17"/>
                <w:lang w:eastAsia="en-US"/>
              </w:rPr>
              <w:t>ublished on website</w:t>
            </w:r>
          </w:p>
        </w:tc>
      </w:tr>
      <w:tr w:rsidR="00E2263A" w:rsidRPr="00176C6E" w14:paraId="0950B9EA" w14:textId="77777777" w:rsidTr="00176C6E">
        <w:trPr>
          <w:cnfStyle w:val="100000000000" w:firstRow="1" w:lastRow="0" w:firstColumn="0" w:lastColumn="0" w:oddVBand="0" w:evenVBand="0" w:oddHBand="0" w:evenHBand="0" w:firstRowFirstColumn="0" w:firstRowLastColumn="0" w:lastRowFirstColumn="0" w:lastRowLastColumn="0"/>
        </w:trPr>
        <w:tc>
          <w:tcPr>
            <w:tcW w:w="4063" w:type="dxa"/>
          </w:tcPr>
          <w:p w14:paraId="2404242B" w14:textId="77777777" w:rsidR="00E2263A" w:rsidRPr="00176C6E" w:rsidRDefault="00176C6E" w:rsidP="00176C6E">
            <w:pPr>
              <w:keepLines/>
              <w:spacing w:before="40" w:after="40" w:line="200" w:lineRule="atLeast"/>
              <w:rPr>
                <w:rFonts w:asciiTheme="minorHAnsi" w:eastAsia="Times New Roman" w:hAnsiTheme="minorHAnsi"/>
                <w:b w:val="0"/>
                <w:iCs/>
                <w:color w:val="000000" w:themeColor="text1"/>
                <w:szCs w:val="17"/>
              </w:rPr>
            </w:pPr>
            <w:r w:rsidRPr="00176C6E">
              <w:rPr>
                <w:rFonts w:asciiTheme="minorHAnsi" w:eastAsia="Times New Roman" w:hAnsiTheme="minorHAnsi"/>
                <w:b w:val="0"/>
                <w:iCs/>
                <w:color w:val="000000" w:themeColor="text1"/>
                <w:szCs w:val="17"/>
              </w:rPr>
              <w:t>INJ128 Joint Donor</w:t>
            </w:r>
            <w:r w:rsidR="00E2263A" w:rsidRPr="00176C6E">
              <w:rPr>
                <w:rFonts w:asciiTheme="minorHAnsi" w:eastAsia="Times New Roman" w:hAnsiTheme="minorHAnsi"/>
                <w:b w:val="0"/>
                <w:iCs/>
                <w:color w:val="000000" w:themeColor="text1"/>
                <w:szCs w:val="17"/>
              </w:rPr>
              <w:t xml:space="preserve"> </w:t>
            </w:r>
            <w:r w:rsidRPr="00176C6E">
              <w:rPr>
                <w:rFonts w:asciiTheme="minorHAnsi" w:eastAsia="Times New Roman" w:hAnsiTheme="minorHAnsi"/>
                <w:b w:val="0"/>
                <w:iCs/>
                <w:color w:val="000000" w:themeColor="text1"/>
                <w:szCs w:val="17"/>
              </w:rPr>
              <w:t>S</w:t>
            </w:r>
            <w:r w:rsidR="00E2263A" w:rsidRPr="00176C6E">
              <w:rPr>
                <w:rFonts w:asciiTheme="minorHAnsi" w:eastAsia="Times New Roman" w:hAnsiTheme="minorHAnsi"/>
                <w:b w:val="0"/>
                <w:iCs/>
                <w:color w:val="000000" w:themeColor="text1"/>
                <w:szCs w:val="17"/>
              </w:rPr>
              <w:t>upport for RWSS NTP Phase 3</w:t>
            </w:r>
          </w:p>
        </w:tc>
        <w:tc>
          <w:tcPr>
            <w:tcW w:w="3800" w:type="dxa"/>
          </w:tcPr>
          <w:p w14:paraId="4DEC5771" w14:textId="77777777" w:rsidR="00E2263A" w:rsidRPr="00176C6E" w:rsidRDefault="00E2263A" w:rsidP="00176C6E">
            <w:pPr>
              <w:keepLines/>
              <w:spacing w:before="40" w:after="40" w:line="200" w:lineRule="atLeast"/>
              <w:rPr>
                <w:rFonts w:asciiTheme="minorHAnsi" w:eastAsia="Times New Roman" w:hAnsiTheme="minorHAnsi"/>
                <w:b w:val="0"/>
                <w:iCs/>
                <w:color w:val="000000" w:themeColor="text1"/>
                <w:szCs w:val="17"/>
              </w:rPr>
            </w:pPr>
            <w:r w:rsidRPr="00176C6E">
              <w:rPr>
                <w:rFonts w:asciiTheme="minorHAnsi" w:eastAsia="Times New Roman" w:hAnsiTheme="minorHAnsi"/>
                <w:b w:val="0"/>
                <w:iCs/>
                <w:color w:val="000000" w:themeColor="text1"/>
                <w:szCs w:val="17"/>
              </w:rPr>
              <w:t>DFAT led Independent Completion Evaluation</w:t>
            </w:r>
          </w:p>
        </w:tc>
        <w:tc>
          <w:tcPr>
            <w:tcW w:w="1673" w:type="dxa"/>
          </w:tcPr>
          <w:p w14:paraId="7EE37160" w14:textId="77777777" w:rsidR="00E2263A" w:rsidRPr="00176C6E" w:rsidRDefault="00E2263A" w:rsidP="00176C6E">
            <w:pPr>
              <w:keepLines/>
              <w:spacing w:before="40" w:after="40" w:line="200" w:lineRule="atLeast"/>
              <w:rPr>
                <w:rFonts w:asciiTheme="minorHAnsi" w:eastAsia="Times New Roman" w:hAnsiTheme="minorHAnsi"/>
                <w:b w:val="0"/>
                <w:iCs/>
                <w:color w:val="000000" w:themeColor="text1"/>
                <w:szCs w:val="17"/>
              </w:rPr>
            </w:pPr>
            <w:r w:rsidRPr="00176C6E">
              <w:rPr>
                <w:rFonts w:asciiTheme="minorHAnsi" w:eastAsia="Times New Roman" w:hAnsiTheme="minorHAnsi"/>
                <w:b w:val="0"/>
                <w:iCs/>
                <w:color w:val="000000" w:themeColor="text1"/>
                <w:szCs w:val="17"/>
              </w:rPr>
              <w:t>June 2016</w:t>
            </w:r>
          </w:p>
        </w:tc>
        <w:tc>
          <w:tcPr>
            <w:tcW w:w="1814" w:type="dxa"/>
          </w:tcPr>
          <w:p w14:paraId="76815C38" w14:textId="77777777" w:rsidR="00E2263A" w:rsidRPr="00176C6E" w:rsidRDefault="00176C6E" w:rsidP="00176C6E">
            <w:pPr>
              <w:keepLines/>
              <w:spacing w:before="40" w:after="40" w:line="200" w:lineRule="atLeast"/>
              <w:rPr>
                <w:rFonts w:asciiTheme="minorHAnsi" w:eastAsia="Times New Roman" w:hAnsiTheme="minorHAnsi"/>
                <w:b w:val="0"/>
                <w:iCs/>
                <w:color w:val="000000" w:themeColor="text1"/>
                <w:szCs w:val="17"/>
              </w:rPr>
            </w:pPr>
            <w:r w:rsidRPr="00176C6E">
              <w:rPr>
                <w:rFonts w:asciiTheme="minorHAnsi" w:eastAsia="Times New Roman" w:hAnsiTheme="minorHAnsi"/>
                <w:b w:val="0"/>
                <w:iCs/>
                <w:color w:val="000000" w:themeColor="text1"/>
                <w:szCs w:val="17"/>
              </w:rPr>
              <w:t>July 2016</w:t>
            </w:r>
          </w:p>
        </w:tc>
        <w:tc>
          <w:tcPr>
            <w:tcW w:w="1673" w:type="dxa"/>
          </w:tcPr>
          <w:p w14:paraId="5BBBC35B" w14:textId="77777777" w:rsidR="00E2263A" w:rsidRPr="00176C6E" w:rsidRDefault="00176C6E" w:rsidP="00176C6E">
            <w:pPr>
              <w:keepLines/>
              <w:spacing w:before="40" w:after="40" w:line="200" w:lineRule="atLeast"/>
              <w:rPr>
                <w:rFonts w:asciiTheme="minorHAnsi" w:eastAsia="Times New Roman" w:hAnsiTheme="minorHAnsi"/>
                <w:b w:val="0"/>
                <w:iCs/>
                <w:color w:val="000000" w:themeColor="text1"/>
                <w:szCs w:val="17"/>
              </w:rPr>
            </w:pPr>
            <w:r w:rsidRPr="00176C6E">
              <w:rPr>
                <w:rFonts w:asciiTheme="minorHAnsi" w:eastAsia="Times New Roman" w:hAnsiTheme="minorHAnsi"/>
                <w:b w:val="0"/>
                <w:iCs/>
                <w:color w:val="000000" w:themeColor="text1"/>
                <w:szCs w:val="17"/>
              </w:rPr>
              <w:t>n/a</w:t>
            </w:r>
          </w:p>
        </w:tc>
        <w:tc>
          <w:tcPr>
            <w:tcW w:w="1234" w:type="dxa"/>
          </w:tcPr>
          <w:p w14:paraId="4D42735E" w14:textId="77777777" w:rsidR="00E2263A" w:rsidRPr="00176C6E" w:rsidRDefault="00E2263A" w:rsidP="00176C6E">
            <w:pPr>
              <w:keepLines/>
              <w:spacing w:before="40" w:after="40" w:line="200" w:lineRule="atLeast"/>
              <w:rPr>
                <w:rFonts w:asciiTheme="minorHAnsi" w:eastAsia="Times New Roman" w:hAnsiTheme="minorHAnsi"/>
                <w:b w:val="0"/>
                <w:iCs/>
                <w:color w:val="000000" w:themeColor="text1"/>
                <w:szCs w:val="17"/>
              </w:rPr>
            </w:pPr>
            <w:r w:rsidRPr="00176C6E">
              <w:rPr>
                <w:rFonts w:asciiTheme="minorHAnsi" w:eastAsia="Times New Roman" w:hAnsiTheme="minorHAnsi"/>
                <w:b w:val="0"/>
                <w:iCs/>
                <w:color w:val="000000" w:themeColor="text1"/>
                <w:szCs w:val="17"/>
              </w:rPr>
              <w:t>TBC</w:t>
            </w:r>
          </w:p>
        </w:tc>
      </w:tr>
      <w:tr w:rsidR="00E2263A" w:rsidRPr="00176C6E" w14:paraId="375B9798" w14:textId="77777777" w:rsidTr="00176C6E">
        <w:trPr>
          <w:cnfStyle w:val="100000000000" w:firstRow="1" w:lastRow="0" w:firstColumn="0" w:lastColumn="0" w:oddVBand="0" w:evenVBand="0" w:oddHBand="0" w:evenHBand="0" w:firstRowFirstColumn="0" w:firstRowLastColumn="0" w:lastRowFirstColumn="0" w:lastRowLastColumn="0"/>
        </w:trPr>
        <w:tc>
          <w:tcPr>
            <w:tcW w:w="4063" w:type="dxa"/>
          </w:tcPr>
          <w:p w14:paraId="78F8F489" w14:textId="77777777" w:rsidR="00E2263A" w:rsidRPr="00176C6E" w:rsidRDefault="00E2263A" w:rsidP="00176C6E">
            <w:pPr>
              <w:keepLines/>
              <w:spacing w:before="40" w:after="40" w:line="200" w:lineRule="atLeast"/>
              <w:rPr>
                <w:rFonts w:asciiTheme="minorHAnsi" w:eastAsia="Times New Roman" w:hAnsiTheme="minorHAnsi"/>
                <w:b w:val="0"/>
                <w:iCs/>
                <w:color w:val="000000" w:themeColor="text1"/>
                <w:szCs w:val="17"/>
              </w:rPr>
            </w:pPr>
            <w:r w:rsidRPr="00176C6E">
              <w:rPr>
                <w:rFonts w:asciiTheme="minorHAnsi" w:eastAsia="Times New Roman" w:hAnsiTheme="minorHAnsi"/>
                <w:b w:val="0"/>
                <w:iCs/>
                <w:color w:val="000000" w:themeColor="text1"/>
                <w:szCs w:val="17"/>
              </w:rPr>
              <w:t xml:space="preserve">INL354 Restructuring for a </w:t>
            </w:r>
            <w:r w:rsidR="00176C6E" w:rsidRPr="00176C6E">
              <w:rPr>
                <w:rFonts w:asciiTheme="minorHAnsi" w:eastAsia="Times New Roman" w:hAnsiTheme="minorHAnsi"/>
                <w:b w:val="0"/>
                <w:iCs/>
                <w:color w:val="000000" w:themeColor="text1"/>
                <w:szCs w:val="17"/>
              </w:rPr>
              <w:t>M</w:t>
            </w:r>
            <w:r w:rsidRPr="00176C6E">
              <w:rPr>
                <w:rFonts w:asciiTheme="minorHAnsi" w:eastAsia="Times New Roman" w:hAnsiTheme="minorHAnsi"/>
                <w:b w:val="0"/>
                <w:iCs/>
                <w:color w:val="000000" w:themeColor="text1"/>
                <w:szCs w:val="17"/>
              </w:rPr>
              <w:t>ore Competitive Vietnam</w:t>
            </w:r>
          </w:p>
        </w:tc>
        <w:tc>
          <w:tcPr>
            <w:tcW w:w="3800" w:type="dxa"/>
          </w:tcPr>
          <w:p w14:paraId="01CA2442" w14:textId="77777777" w:rsidR="00E2263A" w:rsidRPr="00176C6E" w:rsidRDefault="00E2263A" w:rsidP="00176C6E">
            <w:pPr>
              <w:keepLines/>
              <w:spacing w:before="40" w:after="40" w:line="200" w:lineRule="atLeast"/>
              <w:rPr>
                <w:rFonts w:asciiTheme="minorHAnsi" w:eastAsia="Times New Roman" w:hAnsiTheme="minorHAnsi"/>
                <w:b w:val="0"/>
                <w:iCs/>
                <w:color w:val="000000" w:themeColor="text1"/>
                <w:szCs w:val="17"/>
              </w:rPr>
            </w:pPr>
            <w:r w:rsidRPr="00176C6E">
              <w:rPr>
                <w:rFonts w:asciiTheme="minorHAnsi" w:eastAsia="Times New Roman" w:hAnsiTheme="minorHAnsi"/>
                <w:b w:val="0"/>
                <w:iCs/>
                <w:color w:val="000000" w:themeColor="text1"/>
                <w:szCs w:val="17"/>
              </w:rPr>
              <w:t>DFAT led Independent Mid-term Review</w:t>
            </w:r>
          </w:p>
        </w:tc>
        <w:tc>
          <w:tcPr>
            <w:tcW w:w="1673" w:type="dxa"/>
          </w:tcPr>
          <w:p w14:paraId="42DDAE73" w14:textId="77777777" w:rsidR="00E2263A" w:rsidRPr="00176C6E" w:rsidRDefault="00E2263A" w:rsidP="00176C6E">
            <w:pPr>
              <w:keepLines/>
              <w:spacing w:before="40" w:after="40" w:line="200" w:lineRule="atLeast"/>
              <w:rPr>
                <w:rFonts w:asciiTheme="minorHAnsi" w:eastAsia="Times New Roman" w:hAnsiTheme="minorHAnsi"/>
                <w:b w:val="0"/>
                <w:iCs/>
                <w:color w:val="000000" w:themeColor="text1"/>
                <w:szCs w:val="17"/>
              </w:rPr>
            </w:pPr>
            <w:r w:rsidRPr="00176C6E">
              <w:rPr>
                <w:rFonts w:asciiTheme="minorHAnsi" w:eastAsia="Times New Roman" w:hAnsiTheme="minorHAnsi"/>
                <w:b w:val="0"/>
                <w:iCs/>
                <w:color w:val="000000" w:themeColor="text1"/>
                <w:szCs w:val="17"/>
              </w:rPr>
              <w:t>July 2016</w:t>
            </w:r>
          </w:p>
        </w:tc>
        <w:tc>
          <w:tcPr>
            <w:tcW w:w="1814" w:type="dxa"/>
          </w:tcPr>
          <w:p w14:paraId="4D7A4DA4" w14:textId="77777777" w:rsidR="00E2263A" w:rsidRPr="00176C6E" w:rsidRDefault="00E2263A" w:rsidP="00176C6E">
            <w:pPr>
              <w:keepLines/>
              <w:spacing w:before="40" w:after="40" w:line="200" w:lineRule="atLeast"/>
              <w:rPr>
                <w:rFonts w:asciiTheme="minorHAnsi" w:eastAsia="Times New Roman" w:hAnsiTheme="minorHAnsi"/>
                <w:b w:val="0"/>
                <w:iCs/>
                <w:color w:val="000000" w:themeColor="text1"/>
                <w:szCs w:val="17"/>
              </w:rPr>
            </w:pPr>
            <w:r w:rsidRPr="00176C6E">
              <w:rPr>
                <w:rFonts w:asciiTheme="minorHAnsi" w:eastAsia="Times New Roman" w:hAnsiTheme="minorHAnsi"/>
                <w:b w:val="0"/>
                <w:iCs/>
                <w:color w:val="000000" w:themeColor="text1"/>
                <w:szCs w:val="17"/>
              </w:rPr>
              <w:t>July 2016</w:t>
            </w:r>
          </w:p>
        </w:tc>
        <w:tc>
          <w:tcPr>
            <w:tcW w:w="1673" w:type="dxa"/>
          </w:tcPr>
          <w:p w14:paraId="68017194" w14:textId="77777777" w:rsidR="00E2263A" w:rsidRPr="00176C6E" w:rsidRDefault="00E2263A" w:rsidP="00176C6E">
            <w:pPr>
              <w:keepLines/>
              <w:spacing w:before="40" w:after="40" w:line="200" w:lineRule="atLeast"/>
              <w:rPr>
                <w:rFonts w:asciiTheme="minorHAnsi" w:eastAsia="Times New Roman" w:hAnsiTheme="minorHAnsi"/>
                <w:b w:val="0"/>
                <w:iCs/>
                <w:color w:val="000000" w:themeColor="text1"/>
                <w:szCs w:val="17"/>
              </w:rPr>
            </w:pPr>
            <w:r w:rsidRPr="00176C6E">
              <w:rPr>
                <w:rFonts w:asciiTheme="minorHAnsi" w:eastAsia="Times New Roman" w:hAnsiTheme="minorHAnsi"/>
                <w:b w:val="0"/>
                <w:iCs/>
                <w:color w:val="000000" w:themeColor="text1"/>
                <w:szCs w:val="17"/>
              </w:rPr>
              <w:t>TBC</w:t>
            </w:r>
          </w:p>
        </w:tc>
        <w:tc>
          <w:tcPr>
            <w:tcW w:w="1234" w:type="dxa"/>
          </w:tcPr>
          <w:p w14:paraId="1A6F3547" w14:textId="77777777" w:rsidR="00E2263A" w:rsidRPr="00176C6E" w:rsidRDefault="00E2263A" w:rsidP="00176C6E">
            <w:pPr>
              <w:keepLines/>
              <w:spacing w:before="40" w:after="40" w:line="200" w:lineRule="atLeast"/>
              <w:rPr>
                <w:rFonts w:asciiTheme="minorHAnsi" w:eastAsia="Times New Roman" w:hAnsiTheme="minorHAnsi"/>
                <w:b w:val="0"/>
                <w:iCs/>
                <w:color w:val="000000" w:themeColor="text1"/>
                <w:szCs w:val="17"/>
              </w:rPr>
            </w:pPr>
            <w:r w:rsidRPr="00176C6E">
              <w:rPr>
                <w:rFonts w:asciiTheme="minorHAnsi" w:eastAsia="Times New Roman" w:hAnsiTheme="minorHAnsi"/>
                <w:b w:val="0"/>
                <w:iCs/>
                <w:color w:val="000000" w:themeColor="text1"/>
                <w:szCs w:val="17"/>
              </w:rPr>
              <w:t>TBC</w:t>
            </w:r>
          </w:p>
        </w:tc>
      </w:tr>
      <w:tr w:rsidR="00E2263A" w:rsidRPr="00176C6E" w14:paraId="4DA1B250" w14:textId="77777777" w:rsidTr="00176C6E">
        <w:trPr>
          <w:cnfStyle w:val="100000000000" w:firstRow="1" w:lastRow="0" w:firstColumn="0" w:lastColumn="0" w:oddVBand="0" w:evenVBand="0" w:oddHBand="0" w:evenHBand="0" w:firstRowFirstColumn="0" w:firstRowLastColumn="0" w:lastRowFirstColumn="0" w:lastRowLastColumn="0"/>
        </w:trPr>
        <w:tc>
          <w:tcPr>
            <w:tcW w:w="4063" w:type="dxa"/>
          </w:tcPr>
          <w:p w14:paraId="4FD381E7" w14:textId="77777777" w:rsidR="00E2263A" w:rsidRPr="00176C6E" w:rsidRDefault="00E2263A" w:rsidP="00176C6E">
            <w:pPr>
              <w:keepLines/>
              <w:spacing w:before="40" w:after="40" w:line="200" w:lineRule="atLeast"/>
              <w:rPr>
                <w:rFonts w:asciiTheme="minorHAnsi" w:eastAsia="Times New Roman" w:hAnsiTheme="minorHAnsi"/>
                <w:b w:val="0"/>
                <w:iCs/>
                <w:color w:val="000000" w:themeColor="text1"/>
                <w:szCs w:val="17"/>
              </w:rPr>
            </w:pPr>
            <w:r w:rsidRPr="00176C6E">
              <w:rPr>
                <w:rFonts w:asciiTheme="minorHAnsi" w:eastAsia="Times New Roman" w:hAnsiTheme="minorHAnsi"/>
                <w:b w:val="0"/>
                <w:iCs/>
                <w:color w:val="000000" w:themeColor="text1"/>
                <w:szCs w:val="17"/>
              </w:rPr>
              <w:t>INK120 Community Base</w:t>
            </w:r>
            <w:r w:rsidR="00176C6E" w:rsidRPr="00176C6E">
              <w:rPr>
                <w:rFonts w:asciiTheme="minorHAnsi" w:eastAsia="Times New Roman" w:hAnsiTheme="minorHAnsi"/>
                <w:b w:val="0"/>
                <w:iCs/>
                <w:color w:val="000000" w:themeColor="text1"/>
                <w:szCs w:val="17"/>
              </w:rPr>
              <w:t>d</w:t>
            </w:r>
            <w:r w:rsidRPr="00176C6E">
              <w:rPr>
                <w:rFonts w:asciiTheme="minorHAnsi" w:eastAsia="Times New Roman" w:hAnsiTheme="minorHAnsi"/>
                <w:b w:val="0"/>
                <w:iCs/>
                <w:color w:val="000000" w:themeColor="text1"/>
                <w:szCs w:val="17"/>
              </w:rPr>
              <w:t xml:space="preserve"> Disaster risk Management</w:t>
            </w:r>
          </w:p>
        </w:tc>
        <w:tc>
          <w:tcPr>
            <w:tcW w:w="3800" w:type="dxa"/>
          </w:tcPr>
          <w:p w14:paraId="002B530A" w14:textId="77777777" w:rsidR="00E2263A" w:rsidRPr="00176C6E" w:rsidRDefault="00E2263A" w:rsidP="00176C6E">
            <w:pPr>
              <w:keepLines/>
              <w:spacing w:before="40" w:after="40" w:line="200" w:lineRule="atLeast"/>
              <w:rPr>
                <w:rFonts w:asciiTheme="minorHAnsi" w:eastAsia="Times New Roman" w:hAnsiTheme="minorHAnsi"/>
                <w:b w:val="0"/>
                <w:iCs/>
                <w:color w:val="000000" w:themeColor="text1"/>
                <w:szCs w:val="17"/>
              </w:rPr>
            </w:pPr>
            <w:r w:rsidRPr="00176C6E">
              <w:rPr>
                <w:rFonts w:asciiTheme="minorHAnsi" w:eastAsia="Times New Roman" w:hAnsiTheme="minorHAnsi"/>
                <w:b w:val="0"/>
                <w:iCs/>
                <w:color w:val="000000" w:themeColor="text1"/>
                <w:szCs w:val="17"/>
              </w:rPr>
              <w:t xml:space="preserve">Partner led Mid-term Review </w:t>
            </w:r>
          </w:p>
        </w:tc>
        <w:tc>
          <w:tcPr>
            <w:tcW w:w="1673" w:type="dxa"/>
          </w:tcPr>
          <w:p w14:paraId="191D4B20" w14:textId="77777777" w:rsidR="00E2263A" w:rsidRPr="00176C6E" w:rsidRDefault="00E2263A" w:rsidP="00176C6E">
            <w:pPr>
              <w:keepLines/>
              <w:spacing w:before="40" w:after="40" w:line="200" w:lineRule="atLeast"/>
              <w:rPr>
                <w:rFonts w:asciiTheme="minorHAnsi" w:eastAsia="Times New Roman" w:hAnsiTheme="minorHAnsi"/>
                <w:b w:val="0"/>
                <w:iCs/>
                <w:color w:val="000000" w:themeColor="text1"/>
                <w:szCs w:val="17"/>
              </w:rPr>
            </w:pPr>
            <w:r w:rsidRPr="00176C6E">
              <w:rPr>
                <w:rFonts w:asciiTheme="minorHAnsi" w:eastAsia="Times New Roman" w:hAnsiTheme="minorHAnsi"/>
                <w:b w:val="0"/>
                <w:iCs/>
                <w:color w:val="000000" w:themeColor="text1"/>
                <w:szCs w:val="17"/>
              </w:rPr>
              <w:t>October 2015</w:t>
            </w:r>
          </w:p>
        </w:tc>
        <w:tc>
          <w:tcPr>
            <w:tcW w:w="1814" w:type="dxa"/>
          </w:tcPr>
          <w:p w14:paraId="13D7CFB7" w14:textId="77777777" w:rsidR="00E2263A" w:rsidRPr="00176C6E" w:rsidRDefault="00176C6E" w:rsidP="00176C6E">
            <w:pPr>
              <w:keepLines/>
              <w:spacing w:before="40" w:after="40" w:line="200" w:lineRule="atLeast"/>
              <w:rPr>
                <w:rFonts w:asciiTheme="minorHAnsi" w:eastAsia="Times New Roman" w:hAnsiTheme="minorHAnsi"/>
                <w:b w:val="0"/>
                <w:iCs/>
                <w:color w:val="000000" w:themeColor="text1"/>
                <w:szCs w:val="17"/>
              </w:rPr>
            </w:pPr>
            <w:r w:rsidRPr="00176C6E">
              <w:rPr>
                <w:rFonts w:asciiTheme="minorHAnsi" w:eastAsia="Times New Roman" w:hAnsiTheme="minorHAnsi"/>
                <w:b w:val="0"/>
                <w:iCs/>
                <w:color w:val="000000" w:themeColor="text1"/>
                <w:szCs w:val="17"/>
              </w:rPr>
              <w:t>n/a</w:t>
            </w:r>
          </w:p>
        </w:tc>
        <w:tc>
          <w:tcPr>
            <w:tcW w:w="1673" w:type="dxa"/>
          </w:tcPr>
          <w:p w14:paraId="59484D18" w14:textId="77777777" w:rsidR="00E2263A" w:rsidRPr="00176C6E" w:rsidRDefault="00176C6E" w:rsidP="00176C6E">
            <w:pPr>
              <w:keepLines/>
              <w:spacing w:before="40" w:after="40" w:line="200" w:lineRule="atLeast"/>
              <w:rPr>
                <w:rFonts w:asciiTheme="minorHAnsi" w:eastAsia="Times New Roman" w:hAnsiTheme="minorHAnsi"/>
                <w:b w:val="0"/>
                <w:iCs/>
                <w:color w:val="000000" w:themeColor="text1"/>
                <w:szCs w:val="17"/>
              </w:rPr>
            </w:pPr>
            <w:r w:rsidRPr="00176C6E">
              <w:rPr>
                <w:rFonts w:asciiTheme="minorHAnsi" w:eastAsia="Times New Roman" w:hAnsiTheme="minorHAnsi"/>
                <w:b w:val="0"/>
                <w:iCs/>
                <w:color w:val="000000" w:themeColor="text1"/>
                <w:szCs w:val="17"/>
              </w:rPr>
              <w:t>n/a</w:t>
            </w:r>
          </w:p>
        </w:tc>
        <w:tc>
          <w:tcPr>
            <w:tcW w:w="1234" w:type="dxa"/>
          </w:tcPr>
          <w:p w14:paraId="45C264CC" w14:textId="77777777" w:rsidR="00E2263A" w:rsidRPr="00176C6E" w:rsidRDefault="00176C6E" w:rsidP="00176C6E">
            <w:pPr>
              <w:keepLines/>
              <w:spacing w:before="40" w:after="40" w:line="200" w:lineRule="atLeast"/>
              <w:rPr>
                <w:rFonts w:asciiTheme="minorHAnsi" w:eastAsia="Times New Roman" w:hAnsiTheme="minorHAnsi"/>
                <w:b w:val="0"/>
                <w:iCs/>
                <w:color w:val="000000" w:themeColor="text1"/>
                <w:szCs w:val="17"/>
              </w:rPr>
            </w:pPr>
            <w:r w:rsidRPr="00176C6E">
              <w:rPr>
                <w:rFonts w:asciiTheme="minorHAnsi" w:eastAsia="Times New Roman" w:hAnsiTheme="minorHAnsi"/>
                <w:b w:val="0"/>
                <w:iCs/>
                <w:color w:val="000000" w:themeColor="text1"/>
                <w:szCs w:val="17"/>
              </w:rPr>
              <w:t>n/a</w:t>
            </w:r>
          </w:p>
        </w:tc>
      </w:tr>
    </w:tbl>
    <w:p w14:paraId="4F42767C" w14:textId="77777777" w:rsidR="008C2F58" w:rsidRDefault="008C2F58" w:rsidP="008C2F58">
      <w:pPr>
        <w:rPr>
          <w:b/>
          <w:sz w:val="24"/>
        </w:rPr>
      </w:pPr>
    </w:p>
    <w:p w14:paraId="43C86191" w14:textId="77777777" w:rsidR="00400B0F" w:rsidRPr="008C2F58" w:rsidRDefault="00400B0F" w:rsidP="00E2263A">
      <w:pPr>
        <w:pStyle w:val="Caption"/>
      </w:pPr>
      <w:r w:rsidRPr="008C2F58">
        <w:t xml:space="preserve">List of program prioritised evaluations planned for the next 12 months </w:t>
      </w:r>
    </w:p>
    <w:tbl>
      <w:tblPr>
        <w:tblStyle w:val="APPR"/>
        <w:tblW w:w="0" w:type="auto"/>
        <w:tblLook w:val="0600" w:firstRow="0" w:lastRow="0" w:firstColumn="0" w:lastColumn="0" w:noHBand="1" w:noVBand="1"/>
      </w:tblPr>
      <w:tblGrid>
        <w:gridCol w:w="2463"/>
        <w:gridCol w:w="2364"/>
        <w:gridCol w:w="2446"/>
        <w:gridCol w:w="2210"/>
        <w:gridCol w:w="2338"/>
        <w:gridCol w:w="2352"/>
      </w:tblGrid>
      <w:tr w:rsidR="00176C6E" w:rsidRPr="00176C6E" w14:paraId="791FCF2B" w14:textId="77777777" w:rsidTr="006F27B1">
        <w:tc>
          <w:tcPr>
            <w:tcW w:w="2472" w:type="dxa"/>
          </w:tcPr>
          <w:p w14:paraId="7953CE71" w14:textId="77777777" w:rsidR="00400B0F" w:rsidRPr="00176C6E" w:rsidRDefault="00400B0F" w:rsidP="006F27B1">
            <w:pPr>
              <w:keepLines/>
              <w:spacing w:before="80" w:after="80" w:line="200" w:lineRule="atLeast"/>
              <w:rPr>
                <w:rFonts w:asciiTheme="minorHAnsi" w:eastAsia="Times New Roman" w:hAnsiTheme="minorHAnsi"/>
                <w:b/>
                <w:iCs/>
                <w:color w:val="000000" w:themeColor="text1"/>
                <w:szCs w:val="17"/>
                <w:lang w:eastAsia="en-US"/>
              </w:rPr>
            </w:pPr>
            <w:r w:rsidRPr="00176C6E">
              <w:rPr>
                <w:rFonts w:asciiTheme="minorHAnsi" w:eastAsia="Times New Roman" w:hAnsiTheme="minorHAnsi"/>
                <w:b/>
                <w:iCs/>
                <w:color w:val="000000" w:themeColor="text1"/>
                <w:szCs w:val="17"/>
                <w:lang w:eastAsia="en-US"/>
              </w:rPr>
              <w:t>Evaluation title</w:t>
            </w:r>
          </w:p>
        </w:tc>
        <w:tc>
          <w:tcPr>
            <w:tcW w:w="2381" w:type="dxa"/>
          </w:tcPr>
          <w:p w14:paraId="1F23ABEE" w14:textId="77777777" w:rsidR="00400B0F" w:rsidRPr="00176C6E" w:rsidRDefault="00400B0F" w:rsidP="00176C6E">
            <w:pPr>
              <w:keepLines/>
              <w:spacing w:before="80" w:after="80" w:line="200" w:lineRule="atLeast"/>
              <w:rPr>
                <w:rFonts w:asciiTheme="minorHAnsi" w:eastAsia="Times New Roman" w:hAnsiTheme="minorHAnsi"/>
                <w:b/>
                <w:iCs/>
                <w:color w:val="000000" w:themeColor="text1"/>
                <w:szCs w:val="17"/>
                <w:lang w:eastAsia="en-US"/>
              </w:rPr>
            </w:pPr>
            <w:r w:rsidRPr="00176C6E">
              <w:rPr>
                <w:rFonts w:asciiTheme="minorHAnsi" w:eastAsia="Times New Roman" w:hAnsiTheme="minorHAnsi"/>
                <w:b/>
                <w:iCs/>
                <w:color w:val="000000" w:themeColor="text1"/>
                <w:szCs w:val="17"/>
                <w:lang w:eastAsia="en-US"/>
              </w:rPr>
              <w:t>Inves</w:t>
            </w:r>
            <w:r w:rsidR="00176C6E" w:rsidRPr="00176C6E">
              <w:rPr>
                <w:rFonts w:asciiTheme="minorHAnsi" w:eastAsia="Times New Roman" w:hAnsiTheme="minorHAnsi"/>
                <w:b/>
                <w:iCs/>
                <w:color w:val="000000" w:themeColor="text1"/>
                <w:szCs w:val="17"/>
                <w:lang w:eastAsia="en-US"/>
              </w:rPr>
              <w:t>tment number and name</w:t>
            </w:r>
          </w:p>
        </w:tc>
        <w:tc>
          <w:tcPr>
            <w:tcW w:w="2459" w:type="dxa"/>
          </w:tcPr>
          <w:p w14:paraId="36878C13" w14:textId="77777777" w:rsidR="00400B0F" w:rsidRPr="00176C6E" w:rsidRDefault="00176C6E" w:rsidP="00176C6E">
            <w:pPr>
              <w:keepLines/>
              <w:spacing w:before="80" w:after="80" w:line="200" w:lineRule="atLeast"/>
              <w:rPr>
                <w:rFonts w:asciiTheme="minorHAnsi" w:eastAsia="Times New Roman" w:hAnsiTheme="minorHAnsi"/>
                <w:b/>
                <w:iCs/>
                <w:color w:val="000000" w:themeColor="text1"/>
                <w:szCs w:val="17"/>
                <w:lang w:eastAsia="en-US"/>
              </w:rPr>
            </w:pPr>
            <w:r w:rsidRPr="00176C6E">
              <w:rPr>
                <w:rFonts w:asciiTheme="minorHAnsi" w:eastAsia="Times New Roman" w:hAnsiTheme="minorHAnsi"/>
                <w:b/>
                <w:iCs/>
                <w:color w:val="000000" w:themeColor="text1"/>
                <w:szCs w:val="17"/>
                <w:lang w:eastAsia="en-US"/>
              </w:rPr>
              <w:t>P</w:t>
            </w:r>
            <w:r w:rsidR="00400B0F" w:rsidRPr="00176C6E">
              <w:rPr>
                <w:rFonts w:asciiTheme="minorHAnsi" w:eastAsia="Times New Roman" w:hAnsiTheme="minorHAnsi"/>
                <w:b/>
                <w:iCs/>
                <w:color w:val="000000" w:themeColor="text1"/>
                <w:szCs w:val="17"/>
                <w:lang w:eastAsia="en-US"/>
              </w:rPr>
              <w:t xml:space="preserve">lanned commencement </w:t>
            </w:r>
            <w:r w:rsidRPr="00176C6E">
              <w:rPr>
                <w:rFonts w:asciiTheme="minorHAnsi" w:eastAsia="Times New Roman" w:hAnsiTheme="minorHAnsi"/>
                <w:b/>
                <w:iCs/>
                <w:color w:val="000000" w:themeColor="text1"/>
                <w:szCs w:val="17"/>
                <w:lang w:eastAsia="en-US"/>
              </w:rPr>
              <w:t>date</w:t>
            </w:r>
          </w:p>
        </w:tc>
        <w:tc>
          <w:tcPr>
            <w:tcW w:w="2227" w:type="dxa"/>
          </w:tcPr>
          <w:p w14:paraId="09157ABD" w14:textId="77777777" w:rsidR="00400B0F" w:rsidRPr="00176C6E" w:rsidRDefault="00176C6E" w:rsidP="00176C6E">
            <w:pPr>
              <w:keepLines/>
              <w:spacing w:before="80" w:after="80" w:line="200" w:lineRule="atLeast"/>
              <w:rPr>
                <w:rFonts w:asciiTheme="minorHAnsi" w:eastAsia="Times New Roman" w:hAnsiTheme="minorHAnsi"/>
                <w:b/>
                <w:iCs/>
                <w:color w:val="000000" w:themeColor="text1"/>
                <w:szCs w:val="17"/>
                <w:lang w:eastAsia="en-US"/>
              </w:rPr>
            </w:pPr>
            <w:r w:rsidRPr="00176C6E">
              <w:rPr>
                <w:rFonts w:asciiTheme="minorHAnsi" w:eastAsia="Times New Roman" w:hAnsiTheme="minorHAnsi"/>
                <w:b/>
                <w:iCs/>
                <w:color w:val="000000" w:themeColor="text1"/>
                <w:szCs w:val="17"/>
                <w:lang w:eastAsia="en-US"/>
              </w:rPr>
              <w:t>P</w:t>
            </w:r>
            <w:r w:rsidR="00400B0F" w:rsidRPr="00176C6E">
              <w:rPr>
                <w:rFonts w:asciiTheme="minorHAnsi" w:eastAsia="Times New Roman" w:hAnsiTheme="minorHAnsi"/>
                <w:b/>
                <w:iCs/>
                <w:color w:val="000000" w:themeColor="text1"/>
                <w:szCs w:val="17"/>
                <w:lang w:eastAsia="en-US"/>
              </w:rPr>
              <w:t xml:space="preserve">lanned completion </w:t>
            </w:r>
            <w:r w:rsidRPr="00176C6E">
              <w:rPr>
                <w:rFonts w:asciiTheme="minorHAnsi" w:eastAsia="Times New Roman" w:hAnsiTheme="minorHAnsi"/>
                <w:b/>
                <w:iCs/>
                <w:color w:val="000000" w:themeColor="text1"/>
                <w:szCs w:val="17"/>
                <w:lang w:eastAsia="en-US"/>
              </w:rPr>
              <w:t>date</w:t>
            </w:r>
          </w:p>
        </w:tc>
        <w:tc>
          <w:tcPr>
            <w:tcW w:w="2348" w:type="dxa"/>
          </w:tcPr>
          <w:p w14:paraId="1812633A" w14:textId="77777777" w:rsidR="00400B0F" w:rsidRPr="00176C6E" w:rsidRDefault="00400B0F" w:rsidP="006F27B1">
            <w:pPr>
              <w:keepLines/>
              <w:spacing w:before="80" w:after="80" w:line="200" w:lineRule="atLeast"/>
              <w:rPr>
                <w:rFonts w:asciiTheme="minorHAnsi" w:eastAsia="Times New Roman" w:hAnsiTheme="minorHAnsi"/>
                <w:b/>
                <w:iCs/>
                <w:color w:val="000000" w:themeColor="text1"/>
                <w:szCs w:val="17"/>
                <w:lang w:eastAsia="en-US"/>
              </w:rPr>
            </w:pPr>
            <w:r w:rsidRPr="00176C6E">
              <w:rPr>
                <w:rFonts w:asciiTheme="minorHAnsi" w:eastAsia="Times New Roman" w:hAnsiTheme="minorHAnsi"/>
                <w:b/>
                <w:iCs/>
                <w:color w:val="000000" w:themeColor="text1"/>
                <w:szCs w:val="17"/>
                <w:lang w:eastAsia="en-US"/>
              </w:rPr>
              <w:t>Purpose of evaluation</w:t>
            </w:r>
          </w:p>
        </w:tc>
        <w:tc>
          <w:tcPr>
            <w:tcW w:w="2362" w:type="dxa"/>
          </w:tcPr>
          <w:p w14:paraId="14757540" w14:textId="77777777" w:rsidR="00400B0F" w:rsidRPr="00176C6E" w:rsidRDefault="00400B0F" w:rsidP="006F27B1">
            <w:pPr>
              <w:keepLines/>
              <w:spacing w:before="80" w:after="80" w:line="200" w:lineRule="atLeast"/>
              <w:rPr>
                <w:rFonts w:asciiTheme="minorHAnsi" w:eastAsia="Times New Roman" w:hAnsiTheme="minorHAnsi"/>
                <w:b/>
                <w:iCs/>
                <w:color w:val="000000" w:themeColor="text1"/>
                <w:szCs w:val="17"/>
                <w:lang w:eastAsia="en-US"/>
              </w:rPr>
            </w:pPr>
            <w:r w:rsidRPr="00176C6E">
              <w:rPr>
                <w:rFonts w:asciiTheme="minorHAnsi" w:eastAsia="Times New Roman" w:hAnsiTheme="minorHAnsi"/>
                <w:b/>
                <w:iCs/>
                <w:color w:val="000000" w:themeColor="text1"/>
                <w:szCs w:val="17"/>
                <w:lang w:eastAsia="en-US"/>
              </w:rPr>
              <w:t>Evaluation type</w:t>
            </w:r>
          </w:p>
        </w:tc>
      </w:tr>
      <w:tr w:rsidR="00176C6E" w:rsidRPr="00176C6E" w14:paraId="3D3B5C20" w14:textId="77777777" w:rsidTr="006F27B1">
        <w:tc>
          <w:tcPr>
            <w:tcW w:w="2472" w:type="dxa"/>
          </w:tcPr>
          <w:p w14:paraId="545BAA4B"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Mid-term r</w:t>
            </w:r>
            <w:r w:rsidRPr="00176C6E">
              <w:rPr>
                <w:rFonts w:asciiTheme="minorHAnsi" w:eastAsia="Times New Roman" w:hAnsiTheme="minorHAnsi"/>
                <w:iCs/>
                <w:color w:val="000000" w:themeColor="text1"/>
                <w:szCs w:val="17"/>
                <w:lang w:eastAsia="en-US"/>
              </w:rPr>
              <w:t xml:space="preserve">eview </w:t>
            </w:r>
          </w:p>
        </w:tc>
        <w:tc>
          <w:tcPr>
            <w:tcW w:w="2381" w:type="dxa"/>
          </w:tcPr>
          <w:p w14:paraId="5BA0DAE2"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 xml:space="preserve">INJ577 Integrated </w:t>
            </w:r>
            <w:r w:rsidRPr="00176C6E">
              <w:rPr>
                <w:rFonts w:asciiTheme="minorHAnsi" w:eastAsia="Times New Roman" w:hAnsiTheme="minorHAnsi"/>
                <w:iCs/>
                <w:color w:val="000000" w:themeColor="text1"/>
                <w:szCs w:val="17"/>
                <w:lang w:eastAsia="en-US"/>
              </w:rPr>
              <w:t>Coastal Management</w:t>
            </w:r>
          </w:p>
        </w:tc>
        <w:tc>
          <w:tcPr>
            <w:tcW w:w="2459" w:type="dxa"/>
          </w:tcPr>
          <w:p w14:paraId="44F9EF8F"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lang w:eastAsia="en-US"/>
              </w:rPr>
            </w:pPr>
            <w:r w:rsidRPr="00176C6E">
              <w:rPr>
                <w:rFonts w:asciiTheme="minorHAnsi" w:eastAsia="Times New Roman" w:hAnsiTheme="minorHAnsi"/>
                <w:iCs/>
                <w:color w:val="000000" w:themeColor="text1"/>
                <w:szCs w:val="17"/>
                <w:lang w:eastAsia="en-US"/>
              </w:rPr>
              <w:t>March 2017</w:t>
            </w:r>
          </w:p>
        </w:tc>
        <w:tc>
          <w:tcPr>
            <w:tcW w:w="2227" w:type="dxa"/>
          </w:tcPr>
          <w:p w14:paraId="43682A86"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lang w:eastAsia="en-US"/>
              </w:rPr>
            </w:pPr>
            <w:r w:rsidRPr="00176C6E">
              <w:rPr>
                <w:rFonts w:asciiTheme="minorHAnsi" w:eastAsia="Times New Roman" w:hAnsiTheme="minorHAnsi"/>
                <w:iCs/>
                <w:color w:val="000000" w:themeColor="text1"/>
                <w:szCs w:val="17"/>
                <w:lang w:eastAsia="en-US"/>
              </w:rPr>
              <w:t>June 2017</w:t>
            </w:r>
          </w:p>
        </w:tc>
        <w:tc>
          <w:tcPr>
            <w:tcW w:w="2348" w:type="dxa"/>
          </w:tcPr>
          <w:p w14:paraId="0E342DE6"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lang w:eastAsia="en-US"/>
              </w:rPr>
            </w:pPr>
            <w:r w:rsidRPr="00176C6E">
              <w:rPr>
                <w:rFonts w:asciiTheme="minorHAnsi" w:eastAsia="Times New Roman" w:hAnsiTheme="minorHAnsi"/>
                <w:iCs/>
                <w:color w:val="000000" w:themeColor="text1"/>
                <w:szCs w:val="17"/>
                <w:lang w:eastAsia="en-US"/>
              </w:rPr>
              <w:t>To track implementation progress and performance</w:t>
            </w:r>
          </w:p>
        </w:tc>
        <w:tc>
          <w:tcPr>
            <w:tcW w:w="2362" w:type="dxa"/>
          </w:tcPr>
          <w:p w14:paraId="02D19485"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lang w:eastAsia="en-US"/>
              </w:rPr>
            </w:pPr>
            <w:r w:rsidRPr="00176C6E">
              <w:rPr>
                <w:rFonts w:asciiTheme="minorHAnsi" w:eastAsia="Times New Roman" w:hAnsiTheme="minorHAnsi"/>
                <w:iCs/>
                <w:color w:val="000000" w:themeColor="text1"/>
                <w:szCs w:val="17"/>
                <w:lang w:eastAsia="en-US"/>
              </w:rPr>
              <w:t xml:space="preserve">Joint Evaluation </w:t>
            </w:r>
          </w:p>
        </w:tc>
      </w:tr>
      <w:tr w:rsidR="00176C6E" w:rsidRPr="00176C6E" w14:paraId="1C754542" w14:textId="77777777" w:rsidTr="006F27B1">
        <w:tc>
          <w:tcPr>
            <w:tcW w:w="2472" w:type="dxa"/>
          </w:tcPr>
          <w:p w14:paraId="294A1F1B"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lang w:eastAsia="en-US"/>
              </w:rPr>
            </w:pPr>
          </w:p>
        </w:tc>
        <w:tc>
          <w:tcPr>
            <w:tcW w:w="2381" w:type="dxa"/>
          </w:tcPr>
          <w:p w14:paraId="1B98135F"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lang w:eastAsia="en-US"/>
              </w:rPr>
            </w:pPr>
          </w:p>
        </w:tc>
        <w:tc>
          <w:tcPr>
            <w:tcW w:w="2459" w:type="dxa"/>
          </w:tcPr>
          <w:p w14:paraId="342BDEB5"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lang w:eastAsia="en-US"/>
              </w:rPr>
            </w:pPr>
          </w:p>
        </w:tc>
        <w:tc>
          <w:tcPr>
            <w:tcW w:w="2227" w:type="dxa"/>
          </w:tcPr>
          <w:p w14:paraId="120B8C44"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lang w:eastAsia="en-US"/>
              </w:rPr>
            </w:pPr>
          </w:p>
        </w:tc>
        <w:tc>
          <w:tcPr>
            <w:tcW w:w="2348" w:type="dxa"/>
          </w:tcPr>
          <w:p w14:paraId="6010BD41"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lang w:eastAsia="en-US"/>
              </w:rPr>
            </w:pPr>
          </w:p>
        </w:tc>
        <w:tc>
          <w:tcPr>
            <w:tcW w:w="2362" w:type="dxa"/>
          </w:tcPr>
          <w:p w14:paraId="7D395B6C"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lang w:eastAsia="en-US"/>
              </w:rPr>
            </w:pPr>
          </w:p>
        </w:tc>
      </w:tr>
      <w:tr w:rsidR="00176C6E" w:rsidRPr="00176C6E" w14:paraId="2A91B4DA" w14:textId="77777777" w:rsidTr="006F27B1">
        <w:tc>
          <w:tcPr>
            <w:tcW w:w="2472" w:type="dxa"/>
          </w:tcPr>
          <w:p w14:paraId="59EEB4BD"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rPr>
            </w:pPr>
            <w:r w:rsidRPr="00176C6E">
              <w:rPr>
                <w:rFonts w:asciiTheme="minorHAnsi" w:eastAsia="Times New Roman" w:hAnsiTheme="minorHAnsi"/>
                <w:iCs/>
                <w:color w:val="000000" w:themeColor="text1"/>
                <w:szCs w:val="17"/>
              </w:rPr>
              <w:t>Independent Completion Review</w:t>
            </w:r>
          </w:p>
        </w:tc>
        <w:tc>
          <w:tcPr>
            <w:tcW w:w="2381" w:type="dxa"/>
          </w:tcPr>
          <w:p w14:paraId="3598A69B" w14:textId="77777777" w:rsidR="00176C6E" w:rsidRPr="00176C6E" w:rsidRDefault="00176C6E" w:rsidP="00176C6E">
            <w:pPr>
              <w:keepLines/>
              <w:spacing w:before="40" w:after="40" w:line="200" w:lineRule="atLeast"/>
              <w:rPr>
                <w:rFonts w:asciiTheme="minorHAnsi" w:eastAsia="Times New Roman" w:hAnsiTheme="minorHAnsi"/>
                <w:iCs/>
                <w:color w:val="000000" w:themeColor="text1"/>
                <w:szCs w:val="17"/>
              </w:rPr>
            </w:pPr>
            <w:r w:rsidRPr="00176C6E">
              <w:rPr>
                <w:rFonts w:asciiTheme="minorHAnsi" w:eastAsia="Times New Roman" w:hAnsiTheme="minorHAnsi"/>
                <w:iCs/>
                <w:color w:val="000000" w:themeColor="text1"/>
                <w:szCs w:val="17"/>
              </w:rPr>
              <w:t>INK3</w:t>
            </w:r>
            <w:r>
              <w:rPr>
                <w:rFonts w:asciiTheme="minorHAnsi" w:eastAsia="Times New Roman" w:hAnsiTheme="minorHAnsi"/>
                <w:iCs/>
                <w:color w:val="000000" w:themeColor="text1"/>
                <w:szCs w:val="17"/>
              </w:rPr>
              <w:t>76 World Bank Partnership Trust F</w:t>
            </w:r>
            <w:r w:rsidRPr="00176C6E">
              <w:rPr>
                <w:rFonts w:asciiTheme="minorHAnsi" w:eastAsia="Times New Roman" w:hAnsiTheme="minorHAnsi"/>
                <w:iCs/>
                <w:color w:val="000000" w:themeColor="text1"/>
                <w:szCs w:val="17"/>
              </w:rPr>
              <w:t>und</w:t>
            </w:r>
          </w:p>
        </w:tc>
        <w:tc>
          <w:tcPr>
            <w:tcW w:w="2459" w:type="dxa"/>
          </w:tcPr>
          <w:p w14:paraId="3C3C4A05"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rPr>
            </w:pPr>
            <w:r w:rsidRPr="00176C6E">
              <w:rPr>
                <w:rFonts w:asciiTheme="minorHAnsi" w:eastAsia="Times New Roman" w:hAnsiTheme="minorHAnsi"/>
                <w:iCs/>
                <w:color w:val="000000" w:themeColor="text1"/>
                <w:szCs w:val="17"/>
              </w:rPr>
              <w:t>October 2016</w:t>
            </w:r>
          </w:p>
        </w:tc>
        <w:tc>
          <w:tcPr>
            <w:tcW w:w="2227" w:type="dxa"/>
          </w:tcPr>
          <w:p w14:paraId="6FF0871E"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rPr>
            </w:pPr>
            <w:r w:rsidRPr="00176C6E">
              <w:rPr>
                <w:rFonts w:asciiTheme="minorHAnsi" w:eastAsia="Times New Roman" w:hAnsiTheme="minorHAnsi"/>
                <w:iCs/>
                <w:color w:val="000000" w:themeColor="text1"/>
                <w:szCs w:val="17"/>
              </w:rPr>
              <w:t>October 2016</w:t>
            </w:r>
          </w:p>
        </w:tc>
        <w:tc>
          <w:tcPr>
            <w:tcW w:w="2348" w:type="dxa"/>
          </w:tcPr>
          <w:p w14:paraId="797C79EA"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rPr>
            </w:pPr>
            <w:r w:rsidRPr="00176C6E">
              <w:rPr>
                <w:rFonts w:asciiTheme="minorHAnsi" w:eastAsia="Times New Roman" w:hAnsiTheme="minorHAnsi"/>
                <w:iCs/>
                <w:color w:val="000000" w:themeColor="text1"/>
                <w:szCs w:val="17"/>
              </w:rPr>
              <w:t>To document the lesson learn of the World Bank Partnership Trust-fund</w:t>
            </w:r>
          </w:p>
        </w:tc>
        <w:tc>
          <w:tcPr>
            <w:tcW w:w="2362" w:type="dxa"/>
          </w:tcPr>
          <w:p w14:paraId="375DF521"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rPr>
            </w:pPr>
            <w:r w:rsidRPr="00176C6E">
              <w:rPr>
                <w:rFonts w:asciiTheme="minorHAnsi" w:eastAsia="Times New Roman" w:hAnsiTheme="minorHAnsi"/>
                <w:iCs/>
                <w:color w:val="000000" w:themeColor="text1"/>
                <w:szCs w:val="17"/>
              </w:rPr>
              <w:t>Partner led</w:t>
            </w:r>
          </w:p>
        </w:tc>
      </w:tr>
      <w:tr w:rsidR="00176C6E" w:rsidRPr="00176C6E" w14:paraId="60833F67" w14:textId="77777777" w:rsidTr="006F27B1">
        <w:tc>
          <w:tcPr>
            <w:tcW w:w="2472" w:type="dxa"/>
          </w:tcPr>
          <w:p w14:paraId="32D3DC13" w14:textId="77777777" w:rsidR="00176C6E" w:rsidRPr="00176C6E" w:rsidRDefault="00176C6E" w:rsidP="00F050B4">
            <w:pPr>
              <w:keepLines/>
              <w:spacing w:before="40" w:after="40" w:line="200" w:lineRule="atLeast"/>
              <w:rPr>
                <w:rFonts w:asciiTheme="minorHAnsi" w:eastAsia="Times New Roman" w:hAnsiTheme="minorHAnsi"/>
                <w:iCs/>
                <w:color w:val="000000" w:themeColor="text1"/>
                <w:szCs w:val="17"/>
              </w:rPr>
            </w:pPr>
            <w:r w:rsidRPr="00176C6E">
              <w:rPr>
                <w:rFonts w:asciiTheme="minorHAnsi" w:eastAsia="Times New Roman" w:hAnsiTheme="minorHAnsi"/>
                <w:iCs/>
                <w:color w:val="000000" w:themeColor="text1"/>
                <w:szCs w:val="17"/>
              </w:rPr>
              <w:t xml:space="preserve">Completion </w:t>
            </w:r>
            <w:r w:rsidR="00F050B4">
              <w:rPr>
                <w:rFonts w:asciiTheme="minorHAnsi" w:eastAsia="Times New Roman" w:hAnsiTheme="minorHAnsi"/>
                <w:iCs/>
                <w:color w:val="000000" w:themeColor="text1"/>
                <w:szCs w:val="17"/>
              </w:rPr>
              <w:t>Review</w:t>
            </w:r>
          </w:p>
        </w:tc>
        <w:tc>
          <w:tcPr>
            <w:tcW w:w="2381" w:type="dxa"/>
          </w:tcPr>
          <w:p w14:paraId="04AE8652"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rPr>
            </w:pPr>
            <w:r w:rsidRPr="00176C6E">
              <w:rPr>
                <w:rFonts w:asciiTheme="minorHAnsi" w:eastAsia="Times New Roman" w:hAnsiTheme="minorHAnsi"/>
                <w:iCs/>
                <w:color w:val="000000" w:themeColor="text1"/>
                <w:szCs w:val="17"/>
              </w:rPr>
              <w:t>INH651 Southern Coastal Corridor</w:t>
            </w:r>
          </w:p>
        </w:tc>
        <w:tc>
          <w:tcPr>
            <w:tcW w:w="2459" w:type="dxa"/>
          </w:tcPr>
          <w:p w14:paraId="36639ADB"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rPr>
            </w:pPr>
            <w:r w:rsidRPr="00176C6E">
              <w:rPr>
                <w:rFonts w:asciiTheme="minorHAnsi" w:eastAsia="Times New Roman" w:hAnsiTheme="minorHAnsi"/>
                <w:iCs/>
                <w:color w:val="000000" w:themeColor="text1"/>
                <w:szCs w:val="17"/>
              </w:rPr>
              <w:t>August 2016</w:t>
            </w:r>
          </w:p>
        </w:tc>
        <w:tc>
          <w:tcPr>
            <w:tcW w:w="2227" w:type="dxa"/>
          </w:tcPr>
          <w:p w14:paraId="26389DB3"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rPr>
            </w:pPr>
            <w:r w:rsidRPr="00176C6E">
              <w:rPr>
                <w:rFonts w:asciiTheme="minorHAnsi" w:eastAsia="Times New Roman" w:hAnsiTheme="minorHAnsi"/>
                <w:iCs/>
                <w:color w:val="000000" w:themeColor="text1"/>
                <w:szCs w:val="17"/>
              </w:rPr>
              <w:t>December 2016</w:t>
            </w:r>
          </w:p>
        </w:tc>
        <w:tc>
          <w:tcPr>
            <w:tcW w:w="2348" w:type="dxa"/>
          </w:tcPr>
          <w:p w14:paraId="6506A335"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rPr>
            </w:pPr>
            <w:r w:rsidRPr="00176C6E">
              <w:rPr>
                <w:rFonts w:asciiTheme="minorHAnsi" w:eastAsia="Times New Roman" w:hAnsiTheme="minorHAnsi"/>
                <w:iCs/>
                <w:color w:val="000000" w:themeColor="text1"/>
                <w:szCs w:val="17"/>
              </w:rPr>
              <w:t>To assess the results at the completion of the project</w:t>
            </w:r>
          </w:p>
        </w:tc>
        <w:tc>
          <w:tcPr>
            <w:tcW w:w="2362" w:type="dxa"/>
          </w:tcPr>
          <w:p w14:paraId="4AB01786"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rPr>
            </w:pPr>
            <w:r w:rsidRPr="00176C6E">
              <w:rPr>
                <w:rFonts w:asciiTheme="minorHAnsi" w:eastAsia="Times New Roman" w:hAnsiTheme="minorHAnsi"/>
                <w:iCs/>
                <w:color w:val="000000" w:themeColor="text1"/>
                <w:szCs w:val="17"/>
              </w:rPr>
              <w:t>Partner led</w:t>
            </w:r>
          </w:p>
        </w:tc>
      </w:tr>
      <w:tr w:rsidR="00176C6E" w:rsidRPr="00176C6E" w14:paraId="42A10FB2" w14:textId="77777777" w:rsidTr="006F27B1">
        <w:tc>
          <w:tcPr>
            <w:tcW w:w="2472" w:type="dxa"/>
          </w:tcPr>
          <w:p w14:paraId="26243673" w14:textId="77777777" w:rsidR="00176C6E" w:rsidRPr="00176C6E" w:rsidRDefault="00176C6E" w:rsidP="00F050B4">
            <w:pPr>
              <w:keepLines/>
              <w:spacing w:before="40" w:after="40" w:line="200" w:lineRule="atLeast"/>
              <w:rPr>
                <w:rFonts w:asciiTheme="minorHAnsi" w:eastAsia="Times New Roman" w:hAnsiTheme="minorHAnsi"/>
                <w:iCs/>
                <w:color w:val="000000" w:themeColor="text1"/>
                <w:szCs w:val="17"/>
              </w:rPr>
            </w:pPr>
            <w:r w:rsidRPr="00176C6E">
              <w:rPr>
                <w:rFonts w:asciiTheme="minorHAnsi" w:eastAsia="Times New Roman" w:hAnsiTheme="minorHAnsi"/>
                <w:iCs/>
                <w:color w:val="000000" w:themeColor="text1"/>
                <w:szCs w:val="17"/>
              </w:rPr>
              <w:t xml:space="preserve">Completion </w:t>
            </w:r>
            <w:r w:rsidR="00F050B4">
              <w:rPr>
                <w:rFonts w:asciiTheme="minorHAnsi" w:eastAsia="Times New Roman" w:hAnsiTheme="minorHAnsi"/>
                <w:iCs/>
                <w:color w:val="000000" w:themeColor="text1"/>
                <w:szCs w:val="17"/>
              </w:rPr>
              <w:t>Review</w:t>
            </w:r>
          </w:p>
        </w:tc>
        <w:tc>
          <w:tcPr>
            <w:tcW w:w="2381" w:type="dxa"/>
          </w:tcPr>
          <w:p w14:paraId="5649A00F"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rPr>
            </w:pPr>
            <w:r w:rsidRPr="00176C6E">
              <w:rPr>
                <w:rFonts w:asciiTheme="minorHAnsi" w:eastAsia="Times New Roman" w:hAnsiTheme="minorHAnsi"/>
                <w:iCs/>
                <w:color w:val="000000" w:themeColor="text1"/>
                <w:szCs w:val="17"/>
              </w:rPr>
              <w:t>INH551 Mekong Transport Infrastructure Project</w:t>
            </w:r>
          </w:p>
        </w:tc>
        <w:tc>
          <w:tcPr>
            <w:tcW w:w="2459" w:type="dxa"/>
          </w:tcPr>
          <w:p w14:paraId="618E47D3"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rPr>
            </w:pPr>
            <w:r w:rsidRPr="00176C6E">
              <w:rPr>
                <w:rFonts w:asciiTheme="minorHAnsi" w:eastAsia="Times New Roman" w:hAnsiTheme="minorHAnsi"/>
                <w:iCs/>
                <w:color w:val="000000" w:themeColor="text1"/>
                <w:szCs w:val="17"/>
              </w:rPr>
              <w:t>December 2016</w:t>
            </w:r>
          </w:p>
        </w:tc>
        <w:tc>
          <w:tcPr>
            <w:tcW w:w="2227" w:type="dxa"/>
          </w:tcPr>
          <w:p w14:paraId="2A664478"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rPr>
            </w:pPr>
            <w:r w:rsidRPr="00176C6E">
              <w:rPr>
                <w:rFonts w:asciiTheme="minorHAnsi" w:eastAsia="Times New Roman" w:hAnsiTheme="minorHAnsi"/>
                <w:iCs/>
                <w:color w:val="000000" w:themeColor="text1"/>
                <w:szCs w:val="17"/>
              </w:rPr>
              <w:t>June 2017</w:t>
            </w:r>
          </w:p>
        </w:tc>
        <w:tc>
          <w:tcPr>
            <w:tcW w:w="2348" w:type="dxa"/>
          </w:tcPr>
          <w:p w14:paraId="305D68C4"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rPr>
            </w:pPr>
            <w:r w:rsidRPr="00176C6E">
              <w:rPr>
                <w:rFonts w:asciiTheme="minorHAnsi" w:eastAsia="Times New Roman" w:hAnsiTheme="minorHAnsi"/>
                <w:iCs/>
                <w:color w:val="000000" w:themeColor="text1"/>
                <w:szCs w:val="17"/>
              </w:rPr>
              <w:t>To assess the results at the completion of the project</w:t>
            </w:r>
          </w:p>
        </w:tc>
        <w:tc>
          <w:tcPr>
            <w:tcW w:w="2362" w:type="dxa"/>
          </w:tcPr>
          <w:p w14:paraId="0A88F163" w14:textId="77777777" w:rsidR="00176C6E" w:rsidRPr="00176C6E" w:rsidRDefault="00176C6E" w:rsidP="006E6AB9">
            <w:pPr>
              <w:keepLines/>
              <w:spacing w:before="40" w:after="40" w:line="200" w:lineRule="atLeast"/>
              <w:rPr>
                <w:rFonts w:asciiTheme="minorHAnsi" w:eastAsia="Times New Roman" w:hAnsiTheme="minorHAnsi"/>
                <w:iCs/>
                <w:color w:val="000000" w:themeColor="text1"/>
                <w:szCs w:val="17"/>
              </w:rPr>
            </w:pPr>
            <w:r w:rsidRPr="00176C6E">
              <w:rPr>
                <w:rFonts w:asciiTheme="minorHAnsi" w:eastAsia="Times New Roman" w:hAnsiTheme="minorHAnsi"/>
                <w:iCs/>
                <w:color w:val="000000" w:themeColor="text1"/>
                <w:szCs w:val="17"/>
              </w:rPr>
              <w:t>Partner led</w:t>
            </w:r>
          </w:p>
        </w:tc>
      </w:tr>
    </w:tbl>
    <w:p w14:paraId="37E40A5D" w14:textId="77777777" w:rsidR="00400B0F" w:rsidRPr="00C61187" w:rsidRDefault="00400B0F" w:rsidP="00400B0F">
      <w:pPr>
        <w:rPr>
          <w:b/>
        </w:rPr>
        <w:sectPr w:rsidR="00400B0F" w:rsidRPr="00C61187" w:rsidSect="009C18B5">
          <w:headerReference w:type="even" r:id="rId17"/>
          <w:headerReference w:type="default" r:id="rId18"/>
          <w:headerReference w:type="first" r:id="rId19"/>
          <w:footerReference w:type="first" r:id="rId20"/>
          <w:footnotePr>
            <w:numRestart w:val="eachPage"/>
          </w:footnotePr>
          <w:type w:val="continuous"/>
          <w:pgSz w:w="16838" w:h="11906" w:orient="landscape" w:code="9"/>
          <w:pgMar w:top="1272" w:right="1814" w:bottom="851" w:left="851" w:header="709" w:footer="230" w:gutter="0"/>
          <w:cols w:space="708"/>
          <w:titlePg/>
          <w:docGrid w:linePitch="360"/>
        </w:sectPr>
      </w:pPr>
    </w:p>
    <w:p w14:paraId="426E5E70" w14:textId="77777777" w:rsidR="00400B0F" w:rsidRDefault="00400B0F" w:rsidP="00400B0F">
      <w:pPr>
        <w:keepNext/>
        <w:tabs>
          <w:tab w:val="left" w:pos="1560"/>
        </w:tabs>
        <w:spacing w:before="360" w:after="120"/>
        <w:outlineLvl w:val="1"/>
        <w:rPr>
          <w:rFonts w:eastAsiaTheme="majorEastAsia" w:cstheme="majorBidi"/>
          <w:sz w:val="38"/>
          <w:szCs w:val="24"/>
        </w:rPr>
      </w:pPr>
      <w:r w:rsidRPr="00784031">
        <w:rPr>
          <w:rFonts w:eastAsiaTheme="majorEastAsia" w:cstheme="majorBidi"/>
          <w:bCs/>
          <w:iCs/>
          <w:caps/>
          <w:spacing w:val="-10"/>
          <w:kern w:val="28"/>
          <w:sz w:val="38"/>
          <w:szCs w:val="24"/>
        </w:rPr>
        <w:lastRenderedPageBreak/>
        <w:t>Annex D - Aid Quality Check ratings</w:t>
      </w:r>
    </w:p>
    <w:tbl>
      <w:tblPr>
        <w:tblStyle w:val="APPR"/>
        <w:tblW w:w="5000" w:type="pct"/>
        <w:tblLook w:val="0000" w:firstRow="0" w:lastRow="0" w:firstColumn="0" w:lastColumn="0" w:noHBand="0" w:noVBand="0"/>
      </w:tblPr>
      <w:tblGrid>
        <w:gridCol w:w="2669"/>
        <w:gridCol w:w="1933"/>
        <w:gridCol w:w="1231"/>
        <w:gridCol w:w="1237"/>
        <w:gridCol w:w="1228"/>
        <w:gridCol w:w="1157"/>
        <w:gridCol w:w="1248"/>
        <w:gridCol w:w="1256"/>
        <w:gridCol w:w="1248"/>
        <w:gridCol w:w="1253"/>
      </w:tblGrid>
      <w:tr w:rsidR="00760883" w:rsidRPr="00760883" w14:paraId="390CB6D2" w14:textId="77777777" w:rsidTr="006E6AB9">
        <w:trPr>
          <w:cnfStyle w:val="000000010000" w:firstRow="0" w:lastRow="0" w:firstColumn="0" w:lastColumn="0" w:oddVBand="0" w:evenVBand="0" w:oddHBand="0" w:evenHBand="1" w:firstRowFirstColumn="0" w:firstRowLastColumn="0" w:lastRowFirstColumn="0" w:lastRowLastColumn="0"/>
          <w:trHeight w:val="1413"/>
        </w:trPr>
        <w:tc>
          <w:tcPr>
            <w:tcW w:w="909" w:type="pct"/>
          </w:tcPr>
          <w:p w14:paraId="1F29C18F" w14:textId="77777777" w:rsidR="00760883" w:rsidRPr="00760883" w:rsidRDefault="00760883" w:rsidP="006E6AB9">
            <w:pPr>
              <w:keepLines/>
              <w:spacing w:before="80" w:after="80" w:line="200" w:lineRule="atLeast"/>
              <w:rPr>
                <w:rFonts w:asciiTheme="minorHAnsi" w:eastAsia="Times New Roman" w:hAnsiTheme="minorHAnsi"/>
                <w:b/>
                <w:iCs/>
                <w:color w:val="000000" w:themeColor="text1"/>
                <w:szCs w:val="17"/>
                <w:lang w:eastAsia="en-US"/>
              </w:rPr>
            </w:pPr>
            <w:r w:rsidRPr="00760883">
              <w:rPr>
                <w:rFonts w:eastAsia="Times New Roman"/>
                <w:b/>
                <w:iCs/>
                <w:noProof/>
                <w:color w:val="000000" w:themeColor="text1"/>
                <w:szCs w:val="17"/>
                <w:lang w:val="en-AU"/>
              </w:rPr>
              <w:drawing>
                <wp:anchor distT="0" distB="0" distL="114300" distR="114300" simplePos="0" relativeHeight="251681792" behindDoc="0" locked="0" layoutInCell="1" allowOverlap="1" wp14:anchorId="5A0FF342" wp14:editId="30F40112">
                  <wp:simplePos x="0" y="0"/>
                  <wp:positionH relativeFrom="column">
                    <wp:posOffset>0</wp:posOffset>
                  </wp:positionH>
                  <wp:positionV relativeFrom="paragraph">
                    <wp:posOffset>0</wp:posOffset>
                  </wp:positionV>
                  <wp:extent cx="1857375" cy="228600"/>
                  <wp:effectExtent l="0" t="0" r="9525" b="0"/>
                  <wp:wrapNone/>
                  <wp:docPr id="4" name="Picture 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883">
              <w:rPr>
                <w:rFonts w:asciiTheme="minorHAnsi" w:eastAsia="Times New Roman" w:hAnsiTheme="minorHAnsi"/>
                <w:b/>
                <w:iCs/>
                <w:color w:val="000000" w:themeColor="text1"/>
                <w:szCs w:val="17"/>
                <w:lang w:eastAsia="en-US"/>
              </w:rPr>
              <w:t>Investment name</w:t>
            </w:r>
          </w:p>
        </w:tc>
        <w:tc>
          <w:tcPr>
            <w:tcW w:w="659" w:type="pct"/>
            <w:textDirection w:val="btLr"/>
          </w:tcPr>
          <w:p w14:paraId="1FF360BF" w14:textId="77777777" w:rsidR="00760883" w:rsidRPr="00760883" w:rsidRDefault="00760883" w:rsidP="006E6AB9">
            <w:pPr>
              <w:keepLines/>
              <w:spacing w:before="80" w:after="80" w:line="200" w:lineRule="atLeast"/>
              <w:rPr>
                <w:rFonts w:asciiTheme="minorHAnsi" w:eastAsia="Times New Roman" w:hAnsiTheme="minorHAnsi"/>
                <w:b/>
                <w:iCs/>
                <w:color w:val="000000" w:themeColor="text1"/>
                <w:szCs w:val="17"/>
                <w:lang w:eastAsia="en-US"/>
              </w:rPr>
            </w:pPr>
            <w:r w:rsidRPr="00760883">
              <w:rPr>
                <w:rFonts w:asciiTheme="minorHAnsi" w:eastAsia="Times New Roman" w:hAnsiTheme="minorHAnsi"/>
                <w:b/>
                <w:iCs/>
                <w:color w:val="000000" w:themeColor="text1"/>
                <w:szCs w:val="17"/>
                <w:lang w:eastAsia="en-US"/>
              </w:rPr>
              <w:t>Approved budget and duration</w:t>
            </w:r>
          </w:p>
        </w:tc>
        <w:tc>
          <w:tcPr>
            <w:tcW w:w="416" w:type="pct"/>
            <w:textDirection w:val="btLr"/>
          </w:tcPr>
          <w:p w14:paraId="56D3320A" w14:textId="77777777" w:rsidR="00760883" w:rsidRPr="00760883" w:rsidRDefault="00760883" w:rsidP="006E6AB9">
            <w:pPr>
              <w:keepLines/>
              <w:spacing w:before="80" w:after="80" w:line="200" w:lineRule="atLeast"/>
              <w:rPr>
                <w:rFonts w:asciiTheme="minorHAnsi" w:eastAsia="Times New Roman" w:hAnsiTheme="minorHAnsi"/>
                <w:b/>
                <w:iCs/>
                <w:color w:val="000000" w:themeColor="text1"/>
                <w:szCs w:val="17"/>
                <w:lang w:eastAsia="en-US"/>
              </w:rPr>
            </w:pPr>
            <w:r w:rsidRPr="00760883">
              <w:rPr>
                <w:rFonts w:asciiTheme="minorHAnsi" w:eastAsia="Times New Roman" w:hAnsiTheme="minorHAnsi"/>
                <w:b/>
                <w:iCs/>
                <w:color w:val="000000" w:themeColor="text1"/>
                <w:szCs w:val="17"/>
                <w:lang w:eastAsia="en-US"/>
              </w:rPr>
              <w:t>year on year</w:t>
            </w:r>
          </w:p>
        </w:tc>
        <w:tc>
          <w:tcPr>
            <w:tcW w:w="418" w:type="pct"/>
            <w:textDirection w:val="btLr"/>
          </w:tcPr>
          <w:p w14:paraId="7F337B60" w14:textId="77777777" w:rsidR="00760883" w:rsidRPr="00760883" w:rsidRDefault="00760883" w:rsidP="006E6AB9">
            <w:pPr>
              <w:keepLines/>
              <w:spacing w:before="80" w:after="80" w:line="200" w:lineRule="atLeast"/>
              <w:rPr>
                <w:rFonts w:asciiTheme="minorHAnsi" w:eastAsia="Times New Roman" w:hAnsiTheme="minorHAnsi"/>
                <w:b/>
                <w:iCs/>
                <w:color w:val="000000" w:themeColor="text1"/>
                <w:szCs w:val="17"/>
                <w:lang w:eastAsia="en-US"/>
              </w:rPr>
            </w:pPr>
            <w:r w:rsidRPr="00760883">
              <w:rPr>
                <w:rFonts w:asciiTheme="minorHAnsi" w:eastAsia="Times New Roman" w:hAnsiTheme="minorHAnsi"/>
                <w:b/>
                <w:iCs/>
                <w:color w:val="000000" w:themeColor="text1"/>
                <w:szCs w:val="17"/>
                <w:lang w:eastAsia="en-US"/>
              </w:rPr>
              <w:t>Relevance</w:t>
            </w:r>
          </w:p>
        </w:tc>
        <w:tc>
          <w:tcPr>
            <w:tcW w:w="415" w:type="pct"/>
            <w:textDirection w:val="btLr"/>
          </w:tcPr>
          <w:p w14:paraId="75111898" w14:textId="77777777" w:rsidR="00760883" w:rsidRPr="00760883" w:rsidRDefault="00760883" w:rsidP="006E6AB9">
            <w:pPr>
              <w:keepLines/>
              <w:spacing w:before="80" w:after="80" w:line="200" w:lineRule="atLeast"/>
              <w:rPr>
                <w:rFonts w:asciiTheme="minorHAnsi" w:eastAsia="Times New Roman" w:hAnsiTheme="minorHAnsi"/>
                <w:b/>
                <w:iCs/>
                <w:color w:val="000000" w:themeColor="text1"/>
                <w:szCs w:val="17"/>
                <w:lang w:eastAsia="en-US"/>
              </w:rPr>
            </w:pPr>
            <w:r w:rsidRPr="00760883">
              <w:rPr>
                <w:rFonts w:asciiTheme="minorHAnsi" w:eastAsia="Times New Roman" w:hAnsiTheme="minorHAnsi"/>
                <w:b/>
                <w:iCs/>
                <w:color w:val="000000" w:themeColor="text1"/>
                <w:szCs w:val="17"/>
                <w:lang w:eastAsia="en-US"/>
              </w:rPr>
              <w:t>Effectiveness</w:t>
            </w:r>
          </w:p>
        </w:tc>
        <w:tc>
          <w:tcPr>
            <w:tcW w:w="391" w:type="pct"/>
            <w:textDirection w:val="btLr"/>
          </w:tcPr>
          <w:p w14:paraId="2BE96FD6" w14:textId="77777777" w:rsidR="00760883" w:rsidRPr="00760883" w:rsidRDefault="00760883" w:rsidP="006E6AB9">
            <w:pPr>
              <w:keepLines/>
              <w:spacing w:before="80" w:after="80" w:line="200" w:lineRule="atLeast"/>
              <w:rPr>
                <w:rFonts w:asciiTheme="minorHAnsi" w:eastAsia="Times New Roman" w:hAnsiTheme="minorHAnsi"/>
                <w:b/>
                <w:iCs/>
                <w:color w:val="000000" w:themeColor="text1"/>
                <w:szCs w:val="17"/>
                <w:lang w:eastAsia="en-US"/>
              </w:rPr>
            </w:pPr>
            <w:r w:rsidRPr="00760883">
              <w:rPr>
                <w:rFonts w:asciiTheme="minorHAnsi" w:eastAsia="Times New Roman" w:hAnsiTheme="minorHAnsi"/>
                <w:b/>
                <w:iCs/>
                <w:color w:val="000000" w:themeColor="text1"/>
                <w:szCs w:val="17"/>
                <w:lang w:eastAsia="en-US"/>
              </w:rPr>
              <w:t>Efficiency</w:t>
            </w:r>
          </w:p>
        </w:tc>
        <w:tc>
          <w:tcPr>
            <w:tcW w:w="422" w:type="pct"/>
            <w:textDirection w:val="btLr"/>
          </w:tcPr>
          <w:p w14:paraId="35743EE2" w14:textId="77777777" w:rsidR="00760883" w:rsidRPr="00760883" w:rsidRDefault="00760883" w:rsidP="006E6AB9">
            <w:pPr>
              <w:keepLines/>
              <w:spacing w:before="80" w:after="80" w:line="200" w:lineRule="atLeast"/>
              <w:rPr>
                <w:rFonts w:asciiTheme="minorHAnsi" w:eastAsia="Times New Roman" w:hAnsiTheme="minorHAnsi"/>
                <w:b/>
                <w:iCs/>
                <w:color w:val="000000" w:themeColor="text1"/>
                <w:szCs w:val="17"/>
                <w:lang w:eastAsia="en-US"/>
              </w:rPr>
            </w:pPr>
            <w:r w:rsidRPr="00760883">
              <w:rPr>
                <w:rFonts w:asciiTheme="minorHAnsi" w:eastAsia="Times New Roman" w:hAnsiTheme="minorHAnsi"/>
                <w:b/>
                <w:iCs/>
                <w:color w:val="000000" w:themeColor="text1"/>
                <w:szCs w:val="17"/>
                <w:lang w:eastAsia="en-US"/>
              </w:rPr>
              <w:t>Monitoring and Evaluation</w:t>
            </w:r>
          </w:p>
        </w:tc>
        <w:tc>
          <w:tcPr>
            <w:tcW w:w="425" w:type="pct"/>
            <w:textDirection w:val="btLr"/>
          </w:tcPr>
          <w:p w14:paraId="479D2B49" w14:textId="77777777" w:rsidR="00760883" w:rsidRPr="00760883" w:rsidRDefault="00760883" w:rsidP="006E6AB9">
            <w:pPr>
              <w:keepLines/>
              <w:spacing w:before="80" w:after="80" w:line="200" w:lineRule="atLeast"/>
              <w:rPr>
                <w:rFonts w:asciiTheme="minorHAnsi" w:eastAsia="Times New Roman" w:hAnsiTheme="minorHAnsi"/>
                <w:b/>
                <w:iCs/>
                <w:color w:val="000000" w:themeColor="text1"/>
                <w:szCs w:val="17"/>
                <w:lang w:eastAsia="en-US"/>
              </w:rPr>
            </w:pPr>
            <w:r w:rsidRPr="00760883">
              <w:rPr>
                <w:rFonts w:asciiTheme="minorHAnsi" w:eastAsia="Times New Roman" w:hAnsiTheme="minorHAnsi"/>
                <w:b/>
                <w:iCs/>
                <w:color w:val="000000" w:themeColor="text1"/>
                <w:szCs w:val="17"/>
                <w:lang w:eastAsia="en-US"/>
              </w:rPr>
              <w:t>Sustainability</w:t>
            </w:r>
          </w:p>
        </w:tc>
        <w:tc>
          <w:tcPr>
            <w:tcW w:w="422" w:type="pct"/>
            <w:textDirection w:val="btLr"/>
          </w:tcPr>
          <w:p w14:paraId="7392586C" w14:textId="77777777" w:rsidR="00760883" w:rsidRPr="00760883" w:rsidRDefault="00760883" w:rsidP="006E6AB9">
            <w:pPr>
              <w:keepLines/>
              <w:spacing w:before="80" w:after="80" w:line="200" w:lineRule="atLeast"/>
              <w:rPr>
                <w:rFonts w:asciiTheme="minorHAnsi" w:eastAsia="Times New Roman" w:hAnsiTheme="minorHAnsi"/>
                <w:b/>
                <w:iCs/>
                <w:color w:val="000000" w:themeColor="text1"/>
                <w:szCs w:val="17"/>
                <w:lang w:eastAsia="en-US"/>
              </w:rPr>
            </w:pPr>
            <w:r w:rsidRPr="00760883">
              <w:rPr>
                <w:rFonts w:asciiTheme="minorHAnsi" w:eastAsia="Times New Roman" w:hAnsiTheme="minorHAnsi"/>
                <w:b/>
                <w:iCs/>
                <w:color w:val="000000" w:themeColor="text1"/>
                <w:szCs w:val="17"/>
                <w:lang w:eastAsia="en-US"/>
              </w:rPr>
              <w:t>Gender equality</w:t>
            </w:r>
          </w:p>
        </w:tc>
        <w:tc>
          <w:tcPr>
            <w:tcW w:w="419" w:type="pct"/>
            <w:textDirection w:val="btLr"/>
          </w:tcPr>
          <w:p w14:paraId="50571D52" w14:textId="77777777" w:rsidR="00760883" w:rsidRPr="00760883" w:rsidRDefault="00760883" w:rsidP="006E6AB9">
            <w:pPr>
              <w:keepLines/>
              <w:spacing w:before="80" w:after="80" w:line="200" w:lineRule="atLeast"/>
              <w:rPr>
                <w:rFonts w:asciiTheme="minorHAnsi" w:eastAsia="Times New Roman" w:hAnsiTheme="minorHAnsi"/>
                <w:b/>
                <w:iCs/>
                <w:color w:val="000000" w:themeColor="text1"/>
                <w:szCs w:val="17"/>
                <w:lang w:eastAsia="en-US"/>
              </w:rPr>
            </w:pPr>
            <w:r w:rsidRPr="00760883">
              <w:rPr>
                <w:rFonts w:asciiTheme="minorHAnsi" w:eastAsia="Times New Roman" w:hAnsiTheme="minorHAnsi"/>
                <w:b/>
                <w:iCs/>
                <w:color w:val="000000" w:themeColor="text1"/>
                <w:szCs w:val="17"/>
                <w:lang w:eastAsia="en-US"/>
              </w:rPr>
              <w:t>Risks  and Safeguards</w:t>
            </w:r>
          </w:p>
        </w:tc>
      </w:tr>
      <w:tr w:rsidR="00760883" w:rsidRPr="00760883" w14:paraId="751B7A12" w14:textId="77777777" w:rsidTr="00760883">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Borders>
              <w:top w:val="single" w:sz="2" w:space="0" w:color="000000" w:themeColor="text1"/>
            </w:tcBorders>
          </w:tcPr>
          <w:p w14:paraId="37CE5C93"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r w:rsidRPr="00760883">
              <w:rPr>
                <w:rFonts w:asciiTheme="minorHAnsi" w:eastAsia="Times New Roman" w:hAnsiTheme="minorHAnsi"/>
                <w:iCs/>
                <w:color w:val="000000" w:themeColor="text1"/>
                <w:szCs w:val="17"/>
                <w:lang w:eastAsia="en-US"/>
              </w:rPr>
              <w:t xml:space="preserve">INJ914 Cao Lanh </w:t>
            </w:r>
            <w:r>
              <w:rPr>
                <w:rFonts w:asciiTheme="minorHAnsi" w:eastAsia="Times New Roman" w:hAnsiTheme="minorHAnsi"/>
                <w:iCs/>
                <w:color w:val="000000" w:themeColor="text1"/>
                <w:szCs w:val="17"/>
                <w:lang w:eastAsia="en-US"/>
              </w:rPr>
              <w:t xml:space="preserve">Bridge </w:t>
            </w:r>
            <w:r w:rsidRPr="00760883">
              <w:rPr>
                <w:rFonts w:asciiTheme="minorHAnsi" w:eastAsia="Times New Roman" w:hAnsiTheme="minorHAnsi"/>
                <w:iCs/>
                <w:color w:val="000000" w:themeColor="text1"/>
                <w:szCs w:val="17"/>
                <w:lang w:eastAsia="en-US"/>
              </w:rPr>
              <w:t>Detailed Design</w:t>
            </w:r>
          </w:p>
        </w:tc>
        <w:tc>
          <w:tcPr>
            <w:tcW w:w="659" w:type="pct"/>
            <w:vMerge w:val="restart"/>
            <w:tcBorders>
              <w:top w:val="single" w:sz="2" w:space="0" w:color="000000" w:themeColor="text1"/>
            </w:tcBorders>
          </w:tcPr>
          <w:p w14:paraId="02C2356B" w14:textId="77777777" w:rsidR="00760883" w:rsidRPr="00760883" w:rsidRDefault="00760883" w:rsidP="00760883">
            <w:pPr>
              <w:keepLines/>
              <w:spacing w:before="40" w:after="40" w:line="200" w:lineRule="atLeast"/>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w:t>
            </w:r>
            <w:r w:rsidRPr="00760883">
              <w:rPr>
                <w:rFonts w:asciiTheme="minorHAnsi" w:eastAsia="Times New Roman" w:hAnsiTheme="minorHAnsi"/>
                <w:iCs/>
                <w:color w:val="000000" w:themeColor="text1"/>
                <w:szCs w:val="17"/>
                <w:lang w:eastAsia="en-US"/>
              </w:rPr>
              <w:t>26.60 million</w:t>
            </w:r>
          </w:p>
          <w:p w14:paraId="6F87FE51" w14:textId="77777777" w:rsidR="00760883" w:rsidRPr="00760883" w:rsidRDefault="00760883" w:rsidP="00760883">
            <w:pPr>
              <w:keepLines/>
              <w:spacing w:before="40" w:after="40" w:line="200" w:lineRule="atLeast"/>
              <w:rPr>
                <w:rFonts w:asciiTheme="minorHAnsi" w:eastAsia="Times New Roman" w:hAnsiTheme="minorHAnsi"/>
                <w:iCs/>
                <w:color w:val="000000" w:themeColor="text1"/>
                <w:szCs w:val="17"/>
                <w:lang w:eastAsia="en-US"/>
              </w:rPr>
            </w:pPr>
            <w:r w:rsidRPr="00760883">
              <w:rPr>
                <w:rFonts w:asciiTheme="minorHAnsi" w:eastAsia="Times New Roman" w:hAnsiTheme="minorHAnsi"/>
                <w:iCs/>
                <w:color w:val="000000" w:themeColor="text1"/>
                <w:szCs w:val="17"/>
                <w:lang w:eastAsia="en-US"/>
              </w:rPr>
              <w:t xml:space="preserve">2011-18 </w:t>
            </w:r>
          </w:p>
        </w:tc>
        <w:tc>
          <w:tcPr>
            <w:tcW w:w="416" w:type="pct"/>
            <w:tcBorders>
              <w:top w:val="single" w:sz="2" w:space="0" w:color="000000" w:themeColor="text1"/>
            </w:tcBorders>
          </w:tcPr>
          <w:p w14:paraId="4F346F53"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r w:rsidRPr="00760883">
              <w:rPr>
                <w:rFonts w:asciiTheme="minorHAnsi" w:eastAsia="Times New Roman" w:hAnsiTheme="minorHAnsi"/>
                <w:iCs/>
                <w:color w:val="000000" w:themeColor="text1"/>
                <w:szCs w:val="17"/>
                <w:lang w:eastAsia="en-US"/>
              </w:rPr>
              <w:t>2016 AQC</w:t>
            </w:r>
          </w:p>
        </w:tc>
        <w:tc>
          <w:tcPr>
            <w:tcW w:w="418" w:type="pct"/>
            <w:tcBorders>
              <w:top w:val="single" w:sz="2" w:space="0" w:color="000000" w:themeColor="text1"/>
            </w:tcBorders>
            <w:shd w:val="clear" w:color="auto" w:fill="92D050"/>
            <w:noWrap/>
            <w:vAlign w:val="center"/>
          </w:tcPr>
          <w:p w14:paraId="299FA456"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415" w:type="pct"/>
            <w:tcBorders>
              <w:top w:val="single" w:sz="2" w:space="0" w:color="000000" w:themeColor="text1"/>
            </w:tcBorders>
            <w:shd w:val="clear" w:color="auto" w:fill="92D050"/>
            <w:noWrap/>
            <w:vAlign w:val="center"/>
          </w:tcPr>
          <w:p w14:paraId="6C704145"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391" w:type="pct"/>
            <w:tcBorders>
              <w:top w:val="single" w:sz="2" w:space="0" w:color="000000" w:themeColor="text1"/>
            </w:tcBorders>
            <w:shd w:val="clear" w:color="auto" w:fill="92D050"/>
            <w:noWrap/>
            <w:vAlign w:val="center"/>
          </w:tcPr>
          <w:p w14:paraId="2984DF97"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6</w:t>
            </w:r>
          </w:p>
        </w:tc>
        <w:tc>
          <w:tcPr>
            <w:tcW w:w="422" w:type="pct"/>
            <w:tcBorders>
              <w:top w:val="single" w:sz="2" w:space="0" w:color="000000" w:themeColor="text1"/>
            </w:tcBorders>
            <w:shd w:val="clear" w:color="auto" w:fill="92D050"/>
            <w:noWrap/>
            <w:vAlign w:val="center"/>
          </w:tcPr>
          <w:p w14:paraId="69827081"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425" w:type="pct"/>
            <w:tcBorders>
              <w:top w:val="single" w:sz="2" w:space="0" w:color="000000" w:themeColor="text1"/>
            </w:tcBorders>
            <w:shd w:val="clear" w:color="auto" w:fill="92D050"/>
            <w:noWrap/>
            <w:vAlign w:val="center"/>
          </w:tcPr>
          <w:p w14:paraId="4C22FE19"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422" w:type="pct"/>
            <w:tcBorders>
              <w:top w:val="single" w:sz="2" w:space="0" w:color="000000" w:themeColor="text1"/>
            </w:tcBorders>
            <w:shd w:val="clear" w:color="auto" w:fill="FFFF00"/>
            <w:noWrap/>
            <w:vAlign w:val="center"/>
          </w:tcPr>
          <w:p w14:paraId="757ADADF"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4</w:t>
            </w:r>
          </w:p>
        </w:tc>
        <w:tc>
          <w:tcPr>
            <w:tcW w:w="419" w:type="pct"/>
            <w:tcBorders>
              <w:top w:val="single" w:sz="2" w:space="0" w:color="000000" w:themeColor="text1"/>
            </w:tcBorders>
            <w:shd w:val="clear" w:color="auto" w:fill="92D050"/>
            <w:vAlign w:val="center"/>
          </w:tcPr>
          <w:p w14:paraId="052B9C65"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r>
      <w:tr w:rsidR="00760883" w:rsidRPr="00760883" w14:paraId="03BDCF7A" w14:textId="77777777" w:rsidTr="00760883">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2" w:space="0" w:color="000000" w:themeColor="text1"/>
            </w:tcBorders>
          </w:tcPr>
          <w:p w14:paraId="3A270B43"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p>
        </w:tc>
        <w:tc>
          <w:tcPr>
            <w:tcW w:w="659" w:type="pct"/>
            <w:vMerge/>
            <w:tcBorders>
              <w:bottom w:val="single" w:sz="2" w:space="0" w:color="000000" w:themeColor="text1"/>
            </w:tcBorders>
          </w:tcPr>
          <w:p w14:paraId="06E7D399"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p>
        </w:tc>
        <w:tc>
          <w:tcPr>
            <w:tcW w:w="416" w:type="pct"/>
            <w:tcBorders>
              <w:bottom w:val="single" w:sz="2" w:space="0" w:color="000000" w:themeColor="text1"/>
            </w:tcBorders>
          </w:tcPr>
          <w:p w14:paraId="06AD4849"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r w:rsidRPr="00760883">
              <w:rPr>
                <w:rFonts w:asciiTheme="minorHAnsi" w:eastAsia="Times New Roman" w:hAnsiTheme="minorHAnsi"/>
                <w:iCs/>
                <w:color w:val="000000" w:themeColor="text1"/>
                <w:szCs w:val="17"/>
                <w:lang w:eastAsia="en-US"/>
              </w:rPr>
              <w:t>2015 AQC</w:t>
            </w:r>
          </w:p>
        </w:tc>
        <w:tc>
          <w:tcPr>
            <w:tcW w:w="418" w:type="pct"/>
            <w:tcBorders>
              <w:bottom w:val="single" w:sz="2" w:space="0" w:color="000000" w:themeColor="text1"/>
            </w:tcBorders>
            <w:shd w:val="clear" w:color="auto" w:fill="92D050"/>
            <w:noWrap/>
            <w:vAlign w:val="center"/>
          </w:tcPr>
          <w:p w14:paraId="40BAD8BC"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6</w:t>
            </w:r>
          </w:p>
        </w:tc>
        <w:tc>
          <w:tcPr>
            <w:tcW w:w="415" w:type="pct"/>
            <w:tcBorders>
              <w:bottom w:val="single" w:sz="2" w:space="0" w:color="000000" w:themeColor="text1"/>
            </w:tcBorders>
            <w:shd w:val="clear" w:color="auto" w:fill="92D050"/>
            <w:noWrap/>
            <w:vAlign w:val="center"/>
          </w:tcPr>
          <w:p w14:paraId="5B197152"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391" w:type="pct"/>
            <w:tcBorders>
              <w:bottom w:val="single" w:sz="2" w:space="0" w:color="000000" w:themeColor="text1"/>
            </w:tcBorders>
            <w:shd w:val="clear" w:color="auto" w:fill="92D050"/>
            <w:noWrap/>
            <w:vAlign w:val="center"/>
          </w:tcPr>
          <w:p w14:paraId="7A1D4C80"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6</w:t>
            </w:r>
          </w:p>
        </w:tc>
        <w:tc>
          <w:tcPr>
            <w:tcW w:w="422" w:type="pct"/>
            <w:tcBorders>
              <w:bottom w:val="single" w:sz="2" w:space="0" w:color="000000" w:themeColor="text1"/>
            </w:tcBorders>
            <w:shd w:val="clear" w:color="auto" w:fill="92D050"/>
            <w:noWrap/>
            <w:vAlign w:val="center"/>
          </w:tcPr>
          <w:p w14:paraId="510CB20D"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425" w:type="pct"/>
            <w:tcBorders>
              <w:bottom w:val="single" w:sz="2" w:space="0" w:color="000000" w:themeColor="text1"/>
            </w:tcBorders>
            <w:shd w:val="clear" w:color="auto" w:fill="92D050"/>
            <w:noWrap/>
            <w:vAlign w:val="center"/>
          </w:tcPr>
          <w:p w14:paraId="6F1777C2"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6</w:t>
            </w:r>
          </w:p>
        </w:tc>
        <w:tc>
          <w:tcPr>
            <w:tcW w:w="422" w:type="pct"/>
            <w:tcBorders>
              <w:bottom w:val="single" w:sz="2" w:space="0" w:color="000000" w:themeColor="text1"/>
            </w:tcBorders>
            <w:shd w:val="clear" w:color="auto" w:fill="92D050"/>
            <w:noWrap/>
            <w:vAlign w:val="center"/>
          </w:tcPr>
          <w:p w14:paraId="725A41EA"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419" w:type="pct"/>
            <w:tcBorders>
              <w:bottom w:val="single" w:sz="2" w:space="0" w:color="000000" w:themeColor="text1"/>
            </w:tcBorders>
            <w:shd w:val="clear" w:color="auto" w:fill="92D050"/>
            <w:vAlign w:val="center"/>
          </w:tcPr>
          <w:p w14:paraId="0B9F9257"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r>
      <w:tr w:rsidR="00760883" w:rsidRPr="00760883" w14:paraId="36D61309" w14:textId="77777777" w:rsidTr="00760883">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Pr>
          <w:p w14:paraId="23CD33D1" w14:textId="77777777" w:rsidR="00760883" w:rsidRPr="00760883" w:rsidRDefault="00760883" w:rsidP="00760883">
            <w:pPr>
              <w:keepLines/>
              <w:spacing w:before="40" w:after="40" w:line="200" w:lineRule="atLeast"/>
              <w:rPr>
                <w:rFonts w:asciiTheme="minorHAnsi" w:eastAsia="Times New Roman" w:hAnsiTheme="minorHAnsi"/>
                <w:iCs/>
                <w:color w:val="000000" w:themeColor="text1"/>
                <w:szCs w:val="17"/>
                <w:lang w:eastAsia="en-US"/>
              </w:rPr>
            </w:pPr>
            <w:r w:rsidRPr="00760883">
              <w:rPr>
                <w:rFonts w:asciiTheme="minorHAnsi" w:eastAsia="Times New Roman" w:hAnsiTheme="minorHAnsi"/>
                <w:iCs/>
                <w:color w:val="000000" w:themeColor="text1"/>
                <w:szCs w:val="17"/>
                <w:lang w:eastAsia="en-US"/>
              </w:rPr>
              <w:t>INK042 Cao Lanh</w:t>
            </w:r>
            <w:r>
              <w:rPr>
                <w:rFonts w:asciiTheme="minorHAnsi" w:eastAsia="Times New Roman" w:hAnsiTheme="minorHAnsi"/>
                <w:iCs/>
                <w:color w:val="000000" w:themeColor="text1"/>
                <w:szCs w:val="17"/>
                <w:lang w:eastAsia="en-US"/>
              </w:rPr>
              <w:t xml:space="preserve"> Bridge</w:t>
            </w:r>
            <w:r w:rsidRPr="00760883">
              <w:rPr>
                <w:rFonts w:asciiTheme="minorHAnsi" w:eastAsia="Times New Roman" w:hAnsiTheme="minorHAnsi"/>
                <w:iCs/>
                <w:color w:val="000000" w:themeColor="text1"/>
                <w:szCs w:val="17"/>
                <w:lang w:eastAsia="en-US"/>
              </w:rPr>
              <w:t xml:space="preserve"> M&amp;E – social dev, diplomacy and civil work</w:t>
            </w:r>
          </w:p>
        </w:tc>
        <w:tc>
          <w:tcPr>
            <w:tcW w:w="659" w:type="pct"/>
            <w:vMerge w:val="restart"/>
          </w:tcPr>
          <w:p w14:paraId="1249B11F" w14:textId="77777777" w:rsidR="00760883" w:rsidRPr="00760883" w:rsidRDefault="00760883" w:rsidP="00760883">
            <w:pPr>
              <w:keepLines/>
              <w:spacing w:before="40" w:after="40" w:line="200" w:lineRule="atLeast"/>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w:t>
            </w:r>
            <w:r w:rsidRPr="00760883">
              <w:rPr>
                <w:rFonts w:asciiTheme="minorHAnsi" w:eastAsia="Times New Roman" w:hAnsiTheme="minorHAnsi"/>
                <w:iCs/>
                <w:color w:val="000000" w:themeColor="text1"/>
                <w:szCs w:val="17"/>
                <w:lang w:eastAsia="en-US"/>
              </w:rPr>
              <w:t>130.20 million</w:t>
            </w:r>
          </w:p>
          <w:p w14:paraId="301C9DB9" w14:textId="77777777" w:rsidR="00760883" w:rsidRPr="00760883" w:rsidRDefault="00760883" w:rsidP="00760883">
            <w:pPr>
              <w:keepLines/>
              <w:spacing w:before="40" w:after="40" w:line="200" w:lineRule="atLeast"/>
              <w:rPr>
                <w:rFonts w:asciiTheme="minorHAnsi" w:eastAsia="Times New Roman" w:hAnsiTheme="minorHAnsi"/>
                <w:iCs/>
                <w:color w:val="000000" w:themeColor="text1"/>
                <w:szCs w:val="17"/>
                <w:lang w:eastAsia="en-US"/>
              </w:rPr>
            </w:pPr>
            <w:r w:rsidRPr="00760883">
              <w:rPr>
                <w:rFonts w:asciiTheme="minorHAnsi" w:eastAsia="Times New Roman" w:hAnsiTheme="minorHAnsi"/>
                <w:iCs/>
                <w:color w:val="000000" w:themeColor="text1"/>
                <w:szCs w:val="17"/>
                <w:lang w:eastAsia="en-US"/>
              </w:rPr>
              <w:t xml:space="preserve">2011-18 </w:t>
            </w:r>
          </w:p>
        </w:tc>
        <w:tc>
          <w:tcPr>
            <w:tcW w:w="416" w:type="pct"/>
          </w:tcPr>
          <w:p w14:paraId="54DB832B"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r w:rsidRPr="00760883">
              <w:rPr>
                <w:rFonts w:asciiTheme="minorHAnsi" w:eastAsia="Times New Roman" w:hAnsiTheme="minorHAnsi"/>
                <w:iCs/>
                <w:color w:val="000000" w:themeColor="text1"/>
                <w:szCs w:val="17"/>
                <w:lang w:eastAsia="en-US"/>
              </w:rPr>
              <w:t>2016 AQC</w:t>
            </w:r>
          </w:p>
        </w:tc>
        <w:tc>
          <w:tcPr>
            <w:tcW w:w="418" w:type="pct"/>
            <w:shd w:val="clear" w:color="auto" w:fill="92D050"/>
            <w:noWrap/>
            <w:vAlign w:val="center"/>
          </w:tcPr>
          <w:p w14:paraId="0443F4F9"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415" w:type="pct"/>
            <w:shd w:val="clear" w:color="auto" w:fill="92D050"/>
            <w:noWrap/>
            <w:vAlign w:val="center"/>
          </w:tcPr>
          <w:p w14:paraId="3E199A99"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391" w:type="pct"/>
            <w:shd w:val="clear" w:color="auto" w:fill="92D050"/>
            <w:noWrap/>
            <w:vAlign w:val="center"/>
          </w:tcPr>
          <w:p w14:paraId="774CA483"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6</w:t>
            </w:r>
          </w:p>
        </w:tc>
        <w:tc>
          <w:tcPr>
            <w:tcW w:w="422" w:type="pct"/>
            <w:shd w:val="clear" w:color="auto" w:fill="92D050"/>
            <w:noWrap/>
            <w:vAlign w:val="center"/>
          </w:tcPr>
          <w:p w14:paraId="525039FD"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425" w:type="pct"/>
            <w:shd w:val="clear" w:color="auto" w:fill="92D050"/>
            <w:noWrap/>
            <w:vAlign w:val="center"/>
          </w:tcPr>
          <w:p w14:paraId="6ACD7740"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422" w:type="pct"/>
            <w:shd w:val="clear" w:color="auto" w:fill="FFFF00"/>
            <w:noWrap/>
            <w:vAlign w:val="center"/>
          </w:tcPr>
          <w:p w14:paraId="6764B202"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4</w:t>
            </w:r>
          </w:p>
        </w:tc>
        <w:tc>
          <w:tcPr>
            <w:tcW w:w="419" w:type="pct"/>
            <w:shd w:val="clear" w:color="auto" w:fill="92D050"/>
            <w:vAlign w:val="center"/>
          </w:tcPr>
          <w:p w14:paraId="1D0DD5F6"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r>
      <w:tr w:rsidR="00760883" w:rsidRPr="00760883" w14:paraId="59D6C71E" w14:textId="77777777" w:rsidTr="00760883">
        <w:trPr>
          <w:cnfStyle w:val="000000010000" w:firstRow="0" w:lastRow="0" w:firstColumn="0" w:lastColumn="0" w:oddVBand="0" w:evenVBand="0" w:oddHBand="0" w:evenHBand="1" w:firstRowFirstColumn="0" w:firstRowLastColumn="0" w:lastRowFirstColumn="0" w:lastRowLastColumn="0"/>
          <w:trHeight w:val="284"/>
        </w:trPr>
        <w:tc>
          <w:tcPr>
            <w:tcW w:w="909" w:type="pct"/>
            <w:vMerge/>
          </w:tcPr>
          <w:p w14:paraId="4DA523D9"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p>
        </w:tc>
        <w:tc>
          <w:tcPr>
            <w:tcW w:w="659" w:type="pct"/>
            <w:vMerge/>
          </w:tcPr>
          <w:p w14:paraId="535D2508"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p>
        </w:tc>
        <w:tc>
          <w:tcPr>
            <w:tcW w:w="416" w:type="pct"/>
          </w:tcPr>
          <w:p w14:paraId="37627EA5"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r w:rsidRPr="00760883">
              <w:rPr>
                <w:rFonts w:asciiTheme="minorHAnsi" w:eastAsia="Times New Roman" w:hAnsiTheme="minorHAnsi"/>
                <w:iCs/>
                <w:color w:val="000000" w:themeColor="text1"/>
                <w:szCs w:val="17"/>
                <w:lang w:eastAsia="en-US"/>
              </w:rPr>
              <w:t>2015 AQC</w:t>
            </w:r>
          </w:p>
        </w:tc>
        <w:tc>
          <w:tcPr>
            <w:tcW w:w="418" w:type="pct"/>
            <w:shd w:val="clear" w:color="auto" w:fill="92D050"/>
            <w:noWrap/>
            <w:vAlign w:val="center"/>
          </w:tcPr>
          <w:p w14:paraId="58A15881"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6</w:t>
            </w:r>
          </w:p>
        </w:tc>
        <w:tc>
          <w:tcPr>
            <w:tcW w:w="415" w:type="pct"/>
            <w:shd w:val="clear" w:color="auto" w:fill="92D050"/>
            <w:noWrap/>
            <w:vAlign w:val="center"/>
          </w:tcPr>
          <w:p w14:paraId="40CD4187"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391" w:type="pct"/>
            <w:shd w:val="clear" w:color="auto" w:fill="92D050"/>
            <w:noWrap/>
            <w:vAlign w:val="center"/>
          </w:tcPr>
          <w:p w14:paraId="1D57AAC4"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6</w:t>
            </w:r>
          </w:p>
        </w:tc>
        <w:tc>
          <w:tcPr>
            <w:tcW w:w="422" w:type="pct"/>
            <w:shd w:val="clear" w:color="auto" w:fill="92D050"/>
            <w:noWrap/>
            <w:vAlign w:val="center"/>
          </w:tcPr>
          <w:p w14:paraId="473EE90F"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425" w:type="pct"/>
            <w:shd w:val="clear" w:color="auto" w:fill="92D050"/>
            <w:noWrap/>
            <w:vAlign w:val="center"/>
          </w:tcPr>
          <w:p w14:paraId="537FC5B5"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6</w:t>
            </w:r>
          </w:p>
        </w:tc>
        <w:tc>
          <w:tcPr>
            <w:tcW w:w="422" w:type="pct"/>
            <w:shd w:val="clear" w:color="auto" w:fill="92D050"/>
            <w:noWrap/>
            <w:vAlign w:val="center"/>
          </w:tcPr>
          <w:p w14:paraId="67D081C0"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419" w:type="pct"/>
            <w:shd w:val="clear" w:color="auto" w:fill="92D050"/>
            <w:vAlign w:val="center"/>
          </w:tcPr>
          <w:p w14:paraId="450E8A27"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r>
      <w:tr w:rsidR="00297C56" w:rsidRPr="00760883" w14:paraId="53A6142F" w14:textId="77777777" w:rsidTr="007418AF">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Borders>
              <w:top w:val="single" w:sz="2" w:space="0" w:color="000000" w:themeColor="text1"/>
            </w:tcBorders>
          </w:tcPr>
          <w:p w14:paraId="1FA1B8A5"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r w:rsidRPr="00760883">
              <w:rPr>
                <w:rFonts w:asciiTheme="minorHAnsi" w:eastAsia="Times New Roman" w:hAnsiTheme="minorHAnsi"/>
                <w:iCs/>
                <w:color w:val="000000" w:themeColor="text1"/>
                <w:szCs w:val="17"/>
                <w:lang w:eastAsia="en-US"/>
              </w:rPr>
              <w:t>INL354 Restructuring for more competitive Vietnam</w:t>
            </w:r>
          </w:p>
        </w:tc>
        <w:tc>
          <w:tcPr>
            <w:tcW w:w="659" w:type="pct"/>
            <w:vMerge w:val="restart"/>
            <w:tcBorders>
              <w:top w:val="single" w:sz="2" w:space="0" w:color="000000" w:themeColor="text1"/>
            </w:tcBorders>
          </w:tcPr>
          <w:p w14:paraId="1A355741"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w:t>
            </w:r>
            <w:r w:rsidRPr="00760883">
              <w:rPr>
                <w:rFonts w:asciiTheme="minorHAnsi" w:eastAsia="Times New Roman" w:hAnsiTheme="minorHAnsi"/>
                <w:iCs/>
                <w:color w:val="000000" w:themeColor="text1"/>
                <w:szCs w:val="17"/>
                <w:lang w:eastAsia="en-US"/>
              </w:rPr>
              <w:t>3.1 million</w:t>
            </w:r>
          </w:p>
          <w:p w14:paraId="0B610CC4"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2014-</w:t>
            </w:r>
            <w:r w:rsidRPr="00760883">
              <w:rPr>
                <w:rFonts w:asciiTheme="minorHAnsi" w:eastAsia="Times New Roman" w:hAnsiTheme="minorHAnsi"/>
                <w:iCs/>
                <w:color w:val="000000" w:themeColor="text1"/>
                <w:szCs w:val="17"/>
                <w:lang w:eastAsia="en-US"/>
              </w:rPr>
              <w:t>16</w:t>
            </w:r>
          </w:p>
        </w:tc>
        <w:tc>
          <w:tcPr>
            <w:tcW w:w="416" w:type="pct"/>
            <w:tcBorders>
              <w:top w:val="single" w:sz="2" w:space="0" w:color="000000" w:themeColor="text1"/>
            </w:tcBorders>
          </w:tcPr>
          <w:p w14:paraId="25337EDE"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r w:rsidRPr="00760883">
              <w:rPr>
                <w:rFonts w:asciiTheme="minorHAnsi" w:eastAsia="Times New Roman" w:hAnsiTheme="minorHAnsi"/>
                <w:iCs/>
                <w:color w:val="000000" w:themeColor="text1"/>
                <w:szCs w:val="17"/>
                <w:lang w:eastAsia="en-US"/>
              </w:rPr>
              <w:t>2016 AQC</w:t>
            </w:r>
          </w:p>
        </w:tc>
        <w:tc>
          <w:tcPr>
            <w:tcW w:w="418" w:type="pct"/>
            <w:tcBorders>
              <w:top w:val="single" w:sz="2" w:space="0" w:color="000000" w:themeColor="text1"/>
            </w:tcBorders>
            <w:shd w:val="clear" w:color="auto" w:fill="92D050"/>
            <w:noWrap/>
            <w:vAlign w:val="center"/>
          </w:tcPr>
          <w:p w14:paraId="4396BEF3"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415" w:type="pct"/>
            <w:tcBorders>
              <w:top w:val="single" w:sz="2" w:space="0" w:color="000000" w:themeColor="text1"/>
            </w:tcBorders>
            <w:shd w:val="clear" w:color="auto" w:fill="92D050"/>
            <w:noWrap/>
            <w:vAlign w:val="center"/>
          </w:tcPr>
          <w:p w14:paraId="092841E1"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391" w:type="pct"/>
            <w:tcBorders>
              <w:top w:val="single" w:sz="2" w:space="0" w:color="000000" w:themeColor="text1"/>
            </w:tcBorders>
            <w:shd w:val="clear" w:color="auto" w:fill="92D050"/>
            <w:noWrap/>
            <w:vAlign w:val="center"/>
          </w:tcPr>
          <w:p w14:paraId="687400CB"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422" w:type="pct"/>
            <w:tcBorders>
              <w:top w:val="single" w:sz="2" w:space="0" w:color="000000" w:themeColor="text1"/>
            </w:tcBorders>
            <w:shd w:val="clear" w:color="auto" w:fill="FF6600"/>
            <w:noWrap/>
            <w:vAlign w:val="center"/>
          </w:tcPr>
          <w:p w14:paraId="454F6475" w14:textId="50582AAF" w:rsidR="00760883" w:rsidRPr="00760883" w:rsidRDefault="007418AF" w:rsidP="00760883">
            <w:pPr>
              <w:jc w:val="center"/>
              <w:rPr>
                <w:rFonts w:asciiTheme="minorHAnsi" w:hAnsiTheme="minorHAnsi" w:cs="Arial"/>
                <w:bCs/>
                <w:color w:val="000000" w:themeColor="text1"/>
                <w:szCs w:val="17"/>
              </w:rPr>
            </w:pPr>
            <w:r>
              <w:rPr>
                <w:rFonts w:asciiTheme="minorHAnsi" w:hAnsiTheme="minorHAnsi" w:cs="Arial"/>
                <w:bCs/>
                <w:color w:val="000000" w:themeColor="text1"/>
                <w:szCs w:val="17"/>
              </w:rPr>
              <w:t>3</w:t>
            </w:r>
          </w:p>
        </w:tc>
        <w:tc>
          <w:tcPr>
            <w:tcW w:w="425" w:type="pct"/>
            <w:tcBorders>
              <w:top w:val="single" w:sz="2" w:space="0" w:color="000000" w:themeColor="text1"/>
            </w:tcBorders>
            <w:shd w:val="clear" w:color="auto" w:fill="92D050"/>
            <w:noWrap/>
            <w:vAlign w:val="center"/>
          </w:tcPr>
          <w:p w14:paraId="11CDA7E3"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422" w:type="pct"/>
            <w:tcBorders>
              <w:top w:val="single" w:sz="2" w:space="0" w:color="000000" w:themeColor="text1"/>
            </w:tcBorders>
            <w:shd w:val="clear" w:color="auto" w:fill="FFFF00"/>
            <w:noWrap/>
            <w:vAlign w:val="center"/>
          </w:tcPr>
          <w:p w14:paraId="19AE589A"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4</w:t>
            </w:r>
          </w:p>
        </w:tc>
        <w:tc>
          <w:tcPr>
            <w:tcW w:w="419" w:type="pct"/>
            <w:tcBorders>
              <w:top w:val="single" w:sz="2" w:space="0" w:color="000000" w:themeColor="text1"/>
            </w:tcBorders>
            <w:shd w:val="clear" w:color="auto" w:fill="FFFF00"/>
            <w:vAlign w:val="center"/>
          </w:tcPr>
          <w:p w14:paraId="5089DB12"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4</w:t>
            </w:r>
          </w:p>
        </w:tc>
      </w:tr>
      <w:tr w:rsidR="00760883" w:rsidRPr="00760883" w14:paraId="75F6F2B9" w14:textId="77777777" w:rsidTr="009C18B5">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2" w:space="0" w:color="000000" w:themeColor="text1"/>
            </w:tcBorders>
          </w:tcPr>
          <w:p w14:paraId="25613654"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p>
        </w:tc>
        <w:tc>
          <w:tcPr>
            <w:tcW w:w="659" w:type="pct"/>
            <w:vMerge/>
            <w:tcBorders>
              <w:bottom w:val="single" w:sz="2" w:space="0" w:color="000000" w:themeColor="text1"/>
            </w:tcBorders>
          </w:tcPr>
          <w:p w14:paraId="1D6DF388"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p>
        </w:tc>
        <w:tc>
          <w:tcPr>
            <w:tcW w:w="416" w:type="pct"/>
            <w:tcBorders>
              <w:bottom w:val="single" w:sz="2" w:space="0" w:color="000000" w:themeColor="text1"/>
            </w:tcBorders>
          </w:tcPr>
          <w:p w14:paraId="1E247908"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r w:rsidRPr="00760883">
              <w:rPr>
                <w:rFonts w:asciiTheme="minorHAnsi" w:eastAsia="Times New Roman" w:hAnsiTheme="minorHAnsi"/>
                <w:iCs/>
                <w:color w:val="000000" w:themeColor="text1"/>
                <w:szCs w:val="17"/>
                <w:lang w:eastAsia="en-US"/>
              </w:rPr>
              <w:t>2015 AQC</w:t>
            </w:r>
          </w:p>
        </w:tc>
        <w:tc>
          <w:tcPr>
            <w:tcW w:w="418" w:type="pct"/>
            <w:tcBorders>
              <w:bottom w:val="single" w:sz="2" w:space="0" w:color="000000" w:themeColor="text1"/>
            </w:tcBorders>
            <w:shd w:val="clear" w:color="auto" w:fill="92D050"/>
            <w:noWrap/>
            <w:vAlign w:val="center"/>
          </w:tcPr>
          <w:p w14:paraId="7843EC76"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6</w:t>
            </w:r>
          </w:p>
        </w:tc>
        <w:tc>
          <w:tcPr>
            <w:tcW w:w="415" w:type="pct"/>
            <w:tcBorders>
              <w:bottom w:val="single" w:sz="2" w:space="0" w:color="000000" w:themeColor="text1"/>
            </w:tcBorders>
            <w:shd w:val="clear" w:color="auto" w:fill="92D050"/>
            <w:noWrap/>
            <w:vAlign w:val="center"/>
          </w:tcPr>
          <w:p w14:paraId="60D372C9"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391" w:type="pct"/>
            <w:tcBorders>
              <w:bottom w:val="single" w:sz="2" w:space="0" w:color="000000" w:themeColor="text1"/>
            </w:tcBorders>
            <w:shd w:val="clear" w:color="auto" w:fill="92D050"/>
            <w:noWrap/>
            <w:vAlign w:val="center"/>
          </w:tcPr>
          <w:p w14:paraId="2AE7760B"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422" w:type="pct"/>
            <w:tcBorders>
              <w:bottom w:val="single" w:sz="2" w:space="0" w:color="000000" w:themeColor="text1"/>
            </w:tcBorders>
            <w:shd w:val="clear" w:color="auto" w:fill="FFFF00"/>
            <w:noWrap/>
            <w:vAlign w:val="center"/>
          </w:tcPr>
          <w:p w14:paraId="0CA8427D"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4</w:t>
            </w:r>
          </w:p>
        </w:tc>
        <w:tc>
          <w:tcPr>
            <w:tcW w:w="425" w:type="pct"/>
            <w:tcBorders>
              <w:bottom w:val="single" w:sz="2" w:space="0" w:color="000000" w:themeColor="text1"/>
            </w:tcBorders>
            <w:shd w:val="clear" w:color="auto" w:fill="92D050"/>
            <w:noWrap/>
            <w:vAlign w:val="center"/>
          </w:tcPr>
          <w:p w14:paraId="2E0B7B9F"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6</w:t>
            </w:r>
          </w:p>
        </w:tc>
        <w:tc>
          <w:tcPr>
            <w:tcW w:w="422" w:type="pct"/>
            <w:tcBorders>
              <w:bottom w:val="single" w:sz="2" w:space="0" w:color="000000" w:themeColor="text1"/>
            </w:tcBorders>
            <w:shd w:val="clear" w:color="auto" w:fill="FF6600"/>
            <w:noWrap/>
            <w:vAlign w:val="center"/>
          </w:tcPr>
          <w:p w14:paraId="09923DCF"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3</w:t>
            </w:r>
          </w:p>
        </w:tc>
        <w:tc>
          <w:tcPr>
            <w:tcW w:w="419" w:type="pct"/>
            <w:tcBorders>
              <w:bottom w:val="single" w:sz="2" w:space="0" w:color="000000" w:themeColor="text1"/>
            </w:tcBorders>
            <w:shd w:val="clear" w:color="auto" w:fill="FFFF00"/>
            <w:vAlign w:val="center"/>
          </w:tcPr>
          <w:p w14:paraId="4A59E6C5"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4</w:t>
            </w:r>
          </w:p>
        </w:tc>
      </w:tr>
      <w:tr w:rsidR="00760883" w:rsidRPr="00760883" w14:paraId="4F78637C" w14:textId="77777777" w:rsidTr="006E6AB9">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Pr>
          <w:p w14:paraId="1DCA9746"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rPr>
            </w:pPr>
            <w:r w:rsidRPr="00760883">
              <w:rPr>
                <w:rFonts w:asciiTheme="minorHAnsi" w:eastAsia="Times New Roman" w:hAnsiTheme="minorHAnsi"/>
                <w:iCs/>
                <w:color w:val="000000" w:themeColor="text1"/>
                <w:szCs w:val="17"/>
              </w:rPr>
              <w:t>INJ577 Integrated Coastal Management program</w:t>
            </w:r>
          </w:p>
        </w:tc>
        <w:tc>
          <w:tcPr>
            <w:tcW w:w="659" w:type="pct"/>
            <w:vMerge w:val="restart"/>
          </w:tcPr>
          <w:p w14:paraId="001A19D9"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w:t>
            </w:r>
            <w:r w:rsidRPr="00760883">
              <w:rPr>
                <w:rFonts w:asciiTheme="minorHAnsi" w:eastAsia="Times New Roman" w:hAnsiTheme="minorHAnsi"/>
                <w:iCs/>
                <w:color w:val="000000" w:themeColor="text1"/>
                <w:szCs w:val="17"/>
                <w:lang w:eastAsia="en-US"/>
              </w:rPr>
              <w:t>16.56 million</w:t>
            </w:r>
          </w:p>
          <w:p w14:paraId="045E3CE7" w14:textId="77777777" w:rsidR="00760883" w:rsidRPr="00760883" w:rsidRDefault="00760883" w:rsidP="00760883">
            <w:pPr>
              <w:keepLines/>
              <w:spacing w:before="40" w:after="40" w:line="200" w:lineRule="atLeast"/>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2011</w:t>
            </w:r>
            <w:r w:rsidRPr="00760883">
              <w:rPr>
                <w:rFonts w:asciiTheme="minorHAnsi" w:eastAsia="Times New Roman" w:hAnsiTheme="minorHAnsi"/>
                <w:iCs/>
                <w:color w:val="000000" w:themeColor="text1"/>
                <w:szCs w:val="17"/>
                <w:lang w:eastAsia="en-US"/>
              </w:rPr>
              <w:t>-17</w:t>
            </w:r>
          </w:p>
        </w:tc>
        <w:tc>
          <w:tcPr>
            <w:tcW w:w="416" w:type="pct"/>
          </w:tcPr>
          <w:p w14:paraId="2E531DB2"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r w:rsidRPr="00760883">
              <w:rPr>
                <w:rFonts w:asciiTheme="minorHAnsi" w:eastAsia="Times New Roman" w:hAnsiTheme="minorHAnsi"/>
                <w:iCs/>
                <w:color w:val="000000" w:themeColor="text1"/>
                <w:szCs w:val="17"/>
                <w:lang w:eastAsia="en-US"/>
              </w:rPr>
              <w:t>2016 AQC</w:t>
            </w:r>
          </w:p>
        </w:tc>
        <w:tc>
          <w:tcPr>
            <w:tcW w:w="418" w:type="pct"/>
            <w:shd w:val="clear" w:color="auto" w:fill="92D050"/>
            <w:noWrap/>
            <w:vAlign w:val="center"/>
          </w:tcPr>
          <w:p w14:paraId="45A70B38"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415" w:type="pct"/>
            <w:shd w:val="clear" w:color="auto" w:fill="92D050"/>
            <w:noWrap/>
            <w:vAlign w:val="center"/>
          </w:tcPr>
          <w:p w14:paraId="346636ED"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391" w:type="pct"/>
            <w:shd w:val="clear" w:color="auto" w:fill="92D050"/>
            <w:noWrap/>
            <w:vAlign w:val="center"/>
          </w:tcPr>
          <w:p w14:paraId="50560082"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422" w:type="pct"/>
            <w:shd w:val="clear" w:color="auto" w:fill="92D050"/>
            <w:noWrap/>
            <w:vAlign w:val="center"/>
          </w:tcPr>
          <w:p w14:paraId="0E5E4FF9"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425" w:type="pct"/>
            <w:shd w:val="clear" w:color="auto" w:fill="92D050"/>
            <w:noWrap/>
            <w:vAlign w:val="center"/>
          </w:tcPr>
          <w:p w14:paraId="532EC7A4"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422" w:type="pct"/>
            <w:shd w:val="clear" w:color="auto" w:fill="FFFF00"/>
            <w:noWrap/>
            <w:vAlign w:val="center"/>
          </w:tcPr>
          <w:p w14:paraId="44ADC3A8"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4</w:t>
            </w:r>
          </w:p>
        </w:tc>
        <w:tc>
          <w:tcPr>
            <w:tcW w:w="419" w:type="pct"/>
            <w:shd w:val="clear" w:color="auto" w:fill="92D050"/>
            <w:vAlign w:val="center"/>
          </w:tcPr>
          <w:p w14:paraId="5937DF25"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r>
      <w:tr w:rsidR="00760883" w:rsidRPr="00760883" w14:paraId="681CD858" w14:textId="77777777" w:rsidTr="006E6AB9">
        <w:trPr>
          <w:cnfStyle w:val="000000010000" w:firstRow="0" w:lastRow="0" w:firstColumn="0" w:lastColumn="0" w:oddVBand="0" w:evenVBand="0" w:oddHBand="0" w:evenHBand="1" w:firstRowFirstColumn="0" w:firstRowLastColumn="0" w:lastRowFirstColumn="0" w:lastRowLastColumn="0"/>
          <w:trHeight w:val="284"/>
        </w:trPr>
        <w:tc>
          <w:tcPr>
            <w:tcW w:w="909" w:type="pct"/>
            <w:vMerge/>
          </w:tcPr>
          <w:p w14:paraId="588D6C1B"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rPr>
            </w:pPr>
          </w:p>
        </w:tc>
        <w:tc>
          <w:tcPr>
            <w:tcW w:w="659" w:type="pct"/>
            <w:vMerge/>
          </w:tcPr>
          <w:p w14:paraId="44791C67"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p>
        </w:tc>
        <w:tc>
          <w:tcPr>
            <w:tcW w:w="416" w:type="pct"/>
          </w:tcPr>
          <w:p w14:paraId="75437807"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r w:rsidRPr="00760883">
              <w:rPr>
                <w:rFonts w:asciiTheme="minorHAnsi" w:eastAsia="Times New Roman" w:hAnsiTheme="minorHAnsi"/>
                <w:iCs/>
                <w:color w:val="000000" w:themeColor="text1"/>
                <w:szCs w:val="17"/>
                <w:lang w:eastAsia="en-US"/>
              </w:rPr>
              <w:t>2015 AQC</w:t>
            </w:r>
          </w:p>
        </w:tc>
        <w:tc>
          <w:tcPr>
            <w:tcW w:w="418" w:type="pct"/>
            <w:shd w:val="clear" w:color="auto" w:fill="92D050"/>
            <w:noWrap/>
            <w:vAlign w:val="center"/>
          </w:tcPr>
          <w:p w14:paraId="386091DD"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6</w:t>
            </w:r>
          </w:p>
        </w:tc>
        <w:tc>
          <w:tcPr>
            <w:tcW w:w="415" w:type="pct"/>
            <w:shd w:val="clear" w:color="auto" w:fill="92D050"/>
            <w:noWrap/>
            <w:vAlign w:val="center"/>
          </w:tcPr>
          <w:p w14:paraId="6BC8A5B9"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391" w:type="pct"/>
            <w:shd w:val="clear" w:color="auto" w:fill="92D050"/>
            <w:noWrap/>
            <w:vAlign w:val="center"/>
          </w:tcPr>
          <w:p w14:paraId="0B8A8D44"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422" w:type="pct"/>
            <w:shd w:val="clear" w:color="auto" w:fill="92D050"/>
            <w:noWrap/>
            <w:vAlign w:val="center"/>
          </w:tcPr>
          <w:p w14:paraId="5D5A2246"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425" w:type="pct"/>
            <w:shd w:val="clear" w:color="auto" w:fill="92D050"/>
            <w:noWrap/>
            <w:vAlign w:val="center"/>
          </w:tcPr>
          <w:p w14:paraId="65E1B696"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422" w:type="pct"/>
            <w:shd w:val="clear" w:color="auto" w:fill="FFFF00"/>
            <w:noWrap/>
            <w:vAlign w:val="center"/>
          </w:tcPr>
          <w:p w14:paraId="1F268C8F"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4</w:t>
            </w:r>
          </w:p>
        </w:tc>
        <w:tc>
          <w:tcPr>
            <w:tcW w:w="419" w:type="pct"/>
            <w:shd w:val="clear" w:color="auto" w:fill="92D050"/>
            <w:vAlign w:val="center"/>
          </w:tcPr>
          <w:p w14:paraId="24EB0B4A"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r>
      <w:tr w:rsidR="00760883" w:rsidRPr="00760883" w14:paraId="50C580FD" w14:textId="77777777" w:rsidTr="009C18B5">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Borders>
              <w:top w:val="single" w:sz="2" w:space="0" w:color="000000" w:themeColor="text1"/>
            </w:tcBorders>
          </w:tcPr>
          <w:p w14:paraId="35A4863B"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rPr>
            </w:pPr>
            <w:r w:rsidRPr="00760883">
              <w:rPr>
                <w:rFonts w:asciiTheme="minorHAnsi" w:eastAsia="Times New Roman" w:hAnsiTheme="minorHAnsi"/>
                <w:iCs/>
                <w:color w:val="000000" w:themeColor="text1"/>
                <w:szCs w:val="17"/>
              </w:rPr>
              <w:t>INL081 Climate Change Innovation Centre</w:t>
            </w:r>
          </w:p>
        </w:tc>
        <w:tc>
          <w:tcPr>
            <w:tcW w:w="659" w:type="pct"/>
            <w:vMerge w:val="restart"/>
            <w:tcBorders>
              <w:top w:val="single" w:sz="2" w:space="0" w:color="000000" w:themeColor="text1"/>
            </w:tcBorders>
          </w:tcPr>
          <w:p w14:paraId="03BE4C3F"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w:t>
            </w:r>
            <w:r w:rsidRPr="00760883">
              <w:rPr>
                <w:rFonts w:asciiTheme="minorHAnsi" w:eastAsia="Times New Roman" w:hAnsiTheme="minorHAnsi"/>
                <w:iCs/>
                <w:color w:val="000000" w:themeColor="text1"/>
                <w:szCs w:val="17"/>
                <w:lang w:eastAsia="en-US"/>
              </w:rPr>
              <w:t>5.70 million</w:t>
            </w:r>
          </w:p>
          <w:p w14:paraId="367FB2F4"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r w:rsidRPr="00760883">
              <w:rPr>
                <w:rFonts w:asciiTheme="minorHAnsi" w:eastAsia="Times New Roman" w:hAnsiTheme="minorHAnsi"/>
                <w:iCs/>
                <w:color w:val="000000" w:themeColor="text1"/>
                <w:szCs w:val="17"/>
                <w:lang w:eastAsia="en-US"/>
              </w:rPr>
              <w:t>2013-18</w:t>
            </w:r>
          </w:p>
        </w:tc>
        <w:tc>
          <w:tcPr>
            <w:tcW w:w="416" w:type="pct"/>
            <w:tcBorders>
              <w:top w:val="single" w:sz="2" w:space="0" w:color="000000" w:themeColor="text1"/>
            </w:tcBorders>
          </w:tcPr>
          <w:p w14:paraId="5C00F89B"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r w:rsidRPr="00760883">
              <w:rPr>
                <w:rFonts w:asciiTheme="minorHAnsi" w:eastAsia="Times New Roman" w:hAnsiTheme="minorHAnsi"/>
                <w:iCs/>
                <w:color w:val="000000" w:themeColor="text1"/>
                <w:szCs w:val="17"/>
                <w:lang w:eastAsia="en-US"/>
              </w:rPr>
              <w:t>2016 AQC</w:t>
            </w:r>
          </w:p>
        </w:tc>
        <w:tc>
          <w:tcPr>
            <w:tcW w:w="418" w:type="pct"/>
            <w:tcBorders>
              <w:top w:val="single" w:sz="2" w:space="0" w:color="000000" w:themeColor="text1"/>
            </w:tcBorders>
            <w:shd w:val="clear" w:color="auto" w:fill="92D050"/>
            <w:noWrap/>
            <w:vAlign w:val="center"/>
          </w:tcPr>
          <w:p w14:paraId="2C4E3477"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415" w:type="pct"/>
            <w:tcBorders>
              <w:top w:val="single" w:sz="2" w:space="0" w:color="000000" w:themeColor="text1"/>
            </w:tcBorders>
            <w:shd w:val="clear" w:color="auto" w:fill="FFFF00"/>
            <w:noWrap/>
            <w:vAlign w:val="center"/>
          </w:tcPr>
          <w:p w14:paraId="4F3F911F"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4</w:t>
            </w:r>
          </w:p>
        </w:tc>
        <w:tc>
          <w:tcPr>
            <w:tcW w:w="391" w:type="pct"/>
            <w:tcBorders>
              <w:top w:val="single" w:sz="2" w:space="0" w:color="000000" w:themeColor="text1"/>
            </w:tcBorders>
            <w:shd w:val="clear" w:color="auto" w:fill="FF6600"/>
            <w:noWrap/>
            <w:vAlign w:val="center"/>
          </w:tcPr>
          <w:p w14:paraId="54AF2E93"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3</w:t>
            </w:r>
          </w:p>
        </w:tc>
        <w:tc>
          <w:tcPr>
            <w:tcW w:w="422" w:type="pct"/>
            <w:tcBorders>
              <w:top w:val="single" w:sz="2" w:space="0" w:color="000000" w:themeColor="text1"/>
            </w:tcBorders>
            <w:shd w:val="clear" w:color="auto" w:fill="FFFF00"/>
            <w:noWrap/>
            <w:vAlign w:val="center"/>
          </w:tcPr>
          <w:p w14:paraId="5F9A8ED9"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4</w:t>
            </w:r>
          </w:p>
        </w:tc>
        <w:tc>
          <w:tcPr>
            <w:tcW w:w="425" w:type="pct"/>
            <w:tcBorders>
              <w:top w:val="single" w:sz="2" w:space="0" w:color="000000" w:themeColor="text1"/>
            </w:tcBorders>
            <w:shd w:val="clear" w:color="auto" w:fill="FFFF00"/>
            <w:noWrap/>
            <w:vAlign w:val="center"/>
          </w:tcPr>
          <w:p w14:paraId="476705AE"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4</w:t>
            </w:r>
          </w:p>
        </w:tc>
        <w:tc>
          <w:tcPr>
            <w:tcW w:w="422" w:type="pct"/>
            <w:tcBorders>
              <w:top w:val="single" w:sz="2" w:space="0" w:color="000000" w:themeColor="text1"/>
            </w:tcBorders>
            <w:shd w:val="clear" w:color="auto" w:fill="FF6600"/>
            <w:noWrap/>
            <w:vAlign w:val="center"/>
          </w:tcPr>
          <w:p w14:paraId="5651BECC"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3</w:t>
            </w:r>
          </w:p>
        </w:tc>
        <w:tc>
          <w:tcPr>
            <w:tcW w:w="419" w:type="pct"/>
            <w:tcBorders>
              <w:top w:val="single" w:sz="2" w:space="0" w:color="000000" w:themeColor="text1"/>
            </w:tcBorders>
            <w:shd w:val="clear" w:color="auto" w:fill="FFFF00"/>
            <w:vAlign w:val="center"/>
          </w:tcPr>
          <w:p w14:paraId="1911891B"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4</w:t>
            </w:r>
          </w:p>
        </w:tc>
      </w:tr>
      <w:tr w:rsidR="00760883" w:rsidRPr="00760883" w14:paraId="280D58C2" w14:textId="77777777" w:rsidTr="009C18B5">
        <w:trPr>
          <w:cnfStyle w:val="000000010000" w:firstRow="0" w:lastRow="0" w:firstColumn="0" w:lastColumn="0" w:oddVBand="0" w:evenVBand="0" w:oddHBand="0" w:evenHBand="1" w:firstRowFirstColumn="0" w:firstRowLastColumn="0" w:lastRowFirstColumn="0" w:lastRowLastColumn="0"/>
          <w:trHeight w:val="284"/>
        </w:trPr>
        <w:tc>
          <w:tcPr>
            <w:tcW w:w="909" w:type="pct"/>
            <w:vMerge/>
          </w:tcPr>
          <w:p w14:paraId="43F23BE2"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rPr>
            </w:pPr>
          </w:p>
        </w:tc>
        <w:tc>
          <w:tcPr>
            <w:tcW w:w="659" w:type="pct"/>
            <w:vMerge/>
          </w:tcPr>
          <w:p w14:paraId="3EF01C00"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rPr>
            </w:pPr>
          </w:p>
        </w:tc>
        <w:tc>
          <w:tcPr>
            <w:tcW w:w="416" w:type="pct"/>
          </w:tcPr>
          <w:p w14:paraId="1C6F101B" w14:textId="77777777" w:rsidR="00760883" w:rsidRPr="00760883" w:rsidRDefault="00760883" w:rsidP="006E6AB9">
            <w:pPr>
              <w:keepLines/>
              <w:spacing w:before="40" w:after="40" w:line="200" w:lineRule="atLeast"/>
              <w:rPr>
                <w:rFonts w:asciiTheme="minorHAnsi" w:eastAsia="Times New Roman" w:hAnsiTheme="minorHAnsi"/>
                <w:iCs/>
                <w:color w:val="000000" w:themeColor="text1"/>
                <w:szCs w:val="17"/>
                <w:lang w:eastAsia="en-US"/>
              </w:rPr>
            </w:pPr>
            <w:r w:rsidRPr="00760883">
              <w:rPr>
                <w:rFonts w:asciiTheme="minorHAnsi" w:eastAsia="Times New Roman" w:hAnsiTheme="minorHAnsi"/>
                <w:iCs/>
                <w:color w:val="000000" w:themeColor="text1"/>
                <w:szCs w:val="17"/>
                <w:lang w:eastAsia="en-US"/>
              </w:rPr>
              <w:t>2015 AQC</w:t>
            </w:r>
          </w:p>
        </w:tc>
        <w:tc>
          <w:tcPr>
            <w:tcW w:w="418" w:type="pct"/>
            <w:shd w:val="clear" w:color="auto" w:fill="92D050"/>
            <w:noWrap/>
            <w:vAlign w:val="center"/>
          </w:tcPr>
          <w:p w14:paraId="6BC9A90F"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6</w:t>
            </w:r>
          </w:p>
        </w:tc>
        <w:tc>
          <w:tcPr>
            <w:tcW w:w="415" w:type="pct"/>
            <w:shd w:val="clear" w:color="auto" w:fill="FF6600"/>
            <w:noWrap/>
            <w:vAlign w:val="center"/>
          </w:tcPr>
          <w:p w14:paraId="326788B4"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3</w:t>
            </w:r>
          </w:p>
        </w:tc>
        <w:tc>
          <w:tcPr>
            <w:tcW w:w="391" w:type="pct"/>
            <w:shd w:val="clear" w:color="auto" w:fill="FF6600"/>
            <w:noWrap/>
            <w:vAlign w:val="center"/>
          </w:tcPr>
          <w:p w14:paraId="48F43CBA"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3</w:t>
            </w:r>
          </w:p>
        </w:tc>
        <w:tc>
          <w:tcPr>
            <w:tcW w:w="422" w:type="pct"/>
            <w:shd w:val="clear" w:color="auto" w:fill="FF6600"/>
            <w:noWrap/>
            <w:vAlign w:val="center"/>
          </w:tcPr>
          <w:p w14:paraId="5CCA9584"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3</w:t>
            </w:r>
          </w:p>
        </w:tc>
        <w:tc>
          <w:tcPr>
            <w:tcW w:w="425" w:type="pct"/>
            <w:shd w:val="clear" w:color="auto" w:fill="92D050"/>
            <w:noWrap/>
            <w:vAlign w:val="center"/>
          </w:tcPr>
          <w:p w14:paraId="62D6E302"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c>
          <w:tcPr>
            <w:tcW w:w="422" w:type="pct"/>
            <w:shd w:val="clear" w:color="auto" w:fill="FF6600"/>
            <w:noWrap/>
            <w:vAlign w:val="center"/>
          </w:tcPr>
          <w:p w14:paraId="68CFBFCE"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3</w:t>
            </w:r>
          </w:p>
        </w:tc>
        <w:tc>
          <w:tcPr>
            <w:tcW w:w="419" w:type="pct"/>
            <w:shd w:val="clear" w:color="auto" w:fill="92D050"/>
            <w:vAlign w:val="center"/>
          </w:tcPr>
          <w:p w14:paraId="04FE3A40" w14:textId="77777777" w:rsidR="00760883" w:rsidRPr="00760883" w:rsidRDefault="00760883" w:rsidP="00760883">
            <w:pPr>
              <w:jc w:val="center"/>
              <w:rPr>
                <w:rFonts w:asciiTheme="minorHAnsi" w:hAnsiTheme="minorHAnsi" w:cs="Arial"/>
                <w:bCs/>
                <w:color w:val="000000" w:themeColor="text1"/>
                <w:szCs w:val="17"/>
              </w:rPr>
            </w:pPr>
            <w:r w:rsidRPr="00760883">
              <w:rPr>
                <w:rFonts w:asciiTheme="minorHAnsi" w:hAnsiTheme="minorHAnsi" w:cs="Arial"/>
                <w:bCs/>
                <w:color w:val="000000" w:themeColor="text1"/>
                <w:szCs w:val="17"/>
              </w:rPr>
              <w:t>5</w:t>
            </w:r>
          </w:p>
        </w:tc>
      </w:tr>
    </w:tbl>
    <w:p w14:paraId="2312C419" w14:textId="77777777" w:rsidR="00400B0F" w:rsidRDefault="00400B0F" w:rsidP="00400B0F">
      <w:pPr>
        <w:keepNext/>
        <w:numPr>
          <w:ilvl w:val="2"/>
          <w:numId w:val="0"/>
        </w:numPr>
        <w:spacing w:before="240" w:after="120"/>
        <w:outlineLvl w:val="2"/>
        <w:rPr>
          <w:rFonts w:ascii="Helvetica" w:eastAsia="Times New Roman" w:hAnsi="Helvetica" w:cs="Arial"/>
          <w:b/>
          <w:color w:val="124486"/>
          <w:kern w:val="28"/>
          <w:lang w:eastAsia="zh-CN"/>
        </w:rPr>
      </w:pPr>
    </w:p>
    <w:p w14:paraId="21F9C0B6" w14:textId="77777777" w:rsidR="00400B0F" w:rsidRDefault="00400B0F" w:rsidP="00400B0F">
      <w:pPr>
        <w:keepNext/>
        <w:numPr>
          <w:ilvl w:val="2"/>
          <w:numId w:val="0"/>
        </w:numPr>
        <w:spacing w:before="240" w:after="120"/>
        <w:outlineLvl w:val="2"/>
        <w:rPr>
          <w:rFonts w:ascii="Helvetica" w:eastAsia="Times New Roman" w:hAnsi="Helvetica" w:cs="Arial"/>
          <w:b/>
          <w:color w:val="124486"/>
          <w:kern w:val="28"/>
          <w:lang w:eastAsia="zh-CN"/>
        </w:rPr>
      </w:pPr>
    </w:p>
    <w:p w14:paraId="0562C07D" w14:textId="77777777" w:rsidR="00A56F14" w:rsidRDefault="00A56F14" w:rsidP="00A56F14"/>
    <w:p w14:paraId="387F41FE" w14:textId="77777777" w:rsidR="00400B0F" w:rsidRDefault="00400B0F">
      <w:pPr>
        <w:suppressAutoHyphens w:val="0"/>
        <w:spacing w:before="0" w:after="120" w:line="440" w:lineRule="atLeast"/>
      </w:pPr>
      <w:r>
        <w:br w:type="page"/>
      </w:r>
    </w:p>
    <w:p w14:paraId="05138B2A" w14:textId="77777777" w:rsidR="00400B0F" w:rsidRDefault="00400B0F" w:rsidP="00400B0F">
      <w:pPr>
        <w:keepNext/>
        <w:numPr>
          <w:ilvl w:val="2"/>
          <w:numId w:val="0"/>
        </w:numPr>
        <w:spacing w:before="240" w:after="120"/>
        <w:outlineLvl w:val="2"/>
      </w:pPr>
      <w:r w:rsidRPr="00784031">
        <w:rPr>
          <w:rFonts w:asciiTheme="majorHAnsi" w:eastAsiaTheme="majorEastAsia" w:hAnsiTheme="majorHAnsi" w:cstheme="majorBidi"/>
          <w:caps/>
          <w:sz w:val="38"/>
          <w:szCs w:val="26"/>
        </w:rPr>
        <w:lastRenderedPageBreak/>
        <w:t>FAQC ratings</w:t>
      </w:r>
    </w:p>
    <w:tbl>
      <w:tblPr>
        <w:tblStyle w:val="APPR"/>
        <w:tblW w:w="5000" w:type="pct"/>
        <w:tblLook w:val="0000" w:firstRow="0" w:lastRow="0" w:firstColumn="0" w:lastColumn="0" w:noHBand="0" w:noVBand="0"/>
      </w:tblPr>
      <w:tblGrid>
        <w:gridCol w:w="2917"/>
        <w:gridCol w:w="1680"/>
        <w:gridCol w:w="1234"/>
        <w:gridCol w:w="1231"/>
        <w:gridCol w:w="1234"/>
        <w:gridCol w:w="1231"/>
        <w:gridCol w:w="1234"/>
        <w:gridCol w:w="1231"/>
        <w:gridCol w:w="1234"/>
        <w:gridCol w:w="1234"/>
      </w:tblGrid>
      <w:tr w:rsidR="001E6927" w:rsidRPr="009C18B5" w14:paraId="0CC958AE" w14:textId="77777777" w:rsidTr="006E6AB9">
        <w:trPr>
          <w:cnfStyle w:val="000000010000" w:firstRow="0" w:lastRow="0" w:firstColumn="0" w:lastColumn="0" w:oddVBand="0" w:evenVBand="0" w:oddHBand="0" w:evenHBand="1" w:firstRowFirstColumn="0" w:firstRowLastColumn="0" w:lastRowFirstColumn="0" w:lastRowLastColumn="0"/>
          <w:trHeight w:val="1505"/>
        </w:trPr>
        <w:tc>
          <w:tcPr>
            <w:tcW w:w="994" w:type="pct"/>
          </w:tcPr>
          <w:p w14:paraId="59CE6E39" w14:textId="77777777" w:rsidR="001E6927" w:rsidRPr="009C18B5" w:rsidRDefault="001E6927" w:rsidP="006E6AB9">
            <w:pPr>
              <w:keepLines/>
              <w:spacing w:before="80" w:after="80" w:line="200" w:lineRule="atLeast"/>
              <w:rPr>
                <w:rFonts w:asciiTheme="minorHAnsi" w:eastAsia="Times New Roman" w:hAnsiTheme="minorHAnsi"/>
                <w:b/>
                <w:iCs/>
                <w:color w:val="000000" w:themeColor="text1"/>
                <w:szCs w:val="17"/>
                <w:lang w:eastAsia="en-US"/>
              </w:rPr>
            </w:pPr>
            <w:r w:rsidRPr="009C18B5">
              <w:rPr>
                <w:rFonts w:eastAsia="Times New Roman"/>
                <w:b/>
                <w:iCs/>
                <w:noProof/>
                <w:color w:val="000000" w:themeColor="text1"/>
                <w:szCs w:val="17"/>
                <w:lang w:val="en-AU"/>
              </w:rPr>
              <w:drawing>
                <wp:anchor distT="0" distB="0" distL="114300" distR="114300" simplePos="0" relativeHeight="251683840" behindDoc="0" locked="0" layoutInCell="1" allowOverlap="1" wp14:anchorId="1BD9DE11" wp14:editId="1028F371">
                  <wp:simplePos x="0" y="0"/>
                  <wp:positionH relativeFrom="column">
                    <wp:posOffset>0</wp:posOffset>
                  </wp:positionH>
                  <wp:positionV relativeFrom="paragraph">
                    <wp:posOffset>0</wp:posOffset>
                  </wp:positionV>
                  <wp:extent cx="1857375" cy="228600"/>
                  <wp:effectExtent l="0" t="0" r="9525" b="0"/>
                  <wp:wrapNone/>
                  <wp:docPr id="6" name="Picture 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8B5">
              <w:rPr>
                <w:rFonts w:asciiTheme="minorHAnsi" w:eastAsia="Times New Roman" w:hAnsiTheme="minorHAnsi"/>
                <w:b/>
                <w:iCs/>
                <w:color w:val="000000" w:themeColor="text1"/>
                <w:szCs w:val="17"/>
                <w:lang w:eastAsia="en-US"/>
              </w:rPr>
              <w:t>Investment name</w:t>
            </w:r>
          </w:p>
        </w:tc>
        <w:tc>
          <w:tcPr>
            <w:tcW w:w="572" w:type="pct"/>
            <w:textDirection w:val="btLr"/>
          </w:tcPr>
          <w:p w14:paraId="5F6761BD" w14:textId="77777777" w:rsidR="001E6927" w:rsidRPr="009C18B5" w:rsidRDefault="001E6927" w:rsidP="006E6AB9">
            <w:pPr>
              <w:keepLines/>
              <w:spacing w:before="80" w:after="80" w:line="200" w:lineRule="atLeast"/>
              <w:rPr>
                <w:rFonts w:asciiTheme="minorHAnsi" w:eastAsia="Times New Roman" w:hAnsiTheme="minorHAnsi"/>
                <w:b/>
                <w:iCs/>
                <w:color w:val="000000" w:themeColor="text1"/>
                <w:szCs w:val="17"/>
                <w:lang w:eastAsia="en-US"/>
              </w:rPr>
            </w:pPr>
            <w:r w:rsidRPr="009C18B5">
              <w:rPr>
                <w:rFonts w:asciiTheme="minorHAnsi" w:eastAsia="Times New Roman" w:hAnsiTheme="minorHAnsi"/>
                <w:b/>
                <w:iCs/>
                <w:color w:val="000000" w:themeColor="text1"/>
                <w:szCs w:val="17"/>
                <w:lang w:eastAsia="en-US"/>
              </w:rPr>
              <w:t>Approved budget and duration</w:t>
            </w:r>
          </w:p>
        </w:tc>
        <w:tc>
          <w:tcPr>
            <w:tcW w:w="417" w:type="pct"/>
            <w:noWrap/>
            <w:textDirection w:val="btLr"/>
          </w:tcPr>
          <w:p w14:paraId="1C1D721E" w14:textId="77777777" w:rsidR="001E6927" w:rsidRPr="009C18B5" w:rsidRDefault="001E6927" w:rsidP="006E6AB9">
            <w:pPr>
              <w:keepLines/>
              <w:spacing w:before="80" w:after="80" w:line="200" w:lineRule="atLeast"/>
              <w:rPr>
                <w:rFonts w:asciiTheme="minorHAnsi" w:eastAsia="Times New Roman" w:hAnsiTheme="minorHAnsi"/>
                <w:b/>
                <w:iCs/>
                <w:color w:val="000000" w:themeColor="text1"/>
                <w:szCs w:val="17"/>
                <w:lang w:eastAsia="en-US"/>
              </w:rPr>
            </w:pPr>
            <w:r w:rsidRPr="009C18B5">
              <w:rPr>
                <w:rFonts w:asciiTheme="minorHAnsi" w:eastAsia="Times New Roman" w:hAnsiTheme="minorHAnsi"/>
                <w:b/>
                <w:iCs/>
                <w:color w:val="000000" w:themeColor="text1"/>
                <w:szCs w:val="17"/>
                <w:lang w:eastAsia="en-US"/>
              </w:rPr>
              <w:t>Overall rating</w:t>
            </w:r>
          </w:p>
        </w:tc>
        <w:tc>
          <w:tcPr>
            <w:tcW w:w="416" w:type="pct"/>
            <w:noWrap/>
            <w:textDirection w:val="btLr"/>
          </w:tcPr>
          <w:p w14:paraId="30AFB64D" w14:textId="77777777" w:rsidR="001E6927" w:rsidRPr="009C18B5" w:rsidRDefault="001E6927" w:rsidP="006E6AB9">
            <w:pPr>
              <w:keepLines/>
              <w:spacing w:before="80" w:after="80" w:line="200" w:lineRule="atLeast"/>
              <w:rPr>
                <w:rFonts w:asciiTheme="minorHAnsi" w:eastAsia="Times New Roman" w:hAnsiTheme="minorHAnsi"/>
                <w:b/>
                <w:iCs/>
                <w:color w:val="000000" w:themeColor="text1"/>
                <w:szCs w:val="17"/>
                <w:lang w:eastAsia="en-US"/>
              </w:rPr>
            </w:pPr>
            <w:r w:rsidRPr="009C18B5">
              <w:rPr>
                <w:rFonts w:asciiTheme="minorHAnsi" w:eastAsia="Times New Roman" w:hAnsiTheme="minorHAnsi"/>
                <w:b/>
                <w:iCs/>
                <w:color w:val="000000" w:themeColor="text1"/>
                <w:szCs w:val="17"/>
                <w:lang w:eastAsia="en-US"/>
              </w:rPr>
              <w:t>Relevance</w:t>
            </w:r>
          </w:p>
        </w:tc>
        <w:tc>
          <w:tcPr>
            <w:tcW w:w="417" w:type="pct"/>
            <w:noWrap/>
            <w:textDirection w:val="btLr"/>
          </w:tcPr>
          <w:p w14:paraId="5FF173CC" w14:textId="77777777" w:rsidR="001E6927" w:rsidRPr="009C18B5" w:rsidRDefault="001E6927" w:rsidP="006E6AB9">
            <w:pPr>
              <w:keepLines/>
              <w:spacing w:before="80" w:after="80" w:line="200" w:lineRule="atLeast"/>
              <w:rPr>
                <w:rFonts w:asciiTheme="minorHAnsi" w:eastAsia="Times New Roman" w:hAnsiTheme="minorHAnsi"/>
                <w:b/>
                <w:iCs/>
                <w:color w:val="000000" w:themeColor="text1"/>
                <w:szCs w:val="17"/>
                <w:lang w:eastAsia="en-US"/>
              </w:rPr>
            </w:pPr>
            <w:r w:rsidRPr="009C18B5">
              <w:rPr>
                <w:rFonts w:asciiTheme="minorHAnsi" w:eastAsia="Times New Roman" w:hAnsiTheme="minorHAnsi"/>
                <w:b/>
                <w:iCs/>
                <w:color w:val="000000" w:themeColor="text1"/>
                <w:szCs w:val="17"/>
                <w:lang w:eastAsia="en-US"/>
              </w:rPr>
              <w:t>Effectiveness</w:t>
            </w:r>
          </w:p>
        </w:tc>
        <w:tc>
          <w:tcPr>
            <w:tcW w:w="416" w:type="pct"/>
            <w:noWrap/>
            <w:textDirection w:val="btLr"/>
          </w:tcPr>
          <w:p w14:paraId="4CF4526B" w14:textId="77777777" w:rsidR="001E6927" w:rsidRPr="009C18B5" w:rsidRDefault="001E6927" w:rsidP="006E6AB9">
            <w:pPr>
              <w:keepLines/>
              <w:spacing w:before="80" w:after="80" w:line="200" w:lineRule="atLeast"/>
              <w:rPr>
                <w:rFonts w:asciiTheme="minorHAnsi" w:eastAsia="Times New Roman" w:hAnsiTheme="minorHAnsi"/>
                <w:b/>
                <w:iCs/>
                <w:color w:val="000000" w:themeColor="text1"/>
                <w:szCs w:val="17"/>
                <w:lang w:eastAsia="en-US"/>
              </w:rPr>
            </w:pPr>
            <w:r w:rsidRPr="009C18B5">
              <w:rPr>
                <w:rFonts w:asciiTheme="minorHAnsi" w:eastAsia="Times New Roman" w:hAnsiTheme="minorHAnsi"/>
                <w:b/>
                <w:iCs/>
                <w:color w:val="000000" w:themeColor="text1"/>
                <w:szCs w:val="17"/>
                <w:lang w:eastAsia="en-US"/>
              </w:rPr>
              <w:t>Efficiency</w:t>
            </w:r>
          </w:p>
        </w:tc>
        <w:tc>
          <w:tcPr>
            <w:tcW w:w="417" w:type="pct"/>
            <w:noWrap/>
            <w:textDirection w:val="btLr"/>
          </w:tcPr>
          <w:p w14:paraId="540AAFA2" w14:textId="77777777" w:rsidR="001E6927" w:rsidRPr="009C18B5" w:rsidRDefault="001E6927" w:rsidP="006E6AB9">
            <w:pPr>
              <w:keepLines/>
              <w:spacing w:before="80" w:after="80" w:line="200" w:lineRule="atLeast"/>
              <w:rPr>
                <w:rFonts w:asciiTheme="minorHAnsi" w:eastAsia="Times New Roman" w:hAnsiTheme="minorHAnsi"/>
                <w:b/>
                <w:iCs/>
                <w:color w:val="000000" w:themeColor="text1"/>
                <w:szCs w:val="17"/>
                <w:lang w:eastAsia="en-US"/>
              </w:rPr>
            </w:pPr>
            <w:r w:rsidRPr="009C18B5">
              <w:rPr>
                <w:rFonts w:asciiTheme="minorHAnsi" w:eastAsia="Times New Roman" w:hAnsiTheme="minorHAnsi"/>
                <w:b/>
                <w:iCs/>
                <w:color w:val="000000" w:themeColor="text1"/>
                <w:szCs w:val="17"/>
                <w:lang w:eastAsia="en-US"/>
              </w:rPr>
              <w:t>Monitoring and Evaluation</w:t>
            </w:r>
          </w:p>
        </w:tc>
        <w:tc>
          <w:tcPr>
            <w:tcW w:w="416" w:type="pct"/>
            <w:noWrap/>
            <w:textDirection w:val="btLr"/>
          </w:tcPr>
          <w:p w14:paraId="3900AEBF" w14:textId="77777777" w:rsidR="001E6927" w:rsidRPr="009C18B5" w:rsidRDefault="001E6927" w:rsidP="006E6AB9">
            <w:pPr>
              <w:keepLines/>
              <w:spacing w:before="80" w:after="80" w:line="200" w:lineRule="atLeast"/>
              <w:rPr>
                <w:rFonts w:asciiTheme="minorHAnsi" w:eastAsia="Times New Roman" w:hAnsiTheme="minorHAnsi"/>
                <w:b/>
                <w:iCs/>
                <w:color w:val="000000" w:themeColor="text1"/>
                <w:szCs w:val="17"/>
                <w:lang w:eastAsia="en-US"/>
              </w:rPr>
            </w:pPr>
            <w:r w:rsidRPr="009C18B5">
              <w:rPr>
                <w:rFonts w:asciiTheme="minorHAnsi" w:eastAsia="Times New Roman" w:hAnsiTheme="minorHAnsi"/>
                <w:b/>
                <w:iCs/>
                <w:color w:val="000000" w:themeColor="text1"/>
                <w:szCs w:val="17"/>
                <w:lang w:eastAsia="en-US"/>
              </w:rPr>
              <w:t>Sustainability</w:t>
            </w:r>
          </w:p>
        </w:tc>
        <w:tc>
          <w:tcPr>
            <w:tcW w:w="417" w:type="pct"/>
            <w:textDirection w:val="btLr"/>
          </w:tcPr>
          <w:p w14:paraId="6A3CA782" w14:textId="77777777" w:rsidR="001E6927" w:rsidRPr="009C18B5" w:rsidRDefault="001E6927" w:rsidP="006E6AB9">
            <w:pPr>
              <w:keepLines/>
              <w:spacing w:before="80" w:after="80" w:line="200" w:lineRule="atLeast"/>
              <w:rPr>
                <w:rFonts w:asciiTheme="minorHAnsi" w:eastAsia="Times New Roman" w:hAnsiTheme="minorHAnsi"/>
                <w:b/>
                <w:iCs/>
                <w:color w:val="000000" w:themeColor="text1"/>
                <w:szCs w:val="17"/>
                <w:lang w:eastAsia="en-US"/>
              </w:rPr>
            </w:pPr>
            <w:r w:rsidRPr="009C18B5">
              <w:rPr>
                <w:rFonts w:asciiTheme="minorHAnsi" w:eastAsia="Times New Roman" w:hAnsiTheme="minorHAnsi"/>
                <w:b/>
                <w:iCs/>
                <w:color w:val="000000" w:themeColor="text1"/>
                <w:szCs w:val="17"/>
                <w:lang w:eastAsia="en-US"/>
              </w:rPr>
              <w:t>Gender equality</w:t>
            </w:r>
          </w:p>
        </w:tc>
        <w:tc>
          <w:tcPr>
            <w:tcW w:w="412" w:type="pct"/>
            <w:textDirection w:val="btLr"/>
          </w:tcPr>
          <w:p w14:paraId="33F30310" w14:textId="77777777" w:rsidR="001E6927" w:rsidRPr="009C18B5" w:rsidRDefault="001E6927" w:rsidP="006E6AB9">
            <w:pPr>
              <w:keepLines/>
              <w:spacing w:before="80" w:after="80" w:line="200" w:lineRule="atLeast"/>
              <w:rPr>
                <w:rFonts w:asciiTheme="minorHAnsi" w:eastAsia="Times New Roman" w:hAnsiTheme="minorHAnsi"/>
                <w:b/>
                <w:iCs/>
                <w:color w:val="000000" w:themeColor="text1"/>
                <w:szCs w:val="17"/>
                <w:lang w:eastAsia="en-US"/>
              </w:rPr>
            </w:pPr>
            <w:r w:rsidRPr="009C18B5">
              <w:rPr>
                <w:rFonts w:asciiTheme="minorHAnsi" w:eastAsia="Times New Roman" w:hAnsiTheme="minorHAnsi"/>
                <w:b/>
                <w:iCs/>
                <w:color w:val="000000" w:themeColor="text1"/>
                <w:szCs w:val="17"/>
                <w:lang w:eastAsia="en-US"/>
              </w:rPr>
              <w:t>Risks  and Safeguards</w:t>
            </w:r>
          </w:p>
        </w:tc>
      </w:tr>
      <w:tr w:rsidR="001E6927" w:rsidRPr="009C18B5" w14:paraId="3B85A252" w14:textId="77777777" w:rsidTr="009C18B5">
        <w:trPr>
          <w:cnfStyle w:val="000000010000" w:firstRow="0" w:lastRow="0" w:firstColumn="0" w:lastColumn="0" w:oddVBand="0" w:evenVBand="0" w:oddHBand="0" w:evenHBand="1" w:firstRowFirstColumn="0" w:firstRowLastColumn="0" w:lastRowFirstColumn="0" w:lastRowLastColumn="0"/>
          <w:trHeight w:val="284"/>
        </w:trPr>
        <w:tc>
          <w:tcPr>
            <w:tcW w:w="994" w:type="pct"/>
          </w:tcPr>
          <w:p w14:paraId="235BB2DA" w14:textId="77777777" w:rsidR="001E6927" w:rsidRPr="009C18B5" w:rsidRDefault="001E6927" w:rsidP="009C18B5">
            <w:pPr>
              <w:keepLines/>
              <w:spacing w:before="40" w:after="40" w:line="200" w:lineRule="atLeast"/>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Viet Nam ADS - PREP</w:t>
            </w:r>
          </w:p>
        </w:tc>
        <w:tc>
          <w:tcPr>
            <w:tcW w:w="572" w:type="pct"/>
          </w:tcPr>
          <w:p w14:paraId="0FE90C0C" w14:textId="77777777" w:rsidR="001E6927" w:rsidRPr="009C18B5" w:rsidRDefault="009C18B5" w:rsidP="009C18B5">
            <w:pPr>
              <w:keepLines/>
              <w:spacing w:before="40" w:after="40" w:line="200" w:lineRule="atLeast"/>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w:t>
            </w:r>
            <w:r w:rsidR="001E6927" w:rsidRPr="009C18B5">
              <w:rPr>
                <w:rFonts w:asciiTheme="minorHAnsi" w:eastAsia="Times New Roman" w:hAnsiTheme="minorHAnsi"/>
                <w:iCs/>
                <w:color w:val="000000" w:themeColor="text1"/>
                <w:szCs w:val="17"/>
                <w:lang w:eastAsia="en-US"/>
              </w:rPr>
              <w:t>32.34 million</w:t>
            </w:r>
          </w:p>
          <w:p w14:paraId="7A7FDA55" w14:textId="77777777" w:rsidR="001E6927" w:rsidRPr="009C18B5" w:rsidRDefault="001E6927" w:rsidP="009C18B5">
            <w:pPr>
              <w:keepLines/>
              <w:spacing w:before="40" w:after="40" w:line="200" w:lineRule="atLeast"/>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2012-2016</w:t>
            </w:r>
          </w:p>
        </w:tc>
        <w:tc>
          <w:tcPr>
            <w:tcW w:w="417" w:type="pct"/>
            <w:shd w:val="clear" w:color="auto" w:fill="92D050"/>
            <w:noWrap/>
            <w:vAlign w:val="center"/>
          </w:tcPr>
          <w:p w14:paraId="15E7F501"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6" w:type="pct"/>
            <w:shd w:val="clear" w:color="auto" w:fill="92D050"/>
            <w:noWrap/>
            <w:vAlign w:val="center"/>
          </w:tcPr>
          <w:p w14:paraId="7EAEE03B"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6</w:t>
            </w:r>
          </w:p>
        </w:tc>
        <w:tc>
          <w:tcPr>
            <w:tcW w:w="417" w:type="pct"/>
            <w:shd w:val="clear" w:color="auto" w:fill="92D050"/>
            <w:noWrap/>
            <w:vAlign w:val="center"/>
          </w:tcPr>
          <w:p w14:paraId="15DD3278"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6" w:type="pct"/>
            <w:shd w:val="clear" w:color="auto" w:fill="92D050"/>
            <w:noWrap/>
            <w:vAlign w:val="center"/>
          </w:tcPr>
          <w:p w14:paraId="61E5E2F5"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7" w:type="pct"/>
            <w:shd w:val="clear" w:color="auto" w:fill="92D050"/>
            <w:noWrap/>
            <w:vAlign w:val="center"/>
          </w:tcPr>
          <w:p w14:paraId="4B40C824"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6" w:type="pct"/>
            <w:shd w:val="clear" w:color="auto" w:fill="FFFF00"/>
            <w:noWrap/>
            <w:vAlign w:val="center"/>
          </w:tcPr>
          <w:p w14:paraId="0F4ADF94"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4</w:t>
            </w:r>
          </w:p>
        </w:tc>
        <w:tc>
          <w:tcPr>
            <w:tcW w:w="417" w:type="pct"/>
            <w:shd w:val="clear" w:color="auto" w:fill="92D050"/>
            <w:vAlign w:val="center"/>
          </w:tcPr>
          <w:p w14:paraId="466FE3B8"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6</w:t>
            </w:r>
          </w:p>
        </w:tc>
        <w:tc>
          <w:tcPr>
            <w:tcW w:w="412" w:type="pct"/>
            <w:shd w:val="clear" w:color="auto" w:fill="92D050"/>
            <w:vAlign w:val="center"/>
          </w:tcPr>
          <w:p w14:paraId="4D7FD11A"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r>
      <w:tr w:rsidR="001E6927" w:rsidRPr="009C18B5" w14:paraId="1786C2A1" w14:textId="77777777" w:rsidTr="009C18B5">
        <w:trPr>
          <w:cnfStyle w:val="000000010000" w:firstRow="0" w:lastRow="0" w:firstColumn="0" w:lastColumn="0" w:oddVBand="0" w:evenVBand="0" w:oddHBand="0" w:evenHBand="1" w:firstRowFirstColumn="0" w:firstRowLastColumn="0" w:lastRowFirstColumn="0" w:lastRowLastColumn="0"/>
          <w:trHeight w:val="284"/>
        </w:trPr>
        <w:tc>
          <w:tcPr>
            <w:tcW w:w="994" w:type="pct"/>
          </w:tcPr>
          <w:p w14:paraId="10B0EF65" w14:textId="77777777" w:rsidR="001E6927" w:rsidRPr="009C18B5" w:rsidRDefault="001E6927" w:rsidP="009C18B5">
            <w:pPr>
              <w:keepLines/>
              <w:spacing w:before="40" w:after="40" w:line="200" w:lineRule="atLeast"/>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Australian Development Scholarships - Vietnam</w:t>
            </w:r>
          </w:p>
        </w:tc>
        <w:tc>
          <w:tcPr>
            <w:tcW w:w="572" w:type="pct"/>
          </w:tcPr>
          <w:p w14:paraId="6EDCB3BB" w14:textId="77777777" w:rsidR="001E6927" w:rsidRPr="009C18B5" w:rsidRDefault="001E6927" w:rsidP="009C18B5">
            <w:pPr>
              <w:keepLines/>
              <w:spacing w:before="40" w:after="40" w:line="200" w:lineRule="atLeast"/>
              <w:rPr>
                <w:rFonts w:asciiTheme="minorHAnsi" w:eastAsia="Times New Roman" w:hAnsiTheme="minorHAnsi"/>
                <w:iCs/>
                <w:color w:val="000000" w:themeColor="text1"/>
                <w:szCs w:val="17"/>
              </w:rPr>
            </w:pPr>
            <w:r w:rsidRPr="009C18B5">
              <w:rPr>
                <w:rFonts w:asciiTheme="minorHAnsi" w:eastAsia="Times New Roman" w:hAnsiTheme="minorHAnsi"/>
                <w:iCs/>
                <w:color w:val="000000" w:themeColor="text1"/>
                <w:szCs w:val="17"/>
              </w:rPr>
              <w:t>N/A</w:t>
            </w:r>
          </w:p>
        </w:tc>
        <w:tc>
          <w:tcPr>
            <w:tcW w:w="417" w:type="pct"/>
            <w:shd w:val="clear" w:color="auto" w:fill="92D050"/>
            <w:noWrap/>
            <w:vAlign w:val="center"/>
          </w:tcPr>
          <w:p w14:paraId="23E7F60F"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rPr>
            </w:pPr>
            <w:r w:rsidRPr="009C18B5">
              <w:rPr>
                <w:rFonts w:asciiTheme="minorHAnsi" w:eastAsia="Times New Roman" w:hAnsiTheme="minorHAnsi"/>
                <w:iCs/>
                <w:color w:val="000000" w:themeColor="text1"/>
                <w:szCs w:val="17"/>
              </w:rPr>
              <w:t>5</w:t>
            </w:r>
          </w:p>
        </w:tc>
        <w:tc>
          <w:tcPr>
            <w:tcW w:w="416" w:type="pct"/>
            <w:shd w:val="clear" w:color="auto" w:fill="92D050"/>
            <w:noWrap/>
            <w:vAlign w:val="center"/>
          </w:tcPr>
          <w:p w14:paraId="14D7714C"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6</w:t>
            </w:r>
          </w:p>
        </w:tc>
        <w:tc>
          <w:tcPr>
            <w:tcW w:w="417" w:type="pct"/>
            <w:shd w:val="clear" w:color="auto" w:fill="92D050"/>
            <w:noWrap/>
            <w:vAlign w:val="center"/>
          </w:tcPr>
          <w:p w14:paraId="28222DE7"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6" w:type="pct"/>
            <w:shd w:val="clear" w:color="auto" w:fill="92D050"/>
            <w:noWrap/>
            <w:vAlign w:val="center"/>
          </w:tcPr>
          <w:p w14:paraId="4247C0B9"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7" w:type="pct"/>
            <w:shd w:val="clear" w:color="auto" w:fill="92D050"/>
            <w:noWrap/>
            <w:vAlign w:val="center"/>
          </w:tcPr>
          <w:p w14:paraId="55B94FD3"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6" w:type="pct"/>
            <w:shd w:val="clear" w:color="auto" w:fill="FFFF00"/>
            <w:noWrap/>
            <w:vAlign w:val="center"/>
          </w:tcPr>
          <w:p w14:paraId="41382A98"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4</w:t>
            </w:r>
          </w:p>
        </w:tc>
        <w:tc>
          <w:tcPr>
            <w:tcW w:w="417" w:type="pct"/>
            <w:shd w:val="clear" w:color="auto" w:fill="92D050"/>
            <w:vAlign w:val="center"/>
          </w:tcPr>
          <w:p w14:paraId="22C6D400"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6</w:t>
            </w:r>
          </w:p>
        </w:tc>
        <w:tc>
          <w:tcPr>
            <w:tcW w:w="412" w:type="pct"/>
            <w:shd w:val="clear" w:color="auto" w:fill="92D050"/>
            <w:vAlign w:val="center"/>
          </w:tcPr>
          <w:p w14:paraId="40BFC21E"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r>
      <w:tr w:rsidR="00344490" w:rsidRPr="009C18B5" w14:paraId="77157CB2" w14:textId="77777777" w:rsidTr="007418AF">
        <w:trPr>
          <w:cnfStyle w:val="000000010000" w:firstRow="0" w:lastRow="0" w:firstColumn="0" w:lastColumn="0" w:oddVBand="0" w:evenVBand="0" w:oddHBand="0" w:evenHBand="1" w:firstRowFirstColumn="0" w:firstRowLastColumn="0" w:lastRowFirstColumn="0" w:lastRowLastColumn="0"/>
          <w:trHeight w:val="284"/>
        </w:trPr>
        <w:tc>
          <w:tcPr>
            <w:tcW w:w="994" w:type="pct"/>
          </w:tcPr>
          <w:p w14:paraId="27E56A24" w14:textId="77777777" w:rsidR="001E6927" w:rsidRPr="009C18B5" w:rsidRDefault="001E6927" w:rsidP="009C18B5">
            <w:pPr>
              <w:keepLines/>
              <w:spacing w:before="40" w:after="40" w:line="200" w:lineRule="atLeast"/>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Mekong Transport Infrastructure Development</w:t>
            </w:r>
          </w:p>
        </w:tc>
        <w:tc>
          <w:tcPr>
            <w:tcW w:w="572" w:type="pct"/>
          </w:tcPr>
          <w:p w14:paraId="27259DC7" w14:textId="77777777" w:rsidR="001E6927" w:rsidRPr="009C18B5" w:rsidRDefault="009C18B5" w:rsidP="009C18B5">
            <w:pPr>
              <w:keepLines/>
              <w:spacing w:before="40" w:after="40" w:line="200" w:lineRule="atLeast"/>
              <w:rPr>
                <w:rFonts w:asciiTheme="minorHAnsi" w:eastAsia="Times New Roman" w:hAnsiTheme="minorHAnsi"/>
                <w:iCs/>
                <w:color w:val="000000" w:themeColor="text1"/>
                <w:szCs w:val="17"/>
              </w:rPr>
            </w:pPr>
            <w:r>
              <w:rPr>
                <w:rFonts w:asciiTheme="minorHAnsi" w:eastAsia="Times New Roman" w:hAnsiTheme="minorHAnsi"/>
                <w:iCs/>
                <w:color w:val="000000" w:themeColor="text1"/>
                <w:szCs w:val="17"/>
              </w:rPr>
              <w:t>$</w:t>
            </w:r>
            <w:r w:rsidR="001E6927" w:rsidRPr="009C18B5">
              <w:rPr>
                <w:rFonts w:asciiTheme="minorHAnsi" w:eastAsia="Times New Roman" w:hAnsiTheme="minorHAnsi"/>
                <w:iCs/>
                <w:color w:val="000000" w:themeColor="text1"/>
                <w:szCs w:val="17"/>
              </w:rPr>
              <w:t>48.00 million</w:t>
            </w:r>
          </w:p>
          <w:p w14:paraId="6922A5B2" w14:textId="77777777" w:rsidR="001E6927" w:rsidRPr="009C18B5" w:rsidRDefault="001E6927" w:rsidP="009C18B5">
            <w:pPr>
              <w:keepLines/>
              <w:spacing w:before="40" w:after="40" w:line="200" w:lineRule="atLeast"/>
              <w:rPr>
                <w:rFonts w:asciiTheme="minorHAnsi" w:eastAsia="Times New Roman" w:hAnsiTheme="minorHAnsi"/>
                <w:iCs/>
                <w:color w:val="000000" w:themeColor="text1"/>
                <w:szCs w:val="17"/>
              </w:rPr>
            </w:pPr>
            <w:r w:rsidRPr="009C18B5">
              <w:rPr>
                <w:rFonts w:asciiTheme="minorHAnsi" w:eastAsia="Times New Roman" w:hAnsiTheme="minorHAnsi"/>
                <w:iCs/>
                <w:color w:val="000000" w:themeColor="text1"/>
                <w:szCs w:val="17"/>
              </w:rPr>
              <w:t>2007-15</w:t>
            </w:r>
          </w:p>
        </w:tc>
        <w:tc>
          <w:tcPr>
            <w:tcW w:w="417" w:type="pct"/>
            <w:shd w:val="clear" w:color="auto" w:fill="FFFF00"/>
            <w:noWrap/>
            <w:vAlign w:val="center"/>
          </w:tcPr>
          <w:p w14:paraId="713B85A9"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rPr>
            </w:pPr>
            <w:r w:rsidRPr="009C18B5">
              <w:rPr>
                <w:rFonts w:asciiTheme="minorHAnsi" w:eastAsia="Times New Roman" w:hAnsiTheme="minorHAnsi"/>
                <w:iCs/>
                <w:color w:val="000000" w:themeColor="text1"/>
                <w:szCs w:val="17"/>
              </w:rPr>
              <w:t>4</w:t>
            </w:r>
          </w:p>
        </w:tc>
        <w:tc>
          <w:tcPr>
            <w:tcW w:w="416" w:type="pct"/>
            <w:shd w:val="clear" w:color="auto" w:fill="92D050"/>
            <w:noWrap/>
            <w:vAlign w:val="center"/>
          </w:tcPr>
          <w:p w14:paraId="1383A918"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7" w:type="pct"/>
            <w:shd w:val="clear" w:color="auto" w:fill="92D050"/>
            <w:noWrap/>
            <w:vAlign w:val="center"/>
          </w:tcPr>
          <w:p w14:paraId="3CFACB92"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6" w:type="pct"/>
            <w:shd w:val="clear" w:color="auto" w:fill="FFFF00"/>
            <w:noWrap/>
            <w:vAlign w:val="center"/>
          </w:tcPr>
          <w:p w14:paraId="7C606F4F"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4</w:t>
            </w:r>
          </w:p>
        </w:tc>
        <w:tc>
          <w:tcPr>
            <w:tcW w:w="417" w:type="pct"/>
            <w:shd w:val="clear" w:color="auto" w:fill="FF6600"/>
            <w:noWrap/>
            <w:vAlign w:val="center"/>
          </w:tcPr>
          <w:p w14:paraId="1A9B30A6" w14:textId="06EB4C7E" w:rsidR="001E6927" w:rsidRPr="009C18B5" w:rsidRDefault="007418AF" w:rsidP="009C18B5">
            <w:pPr>
              <w:keepLines/>
              <w:spacing w:before="40" w:after="40" w:line="200" w:lineRule="atLeast"/>
              <w:jc w:val="center"/>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3</w:t>
            </w:r>
          </w:p>
        </w:tc>
        <w:tc>
          <w:tcPr>
            <w:tcW w:w="416" w:type="pct"/>
            <w:shd w:val="clear" w:color="auto" w:fill="92D050"/>
            <w:noWrap/>
            <w:vAlign w:val="center"/>
          </w:tcPr>
          <w:p w14:paraId="4EA60906"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7" w:type="pct"/>
            <w:shd w:val="clear" w:color="auto" w:fill="FF6600"/>
            <w:vAlign w:val="center"/>
          </w:tcPr>
          <w:p w14:paraId="52B51846"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3</w:t>
            </w:r>
          </w:p>
        </w:tc>
        <w:tc>
          <w:tcPr>
            <w:tcW w:w="412" w:type="pct"/>
            <w:shd w:val="clear" w:color="auto" w:fill="92D050"/>
            <w:vAlign w:val="center"/>
          </w:tcPr>
          <w:p w14:paraId="08712141"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r>
      <w:tr w:rsidR="00344490" w:rsidRPr="009C18B5" w14:paraId="4AF2297F" w14:textId="77777777" w:rsidTr="009C18B5">
        <w:trPr>
          <w:cnfStyle w:val="000000010000" w:firstRow="0" w:lastRow="0" w:firstColumn="0" w:lastColumn="0" w:oddVBand="0" w:evenVBand="0" w:oddHBand="0" w:evenHBand="1" w:firstRowFirstColumn="0" w:firstRowLastColumn="0" w:lastRowFirstColumn="0" w:lastRowLastColumn="0"/>
          <w:trHeight w:val="284"/>
        </w:trPr>
        <w:tc>
          <w:tcPr>
            <w:tcW w:w="994" w:type="pct"/>
          </w:tcPr>
          <w:p w14:paraId="0E5DC0D0" w14:textId="77777777" w:rsidR="001E6927" w:rsidRPr="009C18B5" w:rsidRDefault="001E6927" w:rsidP="009C18B5">
            <w:pPr>
              <w:keepLines/>
              <w:spacing w:before="40" w:after="40" w:line="200" w:lineRule="atLeast"/>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Southern Coastal Corridor Vietnam</w:t>
            </w:r>
          </w:p>
        </w:tc>
        <w:tc>
          <w:tcPr>
            <w:tcW w:w="572" w:type="pct"/>
          </w:tcPr>
          <w:p w14:paraId="3DBAA0B0" w14:textId="77777777" w:rsidR="001E6927" w:rsidRPr="009C18B5" w:rsidRDefault="009C18B5" w:rsidP="009C18B5">
            <w:pPr>
              <w:keepLines/>
              <w:spacing w:before="40" w:after="40" w:line="200" w:lineRule="atLeast"/>
              <w:rPr>
                <w:rFonts w:asciiTheme="minorHAnsi" w:eastAsia="Times New Roman" w:hAnsiTheme="minorHAnsi"/>
                <w:iCs/>
                <w:color w:val="000000" w:themeColor="text1"/>
                <w:szCs w:val="17"/>
              </w:rPr>
            </w:pPr>
            <w:r>
              <w:rPr>
                <w:rFonts w:asciiTheme="minorHAnsi" w:eastAsia="Times New Roman" w:hAnsiTheme="minorHAnsi"/>
                <w:iCs/>
                <w:color w:val="000000" w:themeColor="text1"/>
                <w:szCs w:val="17"/>
              </w:rPr>
              <w:t>$</w:t>
            </w:r>
            <w:r w:rsidR="001E6927" w:rsidRPr="009C18B5">
              <w:rPr>
                <w:rFonts w:asciiTheme="minorHAnsi" w:eastAsia="Times New Roman" w:hAnsiTheme="minorHAnsi"/>
                <w:iCs/>
                <w:color w:val="000000" w:themeColor="text1"/>
                <w:szCs w:val="17"/>
              </w:rPr>
              <w:t>45.12 million</w:t>
            </w:r>
          </w:p>
          <w:p w14:paraId="3BB35176" w14:textId="77777777" w:rsidR="001E6927" w:rsidRPr="009C18B5" w:rsidRDefault="001E6927" w:rsidP="009C18B5">
            <w:pPr>
              <w:keepLines/>
              <w:spacing w:before="40" w:after="40" w:line="200" w:lineRule="atLeast"/>
              <w:rPr>
                <w:rFonts w:asciiTheme="minorHAnsi" w:eastAsia="Times New Roman" w:hAnsiTheme="minorHAnsi"/>
                <w:iCs/>
                <w:color w:val="000000" w:themeColor="text1"/>
                <w:szCs w:val="17"/>
              </w:rPr>
            </w:pPr>
            <w:r w:rsidRPr="009C18B5">
              <w:rPr>
                <w:rFonts w:asciiTheme="minorHAnsi" w:eastAsia="Times New Roman" w:hAnsiTheme="minorHAnsi"/>
                <w:iCs/>
                <w:color w:val="000000" w:themeColor="text1"/>
                <w:szCs w:val="17"/>
              </w:rPr>
              <w:t>2007-16</w:t>
            </w:r>
          </w:p>
        </w:tc>
        <w:tc>
          <w:tcPr>
            <w:tcW w:w="417" w:type="pct"/>
            <w:shd w:val="clear" w:color="auto" w:fill="92D050"/>
            <w:noWrap/>
            <w:vAlign w:val="center"/>
          </w:tcPr>
          <w:p w14:paraId="6948E751"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rPr>
            </w:pPr>
            <w:r w:rsidRPr="009C18B5">
              <w:rPr>
                <w:rFonts w:asciiTheme="minorHAnsi" w:eastAsia="Times New Roman" w:hAnsiTheme="minorHAnsi"/>
                <w:iCs/>
                <w:color w:val="000000" w:themeColor="text1"/>
                <w:szCs w:val="17"/>
              </w:rPr>
              <w:t>5</w:t>
            </w:r>
          </w:p>
        </w:tc>
        <w:tc>
          <w:tcPr>
            <w:tcW w:w="416" w:type="pct"/>
            <w:shd w:val="clear" w:color="auto" w:fill="92D050"/>
            <w:noWrap/>
            <w:vAlign w:val="center"/>
          </w:tcPr>
          <w:p w14:paraId="2CDF0B42"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7" w:type="pct"/>
            <w:shd w:val="clear" w:color="auto" w:fill="92D050"/>
            <w:noWrap/>
            <w:vAlign w:val="center"/>
          </w:tcPr>
          <w:p w14:paraId="03BFADFC"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6" w:type="pct"/>
            <w:shd w:val="clear" w:color="auto" w:fill="FFFF00"/>
            <w:noWrap/>
            <w:vAlign w:val="center"/>
          </w:tcPr>
          <w:p w14:paraId="6B824934"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4</w:t>
            </w:r>
          </w:p>
        </w:tc>
        <w:tc>
          <w:tcPr>
            <w:tcW w:w="417" w:type="pct"/>
            <w:shd w:val="clear" w:color="auto" w:fill="FFFF00"/>
            <w:noWrap/>
            <w:vAlign w:val="center"/>
          </w:tcPr>
          <w:p w14:paraId="003F33A0"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4</w:t>
            </w:r>
          </w:p>
        </w:tc>
        <w:tc>
          <w:tcPr>
            <w:tcW w:w="416" w:type="pct"/>
            <w:shd w:val="clear" w:color="auto" w:fill="FFFF00"/>
            <w:noWrap/>
            <w:vAlign w:val="center"/>
          </w:tcPr>
          <w:p w14:paraId="13AC2B9D"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4</w:t>
            </w:r>
          </w:p>
        </w:tc>
        <w:tc>
          <w:tcPr>
            <w:tcW w:w="417" w:type="pct"/>
            <w:shd w:val="clear" w:color="auto" w:fill="FFFF00"/>
            <w:vAlign w:val="center"/>
          </w:tcPr>
          <w:p w14:paraId="4F11D923"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4</w:t>
            </w:r>
          </w:p>
        </w:tc>
        <w:tc>
          <w:tcPr>
            <w:tcW w:w="412" w:type="pct"/>
            <w:shd w:val="clear" w:color="auto" w:fill="FFFF00"/>
            <w:vAlign w:val="center"/>
          </w:tcPr>
          <w:p w14:paraId="7AC3F746"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4</w:t>
            </w:r>
          </w:p>
        </w:tc>
      </w:tr>
      <w:tr w:rsidR="00344490" w:rsidRPr="009C18B5" w14:paraId="754DBCB7" w14:textId="77777777" w:rsidTr="009C18B5">
        <w:trPr>
          <w:cnfStyle w:val="000000010000" w:firstRow="0" w:lastRow="0" w:firstColumn="0" w:lastColumn="0" w:oddVBand="0" w:evenVBand="0" w:oddHBand="0" w:evenHBand="1" w:firstRowFirstColumn="0" w:firstRowLastColumn="0" w:lastRowFirstColumn="0" w:lastRowLastColumn="0"/>
          <w:trHeight w:val="284"/>
        </w:trPr>
        <w:tc>
          <w:tcPr>
            <w:tcW w:w="994" w:type="pct"/>
          </w:tcPr>
          <w:p w14:paraId="472ECAB9" w14:textId="77777777" w:rsidR="001E6927" w:rsidRPr="009C18B5" w:rsidRDefault="001E6927" w:rsidP="009C18B5">
            <w:pPr>
              <w:keepLines/>
              <w:spacing w:before="40" w:after="40" w:line="200" w:lineRule="atLeast"/>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Joint Donors' Support for RWSS NTP Phase 3</w:t>
            </w:r>
          </w:p>
        </w:tc>
        <w:tc>
          <w:tcPr>
            <w:tcW w:w="572" w:type="pct"/>
          </w:tcPr>
          <w:p w14:paraId="6923F006" w14:textId="77777777" w:rsidR="001E6927" w:rsidRPr="009C18B5" w:rsidRDefault="009C18B5" w:rsidP="009C18B5">
            <w:pPr>
              <w:keepLines/>
              <w:spacing w:before="40" w:after="40" w:line="200" w:lineRule="atLeast"/>
              <w:rPr>
                <w:rFonts w:asciiTheme="minorHAnsi" w:eastAsia="Times New Roman" w:hAnsiTheme="minorHAnsi"/>
                <w:iCs/>
                <w:color w:val="000000" w:themeColor="text1"/>
                <w:szCs w:val="17"/>
              </w:rPr>
            </w:pPr>
            <w:r>
              <w:rPr>
                <w:rFonts w:asciiTheme="minorHAnsi" w:eastAsia="Times New Roman" w:hAnsiTheme="minorHAnsi"/>
                <w:iCs/>
                <w:color w:val="000000" w:themeColor="text1"/>
                <w:szCs w:val="17"/>
              </w:rPr>
              <w:t>$</w:t>
            </w:r>
            <w:r w:rsidR="001E6927" w:rsidRPr="009C18B5">
              <w:rPr>
                <w:rFonts w:asciiTheme="minorHAnsi" w:eastAsia="Times New Roman" w:hAnsiTheme="minorHAnsi"/>
                <w:iCs/>
                <w:color w:val="000000" w:themeColor="text1"/>
                <w:szCs w:val="17"/>
              </w:rPr>
              <w:t>72.32 million</w:t>
            </w:r>
          </w:p>
          <w:p w14:paraId="22BC07B3" w14:textId="77777777" w:rsidR="001E6927" w:rsidRPr="009C18B5" w:rsidRDefault="001E6927" w:rsidP="009C18B5">
            <w:pPr>
              <w:keepLines/>
              <w:spacing w:before="40" w:after="40" w:line="200" w:lineRule="atLeast"/>
              <w:rPr>
                <w:rFonts w:asciiTheme="minorHAnsi" w:eastAsia="Times New Roman" w:hAnsiTheme="minorHAnsi"/>
                <w:iCs/>
                <w:color w:val="000000" w:themeColor="text1"/>
                <w:szCs w:val="17"/>
              </w:rPr>
            </w:pPr>
            <w:r w:rsidRPr="009C18B5">
              <w:rPr>
                <w:rFonts w:asciiTheme="minorHAnsi" w:eastAsia="Times New Roman" w:hAnsiTheme="minorHAnsi"/>
                <w:iCs/>
                <w:color w:val="000000" w:themeColor="text1"/>
                <w:szCs w:val="17"/>
              </w:rPr>
              <w:t>2011-16</w:t>
            </w:r>
          </w:p>
        </w:tc>
        <w:tc>
          <w:tcPr>
            <w:tcW w:w="417" w:type="pct"/>
            <w:shd w:val="clear" w:color="auto" w:fill="92D050"/>
            <w:noWrap/>
            <w:vAlign w:val="center"/>
          </w:tcPr>
          <w:p w14:paraId="228018A0"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rPr>
            </w:pPr>
            <w:r w:rsidRPr="009C18B5">
              <w:rPr>
                <w:rFonts w:asciiTheme="minorHAnsi" w:eastAsia="Times New Roman" w:hAnsiTheme="minorHAnsi"/>
                <w:iCs/>
                <w:color w:val="000000" w:themeColor="text1"/>
                <w:szCs w:val="17"/>
              </w:rPr>
              <w:t>5</w:t>
            </w:r>
          </w:p>
        </w:tc>
        <w:tc>
          <w:tcPr>
            <w:tcW w:w="416" w:type="pct"/>
            <w:shd w:val="clear" w:color="auto" w:fill="92D050"/>
            <w:noWrap/>
            <w:vAlign w:val="center"/>
          </w:tcPr>
          <w:p w14:paraId="273D6740"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7" w:type="pct"/>
            <w:shd w:val="clear" w:color="auto" w:fill="92D050"/>
            <w:noWrap/>
            <w:vAlign w:val="center"/>
          </w:tcPr>
          <w:p w14:paraId="79AED3C5"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6" w:type="pct"/>
            <w:shd w:val="clear" w:color="auto" w:fill="92D050"/>
            <w:noWrap/>
            <w:vAlign w:val="center"/>
          </w:tcPr>
          <w:p w14:paraId="42FF1E62"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7" w:type="pct"/>
            <w:shd w:val="clear" w:color="auto" w:fill="92D050"/>
            <w:noWrap/>
            <w:vAlign w:val="center"/>
          </w:tcPr>
          <w:p w14:paraId="503D6C25"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6" w:type="pct"/>
            <w:shd w:val="clear" w:color="auto" w:fill="92D050"/>
            <w:noWrap/>
            <w:vAlign w:val="center"/>
          </w:tcPr>
          <w:p w14:paraId="5F6A9969"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7" w:type="pct"/>
            <w:shd w:val="clear" w:color="auto" w:fill="FFFF00"/>
            <w:vAlign w:val="center"/>
          </w:tcPr>
          <w:p w14:paraId="178C4669"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4</w:t>
            </w:r>
          </w:p>
        </w:tc>
        <w:tc>
          <w:tcPr>
            <w:tcW w:w="412" w:type="pct"/>
            <w:shd w:val="clear" w:color="auto" w:fill="92D050"/>
            <w:vAlign w:val="center"/>
          </w:tcPr>
          <w:p w14:paraId="7B75E7E2"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r>
      <w:tr w:rsidR="00344490" w:rsidRPr="009C18B5" w14:paraId="56CDA07F" w14:textId="77777777" w:rsidTr="007418AF">
        <w:trPr>
          <w:cnfStyle w:val="000000010000" w:firstRow="0" w:lastRow="0" w:firstColumn="0" w:lastColumn="0" w:oddVBand="0" w:evenVBand="0" w:oddHBand="0" w:evenHBand="1" w:firstRowFirstColumn="0" w:firstRowLastColumn="0" w:lastRowFirstColumn="0" w:lastRowLastColumn="0"/>
          <w:trHeight w:val="284"/>
        </w:trPr>
        <w:tc>
          <w:tcPr>
            <w:tcW w:w="994" w:type="pct"/>
          </w:tcPr>
          <w:p w14:paraId="424D9CCF" w14:textId="77777777" w:rsidR="001E6927" w:rsidRPr="009C18B5" w:rsidRDefault="001E6927" w:rsidP="009C18B5">
            <w:pPr>
              <w:keepLines/>
              <w:spacing w:before="40" w:after="40" w:line="200" w:lineRule="atLeast"/>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Vietnam Anti-corruption Program</w:t>
            </w:r>
          </w:p>
        </w:tc>
        <w:tc>
          <w:tcPr>
            <w:tcW w:w="572" w:type="pct"/>
          </w:tcPr>
          <w:p w14:paraId="3685936E" w14:textId="77777777" w:rsidR="001E6927" w:rsidRPr="009C18B5" w:rsidRDefault="009C18B5" w:rsidP="009C18B5">
            <w:pPr>
              <w:keepLines/>
              <w:spacing w:before="40" w:after="40" w:line="200" w:lineRule="atLeast"/>
              <w:rPr>
                <w:rFonts w:asciiTheme="minorHAnsi" w:eastAsia="Times New Roman" w:hAnsiTheme="minorHAnsi"/>
                <w:iCs/>
                <w:color w:val="000000" w:themeColor="text1"/>
                <w:szCs w:val="17"/>
              </w:rPr>
            </w:pPr>
            <w:r>
              <w:rPr>
                <w:rFonts w:asciiTheme="minorHAnsi" w:eastAsia="Times New Roman" w:hAnsiTheme="minorHAnsi"/>
                <w:iCs/>
                <w:color w:val="000000" w:themeColor="text1"/>
                <w:szCs w:val="17"/>
              </w:rPr>
              <w:t>$</w:t>
            </w:r>
            <w:r w:rsidR="001E6927" w:rsidRPr="009C18B5">
              <w:rPr>
                <w:rFonts w:asciiTheme="minorHAnsi" w:eastAsia="Times New Roman" w:hAnsiTheme="minorHAnsi"/>
                <w:iCs/>
                <w:color w:val="000000" w:themeColor="text1"/>
                <w:szCs w:val="17"/>
              </w:rPr>
              <w:t>4.43 million</w:t>
            </w:r>
          </w:p>
          <w:p w14:paraId="3D75C1D2" w14:textId="77777777" w:rsidR="001E6927" w:rsidRPr="009C18B5" w:rsidRDefault="001E6927" w:rsidP="009C18B5">
            <w:pPr>
              <w:keepLines/>
              <w:spacing w:before="40" w:after="40" w:line="200" w:lineRule="atLeast"/>
              <w:rPr>
                <w:rFonts w:asciiTheme="minorHAnsi" w:eastAsia="Times New Roman" w:hAnsiTheme="minorHAnsi"/>
                <w:iCs/>
                <w:color w:val="000000" w:themeColor="text1"/>
                <w:szCs w:val="17"/>
              </w:rPr>
            </w:pPr>
            <w:r w:rsidRPr="009C18B5">
              <w:rPr>
                <w:rFonts w:asciiTheme="minorHAnsi" w:eastAsia="Times New Roman" w:hAnsiTheme="minorHAnsi"/>
                <w:iCs/>
                <w:color w:val="000000" w:themeColor="text1"/>
                <w:szCs w:val="17"/>
              </w:rPr>
              <w:t>2011-16</w:t>
            </w:r>
          </w:p>
        </w:tc>
        <w:tc>
          <w:tcPr>
            <w:tcW w:w="417" w:type="pct"/>
            <w:shd w:val="clear" w:color="auto" w:fill="FFFF00"/>
            <w:noWrap/>
            <w:vAlign w:val="center"/>
          </w:tcPr>
          <w:p w14:paraId="69996D7A"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rPr>
            </w:pPr>
            <w:r w:rsidRPr="009C18B5">
              <w:rPr>
                <w:rFonts w:asciiTheme="minorHAnsi" w:eastAsia="Times New Roman" w:hAnsiTheme="minorHAnsi"/>
                <w:iCs/>
                <w:color w:val="000000" w:themeColor="text1"/>
                <w:szCs w:val="17"/>
              </w:rPr>
              <w:t>4</w:t>
            </w:r>
          </w:p>
        </w:tc>
        <w:tc>
          <w:tcPr>
            <w:tcW w:w="416" w:type="pct"/>
            <w:shd w:val="clear" w:color="auto" w:fill="FFFF00"/>
            <w:noWrap/>
            <w:vAlign w:val="center"/>
          </w:tcPr>
          <w:p w14:paraId="3E09D981"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4</w:t>
            </w:r>
          </w:p>
        </w:tc>
        <w:tc>
          <w:tcPr>
            <w:tcW w:w="417" w:type="pct"/>
            <w:shd w:val="clear" w:color="auto" w:fill="FF6600"/>
            <w:noWrap/>
            <w:vAlign w:val="center"/>
          </w:tcPr>
          <w:p w14:paraId="1AEA1131" w14:textId="0BE236DF" w:rsidR="001E6927" w:rsidRPr="009C18B5" w:rsidRDefault="007418AF" w:rsidP="009C18B5">
            <w:pPr>
              <w:keepLines/>
              <w:spacing w:before="40" w:after="40" w:line="200" w:lineRule="atLeast"/>
              <w:jc w:val="center"/>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3</w:t>
            </w:r>
          </w:p>
        </w:tc>
        <w:tc>
          <w:tcPr>
            <w:tcW w:w="416" w:type="pct"/>
            <w:shd w:val="clear" w:color="auto" w:fill="FF6600"/>
            <w:noWrap/>
            <w:vAlign w:val="center"/>
          </w:tcPr>
          <w:p w14:paraId="20A24AC9" w14:textId="005FCC3A" w:rsidR="001E6927" w:rsidRPr="009C18B5" w:rsidRDefault="007418AF" w:rsidP="009C18B5">
            <w:pPr>
              <w:keepLines/>
              <w:spacing w:before="40" w:after="40" w:line="200" w:lineRule="atLeast"/>
              <w:jc w:val="center"/>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3</w:t>
            </w:r>
          </w:p>
        </w:tc>
        <w:tc>
          <w:tcPr>
            <w:tcW w:w="417" w:type="pct"/>
            <w:shd w:val="clear" w:color="auto" w:fill="FF6600"/>
            <w:noWrap/>
            <w:vAlign w:val="center"/>
          </w:tcPr>
          <w:p w14:paraId="0D1BCD86" w14:textId="762A7DEC" w:rsidR="001E6927" w:rsidRPr="009C18B5" w:rsidRDefault="007418AF" w:rsidP="009C18B5">
            <w:pPr>
              <w:keepLines/>
              <w:spacing w:before="40" w:after="40" w:line="200" w:lineRule="atLeast"/>
              <w:jc w:val="center"/>
              <w:rPr>
                <w:rFonts w:asciiTheme="minorHAnsi" w:eastAsia="Times New Roman" w:hAnsiTheme="minorHAnsi"/>
                <w:iCs/>
                <w:color w:val="000000" w:themeColor="text1"/>
                <w:szCs w:val="17"/>
                <w:lang w:eastAsia="en-US"/>
              </w:rPr>
            </w:pPr>
            <w:r>
              <w:rPr>
                <w:rFonts w:asciiTheme="minorHAnsi" w:eastAsia="Times New Roman" w:hAnsiTheme="minorHAnsi"/>
                <w:iCs/>
                <w:color w:val="000000" w:themeColor="text1"/>
                <w:szCs w:val="17"/>
                <w:lang w:eastAsia="en-US"/>
              </w:rPr>
              <w:t>3</w:t>
            </w:r>
          </w:p>
        </w:tc>
        <w:tc>
          <w:tcPr>
            <w:tcW w:w="416" w:type="pct"/>
            <w:shd w:val="clear" w:color="auto" w:fill="FF0000"/>
            <w:noWrap/>
            <w:vAlign w:val="center"/>
          </w:tcPr>
          <w:p w14:paraId="7EA8529C"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2</w:t>
            </w:r>
          </w:p>
        </w:tc>
        <w:tc>
          <w:tcPr>
            <w:tcW w:w="417" w:type="pct"/>
            <w:shd w:val="clear" w:color="auto" w:fill="FF0000"/>
            <w:vAlign w:val="center"/>
          </w:tcPr>
          <w:p w14:paraId="1A762F13"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2</w:t>
            </w:r>
          </w:p>
        </w:tc>
        <w:tc>
          <w:tcPr>
            <w:tcW w:w="412" w:type="pct"/>
            <w:shd w:val="clear" w:color="auto" w:fill="FF6600"/>
            <w:vAlign w:val="center"/>
          </w:tcPr>
          <w:p w14:paraId="42F89DE1"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3</w:t>
            </w:r>
          </w:p>
        </w:tc>
      </w:tr>
      <w:tr w:rsidR="001E6927" w:rsidRPr="009C18B5" w14:paraId="21CA9E10" w14:textId="77777777" w:rsidTr="009C18B5">
        <w:trPr>
          <w:cnfStyle w:val="000000010000" w:firstRow="0" w:lastRow="0" w:firstColumn="0" w:lastColumn="0" w:oddVBand="0" w:evenVBand="0" w:oddHBand="0" w:evenHBand="1" w:firstRowFirstColumn="0" w:firstRowLastColumn="0" w:lastRowFirstColumn="0" w:lastRowLastColumn="0"/>
          <w:trHeight w:val="284"/>
        </w:trPr>
        <w:tc>
          <w:tcPr>
            <w:tcW w:w="994" w:type="pct"/>
          </w:tcPr>
          <w:p w14:paraId="29930739" w14:textId="77777777" w:rsidR="001E6927" w:rsidRPr="009C18B5" w:rsidRDefault="001E6927" w:rsidP="009C18B5">
            <w:pPr>
              <w:keepLines/>
              <w:spacing w:before="40" w:after="40" w:line="200" w:lineRule="atLeast"/>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Community Based Disaster Risk Management</w:t>
            </w:r>
          </w:p>
        </w:tc>
        <w:tc>
          <w:tcPr>
            <w:tcW w:w="572" w:type="pct"/>
          </w:tcPr>
          <w:p w14:paraId="0888DC71" w14:textId="77777777" w:rsidR="001E6927" w:rsidRDefault="009C18B5" w:rsidP="009C18B5">
            <w:pPr>
              <w:keepLines/>
              <w:spacing w:before="40" w:after="40" w:line="200" w:lineRule="atLeast"/>
              <w:rPr>
                <w:rFonts w:asciiTheme="minorHAnsi" w:eastAsia="Times New Roman" w:hAnsiTheme="minorHAnsi"/>
                <w:iCs/>
                <w:color w:val="000000" w:themeColor="text1"/>
                <w:szCs w:val="17"/>
              </w:rPr>
            </w:pPr>
            <w:r>
              <w:rPr>
                <w:rFonts w:asciiTheme="minorHAnsi" w:eastAsia="Times New Roman" w:hAnsiTheme="minorHAnsi"/>
                <w:iCs/>
                <w:color w:val="000000" w:themeColor="text1"/>
                <w:szCs w:val="17"/>
              </w:rPr>
              <w:t>$</w:t>
            </w:r>
            <w:r w:rsidR="001E6927" w:rsidRPr="009C18B5">
              <w:rPr>
                <w:rFonts w:asciiTheme="minorHAnsi" w:eastAsia="Times New Roman" w:hAnsiTheme="minorHAnsi"/>
                <w:iCs/>
                <w:color w:val="000000" w:themeColor="text1"/>
                <w:szCs w:val="17"/>
              </w:rPr>
              <w:t>4.92 million</w:t>
            </w:r>
          </w:p>
          <w:p w14:paraId="057DA083" w14:textId="77777777" w:rsidR="009C18B5" w:rsidRPr="009C18B5" w:rsidRDefault="009C18B5" w:rsidP="009C18B5">
            <w:pPr>
              <w:keepLines/>
              <w:spacing w:before="40" w:after="40" w:line="200" w:lineRule="atLeast"/>
              <w:rPr>
                <w:rFonts w:asciiTheme="minorHAnsi" w:eastAsia="Times New Roman" w:hAnsiTheme="minorHAnsi"/>
                <w:iCs/>
                <w:color w:val="000000" w:themeColor="text1"/>
                <w:szCs w:val="17"/>
              </w:rPr>
            </w:pPr>
            <w:r w:rsidRPr="009C18B5">
              <w:rPr>
                <w:rFonts w:asciiTheme="minorHAnsi" w:eastAsia="Times New Roman" w:hAnsiTheme="minorHAnsi"/>
                <w:iCs/>
                <w:color w:val="000000" w:themeColor="text1"/>
                <w:szCs w:val="17"/>
              </w:rPr>
              <w:t>2011-16</w:t>
            </w:r>
          </w:p>
        </w:tc>
        <w:tc>
          <w:tcPr>
            <w:tcW w:w="417" w:type="pct"/>
            <w:shd w:val="clear" w:color="auto" w:fill="92D050"/>
            <w:noWrap/>
            <w:vAlign w:val="center"/>
          </w:tcPr>
          <w:p w14:paraId="3F8383AD"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rPr>
            </w:pPr>
            <w:r w:rsidRPr="009C18B5">
              <w:rPr>
                <w:rFonts w:asciiTheme="minorHAnsi" w:eastAsia="Times New Roman" w:hAnsiTheme="minorHAnsi"/>
                <w:iCs/>
                <w:color w:val="000000" w:themeColor="text1"/>
                <w:szCs w:val="17"/>
              </w:rPr>
              <w:t>5</w:t>
            </w:r>
          </w:p>
        </w:tc>
        <w:tc>
          <w:tcPr>
            <w:tcW w:w="416" w:type="pct"/>
            <w:shd w:val="clear" w:color="auto" w:fill="92D050"/>
            <w:noWrap/>
            <w:vAlign w:val="center"/>
          </w:tcPr>
          <w:p w14:paraId="335F65A1"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7" w:type="pct"/>
            <w:shd w:val="clear" w:color="auto" w:fill="92D050"/>
            <w:noWrap/>
            <w:vAlign w:val="center"/>
          </w:tcPr>
          <w:p w14:paraId="6DCAACE6"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6" w:type="pct"/>
            <w:shd w:val="clear" w:color="auto" w:fill="92D050"/>
            <w:noWrap/>
            <w:vAlign w:val="center"/>
          </w:tcPr>
          <w:p w14:paraId="1357E47A"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7" w:type="pct"/>
            <w:shd w:val="clear" w:color="auto" w:fill="FFFF00"/>
            <w:noWrap/>
            <w:vAlign w:val="center"/>
          </w:tcPr>
          <w:p w14:paraId="2DE4C59B"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4</w:t>
            </w:r>
          </w:p>
        </w:tc>
        <w:tc>
          <w:tcPr>
            <w:tcW w:w="416" w:type="pct"/>
            <w:shd w:val="clear" w:color="auto" w:fill="92D050"/>
            <w:noWrap/>
            <w:vAlign w:val="center"/>
          </w:tcPr>
          <w:p w14:paraId="3C7DA85F"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7" w:type="pct"/>
            <w:shd w:val="clear" w:color="auto" w:fill="92D050"/>
            <w:vAlign w:val="center"/>
          </w:tcPr>
          <w:p w14:paraId="3BB10EEB"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2" w:type="pct"/>
            <w:shd w:val="clear" w:color="auto" w:fill="92D050"/>
            <w:vAlign w:val="center"/>
          </w:tcPr>
          <w:p w14:paraId="12960F03"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r>
      <w:tr w:rsidR="001E6927" w:rsidRPr="009C18B5" w14:paraId="3D80E1A0" w14:textId="77777777" w:rsidTr="009C18B5">
        <w:trPr>
          <w:cnfStyle w:val="000000010000" w:firstRow="0" w:lastRow="0" w:firstColumn="0" w:lastColumn="0" w:oddVBand="0" w:evenVBand="0" w:oddHBand="0" w:evenHBand="1" w:firstRowFirstColumn="0" w:firstRowLastColumn="0" w:lastRowFirstColumn="0" w:lastRowLastColumn="0"/>
          <w:trHeight w:val="284"/>
        </w:trPr>
        <w:tc>
          <w:tcPr>
            <w:tcW w:w="994" w:type="pct"/>
          </w:tcPr>
          <w:p w14:paraId="751E9996" w14:textId="77777777" w:rsidR="001E6927" w:rsidRPr="009C18B5" w:rsidRDefault="001E6927" w:rsidP="009C18B5">
            <w:pPr>
              <w:keepLines/>
              <w:spacing w:before="40" w:after="40" w:line="200" w:lineRule="atLeast"/>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World Bank Vietnam Partnership Trust Fund</w:t>
            </w:r>
          </w:p>
        </w:tc>
        <w:tc>
          <w:tcPr>
            <w:tcW w:w="572" w:type="pct"/>
          </w:tcPr>
          <w:p w14:paraId="31F6FE2A" w14:textId="77777777" w:rsidR="001E6927" w:rsidRPr="009C18B5" w:rsidRDefault="009C18B5" w:rsidP="009C18B5">
            <w:pPr>
              <w:keepLines/>
              <w:spacing w:before="40" w:after="40" w:line="200" w:lineRule="atLeast"/>
              <w:rPr>
                <w:rFonts w:asciiTheme="minorHAnsi" w:eastAsia="Times New Roman" w:hAnsiTheme="minorHAnsi"/>
                <w:iCs/>
                <w:color w:val="000000" w:themeColor="text1"/>
                <w:szCs w:val="17"/>
              </w:rPr>
            </w:pPr>
            <w:r>
              <w:rPr>
                <w:rFonts w:asciiTheme="minorHAnsi" w:eastAsia="Times New Roman" w:hAnsiTheme="minorHAnsi"/>
                <w:iCs/>
                <w:color w:val="000000" w:themeColor="text1"/>
                <w:szCs w:val="17"/>
              </w:rPr>
              <w:t>$</w:t>
            </w:r>
            <w:r w:rsidR="001E6927" w:rsidRPr="009C18B5">
              <w:rPr>
                <w:rFonts w:asciiTheme="minorHAnsi" w:eastAsia="Times New Roman" w:hAnsiTheme="minorHAnsi"/>
                <w:iCs/>
                <w:color w:val="000000" w:themeColor="text1"/>
                <w:szCs w:val="17"/>
              </w:rPr>
              <w:t>30.50 million</w:t>
            </w:r>
          </w:p>
          <w:p w14:paraId="6B814FAC" w14:textId="77777777" w:rsidR="001E6927" w:rsidRPr="009C18B5" w:rsidRDefault="001E6927" w:rsidP="009C18B5">
            <w:pPr>
              <w:keepLines/>
              <w:spacing w:before="40" w:after="40" w:line="200" w:lineRule="atLeast"/>
              <w:rPr>
                <w:rFonts w:asciiTheme="minorHAnsi" w:eastAsia="Times New Roman" w:hAnsiTheme="minorHAnsi"/>
                <w:iCs/>
                <w:color w:val="000000" w:themeColor="text1"/>
                <w:szCs w:val="17"/>
              </w:rPr>
            </w:pPr>
            <w:r w:rsidRPr="009C18B5">
              <w:rPr>
                <w:rFonts w:asciiTheme="minorHAnsi" w:eastAsia="Times New Roman" w:hAnsiTheme="minorHAnsi"/>
                <w:iCs/>
                <w:color w:val="000000" w:themeColor="text1"/>
                <w:szCs w:val="17"/>
              </w:rPr>
              <w:t>2012-16</w:t>
            </w:r>
          </w:p>
        </w:tc>
        <w:tc>
          <w:tcPr>
            <w:tcW w:w="417" w:type="pct"/>
            <w:shd w:val="clear" w:color="auto" w:fill="92D050"/>
            <w:noWrap/>
            <w:vAlign w:val="center"/>
          </w:tcPr>
          <w:p w14:paraId="5ADA5F16"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rPr>
            </w:pPr>
            <w:r w:rsidRPr="009C18B5">
              <w:rPr>
                <w:rFonts w:asciiTheme="minorHAnsi" w:eastAsia="Times New Roman" w:hAnsiTheme="minorHAnsi"/>
                <w:iCs/>
                <w:color w:val="000000" w:themeColor="text1"/>
                <w:szCs w:val="17"/>
              </w:rPr>
              <w:t>5</w:t>
            </w:r>
          </w:p>
        </w:tc>
        <w:tc>
          <w:tcPr>
            <w:tcW w:w="416" w:type="pct"/>
            <w:shd w:val="clear" w:color="auto" w:fill="92D050"/>
            <w:noWrap/>
            <w:vAlign w:val="center"/>
          </w:tcPr>
          <w:p w14:paraId="067EB486"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7" w:type="pct"/>
            <w:shd w:val="clear" w:color="auto" w:fill="92D050"/>
            <w:noWrap/>
            <w:vAlign w:val="center"/>
          </w:tcPr>
          <w:p w14:paraId="45E030E0"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6" w:type="pct"/>
            <w:shd w:val="clear" w:color="auto" w:fill="92D050"/>
            <w:noWrap/>
            <w:vAlign w:val="center"/>
          </w:tcPr>
          <w:p w14:paraId="44BFE40E"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7" w:type="pct"/>
            <w:shd w:val="clear" w:color="auto" w:fill="FFFF00"/>
            <w:noWrap/>
            <w:vAlign w:val="center"/>
          </w:tcPr>
          <w:p w14:paraId="109CCF65"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4</w:t>
            </w:r>
          </w:p>
        </w:tc>
        <w:tc>
          <w:tcPr>
            <w:tcW w:w="416" w:type="pct"/>
            <w:shd w:val="clear" w:color="auto" w:fill="92D050"/>
            <w:noWrap/>
            <w:vAlign w:val="center"/>
          </w:tcPr>
          <w:p w14:paraId="6ACD1527"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c>
          <w:tcPr>
            <w:tcW w:w="417" w:type="pct"/>
            <w:shd w:val="clear" w:color="auto" w:fill="FFFF00"/>
            <w:vAlign w:val="center"/>
          </w:tcPr>
          <w:p w14:paraId="58B1739A"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4</w:t>
            </w:r>
          </w:p>
        </w:tc>
        <w:tc>
          <w:tcPr>
            <w:tcW w:w="412" w:type="pct"/>
            <w:shd w:val="clear" w:color="auto" w:fill="92D050"/>
            <w:vAlign w:val="center"/>
          </w:tcPr>
          <w:p w14:paraId="2AACAD4B" w14:textId="77777777" w:rsidR="001E6927" w:rsidRPr="009C18B5" w:rsidRDefault="001E6927" w:rsidP="009C18B5">
            <w:pPr>
              <w:keepLines/>
              <w:spacing w:before="40" w:after="40" w:line="200" w:lineRule="atLeast"/>
              <w:jc w:val="center"/>
              <w:rPr>
                <w:rFonts w:asciiTheme="minorHAnsi" w:eastAsia="Times New Roman" w:hAnsiTheme="minorHAnsi"/>
                <w:iCs/>
                <w:color w:val="000000" w:themeColor="text1"/>
                <w:szCs w:val="17"/>
                <w:lang w:eastAsia="en-US"/>
              </w:rPr>
            </w:pPr>
            <w:r w:rsidRPr="009C18B5">
              <w:rPr>
                <w:rFonts w:asciiTheme="minorHAnsi" w:eastAsia="Times New Roman" w:hAnsiTheme="minorHAnsi"/>
                <w:iCs/>
                <w:color w:val="000000" w:themeColor="text1"/>
                <w:szCs w:val="17"/>
                <w:lang w:eastAsia="en-US"/>
              </w:rPr>
              <w:t>5</w:t>
            </w:r>
          </w:p>
        </w:tc>
      </w:tr>
    </w:tbl>
    <w:p w14:paraId="145C86A0" w14:textId="77777777" w:rsidR="00400B0F" w:rsidRPr="00C61187" w:rsidRDefault="00400B0F" w:rsidP="00400B0F">
      <w:pPr>
        <w:spacing w:before="20" w:after="20" w:line="180" w:lineRule="atLeast"/>
        <w:jc w:val="both"/>
        <w:rPr>
          <w:rFonts w:ascii="Franklin Gothic Book" w:eastAsia="Times New Roman" w:hAnsi="Franklin Gothic Book"/>
          <w:b/>
          <w:sz w:val="14"/>
          <w:szCs w:val="14"/>
        </w:rPr>
      </w:pPr>
    </w:p>
    <w:p w14:paraId="3CA57740" w14:textId="77777777" w:rsidR="00400B0F" w:rsidRPr="001E6927" w:rsidRDefault="00400B0F" w:rsidP="001E6927">
      <w:pPr>
        <w:spacing w:before="20" w:after="120" w:line="180" w:lineRule="atLeast"/>
        <w:jc w:val="both"/>
        <w:rPr>
          <w:rFonts w:eastAsia="Times New Roman"/>
          <w:b/>
          <w:color w:val="000000" w:themeColor="text1"/>
          <w:sz w:val="16"/>
          <w:szCs w:val="14"/>
        </w:rPr>
      </w:pPr>
      <w:r w:rsidRPr="001E6927">
        <w:rPr>
          <w:rFonts w:eastAsia="Times New Roman"/>
          <w:b/>
          <w:color w:val="000000" w:themeColor="text1"/>
          <w:sz w:val="16"/>
          <w:szCs w:val="14"/>
        </w:rPr>
        <w:t>Definitions of rating scale:</w:t>
      </w:r>
      <w:r w:rsidRPr="001E6927">
        <w:rPr>
          <w:rFonts w:eastAsia="Times New Roman"/>
          <w:b/>
          <w:color w:val="000000" w:themeColor="text1"/>
          <w:sz w:val="16"/>
          <w:szCs w:val="14"/>
        </w:rPr>
        <w:tab/>
      </w:r>
    </w:p>
    <w:p w14:paraId="32DCA4E6" w14:textId="77777777" w:rsidR="00400B0F" w:rsidRPr="001E6927" w:rsidRDefault="00400B0F" w:rsidP="00400B0F">
      <w:pPr>
        <w:spacing w:before="20" w:after="20" w:line="180" w:lineRule="atLeast"/>
        <w:jc w:val="both"/>
        <w:rPr>
          <w:rFonts w:eastAsia="Times New Roman"/>
          <w:b/>
          <w:color w:val="000000" w:themeColor="text1"/>
          <w:sz w:val="16"/>
          <w:szCs w:val="14"/>
        </w:rPr>
      </w:pPr>
      <w:r w:rsidRPr="001E6927">
        <w:rPr>
          <w:rFonts w:eastAsia="Times New Roman"/>
          <w:b/>
          <w:color w:val="000000" w:themeColor="text1"/>
          <w:sz w:val="16"/>
          <w:szCs w:val="14"/>
        </w:rPr>
        <w:t>Satisfactory (4, 5 and 6)</w:t>
      </w:r>
    </w:p>
    <w:p w14:paraId="55AECC71" w14:textId="77777777" w:rsidR="00400B0F" w:rsidRPr="001E6927" w:rsidRDefault="00400B0F" w:rsidP="00400B0F">
      <w:pPr>
        <w:spacing w:before="20" w:after="20" w:line="180" w:lineRule="atLeast"/>
        <w:jc w:val="both"/>
        <w:rPr>
          <w:rFonts w:eastAsia="Times New Roman"/>
          <w:sz w:val="16"/>
          <w:szCs w:val="14"/>
        </w:rPr>
      </w:pPr>
      <w:r w:rsidRPr="001E6927">
        <w:rPr>
          <w:rFonts w:eastAsia="Times New Roman"/>
          <w:color w:val="72AF2F"/>
          <w:sz w:val="16"/>
          <w:szCs w:val="14"/>
        </w:rPr>
        <w:sym w:font="Webdings" w:char="F067"/>
      </w:r>
      <w:r w:rsidRPr="001E6927">
        <w:rPr>
          <w:rFonts w:eastAsia="Times New Roman"/>
          <w:sz w:val="16"/>
          <w:szCs w:val="14"/>
        </w:rPr>
        <w:t xml:space="preserve"> </w:t>
      </w:r>
      <w:r w:rsidRPr="001E6927">
        <w:rPr>
          <w:rFonts w:eastAsia="Times New Roman"/>
          <w:color w:val="000000" w:themeColor="text1"/>
          <w:sz w:val="16"/>
          <w:szCs w:val="14"/>
        </w:rPr>
        <w:t xml:space="preserve">6 = Very good; satisfies criteria in all areas.  </w:t>
      </w:r>
      <w:r w:rsidRPr="001E6927">
        <w:rPr>
          <w:rFonts w:eastAsia="Times New Roman"/>
          <w:color w:val="72AF2F"/>
          <w:sz w:val="16"/>
          <w:szCs w:val="14"/>
        </w:rPr>
        <w:sym w:font="Webdings" w:char="F067"/>
      </w:r>
      <w:r w:rsidRPr="001E6927">
        <w:rPr>
          <w:rFonts w:eastAsia="Times New Roman"/>
          <w:sz w:val="16"/>
          <w:szCs w:val="14"/>
        </w:rPr>
        <w:t xml:space="preserve"> </w:t>
      </w:r>
      <w:r w:rsidRPr="001E6927">
        <w:rPr>
          <w:rFonts w:eastAsia="Times New Roman"/>
          <w:color w:val="000000" w:themeColor="text1"/>
          <w:sz w:val="16"/>
          <w:szCs w:val="14"/>
        </w:rPr>
        <w:t>5 = Good; satisfies criteria in almost all areas.</w:t>
      </w:r>
    </w:p>
    <w:p w14:paraId="2DE5F06E" w14:textId="77777777" w:rsidR="00400B0F" w:rsidRPr="001E6927" w:rsidRDefault="00400B0F" w:rsidP="00400B0F">
      <w:pPr>
        <w:spacing w:before="20" w:after="20" w:line="180" w:lineRule="atLeast"/>
        <w:jc w:val="both"/>
        <w:rPr>
          <w:rFonts w:eastAsia="Times New Roman"/>
          <w:color w:val="000000" w:themeColor="text1"/>
          <w:sz w:val="16"/>
          <w:szCs w:val="14"/>
        </w:rPr>
      </w:pPr>
      <w:r w:rsidRPr="001E6927">
        <w:rPr>
          <w:rFonts w:eastAsia="Times New Roman"/>
          <w:color w:val="FFFF00"/>
          <w:sz w:val="16"/>
          <w:szCs w:val="14"/>
        </w:rPr>
        <w:sym w:font="Webdings" w:char="F067"/>
      </w:r>
      <w:r w:rsidRPr="001E6927">
        <w:rPr>
          <w:rFonts w:eastAsia="Times New Roman"/>
          <w:sz w:val="16"/>
          <w:szCs w:val="14"/>
        </w:rPr>
        <w:t xml:space="preserve"> </w:t>
      </w:r>
      <w:r w:rsidRPr="001E6927">
        <w:rPr>
          <w:rFonts w:eastAsia="Times New Roman"/>
          <w:color w:val="000000" w:themeColor="text1"/>
          <w:sz w:val="16"/>
          <w:szCs w:val="14"/>
        </w:rPr>
        <w:t>4 = Adequate; on balance, satisfies criteria; does not fail in any major area.</w:t>
      </w:r>
    </w:p>
    <w:p w14:paraId="69457C95" w14:textId="77777777" w:rsidR="00400B0F" w:rsidRPr="001E6927" w:rsidRDefault="00400B0F" w:rsidP="00400B0F">
      <w:pPr>
        <w:spacing w:before="20" w:after="20" w:line="180" w:lineRule="atLeast"/>
        <w:jc w:val="both"/>
        <w:rPr>
          <w:rFonts w:eastAsia="Times New Roman"/>
          <w:b/>
          <w:color w:val="000000" w:themeColor="text1"/>
          <w:sz w:val="16"/>
          <w:szCs w:val="14"/>
        </w:rPr>
      </w:pPr>
      <w:r w:rsidRPr="001E6927">
        <w:rPr>
          <w:rFonts w:eastAsia="Times New Roman"/>
          <w:b/>
          <w:color w:val="000000" w:themeColor="text1"/>
          <w:sz w:val="16"/>
          <w:szCs w:val="14"/>
        </w:rPr>
        <w:t>Less than satisfactory (1, 2 and 3)</w:t>
      </w:r>
    </w:p>
    <w:p w14:paraId="29C94B0E" w14:textId="77777777" w:rsidR="00400B0F" w:rsidRPr="001E6927" w:rsidRDefault="00400B0F" w:rsidP="00400B0F">
      <w:pPr>
        <w:spacing w:before="20" w:after="20" w:line="180" w:lineRule="atLeast"/>
        <w:jc w:val="both"/>
        <w:rPr>
          <w:rFonts w:eastAsia="Times New Roman"/>
          <w:sz w:val="16"/>
          <w:szCs w:val="14"/>
        </w:rPr>
      </w:pPr>
      <w:r w:rsidRPr="001E6927">
        <w:rPr>
          <w:rFonts w:eastAsia="Times New Roman"/>
          <w:color w:val="E36C0A"/>
          <w:sz w:val="16"/>
          <w:szCs w:val="14"/>
        </w:rPr>
        <w:sym w:font="Webdings" w:char="F067"/>
      </w:r>
      <w:r w:rsidRPr="001E6927">
        <w:rPr>
          <w:rFonts w:eastAsia="Times New Roman"/>
          <w:color w:val="E36C0A"/>
          <w:sz w:val="16"/>
          <w:szCs w:val="14"/>
        </w:rPr>
        <w:t xml:space="preserve"> </w:t>
      </w:r>
      <w:r w:rsidRPr="001E6927">
        <w:rPr>
          <w:rFonts w:eastAsia="Times New Roman"/>
          <w:color w:val="000000" w:themeColor="text1"/>
          <w:sz w:val="16"/>
          <w:szCs w:val="14"/>
        </w:rPr>
        <w:t>3 = Less than adequate; on balance does not satisfy criteria and/or fails in at least one major area.</w:t>
      </w:r>
    </w:p>
    <w:p w14:paraId="2A511348" w14:textId="77777777" w:rsidR="004E0264" w:rsidRPr="001E6927" w:rsidRDefault="00400B0F" w:rsidP="00784031">
      <w:pPr>
        <w:spacing w:before="20" w:after="20" w:line="180" w:lineRule="atLeast"/>
        <w:rPr>
          <w:rFonts w:eastAsia="Times New Roman"/>
          <w:sz w:val="16"/>
          <w:szCs w:val="14"/>
        </w:rPr>
      </w:pPr>
      <w:r w:rsidRPr="001E6927">
        <w:rPr>
          <w:rFonts w:eastAsia="Times New Roman"/>
          <w:color w:val="FF0000"/>
          <w:sz w:val="16"/>
          <w:szCs w:val="14"/>
        </w:rPr>
        <w:sym w:font="Webdings" w:char="F067"/>
      </w:r>
      <w:r w:rsidRPr="001E6927">
        <w:rPr>
          <w:rFonts w:eastAsia="Times New Roman"/>
          <w:sz w:val="16"/>
          <w:szCs w:val="14"/>
        </w:rPr>
        <w:t xml:space="preserve"> </w:t>
      </w:r>
      <w:r w:rsidRPr="001E6927">
        <w:rPr>
          <w:rFonts w:eastAsia="Times New Roman"/>
          <w:color w:val="000000" w:themeColor="text1"/>
          <w:sz w:val="16"/>
          <w:szCs w:val="14"/>
        </w:rPr>
        <w:t>2 = Poor; does not satisfy criteria in major areas.</w:t>
      </w:r>
      <w:r w:rsidRPr="001E6927">
        <w:rPr>
          <w:rFonts w:eastAsia="Times New Roman"/>
          <w:sz w:val="16"/>
          <w:szCs w:val="14"/>
        </w:rPr>
        <w:t xml:space="preserve">  </w:t>
      </w:r>
      <w:r w:rsidRPr="001E6927">
        <w:rPr>
          <w:rFonts w:eastAsia="Times New Roman"/>
          <w:color w:val="FF0000"/>
          <w:sz w:val="16"/>
          <w:szCs w:val="14"/>
        </w:rPr>
        <w:sym w:font="Webdings" w:char="F067"/>
      </w:r>
      <w:r w:rsidRPr="001E6927">
        <w:rPr>
          <w:rFonts w:eastAsia="Times New Roman"/>
          <w:sz w:val="16"/>
          <w:szCs w:val="14"/>
        </w:rPr>
        <w:t xml:space="preserve"> </w:t>
      </w:r>
      <w:r w:rsidRPr="001E6927">
        <w:rPr>
          <w:rFonts w:eastAsia="Times New Roman"/>
          <w:color w:val="000000" w:themeColor="text1"/>
          <w:sz w:val="16"/>
          <w:szCs w:val="14"/>
        </w:rPr>
        <w:t>1 = Very poor; does not satisfy criteria in many major area.</w:t>
      </w:r>
    </w:p>
    <w:p w14:paraId="035D77AB" w14:textId="77777777" w:rsidR="004E0264" w:rsidRDefault="004E0264" w:rsidP="004E0264">
      <w:r>
        <w:br w:type="page"/>
      </w:r>
    </w:p>
    <w:p w14:paraId="33C48BAD" w14:textId="77777777" w:rsidR="00400B0F" w:rsidRDefault="00400B0F" w:rsidP="00400B0F">
      <w:pPr>
        <w:spacing w:before="20" w:after="20" w:line="180" w:lineRule="atLeast"/>
        <w:rPr>
          <w:rFonts w:eastAsiaTheme="majorEastAsia" w:cstheme="majorBidi"/>
          <w:bCs/>
          <w:iCs/>
          <w:caps/>
          <w:spacing w:val="-10"/>
          <w:kern w:val="28"/>
          <w:sz w:val="38"/>
          <w:szCs w:val="24"/>
        </w:rPr>
      </w:pPr>
      <w:r w:rsidRPr="00784031">
        <w:rPr>
          <w:rFonts w:eastAsiaTheme="majorEastAsia" w:cstheme="majorBidi"/>
          <w:bCs/>
          <w:iCs/>
          <w:caps/>
          <w:spacing w:val="-10"/>
          <w:kern w:val="28"/>
          <w:sz w:val="38"/>
          <w:szCs w:val="24"/>
        </w:rPr>
        <w:lastRenderedPageBreak/>
        <w:t>Annex E – Performance Assessment Framework</w:t>
      </w:r>
    </w:p>
    <w:p w14:paraId="162F3A4D" w14:textId="77777777" w:rsidR="00CE5A9B" w:rsidRPr="00784031" w:rsidRDefault="00F12A4C" w:rsidP="00F12A4C">
      <w:pPr>
        <w:pStyle w:val="BodyText"/>
        <w:rPr>
          <w:rFonts w:eastAsiaTheme="majorEastAsia"/>
        </w:rPr>
      </w:pPr>
      <w:r>
        <w:rPr>
          <w:rFonts w:eastAsiaTheme="majorEastAsia"/>
        </w:rPr>
        <w:t>Outcomes and milestones in bold represent performance benchmarks.</w:t>
      </w:r>
    </w:p>
    <w:tbl>
      <w:tblPr>
        <w:tblW w:w="15559" w:type="dxa"/>
        <w:tblBorders>
          <w:top w:val="single" w:sz="12" w:space="0" w:color="auto"/>
          <w:bottom w:val="single" w:sz="12" w:space="0" w:color="auto"/>
        </w:tblBorders>
        <w:tblLook w:val="04A0" w:firstRow="1" w:lastRow="0" w:firstColumn="1" w:lastColumn="0" w:noHBand="0" w:noVBand="1"/>
      </w:tblPr>
      <w:tblGrid>
        <w:gridCol w:w="2093"/>
        <w:gridCol w:w="1923"/>
        <w:gridCol w:w="1924"/>
        <w:gridCol w:w="1924"/>
        <w:gridCol w:w="962"/>
        <w:gridCol w:w="961"/>
        <w:gridCol w:w="1924"/>
        <w:gridCol w:w="1924"/>
        <w:gridCol w:w="1924"/>
      </w:tblGrid>
      <w:tr w:rsidR="00CE5A9B" w:rsidRPr="00CE5A9B" w14:paraId="6076234C" w14:textId="77777777" w:rsidTr="00F12A4C">
        <w:trPr>
          <w:trHeight w:val="567"/>
          <w:tblHeader/>
        </w:trPr>
        <w:tc>
          <w:tcPr>
            <w:tcW w:w="2093" w:type="dxa"/>
            <w:shd w:val="clear" w:color="auto" w:fill="auto"/>
          </w:tcPr>
          <w:p w14:paraId="2CDC5645" w14:textId="77777777" w:rsidR="00515376" w:rsidRPr="00CE5A9B" w:rsidRDefault="00515376" w:rsidP="00CE5A9B">
            <w:pPr>
              <w:rPr>
                <w:b/>
                <w:color w:val="auto"/>
                <w:sz w:val="18"/>
                <w:szCs w:val="18"/>
              </w:rPr>
            </w:pPr>
          </w:p>
        </w:tc>
        <w:tc>
          <w:tcPr>
            <w:tcW w:w="6733" w:type="dxa"/>
            <w:gridSpan w:val="4"/>
            <w:shd w:val="clear" w:color="auto" w:fill="auto"/>
          </w:tcPr>
          <w:p w14:paraId="1BE654AF" w14:textId="77777777" w:rsidR="00515376" w:rsidRPr="00CE5A9B" w:rsidRDefault="00515376" w:rsidP="00CE5A9B">
            <w:pPr>
              <w:jc w:val="center"/>
              <w:rPr>
                <w:b/>
                <w:color w:val="auto"/>
                <w:sz w:val="18"/>
                <w:szCs w:val="18"/>
              </w:rPr>
            </w:pPr>
          </w:p>
        </w:tc>
        <w:tc>
          <w:tcPr>
            <w:tcW w:w="6733" w:type="dxa"/>
            <w:gridSpan w:val="4"/>
            <w:shd w:val="clear" w:color="auto" w:fill="auto"/>
            <w:vAlign w:val="center"/>
          </w:tcPr>
          <w:p w14:paraId="6E4B7937" w14:textId="77777777" w:rsidR="00515376" w:rsidRPr="00CE5A9B" w:rsidRDefault="00515376" w:rsidP="00F12A4C">
            <w:pPr>
              <w:rPr>
                <w:b/>
                <w:color w:val="auto"/>
                <w:sz w:val="18"/>
                <w:szCs w:val="18"/>
              </w:rPr>
            </w:pPr>
            <w:r w:rsidRPr="00CE5A9B">
              <w:rPr>
                <w:b/>
                <w:color w:val="auto"/>
                <w:sz w:val="18"/>
                <w:szCs w:val="18"/>
              </w:rPr>
              <w:t>Annual Progress Targets/Milestones</w:t>
            </w:r>
          </w:p>
        </w:tc>
      </w:tr>
      <w:tr w:rsidR="00CE5A9B" w:rsidRPr="00CE5A9B" w14:paraId="77394B52" w14:textId="77777777" w:rsidTr="00F12A4C">
        <w:trPr>
          <w:trHeight w:val="412"/>
          <w:tblHeader/>
        </w:trPr>
        <w:tc>
          <w:tcPr>
            <w:tcW w:w="2093" w:type="dxa"/>
            <w:shd w:val="clear" w:color="auto" w:fill="auto"/>
          </w:tcPr>
          <w:p w14:paraId="2F34FF3D" w14:textId="77777777" w:rsidR="00515376" w:rsidRPr="00CE5A9B" w:rsidRDefault="00515376" w:rsidP="00CE5A9B">
            <w:pPr>
              <w:rPr>
                <w:b/>
                <w:color w:val="auto"/>
                <w:sz w:val="18"/>
                <w:szCs w:val="18"/>
              </w:rPr>
            </w:pPr>
            <w:r w:rsidRPr="00CE5A9B">
              <w:rPr>
                <w:b/>
                <w:color w:val="auto"/>
                <w:sz w:val="18"/>
                <w:szCs w:val="18"/>
              </w:rPr>
              <w:t>Intermediate Outcome</w:t>
            </w:r>
          </w:p>
        </w:tc>
        <w:tc>
          <w:tcPr>
            <w:tcW w:w="1923" w:type="dxa"/>
            <w:shd w:val="clear" w:color="auto" w:fill="auto"/>
          </w:tcPr>
          <w:p w14:paraId="1F309ED4" w14:textId="77777777" w:rsidR="00515376" w:rsidRPr="00CE5A9B" w:rsidRDefault="00515376" w:rsidP="00CE5A9B">
            <w:pPr>
              <w:jc w:val="center"/>
              <w:rPr>
                <w:b/>
                <w:color w:val="auto"/>
                <w:sz w:val="18"/>
                <w:szCs w:val="18"/>
              </w:rPr>
            </w:pPr>
            <w:r w:rsidRPr="00CE5A9B">
              <w:rPr>
                <w:b/>
                <w:color w:val="auto"/>
                <w:sz w:val="18"/>
                <w:szCs w:val="18"/>
              </w:rPr>
              <w:t>Intermediate Outcome Indicator</w:t>
            </w:r>
          </w:p>
        </w:tc>
        <w:tc>
          <w:tcPr>
            <w:tcW w:w="1924" w:type="dxa"/>
            <w:shd w:val="clear" w:color="auto" w:fill="auto"/>
          </w:tcPr>
          <w:p w14:paraId="2749F26D" w14:textId="77777777" w:rsidR="00515376" w:rsidRPr="00CE5A9B" w:rsidRDefault="00515376" w:rsidP="00CE5A9B">
            <w:pPr>
              <w:jc w:val="center"/>
              <w:rPr>
                <w:b/>
                <w:color w:val="auto"/>
                <w:sz w:val="18"/>
                <w:szCs w:val="18"/>
              </w:rPr>
            </w:pPr>
            <w:r w:rsidRPr="00CE5A9B">
              <w:rPr>
                <w:b/>
                <w:color w:val="auto"/>
                <w:sz w:val="18"/>
                <w:szCs w:val="18"/>
              </w:rPr>
              <w:t>Milestone</w:t>
            </w:r>
          </w:p>
          <w:p w14:paraId="5AE5F70B" w14:textId="77777777" w:rsidR="00515376" w:rsidRPr="00CE5A9B" w:rsidRDefault="00515376" w:rsidP="00CE5A9B">
            <w:pPr>
              <w:jc w:val="center"/>
              <w:rPr>
                <w:b/>
                <w:color w:val="auto"/>
                <w:sz w:val="18"/>
                <w:szCs w:val="18"/>
              </w:rPr>
            </w:pPr>
            <w:r w:rsidRPr="00CE5A9B">
              <w:rPr>
                <w:b/>
                <w:color w:val="auto"/>
                <w:sz w:val="18"/>
                <w:szCs w:val="18"/>
              </w:rPr>
              <w:t>2015-2016</w:t>
            </w:r>
          </w:p>
        </w:tc>
        <w:tc>
          <w:tcPr>
            <w:tcW w:w="1924" w:type="dxa"/>
            <w:shd w:val="clear" w:color="auto" w:fill="auto"/>
          </w:tcPr>
          <w:p w14:paraId="43434AB8" w14:textId="77777777" w:rsidR="00515376" w:rsidRPr="00CE5A9B" w:rsidRDefault="00515376" w:rsidP="00CE5A9B">
            <w:pPr>
              <w:jc w:val="center"/>
              <w:rPr>
                <w:b/>
                <w:color w:val="auto"/>
                <w:sz w:val="18"/>
                <w:szCs w:val="18"/>
              </w:rPr>
            </w:pPr>
            <w:r w:rsidRPr="00CE5A9B">
              <w:rPr>
                <w:b/>
                <w:color w:val="auto"/>
                <w:sz w:val="18"/>
                <w:szCs w:val="18"/>
              </w:rPr>
              <w:t>Milestone</w:t>
            </w:r>
          </w:p>
          <w:p w14:paraId="07965A00" w14:textId="77777777" w:rsidR="00515376" w:rsidRPr="00CE5A9B" w:rsidRDefault="00515376" w:rsidP="00CE5A9B">
            <w:pPr>
              <w:jc w:val="center"/>
              <w:rPr>
                <w:b/>
                <w:color w:val="auto"/>
                <w:sz w:val="18"/>
                <w:szCs w:val="18"/>
              </w:rPr>
            </w:pPr>
            <w:r w:rsidRPr="00CE5A9B">
              <w:rPr>
                <w:b/>
                <w:color w:val="auto"/>
                <w:sz w:val="18"/>
                <w:szCs w:val="18"/>
              </w:rPr>
              <w:t>2016-2017</w:t>
            </w:r>
          </w:p>
        </w:tc>
        <w:tc>
          <w:tcPr>
            <w:tcW w:w="1923" w:type="dxa"/>
            <w:gridSpan w:val="2"/>
            <w:shd w:val="clear" w:color="auto" w:fill="auto"/>
          </w:tcPr>
          <w:p w14:paraId="2E076DB8" w14:textId="77777777" w:rsidR="00515376" w:rsidRPr="00CE5A9B" w:rsidRDefault="00515376" w:rsidP="00CE5A9B">
            <w:pPr>
              <w:jc w:val="center"/>
              <w:rPr>
                <w:b/>
                <w:color w:val="auto"/>
                <w:sz w:val="18"/>
                <w:szCs w:val="18"/>
              </w:rPr>
            </w:pPr>
            <w:r w:rsidRPr="00CE5A9B">
              <w:rPr>
                <w:b/>
                <w:color w:val="auto"/>
                <w:sz w:val="18"/>
                <w:szCs w:val="18"/>
              </w:rPr>
              <w:t>Milestone</w:t>
            </w:r>
          </w:p>
          <w:p w14:paraId="6E08FCC4" w14:textId="77777777" w:rsidR="00515376" w:rsidRPr="00CE5A9B" w:rsidRDefault="00515376" w:rsidP="00CE5A9B">
            <w:pPr>
              <w:jc w:val="center"/>
              <w:rPr>
                <w:b/>
                <w:color w:val="auto"/>
                <w:sz w:val="18"/>
                <w:szCs w:val="18"/>
              </w:rPr>
            </w:pPr>
            <w:r w:rsidRPr="00CE5A9B">
              <w:rPr>
                <w:b/>
                <w:color w:val="auto"/>
                <w:sz w:val="18"/>
                <w:szCs w:val="18"/>
              </w:rPr>
              <w:t>2017-2018</w:t>
            </w:r>
          </w:p>
        </w:tc>
        <w:tc>
          <w:tcPr>
            <w:tcW w:w="1924" w:type="dxa"/>
            <w:shd w:val="clear" w:color="auto" w:fill="auto"/>
          </w:tcPr>
          <w:p w14:paraId="69D5CBA2" w14:textId="77777777" w:rsidR="00515376" w:rsidRPr="00CE5A9B" w:rsidRDefault="00515376" w:rsidP="00CE5A9B">
            <w:pPr>
              <w:jc w:val="center"/>
              <w:rPr>
                <w:b/>
                <w:color w:val="auto"/>
                <w:sz w:val="18"/>
                <w:szCs w:val="18"/>
              </w:rPr>
            </w:pPr>
            <w:r w:rsidRPr="00CE5A9B">
              <w:rPr>
                <w:b/>
                <w:color w:val="auto"/>
                <w:sz w:val="18"/>
                <w:szCs w:val="18"/>
              </w:rPr>
              <w:t>Milestone</w:t>
            </w:r>
          </w:p>
          <w:p w14:paraId="49F1FD5D" w14:textId="77777777" w:rsidR="00515376" w:rsidRPr="00CE5A9B" w:rsidRDefault="00515376" w:rsidP="00CE5A9B">
            <w:pPr>
              <w:jc w:val="center"/>
              <w:rPr>
                <w:b/>
                <w:color w:val="auto"/>
                <w:sz w:val="18"/>
                <w:szCs w:val="18"/>
              </w:rPr>
            </w:pPr>
            <w:r w:rsidRPr="00CE5A9B">
              <w:rPr>
                <w:b/>
                <w:color w:val="auto"/>
                <w:sz w:val="18"/>
                <w:szCs w:val="18"/>
              </w:rPr>
              <w:t>2018-2019</w:t>
            </w:r>
          </w:p>
        </w:tc>
        <w:tc>
          <w:tcPr>
            <w:tcW w:w="1924" w:type="dxa"/>
          </w:tcPr>
          <w:p w14:paraId="6391A7C2" w14:textId="77777777" w:rsidR="00515376" w:rsidRPr="00CE5A9B" w:rsidRDefault="00515376" w:rsidP="00CE5A9B">
            <w:pPr>
              <w:jc w:val="center"/>
              <w:rPr>
                <w:b/>
                <w:color w:val="auto"/>
                <w:sz w:val="18"/>
                <w:szCs w:val="18"/>
              </w:rPr>
            </w:pPr>
            <w:r w:rsidRPr="00CE5A9B">
              <w:rPr>
                <w:b/>
                <w:color w:val="auto"/>
                <w:sz w:val="18"/>
                <w:szCs w:val="18"/>
              </w:rPr>
              <w:t>Milestone</w:t>
            </w:r>
          </w:p>
          <w:p w14:paraId="65DDA88C" w14:textId="77777777" w:rsidR="00515376" w:rsidRPr="00CE5A9B" w:rsidRDefault="00515376" w:rsidP="00CE5A9B">
            <w:pPr>
              <w:jc w:val="center"/>
              <w:rPr>
                <w:b/>
                <w:color w:val="auto"/>
                <w:sz w:val="18"/>
                <w:szCs w:val="18"/>
              </w:rPr>
            </w:pPr>
            <w:r w:rsidRPr="00CE5A9B">
              <w:rPr>
                <w:b/>
                <w:color w:val="auto"/>
                <w:sz w:val="18"/>
                <w:szCs w:val="18"/>
              </w:rPr>
              <w:t>2019-2020</w:t>
            </w:r>
          </w:p>
        </w:tc>
        <w:tc>
          <w:tcPr>
            <w:tcW w:w="1924" w:type="dxa"/>
          </w:tcPr>
          <w:p w14:paraId="0397F25B" w14:textId="77777777" w:rsidR="00515376" w:rsidRPr="00CE5A9B" w:rsidRDefault="00515376" w:rsidP="00CE5A9B">
            <w:pPr>
              <w:jc w:val="center"/>
              <w:rPr>
                <w:b/>
                <w:color w:val="auto"/>
                <w:sz w:val="18"/>
                <w:szCs w:val="18"/>
              </w:rPr>
            </w:pPr>
            <w:r w:rsidRPr="00CE5A9B">
              <w:rPr>
                <w:b/>
                <w:color w:val="auto"/>
                <w:sz w:val="18"/>
                <w:szCs w:val="18"/>
              </w:rPr>
              <w:t>Data source and baseline</w:t>
            </w:r>
          </w:p>
        </w:tc>
      </w:tr>
      <w:tr w:rsidR="00CE5A9B" w:rsidRPr="00CE5A9B" w14:paraId="5C94634A" w14:textId="77777777" w:rsidTr="00CE5A9B">
        <w:trPr>
          <w:trHeight w:val="567"/>
        </w:trPr>
        <w:tc>
          <w:tcPr>
            <w:tcW w:w="2093" w:type="dxa"/>
            <w:shd w:val="clear" w:color="auto" w:fill="auto"/>
            <w:vAlign w:val="center"/>
          </w:tcPr>
          <w:p w14:paraId="6C0B86D1" w14:textId="77777777" w:rsidR="00515376" w:rsidRPr="00CE5A9B" w:rsidRDefault="00515376" w:rsidP="00CE5A9B">
            <w:pPr>
              <w:rPr>
                <w:b/>
                <w:color w:val="auto"/>
                <w:sz w:val="18"/>
                <w:szCs w:val="18"/>
              </w:rPr>
            </w:pPr>
            <w:r w:rsidRPr="00CE5A9B">
              <w:rPr>
                <w:b/>
                <w:color w:val="auto"/>
                <w:sz w:val="18"/>
                <w:szCs w:val="18"/>
              </w:rPr>
              <w:t>Australia’s aid objective 1</w:t>
            </w:r>
          </w:p>
        </w:tc>
        <w:tc>
          <w:tcPr>
            <w:tcW w:w="13466" w:type="dxa"/>
            <w:gridSpan w:val="8"/>
            <w:shd w:val="clear" w:color="auto" w:fill="auto"/>
            <w:vAlign w:val="center"/>
          </w:tcPr>
          <w:p w14:paraId="113FEDD9" w14:textId="77777777" w:rsidR="00515376" w:rsidRPr="00CE5A9B" w:rsidRDefault="00515376" w:rsidP="00CE5A9B">
            <w:pPr>
              <w:rPr>
                <w:b/>
                <w:color w:val="auto"/>
                <w:sz w:val="18"/>
                <w:szCs w:val="18"/>
              </w:rPr>
            </w:pPr>
            <w:r w:rsidRPr="00CE5A9B">
              <w:rPr>
                <w:b/>
                <w:color w:val="auto"/>
                <w:sz w:val="18"/>
                <w:szCs w:val="18"/>
              </w:rPr>
              <w:t>Enabling and engaging the private sector for development</w:t>
            </w:r>
          </w:p>
        </w:tc>
      </w:tr>
      <w:tr w:rsidR="00CE5A9B" w:rsidRPr="00CE5A9B" w14:paraId="4E27E76C" w14:textId="77777777" w:rsidTr="00F12A4C">
        <w:tc>
          <w:tcPr>
            <w:tcW w:w="2093" w:type="dxa"/>
            <w:shd w:val="clear" w:color="auto" w:fill="auto"/>
          </w:tcPr>
          <w:p w14:paraId="43B1F655" w14:textId="77777777" w:rsidR="00515376" w:rsidRPr="00CE5A9B" w:rsidRDefault="00515376" w:rsidP="00CE5A9B">
            <w:pPr>
              <w:rPr>
                <w:b/>
                <w:color w:val="auto"/>
                <w:sz w:val="18"/>
                <w:szCs w:val="18"/>
              </w:rPr>
            </w:pPr>
            <w:r w:rsidRPr="00CE5A9B">
              <w:rPr>
                <w:b/>
                <w:color w:val="auto"/>
                <w:sz w:val="18"/>
                <w:szCs w:val="18"/>
              </w:rPr>
              <w:t>1.1  Value-for-money transport infrastructure demonstrated and enabled</w:t>
            </w:r>
          </w:p>
        </w:tc>
        <w:tc>
          <w:tcPr>
            <w:tcW w:w="1923" w:type="dxa"/>
            <w:shd w:val="clear" w:color="auto" w:fill="auto"/>
          </w:tcPr>
          <w:p w14:paraId="1D43FCAA" w14:textId="77777777" w:rsidR="00515376" w:rsidRPr="00CE5A9B" w:rsidRDefault="00515376" w:rsidP="00CE5A9B">
            <w:pPr>
              <w:rPr>
                <w:b/>
                <w:color w:val="auto"/>
                <w:sz w:val="18"/>
                <w:szCs w:val="18"/>
              </w:rPr>
            </w:pPr>
            <w:r w:rsidRPr="00CE5A9B">
              <w:rPr>
                <w:b/>
                <w:color w:val="auto"/>
                <w:sz w:val="18"/>
                <w:szCs w:val="18"/>
              </w:rPr>
              <w:t>Cao Lanh Bridge built and utilised</w:t>
            </w:r>
          </w:p>
        </w:tc>
        <w:tc>
          <w:tcPr>
            <w:tcW w:w="1924" w:type="dxa"/>
            <w:shd w:val="clear" w:color="auto" w:fill="auto"/>
          </w:tcPr>
          <w:p w14:paraId="5440BACE" w14:textId="77777777" w:rsidR="00515376" w:rsidRPr="00CE5A9B" w:rsidRDefault="00515376" w:rsidP="00CE5A9B">
            <w:pPr>
              <w:rPr>
                <w:b/>
                <w:color w:val="auto"/>
                <w:sz w:val="18"/>
                <w:szCs w:val="18"/>
              </w:rPr>
            </w:pPr>
            <w:r w:rsidRPr="00CE5A9B">
              <w:rPr>
                <w:b/>
                <w:color w:val="auto"/>
                <w:sz w:val="18"/>
                <w:szCs w:val="18"/>
              </w:rPr>
              <w:t>60% construction complete</w:t>
            </w:r>
          </w:p>
        </w:tc>
        <w:tc>
          <w:tcPr>
            <w:tcW w:w="1924" w:type="dxa"/>
            <w:shd w:val="clear" w:color="auto" w:fill="auto"/>
          </w:tcPr>
          <w:p w14:paraId="524B61C1" w14:textId="77777777" w:rsidR="00515376" w:rsidRPr="00CE5A9B" w:rsidRDefault="00515376" w:rsidP="00CE5A9B">
            <w:pPr>
              <w:rPr>
                <w:b/>
                <w:color w:val="auto"/>
                <w:sz w:val="18"/>
                <w:szCs w:val="18"/>
              </w:rPr>
            </w:pPr>
            <w:r w:rsidRPr="00CE5A9B">
              <w:rPr>
                <w:b/>
                <w:color w:val="auto"/>
                <w:sz w:val="18"/>
                <w:szCs w:val="18"/>
              </w:rPr>
              <w:t>90% construction complete</w:t>
            </w:r>
          </w:p>
        </w:tc>
        <w:tc>
          <w:tcPr>
            <w:tcW w:w="1923" w:type="dxa"/>
            <w:gridSpan w:val="2"/>
            <w:shd w:val="clear" w:color="auto" w:fill="auto"/>
          </w:tcPr>
          <w:p w14:paraId="30F1F8B0" w14:textId="77777777" w:rsidR="00515376" w:rsidRPr="00CE5A9B" w:rsidRDefault="00515376" w:rsidP="00CE5A9B">
            <w:pPr>
              <w:rPr>
                <w:b/>
                <w:color w:val="auto"/>
                <w:sz w:val="18"/>
                <w:szCs w:val="18"/>
              </w:rPr>
            </w:pPr>
            <w:r w:rsidRPr="00CE5A9B">
              <w:rPr>
                <w:b/>
                <w:color w:val="auto"/>
                <w:sz w:val="18"/>
                <w:szCs w:val="18"/>
              </w:rPr>
              <w:t xml:space="preserve">100% construction complete; 170,000 passengers per day traffic volume; travel time from Ho Chi Minh to Long Xuyen reduced from 3-3.5 hours to 2.5 hours </w:t>
            </w:r>
          </w:p>
        </w:tc>
        <w:tc>
          <w:tcPr>
            <w:tcW w:w="1924" w:type="dxa"/>
            <w:shd w:val="clear" w:color="auto" w:fill="auto"/>
          </w:tcPr>
          <w:p w14:paraId="4DDE4E08" w14:textId="77777777" w:rsidR="00515376" w:rsidRPr="00CE5A9B" w:rsidRDefault="00515376" w:rsidP="00F12A4C">
            <w:pPr>
              <w:rPr>
                <w:b/>
                <w:color w:val="auto"/>
                <w:sz w:val="18"/>
                <w:szCs w:val="18"/>
              </w:rPr>
            </w:pPr>
            <w:r w:rsidRPr="00CE5A9B">
              <w:rPr>
                <w:b/>
                <w:color w:val="auto"/>
                <w:sz w:val="18"/>
                <w:szCs w:val="18"/>
              </w:rPr>
              <w:t xml:space="preserve">170,000 passengers per day traffic volume; travel time from Ho Chi Minh to Long Xuyen reduced from 3-3.5 hours to 2.5 hours </w:t>
            </w:r>
          </w:p>
        </w:tc>
        <w:tc>
          <w:tcPr>
            <w:tcW w:w="1924" w:type="dxa"/>
          </w:tcPr>
          <w:p w14:paraId="6464576E" w14:textId="77777777" w:rsidR="00515376" w:rsidRPr="00CE5A9B" w:rsidRDefault="00515376" w:rsidP="00CE5A9B">
            <w:pPr>
              <w:rPr>
                <w:b/>
                <w:color w:val="auto"/>
                <w:sz w:val="18"/>
                <w:szCs w:val="18"/>
              </w:rPr>
            </w:pPr>
            <w:r w:rsidRPr="00CE5A9B">
              <w:rPr>
                <w:b/>
                <w:color w:val="auto"/>
                <w:sz w:val="18"/>
                <w:szCs w:val="18"/>
              </w:rPr>
              <w:t>170,000 passengers benefit daily from project;</w:t>
            </w:r>
          </w:p>
          <w:p w14:paraId="787AFE95" w14:textId="77777777" w:rsidR="00515376" w:rsidRPr="00CE5A9B" w:rsidRDefault="00515376" w:rsidP="00CE5A9B">
            <w:pPr>
              <w:rPr>
                <w:b/>
                <w:color w:val="auto"/>
                <w:sz w:val="18"/>
                <w:szCs w:val="18"/>
              </w:rPr>
            </w:pPr>
            <w:r w:rsidRPr="00CE5A9B">
              <w:rPr>
                <w:b/>
                <w:color w:val="auto"/>
                <w:sz w:val="18"/>
                <w:szCs w:val="18"/>
              </w:rPr>
              <w:t>five million residents of An Giang, Can Tho and Dong Thap provinces benefit from improved regional trade</w:t>
            </w:r>
          </w:p>
        </w:tc>
        <w:tc>
          <w:tcPr>
            <w:tcW w:w="1924" w:type="dxa"/>
          </w:tcPr>
          <w:p w14:paraId="2185A25A" w14:textId="77777777" w:rsidR="00515376" w:rsidRPr="00CE5A9B" w:rsidRDefault="00515376" w:rsidP="00CE5A9B">
            <w:pPr>
              <w:rPr>
                <w:b/>
                <w:color w:val="auto"/>
                <w:sz w:val="18"/>
                <w:szCs w:val="18"/>
              </w:rPr>
            </w:pPr>
            <w:r w:rsidRPr="00CE5A9B">
              <w:rPr>
                <w:b/>
                <w:color w:val="auto"/>
                <w:sz w:val="18"/>
                <w:szCs w:val="18"/>
              </w:rPr>
              <w:t>Traffic and travel time surveys</w:t>
            </w:r>
          </w:p>
          <w:p w14:paraId="1EB212DD" w14:textId="77777777" w:rsidR="00515376" w:rsidRPr="00CE5A9B" w:rsidRDefault="00515376" w:rsidP="00CE5A9B">
            <w:pPr>
              <w:rPr>
                <w:b/>
                <w:color w:val="auto"/>
                <w:sz w:val="18"/>
                <w:szCs w:val="18"/>
              </w:rPr>
            </w:pPr>
            <w:r w:rsidRPr="00CE5A9B">
              <w:rPr>
                <w:b/>
                <w:color w:val="auto"/>
                <w:sz w:val="18"/>
                <w:szCs w:val="18"/>
              </w:rPr>
              <w:t>Report from review missions.</w:t>
            </w:r>
          </w:p>
          <w:p w14:paraId="308A7CA8" w14:textId="77777777" w:rsidR="00515376" w:rsidRPr="00CE5A9B" w:rsidRDefault="00515376" w:rsidP="00CE5A9B">
            <w:pPr>
              <w:rPr>
                <w:b/>
                <w:color w:val="auto"/>
                <w:sz w:val="18"/>
                <w:szCs w:val="18"/>
              </w:rPr>
            </w:pPr>
            <w:r w:rsidRPr="00CE5A9B">
              <w:rPr>
                <w:b/>
                <w:color w:val="auto"/>
                <w:sz w:val="18"/>
                <w:szCs w:val="18"/>
              </w:rPr>
              <w:t>Reports from the DDIS TA consultants</w:t>
            </w:r>
          </w:p>
          <w:p w14:paraId="4BDD00BD" w14:textId="77777777" w:rsidR="00515376" w:rsidRPr="00CE5A9B" w:rsidRDefault="00515376" w:rsidP="00CE5A9B">
            <w:pPr>
              <w:rPr>
                <w:b/>
                <w:color w:val="auto"/>
                <w:sz w:val="18"/>
                <w:szCs w:val="18"/>
              </w:rPr>
            </w:pPr>
            <w:r w:rsidRPr="00CE5A9B">
              <w:rPr>
                <w:b/>
                <w:color w:val="auto"/>
                <w:sz w:val="18"/>
                <w:szCs w:val="18"/>
              </w:rPr>
              <w:t>Project Completion report</w:t>
            </w:r>
          </w:p>
          <w:p w14:paraId="787225FA" w14:textId="77777777" w:rsidR="00515376" w:rsidRPr="00CE5A9B" w:rsidRDefault="00515376" w:rsidP="00CE5A9B">
            <w:pPr>
              <w:rPr>
                <w:b/>
                <w:color w:val="auto"/>
                <w:sz w:val="18"/>
                <w:szCs w:val="18"/>
              </w:rPr>
            </w:pPr>
            <w:r w:rsidRPr="00CE5A9B">
              <w:rPr>
                <w:b/>
                <w:color w:val="auto"/>
                <w:sz w:val="18"/>
                <w:szCs w:val="18"/>
              </w:rPr>
              <w:t>Benefit monitoring and evaluation report</w:t>
            </w:r>
          </w:p>
        </w:tc>
      </w:tr>
      <w:tr w:rsidR="00CE5A9B" w:rsidRPr="00CE5A9B" w14:paraId="554445B9" w14:textId="77777777" w:rsidTr="00F12A4C">
        <w:tc>
          <w:tcPr>
            <w:tcW w:w="2093" w:type="dxa"/>
            <w:shd w:val="clear" w:color="auto" w:fill="auto"/>
          </w:tcPr>
          <w:p w14:paraId="6BE600F5" w14:textId="77777777" w:rsidR="00515376" w:rsidRPr="00CE5A9B" w:rsidRDefault="00515376" w:rsidP="00CE5A9B">
            <w:pPr>
              <w:rPr>
                <w:color w:val="auto"/>
                <w:sz w:val="18"/>
                <w:szCs w:val="18"/>
              </w:rPr>
            </w:pPr>
          </w:p>
        </w:tc>
        <w:tc>
          <w:tcPr>
            <w:tcW w:w="1923" w:type="dxa"/>
            <w:shd w:val="clear" w:color="auto" w:fill="auto"/>
          </w:tcPr>
          <w:p w14:paraId="71BFB854" w14:textId="77777777" w:rsidR="00515376" w:rsidRPr="00CE5A9B" w:rsidRDefault="00515376" w:rsidP="00CE5A9B">
            <w:pPr>
              <w:rPr>
                <w:color w:val="auto"/>
                <w:sz w:val="18"/>
                <w:szCs w:val="18"/>
              </w:rPr>
            </w:pPr>
            <w:r w:rsidRPr="00CE5A9B">
              <w:rPr>
                <w:color w:val="auto"/>
                <w:sz w:val="18"/>
                <w:szCs w:val="18"/>
              </w:rPr>
              <w:t>Enhanced ODA project preparation including  technical quality, capacity building and  streamlined approval process</w:t>
            </w:r>
          </w:p>
        </w:tc>
        <w:tc>
          <w:tcPr>
            <w:tcW w:w="1924" w:type="dxa"/>
            <w:shd w:val="clear" w:color="auto" w:fill="auto"/>
          </w:tcPr>
          <w:p w14:paraId="630F5C22" w14:textId="77777777" w:rsidR="00515376" w:rsidRPr="00CE5A9B" w:rsidRDefault="00515376" w:rsidP="00CE5A9B">
            <w:pPr>
              <w:rPr>
                <w:color w:val="auto"/>
                <w:sz w:val="18"/>
                <w:szCs w:val="18"/>
              </w:rPr>
            </w:pPr>
            <w:r w:rsidRPr="00CE5A9B">
              <w:rPr>
                <w:color w:val="auto"/>
                <w:sz w:val="18"/>
                <w:szCs w:val="18"/>
              </w:rPr>
              <w:t>Investment concept</w:t>
            </w:r>
          </w:p>
        </w:tc>
        <w:tc>
          <w:tcPr>
            <w:tcW w:w="1924" w:type="dxa"/>
            <w:shd w:val="clear" w:color="auto" w:fill="auto"/>
          </w:tcPr>
          <w:p w14:paraId="5F4E7AA9" w14:textId="77777777" w:rsidR="00515376" w:rsidRPr="00CE5A9B" w:rsidRDefault="00515376" w:rsidP="00CE5A9B">
            <w:pPr>
              <w:rPr>
                <w:color w:val="auto"/>
                <w:sz w:val="18"/>
                <w:szCs w:val="18"/>
              </w:rPr>
            </w:pPr>
            <w:r w:rsidRPr="00CE5A9B">
              <w:rPr>
                <w:color w:val="auto"/>
                <w:sz w:val="18"/>
                <w:szCs w:val="18"/>
              </w:rPr>
              <w:t>Investment design complete</w:t>
            </w:r>
          </w:p>
        </w:tc>
        <w:tc>
          <w:tcPr>
            <w:tcW w:w="1923" w:type="dxa"/>
            <w:gridSpan w:val="2"/>
            <w:shd w:val="clear" w:color="auto" w:fill="auto"/>
          </w:tcPr>
          <w:p w14:paraId="60C49E54" w14:textId="77777777" w:rsidR="00515376" w:rsidRPr="00CE5A9B" w:rsidRDefault="00515376" w:rsidP="00CE5A9B">
            <w:pPr>
              <w:rPr>
                <w:color w:val="auto"/>
                <w:sz w:val="18"/>
                <w:szCs w:val="18"/>
              </w:rPr>
            </w:pPr>
            <w:r w:rsidRPr="00CE5A9B">
              <w:rPr>
                <w:color w:val="auto"/>
                <w:sz w:val="18"/>
                <w:szCs w:val="18"/>
              </w:rPr>
              <w:t>3 pre-feasibility studies completed</w:t>
            </w:r>
          </w:p>
        </w:tc>
        <w:tc>
          <w:tcPr>
            <w:tcW w:w="1924" w:type="dxa"/>
            <w:shd w:val="clear" w:color="auto" w:fill="auto"/>
          </w:tcPr>
          <w:p w14:paraId="71FADCCC" w14:textId="77777777" w:rsidR="00515376" w:rsidRPr="00CE5A9B" w:rsidRDefault="00515376" w:rsidP="00CE5A9B">
            <w:pPr>
              <w:rPr>
                <w:color w:val="auto"/>
                <w:sz w:val="18"/>
                <w:szCs w:val="18"/>
              </w:rPr>
            </w:pPr>
            <w:r w:rsidRPr="00CE5A9B">
              <w:rPr>
                <w:color w:val="auto"/>
                <w:sz w:val="18"/>
                <w:szCs w:val="18"/>
              </w:rPr>
              <w:t>3 pre-feasibility studies completed; co-financing of demonstration infrastructure</w:t>
            </w:r>
          </w:p>
        </w:tc>
        <w:tc>
          <w:tcPr>
            <w:tcW w:w="1924" w:type="dxa"/>
          </w:tcPr>
          <w:p w14:paraId="3FF5679C" w14:textId="77777777" w:rsidR="00515376" w:rsidRPr="00CE5A9B" w:rsidRDefault="00515376" w:rsidP="00F12A4C">
            <w:pPr>
              <w:rPr>
                <w:color w:val="auto"/>
                <w:sz w:val="18"/>
                <w:szCs w:val="18"/>
              </w:rPr>
            </w:pPr>
            <w:r w:rsidRPr="00CE5A9B">
              <w:rPr>
                <w:color w:val="auto"/>
                <w:sz w:val="18"/>
                <w:szCs w:val="18"/>
              </w:rPr>
              <w:t>4 pre-feasibility  studies completed; larger pipeline of investments for financing; improved MOT approach to pre-feasibility</w:t>
            </w:r>
          </w:p>
        </w:tc>
        <w:tc>
          <w:tcPr>
            <w:tcW w:w="1924" w:type="dxa"/>
          </w:tcPr>
          <w:p w14:paraId="44949BEC" w14:textId="77777777" w:rsidR="00515376" w:rsidRPr="00CE5A9B" w:rsidRDefault="00515376" w:rsidP="00CE5A9B">
            <w:pPr>
              <w:rPr>
                <w:color w:val="auto"/>
                <w:sz w:val="18"/>
                <w:szCs w:val="18"/>
              </w:rPr>
            </w:pPr>
            <w:r w:rsidRPr="00CE5A9B">
              <w:rPr>
                <w:color w:val="auto"/>
                <w:sz w:val="18"/>
                <w:szCs w:val="18"/>
              </w:rPr>
              <w:t>Investment documents</w:t>
            </w:r>
          </w:p>
          <w:p w14:paraId="142E74D2" w14:textId="77777777" w:rsidR="00515376" w:rsidRPr="00CE5A9B" w:rsidRDefault="00515376" w:rsidP="00CE5A9B">
            <w:pPr>
              <w:rPr>
                <w:color w:val="auto"/>
                <w:sz w:val="18"/>
                <w:szCs w:val="18"/>
              </w:rPr>
            </w:pPr>
            <w:r w:rsidRPr="00CE5A9B">
              <w:rPr>
                <w:color w:val="auto"/>
                <w:sz w:val="18"/>
                <w:szCs w:val="18"/>
              </w:rPr>
              <w:t>Baseline: aid investment analytical assessment</w:t>
            </w:r>
          </w:p>
        </w:tc>
      </w:tr>
      <w:tr w:rsidR="00CE5A9B" w:rsidRPr="00CE5A9B" w14:paraId="20DE7768" w14:textId="77777777" w:rsidTr="00F12A4C">
        <w:tc>
          <w:tcPr>
            <w:tcW w:w="2093" w:type="dxa"/>
            <w:shd w:val="clear" w:color="auto" w:fill="auto"/>
          </w:tcPr>
          <w:p w14:paraId="3733B535" w14:textId="77777777" w:rsidR="00515376" w:rsidRPr="00CE5A9B" w:rsidRDefault="00515376" w:rsidP="00CE5A9B">
            <w:pPr>
              <w:rPr>
                <w:b/>
                <w:color w:val="auto"/>
                <w:sz w:val="18"/>
                <w:szCs w:val="18"/>
              </w:rPr>
            </w:pPr>
            <w:r w:rsidRPr="00CE5A9B">
              <w:rPr>
                <w:b/>
                <w:color w:val="auto"/>
                <w:sz w:val="18"/>
                <w:szCs w:val="18"/>
              </w:rPr>
              <w:t>1.2 Promotion of innovative enterprises to enhance service delivery</w:t>
            </w:r>
          </w:p>
        </w:tc>
        <w:tc>
          <w:tcPr>
            <w:tcW w:w="1923" w:type="dxa"/>
            <w:shd w:val="clear" w:color="auto" w:fill="auto"/>
          </w:tcPr>
          <w:p w14:paraId="55BB746A" w14:textId="77777777" w:rsidR="00515376" w:rsidRPr="00CE5A9B" w:rsidRDefault="00515376" w:rsidP="00F12A4C">
            <w:pPr>
              <w:rPr>
                <w:b/>
                <w:color w:val="auto"/>
                <w:sz w:val="18"/>
                <w:szCs w:val="18"/>
              </w:rPr>
            </w:pPr>
            <w:r w:rsidRPr="00CE5A9B">
              <w:rPr>
                <w:b/>
                <w:color w:val="auto"/>
                <w:sz w:val="18"/>
                <w:szCs w:val="18"/>
              </w:rPr>
              <w:t xml:space="preserve">Innovative business models developing and utilising climate smart technology </w:t>
            </w:r>
          </w:p>
        </w:tc>
        <w:tc>
          <w:tcPr>
            <w:tcW w:w="1924" w:type="dxa"/>
            <w:shd w:val="clear" w:color="auto" w:fill="auto"/>
          </w:tcPr>
          <w:p w14:paraId="136DEF43" w14:textId="77777777" w:rsidR="00515376" w:rsidRPr="00CE5A9B" w:rsidRDefault="00515376" w:rsidP="00CE5A9B">
            <w:pPr>
              <w:rPr>
                <w:b/>
                <w:color w:val="auto"/>
                <w:sz w:val="18"/>
                <w:szCs w:val="18"/>
              </w:rPr>
            </w:pPr>
            <w:r w:rsidRPr="00CE5A9B">
              <w:rPr>
                <w:b/>
                <w:color w:val="auto"/>
                <w:sz w:val="18"/>
                <w:szCs w:val="18"/>
              </w:rPr>
              <w:t>Investment launch</w:t>
            </w:r>
          </w:p>
        </w:tc>
        <w:tc>
          <w:tcPr>
            <w:tcW w:w="1924" w:type="dxa"/>
            <w:shd w:val="clear" w:color="auto" w:fill="auto"/>
          </w:tcPr>
          <w:p w14:paraId="7B808E44" w14:textId="77777777" w:rsidR="00515376" w:rsidRPr="00CE5A9B" w:rsidRDefault="00515376" w:rsidP="00CE5A9B">
            <w:pPr>
              <w:rPr>
                <w:b/>
                <w:color w:val="auto"/>
                <w:sz w:val="18"/>
                <w:szCs w:val="18"/>
              </w:rPr>
            </w:pPr>
            <w:r w:rsidRPr="00CE5A9B">
              <w:rPr>
                <w:b/>
                <w:color w:val="auto"/>
                <w:sz w:val="18"/>
                <w:szCs w:val="18"/>
              </w:rPr>
              <w:t>24 enterprises receiving grants</w:t>
            </w:r>
          </w:p>
        </w:tc>
        <w:tc>
          <w:tcPr>
            <w:tcW w:w="1923" w:type="dxa"/>
            <w:gridSpan w:val="2"/>
            <w:shd w:val="clear" w:color="auto" w:fill="auto"/>
          </w:tcPr>
          <w:p w14:paraId="0DDEB800" w14:textId="77777777" w:rsidR="00515376" w:rsidRPr="00CE5A9B" w:rsidRDefault="00515376" w:rsidP="00F12A4C">
            <w:pPr>
              <w:rPr>
                <w:b/>
                <w:color w:val="auto"/>
                <w:sz w:val="18"/>
                <w:szCs w:val="18"/>
              </w:rPr>
            </w:pPr>
            <w:r w:rsidRPr="00CE5A9B">
              <w:rPr>
                <w:b/>
                <w:color w:val="auto"/>
                <w:sz w:val="18"/>
                <w:szCs w:val="18"/>
              </w:rPr>
              <w:t>24 enterprises receiving grants; 14 enterprises raising early stage finance</w:t>
            </w:r>
          </w:p>
        </w:tc>
        <w:tc>
          <w:tcPr>
            <w:tcW w:w="1924" w:type="dxa"/>
            <w:shd w:val="clear" w:color="auto" w:fill="auto"/>
          </w:tcPr>
          <w:p w14:paraId="34457DB1" w14:textId="77777777" w:rsidR="00515376" w:rsidRPr="00CE5A9B" w:rsidRDefault="00515376" w:rsidP="00CE5A9B">
            <w:pPr>
              <w:rPr>
                <w:b/>
                <w:color w:val="auto"/>
                <w:sz w:val="18"/>
                <w:szCs w:val="18"/>
              </w:rPr>
            </w:pPr>
            <w:r w:rsidRPr="00CE5A9B">
              <w:rPr>
                <w:b/>
                <w:color w:val="auto"/>
                <w:sz w:val="18"/>
                <w:szCs w:val="18"/>
              </w:rPr>
              <w:t xml:space="preserve">14 enterprises raising early stage finance </w:t>
            </w:r>
          </w:p>
        </w:tc>
        <w:tc>
          <w:tcPr>
            <w:tcW w:w="1924" w:type="dxa"/>
          </w:tcPr>
          <w:p w14:paraId="68F3B0C9" w14:textId="77777777" w:rsidR="00515376" w:rsidRPr="00CE5A9B" w:rsidRDefault="00515376" w:rsidP="00CE5A9B">
            <w:pPr>
              <w:rPr>
                <w:b/>
                <w:color w:val="auto"/>
                <w:sz w:val="18"/>
                <w:szCs w:val="18"/>
              </w:rPr>
            </w:pPr>
            <w:r w:rsidRPr="00CE5A9B">
              <w:rPr>
                <w:b/>
                <w:color w:val="auto"/>
                <w:sz w:val="18"/>
                <w:szCs w:val="18"/>
              </w:rPr>
              <w:t>Service delivery improved; 500 new jobs created; additional sales revenue</w:t>
            </w:r>
          </w:p>
        </w:tc>
        <w:tc>
          <w:tcPr>
            <w:tcW w:w="1924" w:type="dxa"/>
          </w:tcPr>
          <w:p w14:paraId="67D205C7" w14:textId="77777777" w:rsidR="00515376" w:rsidRPr="00CE5A9B" w:rsidRDefault="00515376" w:rsidP="00CE5A9B">
            <w:pPr>
              <w:rPr>
                <w:b/>
                <w:color w:val="auto"/>
                <w:sz w:val="18"/>
                <w:szCs w:val="18"/>
              </w:rPr>
            </w:pPr>
            <w:r w:rsidRPr="00CE5A9B">
              <w:rPr>
                <w:b/>
                <w:color w:val="auto"/>
                <w:sz w:val="18"/>
                <w:szCs w:val="18"/>
              </w:rPr>
              <w:t>Investment documents</w:t>
            </w:r>
          </w:p>
          <w:p w14:paraId="7F349FAC" w14:textId="77777777" w:rsidR="00515376" w:rsidRPr="00CE5A9B" w:rsidRDefault="00515376" w:rsidP="00CE5A9B">
            <w:pPr>
              <w:rPr>
                <w:b/>
                <w:color w:val="auto"/>
                <w:sz w:val="18"/>
                <w:szCs w:val="18"/>
              </w:rPr>
            </w:pPr>
            <w:r w:rsidRPr="00CE5A9B">
              <w:rPr>
                <w:b/>
                <w:color w:val="auto"/>
                <w:sz w:val="18"/>
                <w:szCs w:val="18"/>
              </w:rPr>
              <w:t>Target: enterprise business plans</w:t>
            </w:r>
          </w:p>
        </w:tc>
      </w:tr>
      <w:tr w:rsidR="00CE5A9B" w:rsidRPr="00CE5A9B" w14:paraId="71CECC9D" w14:textId="77777777" w:rsidTr="00F12A4C">
        <w:tc>
          <w:tcPr>
            <w:tcW w:w="2093" w:type="dxa"/>
            <w:shd w:val="clear" w:color="auto" w:fill="auto"/>
          </w:tcPr>
          <w:p w14:paraId="1197963E" w14:textId="77777777" w:rsidR="00515376" w:rsidRPr="00CE5A9B" w:rsidRDefault="00515376" w:rsidP="00CE5A9B">
            <w:pPr>
              <w:rPr>
                <w:color w:val="auto"/>
                <w:sz w:val="18"/>
                <w:szCs w:val="18"/>
              </w:rPr>
            </w:pPr>
          </w:p>
        </w:tc>
        <w:tc>
          <w:tcPr>
            <w:tcW w:w="1923" w:type="dxa"/>
            <w:shd w:val="clear" w:color="auto" w:fill="auto"/>
          </w:tcPr>
          <w:p w14:paraId="7F6B8A9B" w14:textId="77777777" w:rsidR="00515376" w:rsidRPr="00CE5A9B" w:rsidRDefault="00515376" w:rsidP="00CE5A9B">
            <w:pPr>
              <w:rPr>
                <w:color w:val="auto"/>
                <w:sz w:val="18"/>
                <w:szCs w:val="18"/>
              </w:rPr>
            </w:pPr>
            <w:r w:rsidRPr="00CE5A9B">
              <w:rPr>
                <w:color w:val="auto"/>
                <w:sz w:val="18"/>
                <w:szCs w:val="18"/>
              </w:rPr>
              <w:t>Private sector development through improved access to finance and direct mentoring</w:t>
            </w:r>
          </w:p>
        </w:tc>
        <w:tc>
          <w:tcPr>
            <w:tcW w:w="1924" w:type="dxa"/>
            <w:shd w:val="clear" w:color="auto" w:fill="auto"/>
          </w:tcPr>
          <w:p w14:paraId="5BB16474" w14:textId="77777777" w:rsidR="00515376" w:rsidRPr="00CE5A9B" w:rsidRDefault="00515376" w:rsidP="00CE5A9B">
            <w:pPr>
              <w:rPr>
                <w:color w:val="auto"/>
                <w:sz w:val="18"/>
                <w:szCs w:val="18"/>
              </w:rPr>
            </w:pPr>
            <w:r w:rsidRPr="00CE5A9B">
              <w:rPr>
                <w:color w:val="auto"/>
                <w:sz w:val="18"/>
                <w:szCs w:val="18"/>
              </w:rPr>
              <w:t>Investment concept</w:t>
            </w:r>
          </w:p>
        </w:tc>
        <w:tc>
          <w:tcPr>
            <w:tcW w:w="1924" w:type="dxa"/>
            <w:shd w:val="clear" w:color="auto" w:fill="auto"/>
          </w:tcPr>
          <w:p w14:paraId="3F6791A1" w14:textId="77777777" w:rsidR="00515376" w:rsidRPr="00CE5A9B" w:rsidRDefault="00515376" w:rsidP="00CE5A9B">
            <w:pPr>
              <w:rPr>
                <w:color w:val="auto"/>
                <w:sz w:val="18"/>
                <w:szCs w:val="18"/>
              </w:rPr>
            </w:pPr>
            <w:r w:rsidRPr="00CE5A9B">
              <w:rPr>
                <w:color w:val="auto"/>
                <w:sz w:val="18"/>
                <w:szCs w:val="18"/>
              </w:rPr>
              <w:t>Investment design complete</w:t>
            </w:r>
          </w:p>
        </w:tc>
        <w:tc>
          <w:tcPr>
            <w:tcW w:w="1923" w:type="dxa"/>
            <w:gridSpan w:val="2"/>
            <w:shd w:val="clear" w:color="auto" w:fill="auto"/>
          </w:tcPr>
          <w:p w14:paraId="034A9F04" w14:textId="77777777" w:rsidR="00515376" w:rsidRPr="00CE5A9B" w:rsidRDefault="00515376" w:rsidP="00CE5A9B">
            <w:pPr>
              <w:rPr>
                <w:color w:val="auto"/>
                <w:sz w:val="18"/>
                <w:szCs w:val="18"/>
              </w:rPr>
            </w:pPr>
            <w:r w:rsidRPr="00CE5A9B">
              <w:rPr>
                <w:color w:val="auto"/>
                <w:sz w:val="18"/>
                <w:szCs w:val="18"/>
              </w:rPr>
              <w:t>Proof of concept in priority areas; mentoring enterprises, financial institutions</w:t>
            </w:r>
          </w:p>
        </w:tc>
        <w:tc>
          <w:tcPr>
            <w:tcW w:w="1924" w:type="dxa"/>
            <w:shd w:val="clear" w:color="auto" w:fill="auto"/>
          </w:tcPr>
          <w:p w14:paraId="60C3018A" w14:textId="77777777" w:rsidR="00515376" w:rsidRPr="00CE5A9B" w:rsidRDefault="00515376" w:rsidP="00CE5A9B">
            <w:pPr>
              <w:rPr>
                <w:color w:val="auto"/>
                <w:sz w:val="18"/>
                <w:szCs w:val="18"/>
              </w:rPr>
            </w:pPr>
            <w:r w:rsidRPr="00CE5A9B">
              <w:rPr>
                <w:color w:val="auto"/>
                <w:sz w:val="18"/>
                <w:szCs w:val="18"/>
              </w:rPr>
              <w:t>Provision of loans by financial institutions to enterprises</w:t>
            </w:r>
          </w:p>
        </w:tc>
        <w:tc>
          <w:tcPr>
            <w:tcW w:w="1924" w:type="dxa"/>
          </w:tcPr>
          <w:p w14:paraId="341F07F7" w14:textId="77777777" w:rsidR="00515376" w:rsidRPr="00CE5A9B" w:rsidRDefault="00515376" w:rsidP="00CE5A9B">
            <w:pPr>
              <w:rPr>
                <w:color w:val="auto"/>
                <w:sz w:val="18"/>
                <w:szCs w:val="18"/>
              </w:rPr>
            </w:pPr>
            <w:r w:rsidRPr="00CE5A9B">
              <w:rPr>
                <w:color w:val="auto"/>
                <w:sz w:val="18"/>
                <w:szCs w:val="18"/>
              </w:rPr>
              <w:t>Higher access to social and support services; enterprise growth and employment</w:t>
            </w:r>
          </w:p>
        </w:tc>
        <w:tc>
          <w:tcPr>
            <w:tcW w:w="1924" w:type="dxa"/>
          </w:tcPr>
          <w:p w14:paraId="258170BD" w14:textId="77777777" w:rsidR="00515376" w:rsidRPr="00CE5A9B" w:rsidRDefault="00515376" w:rsidP="00CE5A9B">
            <w:pPr>
              <w:rPr>
                <w:color w:val="auto"/>
                <w:sz w:val="18"/>
                <w:szCs w:val="18"/>
              </w:rPr>
            </w:pPr>
            <w:r w:rsidRPr="00CE5A9B">
              <w:rPr>
                <w:color w:val="auto"/>
                <w:sz w:val="18"/>
                <w:szCs w:val="18"/>
              </w:rPr>
              <w:t>Investment documents</w:t>
            </w:r>
          </w:p>
        </w:tc>
      </w:tr>
      <w:tr w:rsidR="00CE5A9B" w:rsidRPr="00CE5A9B" w14:paraId="0BFD51A2" w14:textId="77777777" w:rsidTr="00F12A4C">
        <w:tc>
          <w:tcPr>
            <w:tcW w:w="2093" w:type="dxa"/>
            <w:shd w:val="clear" w:color="auto" w:fill="auto"/>
          </w:tcPr>
          <w:p w14:paraId="258C8797" w14:textId="77777777" w:rsidR="00515376" w:rsidRPr="00CE5A9B" w:rsidRDefault="00515376" w:rsidP="00CE5A9B">
            <w:pPr>
              <w:rPr>
                <w:color w:val="auto"/>
                <w:sz w:val="18"/>
                <w:szCs w:val="18"/>
              </w:rPr>
            </w:pPr>
            <w:r w:rsidRPr="00CE5A9B">
              <w:rPr>
                <w:color w:val="auto"/>
                <w:sz w:val="18"/>
                <w:szCs w:val="18"/>
              </w:rPr>
              <w:t>1.3 Competitive business enabling environment</w:t>
            </w:r>
          </w:p>
        </w:tc>
        <w:tc>
          <w:tcPr>
            <w:tcW w:w="1923" w:type="dxa"/>
            <w:shd w:val="clear" w:color="auto" w:fill="auto"/>
          </w:tcPr>
          <w:p w14:paraId="1B3A7CB5" w14:textId="77777777" w:rsidR="00515376" w:rsidRPr="00CE5A9B" w:rsidRDefault="00515376" w:rsidP="00F12A4C">
            <w:pPr>
              <w:rPr>
                <w:color w:val="auto"/>
                <w:sz w:val="18"/>
                <w:szCs w:val="18"/>
              </w:rPr>
            </w:pPr>
            <w:r w:rsidRPr="00CE5A9B">
              <w:rPr>
                <w:color w:val="auto"/>
                <w:sz w:val="18"/>
                <w:szCs w:val="18"/>
              </w:rPr>
              <w:t>Stronger evidence base and champions for reform.</w:t>
            </w:r>
          </w:p>
        </w:tc>
        <w:tc>
          <w:tcPr>
            <w:tcW w:w="1924" w:type="dxa"/>
            <w:shd w:val="clear" w:color="auto" w:fill="auto"/>
          </w:tcPr>
          <w:p w14:paraId="2DCEDEDB" w14:textId="77777777" w:rsidR="00515376" w:rsidRPr="00CE5A9B" w:rsidRDefault="00515376" w:rsidP="00CE5A9B">
            <w:pPr>
              <w:rPr>
                <w:color w:val="auto"/>
                <w:sz w:val="18"/>
                <w:szCs w:val="18"/>
              </w:rPr>
            </w:pPr>
            <w:r w:rsidRPr="00CE5A9B">
              <w:rPr>
                <w:color w:val="auto"/>
                <w:sz w:val="18"/>
                <w:szCs w:val="18"/>
              </w:rPr>
              <w:t xml:space="preserve">Analytical studies </w:t>
            </w:r>
          </w:p>
        </w:tc>
        <w:tc>
          <w:tcPr>
            <w:tcW w:w="1924" w:type="dxa"/>
            <w:shd w:val="clear" w:color="auto" w:fill="auto"/>
          </w:tcPr>
          <w:p w14:paraId="74484CC0" w14:textId="77777777" w:rsidR="00515376" w:rsidRPr="00CE5A9B" w:rsidRDefault="00515376" w:rsidP="00CE5A9B">
            <w:pPr>
              <w:rPr>
                <w:color w:val="auto"/>
                <w:sz w:val="18"/>
                <w:szCs w:val="18"/>
              </w:rPr>
            </w:pPr>
            <w:r w:rsidRPr="00CE5A9B">
              <w:rPr>
                <w:color w:val="auto"/>
                <w:sz w:val="18"/>
                <w:szCs w:val="18"/>
              </w:rPr>
              <w:t>Analytical studies; evidence better utilised in policy making; emerging network of reform stakeholders</w:t>
            </w:r>
          </w:p>
        </w:tc>
        <w:tc>
          <w:tcPr>
            <w:tcW w:w="1923" w:type="dxa"/>
            <w:gridSpan w:val="2"/>
            <w:shd w:val="clear" w:color="auto" w:fill="auto"/>
          </w:tcPr>
          <w:p w14:paraId="14B54FBF" w14:textId="77777777" w:rsidR="00515376" w:rsidRPr="00CE5A9B" w:rsidRDefault="00515376" w:rsidP="00CE5A9B">
            <w:pPr>
              <w:rPr>
                <w:color w:val="auto"/>
                <w:sz w:val="18"/>
                <w:szCs w:val="18"/>
              </w:rPr>
            </w:pPr>
            <w:r w:rsidRPr="00CE5A9B">
              <w:rPr>
                <w:color w:val="auto"/>
                <w:sz w:val="18"/>
                <w:szCs w:val="18"/>
              </w:rPr>
              <w:t>Analytical studies; evidence better utilised in policy making and evaluating policy;  emerging network of reform stakeholders</w:t>
            </w:r>
          </w:p>
        </w:tc>
        <w:tc>
          <w:tcPr>
            <w:tcW w:w="1924" w:type="dxa"/>
            <w:shd w:val="clear" w:color="auto" w:fill="auto"/>
          </w:tcPr>
          <w:p w14:paraId="0AC11EBE" w14:textId="77777777" w:rsidR="00515376" w:rsidRPr="00CE5A9B" w:rsidRDefault="00515376" w:rsidP="00CE5A9B">
            <w:pPr>
              <w:rPr>
                <w:color w:val="auto"/>
                <w:sz w:val="18"/>
                <w:szCs w:val="18"/>
              </w:rPr>
            </w:pPr>
            <w:r w:rsidRPr="00CE5A9B">
              <w:rPr>
                <w:color w:val="auto"/>
                <w:sz w:val="18"/>
                <w:szCs w:val="18"/>
              </w:rPr>
              <w:t>Evidence better utilised in policy making and evaluating policy;  emerging network of reform stakeholders</w:t>
            </w:r>
          </w:p>
        </w:tc>
        <w:tc>
          <w:tcPr>
            <w:tcW w:w="1924" w:type="dxa"/>
          </w:tcPr>
          <w:p w14:paraId="2DC51606" w14:textId="77777777" w:rsidR="00515376" w:rsidRPr="00CE5A9B" w:rsidRDefault="00515376" w:rsidP="00CE5A9B">
            <w:pPr>
              <w:rPr>
                <w:color w:val="auto"/>
                <w:sz w:val="18"/>
                <w:szCs w:val="18"/>
              </w:rPr>
            </w:pPr>
            <w:r w:rsidRPr="00CE5A9B">
              <w:rPr>
                <w:color w:val="auto"/>
                <w:sz w:val="18"/>
                <w:szCs w:val="18"/>
              </w:rPr>
              <w:t>Evidence better utilised in policy making and evaluating policy;  emerging network of reform stakeholders</w:t>
            </w:r>
          </w:p>
        </w:tc>
        <w:tc>
          <w:tcPr>
            <w:tcW w:w="1924" w:type="dxa"/>
          </w:tcPr>
          <w:p w14:paraId="7CEAA417" w14:textId="77777777" w:rsidR="00515376" w:rsidRPr="00CE5A9B" w:rsidRDefault="00515376" w:rsidP="00CE5A9B">
            <w:pPr>
              <w:rPr>
                <w:color w:val="auto"/>
                <w:sz w:val="18"/>
                <w:szCs w:val="18"/>
              </w:rPr>
            </w:pPr>
            <w:r w:rsidRPr="00CE5A9B">
              <w:rPr>
                <w:color w:val="auto"/>
                <w:sz w:val="18"/>
                <w:szCs w:val="18"/>
              </w:rPr>
              <w:t>Investment documents</w:t>
            </w:r>
          </w:p>
          <w:p w14:paraId="50A6043C" w14:textId="77777777" w:rsidR="00515376" w:rsidRPr="00CE5A9B" w:rsidRDefault="00515376" w:rsidP="00CE5A9B">
            <w:pPr>
              <w:rPr>
                <w:color w:val="auto"/>
                <w:sz w:val="18"/>
                <w:szCs w:val="18"/>
              </w:rPr>
            </w:pPr>
            <w:r w:rsidRPr="00CE5A9B">
              <w:rPr>
                <w:color w:val="auto"/>
                <w:sz w:val="18"/>
                <w:szCs w:val="18"/>
              </w:rPr>
              <w:t>Baseline: aid investment analytical assessment</w:t>
            </w:r>
          </w:p>
        </w:tc>
      </w:tr>
      <w:tr w:rsidR="00CE5A9B" w:rsidRPr="00CE5A9B" w14:paraId="78691E00" w14:textId="77777777" w:rsidTr="00CE5A9B">
        <w:trPr>
          <w:trHeight w:val="567"/>
        </w:trPr>
        <w:tc>
          <w:tcPr>
            <w:tcW w:w="2093" w:type="dxa"/>
            <w:vAlign w:val="center"/>
          </w:tcPr>
          <w:p w14:paraId="1031738B" w14:textId="77777777" w:rsidR="00515376" w:rsidRPr="00CE5A9B" w:rsidRDefault="00515376" w:rsidP="00CE5A9B">
            <w:pPr>
              <w:rPr>
                <w:b/>
                <w:color w:val="auto"/>
                <w:sz w:val="18"/>
                <w:szCs w:val="18"/>
              </w:rPr>
            </w:pPr>
            <w:bookmarkStart w:id="3" w:name="_Independent_Evaluation_Pipeline"/>
            <w:bookmarkEnd w:id="3"/>
            <w:r w:rsidRPr="00CE5A9B">
              <w:rPr>
                <w:b/>
                <w:color w:val="auto"/>
                <w:sz w:val="18"/>
                <w:szCs w:val="18"/>
              </w:rPr>
              <w:t>Australia’s aid objective 2</w:t>
            </w:r>
          </w:p>
        </w:tc>
        <w:tc>
          <w:tcPr>
            <w:tcW w:w="13466" w:type="dxa"/>
            <w:gridSpan w:val="8"/>
            <w:shd w:val="clear" w:color="auto" w:fill="auto"/>
            <w:vAlign w:val="center"/>
          </w:tcPr>
          <w:p w14:paraId="542A5E1B" w14:textId="77777777" w:rsidR="00515376" w:rsidRPr="00CE5A9B" w:rsidRDefault="00515376" w:rsidP="00CE5A9B">
            <w:pPr>
              <w:spacing w:line="276" w:lineRule="auto"/>
              <w:rPr>
                <w:b/>
                <w:color w:val="auto"/>
                <w:sz w:val="18"/>
                <w:szCs w:val="18"/>
              </w:rPr>
            </w:pPr>
            <w:r w:rsidRPr="00CE5A9B">
              <w:rPr>
                <w:b/>
                <w:color w:val="auto"/>
                <w:sz w:val="18"/>
                <w:szCs w:val="18"/>
              </w:rPr>
              <w:t>Assisting the development and employment of a highly skilled workforce</w:t>
            </w:r>
          </w:p>
        </w:tc>
      </w:tr>
      <w:tr w:rsidR="00CE5A9B" w:rsidRPr="00CE5A9B" w14:paraId="22779228" w14:textId="77777777" w:rsidTr="00F12A4C">
        <w:tc>
          <w:tcPr>
            <w:tcW w:w="2093" w:type="dxa"/>
            <w:shd w:val="clear" w:color="auto" w:fill="auto"/>
          </w:tcPr>
          <w:p w14:paraId="73B0F14A" w14:textId="77777777" w:rsidR="00515376" w:rsidRPr="00CE5A9B" w:rsidRDefault="00515376" w:rsidP="00CE5A9B">
            <w:pPr>
              <w:rPr>
                <w:b/>
                <w:color w:val="auto"/>
                <w:sz w:val="18"/>
                <w:szCs w:val="18"/>
              </w:rPr>
            </w:pPr>
            <w:r w:rsidRPr="00CE5A9B">
              <w:rPr>
                <w:b/>
                <w:color w:val="auto"/>
                <w:sz w:val="18"/>
                <w:szCs w:val="18"/>
              </w:rPr>
              <w:t>2.1 Male and female alumni use skills and knowledge to make positive contributions to selected priority areas.</w:t>
            </w:r>
          </w:p>
        </w:tc>
        <w:tc>
          <w:tcPr>
            <w:tcW w:w="1923" w:type="dxa"/>
            <w:shd w:val="clear" w:color="auto" w:fill="auto"/>
          </w:tcPr>
          <w:p w14:paraId="6625977F" w14:textId="77777777" w:rsidR="00515376" w:rsidRPr="00CE5A9B" w:rsidRDefault="00515376" w:rsidP="00F12A4C">
            <w:pPr>
              <w:rPr>
                <w:b/>
                <w:color w:val="auto"/>
                <w:sz w:val="18"/>
                <w:szCs w:val="18"/>
              </w:rPr>
            </w:pPr>
            <w:r w:rsidRPr="00CE5A9B">
              <w:rPr>
                <w:b/>
                <w:color w:val="auto"/>
                <w:sz w:val="18"/>
                <w:szCs w:val="18"/>
              </w:rPr>
              <w:t>Alumni apply and transfer their new knowledge and skills to contribute positively to their profession.</w:t>
            </w:r>
          </w:p>
        </w:tc>
        <w:tc>
          <w:tcPr>
            <w:tcW w:w="1924" w:type="dxa"/>
            <w:shd w:val="clear" w:color="auto" w:fill="auto"/>
          </w:tcPr>
          <w:p w14:paraId="4B31C777" w14:textId="77777777" w:rsidR="00515376" w:rsidRPr="00CE5A9B" w:rsidRDefault="00515376" w:rsidP="00CE5A9B">
            <w:pPr>
              <w:rPr>
                <w:b/>
                <w:color w:val="auto"/>
                <w:sz w:val="18"/>
                <w:szCs w:val="18"/>
              </w:rPr>
            </w:pPr>
            <w:r w:rsidRPr="00CE5A9B">
              <w:rPr>
                <w:b/>
                <w:color w:val="auto"/>
                <w:sz w:val="18"/>
                <w:szCs w:val="18"/>
              </w:rPr>
              <w:t>75% of alumni employed in position relevant to award skills after 3 years</w:t>
            </w:r>
          </w:p>
        </w:tc>
        <w:tc>
          <w:tcPr>
            <w:tcW w:w="1924" w:type="dxa"/>
            <w:shd w:val="clear" w:color="auto" w:fill="auto"/>
          </w:tcPr>
          <w:p w14:paraId="4FBE0263" w14:textId="77777777" w:rsidR="00515376" w:rsidRPr="00CE5A9B" w:rsidRDefault="00515376" w:rsidP="00CE5A9B">
            <w:pPr>
              <w:rPr>
                <w:b/>
                <w:color w:val="auto"/>
                <w:sz w:val="18"/>
                <w:szCs w:val="18"/>
              </w:rPr>
            </w:pPr>
            <w:r w:rsidRPr="00CE5A9B">
              <w:rPr>
                <w:b/>
                <w:color w:val="auto"/>
                <w:sz w:val="18"/>
                <w:szCs w:val="18"/>
              </w:rPr>
              <w:t xml:space="preserve">75% of alumni employed in position relevant to award skills after 3 years  </w:t>
            </w:r>
          </w:p>
        </w:tc>
        <w:tc>
          <w:tcPr>
            <w:tcW w:w="1923" w:type="dxa"/>
            <w:gridSpan w:val="2"/>
            <w:shd w:val="clear" w:color="auto" w:fill="auto"/>
          </w:tcPr>
          <w:p w14:paraId="476E67DB" w14:textId="77777777" w:rsidR="00515376" w:rsidRPr="00CE5A9B" w:rsidRDefault="00515376" w:rsidP="00CE5A9B">
            <w:pPr>
              <w:rPr>
                <w:b/>
                <w:color w:val="auto"/>
                <w:sz w:val="18"/>
                <w:szCs w:val="18"/>
              </w:rPr>
            </w:pPr>
            <w:r w:rsidRPr="00CE5A9B">
              <w:rPr>
                <w:b/>
                <w:color w:val="auto"/>
                <w:sz w:val="18"/>
                <w:szCs w:val="18"/>
              </w:rPr>
              <w:t xml:space="preserve">80% of alumni employed in position relevant to award skills after 3 years  </w:t>
            </w:r>
          </w:p>
        </w:tc>
        <w:tc>
          <w:tcPr>
            <w:tcW w:w="1924" w:type="dxa"/>
            <w:shd w:val="clear" w:color="auto" w:fill="auto"/>
          </w:tcPr>
          <w:p w14:paraId="719318DE" w14:textId="77777777" w:rsidR="00515376" w:rsidRPr="00CE5A9B" w:rsidRDefault="00515376" w:rsidP="00CE5A9B">
            <w:pPr>
              <w:rPr>
                <w:b/>
                <w:color w:val="auto"/>
                <w:sz w:val="18"/>
                <w:szCs w:val="18"/>
              </w:rPr>
            </w:pPr>
            <w:r w:rsidRPr="00CE5A9B">
              <w:rPr>
                <w:b/>
                <w:color w:val="auto"/>
                <w:sz w:val="18"/>
                <w:szCs w:val="18"/>
              </w:rPr>
              <w:t xml:space="preserve">80% of alumni employed in position relevant to award skills after 3 years  </w:t>
            </w:r>
          </w:p>
        </w:tc>
        <w:tc>
          <w:tcPr>
            <w:tcW w:w="1924" w:type="dxa"/>
          </w:tcPr>
          <w:p w14:paraId="332DF476" w14:textId="77777777" w:rsidR="00515376" w:rsidRPr="00CE5A9B" w:rsidRDefault="00515376" w:rsidP="00CE5A9B">
            <w:pPr>
              <w:rPr>
                <w:b/>
                <w:color w:val="auto"/>
                <w:sz w:val="18"/>
                <w:szCs w:val="18"/>
              </w:rPr>
            </w:pPr>
            <w:r w:rsidRPr="00CE5A9B">
              <w:rPr>
                <w:b/>
                <w:color w:val="auto"/>
                <w:sz w:val="18"/>
                <w:szCs w:val="18"/>
              </w:rPr>
              <w:t xml:space="preserve">85% of alumni employed in position relevant to award skills after 3 years  </w:t>
            </w:r>
          </w:p>
        </w:tc>
        <w:tc>
          <w:tcPr>
            <w:tcW w:w="1924" w:type="dxa"/>
          </w:tcPr>
          <w:p w14:paraId="0508176E" w14:textId="77777777" w:rsidR="00515376" w:rsidRPr="00CE5A9B" w:rsidRDefault="00515376" w:rsidP="00CE5A9B">
            <w:pPr>
              <w:rPr>
                <w:b/>
                <w:color w:val="auto"/>
                <w:sz w:val="18"/>
                <w:szCs w:val="18"/>
              </w:rPr>
            </w:pPr>
            <w:r w:rsidRPr="00CE5A9B">
              <w:rPr>
                <w:b/>
                <w:color w:val="auto"/>
                <w:sz w:val="18"/>
                <w:szCs w:val="18"/>
              </w:rPr>
              <w:t>Review and Reintegration workshops (annual).</w:t>
            </w:r>
          </w:p>
        </w:tc>
      </w:tr>
      <w:tr w:rsidR="00CE5A9B" w:rsidRPr="00CE5A9B" w14:paraId="6954F54F" w14:textId="77777777" w:rsidTr="00F12A4C">
        <w:tc>
          <w:tcPr>
            <w:tcW w:w="2093" w:type="dxa"/>
            <w:shd w:val="clear" w:color="auto" w:fill="auto"/>
          </w:tcPr>
          <w:p w14:paraId="602ECF0A" w14:textId="77777777" w:rsidR="00515376" w:rsidRPr="00CE5A9B" w:rsidRDefault="00515376" w:rsidP="00CE5A9B">
            <w:pPr>
              <w:rPr>
                <w:color w:val="auto"/>
                <w:sz w:val="18"/>
                <w:szCs w:val="18"/>
              </w:rPr>
            </w:pPr>
          </w:p>
        </w:tc>
        <w:tc>
          <w:tcPr>
            <w:tcW w:w="1923" w:type="dxa"/>
            <w:shd w:val="clear" w:color="auto" w:fill="auto"/>
          </w:tcPr>
          <w:p w14:paraId="7EC9898C" w14:textId="77777777" w:rsidR="00515376" w:rsidRPr="00CE5A9B" w:rsidRDefault="00515376" w:rsidP="00CE5A9B">
            <w:pPr>
              <w:rPr>
                <w:color w:val="auto"/>
                <w:sz w:val="18"/>
                <w:szCs w:val="18"/>
              </w:rPr>
            </w:pPr>
            <w:r w:rsidRPr="00CE5A9B">
              <w:rPr>
                <w:color w:val="auto"/>
                <w:sz w:val="18"/>
                <w:szCs w:val="18"/>
              </w:rPr>
              <w:t>Alumni have increased knowledge, skills and confidence</w:t>
            </w:r>
          </w:p>
        </w:tc>
        <w:tc>
          <w:tcPr>
            <w:tcW w:w="1924" w:type="dxa"/>
            <w:shd w:val="clear" w:color="auto" w:fill="auto"/>
          </w:tcPr>
          <w:p w14:paraId="14AEB4AD" w14:textId="77777777" w:rsidR="00515376" w:rsidRPr="00CE5A9B" w:rsidRDefault="00515376" w:rsidP="00F12A4C">
            <w:pPr>
              <w:rPr>
                <w:color w:val="auto"/>
                <w:sz w:val="18"/>
                <w:szCs w:val="18"/>
              </w:rPr>
            </w:pPr>
            <w:r w:rsidRPr="00CE5A9B">
              <w:rPr>
                <w:color w:val="auto"/>
                <w:sz w:val="18"/>
                <w:szCs w:val="18"/>
              </w:rPr>
              <w:t>90% Australia Awards recipients completing  planned course</w:t>
            </w:r>
          </w:p>
        </w:tc>
        <w:tc>
          <w:tcPr>
            <w:tcW w:w="1924" w:type="dxa"/>
            <w:shd w:val="clear" w:color="auto" w:fill="auto"/>
          </w:tcPr>
          <w:p w14:paraId="0D560B38" w14:textId="77777777" w:rsidR="00515376" w:rsidRPr="00CE5A9B" w:rsidRDefault="00515376" w:rsidP="00CE5A9B">
            <w:pPr>
              <w:rPr>
                <w:color w:val="auto"/>
                <w:sz w:val="18"/>
                <w:szCs w:val="18"/>
              </w:rPr>
            </w:pPr>
            <w:r w:rsidRPr="00CE5A9B">
              <w:rPr>
                <w:color w:val="auto"/>
                <w:sz w:val="18"/>
                <w:szCs w:val="18"/>
              </w:rPr>
              <w:t>90%  Australia Awards recipients completing course</w:t>
            </w:r>
          </w:p>
        </w:tc>
        <w:tc>
          <w:tcPr>
            <w:tcW w:w="1923" w:type="dxa"/>
            <w:gridSpan w:val="2"/>
            <w:shd w:val="clear" w:color="auto" w:fill="auto"/>
          </w:tcPr>
          <w:p w14:paraId="38F929ED" w14:textId="77777777" w:rsidR="00515376" w:rsidRPr="00CE5A9B" w:rsidRDefault="00515376" w:rsidP="00CE5A9B">
            <w:pPr>
              <w:rPr>
                <w:color w:val="auto"/>
                <w:sz w:val="18"/>
                <w:szCs w:val="18"/>
              </w:rPr>
            </w:pPr>
            <w:r w:rsidRPr="00CE5A9B">
              <w:rPr>
                <w:color w:val="auto"/>
                <w:sz w:val="18"/>
                <w:szCs w:val="18"/>
              </w:rPr>
              <w:t>90% of Australia Awards recipients completing course</w:t>
            </w:r>
          </w:p>
        </w:tc>
        <w:tc>
          <w:tcPr>
            <w:tcW w:w="1924" w:type="dxa"/>
            <w:shd w:val="clear" w:color="auto" w:fill="auto"/>
          </w:tcPr>
          <w:p w14:paraId="49CA46FC" w14:textId="77777777" w:rsidR="00515376" w:rsidRPr="00CE5A9B" w:rsidRDefault="00515376" w:rsidP="00CE5A9B">
            <w:pPr>
              <w:rPr>
                <w:color w:val="auto"/>
                <w:sz w:val="18"/>
                <w:szCs w:val="18"/>
              </w:rPr>
            </w:pPr>
            <w:r w:rsidRPr="00CE5A9B">
              <w:rPr>
                <w:color w:val="auto"/>
                <w:sz w:val="18"/>
                <w:szCs w:val="18"/>
              </w:rPr>
              <w:t>90% of Australia Awards recipients  completing course</w:t>
            </w:r>
          </w:p>
        </w:tc>
        <w:tc>
          <w:tcPr>
            <w:tcW w:w="1924" w:type="dxa"/>
          </w:tcPr>
          <w:p w14:paraId="7011FBE0" w14:textId="77777777" w:rsidR="00515376" w:rsidRPr="00CE5A9B" w:rsidRDefault="00515376" w:rsidP="00CE5A9B">
            <w:pPr>
              <w:rPr>
                <w:color w:val="auto"/>
                <w:sz w:val="18"/>
                <w:szCs w:val="18"/>
              </w:rPr>
            </w:pPr>
            <w:r w:rsidRPr="00CE5A9B">
              <w:rPr>
                <w:color w:val="auto"/>
                <w:sz w:val="18"/>
                <w:szCs w:val="18"/>
              </w:rPr>
              <w:t>90% of Australia Awards recipients completing course</w:t>
            </w:r>
          </w:p>
        </w:tc>
        <w:tc>
          <w:tcPr>
            <w:tcW w:w="1924" w:type="dxa"/>
          </w:tcPr>
          <w:p w14:paraId="7CF8A167" w14:textId="77777777" w:rsidR="00515376" w:rsidRPr="00CE5A9B" w:rsidRDefault="00515376" w:rsidP="00CE5A9B">
            <w:pPr>
              <w:rPr>
                <w:color w:val="auto"/>
                <w:sz w:val="18"/>
                <w:szCs w:val="18"/>
              </w:rPr>
            </w:pPr>
            <w:r w:rsidRPr="00CE5A9B">
              <w:rPr>
                <w:color w:val="auto"/>
                <w:sz w:val="18"/>
                <w:szCs w:val="18"/>
              </w:rPr>
              <w:t>OASIS, Program MIS (ongoing).</w:t>
            </w:r>
          </w:p>
        </w:tc>
      </w:tr>
      <w:tr w:rsidR="00CE5A9B" w:rsidRPr="00CE5A9B" w14:paraId="51BAC016" w14:textId="77777777" w:rsidTr="00F12A4C">
        <w:tc>
          <w:tcPr>
            <w:tcW w:w="2093" w:type="dxa"/>
            <w:shd w:val="clear" w:color="auto" w:fill="auto"/>
          </w:tcPr>
          <w:p w14:paraId="7B53D281" w14:textId="77777777" w:rsidR="00515376" w:rsidRPr="00CE5A9B" w:rsidRDefault="00515376" w:rsidP="00CE5A9B">
            <w:pPr>
              <w:rPr>
                <w:b/>
                <w:color w:val="auto"/>
                <w:sz w:val="18"/>
                <w:szCs w:val="18"/>
              </w:rPr>
            </w:pPr>
            <w:r w:rsidRPr="00CE5A9B">
              <w:rPr>
                <w:b/>
                <w:color w:val="auto"/>
                <w:sz w:val="18"/>
                <w:szCs w:val="18"/>
              </w:rPr>
              <w:t>2.2 Stronger workplace enabling environments for improved skills utilisation in selected priority areas.</w:t>
            </w:r>
          </w:p>
        </w:tc>
        <w:tc>
          <w:tcPr>
            <w:tcW w:w="1923" w:type="dxa"/>
            <w:shd w:val="clear" w:color="auto" w:fill="auto"/>
          </w:tcPr>
          <w:p w14:paraId="59BF93E6" w14:textId="77777777" w:rsidR="00515376" w:rsidRPr="00CE5A9B" w:rsidRDefault="00515376" w:rsidP="00CE5A9B">
            <w:pPr>
              <w:rPr>
                <w:b/>
                <w:color w:val="auto"/>
                <w:sz w:val="18"/>
                <w:szCs w:val="18"/>
              </w:rPr>
            </w:pPr>
            <w:r w:rsidRPr="00CE5A9B">
              <w:rPr>
                <w:b/>
                <w:color w:val="auto"/>
                <w:sz w:val="18"/>
                <w:szCs w:val="18"/>
              </w:rPr>
              <w:t>Alumni and selected institutions demonstrate gender equitable leadership models/concepts</w:t>
            </w:r>
          </w:p>
        </w:tc>
        <w:tc>
          <w:tcPr>
            <w:tcW w:w="1924" w:type="dxa"/>
            <w:shd w:val="clear" w:color="auto" w:fill="auto"/>
          </w:tcPr>
          <w:p w14:paraId="2599D445" w14:textId="77777777" w:rsidR="00515376" w:rsidRPr="00CE5A9B" w:rsidRDefault="00515376" w:rsidP="00CE5A9B">
            <w:pPr>
              <w:rPr>
                <w:b/>
                <w:color w:val="auto"/>
                <w:sz w:val="18"/>
                <w:szCs w:val="18"/>
              </w:rPr>
            </w:pPr>
            <w:r w:rsidRPr="00CE5A9B">
              <w:rPr>
                <w:b/>
                <w:color w:val="auto"/>
                <w:sz w:val="18"/>
                <w:szCs w:val="18"/>
              </w:rPr>
              <w:t>Human resource development scoping work undertaken</w:t>
            </w:r>
          </w:p>
        </w:tc>
        <w:tc>
          <w:tcPr>
            <w:tcW w:w="1924" w:type="dxa"/>
            <w:shd w:val="clear" w:color="auto" w:fill="auto"/>
          </w:tcPr>
          <w:p w14:paraId="19711C42" w14:textId="77777777" w:rsidR="00515376" w:rsidRPr="00CE5A9B" w:rsidRDefault="00515376" w:rsidP="00CE5A9B">
            <w:pPr>
              <w:rPr>
                <w:b/>
                <w:color w:val="auto"/>
                <w:sz w:val="18"/>
                <w:szCs w:val="18"/>
              </w:rPr>
            </w:pPr>
            <w:r w:rsidRPr="00CE5A9B">
              <w:rPr>
                <w:b/>
                <w:color w:val="auto"/>
                <w:sz w:val="18"/>
                <w:szCs w:val="18"/>
              </w:rPr>
              <w:t>Women in Leadership investments developed</w:t>
            </w:r>
          </w:p>
        </w:tc>
        <w:tc>
          <w:tcPr>
            <w:tcW w:w="1923" w:type="dxa"/>
            <w:gridSpan w:val="2"/>
            <w:shd w:val="clear" w:color="auto" w:fill="auto"/>
          </w:tcPr>
          <w:p w14:paraId="2355C481" w14:textId="77777777" w:rsidR="00515376" w:rsidRPr="00CE5A9B" w:rsidRDefault="00515376" w:rsidP="00F12A4C">
            <w:pPr>
              <w:rPr>
                <w:b/>
                <w:color w:val="auto"/>
                <w:sz w:val="18"/>
                <w:szCs w:val="18"/>
              </w:rPr>
            </w:pPr>
            <w:r w:rsidRPr="00CE5A9B">
              <w:rPr>
                <w:b/>
                <w:color w:val="auto"/>
                <w:sz w:val="18"/>
                <w:szCs w:val="18"/>
              </w:rPr>
              <w:t>50 mid-career professionals (including alumni) and 2 targeted institutions demonstrate awareness of  gender equitable leadership models</w:t>
            </w:r>
          </w:p>
        </w:tc>
        <w:tc>
          <w:tcPr>
            <w:tcW w:w="1924" w:type="dxa"/>
            <w:shd w:val="clear" w:color="auto" w:fill="auto"/>
          </w:tcPr>
          <w:p w14:paraId="2C604901" w14:textId="77777777" w:rsidR="00515376" w:rsidRPr="00CE5A9B" w:rsidRDefault="00515376" w:rsidP="00CE5A9B">
            <w:pPr>
              <w:rPr>
                <w:b/>
                <w:color w:val="auto"/>
                <w:sz w:val="18"/>
                <w:szCs w:val="18"/>
              </w:rPr>
            </w:pPr>
            <w:r w:rsidRPr="00CE5A9B">
              <w:rPr>
                <w:b/>
                <w:color w:val="auto"/>
                <w:sz w:val="18"/>
                <w:szCs w:val="18"/>
              </w:rPr>
              <w:t>50 mid-career professionals (including alumni) undertake actions within their workplaces that demonstrates awareness of gender equitable leadership</w:t>
            </w:r>
          </w:p>
        </w:tc>
        <w:tc>
          <w:tcPr>
            <w:tcW w:w="1924" w:type="dxa"/>
          </w:tcPr>
          <w:p w14:paraId="04DD716D" w14:textId="77777777" w:rsidR="00515376" w:rsidRPr="00CE5A9B" w:rsidRDefault="00515376" w:rsidP="00CE5A9B">
            <w:pPr>
              <w:rPr>
                <w:b/>
                <w:color w:val="auto"/>
                <w:sz w:val="18"/>
                <w:szCs w:val="18"/>
              </w:rPr>
            </w:pPr>
            <w:r w:rsidRPr="00CE5A9B">
              <w:rPr>
                <w:b/>
                <w:color w:val="auto"/>
                <w:sz w:val="18"/>
                <w:szCs w:val="18"/>
              </w:rPr>
              <w:t>Effective gender equitable leadership models implemented by professionals of targeted institutions</w:t>
            </w:r>
          </w:p>
        </w:tc>
        <w:tc>
          <w:tcPr>
            <w:tcW w:w="1924" w:type="dxa"/>
          </w:tcPr>
          <w:p w14:paraId="3E550FB4" w14:textId="77777777" w:rsidR="00515376" w:rsidRPr="00CE5A9B" w:rsidRDefault="00515376" w:rsidP="00CE5A9B">
            <w:pPr>
              <w:rPr>
                <w:b/>
                <w:color w:val="auto"/>
                <w:sz w:val="18"/>
                <w:szCs w:val="18"/>
              </w:rPr>
            </w:pPr>
            <w:r w:rsidRPr="00CE5A9B">
              <w:rPr>
                <w:b/>
                <w:color w:val="auto"/>
                <w:sz w:val="18"/>
                <w:szCs w:val="18"/>
              </w:rPr>
              <w:t xml:space="preserve">Review and Reintegration workshops (annual). </w:t>
            </w:r>
          </w:p>
          <w:p w14:paraId="60485391" w14:textId="77777777" w:rsidR="00515376" w:rsidRPr="00CE5A9B" w:rsidRDefault="00515376" w:rsidP="00CE5A9B">
            <w:pPr>
              <w:rPr>
                <w:color w:val="auto"/>
                <w:sz w:val="18"/>
                <w:szCs w:val="18"/>
              </w:rPr>
            </w:pPr>
            <w:r w:rsidRPr="00CE5A9B">
              <w:rPr>
                <w:b/>
                <w:color w:val="auto"/>
                <w:sz w:val="18"/>
                <w:szCs w:val="18"/>
              </w:rPr>
              <w:t>Baseline: Program ‘Women in Leadership’ program preparatory data (2015)</w:t>
            </w:r>
          </w:p>
        </w:tc>
      </w:tr>
      <w:tr w:rsidR="00CE5A9B" w:rsidRPr="00F1670B" w14:paraId="16ADFD22" w14:textId="77777777" w:rsidTr="00F12A4C">
        <w:tc>
          <w:tcPr>
            <w:tcW w:w="2093" w:type="dxa"/>
            <w:shd w:val="clear" w:color="auto" w:fill="auto"/>
          </w:tcPr>
          <w:p w14:paraId="0467E0BD" w14:textId="77777777" w:rsidR="00CE5A9B" w:rsidRPr="00CE5A9B" w:rsidRDefault="00CE5A9B" w:rsidP="00CE5A9B">
            <w:pPr>
              <w:rPr>
                <w:b/>
                <w:color w:val="auto"/>
                <w:sz w:val="18"/>
                <w:szCs w:val="18"/>
              </w:rPr>
            </w:pPr>
          </w:p>
        </w:tc>
        <w:tc>
          <w:tcPr>
            <w:tcW w:w="1923" w:type="dxa"/>
            <w:shd w:val="clear" w:color="auto" w:fill="auto"/>
          </w:tcPr>
          <w:p w14:paraId="202576D9" w14:textId="77777777" w:rsidR="00CE5A9B" w:rsidRPr="00F1670B" w:rsidRDefault="00CE5A9B" w:rsidP="00CE5A9B">
            <w:pPr>
              <w:rPr>
                <w:color w:val="auto"/>
                <w:sz w:val="18"/>
                <w:szCs w:val="18"/>
              </w:rPr>
            </w:pPr>
          </w:p>
        </w:tc>
        <w:tc>
          <w:tcPr>
            <w:tcW w:w="1924" w:type="dxa"/>
            <w:shd w:val="clear" w:color="auto" w:fill="auto"/>
          </w:tcPr>
          <w:p w14:paraId="584D218C" w14:textId="77777777" w:rsidR="00CE5A9B" w:rsidRPr="00F1670B" w:rsidRDefault="00CE5A9B" w:rsidP="00CE5A9B">
            <w:pPr>
              <w:rPr>
                <w:color w:val="auto"/>
                <w:sz w:val="18"/>
                <w:szCs w:val="18"/>
              </w:rPr>
            </w:pPr>
          </w:p>
        </w:tc>
        <w:tc>
          <w:tcPr>
            <w:tcW w:w="1924" w:type="dxa"/>
            <w:shd w:val="clear" w:color="auto" w:fill="auto"/>
          </w:tcPr>
          <w:p w14:paraId="220CD2F9" w14:textId="77777777" w:rsidR="00CE5A9B" w:rsidRPr="00F1670B" w:rsidRDefault="00CE5A9B" w:rsidP="00CE5A9B">
            <w:pPr>
              <w:rPr>
                <w:color w:val="auto"/>
                <w:sz w:val="18"/>
                <w:szCs w:val="18"/>
              </w:rPr>
            </w:pPr>
          </w:p>
        </w:tc>
        <w:tc>
          <w:tcPr>
            <w:tcW w:w="1923" w:type="dxa"/>
            <w:gridSpan w:val="2"/>
            <w:shd w:val="clear" w:color="auto" w:fill="auto"/>
          </w:tcPr>
          <w:p w14:paraId="61066F80" w14:textId="77777777" w:rsidR="00CE5A9B" w:rsidRPr="00F1670B" w:rsidRDefault="00CE5A9B" w:rsidP="00CE5A9B">
            <w:pPr>
              <w:rPr>
                <w:color w:val="auto"/>
                <w:sz w:val="18"/>
                <w:szCs w:val="18"/>
              </w:rPr>
            </w:pPr>
          </w:p>
        </w:tc>
        <w:tc>
          <w:tcPr>
            <w:tcW w:w="1924" w:type="dxa"/>
            <w:shd w:val="clear" w:color="auto" w:fill="auto"/>
          </w:tcPr>
          <w:p w14:paraId="4EF0618F" w14:textId="77777777" w:rsidR="00CE5A9B" w:rsidRPr="00F1670B" w:rsidRDefault="00CE5A9B" w:rsidP="00F12A4C">
            <w:pPr>
              <w:rPr>
                <w:color w:val="auto"/>
                <w:sz w:val="18"/>
                <w:szCs w:val="18"/>
              </w:rPr>
            </w:pPr>
            <w:r w:rsidRPr="00F1670B">
              <w:rPr>
                <w:color w:val="auto"/>
                <w:sz w:val="18"/>
                <w:szCs w:val="18"/>
              </w:rPr>
              <w:t>80 mid-career professionals (including alumni) demonstrate awareness of gender equitable leadership models</w:t>
            </w:r>
          </w:p>
        </w:tc>
        <w:tc>
          <w:tcPr>
            <w:tcW w:w="1924" w:type="dxa"/>
          </w:tcPr>
          <w:p w14:paraId="76DB7F8A" w14:textId="77777777" w:rsidR="00CE5A9B" w:rsidRPr="00F1670B" w:rsidRDefault="00CE5A9B" w:rsidP="00F12A4C">
            <w:pPr>
              <w:rPr>
                <w:color w:val="auto"/>
                <w:sz w:val="18"/>
                <w:szCs w:val="18"/>
              </w:rPr>
            </w:pPr>
            <w:r w:rsidRPr="00F1670B">
              <w:rPr>
                <w:color w:val="auto"/>
                <w:sz w:val="18"/>
                <w:szCs w:val="18"/>
              </w:rPr>
              <w:t>100 mid-career professionals (including alumni) demonstrate awareness of gender equitable leadership</w:t>
            </w:r>
          </w:p>
        </w:tc>
        <w:tc>
          <w:tcPr>
            <w:tcW w:w="1924" w:type="dxa"/>
          </w:tcPr>
          <w:p w14:paraId="5DB8D41B" w14:textId="77777777" w:rsidR="00CE5A9B" w:rsidRPr="00F1670B" w:rsidRDefault="00CE5A9B" w:rsidP="00CE5A9B">
            <w:pPr>
              <w:rPr>
                <w:color w:val="auto"/>
                <w:sz w:val="18"/>
                <w:szCs w:val="18"/>
              </w:rPr>
            </w:pPr>
          </w:p>
        </w:tc>
      </w:tr>
      <w:tr w:rsidR="00CE5A9B" w:rsidRPr="00F1670B" w14:paraId="00B8C643" w14:textId="77777777" w:rsidTr="00F12A4C">
        <w:tc>
          <w:tcPr>
            <w:tcW w:w="2093" w:type="dxa"/>
            <w:shd w:val="clear" w:color="auto" w:fill="auto"/>
          </w:tcPr>
          <w:p w14:paraId="2BD4B55A" w14:textId="77777777" w:rsidR="00CE5A9B" w:rsidRPr="00CE5A9B" w:rsidRDefault="00CE5A9B" w:rsidP="00CE5A9B">
            <w:pPr>
              <w:rPr>
                <w:b/>
                <w:color w:val="auto"/>
                <w:sz w:val="18"/>
                <w:szCs w:val="18"/>
              </w:rPr>
            </w:pPr>
          </w:p>
        </w:tc>
        <w:tc>
          <w:tcPr>
            <w:tcW w:w="1923" w:type="dxa"/>
            <w:shd w:val="clear" w:color="auto" w:fill="auto"/>
          </w:tcPr>
          <w:p w14:paraId="1A3E19C9" w14:textId="77777777" w:rsidR="00CE5A9B" w:rsidRPr="00F1670B" w:rsidRDefault="00CE5A9B" w:rsidP="00F12A4C">
            <w:pPr>
              <w:rPr>
                <w:color w:val="auto"/>
                <w:sz w:val="18"/>
                <w:szCs w:val="18"/>
              </w:rPr>
            </w:pPr>
            <w:r w:rsidRPr="00F1670B">
              <w:rPr>
                <w:color w:val="auto"/>
                <w:sz w:val="18"/>
                <w:szCs w:val="18"/>
              </w:rPr>
              <w:t>Improved skills utilisation practice in selected institutions (e.g. good HR and  gender equity practices, competency based frameworks)</w:t>
            </w:r>
          </w:p>
        </w:tc>
        <w:tc>
          <w:tcPr>
            <w:tcW w:w="1924" w:type="dxa"/>
            <w:shd w:val="clear" w:color="auto" w:fill="auto"/>
          </w:tcPr>
          <w:p w14:paraId="5B6FF08F" w14:textId="77777777" w:rsidR="00CE5A9B" w:rsidRPr="00F1670B" w:rsidRDefault="00CE5A9B" w:rsidP="00CE5A9B">
            <w:pPr>
              <w:rPr>
                <w:color w:val="auto"/>
                <w:sz w:val="18"/>
                <w:szCs w:val="18"/>
              </w:rPr>
            </w:pPr>
            <w:r w:rsidRPr="00F1670B">
              <w:rPr>
                <w:color w:val="auto"/>
                <w:sz w:val="18"/>
                <w:szCs w:val="18"/>
              </w:rPr>
              <w:t>Human resource development scoping work undertaken</w:t>
            </w:r>
          </w:p>
        </w:tc>
        <w:tc>
          <w:tcPr>
            <w:tcW w:w="1924" w:type="dxa"/>
            <w:shd w:val="clear" w:color="auto" w:fill="auto"/>
          </w:tcPr>
          <w:p w14:paraId="706C9528" w14:textId="77777777" w:rsidR="00CE5A9B" w:rsidRPr="00F1670B" w:rsidRDefault="00CE5A9B" w:rsidP="00CE5A9B">
            <w:pPr>
              <w:rPr>
                <w:color w:val="auto"/>
                <w:sz w:val="18"/>
                <w:szCs w:val="18"/>
              </w:rPr>
            </w:pPr>
            <w:r w:rsidRPr="00F1670B">
              <w:rPr>
                <w:color w:val="auto"/>
                <w:sz w:val="18"/>
                <w:szCs w:val="18"/>
              </w:rPr>
              <w:t>Human resource development program option developed and short courses designed</w:t>
            </w:r>
          </w:p>
        </w:tc>
        <w:tc>
          <w:tcPr>
            <w:tcW w:w="1923" w:type="dxa"/>
            <w:gridSpan w:val="2"/>
            <w:shd w:val="clear" w:color="auto" w:fill="auto"/>
          </w:tcPr>
          <w:p w14:paraId="10A31F5D" w14:textId="77777777" w:rsidR="00CE5A9B" w:rsidRPr="00F1670B" w:rsidRDefault="00CE5A9B" w:rsidP="00CE5A9B">
            <w:pPr>
              <w:rPr>
                <w:color w:val="auto"/>
                <w:sz w:val="18"/>
                <w:szCs w:val="18"/>
              </w:rPr>
            </w:pPr>
            <w:r w:rsidRPr="00F1670B">
              <w:rPr>
                <w:color w:val="auto"/>
                <w:sz w:val="18"/>
                <w:szCs w:val="18"/>
              </w:rPr>
              <w:t>Strengthened leadership and management skills and improved skills utilisation in 2 selected institutions</w:t>
            </w:r>
          </w:p>
        </w:tc>
        <w:tc>
          <w:tcPr>
            <w:tcW w:w="1924" w:type="dxa"/>
            <w:shd w:val="clear" w:color="auto" w:fill="auto"/>
          </w:tcPr>
          <w:p w14:paraId="5CF6E1C4" w14:textId="77777777" w:rsidR="00CE5A9B" w:rsidRPr="00F1670B" w:rsidRDefault="00CE5A9B" w:rsidP="00CE5A9B">
            <w:pPr>
              <w:rPr>
                <w:color w:val="auto"/>
                <w:sz w:val="18"/>
                <w:szCs w:val="18"/>
              </w:rPr>
            </w:pPr>
            <w:r w:rsidRPr="00F1670B">
              <w:rPr>
                <w:color w:val="auto"/>
                <w:sz w:val="18"/>
                <w:szCs w:val="18"/>
              </w:rPr>
              <w:t>Strengthened leadership and management skills and improved skills utilisation in 4 selected institutions</w:t>
            </w:r>
          </w:p>
        </w:tc>
        <w:tc>
          <w:tcPr>
            <w:tcW w:w="1924" w:type="dxa"/>
          </w:tcPr>
          <w:p w14:paraId="063FF1C6" w14:textId="77777777" w:rsidR="00CE5A9B" w:rsidRPr="00F1670B" w:rsidRDefault="00CE5A9B" w:rsidP="00CE5A9B">
            <w:pPr>
              <w:rPr>
                <w:color w:val="auto"/>
                <w:sz w:val="18"/>
                <w:szCs w:val="18"/>
              </w:rPr>
            </w:pPr>
            <w:r w:rsidRPr="00F1670B">
              <w:rPr>
                <w:color w:val="auto"/>
                <w:sz w:val="18"/>
                <w:szCs w:val="18"/>
              </w:rPr>
              <w:t>Strengthened leadership and management skills and improved skills utilisation in 4 selected institutions</w:t>
            </w:r>
          </w:p>
        </w:tc>
        <w:tc>
          <w:tcPr>
            <w:tcW w:w="1924" w:type="dxa"/>
          </w:tcPr>
          <w:p w14:paraId="5E2AFD0A" w14:textId="77777777" w:rsidR="00CE5A9B" w:rsidRPr="00F1670B" w:rsidRDefault="00CE5A9B" w:rsidP="00CE5A9B">
            <w:pPr>
              <w:rPr>
                <w:color w:val="auto"/>
                <w:sz w:val="18"/>
                <w:szCs w:val="18"/>
              </w:rPr>
            </w:pPr>
            <w:r w:rsidRPr="00F1670B">
              <w:rPr>
                <w:color w:val="auto"/>
                <w:sz w:val="18"/>
                <w:szCs w:val="18"/>
              </w:rPr>
              <w:t>Review and reintegration workshops (annual).</w:t>
            </w:r>
          </w:p>
          <w:p w14:paraId="323A46BE" w14:textId="77777777" w:rsidR="00CE5A9B" w:rsidRPr="00F1670B" w:rsidRDefault="00CE5A9B" w:rsidP="00CE5A9B">
            <w:pPr>
              <w:rPr>
                <w:color w:val="auto"/>
                <w:sz w:val="18"/>
                <w:szCs w:val="18"/>
              </w:rPr>
            </w:pPr>
            <w:r w:rsidRPr="00F1670B">
              <w:rPr>
                <w:color w:val="auto"/>
                <w:sz w:val="18"/>
                <w:szCs w:val="18"/>
              </w:rPr>
              <w:t>Baseline: TBC</w:t>
            </w:r>
          </w:p>
        </w:tc>
      </w:tr>
      <w:tr w:rsidR="00CE5A9B" w:rsidRPr="00F1670B" w14:paraId="68838E28" w14:textId="77777777" w:rsidTr="00F12A4C">
        <w:tc>
          <w:tcPr>
            <w:tcW w:w="2093" w:type="dxa"/>
            <w:shd w:val="clear" w:color="auto" w:fill="auto"/>
          </w:tcPr>
          <w:p w14:paraId="4B9AA6A5" w14:textId="77777777" w:rsidR="00CE5A9B" w:rsidRPr="00F1670B" w:rsidRDefault="00CE5A9B" w:rsidP="00CE5A9B">
            <w:pPr>
              <w:rPr>
                <w:color w:val="auto"/>
                <w:sz w:val="18"/>
                <w:szCs w:val="18"/>
              </w:rPr>
            </w:pPr>
            <w:r w:rsidRPr="00F1670B">
              <w:rPr>
                <w:color w:val="auto"/>
                <w:sz w:val="18"/>
                <w:szCs w:val="18"/>
              </w:rPr>
              <w:t>2.3 Australia and Vietnam have stronger sustainable links in selected sectors / agencies.</w:t>
            </w:r>
          </w:p>
        </w:tc>
        <w:tc>
          <w:tcPr>
            <w:tcW w:w="1923" w:type="dxa"/>
            <w:shd w:val="clear" w:color="auto" w:fill="auto"/>
          </w:tcPr>
          <w:p w14:paraId="06F7EB87" w14:textId="77777777" w:rsidR="00CE5A9B" w:rsidRPr="00F1670B" w:rsidRDefault="00CE5A9B" w:rsidP="00CE5A9B">
            <w:pPr>
              <w:rPr>
                <w:color w:val="auto"/>
                <w:sz w:val="18"/>
                <w:szCs w:val="18"/>
              </w:rPr>
            </w:pPr>
            <w:r w:rsidRPr="00F1670B">
              <w:rPr>
                <w:color w:val="auto"/>
                <w:sz w:val="18"/>
                <w:szCs w:val="18"/>
              </w:rPr>
              <w:t>Alumni establish and maintain effective networks / partnerships in Vietnam and with Australia</w:t>
            </w:r>
          </w:p>
        </w:tc>
        <w:tc>
          <w:tcPr>
            <w:tcW w:w="1924" w:type="dxa"/>
            <w:shd w:val="clear" w:color="auto" w:fill="auto"/>
          </w:tcPr>
          <w:p w14:paraId="701341FA" w14:textId="77777777" w:rsidR="00CE5A9B" w:rsidRPr="00F1670B" w:rsidRDefault="00CE5A9B" w:rsidP="00CE5A9B">
            <w:pPr>
              <w:rPr>
                <w:color w:val="auto"/>
                <w:sz w:val="18"/>
                <w:szCs w:val="18"/>
              </w:rPr>
            </w:pPr>
            <w:r w:rsidRPr="00F1670B">
              <w:rPr>
                <w:color w:val="auto"/>
                <w:sz w:val="18"/>
                <w:szCs w:val="18"/>
              </w:rPr>
              <w:t>45% of Australia Awards alumni who maintain people-to-people and institutional links</w:t>
            </w:r>
          </w:p>
        </w:tc>
        <w:tc>
          <w:tcPr>
            <w:tcW w:w="1924" w:type="dxa"/>
            <w:shd w:val="clear" w:color="auto" w:fill="auto"/>
          </w:tcPr>
          <w:p w14:paraId="2DD70CE8" w14:textId="77777777" w:rsidR="00CE5A9B" w:rsidRPr="00F1670B" w:rsidRDefault="00CE5A9B" w:rsidP="00CE5A9B">
            <w:pPr>
              <w:rPr>
                <w:color w:val="auto"/>
                <w:sz w:val="18"/>
                <w:szCs w:val="18"/>
              </w:rPr>
            </w:pPr>
            <w:r w:rsidRPr="00F1670B">
              <w:rPr>
                <w:color w:val="auto"/>
                <w:sz w:val="18"/>
                <w:szCs w:val="18"/>
              </w:rPr>
              <w:t>45% of Australia Awards alumni who maintain links</w:t>
            </w:r>
          </w:p>
        </w:tc>
        <w:tc>
          <w:tcPr>
            <w:tcW w:w="1923" w:type="dxa"/>
            <w:gridSpan w:val="2"/>
            <w:shd w:val="clear" w:color="auto" w:fill="auto"/>
          </w:tcPr>
          <w:p w14:paraId="2E16E824" w14:textId="77777777" w:rsidR="00CE5A9B" w:rsidRPr="00F1670B" w:rsidRDefault="00CE5A9B" w:rsidP="00CE5A9B">
            <w:pPr>
              <w:rPr>
                <w:color w:val="auto"/>
                <w:sz w:val="18"/>
                <w:szCs w:val="18"/>
              </w:rPr>
            </w:pPr>
            <w:r w:rsidRPr="00F1670B">
              <w:rPr>
                <w:color w:val="auto"/>
                <w:sz w:val="18"/>
                <w:szCs w:val="18"/>
              </w:rPr>
              <w:t>55% of Australia Awards alumni who maintain links</w:t>
            </w:r>
          </w:p>
        </w:tc>
        <w:tc>
          <w:tcPr>
            <w:tcW w:w="1924" w:type="dxa"/>
            <w:shd w:val="clear" w:color="auto" w:fill="auto"/>
          </w:tcPr>
          <w:p w14:paraId="3FD467F9" w14:textId="77777777" w:rsidR="00CE5A9B" w:rsidRPr="00F1670B" w:rsidRDefault="00CE5A9B" w:rsidP="00CE5A9B">
            <w:pPr>
              <w:rPr>
                <w:color w:val="auto"/>
                <w:sz w:val="18"/>
                <w:szCs w:val="18"/>
              </w:rPr>
            </w:pPr>
            <w:r w:rsidRPr="00F1670B">
              <w:rPr>
                <w:color w:val="auto"/>
                <w:sz w:val="18"/>
                <w:szCs w:val="18"/>
              </w:rPr>
              <w:t>55% of Australia Awards alumni who maintain links</w:t>
            </w:r>
          </w:p>
        </w:tc>
        <w:tc>
          <w:tcPr>
            <w:tcW w:w="1924" w:type="dxa"/>
          </w:tcPr>
          <w:p w14:paraId="52A58C74" w14:textId="77777777" w:rsidR="00CE5A9B" w:rsidRPr="00F1670B" w:rsidRDefault="00CE5A9B" w:rsidP="00CE5A9B">
            <w:pPr>
              <w:rPr>
                <w:color w:val="auto"/>
                <w:sz w:val="18"/>
                <w:szCs w:val="18"/>
              </w:rPr>
            </w:pPr>
            <w:r w:rsidRPr="00F1670B">
              <w:rPr>
                <w:color w:val="auto"/>
                <w:sz w:val="18"/>
                <w:szCs w:val="18"/>
              </w:rPr>
              <w:t>65% of Australia Awards alumni who maintain  links</w:t>
            </w:r>
          </w:p>
        </w:tc>
        <w:tc>
          <w:tcPr>
            <w:tcW w:w="1924" w:type="dxa"/>
          </w:tcPr>
          <w:p w14:paraId="340A258B" w14:textId="77777777" w:rsidR="00CE5A9B" w:rsidRPr="00F1670B" w:rsidRDefault="00CE5A9B" w:rsidP="00CE5A9B">
            <w:pPr>
              <w:rPr>
                <w:color w:val="auto"/>
                <w:sz w:val="18"/>
                <w:szCs w:val="18"/>
              </w:rPr>
            </w:pPr>
            <w:r w:rsidRPr="00F1670B">
              <w:rPr>
                <w:color w:val="auto"/>
                <w:sz w:val="18"/>
                <w:szCs w:val="18"/>
              </w:rPr>
              <w:t>Surveys and workshops (annual)</w:t>
            </w:r>
          </w:p>
          <w:p w14:paraId="044F1274" w14:textId="77777777" w:rsidR="00CE5A9B" w:rsidRPr="00F1670B" w:rsidRDefault="00CE5A9B" w:rsidP="00CE5A9B">
            <w:pPr>
              <w:rPr>
                <w:color w:val="auto"/>
                <w:sz w:val="18"/>
                <w:szCs w:val="18"/>
              </w:rPr>
            </w:pPr>
            <w:r w:rsidRPr="00F1670B">
              <w:rPr>
                <w:color w:val="auto"/>
                <w:sz w:val="18"/>
                <w:szCs w:val="18"/>
              </w:rPr>
              <w:t>Baseline: 2008-2015 Program survey data</w:t>
            </w:r>
          </w:p>
        </w:tc>
      </w:tr>
      <w:tr w:rsidR="00CE5A9B" w:rsidRPr="00CE5A9B" w14:paraId="2C37CA71" w14:textId="77777777" w:rsidTr="00CE5A9B">
        <w:trPr>
          <w:trHeight w:val="567"/>
        </w:trPr>
        <w:tc>
          <w:tcPr>
            <w:tcW w:w="2093" w:type="dxa"/>
            <w:shd w:val="clear" w:color="auto" w:fill="auto"/>
            <w:vAlign w:val="center"/>
          </w:tcPr>
          <w:p w14:paraId="19F18035" w14:textId="77777777" w:rsidR="00CE5A9B" w:rsidRPr="00CE5A9B" w:rsidRDefault="00CE5A9B" w:rsidP="00CE5A9B">
            <w:pPr>
              <w:rPr>
                <w:b/>
                <w:color w:val="auto"/>
                <w:sz w:val="18"/>
                <w:szCs w:val="18"/>
              </w:rPr>
            </w:pPr>
            <w:r w:rsidRPr="00CE5A9B">
              <w:rPr>
                <w:b/>
                <w:color w:val="auto"/>
                <w:sz w:val="18"/>
                <w:szCs w:val="18"/>
              </w:rPr>
              <w:t>Australia’s aid objective 3</w:t>
            </w:r>
          </w:p>
        </w:tc>
        <w:tc>
          <w:tcPr>
            <w:tcW w:w="13466" w:type="dxa"/>
            <w:gridSpan w:val="8"/>
            <w:vAlign w:val="center"/>
          </w:tcPr>
          <w:p w14:paraId="60D02567" w14:textId="77777777" w:rsidR="00CE5A9B" w:rsidRPr="00CE5A9B" w:rsidRDefault="00CE5A9B" w:rsidP="00CE5A9B">
            <w:pPr>
              <w:rPr>
                <w:b/>
                <w:color w:val="auto"/>
                <w:sz w:val="18"/>
                <w:szCs w:val="18"/>
              </w:rPr>
            </w:pPr>
            <w:r w:rsidRPr="00CE5A9B">
              <w:rPr>
                <w:b/>
                <w:color w:val="auto"/>
                <w:sz w:val="18"/>
                <w:szCs w:val="18"/>
              </w:rPr>
              <w:t>Promoting women’s economic empowerment, including ethnic minorities</w:t>
            </w:r>
          </w:p>
        </w:tc>
      </w:tr>
      <w:tr w:rsidR="00CE5A9B" w:rsidRPr="00CE5A9B" w14:paraId="607FB017" w14:textId="77777777" w:rsidTr="00F12A4C">
        <w:tc>
          <w:tcPr>
            <w:tcW w:w="2093" w:type="dxa"/>
            <w:shd w:val="clear" w:color="auto" w:fill="auto"/>
          </w:tcPr>
          <w:p w14:paraId="735E2BB6" w14:textId="77777777" w:rsidR="00CE5A9B" w:rsidRPr="00CE5A9B" w:rsidRDefault="00CE5A9B" w:rsidP="00CE5A9B">
            <w:pPr>
              <w:spacing w:after="200" w:line="276" w:lineRule="auto"/>
              <w:rPr>
                <w:b/>
                <w:color w:val="auto"/>
                <w:sz w:val="18"/>
                <w:szCs w:val="18"/>
              </w:rPr>
            </w:pPr>
            <w:r w:rsidRPr="00CE5A9B">
              <w:rPr>
                <w:b/>
                <w:color w:val="auto"/>
                <w:sz w:val="18"/>
                <w:szCs w:val="18"/>
              </w:rPr>
              <w:t>3.1  Rural women’s livelihood security improved</w:t>
            </w:r>
          </w:p>
        </w:tc>
        <w:tc>
          <w:tcPr>
            <w:tcW w:w="1923" w:type="dxa"/>
            <w:shd w:val="clear" w:color="auto" w:fill="auto"/>
          </w:tcPr>
          <w:p w14:paraId="7EBFDD13" w14:textId="77777777" w:rsidR="00CE5A9B" w:rsidRPr="00CE5A9B" w:rsidRDefault="00CE5A9B" w:rsidP="00CE5A9B">
            <w:pPr>
              <w:spacing w:after="200" w:line="276" w:lineRule="auto"/>
              <w:rPr>
                <w:b/>
                <w:color w:val="auto"/>
                <w:sz w:val="18"/>
                <w:szCs w:val="18"/>
              </w:rPr>
            </w:pPr>
            <w:r w:rsidRPr="00CE5A9B">
              <w:rPr>
                <w:b/>
                <w:color w:val="auto"/>
                <w:sz w:val="18"/>
                <w:szCs w:val="18"/>
              </w:rPr>
              <w:t>Women have greater control over the use of household income and assets to strengthen livelihoods</w:t>
            </w:r>
          </w:p>
        </w:tc>
        <w:tc>
          <w:tcPr>
            <w:tcW w:w="1924" w:type="dxa"/>
          </w:tcPr>
          <w:p w14:paraId="21911AC4" w14:textId="77777777" w:rsidR="00CE5A9B" w:rsidRPr="00CE5A9B" w:rsidRDefault="00CE5A9B" w:rsidP="00CE5A9B">
            <w:pPr>
              <w:spacing w:after="200" w:line="276" w:lineRule="auto"/>
              <w:rPr>
                <w:b/>
                <w:color w:val="auto"/>
                <w:sz w:val="18"/>
                <w:szCs w:val="18"/>
              </w:rPr>
            </w:pPr>
            <w:r w:rsidRPr="00CE5A9B">
              <w:rPr>
                <w:b/>
                <w:color w:val="auto"/>
                <w:sz w:val="18"/>
                <w:szCs w:val="18"/>
              </w:rPr>
              <w:t>Concept developed</w:t>
            </w:r>
          </w:p>
        </w:tc>
        <w:tc>
          <w:tcPr>
            <w:tcW w:w="1924" w:type="dxa"/>
            <w:shd w:val="clear" w:color="auto" w:fill="auto"/>
          </w:tcPr>
          <w:p w14:paraId="56BC843A" w14:textId="77777777" w:rsidR="00CE5A9B" w:rsidRPr="00CE5A9B" w:rsidRDefault="00CE5A9B" w:rsidP="00CE5A9B">
            <w:pPr>
              <w:spacing w:after="200" w:line="276" w:lineRule="auto"/>
              <w:rPr>
                <w:b/>
                <w:color w:val="auto"/>
                <w:sz w:val="18"/>
                <w:szCs w:val="18"/>
              </w:rPr>
            </w:pPr>
            <w:r w:rsidRPr="00CE5A9B">
              <w:rPr>
                <w:b/>
                <w:color w:val="auto"/>
                <w:sz w:val="18"/>
                <w:szCs w:val="18"/>
              </w:rPr>
              <w:t>Program design/ partnership established</w:t>
            </w:r>
          </w:p>
        </w:tc>
        <w:tc>
          <w:tcPr>
            <w:tcW w:w="1923" w:type="dxa"/>
            <w:gridSpan w:val="2"/>
            <w:shd w:val="clear" w:color="auto" w:fill="auto"/>
          </w:tcPr>
          <w:p w14:paraId="192999A9" w14:textId="77777777" w:rsidR="00CE5A9B" w:rsidRPr="00CE5A9B" w:rsidRDefault="00CE5A9B" w:rsidP="00CE5A9B">
            <w:pPr>
              <w:spacing w:after="200" w:line="276" w:lineRule="auto"/>
              <w:rPr>
                <w:b/>
                <w:color w:val="auto"/>
                <w:sz w:val="18"/>
                <w:szCs w:val="18"/>
              </w:rPr>
            </w:pPr>
            <w:r w:rsidRPr="00CE5A9B">
              <w:rPr>
                <w:b/>
                <w:color w:val="auto"/>
                <w:sz w:val="18"/>
                <w:szCs w:val="18"/>
              </w:rPr>
              <w:t>Greater awareness of livelihood opportunities among women; acquisition of knowledge and skills</w:t>
            </w:r>
          </w:p>
        </w:tc>
        <w:tc>
          <w:tcPr>
            <w:tcW w:w="1924" w:type="dxa"/>
            <w:shd w:val="clear" w:color="auto" w:fill="auto"/>
          </w:tcPr>
          <w:p w14:paraId="6BF8B425" w14:textId="77777777" w:rsidR="00CE5A9B" w:rsidRPr="00CE5A9B" w:rsidRDefault="00CE5A9B" w:rsidP="00CE5A9B">
            <w:pPr>
              <w:spacing w:after="200" w:line="276" w:lineRule="auto"/>
              <w:rPr>
                <w:b/>
                <w:color w:val="auto"/>
                <w:sz w:val="18"/>
                <w:szCs w:val="18"/>
              </w:rPr>
            </w:pPr>
            <w:r w:rsidRPr="00CE5A9B">
              <w:rPr>
                <w:b/>
                <w:color w:val="auto"/>
                <w:sz w:val="18"/>
                <w:szCs w:val="18"/>
              </w:rPr>
              <w:t>Women’s income options diversified</w:t>
            </w:r>
          </w:p>
        </w:tc>
        <w:tc>
          <w:tcPr>
            <w:tcW w:w="1924" w:type="dxa"/>
          </w:tcPr>
          <w:p w14:paraId="3F23E1C8" w14:textId="77777777" w:rsidR="00CE5A9B" w:rsidRPr="00CE5A9B" w:rsidRDefault="00CE5A9B" w:rsidP="00F12A4C">
            <w:pPr>
              <w:spacing w:after="200" w:line="276" w:lineRule="auto"/>
              <w:rPr>
                <w:b/>
                <w:color w:val="auto"/>
                <w:sz w:val="18"/>
                <w:szCs w:val="18"/>
              </w:rPr>
            </w:pPr>
            <w:r w:rsidRPr="00CE5A9B">
              <w:rPr>
                <w:b/>
                <w:color w:val="auto"/>
                <w:sz w:val="18"/>
                <w:szCs w:val="18"/>
              </w:rPr>
              <w:t>Increase in rural women’s farm/non-farm incomes</w:t>
            </w:r>
          </w:p>
        </w:tc>
        <w:tc>
          <w:tcPr>
            <w:tcW w:w="1924" w:type="dxa"/>
          </w:tcPr>
          <w:p w14:paraId="5E9996B0" w14:textId="77777777" w:rsidR="00CE5A9B" w:rsidRPr="00CE5A9B" w:rsidRDefault="00CE5A9B" w:rsidP="00CE5A9B">
            <w:pPr>
              <w:rPr>
                <w:b/>
                <w:color w:val="auto"/>
                <w:sz w:val="18"/>
                <w:szCs w:val="18"/>
              </w:rPr>
            </w:pPr>
            <w:r w:rsidRPr="00CE5A9B">
              <w:rPr>
                <w:b/>
                <w:color w:val="auto"/>
                <w:sz w:val="18"/>
                <w:szCs w:val="18"/>
              </w:rPr>
              <w:t>Investment documents</w:t>
            </w:r>
          </w:p>
          <w:p w14:paraId="4536C065" w14:textId="77777777" w:rsidR="00CE5A9B" w:rsidRPr="00CE5A9B" w:rsidRDefault="00CE5A9B" w:rsidP="00CE5A9B">
            <w:pPr>
              <w:spacing w:after="200" w:line="276" w:lineRule="auto"/>
              <w:rPr>
                <w:b/>
                <w:color w:val="auto"/>
                <w:sz w:val="18"/>
                <w:szCs w:val="18"/>
              </w:rPr>
            </w:pPr>
            <w:r w:rsidRPr="00CE5A9B">
              <w:rPr>
                <w:b/>
                <w:color w:val="auto"/>
                <w:sz w:val="18"/>
                <w:szCs w:val="18"/>
              </w:rPr>
              <w:t>Baseline: aid investment analytical assessment</w:t>
            </w:r>
          </w:p>
        </w:tc>
      </w:tr>
      <w:tr w:rsidR="00CE5A9B" w:rsidRPr="00CE5A9B" w14:paraId="6E70FF99" w14:textId="77777777" w:rsidTr="00F12A4C">
        <w:tc>
          <w:tcPr>
            <w:tcW w:w="2093" w:type="dxa"/>
            <w:shd w:val="clear" w:color="auto" w:fill="auto"/>
          </w:tcPr>
          <w:p w14:paraId="1D93548C" w14:textId="77777777" w:rsidR="00CE5A9B" w:rsidRPr="00CE5A9B" w:rsidRDefault="00CE5A9B" w:rsidP="00CE5A9B">
            <w:pPr>
              <w:spacing w:after="200" w:line="276" w:lineRule="auto"/>
              <w:rPr>
                <w:color w:val="auto"/>
                <w:sz w:val="18"/>
                <w:szCs w:val="18"/>
              </w:rPr>
            </w:pPr>
          </w:p>
        </w:tc>
        <w:tc>
          <w:tcPr>
            <w:tcW w:w="1923" w:type="dxa"/>
            <w:shd w:val="clear" w:color="auto" w:fill="auto"/>
          </w:tcPr>
          <w:p w14:paraId="381F51CE" w14:textId="77777777" w:rsidR="00CE5A9B" w:rsidRPr="00CE5A9B" w:rsidRDefault="00CE5A9B" w:rsidP="00CE5A9B">
            <w:pPr>
              <w:spacing w:after="200" w:line="276" w:lineRule="auto"/>
              <w:rPr>
                <w:color w:val="auto"/>
                <w:sz w:val="18"/>
                <w:szCs w:val="18"/>
              </w:rPr>
            </w:pPr>
            <w:r w:rsidRPr="00CE5A9B">
              <w:rPr>
                <w:color w:val="auto"/>
                <w:sz w:val="18"/>
                <w:szCs w:val="18"/>
              </w:rPr>
              <w:t xml:space="preserve">Women have better access to livelihood support services (e.g. financial, technical, agribusiness etc.) </w:t>
            </w:r>
          </w:p>
        </w:tc>
        <w:tc>
          <w:tcPr>
            <w:tcW w:w="1924" w:type="dxa"/>
          </w:tcPr>
          <w:p w14:paraId="24922899" w14:textId="77777777" w:rsidR="00CE5A9B" w:rsidRPr="00CE5A9B" w:rsidRDefault="00CE5A9B" w:rsidP="00CE5A9B">
            <w:pPr>
              <w:spacing w:after="200" w:line="276" w:lineRule="auto"/>
              <w:rPr>
                <w:color w:val="auto"/>
                <w:sz w:val="18"/>
                <w:szCs w:val="18"/>
              </w:rPr>
            </w:pPr>
            <w:r w:rsidRPr="00CE5A9B">
              <w:rPr>
                <w:color w:val="auto"/>
                <w:sz w:val="18"/>
                <w:szCs w:val="18"/>
              </w:rPr>
              <w:t>Concept developed</w:t>
            </w:r>
          </w:p>
        </w:tc>
        <w:tc>
          <w:tcPr>
            <w:tcW w:w="1924" w:type="dxa"/>
            <w:shd w:val="clear" w:color="auto" w:fill="auto"/>
          </w:tcPr>
          <w:p w14:paraId="162C4A7B" w14:textId="77777777" w:rsidR="00CE5A9B" w:rsidRPr="00CE5A9B" w:rsidRDefault="00CE5A9B" w:rsidP="00CE5A9B">
            <w:pPr>
              <w:spacing w:after="200" w:line="276" w:lineRule="auto"/>
              <w:rPr>
                <w:color w:val="auto"/>
                <w:sz w:val="18"/>
                <w:szCs w:val="18"/>
              </w:rPr>
            </w:pPr>
            <w:r w:rsidRPr="00CE5A9B">
              <w:rPr>
                <w:color w:val="auto"/>
                <w:sz w:val="18"/>
                <w:szCs w:val="18"/>
              </w:rPr>
              <w:t>Program design/ partnership established</w:t>
            </w:r>
          </w:p>
        </w:tc>
        <w:tc>
          <w:tcPr>
            <w:tcW w:w="1923" w:type="dxa"/>
            <w:gridSpan w:val="2"/>
            <w:shd w:val="clear" w:color="auto" w:fill="auto"/>
          </w:tcPr>
          <w:p w14:paraId="3C31FC71" w14:textId="77777777" w:rsidR="00CE5A9B" w:rsidRPr="00CE5A9B" w:rsidRDefault="00CE5A9B" w:rsidP="00CE5A9B">
            <w:pPr>
              <w:spacing w:after="200" w:line="276" w:lineRule="auto"/>
              <w:rPr>
                <w:color w:val="auto"/>
                <w:sz w:val="18"/>
                <w:szCs w:val="18"/>
              </w:rPr>
            </w:pPr>
            <w:r w:rsidRPr="00CE5A9B">
              <w:rPr>
                <w:color w:val="auto"/>
                <w:sz w:val="18"/>
                <w:szCs w:val="18"/>
              </w:rPr>
              <w:t xml:space="preserve">Strengthening of support service provision; Higher awareness of services </w:t>
            </w:r>
          </w:p>
        </w:tc>
        <w:tc>
          <w:tcPr>
            <w:tcW w:w="1924" w:type="dxa"/>
            <w:shd w:val="clear" w:color="auto" w:fill="auto"/>
          </w:tcPr>
          <w:p w14:paraId="64AE57E3" w14:textId="77777777" w:rsidR="00CE5A9B" w:rsidRPr="00CE5A9B" w:rsidRDefault="00CE5A9B" w:rsidP="00CE5A9B">
            <w:pPr>
              <w:spacing w:after="200" w:line="276" w:lineRule="auto"/>
              <w:rPr>
                <w:color w:val="auto"/>
                <w:sz w:val="18"/>
                <w:szCs w:val="18"/>
              </w:rPr>
            </w:pPr>
            <w:r w:rsidRPr="00CE5A9B">
              <w:rPr>
                <w:color w:val="auto"/>
                <w:sz w:val="18"/>
                <w:szCs w:val="18"/>
              </w:rPr>
              <w:t>Improved outreach of services; Service partnerships established</w:t>
            </w:r>
          </w:p>
        </w:tc>
        <w:tc>
          <w:tcPr>
            <w:tcW w:w="1924" w:type="dxa"/>
          </w:tcPr>
          <w:p w14:paraId="0F6E7B55" w14:textId="77777777" w:rsidR="00CE5A9B" w:rsidRPr="00CE5A9B" w:rsidRDefault="00CE5A9B" w:rsidP="00CE5A9B">
            <w:pPr>
              <w:spacing w:after="200" w:line="276" w:lineRule="auto"/>
              <w:rPr>
                <w:color w:val="auto"/>
                <w:sz w:val="18"/>
                <w:szCs w:val="18"/>
              </w:rPr>
            </w:pPr>
            <w:r w:rsidRPr="00CE5A9B">
              <w:rPr>
                <w:color w:val="auto"/>
                <w:sz w:val="18"/>
                <w:szCs w:val="18"/>
              </w:rPr>
              <w:t>No. of women beneficiaries utilising services; support partnerships in place</w:t>
            </w:r>
          </w:p>
        </w:tc>
        <w:tc>
          <w:tcPr>
            <w:tcW w:w="1924" w:type="dxa"/>
          </w:tcPr>
          <w:p w14:paraId="1C7E1385" w14:textId="77777777" w:rsidR="00CE5A9B" w:rsidRPr="00CE5A9B" w:rsidRDefault="00CE5A9B" w:rsidP="00CE5A9B">
            <w:pPr>
              <w:rPr>
                <w:color w:val="auto"/>
                <w:sz w:val="18"/>
                <w:szCs w:val="18"/>
              </w:rPr>
            </w:pPr>
            <w:r w:rsidRPr="00CE5A9B">
              <w:rPr>
                <w:color w:val="auto"/>
                <w:sz w:val="18"/>
                <w:szCs w:val="18"/>
              </w:rPr>
              <w:t>Investment documents</w:t>
            </w:r>
          </w:p>
          <w:p w14:paraId="2BBF8C2A" w14:textId="77777777" w:rsidR="00CE5A9B" w:rsidRPr="00CE5A9B" w:rsidRDefault="00CE5A9B" w:rsidP="00CE5A9B">
            <w:pPr>
              <w:spacing w:after="200" w:line="276" w:lineRule="auto"/>
              <w:rPr>
                <w:color w:val="auto"/>
                <w:sz w:val="18"/>
                <w:szCs w:val="18"/>
              </w:rPr>
            </w:pPr>
            <w:r w:rsidRPr="00CE5A9B">
              <w:rPr>
                <w:color w:val="auto"/>
                <w:sz w:val="18"/>
                <w:szCs w:val="18"/>
              </w:rPr>
              <w:t>Baseline: aid investment analytical assessment</w:t>
            </w:r>
          </w:p>
        </w:tc>
      </w:tr>
      <w:tr w:rsidR="00CE5A9B" w:rsidRPr="00CE5A9B" w14:paraId="1456ECAD" w14:textId="77777777" w:rsidTr="00F12A4C">
        <w:tc>
          <w:tcPr>
            <w:tcW w:w="2093" w:type="dxa"/>
            <w:shd w:val="clear" w:color="auto" w:fill="auto"/>
          </w:tcPr>
          <w:p w14:paraId="000A7058" w14:textId="77777777" w:rsidR="00CE5A9B" w:rsidRPr="00CE5A9B" w:rsidRDefault="00CE5A9B" w:rsidP="00CE5A9B">
            <w:pPr>
              <w:spacing w:after="200" w:line="276" w:lineRule="auto"/>
              <w:rPr>
                <w:b/>
                <w:color w:val="auto"/>
                <w:sz w:val="18"/>
                <w:szCs w:val="18"/>
              </w:rPr>
            </w:pPr>
            <w:r w:rsidRPr="00CE5A9B">
              <w:rPr>
                <w:b/>
                <w:color w:val="auto"/>
                <w:sz w:val="18"/>
                <w:szCs w:val="18"/>
              </w:rPr>
              <w:t xml:space="preserve">3.2 Women’s empowerment </w:t>
            </w:r>
          </w:p>
        </w:tc>
        <w:tc>
          <w:tcPr>
            <w:tcW w:w="1923" w:type="dxa"/>
            <w:shd w:val="clear" w:color="auto" w:fill="auto"/>
          </w:tcPr>
          <w:p w14:paraId="2B8498D7" w14:textId="77777777" w:rsidR="00CE5A9B" w:rsidRPr="00CE5A9B" w:rsidRDefault="00CE5A9B" w:rsidP="00CE5A9B">
            <w:pPr>
              <w:spacing w:after="200" w:line="276" w:lineRule="auto"/>
              <w:rPr>
                <w:b/>
                <w:color w:val="auto"/>
                <w:sz w:val="18"/>
                <w:szCs w:val="18"/>
              </w:rPr>
            </w:pPr>
            <w:r w:rsidRPr="00CE5A9B">
              <w:rPr>
                <w:b/>
                <w:color w:val="auto"/>
                <w:sz w:val="18"/>
                <w:szCs w:val="18"/>
              </w:rPr>
              <w:t>Women’s voice and leadership increased in informal and formal community decision-making processes</w:t>
            </w:r>
          </w:p>
        </w:tc>
        <w:tc>
          <w:tcPr>
            <w:tcW w:w="1924" w:type="dxa"/>
          </w:tcPr>
          <w:p w14:paraId="18E844C7" w14:textId="77777777" w:rsidR="00CE5A9B" w:rsidRPr="00CE5A9B" w:rsidRDefault="00CE5A9B" w:rsidP="00CE5A9B">
            <w:pPr>
              <w:spacing w:after="200" w:line="276" w:lineRule="auto"/>
              <w:rPr>
                <w:b/>
                <w:color w:val="auto"/>
                <w:sz w:val="18"/>
                <w:szCs w:val="18"/>
              </w:rPr>
            </w:pPr>
            <w:r w:rsidRPr="00CE5A9B">
              <w:rPr>
                <w:b/>
                <w:color w:val="auto"/>
                <w:sz w:val="18"/>
                <w:szCs w:val="18"/>
              </w:rPr>
              <w:t>Concept developed</w:t>
            </w:r>
          </w:p>
        </w:tc>
        <w:tc>
          <w:tcPr>
            <w:tcW w:w="1924" w:type="dxa"/>
            <w:shd w:val="clear" w:color="auto" w:fill="auto"/>
          </w:tcPr>
          <w:p w14:paraId="21A35126" w14:textId="77777777" w:rsidR="00CE5A9B" w:rsidRPr="00CE5A9B" w:rsidRDefault="00CE5A9B" w:rsidP="00CE5A9B">
            <w:pPr>
              <w:spacing w:after="200" w:line="276" w:lineRule="auto"/>
              <w:rPr>
                <w:b/>
                <w:color w:val="auto"/>
                <w:sz w:val="18"/>
                <w:szCs w:val="18"/>
              </w:rPr>
            </w:pPr>
            <w:r w:rsidRPr="00CE5A9B">
              <w:rPr>
                <w:b/>
                <w:color w:val="auto"/>
                <w:sz w:val="18"/>
                <w:szCs w:val="18"/>
              </w:rPr>
              <w:t xml:space="preserve">Program design/partnership established </w:t>
            </w:r>
          </w:p>
        </w:tc>
        <w:tc>
          <w:tcPr>
            <w:tcW w:w="1923" w:type="dxa"/>
            <w:gridSpan w:val="2"/>
            <w:shd w:val="clear" w:color="auto" w:fill="auto"/>
          </w:tcPr>
          <w:p w14:paraId="116CE3E4" w14:textId="77777777" w:rsidR="00CE5A9B" w:rsidRPr="00CE5A9B" w:rsidRDefault="00CE5A9B" w:rsidP="00CE5A9B">
            <w:pPr>
              <w:spacing w:after="200" w:line="276" w:lineRule="auto"/>
              <w:rPr>
                <w:b/>
                <w:color w:val="auto"/>
                <w:sz w:val="18"/>
                <w:szCs w:val="18"/>
              </w:rPr>
            </w:pPr>
            <w:r w:rsidRPr="00CE5A9B">
              <w:rPr>
                <w:b/>
                <w:color w:val="auto"/>
                <w:sz w:val="18"/>
                <w:szCs w:val="18"/>
              </w:rPr>
              <w:t>Awareness of mechanisms to improve women’s participation and leadership</w:t>
            </w:r>
          </w:p>
        </w:tc>
        <w:tc>
          <w:tcPr>
            <w:tcW w:w="1924" w:type="dxa"/>
            <w:shd w:val="clear" w:color="auto" w:fill="auto"/>
          </w:tcPr>
          <w:p w14:paraId="196F6770" w14:textId="77777777" w:rsidR="00CE5A9B" w:rsidRPr="00CE5A9B" w:rsidRDefault="00CE5A9B" w:rsidP="00CE5A9B">
            <w:pPr>
              <w:spacing w:after="200" w:line="276" w:lineRule="auto"/>
              <w:rPr>
                <w:b/>
                <w:color w:val="auto"/>
                <w:sz w:val="18"/>
                <w:szCs w:val="18"/>
              </w:rPr>
            </w:pPr>
            <w:r w:rsidRPr="00CE5A9B">
              <w:rPr>
                <w:b/>
                <w:color w:val="auto"/>
                <w:sz w:val="18"/>
                <w:szCs w:val="18"/>
              </w:rPr>
              <w:t>Greater opportunities for women’s voice and empowerment realised</w:t>
            </w:r>
          </w:p>
        </w:tc>
        <w:tc>
          <w:tcPr>
            <w:tcW w:w="1924" w:type="dxa"/>
          </w:tcPr>
          <w:p w14:paraId="61E003B6" w14:textId="77777777" w:rsidR="00CE5A9B" w:rsidRPr="00CE5A9B" w:rsidRDefault="00CE5A9B" w:rsidP="00CE5A9B">
            <w:pPr>
              <w:spacing w:after="200" w:line="276" w:lineRule="auto"/>
              <w:rPr>
                <w:b/>
                <w:color w:val="auto"/>
                <w:sz w:val="18"/>
                <w:szCs w:val="18"/>
              </w:rPr>
            </w:pPr>
            <w:r w:rsidRPr="00CE5A9B">
              <w:rPr>
                <w:b/>
                <w:color w:val="auto"/>
                <w:sz w:val="18"/>
                <w:szCs w:val="18"/>
              </w:rPr>
              <w:t>Evidence of informal and formal community level decisions more influenced by women’s voice</w:t>
            </w:r>
          </w:p>
        </w:tc>
        <w:tc>
          <w:tcPr>
            <w:tcW w:w="1924" w:type="dxa"/>
          </w:tcPr>
          <w:p w14:paraId="69FB36A7" w14:textId="77777777" w:rsidR="00CE5A9B" w:rsidRPr="00CE5A9B" w:rsidRDefault="00CE5A9B" w:rsidP="00CE5A9B">
            <w:pPr>
              <w:rPr>
                <w:b/>
                <w:color w:val="auto"/>
                <w:sz w:val="18"/>
                <w:szCs w:val="18"/>
              </w:rPr>
            </w:pPr>
            <w:r w:rsidRPr="00CE5A9B">
              <w:rPr>
                <w:b/>
                <w:color w:val="auto"/>
                <w:sz w:val="18"/>
                <w:szCs w:val="18"/>
              </w:rPr>
              <w:t>Investment documents</w:t>
            </w:r>
          </w:p>
          <w:p w14:paraId="656CA731" w14:textId="77777777" w:rsidR="00CE5A9B" w:rsidRPr="00CE5A9B" w:rsidRDefault="00CE5A9B" w:rsidP="00CE5A9B">
            <w:pPr>
              <w:spacing w:after="200" w:line="276" w:lineRule="auto"/>
              <w:rPr>
                <w:b/>
                <w:color w:val="auto"/>
                <w:sz w:val="18"/>
                <w:szCs w:val="18"/>
              </w:rPr>
            </w:pPr>
            <w:r w:rsidRPr="00CE5A9B">
              <w:rPr>
                <w:b/>
                <w:color w:val="auto"/>
                <w:sz w:val="18"/>
                <w:szCs w:val="18"/>
              </w:rPr>
              <w:t>Baseline: aid investment analytical assessment</w:t>
            </w:r>
          </w:p>
        </w:tc>
      </w:tr>
      <w:tr w:rsidR="00CE5A9B" w:rsidRPr="00CE5A9B" w14:paraId="2D6B0C77" w14:textId="77777777" w:rsidTr="00F12A4C">
        <w:tc>
          <w:tcPr>
            <w:tcW w:w="2093" w:type="dxa"/>
            <w:shd w:val="clear" w:color="auto" w:fill="auto"/>
          </w:tcPr>
          <w:p w14:paraId="65C27592" w14:textId="77777777" w:rsidR="00CE5A9B" w:rsidRPr="00CE5A9B" w:rsidRDefault="00CE5A9B" w:rsidP="00CE5A9B">
            <w:pPr>
              <w:spacing w:after="200" w:line="276" w:lineRule="auto"/>
              <w:rPr>
                <w:color w:val="auto"/>
                <w:sz w:val="18"/>
                <w:szCs w:val="18"/>
              </w:rPr>
            </w:pPr>
          </w:p>
        </w:tc>
        <w:tc>
          <w:tcPr>
            <w:tcW w:w="1923" w:type="dxa"/>
            <w:shd w:val="clear" w:color="auto" w:fill="auto"/>
          </w:tcPr>
          <w:p w14:paraId="7025623D" w14:textId="77777777" w:rsidR="00CE5A9B" w:rsidRPr="00CE5A9B" w:rsidRDefault="00CE5A9B" w:rsidP="00CE5A9B">
            <w:pPr>
              <w:spacing w:after="200" w:line="276" w:lineRule="auto"/>
              <w:rPr>
                <w:color w:val="auto"/>
                <w:sz w:val="18"/>
                <w:szCs w:val="18"/>
              </w:rPr>
            </w:pPr>
            <w:r w:rsidRPr="00CE5A9B">
              <w:rPr>
                <w:color w:val="auto"/>
                <w:sz w:val="18"/>
                <w:szCs w:val="18"/>
              </w:rPr>
              <w:t>Women’s collective knowledge and bargaining power in the market  strengthened</w:t>
            </w:r>
          </w:p>
        </w:tc>
        <w:tc>
          <w:tcPr>
            <w:tcW w:w="1924" w:type="dxa"/>
          </w:tcPr>
          <w:p w14:paraId="6536B631" w14:textId="77777777" w:rsidR="00CE5A9B" w:rsidRPr="00CE5A9B" w:rsidRDefault="00CE5A9B" w:rsidP="00CE5A9B">
            <w:pPr>
              <w:spacing w:after="200" w:line="276" w:lineRule="auto"/>
              <w:rPr>
                <w:color w:val="auto"/>
                <w:sz w:val="18"/>
                <w:szCs w:val="18"/>
              </w:rPr>
            </w:pPr>
            <w:r w:rsidRPr="00CE5A9B">
              <w:rPr>
                <w:color w:val="auto"/>
                <w:sz w:val="18"/>
                <w:szCs w:val="18"/>
              </w:rPr>
              <w:t>Concept developed</w:t>
            </w:r>
          </w:p>
        </w:tc>
        <w:tc>
          <w:tcPr>
            <w:tcW w:w="1924" w:type="dxa"/>
            <w:shd w:val="clear" w:color="auto" w:fill="auto"/>
          </w:tcPr>
          <w:p w14:paraId="7EF875B3" w14:textId="77777777" w:rsidR="00CE5A9B" w:rsidRPr="00CE5A9B" w:rsidRDefault="00CE5A9B" w:rsidP="00CE5A9B">
            <w:pPr>
              <w:spacing w:after="200" w:line="276" w:lineRule="auto"/>
              <w:rPr>
                <w:color w:val="auto"/>
                <w:sz w:val="18"/>
                <w:szCs w:val="18"/>
              </w:rPr>
            </w:pPr>
            <w:r w:rsidRPr="00CE5A9B">
              <w:rPr>
                <w:color w:val="auto"/>
                <w:sz w:val="18"/>
                <w:szCs w:val="18"/>
              </w:rPr>
              <w:t>Program design/ partnership established and approved by Government of Vietnam</w:t>
            </w:r>
          </w:p>
        </w:tc>
        <w:tc>
          <w:tcPr>
            <w:tcW w:w="1923" w:type="dxa"/>
            <w:gridSpan w:val="2"/>
            <w:shd w:val="clear" w:color="auto" w:fill="auto"/>
          </w:tcPr>
          <w:p w14:paraId="1CC8568E" w14:textId="77777777" w:rsidR="00CE5A9B" w:rsidRPr="00CE5A9B" w:rsidRDefault="00CE5A9B" w:rsidP="00CE5A9B">
            <w:pPr>
              <w:spacing w:after="200" w:line="276" w:lineRule="auto"/>
              <w:rPr>
                <w:color w:val="auto"/>
                <w:sz w:val="18"/>
                <w:szCs w:val="18"/>
              </w:rPr>
            </w:pPr>
            <w:r w:rsidRPr="00CE5A9B">
              <w:rPr>
                <w:color w:val="auto"/>
                <w:sz w:val="18"/>
                <w:szCs w:val="18"/>
              </w:rPr>
              <w:t>Formation/ strengthening of women cooperative groups</w:t>
            </w:r>
          </w:p>
        </w:tc>
        <w:tc>
          <w:tcPr>
            <w:tcW w:w="1924" w:type="dxa"/>
            <w:shd w:val="clear" w:color="auto" w:fill="auto"/>
          </w:tcPr>
          <w:p w14:paraId="4CAD493F" w14:textId="77777777" w:rsidR="00CE5A9B" w:rsidRPr="00CE5A9B" w:rsidRDefault="00CE5A9B" w:rsidP="00CE5A9B">
            <w:pPr>
              <w:spacing w:after="200" w:line="276" w:lineRule="auto"/>
              <w:rPr>
                <w:color w:val="auto"/>
                <w:sz w:val="18"/>
                <w:szCs w:val="18"/>
              </w:rPr>
            </w:pPr>
            <w:r w:rsidRPr="00CE5A9B">
              <w:rPr>
                <w:color w:val="auto"/>
                <w:sz w:val="18"/>
                <w:szCs w:val="18"/>
              </w:rPr>
              <w:t>Strengthening of women cooperative groups</w:t>
            </w:r>
          </w:p>
        </w:tc>
        <w:tc>
          <w:tcPr>
            <w:tcW w:w="1924" w:type="dxa"/>
          </w:tcPr>
          <w:p w14:paraId="2EDFD08D" w14:textId="77777777" w:rsidR="00CE5A9B" w:rsidRPr="00CE5A9B" w:rsidRDefault="00CE5A9B" w:rsidP="00CE5A9B">
            <w:pPr>
              <w:spacing w:after="200" w:line="276" w:lineRule="auto"/>
              <w:rPr>
                <w:color w:val="auto"/>
                <w:sz w:val="18"/>
                <w:szCs w:val="18"/>
              </w:rPr>
            </w:pPr>
            <w:r w:rsidRPr="00CE5A9B">
              <w:rPr>
                <w:color w:val="auto"/>
                <w:sz w:val="18"/>
                <w:szCs w:val="18"/>
              </w:rPr>
              <w:t>Evidence of collective knowledge and bargaining power in the market</w:t>
            </w:r>
          </w:p>
        </w:tc>
        <w:tc>
          <w:tcPr>
            <w:tcW w:w="1924" w:type="dxa"/>
          </w:tcPr>
          <w:p w14:paraId="5B5082D1" w14:textId="77777777" w:rsidR="00CE5A9B" w:rsidRPr="00CE5A9B" w:rsidRDefault="00CE5A9B" w:rsidP="00CE5A9B">
            <w:pPr>
              <w:rPr>
                <w:color w:val="auto"/>
                <w:sz w:val="18"/>
                <w:szCs w:val="18"/>
              </w:rPr>
            </w:pPr>
            <w:r w:rsidRPr="00CE5A9B">
              <w:rPr>
                <w:color w:val="auto"/>
                <w:sz w:val="18"/>
                <w:szCs w:val="18"/>
              </w:rPr>
              <w:t>Investment documents</w:t>
            </w:r>
          </w:p>
          <w:p w14:paraId="3AB784B6" w14:textId="77777777" w:rsidR="00CE5A9B" w:rsidRPr="00CE5A9B" w:rsidRDefault="00CE5A9B" w:rsidP="00CE5A9B">
            <w:pPr>
              <w:spacing w:after="200" w:line="276" w:lineRule="auto"/>
              <w:rPr>
                <w:color w:val="auto"/>
                <w:sz w:val="18"/>
                <w:szCs w:val="18"/>
              </w:rPr>
            </w:pPr>
            <w:r w:rsidRPr="00CE5A9B">
              <w:rPr>
                <w:color w:val="auto"/>
                <w:sz w:val="18"/>
                <w:szCs w:val="18"/>
              </w:rPr>
              <w:t>Baseline: aid investment analytical assessment</w:t>
            </w:r>
          </w:p>
        </w:tc>
      </w:tr>
      <w:tr w:rsidR="00CE5A9B" w:rsidRPr="00CE5A9B" w14:paraId="254D3FB4" w14:textId="77777777" w:rsidTr="00F12A4C">
        <w:tc>
          <w:tcPr>
            <w:tcW w:w="2093" w:type="dxa"/>
            <w:shd w:val="clear" w:color="auto" w:fill="auto"/>
          </w:tcPr>
          <w:p w14:paraId="7EC9FC9B" w14:textId="77777777" w:rsidR="00CE5A9B" w:rsidRPr="00CE5A9B" w:rsidRDefault="00CE5A9B" w:rsidP="00F12A4C">
            <w:pPr>
              <w:rPr>
                <w:color w:val="auto"/>
                <w:sz w:val="18"/>
                <w:szCs w:val="18"/>
              </w:rPr>
            </w:pPr>
            <w:r w:rsidRPr="00CE5A9B">
              <w:rPr>
                <w:color w:val="auto"/>
                <w:sz w:val="18"/>
                <w:szCs w:val="18"/>
              </w:rPr>
              <w:t xml:space="preserve">3.3 Policy enabling environment facilitates gender equality and women’s empowerment among ethnic minorities </w:t>
            </w:r>
          </w:p>
        </w:tc>
        <w:tc>
          <w:tcPr>
            <w:tcW w:w="1923" w:type="dxa"/>
            <w:shd w:val="clear" w:color="auto" w:fill="auto"/>
          </w:tcPr>
          <w:p w14:paraId="25ECBC2C" w14:textId="77777777" w:rsidR="00CE5A9B" w:rsidRPr="00CE5A9B" w:rsidRDefault="00CE5A9B" w:rsidP="00CE5A9B">
            <w:pPr>
              <w:spacing w:after="200" w:line="276" w:lineRule="auto"/>
              <w:rPr>
                <w:color w:val="auto"/>
                <w:sz w:val="18"/>
                <w:szCs w:val="18"/>
              </w:rPr>
            </w:pPr>
            <w:r w:rsidRPr="00CE5A9B">
              <w:rPr>
                <w:color w:val="auto"/>
                <w:sz w:val="18"/>
                <w:szCs w:val="18"/>
              </w:rPr>
              <w:t>Government of Vietnam’s policy enabling  environment incorporates women’s needs and gender equality issues relevant to ethnic minorities</w:t>
            </w:r>
          </w:p>
        </w:tc>
        <w:tc>
          <w:tcPr>
            <w:tcW w:w="1924" w:type="dxa"/>
          </w:tcPr>
          <w:p w14:paraId="05FBB330" w14:textId="77777777" w:rsidR="00CE5A9B" w:rsidRPr="00CE5A9B" w:rsidRDefault="00CE5A9B" w:rsidP="00CE5A9B">
            <w:pPr>
              <w:spacing w:after="200" w:line="276" w:lineRule="auto"/>
              <w:rPr>
                <w:color w:val="auto"/>
                <w:sz w:val="18"/>
                <w:szCs w:val="18"/>
              </w:rPr>
            </w:pPr>
            <w:r w:rsidRPr="00CE5A9B">
              <w:rPr>
                <w:color w:val="auto"/>
                <w:sz w:val="18"/>
                <w:szCs w:val="18"/>
              </w:rPr>
              <w:t>Stocktake of successful Australian aid funded models; ethnic minority partnerships established</w:t>
            </w:r>
          </w:p>
        </w:tc>
        <w:tc>
          <w:tcPr>
            <w:tcW w:w="1924" w:type="dxa"/>
            <w:shd w:val="clear" w:color="auto" w:fill="auto"/>
          </w:tcPr>
          <w:p w14:paraId="2415EBB1" w14:textId="77777777" w:rsidR="00CE5A9B" w:rsidRPr="00CE5A9B" w:rsidRDefault="00CE5A9B" w:rsidP="00CE5A9B">
            <w:pPr>
              <w:spacing w:after="200" w:line="276" w:lineRule="auto"/>
              <w:rPr>
                <w:color w:val="auto"/>
                <w:sz w:val="18"/>
                <w:szCs w:val="18"/>
              </w:rPr>
            </w:pPr>
            <w:r w:rsidRPr="00CE5A9B">
              <w:rPr>
                <w:color w:val="auto"/>
                <w:sz w:val="18"/>
                <w:szCs w:val="18"/>
              </w:rPr>
              <w:t xml:space="preserve">Stocktake of successful Australian aid funded models; ethnic minority policy engagement </w:t>
            </w:r>
          </w:p>
        </w:tc>
        <w:tc>
          <w:tcPr>
            <w:tcW w:w="1923" w:type="dxa"/>
            <w:gridSpan w:val="2"/>
            <w:shd w:val="clear" w:color="auto" w:fill="auto"/>
          </w:tcPr>
          <w:p w14:paraId="77FFA211" w14:textId="77777777" w:rsidR="00CE5A9B" w:rsidRPr="00CE5A9B" w:rsidRDefault="00CE5A9B" w:rsidP="00CE5A9B">
            <w:pPr>
              <w:spacing w:after="200" w:line="276" w:lineRule="auto"/>
              <w:rPr>
                <w:color w:val="auto"/>
                <w:sz w:val="18"/>
                <w:szCs w:val="18"/>
              </w:rPr>
            </w:pPr>
            <w:r w:rsidRPr="00CE5A9B">
              <w:rPr>
                <w:color w:val="auto"/>
                <w:sz w:val="18"/>
                <w:szCs w:val="18"/>
              </w:rPr>
              <w:t>Policy / partnership dialogue forums</w:t>
            </w:r>
          </w:p>
        </w:tc>
        <w:tc>
          <w:tcPr>
            <w:tcW w:w="1924" w:type="dxa"/>
            <w:shd w:val="clear" w:color="auto" w:fill="auto"/>
          </w:tcPr>
          <w:p w14:paraId="24F94BEE" w14:textId="77777777" w:rsidR="00CE5A9B" w:rsidRPr="00CE5A9B" w:rsidRDefault="00CE5A9B" w:rsidP="00CE5A9B">
            <w:pPr>
              <w:spacing w:after="200" w:line="276" w:lineRule="auto"/>
              <w:rPr>
                <w:color w:val="auto"/>
                <w:sz w:val="18"/>
                <w:szCs w:val="18"/>
              </w:rPr>
            </w:pPr>
            <w:r w:rsidRPr="00CE5A9B">
              <w:rPr>
                <w:color w:val="auto"/>
                <w:sz w:val="18"/>
                <w:szCs w:val="18"/>
              </w:rPr>
              <w:t>Policy / partnership dialogue forums</w:t>
            </w:r>
          </w:p>
        </w:tc>
        <w:tc>
          <w:tcPr>
            <w:tcW w:w="1924" w:type="dxa"/>
          </w:tcPr>
          <w:p w14:paraId="0AE2B6B7" w14:textId="77777777" w:rsidR="00CE5A9B" w:rsidRPr="00CE5A9B" w:rsidRDefault="00CE5A9B" w:rsidP="00CE5A9B">
            <w:pPr>
              <w:spacing w:after="200" w:line="276" w:lineRule="auto"/>
              <w:rPr>
                <w:color w:val="auto"/>
                <w:sz w:val="18"/>
                <w:szCs w:val="18"/>
              </w:rPr>
            </w:pPr>
            <w:r w:rsidRPr="00CE5A9B">
              <w:rPr>
                <w:color w:val="auto"/>
                <w:sz w:val="18"/>
                <w:szCs w:val="18"/>
              </w:rPr>
              <w:t>Evidence of Australian policy dialogue influencing development of gender equitable policies for ethnic minorities</w:t>
            </w:r>
          </w:p>
        </w:tc>
        <w:tc>
          <w:tcPr>
            <w:tcW w:w="1924" w:type="dxa"/>
          </w:tcPr>
          <w:p w14:paraId="3688485F" w14:textId="77777777" w:rsidR="00CE5A9B" w:rsidRPr="00CE5A9B" w:rsidRDefault="00CE5A9B" w:rsidP="00F12A4C">
            <w:pPr>
              <w:rPr>
                <w:color w:val="auto"/>
                <w:sz w:val="18"/>
                <w:szCs w:val="18"/>
              </w:rPr>
            </w:pPr>
            <w:r w:rsidRPr="00CE5A9B">
              <w:rPr>
                <w:color w:val="auto"/>
                <w:sz w:val="18"/>
                <w:szCs w:val="18"/>
              </w:rPr>
              <w:t>Aid investment evaluations</w:t>
            </w:r>
          </w:p>
        </w:tc>
      </w:tr>
    </w:tbl>
    <w:p w14:paraId="1F91920B" w14:textId="77777777" w:rsidR="00400B0F" w:rsidRPr="00F12A4C" w:rsidRDefault="00400B0F" w:rsidP="00F12A4C">
      <w:pPr>
        <w:suppressAutoHyphens w:val="0"/>
        <w:spacing w:before="0" w:after="120" w:line="440" w:lineRule="atLeast"/>
        <w:rPr>
          <w:rFonts w:ascii="Helvetica" w:eastAsia="Times New Roman" w:hAnsi="Helvetica" w:cs="Arial"/>
          <w:color w:val="007FAD"/>
          <w:kern w:val="28"/>
          <w:sz w:val="28"/>
          <w:szCs w:val="28"/>
        </w:rPr>
      </w:pPr>
    </w:p>
    <w:sectPr w:rsidR="00400B0F" w:rsidRPr="00F12A4C" w:rsidSect="009C18B5">
      <w:headerReference w:type="default" r:id="rId21"/>
      <w:pgSz w:w="16838" w:h="11906" w:orient="landscape" w:code="9"/>
      <w:pgMar w:top="1134" w:right="1527" w:bottom="1134" w:left="851"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1875C" w14:textId="77777777" w:rsidR="00385004" w:rsidRDefault="00385004" w:rsidP="00EF4574">
      <w:pPr>
        <w:spacing w:before="0" w:after="0" w:line="240" w:lineRule="auto"/>
      </w:pPr>
      <w:r>
        <w:separator/>
      </w:r>
    </w:p>
  </w:endnote>
  <w:endnote w:type="continuationSeparator" w:id="0">
    <w:p w14:paraId="1527385A" w14:textId="77777777" w:rsidR="00385004" w:rsidRDefault="00385004"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FranklinGothic-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27050" w14:textId="77777777" w:rsidR="00DE18A8" w:rsidRDefault="00DE1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CDDE" w14:textId="77777777" w:rsidR="00DE18A8" w:rsidRPr="00CD0E4B" w:rsidRDefault="00DE18A8" w:rsidP="00C406F0">
    <w:pPr>
      <w:pStyle w:val="Footer"/>
    </w:pPr>
    <w:r>
      <w:rPr>
        <w:noProof/>
        <w:lang w:val="en-AU" w:eastAsia="en-AU"/>
      </w:rPr>
      <mc:AlternateContent>
        <mc:Choice Requires="wps">
          <w:drawing>
            <wp:anchor distT="0" distB="0" distL="114300" distR="114300" simplePos="0" relativeHeight="251699200" behindDoc="0" locked="0" layoutInCell="1" allowOverlap="1" wp14:anchorId="19890A50" wp14:editId="395D5D54">
              <wp:simplePos x="0" y="0"/>
              <wp:positionH relativeFrom="column">
                <wp:align>center</wp:align>
              </wp:positionH>
              <wp:positionV relativeFrom="bottomMargin">
                <wp:posOffset>55245</wp:posOffset>
              </wp:positionV>
              <wp:extent cx="208800" cy="170815"/>
              <wp:effectExtent l="0" t="0" r="127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 cy="170815"/>
                      </a:xfrm>
                      <a:prstGeom prst="rect">
                        <a:avLst/>
                      </a:prstGeom>
                      <a:noFill/>
                      <a:ln w="9525">
                        <a:noFill/>
                        <a:miter lim="800000"/>
                        <a:headEnd/>
                        <a:tailEnd/>
                      </a:ln>
                    </wps:spPr>
                    <wps:txbx>
                      <w:txbxContent>
                        <w:p w14:paraId="3CEFABD5" w14:textId="53B89EE0" w:rsidR="00DE18A8" w:rsidRPr="0010370D" w:rsidRDefault="00DE18A8" w:rsidP="00D270D7">
                          <w:pPr>
                            <w:spacing w:before="0"/>
                            <w:jc w:val="right"/>
                            <w:rPr>
                              <w:color w:val="auto"/>
                            </w:rPr>
                          </w:pPr>
                          <w:r w:rsidRPr="0010370D">
                            <w:rPr>
                              <w:color w:val="auto"/>
                            </w:rPr>
                            <w:fldChar w:fldCharType="begin"/>
                          </w:r>
                          <w:r w:rsidRPr="0010370D">
                            <w:rPr>
                              <w:color w:val="auto"/>
                            </w:rPr>
                            <w:instrText xml:space="preserve"> PAGE   \* MERGEFORMAT </w:instrText>
                          </w:r>
                          <w:r w:rsidRPr="0010370D">
                            <w:rPr>
                              <w:color w:val="auto"/>
                            </w:rPr>
                            <w:fldChar w:fldCharType="separate"/>
                          </w:r>
                          <w:r w:rsidR="00E127A8">
                            <w:rPr>
                              <w:noProof/>
                              <w:color w:val="auto"/>
                            </w:rPr>
                            <w:t>16</w:t>
                          </w:r>
                          <w:r w:rsidRPr="0010370D">
                            <w:rPr>
                              <w:noProof/>
                              <w:color w:val="auto"/>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890A50" id="_x0000_t202" coordsize="21600,21600" o:spt="202" path="m,l,21600r21600,l21600,xe">
              <v:stroke joinstyle="miter"/>
              <v:path gradientshapeok="t" o:connecttype="rect"/>
            </v:shapetype>
            <v:shape id="Text Box 2" o:spid="_x0000_s1026" type="#_x0000_t202" style="position:absolute;left:0;text-align:left;margin-left:0;margin-top:4.35pt;width:16.45pt;height:13.45pt;z-index:251699200;visibility:visible;mso-wrap-style:square;mso-width-percent:0;mso-height-percent:0;mso-wrap-distance-left:9pt;mso-wrap-distance-top:0;mso-wrap-distance-right:9pt;mso-wrap-distance-bottom:0;mso-position-horizontal:center;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" filled="f" stroked="f">
              <v:textbox inset="0,0,0,0">
                <w:txbxContent>
                  <w:p w14:paraId="3CEFABD5" w14:textId="53B89EE0" w:rsidR="00DE18A8" w:rsidRPr="0010370D" w:rsidRDefault="00DE18A8" w:rsidP="00D270D7">
                    <w:pPr>
                      <w:spacing w:before="0"/>
                      <w:jc w:val="right"/>
                      <w:rPr>
                        <w:color w:val="auto"/>
                      </w:rPr>
                    </w:pPr>
                    <w:r w:rsidRPr="0010370D">
                      <w:rPr>
                        <w:color w:val="auto"/>
                      </w:rPr>
                      <w:fldChar w:fldCharType="begin"/>
                    </w:r>
                    <w:r w:rsidRPr="0010370D">
                      <w:rPr>
                        <w:color w:val="auto"/>
                      </w:rPr>
                      <w:instrText xml:space="preserve"> PAGE   \* MERGEFORMAT </w:instrText>
                    </w:r>
                    <w:r w:rsidRPr="0010370D">
                      <w:rPr>
                        <w:color w:val="auto"/>
                      </w:rPr>
                      <w:fldChar w:fldCharType="separate"/>
                    </w:r>
                    <w:r w:rsidR="00E127A8">
                      <w:rPr>
                        <w:noProof/>
                        <w:color w:val="auto"/>
                      </w:rPr>
                      <w:t>16</w:t>
                    </w:r>
                    <w:r w:rsidRPr="0010370D">
                      <w:rPr>
                        <w:noProof/>
                        <w:color w:val="auto"/>
                      </w:rPr>
                      <w:fldChar w:fldCharType="end"/>
                    </w:r>
                  </w:p>
                </w:txbxContent>
              </v:textbox>
              <w10:wrap anchory="margin"/>
            </v:shape>
          </w:pict>
        </mc:Fallback>
      </mc:AlternateContent>
    </w:r>
    <w:r w:rsidRPr="00CD0E4B">
      <w:rPr>
        <w:noProof/>
        <w:lang w:val="en-AU" w:eastAsia="en-AU"/>
      </w:rPr>
      <w:drawing>
        <wp:inline distT="0" distB="0" distL="0" distR="0" wp14:anchorId="4DD2372E" wp14:editId="149BCD7C">
          <wp:extent cx="90000" cy="74520"/>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7BA1A4F9" w14:textId="77777777" w:rsidR="00DE18A8" w:rsidRDefault="00DE18A8">
    <w:pPr>
      <w:pStyle w:val="Footer"/>
    </w:pPr>
    <w:r w:rsidRPr="00CD0E4B">
      <w:rPr>
        <w:color w:val="ACD08C" w:themeColor="accent3"/>
      </w:rPr>
      <w:t>DFAT.GOV.AU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89FF3" w14:textId="77777777" w:rsidR="00DE18A8" w:rsidRDefault="00DE18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9C400" w14:textId="77777777" w:rsidR="00DE18A8" w:rsidRPr="00CD0E4B" w:rsidRDefault="00DE18A8" w:rsidP="00784031">
    <w:pPr>
      <w:pStyle w:val="Footer"/>
    </w:pPr>
    <w:r w:rsidRPr="00CD0E4B">
      <w:rPr>
        <w:noProof/>
        <w:lang w:val="en-AU" w:eastAsia="en-AU"/>
      </w:rPr>
      <w:drawing>
        <wp:inline distT="0" distB="0" distL="0" distR="0" wp14:anchorId="72E1CDA6" wp14:editId="5B9B6019">
          <wp:extent cx="90000" cy="74520"/>
          <wp:effectExtent l="0" t="0" r="571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18512DC3" w14:textId="77777777" w:rsidR="00DE18A8" w:rsidRPr="00CD0E4B" w:rsidRDefault="00DE18A8"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71207" w14:textId="77777777" w:rsidR="00385004" w:rsidRPr="008C5A0E" w:rsidRDefault="00385004" w:rsidP="001D663E">
      <w:pPr>
        <w:pStyle w:val="Footer"/>
        <w:pBdr>
          <w:top w:val="single" w:sz="4" w:space="1" w:color="495965" w:themeColor="text2"/>
        </w:pBdr>
      </w:pPr>
    </w:p>
  </w:footnote>
  <w:footnote w:type="continuationSeparator" w:id="0">
    <w:p w14:paraId="6DB356A1" w14:textId="77777777" w:rsidR="00385004" w:rsidRDefault="00385004" w:rsidP="00EF4574">
      <w:pPr>
        <w:spacing w:before="0" w:after="0" w:line="240" w:lineRule="auto"/>
      </w:pPr>
      <w:r>
        <w:continuationSeparator/>
      </w:r>
    </w:p>
  </w:footnote>
  <w:footnote w:id="1">
    <w:p w14:paraId="6CCB8705" w14:textId="77777777" w:rsidR="00DE18A8" w:rsidRPr="006E6AB9" w:rsidRDefault="00DE18A8" w:rsidP="0036539E">
      <w:pPr>
        <w:pStyle w:val="FootnoteText"/>
        <w:spacing w:line="240" w:lineRule="auto"/>
        <w:rPr>
          <w:color w:val="auto"/>
        </w:rPr>
      </w:pPr>
      <w:r w:rsidRPr="006E6AB9">
        <w:rPr>
          <w:rStyle w:val="FootnoteReference"/>
          <w:color w:val="auto"/>
        </w:rPr>
        <w:footnoteRef/>
      </w:r>
      <w:r w:rsidRPr="006E6AB9">
        <w:rPr>
          <w:color w:val="auto"/>
        </w:rPr>
        <w:t xml:space="preserve"> </w:t>
      </w:r>
      <w:r w:rsidRPr="006E6AB9">
        <w:rPr>
          <w:color w:val="auto"/>
          <w:lang w:val="en-US"/>
        </w:rPr>
        <w:t>A</w:t>
      </w:r>
      <w:bookmarkStart w:id="2" w:name="_GoBack"/>
      <w:bookmarkEnd w:id="2"/>
      <w:r w:rsidRPr="006E6AB9">
        <w:rPr>
          <w:color w:val="auto"/>
          <w:lang w:val="en-US"/>
        </w:rPr>
        <w:t xml:space="preserve">ustralia Awards are scholarships and fellowships for study in Australia, that aim to build people-to-people links and develop capacity and leadership skills so that individuals can contribute to development in their home country. </w:t>
      </w:r>
      <w:r w:rsidRPr="006E6AB9">
        <w:rPr>
          <w:color w:val="auto"/>
        </w:rPr>
        <w:t>They include the Australia Awards Scholarships and Australia Awards Fellowships administered by DFAT, John Allwright Fellowships administered by Australian Council for International Agricultural Research (ACIAR) and Endeavour Scholarships and Fellowships administered by Department of Education and Training (DET)</w:t>
      </w:r>
    </w:p>
  </w:footnote>
  <w:footnote w:id="2">
    <w:p w14:paraId="5707C83F" w14:textId="77777777" w:rsidR="00DE18A8" w:rsidRPr="005B6AE3" w:rsidRDefault="00DE18A8" w:rsidP="00D47E58">
      <w:pPr>
        <w:pStyle w:val="FootnoteText"/>
        <w:spacing w:line="240" w:lineRule="auto"/>
        <w:rPr>
          <w:color w:val="auto"/>
        </w:rPr>
      </w:pPr>
      <w:r w:rsidRPr="005B6AE3">
        <w:rPr>
          <w:rStyle w:val="FootnoteReference"/>
          <w:color w:val="auto"/>
        </w:rPr>
        <w:footnoteRef/>
      </w:r>
      <w:r w:rsidRPr="005B6AE3">
        <w:rPr>
          <w:color w:val="auto"/>
        </w:rPr>
        <w:t xml:space="preserve"> Provided under the bilateral aid program</w:t>
      </w:r>
    </w:p>
  </w:footnote>
  <w:footnote w:id="3">
    <w:p w14:paraId="6099F56C" w14:textId="77777777" w:rsidR="00DE18A8" w:rsidRPr="005B6AE3" w:rsidRDefault="00DE18A8" w:rsidP="00D47E58">
      <w:pPr>
        <w:pStyle w:val="FootnoteText"/>
        <w:spacing w:line="240" w:lineRule="auto"/>
        <w:rPr>
          <w:color w:val="auto"/>
        </w:rPr>
      </w:pPr>
      <w:r w:rsidRPr="005B6AE3">
        <w:rPr>
          <w:rStyle w:val="FootnoteReference"/>
          <w:color w:val="auto"/>
        </w:rPr>
        <w:footnoteRef/>
      </w:r>
      <w:r w:rsidRPr="005B6AE3">
        <w:rPr>
          <w:color w:val="auto"/>
        </w:rPr>
        <w:t xml:space="preserve"> Australia Awards Fellowships is a global program</w:t>
      </w:r>
    </w:p>
  </w:footnote>
  <w:footnote w:id="4">
    <w:p w14:paraId="0D691697" w14:textId="77777777" w:rsidR="00DE18A8" w:rsidRPr="005B6AE3" w:rsidRDefault="00DE18A8" w:rsidP="00D47E58">
      <w:pPr>
        <w:pStyle w:val="FootnoteText"/>
        <w:spacing w:line="240" w:lineRule="auto"/>
        <w:rPr>
          <w:color w:val="auto"/>
        </w:rPr>
      </w:pPr>
      <w:r w:rsidRPr="005B6AE3">
        <w:rPr>
          <w:rStyle w:val="FootnoteReference"/>
          <w:color w:val="auto"/>
        </w:rPr>
        <w:footnoteRef/>
      </w:r>
      <w:r w:rsidRPr="005B6AE3">
        <w:rPr>
          <w:color w:val="auto"/>
        </w:rPr>
        <w:t xml:space="preserve"> Provided by ACIAR</w:t>
      </w:r>
    </w:p>
  </w:footnote>
  <w:footnote w:id="5">
    <w:p w14:paraId="139456FB" w14:textId="77777777" w:rsidR="00DE18A8" w:rsidRPr="005B6AE3" w:rsidRDefault="00DE18A8" w:rsidP="00D47E58">
      <w:pPr>
        <w:pStyle w:val="FootnoteText"/>
        <w:spacing w:line="240" w:lineRule="auto"/>
        <w:rPr>
          <w:color w:val="auto"/>
        </w:rPr>
      </w:pPr>
      <w:r w:rsidRPr="005B6AE3">
        <w:rPr>
          <w:rStyle w:val="FootnoteReference"/>
          <w:color w:val="auto"/>
        </w:rPr>
        <w:footnoteRef/>
      </w:r>
      <w:r w:rsidRPr="005B6AE3">
        <w:rPr>
          <w:color w:val="auto"/>
        </w:rPr>
        <w:t xml:space="preserve"> Provided by DET</w:t>
      </w:r>
    </w:p>
  </w:footnote>
  <w:footnote w:id="6">
    <w:p w14:paraId="3CD99088" w14:textId="77777777" w:rsidR="00DE18A8" w:rsidRPr="005B6AE3" w:rsidRDefault="00DE18A8" w:rsidP="00D47E58">
      <w:pPr>
        <w:pStyle w:val="FootnoteText"/>
        <w:spacing w:line="240" w:lineRule="auto"/>
        <w:rPr>
          <w:color w:val="auto"/>
        </w:rPr>
      </w:pPr>
      <w:r w:rsidRPr="005B6AE3">
        <w:rPr>
          <w:rStyle w:val="FootnoteReference"/>
          <w:color w:val="auto"/>
        </w:rPr>
        <w:footnoteRef/>
      </w:r>
      <w:r w:rsidRPr="005B6AE3">
        <w:rPr>
          <w:color w:val="auto"/>
        </w:rPr>
        <w:t xml:space="preserve"> Provided by DET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5048F" w14:textId="77777777" w:rsidR="00DE18A8" w:rsidRDefault="00DE1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75D04" w14:textId="77777777" w:rsidR="00DE18A8" w:rsidRPr="00333501" w:rsidRDefault="00DE18A8" w:rsidP="008F56A8">
    <w:pPr>
      <w:pStyle w:val="Header"/>
      <w:jc w:val="left"/>
    </w:pPr>
    <w:r>
      <w:rPr>
        <w:noProof/>
        <w:lang w:val="en-AU" w:eastAsia="en-AU"/>
      </w:rPr>
      <w:drawing>
        <wp:anchor distT="0" distB="0" distL="114300" distR="114300" simplePos="0" relativeHeight="251681792" behindDoc="1" locked="1" layoutInCell="1" allowOverlap="1" wp14:anchorId="667DD68F" wp14:editId="049D1707">
          <wp:simplePos x="0" y="0"/>
          <wp:positionH relativeFrom="page">
            <wp:posOffset>7620</wp:posOffset>
          </wp:positionH>
          <wp:positionV relativeFrom="page">
            <wp:posOffset>12700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3B7D" w14:textId="77777777" w:rsidR="00DE18A8" w:rsidRDefault="00DE18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B2A81" w14:textId="77777777" w:rsidR="00DE18A8" w:rsidRDefault="00DE18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54621" w14:textId="77777777" w:rsidR="00DE18A8" w:rsidRPr="00333501" w:rsidRDefault="00DE18A8" w:rsidP="008F56A8">
    <w:pPr>
      <w:pStyle w:val="Header"/>
      <w:jc w:val="left"/>
    </w:pPr>
    <w:r>
      <w:rPr>
        <w:noProof/>
        <w:lang w:val="en-AU" w:eastAsia="en-AU"/>
      </w:rPr>
      <w:drawing>
        <wp:anchor distT="0" distB="0" distL="114300" distR="114300" simplePos="0" relativeHeight="251697152" behindDoc="1" locked="1" layoutInCell="1" allowOverlap="1" wp14:anchorId="3826C57F" wp14:editId="42735C7F">
          <wp:simplePos x="0" y="0"/>
          <wp:positionH relativeFrom="page">
            <wp:posOffset>160020</wp:posOffset>
          </wp:positionH>
          <wp:positionV relativeFrom="page">
            <wp:posOffset>160020</wp:posOffset>
          </wp:positionV>
          <wp:extent cx="10662285" cy="7545705"/>
          <wp:effectExtent l="0" t="0" r="5715"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89B78" w14:textId="77777777" w:rsidR="00DE18A8" w:rsidRPr="003D352D" w:rsidRDefault="00DE18A8" w:rsidP="003D352D">
    <w:pPr>
      <w:pStyle w:val="Header"/>
      <w:jc w:val="left"/>
    </w:pPr>
    <w:r>
      <w:rPr>
        <w:noProof/>
        <w:lang w:val="en-AU" w:eastAsia="en-AU"/>
      </w:rPr>
      <w:drawing>
        <wp:anchor distT="0" distB="0" distL="114300" distR="114300" simplePos="0" relativeHeight="251695104" behindDoc="1" locked="1" layoutInCell="1" allowOverlap="1" wp14:anchorId="5EB0594A" wp14:editId="2E5E4DF7">
          <wp:simplePos x="0" y="0"/>
          <wp:positionH relativeFrom="page">
            <wp:posOffset>7620</wp:posOffset>
          </wp:positionH>
          <wp:positionV relativeFrom="page">
            <wp:posOffset>7620</wp:posOffset>
          </wp:positionV>
          <wp:extent cx="10662285" cy="7545705"/>
          <wp:effectExtent l="0" t="0" r="5715" b="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83AFA" w14:textId="77777777" w:rsidR="00DE18A8" w:rsidRPr="00333501" w:rsidRDefault="00DE18A8" w:rsidP="008F56A8">
    <w:pPr>
      <w:pStyle w:val="Header"/>
      <w:jc w:val="left"/>
    </w:pPr>
    <w:r>
      <w:rPr>
        <w:noProof/>
        <w:lang w:val="en-AU" w:eastAsia="en-AU"/>
      </w:rPr>
      <w:drawing>
        <wp:anchor distT="0" distB="0" distL="114300" distR="114300" simplePos="0" relativeHeight="251683840" behindDoc="1" locked="1" layoutInCell="1" allowOverlap="1" wp14:anchorId="72C29697" wp14:editId="2E181432">
          <wp:simplePos x="0" y="0"/>
          <wp:positionH relativeFrom="page">
            <wp:posOffset>7620</wp:posOffset>
          </wp:positionH>
          <wp:positionV relativeFrom="page">
            <wp:posOffset>57785</wp:posOffset>
          </wp:positionV>
          <wp:extent cx="10800000" cy="7560000"/>
          <wp:effectExtent l="0" t="0" r="1905" b="317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CA2AAF"/>
    <w:multiLevelType w:val="hybridMultilevel"/>
    <w:tmpl w:val="580C351C"/>
    <w:lvl w:ilvl="0" w:tplc="0C09000F">
      <w:start w:val="1"/>
      <w:numFmt w:val="decimal"/>
      <w:lvlText w:val="%1."/>
      <w:lvlJc w:val="left"/>
      <w:pPr>
        <w:ind w:left="644" w:hanging="360"/>
      </w:pPr>
      <w:rPr>
        <w:rFonts w:cs="Times New Roman"/>
      </w:rPr>
    </w:lvl>
    <w:lvl w:ilvl="1" w:tplc="0C090019">
      <w:start w:val="1"/>
      <w:numFmt w:val="lowerLetter"/>
      <w:lvlText w:val="%2."/>
      <w:lvlJc w:val="left"/>
      <w:pPr>
        <w:ind w:left="1364" w:hanging="360"/>
      </w:pPr>
      <w:rPr>
        <w:rFonts w:cs="Times New Roman"/>
      </w:rPr>
    </w:lvl>
    <w:lvl w:ilvl="2" w:tplc="0C09001B">
      <w:start w:val="1"/>
      <w:numFmt w:val="lowerRoman"/>
      <w:lvlText w:val="%3."/>
      <w:lvlJc w:val="right"/>
      <w:pPr>
        <w:ind w:left="2084" w:hanging="180"/>
      </w:pPr>
      <w:rPr>
        <w:rFonts w:cs="Times New Roman"/>
      </w:rPr>
    </w:lvl>
    <w:lvl w:ilvl="3" w:tplc="0C09000F">
      <w:start w:val="1"/>
      <w:numFmt w:val="decimal"/>
      <w:lvlText w:val="%4."/>
      <w:lvlJc w:val="left"/>
      <w:pPr>
        <w:ind w:left="2804" w:hanging="360"/>
      </w:pPr>
      <w:rPr>
        <w:rFonts w:cs="Times New Roman"/>
      </w:rPr>
    </w:lvl>
    <w:lvl w:ilvl="4" w:tplc="0C090019">
      <w:start w:val="1"/>
      <w:numFmt w:val="lowerLetter"/>
      <w:lvlText w:val="%5."/>
      <w:lvlJc w:val="left"/>
      <w:pPr>
        <w:ind w:left="3524" w:hanging="360"/>
      </w:pPr>
      <w:rPr>
        <w:rFonts w:cs="Times New Roman"/>
      </w:rPr>
    </w:lvl>
    <w:lvl w:ilvl="5" w:tplc="0C09001B">
      <w:start w:val="1"/>
      <w:numFmt w:val="lowerRoman"/>
      <w:lvlText w:val="%6."/>
      <w:lvlJc w:val="right"/>
      <w:pPr>
        <w:ind w:left="4244" w:hanging="180"/>
      </w:pPr>
      <w:rPr>
        <w:rFonts w:cs="Times New Roman"/>
      </w:rPr>
    </w:lvl>
    <w:lvl w:ilvl="6" w:tplc="0C09000F">
      <w:start w:val="1"/>
      <w:numFmt w:val="decimal"/>
      <w:lvlText w:val="%7."/>
      <w:lvlJc w:val="left"/>
      <w:pPr>
        <w:ind w:left="4964" w:hanging="360"/>
      </w:pPr>
      <w:rPr>
        <w:rFonts w:cs="Times New Roman"/>
      </w:rPr>
    </w:lvl>
    <w:lvl w:ilvl="7" w:tplc="0C090019">
      <w:start w:val="1"/>
      <w:numFmt w:val="lowerLetter"/>
      <w:lvlText w:val="%8."/>
      <w:lvlJc w:val="left"/>
      <w:pPr>
        <w:ind w:left="5684" w:hanging="360"/>
      </w:pPr>
      <w:rPr>
        <w:rFonts w:cs="Times New Roman"/>
      </w:rPr>
    </w:lvl>
    <w:lvl w:ilvl="8" w:tplc="0C09001B">
      <w:start w:val="1"/>
      <w:numFmt w:val="lowerRoman"/>
      <w:lvlText w:val="%9."/>
      <w:lvlJc w:val="right"/>
      <w:pPr>
        <w:ind w:left="6404" w:hanging="180"/>
      </w:pPr>
      <w:rPr>
        <w:rFonts w:cs="Times New Roman"/>
      </w:rPr>
    </w:lvl>
  </w:abstractNum>
  <w:abstractNum w:abstractNumId="13"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73E3AD5"/>
    <w:multiLevelType w:val="hybridMultilevel"/>
    <w:tmpl w:val="6AF477D0"/>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AC355C"/>
    <w:multiLevelType w:val="hybridMultilevel"/>
    <w:tmpl w:val="814831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3C1EA7"/>
    <w:multiLevelType w:val="multilevel"/>
    <w:tmpl w:val="43428892"/>
    <w:numStyleLink w:val="BulletsList"/>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73D54F0"/>
    <w:multiLevelType w:val="hybridMultilevel"/>
    <w:tmpl w:val="9AB0E3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5"/>
  </w:num>
  <w:num w:numId="23">
    <w:abstractNumId w:val="15"/>
  </w:num>
  <w:num w:numId="24">
    <w:abstractNumId w:val="21"/>
  </w:num>
  <w:num w:numId="25">
    <w:abstractNumId w:val="21"/>
  </w:num>
  <w:num w:numId="26">
    <w:abstractNumId w:val="21"/>
  </w:num>
  <w:num w:numId="27">
    <w:abstractNumId w:val="20"/>
  </w:num>
  <w:num w:numId="28">
    <w:abstractNumId w:val="10"/>
  </w:num>
  <w:num w:numId="29">
    <w:abstractNumId w:val="10"/>
  </w:num>
  <w:num w:numId="30">
    <w:abstractNumId w:val="10"/>
  </w:num>
  <w:num w:numId="31">
    <w:abstractNumId w:val="16"/>
  </w:num>
  <w:num w:numId="32">
    <w:abstractNumId w:val="19"/>
  </w:num>
  <w:num w:numId="33">
    <w:abstractNumId w:val="25"/>
  </w:num>
  <w:num w:numId="34">
    <w:abstractNumId w:val="17"/>
  </w:num>
  <w:num w:numId="35">
    <w:abstractNumId w:val="13"/>
  </w:num>
  <w:num w:numId="36">
    <w:abstractNumId w:val="18"/>
  </w:num>
  <w:num w:numId="37">
    <w:abstractNumId w:val="23"/>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4F37"/>
    <w:rsid w:val="00012D77"/>
    <w:rsid w:val="00015316"/>
    <w:rsid w:val="0002080A"/>
    <w:rsid w:val="00022349"/>
    <w:rsid w:val="0002782F"/>
    <w:rsid w:val="00027F29"/>
    <w:rsid w:val="00031512"/>
    <w:rsid w:val="00054E4D"/>
    <w:rsid w:val="00060073"/>
    <w:rsid w:val="00060268"/>
    <w:rsid w:val="000602F8"/>
    <w:rsid w:val="000645AF"/>
    <w:rsid w:val="000703C2"/>
    <w:rsid w:val="000728A5"/>
    <w:rsid w:val="00072F67"/>
    <w:rsid w:val="00081D73"/>
    <w:rsid w:val="00083696"/>
    <w:rsid w:val="00084483"/>
    <w:rsid w:val="00085F66"/>
    <w:rsid w:val="000870B2"/>
    <w:rsid w:val="000918AA"/>
    <w:rsid w:val="00096756"/>
    <w:rsid w:val="000D66D6"/>
    <w:rsid w:val="000E2B25"/>
    <w:rsid w:val="000E314A"/>
    <w:rsid w:val="000F0E8D"/>
    <w:rsid w:val="000F5350"/>
    <w:rsid w:val="000F64E4"/>
    <w:rsid w:val="0010370D"/>
    <w:rsid w:val="001468F3"/>
    <w:rsid w:val="001500F7"/>
    <w:rsid w:val="001541EA"/>
    <w:rsid w:val="00176C6E"/>
    <w:rsid w:val="00181CA7"/>
    <w:rsid w:val="001851DE"/>
    <w:rsid w:val="00185EE9"/>
    <w:rsid w:val="00191FD2"/>
    <w:rsid w:val="00195DDB"/>
    <w:rsid w:val="001A576D"/>
    <w:rsid w:val="001B36A6"/>
    <w:rsid w:val="001D663E"/>
    <w:rsid w:val="001E1DC0"/>
    <w:rsid w:val="001E2205"/>
    <w:rsid w:val="001E6927"/>
    <w:rsid w:val="001F0FC5"/>
    <w:rsid w:val="001F3982"/>
    <w:rsid w:val="00203BF4"/>
    <w:rsid w:val="00236649"/>
    <w:rsid w:val="00236A53"/>
    <w:rsid w:val="00253A0D"/>
    <w:rsid w:val="00275DB7"/>
    <w:rsid w:val="00280838"/>
    <w:rsid w:val="00284957"/>
    <w:rsid w:val="0028602A"/>
    <w:rsid w:val="0028644D"/>
    <w:rsid w:val="00291EC3"/>
    <w:rsid w:val="00297C56"/>
    <w:rsid w:val="002A51CA"/>
    <w:rsid w:val="002B3E95"/>
    <w:rsid w:val="002B4446"/>
    <w:rsid w:val="002B5E10"/>
    <w:rsid w:val="002C21E5"/>
    <w:rsid w:val="002D16D8"/>
    <w:rsid w:val="002D2059"/>
    <w:rsid w:val="002D44BB"/>
    <w:rsid w:val="002D6FBA"/>
    <w:rsid w:val="002E1A30"/>
    <w:rsid w:val="002F1086"/>
    <w:rsid w:val="003002C0"/>
    <w:rsid w:val="00301144"/>
    <w:rsid w:val="00305375"/>
    <w:rsid w:val="00306C5B"/>
    <w:rsid w:val="00311EC2"/>
    <w:rsid w:val="003148B7"/>
    <w:rsid w:val="003158C3"/>
    <w:rsid w:val="003260EB"/>
    <w:rsid w:val="003274CD"/>
    <w:rsid w:val="00333501"/>
    <w:rsid w:val="00340236"/>
    <w:rsid w:val="00344490"/>
    <w:rsid w:val="003457C4"/>
    <w:rsid w:val="003461B9"/>
    <w:rsid w:val="0035119D"/>
    <w:rsid w:val="00353996"/>
    <w:rsid w:val="0036298B"/>
    <w:rsid w:val="00364C54"/>
    <w:rsid w:val="0036539E"/>
    <w:rsid w:val="00381BE0"/>
    <w:rsid w:val="00385004"/>
    <w:rsid w:val="003B0E86"/>
    <w:rsid w:val="003B4F12"/>
    <w:rsid w:val="003C1EE8"/>
    <w:rsid w:val="003D352D"/>
    <w:rsid w:val="00400B0F"/>
    <w:rsid w:val="00402ACC"/>
    <w:rsid w:val="004056BC"/>
    <w:rsid w:val="004120EC"/>
    <w:rsid w:val="00412FC6"/>
    <w:rsid w:val="0042053F"/>
    <w:rsid w:val="00423F31"/>
    <w:rsid w:val="00431899"/>
    <w:rsid w:val="00446518"/>
    <w:rsid w:val="00486804"/>
    <w:rsid w:val="00487324"/>
    <w:rsid w:val="004977A1"/>
    <w:rsid w:val="004A1E47"/>
    <w:rsid w:val="004A47D4"/>
    <w:rsid w:val="004A4B74"/>
    <w:rsid w:val="004B19C3"/>
    <w:rsid w:val="004B3775"/>
    <w:rsid w:val="004B4759"/>
    <w:rsid w:val="004B6931"/>
    <w:rsid w:val="004B70D3"/>
    <w:rsid w:val="004C1A73"/>
    <w:rsid w:val="004D0BA0"/>
    <w:rsid w:val="004D2057"/>
    <w:rsid w:val="004D5DA9"/>
    <w:rsid w:val="004D695C"/>
    <w:rsid w:val="004E0264"/>
    <w:rsid w:val="004E058F"/>
    <w:rsid w:val="004E3B87"/>
    <w:rsid w:val="004E4F6B"/>
    <w:rsid w:val="004E534F"/>
    <w:rsid w:val="00510921"/>
    <w:rsid w:val="00510AD3"/>
    <w:rsid w:val="00513348"/>
    <w:rsid w:val="00513EE0"/>
    <w:rsid w:val="00515376"/>
    <w:rsid w:val="00533B5D"/>
    <w:rsid w:val="0054396A"/>
    <w:rsid w:val="0054761D"/>
    <w:rsid w:val="005511BF"/>
    <w:rsid w:val="005615D2"/>
    <w:rsid w:val="00564556"/>
    <w:rsid w:val="00576B19"/>
    <w:rsid w:val="005830B4"/>
    <w:rsid w:val="0059146A"/>
    <w:rsid w:val="005B5769"/>
    <w:rsid w:val="005B6AE3"/>
    <w:rsid w:val="005D3655"/>
    <w:rsid w:val="005E606B"/>
    <w:rsid w:val="005F51F2"/>
    <w:rsid w:val="00601657"/>
    <w:rsid w:val="00603638"/>
    <w:rsid w:val="00617936"/>
    <w:rsid w:val="00623BA1"/>
    <w:rsid w:val="00626BB4"/>
    <w:rsid w:val="00627B5C"/>
    <w:rsid w:val="006346BC"/>
    <w:rsid w:val="006411FA"/>
    <w:rsid w:val="00644B60"/>
    <w:rsid w:val="0065759F"/>
    <w:rsid w:val="00660422"/>
    <w:rsid w:val="0066652A"/>
    <w:rsid w:val="00680522"/>
    <w:rsid w:val="00681F08"/>
    <w:rsid w:val="00682167"/>
    <w:rsid w:val="0068538D"/>
    <w:rsid w:val="006B2038"/>
    <w:rsid w:val="006C2020"/>
    <w:rsid w:val="006C42AF"/>
    <w:rsid w:val="006E2F44"/>
    <w:rsid w:val="006E6AB9"/>
    <w:rsid w:val="006F27B1"/>
    <w:rsid w:val="006F714E"/>
    <w:rsid w:val="00700904"/>
    <w:rsid w:val="007021BF"/>
    <w:rsid w:val="007059A0"/>
    <w:rsid w:val="00711D8E"/>
    <w:rsid w:val="00712672"/>
    <w:rsid w:val="00714CB7"/>
    <w:rsid w:val="007151CE"/>
    <w:rsid w:val="007176EC"/>
    <w:rsid w:val="0072155F"/>
    <w:rsid w:val="0072259C"/>
    <w:rsid w:val="007259C5"/>
    <w:rsid w:val="007316EA"/>
    <w:rsid w:val="00734E3F"/>
    <w:rsid w:val="00736985"/>
    <w:rsid w:val="007418AF"/>
    <w:rsid w:val="0074217B"/>
    <w:rsid w:val="00745DF5"/>
    <w:rsid w:val="00760883"/>
    <w:rsid w:val="0076250F"/>
    <w:rsid w:val="00765EC9"/>
    <w:rsid w:val="00771B53"/>
    <w:rsid w:val="00784031"/>
    <w:rsid w:val="007A2B8D"/>
    <w:rsid w:val="007A5756"/>
    <w:rsid w:val="007B6200"/>
    <w:rsid w:val="007B6F11"/>
    <w:rsid w:val="007B7FF7"/>
    <w:rsid w:val="007D43A3"/>
    <w:rsid w:val="007E004A"/>
    <w:rsid w:val="007F3395"/>
    <w:rsid w:val="00801B9F"/>
    <w:rsid w:val="008057FD"/>
    <w:rsid w:val="00826563"/>
    <w:rsid w:val="008325E2"/>
    <w:rsid w:val="008411AA"/>
    <w:rsid w:val="00843955"/>
    <w:rsid w:val="008475F0"/>
    <w:rsid w:val="008505FB"/>
    <w:rsid w:val="00853119"/>
    <w:rsid w:val="00857936"/>
    <w:rsid w:val="00864210"/>
    <w:rsid w:val="00880004"/>
    <w:rsid w:val="008860C2"/>
    <w:rsid w:val="008A0CD6"/>
    <w:rsid w:val="008A2950"/>
    <w:rsid w:val="008A3345"/>
    <w:rsid w:val="008A5AFE"/>
    <w:rsid w:val="008B68D7"/>
    <w:rsid w:val="008B7D42"/>
    <w:rsid w:val="008C2F58"/>
    <w:rsid w:val="008C5A0E"/>
    <w:rsid w:val="008D69D4"/>
    <w:rsid w:val="008F56A8"/>
    <w:rsid w:val="00900B0D"/>
    <w:rsid w:val="00903DBE"/>
    <w:rsid w:val="00905EC9"/>
    <w:rsid w:val="009546F0"/>
    <w:rsid w:val="00955DD8"/>
    <w:rsid w:val="00957FF5"/>
    <w:rsid w:val="00961272"/>
    <w:rsid w:val="00984C6A"/>
    <w:rsid w:val="00986B41"/>
    <w:rsid w:val="009903F3"/>
    <w:rsid w:val="00990C80"/>
    <w:rsid w:val="00992C76"/>
    <w:rsid w:val="009B08E9"/>
    <w:rsid w:val="009B4D3B"/>
    <w:rsid w:val="009C0FAD"/>
    <w:rsid w:val="009C18B5"/>
    <w:rsid w:val="009C41CC"/>
    <w:rsid w:val="009D7407"/>
    <w:rsid w:val="009D7F67"/>
    <w:rsid w:val="009E0866"/>
    <w:rsid w:val="009E1AAA"/>
    <w:rsid w:val="009E7BB8"/>
    <w:rsid w:val="009F5488"/>
    <w:rsid w:val="009F6423"/>
    <w:rsid w:val="00A03953"/>
    <w:rsid w:val="00A05512"/>
    <w:rsid w:val="00A2467A"/>
    <w:rsid w:val="00A24A62"/>
    <w:rsid w:val="00A26D95"/>
    <w:rsid w:val="00A31C9F"/>
    <w:rsid w:val="00A4144F"/>
    <w:rsid w:val="00A55054"/>
    <w:rsid w:val="00A564C9"/>
    <w:rsid w:val="00A56F14"/>
    <w:rsid w:val="00A62888"/>
    <w:rsid w:val="00A63FB4"/>
    <w:rsid w:val="00A646E0"/>
    <w:rsid w:val="00A7164A"/>
    <w:rsid w:val="00A80F95"/>
    <w:rsid w:val="00A8197B"/>
    <w:rsid w:val="00AA29F1"/>
    <w:rsid w:val="00AA7BE3"/>
    <w:rsid w:val="00AB5E7F"/>
    <w:rsid w:val="00AC164A"/>
    <w:rsid w:val="00AE3B5A"/>
    <w:rsid w:val="00AF1B85"/>
    <w:rsid w:val="00AF2050"/>
    <w:rsid w:val="00B03CA8"/>
    <w:rsid w:val="00B11695"/>
    <w:rsid w:val="00B138E2"/>
    <w:rsid w:val="00B21CEF"/>
    <w:rsid w:val="00B275B7"/>
    <w:rsid w:val="00B27FD5"/>
    <w:rsid w:val="00B331DC"/>
    <w:rsid w:val="00B438D3"/>
    <w:rsid w:val="00B52AA0"/>
    <w:rsid w:val="00B53480"/>
    <w:rsid w:val="00B55E19"/>
    <w:rsid w:val="00B8640C"/>
    <w:rsid w:val="00B979C2"/>
    <w:rsid w:val="00BA4B6D"/>
    <w:rsid w:val="00BB26C5"/>
    <w:rsid w:val="00BC337C"/>
    <w:rsid w:val="00BE6C6D"/>
    <w:rsid w:val="00BF4DE6"/>
    <w:rsid w:val="00C01920"/>
    <w:rsid w:val="00C03544"/>
    <w:rsid w:val="00C14C2E"/>
    <w:rsid w:val="00C406F0"/>
    <w:rsid w:val="00C42CDE"/>
    <w:rsid w:val="00C42F6C"/>
    <w:rsid w:val="00C500D7"/>
    <w:rsid w:val="00C5049F"/>
    <w:rsid w:val="00C5182A"/>
    <w:rsid w:val="00C63EE9"/>
    <w:rsid w:val="00C6626C"/>
    <w:rsid w:val="00C81E7F"/>
    <w:rsid w:val="00C85550"/>
    <w:rsid w:val="00C91DD2"/>
    <w:rsid w:val="00C9343A"/>
    <w:rsid w:val="00C93A01"/>
    <w:rsid w:val="00CA37B1"/>
    <w:rsid w:val="00CB0376"/>
    <w:rsid w:val="00CB1959"/>
    <w:rsid w:val="00CB1FAC"/>
    <w:rsid w:val="00CB4665"/>
    <w:rsid w:val="00CC1E7B"/>
    <w:rsid w:val="00CC22F0"/>
    <w:rsid w:val="00CC57B5"/>
    <w:rsid w:val="00CD0E4B"/>
    <w:rsid w:val="00CD3493"/>
    <w:rsid w:val="00CE0155"/>
    <w:rsid w:val="00CE33D9"/>
    <w:rsid w:val="00CE5A9B"/>
    <w:rsid w:val="00CE79E7"/>
    <w:rsid w:val="00CF6F1A"/>
    <w:rsid w:val="00D00802"/>
    <w:rsid w:val="00D0296C"/>
    <w:rsid w:val="00D146A2"/>
    <w:rsid w:val="00D15A00"/>
    <w:rsid w:val="00D1718C"/>
    <w:rsid w:val="00D270D7"/>
    <w:rsid w:val="00D37C44"/>
    <w:rsid w:val="00D37FB7"/>
    <w:rsid w:val="00D42C61"/>
    <w:rsid w:val="00D47E58"/>
    <w:rsid w:val="00D515AB"/>
    <w:rsid w:val="00D64BD1"/>
    <w:rsid w:val="00D72760"/>
    <w:rsid w:val="00D82B1C"/>
    <w:rsid w:val="00DA35AA"/>
    <w:rsid w:val="00DB3C6D"/>
    <w:rsid w:val="00DC14E2"/>
    <w:rsid w:val="00DD0BC7"/>
    <w:rsid w:val="00DD1986"/>
    <w:rsid w:val="00DD1ADD"/>
    <w:rsid w:val="00DD1BFD"/>
    <w:rsid w:val="00DE084C"/>
    <w:rsid w:val="00DE18A8"/>
    <w:rsid w:val="00DF22CA"/>
    <w:rsid w:val="00DF61E5"/>
    <w:rsid w:val="00E127A8"/>
    <w:rsid w:val="00E13F03"/>
    <w:rsid w:val="00E145BC"/>
    <w:rsid w:val="00E15BA4"/>
    <w:rsid w:val="00E162D5"/>
    <w:rsid w:val="00E2025E"/>
    <w:rsid w:val="00E2263A"/>
    <w:rsid w:val="00E357B7"/>
    <w:rsid w:val="00E412EC"/>
    <w:rsid w:val="00E45562"/>
    <w:rsid w:val="00E47C98"/>
    <w:rsid w:val="00E47FDC"/>
    <w:rsid w:val="00E53800"/>
    <w:rsid w:val="00E5644D"/>
    <w:rsid w:val="00E6081F"/>
    <w:rsid w:val="00E737DD"/>
    <w:rsid w:val="00E936A1"/>
    <w:rsid w:val="00EA04B2"/>
    <w:rsid w:val="00EA20F3"/>
    <w:rsid w:val="00ED2831"/>
    <w:rsid w:val="00ED43D1"/>
    <w:rsid w:val="00ED4F41"/>
    <w:rsid w:val="00ED54A3"/>
    <w:rsid w:val="00EE4EE1"/>
    <w:rsid w:val="00EE7D73"/>
    <w:rsid w:val="00EF4574"/>
    <w:rsid w:val="00EF4CAB"/>
    <w:rsid w:val="00EF644E"/>
    <w:rsid w:val="00F050B4"/>
    <w:rsid w:val="00F12A4C"/>
    <w:rsid w:val="00F12E9E"/>
    <w:rsid w:val="00F1670B"/>
    <w:rsid w:val="00F23988"/>
    <w:rsid w:val="00F2684E"/>
    <w:rsid w:val="00F33316"/>
    <w:rsid w:val="00F35985"/>
    <w:rsid w:val="00F415A3"/>
    <w:rsid w:val="00F42EED"/>
    <w:rsid w:val="00F44B86"/>
    <w:rsid w:val="00F45E96"/>
    <w:rsid w:val="00F47286"/>
    <w:rsid w:val="00F5404C"/>
    <w:rsid w:val="00F5577B"/>
    <w:rsid w:val="00F729EF"/>
    <w:rsid w:val="00F77CAE"/>
    <w:rsid w:val="00F82271"/>
    <w:rsid w:val="00F83428"/>
    <w:rsid w:val="00F95200"/>
    <w:rsid w:val="00F96BB9"/>
    <w:rsid w:val="00FC6128"/>
    <w:rsid w:val="00FC6251"/>
    <w:rsid w:val="00FD1A6B"/>
    <w:rsid w:val="00FD397A"/>
    <w:rsid w:val="00FD7897"/>
    <w:rsid w:val="00FE5E1C"/>
    <w:rsid w:val="00FE6D51"/>
    <w:rsid w:val="00FF09F3"/>
    <w:rsid w:val="00FF1894"/>
    <w:rsid w:val="00FF35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5EBB3A9"/>
  <w15:docId w15:val="{35B9FE81-EACE-46D8-A37A-E888EB9A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aliases w:val="ADB,Footnote Text Char1 Char,Footnote Text Char Char Char,Footnote Text Char1 Char1 Char Char,Footnote Text Char Char Char Char Char,Footnote Text Char1 Char Char Char Char,Footnote Text Char Char1 Char Char Char Char,fn,ETS,single space"/>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aliases w:val="ADB Char,Footnote Text Char1 Char Char,Footnote Text Char Char Char Char,Footnote Text Char1 Char1 Char Char Char,Footnote Text Char Char Char Char Char Char,Footnote Text Char1 Char Char Char Char Char,fn Char,ETS Char"/>
    <w:basedOn w:val="DefaultParagraphFont"/>
    <w:link w:val="FootnoteText"/>
    <w:rsid w:val="008C5A0E"/>
    <w:rPr>
      <w:color w:val="495965" w:themeColor="text2"/>
      <w:sz w:val="12"/>
      <w:szCs w:val="20"/>
    </w:rPr>
  </w:style>
  <w:style w:type="character" w:styleId="FootnoteReference">
    <w:name w:val="footnote reference"/>
    <w:aliases w:val="Footnote,Footnote text,Footnote + Arial,10 pt,Black,ftref,(NECG) Footnote Reference,footnote ref,SUPERS,EN Footnote Reference,16 Point,Superscript 6 Point,Footnote Reference Number,Style 6,Ref,de nota al pie,fr,Footnote Ref in FtNote"/>
    <w:basedOn w:val="DefaultParagraphFont"/>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uiPriority w:val="99"/>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uiPriority w:val="99"/>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CommentReference">
    <w:name w:val="annotation reference"/>
    <w:basedOn w:val="DefaultParagraphFont"/>
    <w:rsid w:val="0036539E"/>
    <w:rPr>
      <w:sz w:val="16"/>
      <w:szCs w:val="16"/>
    </w:rPr>
  </w:style>
  <w:style w:type="paragraph" w:styleId="CommentText">
    <w:name w:val="annotation text"/>
    <w:basedOn w:val="Normal"/>
    <w:link w:val="CommentTextChar"/>
    <w:rsid w:val="0036539E"/>
    <w:pPr>
      <w:suppressAutoHyphens w:val="0"/>
      <w:spacing w:before="0" w:after="0" w:line="240" w:lineRule="auto"/>
    </w:pPr>
    <w:rPr>
      <w:rFonts w:ascii="Times New Roman" w:eastAsia="SimSun" w:hAnsi="Times New Roman" w:cs="Times New Roman"/>
      <w:color w:val="auto"/>
      <w:sz w:val="20"/>
      <w:szCs w:val="20"/>
      <w:lang w:val="en-AU" w:eastAsia="en-AU"/>
    </w:rPr>
  </w:style>
  <w:style w:type="character" w:customStyle="1" w:styleId="CommentTextChar">
    <w:name w:val="Comment Text Char"/>
    <w:basedOn w:val="DefaultParagraphFont"/>
    <w:link w:val="CommentText"/>
    <w:rsid w:val="0036539E"/>
    <w:rPr>
      <w:rFonts w:ascii="Times New Roman" w:eastAsia="SimSun" w:hAnsi="Times New Roman" w:cs="Times New Roman"/>
      <w:sz w:val="20"/>
      <w:szCs w:val="20"/>
      <w:lang w:eastAsia="en-AU"/>
    </w:rPr>
  </w:style>
  <w:style w:type="paragraph" w:styleId="ListParagraph">
    <w:name w:val="List Paragraph"/>
    <w:basedOn w:val="Normal"/>
    <w:uiPriority w:val="34"/>
    <w:qFormat/>
    <w:rsid w:val="0036539E"/>
    <w:pPr>
      <w:suppressAutoHyphens w:val="0"/>
      <w:spacing w:before="0" w:after="0" w:line="240" w:lineRule="auto"/>
      <w:ind w:left="720"/>
      <w:contextualSpacing/>
    </w:pPr>
    <w:rPr>
      <w:rFonts w:ascii="Times New Roman" w:eastAsia="SimSun" w:hAnsi="Times New Roman" w:cs="Times New Roman"/>
      <w:color w:val="auto"/>
      <w:sz w:val="20"/>
      <w:szCs w:val="24"/>
      <w:lang w:val="en-AU" w:eastAsia="en-AU"/>
    </w:rPr>
  </w:style>
  <w:style w:type="paragraph" w:styleId="NormalWeb">
    <w:name w:val="Normal (Web)"/>
    <w:basedOn w:val="Normal"/>
    <w:uiPriority w:val="99"/>
    <w:unhideWhenUsed/>
    <w:rsid w:val="00ED4F41"/>
    <w:pPr>
      <w:suppressAutoHyphens w:val="0"/>
      <w:spacing w:before="0" w:after="225" w:line="240" w:lineRule="auto"/>
    </w:pPr>
    <w:rPr>
      <w:rFonts w:ascii="Times New Roman" w:eastAsia="Times New Roman" w:hAnsi="Times New Roman" w:cs="Times New Roman"/>
      <w:color w:val="auto"/>
      <w:sz w:val="24"/>
      <w:szCs w:val="24"/>
      <w:lang w:val="en-AU" w:eastAsia="en-AU"/>
    </w:rPr>
  </w:style>
  <w:style w:type="paragraph" w:styleId="CommentSubject">
    <w:name w:val="annotation subject"/>
    <w:basedOn w:val="CommentText"/>
    <w:next w:val="CommentText"/>
    <w:link w:val="CommentSubjectChar"/>
    <w:uiPriority w:val="99"/>
    <w:semiHidden/>
    <w:unhideWhenUsed/>
    <w:rsid w:val="00364C54"/>
    <w:pPr>
      <w:suppressAutoHyphens/>
      <w:spacing w:before="120" w:after="60"/>
    </w:pPr>
    <w:rPr>
      <w:rFonts w:asciiTheme="minorHAnsi" w:eastAsiaTheme="minorHAnsi" w:hAnsiTheme="minorHAnsi" w:cstheme="minorBidi"/>
      <w:b/>
      <w:bCs/>
      <w:color w:val="495965" w:themeColor="text2"/>
      <w:lang w:val="en-GB" w:eastAsia="en-US"/>
    </w:rPr>
  </w:style>
  <w:style w:type="character" w:customStyle="1" w:styleId="CommentSubjectChar">
    <w:name w:val="Comment Subject Char"/>
    <w:basedOn w:val="CommentTextChar"/>
    <w:link w:val="CommentSubject"/>
    <w:uiPriority w:val="99"/>
    <w:semiHidden/>
    <w:rsid w:val="00364C54"/>
    <w:rPr>
      <w:rFonts w:ascii="Times New Roman" w:eastAsia="SimSun" w:hAnsi="Times New Roman" w:cs="Times New Roman"/>
      <w:b/>
      <w:bCs/>
      <w:color w:val="495965" w:themeColor="text2"/>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877869">
      <w:bodyDiv w:val="1"/>
      <w:marLeft w:val="0"/>
      <w:marRight w:val="0"/>
      <w:marTop w:val="0"/>
      <w:marBottom w:val="0"/>
      <w:divBdr>
        <w:top w:val="none" w:sz="0" w:space="0" w:color="auto"/>
        <w:left w:val="none" w:sz="0" w:space="0" w:color="auto"/>
        <w:bottom w:val="none" w:sz="0" w:space="0" w:color="auto"/>
        <w:right w:val="none" w:sz="0" w:space="0" w:color="auto"/>
      </w:divBdr>
    </w:div>
    <w:div w:id="10421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DC29C9-D446-4ECC-B3E2-60953185D2D3}"/>
</file>

<file path=customXml/itemProps2.xml><?xml version="1.0" encoding="utf-8"?>
<ds:datastoreItem xmlns:ds="http://schemas.openxmlformats.org/officeDocument/2006/customXml" ds:itemID="{631A5E2B-8238-4B22-9BA6-25FE01EC38BE}"/>
</file>

<file path=customXml/itemProps3.xml><?xml version="1.0" encoding="utf-8"?>
<ds:datastoreItem xmlns:ds="http://schemas.openxmlformats.org/officeDocument/2006/customXml" ds:itemID="{5492EC3B-8B39-4571-8EEC-3ACF166F3BEA}"/>
</file>

<file path=customXml/itemProps4.xml><?xml version="1.0" encoding="utf-8"?>
<ds:datastoreItem xmlns:ds="http://schemas.openxmlformats.org/officeDocument/2006/customXml" ds:itemID="{A03869FF-4683-4C7B-8925-B7A9902A964C}"/>
</file>

<file path=docProps/app.xml><?xml version="1.0" encoding="utf-8"?>
<Properties xmlns="http://schemas.openxmlformats.org/officeDocument/2006/extended-properties" xmlns:vt="http://schemas.openxmlformats.org/officeDocument/2006/docPropsVTypes">
  <Template>Normal.dotm</Template>
  <TotalTime>7</TotalTime>
  <Pages>23</Pages>
  <Words>9333</Words>
  <Characters>53201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62410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Carpenter, Sydney</cp:lastModifiedBy>
  <cp:revision>4</cp:revision>
  <cp:lastPrinted>2016-08-29T03:40:00Z</cp:lastPrinted>
  <dcterms:created xsi:type="dcterms:W3CDTF">2017-01-12T03:30:00Z</dcterms:created>
  <dcterms:modified xsi:type="dcterms:W3CDTF">2017-02-14T03:23:00Z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7ec973c3-7702-46f1-954a-9995e0dbd88f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1053800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