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Aid</w:t>
      </w:r>
      <w:r w:rsidR="008D280D">
        <w:rPr>
          <w:noProof/>
          <w:color w:val="FFFFFF"/>
          <w:spacing w:val="0"/>
          <w:sz w:val="50"/>
          <w:szCs w:val="50"/>
          <w:lang w:val="en-US" w:eastAsia="en-US"/>
        </w:rPr>
        <w:t xml:space="preserve"> Program Performance Report 2014-15</w:t>
      </w:r>
      <w:r w:rsidRPr="001227C3">
        <w:rPr>
          <w:noProof/>
          <w:color w:val="FFFFFF"/>
          <w:spacing w:val="0"/>
          <w:sz w:val="50"/>
          <w:szCs w:val="50"/>
          <w:lang w:val="en-US" w:eastAsia="en-US"/>
        </w:rPr>
        <w:t xml:space="preserve"> </w:t>
      </w:r>
      <w:bookmarkStart w:id="0" w:name="_GoBack"/>
      <w:r w:rsidRPr="001227C3">
        <w:rPr>
          <w:noProof/>
          <w:color w:val="FFFFFF"/>
          <w:spacing w:val="0"/>
          <w:sz w:val="50"/>
          <w:szCs w:val="50"/>
        </w:rPr>
        <w:drawing>
          <wp:anchor distT="0" distB="0" distL="114300" distR="114300" simplePos="0" relativeHeight="251662336" behindDoc="1" locked="1" layoutInCell="1" allowOverlap="1" wp14:anchorId="0BD31DF4" wp14:editId="3D30C1E1">
            <wp:simplePos x="0" y="0"/>
            <wp:positionH relativeFrom="page">
              <wp:posOffset>-210185</wp:posOffset>
            </wp:positionH>
            <wp:positionV relativeFrom="page">
              <wp:posOffset>-187960</wp:posOffset>
            </wp:positionV>
            <wp:extent cx="7994650" cy="11309350"/>
            <wp:effectExtent l="0" t="0" r="6350" b="635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994650" cy="113093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0D733F" w:rsidRDefault="00BA495F"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Vietnam</w:t>
      </w:r>
    </w:p>
    <w:p w:rsidR="001D6059" w:rsidRDefault="00125002" w:rsidP="00CE1DFB">
      <w:pPr>
        <w:pStyle w:val="Date"/>
        <w:spacing w:before="200" w:after="600" w:line="380" w:lineRule="atLeast"/>
        <w:ind w:left="2694" w:right="-624"/>
        <w:rPr>
          <w:rFonts w:ascii="Helvetica" w:eastAsia="Times New Roman" w:hAnsi="Helvetica"/>
          <w:noProof/>
          <w:color w:val="FFFFFF"/>
          <w:kern w:val="28"/>
          <w:sz w:val="24"/>
          <w:lang w:val="en-US" w:eastAsia="en-US"/>
        </w:rPr>
      </w:pPr>
      <w:r>
        <w:rPr>
          <w:rFonts w:ascii="Helvetica" w:eastAsia="Times New Roman" w:hAnsi="Helvetica"/>
          <w:noProof/>
          <w:color w:val="FFFFFF"/>
          <w:kern w:val="28"/>
          <w:sz w:val="24"/>
          <w:lang w:val="en-US" w:eastAsia="en-US"/>
        </w:rPr>
        <w:t>November</w:t>
      </w:r>
      <w:r w:rsidR="000D733F" w:rsidRPr="001227C3">
        <w:rPr>
          <w:rFonts w:ascii="Helvetica" w:eastAsia="Times New Roman" w:hAnsi="Helvetica"/>
          <w:noProof/>
          <w:color w:val="FFFFFF"/>
          <w:kern w:val="28"/>
          <w:sz w:val="24"/>
          <w:lang w:val="en-US" w:eastAsia="en-US"/>
        </w:rPr>
        <w:t xml:space="preserve"> 201</w:t>
      </w:r>
      <w:r>
        <w:rPr>
          <w:rFonts w:ascii="Helvetica" w:eastAsia="Times New Roman" w:hAnsi="Helvetica"/>
          <w:noProof/>
          <w:color w:val="FFFFFF"/>
          <w:kern w:val="28"/>
          <w:sz w:val="24"/>
          <w:lang w:val="en-US" w:eastAsia="en-US"/>
        </w:rPr>
        <w:t>5</w:t>
      </w:r>
    </w:p>
    <w:p w:rsidR="00ED6B0D" w:rsidRPr="00ED6B0D" w:rsidRDefault="00ED6B0D" w:rsidP="00ED6B0D">
      <w:pPr>
        <w:rPr>
          <w:lang w:val="en-US" w:eastAsia="en-US"/>
        </w:rPr>
      </w:pPr>
    </w:p>
    <w:p w:rsidR="000D733F" w:rsidRPr="00B43B60" w:rsidRDefault="000D733F" w:rsidP="002660AA">
      <w:pPr>
        <w:pStyle w:val="Heading2"/>
        <w:rPr>
          <w:rStyle w:val="BodyTextChar"/>
          <w:color w:val="auto"/>
        </w:rPr>
      </w:pPr>
      <w:bookmarkStart w:id="1" w:name="_Toc373853205"/>
      <w:r w:rsidRPr="002660AA">
        <w:rPr>
          <w:sz w:val="28"/>
        </w:rPr>
        <w:lastRenderedPageBreak/>
        <w:t>Key Messages</w:t>
      </w:r>
      <w:bookmarkEnd w:id="1"/>
    </w:p>
    <w:p w:rsidR="00F55A88" w:rsidRPr="00A308D3" w:rsidRDefault="00F55A88" w:rsidP="00ED5A66">
      <w:pPr>
        <w:pStyle w:val="BodyText"/>
      </w:pPr>
      <w:r w:rsidRPr="00DD2089">
        <w:t>This report summarises the aid program’s progress and performance in Vietnam during 2014</w:t>
      </w:r>
      <w:r w:rsidRPr="00DD2089">
        <w:noBreakHyphen/>
      </w:r>
      <w:r w:rsidRPr="00A308D3">
        <w:t xml:space="preserve">15. The program was implemented in line with the </w:t>
      </w:r>
      <w:hyperlink r:id="rId10" w:history="1">
        <w:r w:rsidRPr="00DC7AD3">
          <w:rPr>
            <w:rStyle w:val="Hyperlink"/>
            <w:i/>
            <w:sz w:val="21"/>
            <w:szCs w:val="24"/>
          </w:rPr>
          <w:t>Australia-Vietnam Joint Aid Program Strategy 2010-15</w:t>
        </w:r>
      </w:hyperlink>
      <w:r w:rsidRPr="00A308D3">
        <w:t xml:space="preserve"> and reflect</w:t>
      </w:r>
      <w:r w:rsidR="00911113">
        <w:t>ed</w:t>
      </w:r>
      <w:r w:rsidRPr="00A308D3">
        <w:t xml:space="preserve"> the priorities of the governments of Australia and Vietnam. </w:t>
      </w:r>
    </w:p>
    <w:p w:rsidR="00F55A88" w:rsidRPr="00A308D3" w:rsidRDefault="00F55A88" w:rsidP="00ED5A66">
      <w:pPr>
        <w:pStyle w:val="BodyText"/>
      </w:pPr>
      <w:r w:rsidRPr="00A308D3">
        <w:t>During 2014</w:t>
      </w:r>
      <w:r w:rsidRPr="00A308D3">
        <w:noBreakHyphen/>
        <w:t xml:space="preserve">15, Australia leveraged outcomes well beyond our $160.8 million in official development assistance (ODA) to Vietnam.  </w:t>
      </w:r>
    </w:p>
    <w:p w:rsidR="00081B5B" w:rsidRPr="00297A73" w:rsidRDefault="00081B5B" w:rsidP="00081B5B">
      <w:pPr>
        <w:pStyle w:val="BodyText"/>
      </w:pPr>
      <w:r w:rsidRPr="00A308D3">
        <w:t xml:space="preserve">In the infrastructure sector, </w:t>
      </w:r>
      <w:r w:rsidR="00AA7604">
        <w:t>good progress has led to</w:t>
      </w:r>
      <w:r w:rsidRPr="00A308D3">
        <w:t xml:space="preserve"> </w:t>
      </w:r>
      <w:r w:rsidR="00675137">
        <w:t xml:space="preserve">completion of </w:t>
      </w:r>
      <w:r w:rsidRPr="00A308D3">
        <w:t xml:space="preserve">more than </w:t>
      </w:r>
      <w:r w:rsidRPr="008F1BC0">
        <w:rPr>
          <w:b/>
        </w:rPr>
        <w:t>50 per cent of the construction of the Cao Lanh Bridge</w:t>
      </w:r>
      <w:r w:rsidRPr="00297A73">
        <w:t xml:space="preserve">.  </w:t>
      </w:r>
      <w:r>
        <w:t>W</w:t>
      </w:r>
      <w:r w:rsidRPr="00297A73">
        <w:t xml:space="preserve">e </w:t>
      </w:r>
      <w:r>
        <w:t xml:space="preserve">also </w:t>
      </w:r>
      <w:r w:rsidRPr="00297A73">
        <w:t xml:space="preserve">drew on our expertise and contacts in infrastructure to </w:t>
      </w:r>
      <w:r w:rsidRPr="00A308D3">
        <w:t xml:space="preserve">support the Government of Vietnam to prepare infrastructure projects </w:t>
      </w:r>
      <w:r>
        <w:t>to international standards</w:t>
      </w:r>
      <w:r w:rsidRPr="00081B5B">
        <w:t xml:space="preserve">. This support </w:t>
      </w:r>
      <w:r w:rsidRPr="00F1413A">
        <w:t xml:space="preserve">has </w:t>
      </w:r>
      <w:r w:rsidR="00B35881" w:rsidRPr="00F1413A">
        <w:t>enabled Vietnam to</w:t>
      </w:r>
      <w:r w:rsidR="00B35881">
        <w:t xml:space="preserve"> begin construction on projects worth</w:t>
      </w:r>
      <w:r w:rsidR="00B35881" w:rsidRPr="00081B5B">
        <w:t xml:space="preserve"> </w:t>
      </w:r>
      <w:r w:rsidRPr="00081B5B">
        <w:t>more than 30 times the size of our initial contribution.</w:t>
      </w:r>
      <w:r w:rsidRPr="00297A73">
        <w:t xml:space="preserve">  </w:t>
      </w:r>
    </w:p>
    <w:p w:rsidR="00F55A88" w:rsidRPr="00D72771" w:rsidRDefault="00F55A88" w:rsidP="00ED5A66">
      <w:pPr>
        <w:pStyle w:val="BodyText"/>
      </w:pPr>
      <w:r w:rsidRPr="00D72771">
        <w:t xml:space="preserve">In the water sector, </w:t>
      </w:r>
      <w:r>
        <w:t xml:space="preserve">our targeted assistance </w:t>
      </w:r>
      <w:r w:rsidR="00675137">
        <w:t>helped</w:t>
      </w:r>
      <w:r w:rsidR="00675137" w:rsidRPr="00297A73">
        <w:t xml:space="preserve"> </w:t>
      </w:r>
      <w:r w:rsidRPr="00297A73">
        <w:t xml:space="preserve">Vietnam </w:t>
      </w:r>
      <w:r>
        <w:t xml:space="preserve">to </w:t>
      </w:r>
      <w:r w:rsidR="00675137">
        <w:t>deliver</w:t>
      </w:r>
      <w:r w:rsidRPr="00A308D3">
        <w:t xml:space="preserve"> </w:t>
      </w:r>
      <w:r w:rsidRPr="008F1BC0">
        <w:rPr>
          <w:b/>
        </w:rPr>
        <w:t>hygienic water for 1.5 million people, hygienic latrines for 2.5 million people</w:t>
      </w:r>
      <w:r w:rsidRPr="00297A73">
        <w:t xml:space="preserve"> and upgrades of </w:t>
      </w:r>
      <w:r>
        <w:t>water infrastructure</w:t>
      </w:r>
      <w:r w:rsidRPr="00297A73">
        <w:t xml:space="preserve">, schools and health clinics.  </w:t>
      </w:r>
    </w:p>
    <w:p w:rsidR="00F55A88" w:rsidRPr="00297A73" w:rsidRDefault="00F55A88" w:rsidP="00ED5A66">
      <w:pPr>
        <w:pStyle w:val="BodyText"/>
      </w:pPr>
      <w:r w:rsidRPr="00D72771">
        <w:t>We</w:t>
      </w:r>
      <w:r w:rsidRPr="00A308D3">
        <w:t xml:space="preserve"> helped </w:t>
      </w:r>
      <w:r w:rsidRPr="00A308D3">
        <w:rPr>
          <w:b/>
        </w:rPr>
        <w:t>275,000 people adapt to and prepare for the impacts of climate change</w:t>
      </w:r>
      <w:r w:rsidRPr="008F1BC0">
        <w:rPr>
          <w:b/>
        </w:rPr>
        <w:t xml:space="preserve"> and natural disasters</w:t>
      </w:r>
      <w:r w:rsidRPr="00297A73">
        <w:t>. W</w:t>
      </w:r>
      <w:r w:rsidRPr="00D72771">
        <w:t xml:space="preserve">e drew on our deep experience in </w:t>
      </w:r>
      <w:r w:rsidRPr="00A308D3">
        <w:t>Vietnam’s Mekong Delta to drive a more coordinated approach</w:t>
      </w:r>
      <w:r>
        <w:t>.  We</w:t>
      </w:r>
      <w:r w:rsidRPr="00D72771">
        <w:t xml:space="preserve"> </w:t>
      </w:r>
      <w:r w:rsidRPr="00A308D3">
        <w:t>encourag</w:t>
      </w:r>
      <w:r>
        <w:t>ed</w:t>
      </w:r>
      <w:r w:rsidRPr="00A308D3">
        <w:t xml:space="preserve"> the Government of Vietnam to </w:t>
      </w:r>
      <w:r>
        <w:t>work</w:t>
      </w:r>
      <w:r w:rsidRPr="00297A73">
        <w:t xml:space="preserve"> across Ministries and provinces and </w:t>
      </w:r>
      <w:r>
        <w:t xml:space="preserve">in turn </w:t>
      </w:r>
      <w:r w:rsidRPr="00297A73">
        <w:t>grow potential for private and international investment.</w:t>
      </w:r>
    </w:p>
    <w:p w:rsidR="00F55A88" w:rsidRDefault="00F55A88" w:rsidP="00ED5A66">
      <w:pPr>
        <w:pStyle w:val="BodyText"/>
        <w:rPr>
          <w:szCs w:val="21"/>
        </w:rPr>
      </w:pPr>
      <w:r>
        <w:rPr>
          <w:rFonts w:cs="FranklinGothic-Book"/>
          <w:szCs w:val="21"/>
        </w:rPr>
        <w:t xml:space="preserve">We delivered prestigious </w:t>
      </w:r>
      <w:r w:rsidRPr="008F1BC0">
        <w:rPr>
          <w:rFonts w:cs="FranklinGothic-Book"/>
          <w:b/>
          <w:szCs w:val="21"/>
        </w:rPr>
        <w:t>scholarships for 377 emerging leaders in Vietnam</w:t>
      </w:r>
      <w:r>
        <w:rPr>
          <w:rFonts w:cs="FranklinGothic-Book"/>
          <w:szCs w:val="21"/>
        </w:rPr>
        <w:t>, and our education policy exchange</w:t>
      </w:r>
      <w:r w:rsidRPr="00D91D17">
        <w:rPr>
          <w:rFonts w:cs="FranklinGothic-Book"/>
          <w:szCs w:val="21"/>
        </w:rPr>
        <w:t xml:space="preserve"> influenced</w:t>
      </w:r>
      <w:r>
        <w:rPr>
          <w:szCs w:val="21"/>
        </w:rPr>
        <w:t xml:space="preserve"> a number of key achievements including setting up</w:t>
      </w:r>
      <w:r w:rsidRPr="002112B2">
        <w:rPr>
          <w:szCs w:val="21"/>
        </w:rPr>
        <w:t xml:space="preserve"> </w:t>
      </w:r>
      <w:r>
        <w:rPr>
          <w:szCs w:val="21"/>
        </w:rPr>
        <w:t>Vietnam’s</w:t>
      </w:r>
      <w:r w:rsidRPr="00D91D17">
        <w:rPr>
          <w:szCs w:val="21"/>
        </w:rPr>
        <w:t xml:space="preserve"> </w:t>
      </w:r>
      <w:r>
        <w:rPr>
          <w:szCs w:val="21"/>
        </w:rPr>
        <w:t>National Qualifications Framework.</w:t>
      </w:r>
    </w:p>
    <w:p w:rsidR="00F55A88" w:rsidRDefault="00F55A88" w:rsidP="00ED5A66">
      <w:pPr>
        <w:pStyle w:val="BodyText"/>
        <w:rPr>
          <w:szCs w:val="21"/>
        </w:rPr>
      </w:pPr>
      <w:r>
        <w:t xml:space="preserve">As we </w:t>
      </w:r>
      <w:r w:rsidRPr="002A65C3">
        <w:t>transform the aid</w:t>
      </w:r>
      <w:r>
        <w:t xml:space="preserve"> relationship t</w:t>
      </w:r>
      <w:r w:rsidRPr="002A65C3">
        <w:t xml:space="preserve">o an </w:t>
      </w:r>
      <w:r w:rsidRPr="008F1BC0">
        <w:rPr>
          <w:b/>
        </w:rPr>
        <w:t>economic partnership</w:t>
      </w:r>
      <w:r>
        <w:t xml:space="preserve"> </w:t>
      </w:r>
      <w:r w:rsidR="00675137">
        <w:t>in the coming years</w:t>
      </w:r>
      <w:r>
        <w:t>, we will build on our learnings and experience of over 40 years of development assistance. Our competitive advantage moving forward is to work with Vietnam on improving the skills and knowledge needed for its own reform.</w:t>
      </w:r>
    </w:p>
    <w:p w:rsidR="000D733F" w:rsidRPr="00B43B60" w:rsidRDefault="000D733F" w:rsidP="000D733F">
      <w:pPr>
        <w:pStyle w:val="Heading2"/>
        <w:rPr>
          <w:rStyle w:val="BodyTextChar"/>
          <w:color w:val="auto"/>
        </w:rPr>
      </w:pPr>
      <w:r w:rsidRPr="009E38C1">
        <w:rPr>
          <w:sz w:val="28"/>
        </w:rPr>
        <w:t>Context</w:t>
      </w:r>
    </w:p>
    <w:p w:rsidR="002A65C3" w:rsidRPr="002A65C3" w:rsidRDefault="002A65C3" w:rsidP="002A65C3">
      <w:pPr>
        <w:pStyle w:val="BodyText"/>
      </w:pPr>
      <w:r w:rsidRPr="002A65C3">
        <w:t>Since a significant political and economic reform process commencing in 1986, Vietnam has experienced rapid economic growth and significant poverty reduction, becoming a lower middle income country</w:t>
      </w:r>
      <w:r w:rsidR="00262770">
        <w:rPr>
          <w:rStyle w:val="FootnoteReference"/>
        </w:rPr>
        <w:footnoteReference w:id="1"/>
      </w:r>
      <w:r w:rsidRPr="002A65C3">
        <w:t xml:space="preserve"> within a quarter of a century. Between 1992 and 2007 growth averaged more than 7.5 per cent</w:t>
      </w:r>
      <w:r w:rsidR="004F7AEA">
        <w:t xml:space="preserve"> per annum</w:t>
      </w:r>
      <w:r w:rsidRPr="002A65C3">
        <w:t xml:space="preserve">, helping to reduce poverty from 58 per cent in 1993 to </w:t>
      </w:r>
      <w:r w:rsidR="00911113">
        <w:br/>
      </w:r>
      <w:r w:rsidRPr="002A65C3">
        <w:t>1</w:t>
      </w:r>
      <w:r w:rsidR="00D442E9">
        <w:t>0</w:t>
      </w:r>
      <w:r w:rsidRPr="002A65C3">
        <w:t xml:space="preserve"> per cent in 2010</w:t>
      </w:r>
      <w:r w:rsidR="00D442E9">
        <w:rPr>
          <w:rStyle w:val="FootnoteReference"/>
        </w:rPr>
        <w:footnoteReference w:id="2"/>
      </w:r>
      <w:r w:rsidRPr="002A65C3">
        <w:t xml:space="preserve">. </w:t>
      </w:r>
      <w:r w:rsidR="00DE1C3F">
        <w:t>G</w:t>
      </w:r>
      <w:r w:rsidRPr="002A65C3">
        <w:t xml:space="preserve">rowth slowed to an average of 5.7 per cent </w:t>
      </w:r>
      <w:r w:rsidR="004F7AEA">
        <w:t xml:space="preserve">per annum from </w:t>
      </w:r>
      <w:r w:rsidRPr="002A65C3">
        <w:t xml:space="preserve">2007 to 2014 but </w:t>
      </w:r>
      <w:r w:rsidR="00DE1C3F">
        <w:t>rose</w:t>
      </w:r>
      <w:r w:rsidRPr="002A65C3">
        <w:t xml:space="preserve"> to a seven-year high of 6.3 per cent in the first half of 2015</w:t>
      </w:r>
      <w:r w:rsidR="004F7AEA">
        <w:t>,</w:t>
      </w:r>
      <w:r w:rsidR="00DE1C3F">
        <w:t xml:space="preserve"> assisted by</w:t>
      </w:r>
      <w:r w:rsidRPr="002A65C3">
        <w:t xml:space="preserve"> </w:t>
      </w:r>
      <w:r w:rsidR="00DE1C3F">
        <w:t xml:space="preserve">economic </w:t>
      </w:r>
      <w:r w:rsidRPr="002A65C3">
        <w:t>reform</w:t>
      </w:r>
      <w:r w:rsidR="00DE1C3F">
        <w:t>s</w:t>
      </w:r>
      <w:r w:rsidRPr="002A65C3">
        <w:t xml:space="preserve"> </w:t>
      </w:r>
      <w:r w:rsidR="00262770">
        <w:t>resulting in</w:t>
      </w:r>
      <w:r w:rsidR="00262770" w:rsidRPr="002A65C3">
        <w:t xml:space="preserve"> </w:t>
      </w:r>
      <w:r w:rsidRPr="002A65C3">
        <w:t>greater macroeconomic stability, especially in the exchange rate and inflation, and reforms to reduce the cost and risk of doing business.</w:t>
      </w:r>
      <w:r w:rsidR="004F7AEA">
        <w:t xml:space="preserve"> </w:t>
      </w:r>
    </w:p>
    <w:p w:rsidR="002A65C3" w:rsidRDefault="002A65C3" w:rsidP="002A65C3">
      <w:pPr>
        <w:pStyle w:val="BodyText"/>
      </w:pPr>
      <w:r w:rsidRPr="002A65C3">
        <w:t>Vietnam has made impressive progress towards achieving the Millennium Development Goals</w:t>
      </w:r>
      <w:r w:rsidR="00DE1C3F">
        <w:rPr>
          <w:rStyle w:val="FootnoteReference"/>
        </w:rPr>
        <w:footnoteReference w:id="3"/>
      </w:r>
      <w:r w:rsidRPr="002A65C3">
        <w:t xml:space="preserve">, </w:t>
      </w:r>
      <w:r w:rsidR="00DE1C3F">
        <w:t>h</w:t>
      </w:r>
      <w:r w:rsidRPr="002A65C3">
        <w:t>owever progress has not been equal among geographic regions and population groups. Ethnic minorities, who comprise just 15 per cent of the population, account for around half of those living in poverty. Gender disparities still exist in access to and ownership of economic assets</w:t>
      </w:r>
      <w:r w:rsidR="00911113">
        <w:t>. T</w:t>
      </w:r>
      <w:r w:rsidRPr="002A65C3">
        <w:t>he gender pay gap has widened over the last decade</w:t>
      </w:r>
      <w:r w:rsidR="00D54DA8">
        <w:t xml:space="preserve"> while the </w:t>
      </w:r>
      <w:r w:rsidR="00D54DA8" w:rsidRPr="002A65C3">
        <w:t xml:space="preserve">number of women in the </w:t>
      </w:r>
      <w:r w:rsidR="00D54DA8" w:rsidRPr="002A65C3">
        <w:lastRenderedPageBreak/>
        <w:t>National Assembly has also fallen</w:t>
      </w:r>
      <w:r w:rsidRPr="002A65C3">
        <w:t xml:space="preserve">. Women are </w:t>
      </w:r>
      <w:r w:rsidR="001F2F5C">
        <w:t>under-</w:t>
      </w:r>
      <w:r w:rsidRPr="002A65C3">
        <w:t>represented in leadership roles</w:t>
      </w:r>
      <w:r w:rsidR="0008386B">
        <w:t xml:space="preserve"> across society</w:t>
      </w:r>
      <w:r w:rsidRPr="002A65C3">
        <w:t xml:space="preserve">. </w:t>
      </w:r>
    </w:p>
    <w:p w:rsidR="00030554" w:rsidRPr="002A65C3" w:rsidRDefault="00030554" w:rsidP="00030554">
      <w:pPr>
        <w:pStyle w:val="BodyText"/>
      </w:pPr>
      <w:r w:rsidRPr="002A65C3">
        <w:t xml:space="preserve">The challenge for Vietnam is not to fall into the so-called “middle-income” trap, characterised by stagnating growth and increasing inequality. To transition from a low-wage, low-value production model Vietnam will need to invest in innovation, skilling its </w:t>
      </w:r>
      <w:r>
        <w:t xml:space="preserve">expanding </w:t>
      </w:r>
      <w:r w:rsidRPr="002A65C3">
        <w:t>workforce and continuing to improve the business environment.</w:t>
      </w:r>
      <w:r w:rsidRPr="004F7AEA">
        <w:t xml:space="preserve"> </w:t>
      </w:r>
      <w:r w:rsidR="00911113">
        <w:t>Economic c</w:t>
      </w:r>
      <w:r w:rsidRPr="002A65C3">
        <w:t>hallenges remain to ensure long term economic growth, regional competitiveness, and to continue progress on poverty reduction.</w:t>
      </w:r>
    </w:p>
    <w:p w:rsidR="00030554" w:rsidRPr="002A65C3" w:rsidRDefault="00030554" w:rsidP="00030554">
      <w:pPr>
        <w:pStyle w:val="BodyText"/>
      </w:pPr>
      <w:r w:rsidRPr="002A65C3">
        <w:t>Australia’s development assistance to Vietnam has focussed on addressing these challenges</w:t>
      </w:r>
      <w:r>
        <w:t>, targeting</w:t>
      </w:r>
      <w:r w:rsidRPr="002A65C3">
        <w:t xml:space="preserve"> sectors where Australia has particular expertise and </w:t>
      </w:r>
      <w:r>
        <w:t>the capacity</w:t>
      </w:r>
      <w:r w:rsidRPr="002A65C3">
        <w:t xml:space="preserve"> to make a difference. The </w:t>
      </w:r>
      <w:hyperlink r:id="rId11" w:history="1">
        <w:r w:rsidRPr="00EC7057">
          <w:rPr>
            <w:rStyle w:val="Hyperlink"/>
            <w:i/>
            <w:sz w:val="21"/>
            <w:szCs w:val="24"/>
          </w:rPr>
          <w:t>Australia-Vietnam Joint Aid Program Strategy 2010-15</w:t>
        </w:r>
      </w:hyperlink>
      <w:r w:rsidRPr="002A65C3">
        <w:t xml:space="preserve"> has supported the Government of Vietnam’s </w:t>
      </w:r>
      <w:hyperlink r:id="rId12" w:history="1">
        <w:r w:rsidRPr="00EC7057">
          <w:rPr>
            <w:rStyle w:val="Hyperlink"/>
            <w:i/>
            <w:sz w:val="21"/>
            <w:szCs w:val="24"/>
          </w:rPr>
          <w:t>Socio Economic Development Plan</w:t>
        </w:r>
      </w:hyperlink>
      <w:r w:rsidRPr="002A65C3">
        <w:t xml:space="preserve"> (SEDP) 2011-15 through three priorities: human resource development</w:t>
      </w:r>
      <w:r w:rsidR="00DC7AD3">
        <w:t xml:space="preserve"> (HRD)</w:t>
      </w:r>
      <w:r w:rsidR="002200D9">
        <w:t>;</w:t>
      </w:r>
      <w:r w:rsidRPr="002A65C3">
        <w:t xml:space="preserve"> economic integration (including infrastructure)</w:t>
      </w:r>
      <w:r w:rsidR="002200D9">
        <w:t>;</w:t>
      </w:r>
      <w:r w:rsidRPr="002A65C3">
        <w:t xml:space="preserve"> and environmental sustainability (including climate change and water and sanitation).</w:t>
      </w:r>
      <w:r>
        <w:t xml:space="preserve"> During the reporting period, </w:t>
      </w:r>
      <w:r w:rsidR="00730CE3">
        <w:t>the Department of Foreign Affairs and Trade (DFAT)</w:t>
      </w:r>
      <w:r>
        <w:t xml:space="preserve"> developed a new </w:t>
      </w:r>
      <w:hyperlink r:id="rId13" w:history="1">
        <w:r w:rsidRPr="00EC7057">
          <w:rPr>
            <w:rStyle w:val="Hyperlink"/>
            <w:i/>
            <w:sz w:val="21"/>
            <w:szCs w:val="24"/>
          </w:rPr>
          <w:t>Aid Investment Plan</w:t>
        </w:r>
      </w:hyperlink>
      <w:r>
        <w:t xml:space="preserve"> (AIP) which sets out how Australia will contribute to Vietnam’s development from 2015-20.</w:t>
      </w:r>
    </w:p>
    <w:p w:rsidR="00586583" w:rsidRDefault="004F7AEA" w:rsidP="00586583">
      <w:pPr>
        <w:pStyle w:val="BodyText"/>
      </w:pPr>
      <w:r w:rsidRPr="002A65C3">
        <w:t xml:space="preserve">The </w:t>
      </w:r>
      <w:r>
        <w:t>AIP</w:t>
      </w:r>
      <w:r w:rsidRPr="002A65C3">
        <w:t xml:space="preserve"> </w:t>
      </w:r>
      <w:r>
        <w:t xml:space="preserve">aims </w:t>
      </w:r>
      <w:r w:rsidRPr="00F1413A">
        <w:t>to transform the aid relationship from one of donor-recipient to an economic partnership</w:t>
      </w:r>
      <w:r w:rsidRPr="002A65C3">
        <w:t xml:space="preserve"> that places a strong emphasis on economic reform, skilling the workforce and women</w:t>
      </w:r>
      <w:r>
        <w:t>’s economic empowerment</w:t>
      </w:r>
      <w:r w:rsidR="001F2F5C">
        <w:t>, focussing on ethnic minorities</w:t>
      </w:r>
      <w:r w:rsidRPr="002A65C3">
        <w:t xml:space="preserve">. Australia will move away from </w:t>
      </w:r>
      <w:r>
        <w:t>funding the</w:t>
      </w:r>
      <w:r w:rsidRPr="002A65C3">
        <w:t xml:space="preserve"> delivery</w:t>
      </w:r>
      <w:r>
        <w:t xml:space="preserve"> of government services</w:t>
      </w:r>
      <w:r w:rsidRPr="002A65C3">
        <w:t xml:space="preserve"> and hard infrastructure</w:t>
      </w:r>
      <w:r>
        <w:t>,</w:t>
      </w:r>
      <w:r w:rsidRPr="002A65C3">
        <w:t xml:space="preserve"> to focus on addressing the constraints to economic growth, constraints to social </w:t>
      </w:r>
      <w:r>
        <w:t xml:space="preserve">and </w:t>
      </w:r>
      <w:r w:rsidRPr="002A65C3">
        <w:t>economic inequality, and increasing the effect</w:t>
      </w:r>
      <w:r>
        <w:t>iveness of public institutions.</w:t>
      </w:r>
    </w:p>
    <w:p w:rsidR="002A65C3" w:rsidRPr="002A65C3" w:rsidRDefault="00586583" w:rsidP="002A65C3">
      <w:pPr>
        <w:pStyle w:val="BodyText"/>
      </w:pPr>
      <w:r w:rsidRPr="002A65C3">
        <w:t>In 2014-15, the Australian Government was the sixth</w:t>
      </w:r>
      <w:r>
        <w:t>-</w:t>
      </w:r>
      <w:r w:rsidRPr="002A65C3">
        <w:t xml:space="preserve">largest donor to Vietnam. While net ODA to Vietnam comprises 2.5 per cent of Gross National </w:t>
      </w:r>
      <w:r>
        <w:t>Income</w:t>
      </w:r>
      <w:r w:rsidRPr="002A65C3">
        <w:t>, the ODA landscape is changing rapidly</w:t>
      </w:r>
      <w:r>
        <w:t>.</w:t>
      </w:r>
      <w:r w:rsidRPr="002A65C3">
        <w:t xml:space="preserve"> </w:t>
      </w:r>
      <w:r>
        <w:t>There</w:t>
      </w:r>
      <w:r w:rsidRPr="002A65C3">
        <w:t xml:space="preserve"> </w:t>
      </w:r>
      <w:r>
        <w:t xml:space="preserve">is a </w:t>
      </w:r>
      <w:r w:rsidRPr="002A65C3">
        <w:t xml:space="preserve">clear shift from </w:t>
      </w:r>
      <w:r>
        <w:t xml:space="preserve">focussing on </w:t>
      </w:r>
      <w:r w:rsidRPr="002A65C3">
        <w:t xml:space="preserve">poverty reduction to </w:t>
      </w:r>
      <w:r>
        <w:t xml:space="preserve">enhancing </w:t>
      </w:r>
      <w:r w:rsidRPr="002A65C3">
        <w:t xml:space="preserve">trade </w:t>
      </w:r>
      <w:r>
        <w:t xml:space="preserve">relationships </w:t>
      </w:r>
      <w:r w:rsidRPr="002A65C3">
        <w:t xml:space="preserve">and from </w:t>
      </w:r>
      <w:r>
        <w:t>aid funding</w:t>
      </w:r>
      <w:r w:rsidRPr="002A65C3">
        <w:t xml:space="preserve"> to a post-aid development partnership. </w:t>
      </w:r>
      <w:r>
        <w:t>A</w:t>
      </w:r>
      <w:r w:rsidRPr="002A65C3">
        <w:t xml:space="preserve"> number of donors </w:t>
      </w:r>
      <w:r>
        <w:t xml:space="preserve">have </w:t>
      </w:r>
      <w:r w:rsidRPr="002A65C3">
        <w:t>ceas</w:t>
      </w:r>
      <w:r>
        <w:t>ed</w:t>
      </w:r>
      <w:r w:rsidRPr="002A65C3">
        <w:t xml:space="preserve"> bilateral </w:t>
      </w:r>
      <w:r>
        <w:t xml:space="preserve">aid </w:t>
      </w:r>
      <w:r w:rsidRPr="002A65C3">
        <w:t xml:space="preserve">support in recent years or </w:t>
      </w:r>
      <w:r>
        <w:t xml:space="preserve">have </w:t>
      </w:r>
      <w:r w:rsidRPr="002A65C3">
        <w:t>plans to do so in coming years.</w:t>
      </w:r>
      <w:r>
        <w:t xml:space="preserve"> The multilateral development banks are transitioning away from highly concessional loans. The Government of Vietnam is also changing its focus to improving skills and knowledge in areas where it is working on reform.</w:t>
      </w:r>
    </w:p>
    <w:p w:rsidR="000D733F" w:rsidRPr="00ED6B0D" w:rsidRDefault="004F7AEA" w:rsidP="000D733F">
      <w:pPr>
        <w:pStyle w:val="Heading2"/>
        <w:rPr>
          <w:sz w:val="28"/>
        </w:rPr>
      </w:pPr>
      <w:r>
        <w:rPr>
          <w:sz w:val="28"/>
        </w:rPr>
        <w:t>The Australian aid program</w:t>
      </w:r>
    </w:p>
    <w:p w:rsidR="0083217B" w:rsidRDefault="00BA495F" w:rsidP="0083217B">
      <w:pPr>
        <w:pStyle w:val="BodyText"/>
      </w:pPr>
      <w:r>
        <w:t>Australia implements its aid program in Vietnam in close cooperation with the Government of Vietnam, multilateral and bilateral donors, and non-government organisations</w:t>
      </w:r>
      <w:r w:rsidR="00E57B89">
        <w:t xml:space="preserve"> (NGOs)</w:t>
      </w:r>
      <w:r>
        <w:t xml:space="preserve">. </w:t>
      </w:r>
      <w:r w:rsidR="00C46E4E">
        <w:t xml:space="preserve">Within the Australian Government, </w:t>
      </w:r>
      <w:r w:rsidR="00DB0A05">
        <w:t xml:space="preserve">DFAT leads the aid delivery through bilateral, regional and global programs implemented in Vietnam. </w:t>
      </w:r>
      <w:r>
        <w:t>The bilateral program for the financial year 2014-15 was $116.8 million</w:t>
      </w:r>
      <w:r w:rsidR="0017082E">
        <w:t>. In addition to the bilateral program, expenditure by regional and global programs was $36.6 million</w:t>
      </w:r>
      <w:r w:rsidR="00DB0A05">
        <w:t>. Other Australian Government</w:t>
      </w:r>
      <w:r w:rsidR="00C46E4E">
        <w:t xml:space="preserve"> Departments spent</w:t>
      </w:r>
      <w:r w:rsidR="00DB0A05">
        <w:t xml:space="preserve"> </w:t>
      </w:r>
      <w:r w:rsidR="0017082E">
        <w:t>$7.3 million</w:t>
      </w:r>
      <w:r w:rsidR="00730CE3">
        <w:t>,</w:t>
      </w:r>
      <w:r w:rsidR="00385E6A">
        <w:t xml:space="preserve"> bringing the total ODA to $160.</w:t>
      </w:r>
      <w:r w:rsidR="004F7AEA">
        <w:t>8</w:t>
      </w:r>
      <w:r w:rsidR="00385E6A">
        <w:t xml:space="preserve"> million</w:t>
      </w:r>
      <w:r w:rsidR="00DB0A05">
        <w:t xml:space="preserve"> in 2014-15</w:t>
      </w:r>
      <w:r w:rsidR="0017082E">
        <w:t>. Table 1 outlines the expenditure by objective.</w:t>
      </w:r>
    </w:p>
    <w:p w:rsidR="0083217B" w:rsidRDefault="0083217B">
      <w:pPr>
        <w:spacing w:after="200" w:line="276" w:lineRule="auto"/>
        <w:rPr>
          <w:rFonts w:ascii="Franklin Gothic Book" w:eastAsia="Times New Roman" w:hAnsi="Franklin Gothic Book"/>
          <w:sz w:val="21"/>
        </w:rPr>
      </w:pPr>
      <w:r>
        <w:br w:type="page"/>
      </w:r>
    </w:p>
    <w:p w:rsidR="002A65C3" w:rsidRDefault="00A1506D" w:rsidP="002A65C3">
      <w:pPr>
        <w:pStyle w:val="Caption"/>
        <w:keepLines/>
      </w:pPr>
      <w:bookmarkStart w:id="2" w:name="_Toc373853206"/>
      <w:r w:rsidRPr="0019341B">
        <w:rPr>
          <w:noProof/>
        </w:rPr>
        <w:lastRenderedPageBreak/>
        <w:drawing>
          <wp:anchor distT="0" distB="0" distL="114300" distR="114300" simplePos="1" relativeHeight="251676671" behindDoc="0" locked="0" layoutInCell="1" allowOverlap="1" wp14:anchorId="29CB1313" wp14:editId="6EA7844F">
            <wp:simplePos x="0" y="371"/>
            <wp:positionH relativeFrom="column">
              <wp:posOffset>0</wp:posOffset>
            </wp:positionH>
            <wp:positionV relativeFrom="paragraph">
              <wp:posOffset>0</wp:posOffset>
            </wp:positionV>
            <wp:extent cx="1857375" cy="228600"/>
            <wp:effectExtent l="266700" t="285750" r="295275" b="30480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2A65C3" w:rsidRPr="005901D2">
        <w:t xml:space="preserve">Table </w:t>
      </w:r>
      <w:fldSimple w:instr=" SEQ Table \* ARABIC ">
        <w:r w:rsidR="005E56EA">
          <w:rPr>
            <w:noProof/>
          </w:rPr>
          <w:t>1</w:t>
        </w:r>
      </w:fldSimple>
      <w:r w:rsidR="002A65C3" w:rsidRPr="005901D2">
        <w:t xml:space="preserve"> </w:t>
      </w:r>
      <w:r w:rsidR="002A65C3">
        <w:t>Total ODA Expenditure in FY 2014-15</w:t>
      </w:r>
    </w:p>
    <w:tbl>
      <w:tblPr>
        <w:tblW w:w="8364" w:type="dxa"/>
        <w:tblInd w:w="108" w:type="dxa"/>
        <w:tblLook w:val="04A0" w:firstRow="1" w:lastRow="0" w:firstColumn="1" w:lastColumn="0" w:noHBand="0" w:noVBand="1"/>
        <w:tblCaption w:val="Table 1 Total ODA Expenditure in FY 2014-15"/>
        <w:tblDescription w:val="Table provides the amount of funding expensed by aid objective, regional and global programs, and other government departments, providing both dollar amounts and the percentage of overall ODA this represents."/>
      </w:tblPr>
      <w:tblGrid>
        <w:gridCol w:w="4080"/>
        <w:gridCol w:w="1960"/>
        <w:gridCol w:w="2324"/>
      </w:tblGrid>
      <w:tr w:rsidR="002A65C3" w:rsidTr="00F1413A">
        <w:trPr>
          <w:trHeight w:val="315"/>
        </w:trPr>
        <w:tc>
          <w:tcPr>
            <w:tcW w:w="4080" w:type="dxa"/>
            <w:tcBorders>
              <w:top w:val="single" w:sz="12" w:space="0" w:color="auto"/>
              <w:left w:val="nil"/>
              <w:bottom w:val="nil"/>
              <w:right w:val="nil"/>
            </w:tcBorders>
            <w:shd w:val="clear" w:color="auto" w:fill="auto"/>
            <w:vAlign w:val="center"/>
            <w:hideMark/>
          </w:tcPr>
          <w:p w:rsidR="002A65C3" w:rsidRDefault="002A65C3" w:rsidP="008F6E08">
            <w:pPr>
              <w:rPr>
                <w:rFonts w:ascii="Franklin Gothic Book" w:hAnsi="Franklin Gothic Book" w:cs="Calibri"/>
                <w:b/>
                <w:bCs/>
                <w:color w:val="000000"/>
                <w:sz w:val="17"/>
                <w:szCs w:val="17"/>
              </w:rPr>
            </w:pPr>
            <w:r>
              <w:rPr>
                <w:rFonts w:ascii="Franklin Gothic Book" w:hAnsi="Franklin Gothic Book" w:cs="Calibri"/>
                <w:b/>
                <w:bCs/>
                <w:color w:val="000000"/>
                <w:sz w:val="17"/>
                <w:szCs w:val="17"/>
              </w:rPr>
              <w:t>Objective</w:t>
            </w:r>
          </w:p>
        </w:tc>
        <w:tc>
          <w:tcPr>
            <w:tcW w:w="1960" w:type="dxa"/>
            <w:tcBorders>
              <w:top w:val="single" w:sz="12" w:space="0" w:color="auto"/>
              <w:left w:val="nil"/>
              <w:bottom w:val="nil"/>
              <w:right w:val="nil"/>
            </w:tcBorders>
            <w:shd w:val="clear" w:color="auto" w:fill="auto"/>
            <w:vAlign w:val="center"/>
            <w:hideMark/>
          </w:tcPr>
          <w:p w:rsidR="002A65C3" w:rsidRDefault="002A65C3" w:rsidP="00C244A9">
            <w:pPr>
              <w:rPr>
                <w:rFonts w:ascii="Franklin Gothic Book" w:hAnsi="Franklin Gothic Book" w:cs="Calibri"/>
                <w:b/>
                <w:bCs/>
                <w:color w:val="000000"/>
                <w:sz w:val="17"/>
                <w:szCs w:val="17"/>
              </w:rPr>
            </w:pPr>
            <w:r>
              <w:rPr>
                <w:rFonts w:ascii="Franklin Gothic Book" w:hAnsi="Franklin Gothic Book" w:cs="Calibri"/>
                <w:b/>
                <w:bCs/>
                <w:color w:val="000000"/>
                <w:sz w:val="17"/>
                <w:szCs w:val="17"/>
              </w:rPr>
              <w:t>A$ million</w:t>
            </w:r>
          </w:p>
        </w:tc>
        <w:tc>
          <w:tcPr>
            <w:tcW w:w="2324" w:type="dxa"/>
            <w:tcBorders>
              <w:top w:val="single" w:sz="12" w:space="0" w:color="auto"/>
              <w:left w:val="nil"/>
              <w:bottom w:val="nil"/>
              <w:right w:val="nil"/>
            </w:tcBorders>
            <w:shd w:val="clear" w:color="auto" w:fill="auto"/>
            <w:vAlign w:val="center"/>
            <w:hideMark/>
          </w:tcPr>
          <w:p w:rsidR="002A65C3" w:rsidRDefault="00B36DAA" w:rsidP="008F6E08">
            <w:pPr>
              <w:rPr>
                <w:rFonts w:ascii="Franklin Gothic Book" w:hAnsi="Franklin Gothic Book" w:cs="Calibri"/>
                <w:b/>
                <w:bCs/>
                <w:color w:val="000000"/>
                <w:sz w:val="17"/>
                <w:szCs w:val="17"/>
              </w:rPr>
            </w:pPr>
            <w:r>
              <w:rPr>
                <w:rFonts w:ascii="Franklin Gothic Book" w:hAnsi="Franklin Gothic Book" w:cs="Calibri"/>
                <w:b/>
                <w:bCs/>
                <w:color w:val="000000"/>
                <w:sz w:val="17"/>
                <w:szCs w:val="17"/>
              </w:rPr>
              <w:t>percent</w:t>
            </w:r>
            <w:r w:rsidR="00675137">
              <w:rPr>
                <w:rFonts w:ascii="Franklin Gothic Book" w:hAnsi="Franklin Gothic Book" w:cs="Calibri"/>
                <w:b/>
                <w:bCs/>
                <w:color w:val="000000"/>
                <w:sz w:val="17"/>
                <w:szCs w:val="17"/>
              </w:rPr>
              <w:t>age</w:t>
            </w:r>
            <w:r w:rsidR="002A65C3">
              <w:rPr>
                <w:rFonts w:ascii="Franklin Gothic Book" w:hAnsi="Franklin Gothic Book" w:cs="Calibri"/>
                <w:b/>
                <w:bCs/>
                <w:color w:val="000000"/>
                <w:sz w:val="17"/>
                <w:szCs w:val="17"/>
              </w:rPr>
              <w:t xml:space="preserve"> of total ODA</w:t>
            </w:r>
          </w:p>
        </w:tc>
      </w:tr>
      <w:tr w:rsidR="002A65C3" w:rsidTr="00F1413A">
        <w:trPr>
          <w:trHeight w:val="210"/>
        </w:trPr>
        <w:tc>
          <w:tcPr>
            <w:tcW w:w="4080" w:type="dxa"/>
            <w:tcBorders>
              <w:top w:val="nil"/>
              <w:left w:val="nil"/>
              <w:bottom w:val="nil"/>
              <w:right w:val="nil"/>
            </w:tcBorders>
            <w:shd w:val="clear" w:color="auto" w:fill="auto"/>
            <w:vAlign w:val="center"/>
            <w:hideMark/>
          </w:tcPr>
          <w:p w:rsidR="002A65C3" w:rsidRDefault="002A65C3" w:rsidP="008F6E08">
            <w:pPr>
              <w:rPr>
                <w:rFonts w:ascii="Franklin Gothic Book" w:hAnsi="Franklin Gothic Book" w:cs="Calibri"/>
                <w:b/>
                <w:bCs/>
                <w:i/>
                <w:iCs/>
                <w:color w:val="000000"/>
                <w:sz w:val="17"/>
                <w:szCs w:val="17"/>
              </w:rPr>
            </w:pPr>
            <w:r>
              <w:rPr>
                <w:rFonts w:ascii="Franklin Gothic Book" w:hAnsi="Franklin Gothic Book" w:cs="Calibri"/>
                <w:b/>
                <w:bCs/>
                <w:i/>
                <w:iCs/>
                <w:color w:val="000000"/>
                <w:sz w:val="17"/>
                <w:szCs w:val="17"/>
              </w:rPr>
              <w:t xml:space="preserve">Bilateral </w:t>
            </w:r>
          </w:p>
        </w:tc>
        <w:tc>
          <w:tcPr>
            <w:tcW w:w="1960" w:type="dxa"/>
            <w:tcBorders>
              <w:top w:val="nil"/>
              <w:left w:val="nil"/>
              <w:bottom w:val="nil"/>
              <w:right w:val="nil"/>
            </w:tcBorders>
            <w:shd w:val="clear" w:color="auto" w:fill="auto"/>
            <w:vAlign w:val="center"/>
            <w:hideMark/>
          </w:tcPr>
          <w:p w:rsidR="002A65C3" w:rsidRDefault="002A65C3" w:rsidP="00C244A9">
            <w:pPr>
              <w:rPr>
                <w:rFonts w:ascii="Franklin Gothic Book" w:hAnsi="Franklin Gothic Book" w:cs="Calibri"/>
                <w:b/>
                <w:bCs/>
                <w:color w:val="000000"/>
                <w:sz w:val="17"/>
                <w:szCs w:val="17"/>
              </w:rPr>
            </w:pPr>
          </w:p>
        </w:tc>
        <w:tc>
          <w:tcPr>
            <w:tcW w:w="2324" w:type="dxa"/>
            <w:tcBorders>
              <w:top w:val="nil"/>
              <w:left w:val="nil"/>
              <w:bottom w:val="nil"/>
              <w:right w:val="nil"/>
            </w:tcBorders>
            <w:shd w:val="clear" w:color="auto" w:fill="auto"/>
            <w:vAlign w:val="center"/>
            <w:hideMark/>
          </w:tcPr>
          <w:p w:rsidR="002A65C3" w:rsidRDefault="002A65C3" w:rsidP="008F6E08">
            <w:pPr>
              <w:rPr>
                <w:rFonts w:ascii="Franklin Gothic Book" w:hAnsi="Franklin Gothic Book" w:cs="Calibri"/>
                <w:b/>
                <w:bCs/>
                <w:color w:val="000000"/>
                <w:sz w:val="17"/>
                <w:szCs w:val="17"/>
              </w:rPr>
            </w:pPr>
          </w:p>
        </w:tc>
      </w:tr>
      <w:tr w:rsidR="002A65C3" w:rsidTr="00F1413A">
        <w:trPr>
          <w:trHeight w:val="510"/>
        </w:trPr>
        <w:tc>
          <w:tcPr>
            <w:tcW w:w="4080" w:type="dxa"/>
            <w:tcBorders>
              <w:top w:val="nil"/>
              <w:left w:val="nil"/>
              <w:bottom w:val="nil"/>
              <w:right w:val="nil"/>
            </w:tcBorders>
            <w:shd w:val="clear" w:color="auto" w:fill="auto"/>
            <w:vAlign w:val="center"/>
            <w:hideMark/>
          </w:tcPr>
          <w:p w:rsidR="002A65C3" w:rsidRDefault="002A65C3" w:rsidP="008F6E08">
            <w:pPr>
              <w:rPr>
                <w:rFonts w:ascii="Franklin Gothic Book" w:hAnsi="Franklin Gothic Book" w:cs="Calibri"/>
                <w:color w:val="000000"/>
                <w:sz w:val="17"/>
                <w:szCs w:val="17"/>
              </w:rPr>
            </w:pPr>
            <w:r>
              <w:rPr>
                <w:rFonts w:ascii="Franklin Gothic Book" w:hAnsi="Franklin Gothic Book" w:cs="Calibri"/>
                <w:color w:val="000000"/>
                <w:sz w:val="17"/>
                <w:szCs w:val="17"/>
              </w:rPr>
              <w:t>Objective 1: Improve the quality of Vietnam's human resources</w:t>
            </w:r>
          </w:p>
        </w:tc>
        <w:tc>
          <w:tcPr>
            <w:tcW w:w="1960" w:type="dxa"/>
            <w:tcBorders>
              <w:top w:val="nil"/>
              <w:left w:val="nil"/>
              <w:bottom w:val="nil"/>
              <w:right w:val="nil"/>
            </w:tcBorders>
            <w:shd w:val="clear" w:color="auto" w:fill="auto"/>
            <w:vAlign w:val="center"/>
            <w:hideMark/>
          </w:tcPr>
          <w:p w:rsidR="002A65C3" w:rsidRDefault="002A65C3" w:rsidP="00C244A9">
            <w:pPr>
              <w:rPr>
                <w:rFonts w:ascii="Franklin Gothic Book" w:hAnsi="Franklin Gothic Book" w:cs="Calibri"/>
                <w:color w:val="000000"/>
                <w:sz w:val="17"/>
                <w:szCs w:val="17"/>
              </w:rPr>
            </w:pPr>
            <w:r>
              <w:rPr>
                <w:rFonts w:ascii="Franklin Gothic Book" w:hAnsi="Franklin Gothic Book" w:cs="Calibri"/>
                <w:color w:val="000000"/>
                <w:sz w:val="17"/>
                <w:szCs w:val="17"/>
              </w:rPr>
              <w:t>$32</w:t>
            </w:r>
            <w:r w:rsidR="00385E6A">
              <w:rPr>
                <w:rFonts w:ascii="Franklin Gothic Book" w:hAnsi="Franklin Gothic Book" w:cs="Calibri"/>
                <w:color w:val="000000"/>
                <w:sz w:val="17"/>
                <w:szCs w:val="17"/>
              </w:rPr>
              <w:t>.5</w:t>
            </w:r>
          </w:p>
        </w:tc>
        <w:tc>
          <w:tcPr>
            <w:tcW w:w="2324" w:type="dxa"/>
            <w:tcBorders>
              <w:top w:val="nil"/>
              <w:left w:val="nil"/>
              <w:bottom w:val="nil"/>
              <w:right w:val="nil"/>
            </w:tcBorders>
            <w:shd w:val="clear" w:color="auto" w:fill="auto"/>
            <w:vAlign w:val="center"/>
            <w:hideMark/>
          </w:tcPr>
          <w:p w:rsidR="002A65C3" w:rsidRDefault="002A65C3" w:rsidP="00F1413A">
            <w:pPr>
              <w:rPr>
                <w:rFonts w:ascii="Franklin Gothic Book" w:hAnsi="Franklin Gothic Book" w:cs="Calibri"/>
                <w:color w:val="000000"/>
                <w:sz w:val="17"/>
                <w:szCs w:val="17"/>
              </w:rPr>
            </w:pPr>
            <w:r>
              <w:rPr>
                <w:rFonts w:ascii="Franklin Gothic Book" w:hAnsi="Franklin Gothic Book" w:cs="Calibri"/>
                <w:color w:val="000000"/>
                <w:sz w:val="17"/>
                <w:szCs w:val="17"/>
              </w:rPr>
              <w:t>20</w:t>
            </w:r>
          </w:p>
        </w:tc>
      </w:tr>
      <w:tr w:rsidR="002A65C3" w:rsidTr="00F1413A">
        <w:trPr>
          <w:trHeight w:val="510"/>
        </w:trPr>
        <w:tc>
          <w:tcPr>
            <w:tcW w:w="4080" w:type="dxa"/>
            <w:tcBorders>
              <w:top w:val="nil"/>
              <w:left w:val="nil"/>
              <w:bottom w:val="nil"/>
              <w:right w:val="nil"/>
            </w:tcBorders>
            <w:shd w:val="clear" w:color="auto" w:fill="auto"/>
            <w:vAlign w:val="center"/>
            <w:hideMark/>
          </w:tcPr>
          <w:p w:rsidR="002A65C3" w:rsidRDefault="002A65C3" w:rsidP="008F6E08">
            <w:pPr>
              <w:rPr>
                <w:rFonts w:ascii="Franklin Gothic Book" w:hAnsi="Franklin Gothic Book" w:cs="Calibri"/>
                <w:color w:val="000000"/>
                <w:sz w:val="17"/>
                <w:szCs w:val="17"/>
              </w:rPr>
            </w:pPr>
            <w:r>
              <w:rPr>
                <w:rFonts w:ascii="Franklin Gothic Book" w:hAnsi="Franklin Gothic Book" w:cs="Calibri"/>
                <w:color w:val="000000"/>
                <w:sz w:val="17"/>
                <w:szCs w:val="17"/>
              </w:rPr>
              <w:t>Objective 2: Develop better transport infrastructure and policy to support economic integration</w:t>
            </w:r>
          </w:p>
        </w:tc>
        <w:tc>
          <w:tcPr>
            <w:tcW w:w="1960" w:type="dxa"/>
            <w:tcBorders>
              <w:top w:val="nil"/>
              <w:left w:val="nil"/>
              <w:bottom w:val="nil"/>
              <w:right w:val="nil"/>
            </w:tcBorders>
            <w:shd w:val="clear" w:color="auto" w:fill="auto"/>
            <w:vAlign w:val="center"/>
            <w:hideMark/>
          </w:tcPr>
          <w:p w:rsidR="002A65C3" w:rsidRDefault="002A65C3" w:rsidP="00C244A9">
            <w:pPr>
              <w:rPr>
                <w:rFonts w:ascii="Franklin Gothic Book" w:hAnsi="Franklin Gothic Book" w:cs="Calibri"/>
                <w:color w:val="000000"/>
                <w:sz w:val="17"/>
                <w:szCs w:val="17"/>
              </w:rPr>
            </w:pPr>
            <w:r>
              <w:rPr>
                <w:rFonts w:ascii="Franklin Gothic Book" w:hAnsi="Franklin Gothic Book" w:cs="Calibri"/>
                <w:color w:val="000000"/>
                <w:sz w:val="17"/>
                <w:szCs w:val="17"/>
              </w:rPr>
              <w:t>$56</w:t>
            </w:r>
            <w:r w:rsidR="00385E6A">
              <w:rPr>
                <w:rFonts w:ascii="Franklin Gothic Book" w:hAnsi="Franklin Gothic Book" w:cs="Calibri"/>
                <w:color w:val="000000"/>
                <w:sz w:val="17"/>
                <w:szCs w:val="17"/>
              </w:rPr>
              <w:t>.3</w:t>
            </w:r>
          </w:p>
        </w:tc>
        <w:tc>
          <w:tcPr>
            <w:tcW w:w="2324" w:type="dxa"/>
            <w:tcBorders>
              <w:top w:val="nil"/>
              <w:left w:val="nil"/>
              <w:bottom w:val="nil"/>
              <w:right w:val="nil"/>
            </w:tcBorders>
            <w:shd w:val="clear" w:color="auto" w:fill="auto"/>
            <w:vAlign w:val="center"/>
            <w:hideMark/>
          </w:tcPr>
          <w:p w:rsidR="002A65C3" w:rsidRDefault="002A65C3" w:rsidP="00F1413A">
            <w:pPr>
              <w:rPr>
                <w:rFonts w:ascii="Franklin Gothic Book" w:hAnsi="Franklin Gothic Book" w:cs="Calibri"/>
                <w:color w:val="000000"/>
                <w:sz w:val="17"/>
                <w:szCs w:val="17"/>
              </w:rPr>
            </w:pPr>
            <w:r>
              <w:rPr>
                <w:rFonts w:ascii="Franklin Gothic Book" w:hAnsi="Franklin Gothic Book" w:cs="Calibri"/>
                <w:color w:val="000000"/>
                <w:sz w:val="17"/>
                <w:szCs w:val="17"/>
              </w:rPr>
              <w:t>35</w:t>
            </w:r>
          </w:p>
        </w:tc>
      </w:tr>
      <w:tr w:rsidR="002A65C3" w:rsidTr="00F1413A">
        <w:trPr>
          <w:trHeight w:val="510"/>
        </w:trPr>
        <w:tc>
          <w:tcPr>
            <w:tcW w:w="4080" w:type="dxa"/>
            <w:tcBorders>
              <w:top w:val="nil"/>
              <w:left w:val="nil"/>
              <w:bottom w:val="nil"/>
              <w:right w:val="nil"/>
            </w:tcBorders>
            <w:shd w:val="clear" w:color="auto" w:fill="auto"/>
            <w:vAlign w:val="center"/>
            <w:hideMark/>
          </w:tcPr>
          <w:p w:rsidR="002A65C3" w:rsidRDefault="002A65C3" w:rsidP="008F6E08">
            <w:pPr>
              <w:rPr>
                <w:rFonts w:ascii="Franklin Gothic Book" w:hAnsi="Franklin Gothic Book" w:cs="Calibri"/>
                <w:color w:val="000000"/>
                <w:sz w:val="17"/>
                <w:szCs w:val="17"/>
              </w:rPr>
            </w:pPr>
            <w:r>
              <w:rPr>
                <w:rFonts w:ascii="Franklin Gothic Book" w:hAnsi="Franklin Gothic Book" w:cs="Calibri"/>
                <w:color w:val="000000"/>
                <w:sz w:val="17"/>
                <w:szCs w:val="17"/>
              </w:rPr>
              <w:t>Objective 3: Increase rural access to clean water and hygienic sanitation</w:t>
            </w:r>
          </w:p>
        </w:tc>
        <w:tc>
          <w:tcPr>
            <w:tcW w:w="1960" w:type="dxa"/>
            <w:tcBorders>
              <w:top w:val="nil"/>
              <w:left w:val="nil"/>
              <w:bottom w:val="nil"/>
              <w:right w:val="nil"/>
            </w:tcBorders>
            <w:shd w:val="clear" w:color="auto" w:fill="auto"/>
            <w:vAlign w:val="center"/>
            <w:hideMark/>
          </w:tcPr>
          <w:p w:rsidR="002A65C3" w:rsidRDefault="002A65C3" w:rsidP="00C244A9">
            <w:pPr>
              <w:rPr>
                <w:rFonts w:ascii="Franklin Gothic Book" w:hAnsi="Franklin Gothic Book" w:cs="Calibri"/>
                <w:color w:val="000000"/>
                <w:sz w:val="17"/>
                <w:szCs w:val="17"/>
              </w:rPr>
            </w:pPr>
            <w:r>
              <w:rPr>
                <w:rFonts w:ascii="Franklin Gothic Book" w:hAnsi="Franklin Gothic Book" w:cs="Calibri"/>
                <w:color w:val="000000"/>
                <w:sz w:val="17"/>
                <w:szCs w:val="17"/>
              </w:rPr>
              <w:t>$15</w:t>
            </w:r>
            <w:r w:rsidR="00385E6A">
              <w:rPr>
                <w:rFonts w:ascii="Franklin Gothic Book" w:hAnsi="Franklin Gothic Book" w:cs="Calibri"/>
                <w:color w:val="000000"/>
                <w:sz w:val="17"/>
                <w:szCs w:val="17"/>
              </w:rPr>
              <w:t>.5</w:t>
            </w:r>
          </w:p>
        </w:tc>
        <w:tc>
          <w:tcPr>
            <w:tcW w:w="2324" w:type="dxa"/>
            <w:tcBorders>
              <w:top w:val="nil"/>
              <w:left w:val="nil"/>
              <w:bottom w:val="nil"/>
              <w:right w:val="nil"/>
            </w:tcBorders>
            <w:shd w:val="clear" w:color="auto" w:fill="auto"/>
            <w:vAlign w:val="center"/>
            <w:hideMark/>
          </w:tcPr>
          <w:p w:rsidR="002A65C3" w:rsidRDefault="002A65C3" w:rsidP="00F1413A">
            <w:pPr>
              <w:rPr>
                <w:rFonts w:ascii="Franklin Gothic Book" w:hAnsi="Franklin Gothic Book" w:cs="Calibri"/>
                <w:color w:val="000000"/>
                <w:sz w:val="17"/>
                <w:szCs w:val="17"/>
              </w:rPr>
            </w:pPr>
            <w:r>
              <w:rPr>
                <w:rFonts w:ascii="Franklin Gothic Book" w:hAnsi="Franklin Gothic Book" w:cs="Calibri"/>
                <w:color w:val="000000"/>
                <w:sz w:val="17"/>
                <w:szCs w:val="17"/>
              </w:rPr>
              <w:t>10</w:t>
            </w:r>
          </w:p>
        </w:tc>
      </w:tr>
      <w:tr w:rsidR="002A65C3" w:rsidTr="00F1413A">
        <w:trPr>
          <w:trHeight w:val="510"/>
        </w:trPr>
        <w:tc>
          <w:tcPr>
            <w:tcW w:w="4080" w:type="dxa"/>
            <w:tcBorders>
              <w:top w:val="nil"/>
              <w:left w:val="nil"/>
              <w:bottom w:val="nil"/>
              <w:right w:val="nil"/>
            </w:tcBorders>
            <w:shd w:val="clear" w:color="auto" w:fill="auto"/>
            <w:vAlign w:val="center"/>
            <w:hideMark/>
          </w:tcPr>
          <w:p w:rsidR="002A65C3" w:rsidRDefault="002A65C3" w:rsidP="008F6E08">
            <w:pPr>
              <w:rPr>
                <w:rFonts w:ascii="Franklin Gothic Book" w:hAnsi="Franklin Gothic Book" w:cs="Calibri"/>
                <w:color w:val="000000"/>
                <w:sz w:val="17"/>
                <w:szCs w:val="17"/>
              </w:rPr>
            </w:pPr>
            <w:r>
              <w:rPr>
                <w:rFonts w:ascii="Franklin Gothic Book" w:hAnsi="Franklin Gothic Book" w:cs="Calibri"/>
                <w:color w:val="000000"/>
                <w:sz w:val="17"/>
                <w:szCs w:val="17"/>
              </w:rPr>
              <w:t>Objective 4: Advance climate change adaptation and mitigation, focusing on the Mekong Delta</w:t>
            </w:r>
          </w:p>
        </w:tc>
        <w:tc>
          <w:tcPr>
            <w:tcW w:w="1960" w:type="dxa"/>
            <w:tcBorders>
              <w:top w:val="nil"/>
              <w:left w:val="nil"/>
              <w:bottom w:val="nil"/>
              <w:right w:val="nil"/>
            </w:tcBorders>
            <w:shd w:val="clear" w:color="auto" w:fill="auto"/>
            <w:vAlign w:val="center"/>
            <w:hideMark/>
          </w:tcPr>
          <w:p w:rsidR="002A65C3" w:rsidRDefault="002A65C3" w:rsidP="00C244A9">
            <w:pPr>
              <w:rPr>
                <w:rFonts w:ascii="Franklin Gothic Book" w:hAnsi="Franklin Gothic Book" w:cs="Calibri"/>
                <w:color w:val="000000"/>
                <w:sz w:val="17"/>
                <w:szCs w:val="17"/>
              </w:rPr>
            </w:pPr>
            <w:r>
              <w:rPr>
                <w:rFonts w:ascii="Franklin Gothic Book" w:hAnsi="Franklin Gothic Book" w:cs="Calibri"/>
                <w:color w:val="000000"/>
                <w:sz w:val="17"/>
                <w:szCs w:val="17"/>
              </w:rPr>
              <w:t>$3</w:t>
            </w:r>
            <w:r w:rsidR="00385E6A">
              <w:rPr>
                <w:rFonts w:ascii="Franklin Gothic Book" w:hAnsi="Franklin Gothic Book" w:cs="Calibri"/>
                <w:color w:val="000000"/>
                <w:sz w:val="17"/>
                <w:szCs w:val="17"/>
              </w:rPr>
              <w:t>.8</w:t>
            </w:r>
          </w:p>
        </w:tc>
        <w:tc>
          <w:tcPr>
            <w:tcW w:w="2324" w:type="dxa"/>
            <w:tcBorders>
              <w:top w:val="nil"/>
              <w:left w:val="nil"/>
              <w:bottom w:val="nil"/>
              <w:right w:val="nil"/>
            </w:tcBorders>
            <w:shd w:val="clear" w:color="auto" w:fill="auto"/>
            <w:vAlign w:val="center"/>
            <w:hideMark/>
          </w:tcPr>
          <w:p w:rsidR="002A65C3" w:rsidRDefault="002A65C3" w:rsidP="00F1413A">
            <w:pPr>
              <w:rPr>
                <w:rFonts w:ascii="Franklin Gothic Book" w:hAnsi="Franklin Gothic Book" w:cs="Calibri"/>
                <w:color w:val="000000"/>
                <w:sz w:val="17"/>
                <w:szCs w:val="17"/>
              </w:rPr>
            </w:pPr>
            <w:r>
              <w:rPr>
                <w:rFonts w:ascii="Franklin Gothic Book" w:hAnsi="Franklin Gothic Book" w:cs="Calibri"/>
                <w:color w:val="000000"/>
                <w:sz w:val="17"/>
                <w:szCs w:val="17"/>
              </w:rPr>
              <w:t>2</w:t>
            </w:r>
          </w:p>
        </w:tc>
      </w:tr>
      <w:tr w:rsidR="002A65C3" w:rsidTr="00F1413A">
        <w:trPr>
          <w:trHeight w:val="300"/>
        </w:trPr>
        <w:tc>
          <w:tcPr>
            <w:tcW w:w="4080" w:type="dxa"/>
            <w:tcBorders>
              <w:top w:val="nil"/>
              <w:left w:val="nil"/>
              <w:bottom w:val="nil"/>
              <w:right w:val="nil"/>
            </w:tcBorders>
            <w:shd w:val="clear" w:color="auto" w:fill="auto"/>
            <w:vAlign w:val="center"/>
            <w:hideMark/>
          </w:tcPr>
          <w:p w:rsidR="002A65C3" w:rsidRDefault="002A65C3" w:rsidP="008F6E08">
            <w:pPr>
              <w:rPr>
                <w:rFonts w:ascii="Franklin Gothic Book" w:hAnsi="Franklin Gothic Book" w:cs="Calibri"/>
                <w:color w:val="000000"/>
                <w:sz w:val="17"/>
                <w:szCs w:val="17"/>
              </w:rPr>
            </w:pPr>
            <w:r>
              <w:rPr>
                <w:rFonts w:ascii="Franklin Gothic Book" w:hAnsi="Franklin Gothic Book" w:cs="Calibri"/>
                <w:color w:val="000000"/>
                <w:sz w:val="17"/>
                <w:szCs w:val="17"/>
              </w:rPr>
              <w:t>Other cross</w:t>
            </w:r>
            <w:r w:rsidR="00911113">
              <w:rPr>
                <w:rFonts w:ascii="Franklin Gothic Book" w:hAnsi="Franklin Gothic Book" w:cs="Calibri"/>
                <w:color w:val="000000"/>
                <w:sz w:val="17"/>
                <w:szCs w:val="17"/>
              </w:rPr>
              <w:t>-</w:t>
            </w:r>
            <w:r>
              <w:rPr>
                <w:rFonts w:ascii="Franklin Gothic Book" w:hAnsi="Franklin Gothic Book" w:cs="Calibri"/>
                <w:color w:val="000000"/>
                <w:sz w:val="17"/>
                <w:szCs w:val="17"/>
              </w:rPr>
              <w:t>cutting investment</w:t>
            </w:r>
            <w:r w:rsidR="00385E6A">
              <w:rPr>
                <w:rFonts w:ascii="Franklin Gothic Book" w:hAnsi="Franklin Gothic Book" w:cs="Calibri"/>
                <w:color w:val="000000"/>
                <w:sz w:val="17"/>
                <w:szCs w:val="17"/>
              </w:rPr>
              <w:t>s</w:t>
            </w:r>
            <w:r>
              <w:rPr>
                <w:rFonts w:ascii="Franklin Gothic Book" w:hAnsi="Franklin Gothic Book" w:cs="Calibri"/>
                <w:color w:val="000000"/>
                <w:sz w:val="17"/>
                <w:szCs w:val="17"/>
              </w:rPr>
              <w:t xml:space="preserve"> and operation</w:t>
            </w:r>
            <w:r w:rsidR="00385E6A">
              <w:rPr>
                <w:rFonts w:ascii="Franklin Gothic Book" w:hAnsi="Franklin Gothic Book" w:cs="Calibri"/>
                <w:color w:val="000000"/>
                <w:sz w:val="17"/>
                <w:szCs w:val="17"/>
              </w:rPr>
              <w:t>s</w:t>
            </w:r>
          </w:p>
        </w:tc>
        <w:tc>
          <w:tcPr>
            <w:tcW w:w="1960" w:type="dxa"/>
            <w:tcBorders>
              <w:top w:val="nil"/>
              <w:left w:val="nil"/>
              <w:bottom w:val="nil"/>
              <w:right w:val="nil"/>
            </w:tcBorders>
            <w:shd w:val="clear" w:color="auto" w:fill="auto"/>
            <w:vAlign w:val="center"/>
            <w:hideMark/>
          </w:tcPr>
          <w:p w:rsidR="002A65C3" w:rsidRDefault="002A65C3" w:rsidP="00C244A9">
            <w:pPr>
              <w:rPr>
                <w:rFonts w:ascii="Franklin Gothic Book" w:hAnsi="Franklin Gothic Book" w:cs="Calibri"/>
                <w:color w:val="000000"/>
                <w:sz w:val="17"/>
                <w:szCs w:val="17"/>
              </w:rPr>
            </w:pPr>
            <w:r>
              <w:rPr>
                <w:rFonts w:ascii="Franklin Gothic Book" w:hAnsi="Franklin Gothic Book" w:cs="Calibri"/>
                <w:color w:val="000000"/>
                <w:sz w:val="17"/>
                <w:szCs w:val="17"/>
              </w:rPr>
              <w:t>$8</w:t>
            </w:r>
            <w:r w:rsidR="00385E6A">
              <w:rPr>
                <w:rFonts w:ascii="Franklin Gothic Book" w:hAnsi="Franklin Gothic Book" w:cs="Calibri"/>
                <w:color w:val="000000"/>
                <w:sz w:val="17"/>
                <w:szCs w:val="17"/>
              </w:rPr>
              <w:t>.5</w:t>
            </w:r>
          </w:p>
        </w:tc>
        <w:tc>
          <w:tcPr>
            <w:tcW w:w="2324" w:type="dxa"/>
            <w:tcBorders>
              <w:top w:val="nil"/>
              <w:left w:val="nil"/>
              <w:bottom w:val="nil"/>
              <w:right w:val="nil"/>
            </w:tcBorders>
            <w:shd w:val="clear" w:color="auto" w:fill="auto"/>
            <w:vAlign w:val="center"/>
            <w:hideMark/>
          </w:tcPr>
          <w:p w:rsidR="002A65C3" w:rsidRDefault="002A65C3" w:rsidP="00F1413A">
            <w:pPr>
              <w:rPr>
                <w:rFonts w:ascii="Franklin Gothic Book" w:hAnsi="Franklin Gothic Book" w:cs="Calibri"/>
                <w:color w:val="000000"/>
                <w:sz w:val="17"/>
                <w:szCs w:val="17"/>
              </w:rPr>
            </w:pPr>
            <w:r>
              <w:rPr>
                <w:rFonts w:ascii="Franklin Gothic Book" w:hAnsi="Franklin Gothic Book" w:cs="Calibri"/>
                <w:color w:val="000000"/>
                <w:sz w:val="17"/>
                <w:szCs w:val="17"/>
              </w:rPr>
              <w:t>5</w:t>
            </w:r>
          </w:p>
        </w:tc>
      </w:tr>
      <w:tr w:rsidR="002A65C3" w:rsidTr="00F1413A">
        <w:trPr>
          <w:trHeight w:val="300"/>
        </w:trPr>
        <w:tc>
          <w:tcPr>
            <w:tcW w:w="4080" w:type="dxa"/>
            <w:tcBorders>
              <w:top w:val="nil"/>
              <w:left w:val="nil"/>
              <w:bottom w:val="nil"/>
              <w:right w:val="nil"/>
            </w:tcBorders>
            <w:shd w:val="clear" w:color="auto" w:fill="auto"/>
            <w:vAlign w:val="center"/>
            <w:hideMark/>
          </w:tcPr>
          <w:p w:rsidR="002A65C3" w:rsidRDefault="002A65C3" w:rsidP="008F6E08">
            <w:pPr>
              <w:rPr>
                <w:rFonts w:ascii="Franklin Gothic Book" w:hAnsi="Franklin Gothic Book" w:cs="Calibri"/>
                <w:b/>
                <w:bCs/>
                <w:color w:val="000000"/>
                <w:sz w:val="17"/>
                <w:szCs w:val="17"/>
              </w:rPr>
            </w:pPr>
            <w:r>
              <w:rPr>
                <w:rFonts w:ascii="Franklin Gothic Book" w:hAnsi="Franklin Gothic Book" w:cs="Calibri"/>
                <w:b/>
                <w:bCs/>
                <w:color w:val="000000"/>
                <w:sz w:val="17"/>
                <w:szCs w:val="17"/>
              </w:rPr>
              <w:t>Sub-Total Bilateral</w:t>
            </w:r>
          </w:p>
        </w:tc>
        <w:tc>
          <w:tcPr>
            <w:tcW w:w="1960" w:type="dxa"/>
            <w:tcBorders>
              <w:top w:val="nil"/>
              <w:left w:val="nil"/>
              <w:bottom w:val="nil"/>
              <w:right w:val="nil"/>
            </w:tcBorders>
            <w:shd w:val="clear" w:color="auto" w:fill="auto"/>
            <w:vAlign w:val="center"/>
            <w:hideMark/>
          </w:tcPr>
          <w:p w:rsidR="002A65C3" w:rsidRDefault="002A65C3" w:rsidP="00C244A9">
            <w:pPr>
              <w:rPr>
                <w:rFonts w:ascii="Franklin Gothic Book" w:hAnsi="Franklin Gothic Book" w:cs="Calibri"/>
                <w:b/>
                <w:bCs/>
                <w:color w:val="000000"/>
                <w:sz w:val="17"/>
                <w:szCs w:val="17"/>
              </w:rPr>
            </w:pPr>
            <w:r>
              <w:rPr>
                <w:rFonts w:ascii="Franklin Gothic Book" w:hAnsi="Franklin Gothic Book" w:cs="Calibri"/>
                <w:b/>
                <w:bCs/>
                <w:color w:val="000000"/>
                <w:sz w:val="17"/>
                <w:szCs w:val="17"/>
              </w:rPr>
              <w:t>$116</w:t>
            </w:r>
            <w:r w:rsidR="00385E6A">
              <w:rPr>
                <w:rFonts w:ascii="Franklin Gothic Book" w:hAnsi="Franklin Gothic Book" w:cs="Calibri"/>
                <w:b/>
                <w:bCs/>
                <w:color w:val="000000"/>
                <w:sz w:val="17"/>
                <w:szCs w:val="17"/>
              </w:rPr>
              <w:t>.8</w:t>
            </w:r>
          </w:p>
        </w:tc>
        <w:tc>
          <w:tcPr>
            <w:tcW w:w="2324" w:type="dxa"/>
            <w:tcBorders>
              <w:top w:val="nil"/>
              <w:left w:val="nil"/>
              <w:bottom w:val="nil"/>
              <w:right w:val="nil"/>
            </w:tcBorders>
            <w:shd w:val="clear" w:color="auto" w:fill="auto"/>
            <w:vAlign w:val="center"/>
            <w:hideMark/>
          </w:tcPr>
          <w:p w:rsidR="002A65C3" w:rsidRDefault="002A65C3" w:rsidP="00F1413A">
            <w:pPr>
              <w:rPr>
                <w:rFonts w:ascii="Franklin Gothic Book" w:hAnsi="Franklin Gothic Book" w:cs="Calibri"/>
                <w:b/>
                <w:bCs/>
                <w:color w:val="000000"/>
                <w:sz w:val="17"/>
                <w:szCs w:val="17"/>
              </w:rPr>
            </w:pPr>
            <w:r>
              <w:rPr>
                <w:rFonts w:ascii="Franklin Gothic Book" w:hAnsi="Franklin Gothic Book" w:cs="Calibri"/>
                <w:b/>
                <w:bCs/>
                <w:color w:val="000000"/>
                <w:sz w:val="17"/>
                <w:szCs w:val="17"/>
              </w:rPr>
              <w:t>73</w:t>
            </w:r>
          </w:p>
        </w:tc>
      </w:tr>
      <w:tr w:rsidR="002A65C3" w:rsidTr="00F1413A">
        <w:trPr>
          <w:trHeight w:val="300"/>
        </w:trPr>
        <w:tc>
          <w:tcPr>
            <w:tcW w:w="4080" w:type="dxa"/>
            <w:tcBorders>
              <w:top w:val="nil"/>
              <w:left w:val="nil"/>
              <w:bottom w:val="nil"/>
              <w:right w:val="nil"/>
            </w:tcBorders>
            <w:shd w:val="clear" w:color="auto" w:fill="auto"/>
            <w:vAlign w:val="center"/>
            <w:hideMark/>
          </w:tcPr>
          <w:p w:rsidR="002A65C3" w:rsidRDefault="002A65C3" w:rsidP="008F6E08">
            <w:pPr>
              <w:rPr>
                <w:rFonts w:ascii="Franklin Gothic Book" w:hAnsi="Franklin Gothic Book" w:cs="Calibri"/>
                <w:color w:val="000000"/>
                <w:sz w:val="17"/>
                <w:szCs w:val="17"/>
              </w:rPr>
            </w:pPr>
            <w:r>
              <w:rPr>
                <w:rFonts w:ascii="Franklin Gothic Book" w:hAnsi="Franklin Gothic Book" w:cs="Calibri"/>
                <w:color w:val="000000"/>
                <w:sz w:val="17"/>
                <w:szCs w:val="17"/>
              </w:rPr>
              <w:t>Regional and Global</w:t>
            </w:r>
          </w:p>
        </w:tc>
        <w:tc>
          <w:tcPr>
            <w:tcW w:w="1960" w:type="dxa"/>
            <w:tcBorders>
              <w:top w:val="nil"/>
              <w:left w:val="nil"/>
              <w:bottom w:val="nil"/>
              <w:right w:val="nil"/>
            </w:tcBorders>
            <w:shd w:val="clear" w:color="auto" w:fill="auto"/>
            <w:vAlign w:val="center"/>
            <w:hideMark/>
          </w:tcPr>
          <w:p w:rsidR="002A65C3" w:rsidRDefault="00C244A9" w:rsidP="00C244A9">
            <w:pPr>
              <w:rPr>
                <w:rFonts w:ascii="Franklin Gothic Book" w:hAnsi="Franklin Gothic Book" w:cs="Calibri"/>
                <w:color w:val="000000"/>
                <w:sz w:val="17"/>
                <w:szCs w:val="17"/>
              </w:rPr>
            </w:pPr>
            <w:r>
              <w:rPr>
                <w:rFonts w:ascii="Franklin Gothic Book" w:hAnsi="Franklin Gothic Book" w:cs="Calibri"/>
                <w:color w:val="000000"/>
                <w:sz w:val="17"/>
                <w:szCs w:val="17"/>
              </w:rPr>
              <w:t>$</w:t>
            </w:r>
            <w:r w:rsidR="002A65C3">
              <w:rPr>
                <w:rFonts w:ascii="Franklin Gothic Book" w:hAnsi="Franklin Gothic Book" w:cs="Calibri"/>
                <w:color w:val="000000"/>
                <w:sz w:val="17"/>
                <w:szCs w:val="17"/>
              </w:rPr>
              <w:t>36</w:t>
            </w:r>
            <w:r w:rsidR="005939D7">
              <w:rPr>
                <w:rFonts w:ascii="Franklin Gothic Book" w:hAnsi="Franklin Gothic Book" w:cs="Calibri"/>
                <w:color w:val="000000"/>
                <w:sz w:val="17"/>
                <w:szCs w:val="17"/>
              </w:rPr>
              <w:t>.</w:t>
            </w:r>
            <w:r w:rsidR="002A65C3">
              <w:rPr>
                <w:rFonts w:ascii="Franklin Gothic Book" w:hAnsi="Franklin Gothic Book" w:cs="Calibri"/>
                <w:color w:val="000000"/>
                <w:sz w:val="17"/>
                <w:szCs w:val="17"/>
              </w:rPr>
              <w:t xml:space="preserve">6 </w:t>
            </w:r>
          </w:p>
        </w:tc>
        <w:tc>
          <w:tcPr>
            <w:tcW w:w="2324" w:type="dxa"/>
            <w:tcBorders>
              <w:top w:val="nil"/>
              <w:left w:val="nil"/>
              <w:bottom w:val="nil"/>
              <w:right w:val="nil"/>
            </w:tcBorders>
            <w:shd w:val="clear" w:color="auto" w:fill="auto"/>
            <w:vAlign w:val="center"/>
            <w:hideMark/>
          </w:tcPr>
          <w:p w:rsidR="002A65C3" w:rsidRDefault="002A65C3" w:rsidP="00F1413A">
            <w:pPr>
              <w:rPr>
                <w:rFonts w:ascii="Franklin Gothic Book" w:hAnsi="Franklin Gothic Book" w:cs="Calibri"/>
                <w:color w:val="000000"/>
                <w:sz w:val="17"/>
                <w:szCs w:val="17"/>
              </w:rPr>
            </w:pPr>
            <w:r>
              <w:rPr>
                <w:rFonts w:ascii="Franklin Gothic Book" w:hAnsi="Franklin Gothic Book" w:cs="Calibri"/>
                <w:color w:val="000000"/>
                <w:sz w:val="17"/>
                <w:szCs w:val="17"/>
              </w:rPr>
              <w:t>23</w:t>
            </w:r>
          </w:p>
        </w:tc>
      </w:tr>
      <w:tr w:rsidR="002A65C3" w:rsidTr="00F1413A">
        <w:trPr>
          <w:trHeight w:val="300"/>
        </w:trPr>
        <w:tc>
          <w:tcPr>
            <w:tcW w:w="4080" w:type="dxa"/>
            <w:tcBorders>
              <w:top w:val="nil"/>
              <w:left w:val="nil"/>
              <w:right w:val="nil"/>
            </w:tcBorders>
            <w:shd w:val="clear" w:color="auto" w:fill="auto"/>
            <w:vAlign w:val="center"/>
            <w:hideMark/>
          </w:tcPr>
          <w:p w:rsidR="002A65C3" w:rsidRDefault="002A65C3" w:rsidP="008F6E08">
            <w:pPr>
              <w:rPr>
                <w:rFonts w:ascii="Franklin Gothic Book" w:hAnsi="Franklin Gothic Book" w:cs="Calibri"/>
                <w:color w:val="000000"/>
                <w:sz w:val="17"/>
                <w:szCs w:val="17"/>
              </w:rPr>
            </w:pPr>
            <w:r>
              <w:rPr>
                <w:rFonts w:ascii="Franklin Gothic Book" w:hAnsi="Franklin Gothic Book" w:cs="Calibri"/>
                <w:color w:val="000000"/>
                <w:sz w:val="17"/>
                <w:szCs w:val="17"/>
              </w:rPr>
              <w:t>Other Government Departments</w:t>
            </w:r>
          </w:p>
        </w:tc>
        <w:tc>
          <w:tcPr>
            <w:tcW w:w="1960" w:type="dxa"/>
            <w:tcBorders>
              <w:top w:val="nil"/>
              <w:left w:val="nil"/>
              <w:right w:val="nil"/>
            </w:tcBorders>
            <w:shd w:val="clear" w:color="auto" w:fill="auto"/>
            <w:vAlign w:val="center"/>
            <w:hideMark/>
          </w:tcPr>
          <w:p w:rsidR="002A65C3" w:rsidRDefault="00C244A9" w:rsidP="00C244A9">
            <w:pPr>
              <w:rPr>
                <w:rFonts w:ascii="Franklin Gothic Book" w:hAnsi="Franklin Gothic Book" w:cs="Calibri"/>
                <w:color w:val="000000"/>
                <w:sz w:val="17"/>
                <w:szCs w:val="17"/>
              </w:rPr>
            </w:pPr>
            <w:r>
              <w:rPr>
                <w:rFonts w:ascii="Franklin Gothic Book" w:hAnsi="Franklin Gothic Book" w:cs="Calibri"/>
                <w:color w:val="000000"/>
                <w:sz w:val="17"/>
                <w:szCs w:val="17"/>
              </w:rPr>
              <w:t>$</w:t>
            </w:r>
            <w:r w:rsidR="002A65C3">
              <w:rPr>
                <w:rFonts w:ascii="Franklin Gothic Book" w:hAnsi="Franklin Gothic Book" w:cs="Calibri"/>
                <w:color w:val="000000"/>
                <w:sz w:val="17"/>
                <w:szCs w:val="17"/>
              </w:rPr>
              <w:t>7</w:t>
            </w:r>
            <w:r w:rsidR="005939D7">
              <w:rPr>
                <w:rFonts w:ascii="Franklin Gothic Book" w:hAnsi="Franklin Gothic Book" w:cs="Calibri"/>
                <w:color w:val="000000"/>
                <w:sz w:val="17"/>
                <w:szCs w:val="17"/>
              </w:rPr>
              <w:t>.</w:t>
            </w:r>
            <w:r w:rsidR="002A65C3">
              <w:rPr>
                <w:rFonts w:ascii="Franklin Gothic Book" w:hAnsi="Franklin Gothic Book" w:cs="Calibri"/>
                <w:color w:val="000000"/>
                <w:sz w:val="17"/>
                <w:szCs w:val="17"/>
              </w:rPr>
              <w:t xml:space="preserve">3 </w:t>
            </w:r>
          </w:p>
        </w:tc>
        <w:tc>
          <w:tcPr>
            <w:tcW w:w="2324" w:type="dxa"/>
            <w:tcBorders>
              <w:top w:val="nil"/>
              <w:left w:val="nil"/>
              <w:right w:val="nil"/>
            </w:tcBorders>
            <w:shd w:val="clear" w:color="auto" w:fill="auto"/>
            <w:vAlign w:val="center"/>
            <w:hideMark/>
          </w:tcPr>
          <w:p w:rsidR="002A65C3" w:rsidRDefault="002A65C3" w:rsidP="00F1413A">
            <w:pPr>
              <w:rPr>
                <w:rFonts w:ascii="Franklin Gothic Book" w:hAnsi="Franklin Gothic Book" w:cs="Calibri"/>
                <w:color w:val="000000"/>
                <w:sz w:val="17"/>
                <w:szCs w:val="17"/>
              </w:rPr>
            </w:pPr>
            <w:r>
              <w:rPr>
                <w:rFonts w:ascii="Franklin Gothic Book" w:hAnsi="Franklin Gothic Book" w:cs="Calibri"/>
                <w:color w:val="000000"/>
                <w:sz w:val="17"/>
                <w:szCs w:val="17"/>
              </w:rPr>
              <w:t>5</w:t>
            </w:r>
          </w:p>
        </w:tc>
      </w:tr>
      <w:tr w:rsidR="002A65C3" w:rsidTr="00F1413A">
        <w:trPr>
          <w:trHeight w:val="315"/>
        </w:trPr>
        <w:tc>
          <w:tcPr>
            <w:tcW w:w="4080" w:type="dxa"/>
            <w:tcBorders>
              <w:top w:val="nil"/>
              <w:left w:val="nil"/>
              <w:bottom w:val="single" w:sz="2" w:space="0" w:color="auto"/>
              <w:right w:val="nil"/>
            </w:tcBorders>
            <w:shd w:val="clear" w:color="auto" w:fill="auto"/>
            <w:vAlign w:val="center"/>
            <w:hideMark/>
          </w:tcPr>
          <w:p w:rsidR="002A65C3" w:rsidRDefault="002A65C3" w:rsidP="008F6E08">
            <w:pPr>
              <w:rPr>
                <w:rFonts w:ascii="Franklin Gothic Book" w:hAnsi="Franklin Gothic Book" w:cs="Calibri"/>
                <w:b/>
                <w:bCs/>
                <w:color w:val="000000"/>
                <w:sz w:val="17"/>
                <w:szCs w:val="17"/>
              </w:rPr>
            </w:pPr>
            <w:r>
              <w:rPr>
                <w:rFonts w:ascii="Franklin Gothic Book" w:hAnsi="Franklin Gothic Book" w:cs="Calibri"/>
                <w:b/>
                <w:bCs/>
                <w:color w:val="000000"/>
                <w:sz w:val="17"/>
                <w:szCs w:val="17"/>
              </w:rPr>
              <w:t>Total ODA Expenditure</w:t>
            </w:r>
          </w:p>
        </w:tc>
        <w:tc>
          <w:tcPr>
            <w:tcW w:w="1960" w:type="dxa"/>
            <w:tcBorders>
              <w:top w:val="nil"/>
              <w:left w:val="nil"/>
              <w:bottom w:val="single" w:sz="2" w:space="0" w:color="auto"/>
              <w:right w:val="nil"/>
            </w:tcBorders>
            <w:shd w:val="clear" w:color="auto" w:fill="auto"/>
            <w:vAlign w:val="center"/>
            <w:hideMark/>
          </w:tcPr>
          <w:p w:rsidR="002A65C3" w:rsidRDefault="002A65C3" w:rsidP="00C244A9">
            <w:pPr>
              <w:rPr>
                <w:rFonts w:ascii="Franklin Gothic Book" w:hAnsi="Franklin Gothic Book" w:cs="Calibri"/>
                <w:b/>
                <w:bCs/>
                <w:color w:val="000000"/>
                <w:sz w:val="17"/>
                <w:szCs w:val="17"/>
              </w:rPr>
            </w:pPr>
            <w:r>
              <w:rPr>
                <w:rFonts w:ascii="Franklin Gothic Book" w:hAnsi="Franklin Gothic Book" w:cs="Calibri"/>
                <w:b/>
                <w:bCs/>
                <w:color w:val="000000"/>
                <w:sz w:val="17"/>
                <w:szCs w:val="17"/>
              </w:rPr>
              <w:t>$160</w:t>
            </w:r>
            <w:r w:rsidR="005939D7">
              <w:rPr>
                <w:rFonts w:ascii="Franklin Gothic Book" w:hAnsi="Franklin Gothic Book" w:cs="Calibri"/>
                <w:b/>
                <w:bCs/>
                <w:color w:val="000000"/>
                <w:sz w:val="17"/>
                <w:szCs w:val="17"/>
              </w:rPr>
              <w:t>.8</w:t>
            </w:r>
          </w:p>
        </w:tc>
        <w:tc>
          <w:tcPr>
            <w:tcW w:w="2324" w:type="dxa"/>
            <w:tcBorders>
              <w:top w:val="nil"/>
              <w:left w:val="nil"/>
              <w:bottom w:val="single" w:sz="2" w:space="0" w:color="auto"/>
              <w:right w:val="nil"/>
            </w:tcBorders>
            <w:shd w:val="clear" w:color="auto" w:fill="auto"/>
            <w:vAlign w:val="center"/>
            <w:hideMark/>
          </w:tcPr>
          <w:p w:rsidR="002A65C3" w:rsidRDefault="002A65C3" w:rsidP="00F1413A">
            <w:pPr>
              <w:rPr>
                <w:rFonts w:ascii="Franklin Gothic Book" w:hAnsi="Franklin Gothic Book" w:cs="Calibri"/>
                <w:b/>
                <w:bCs/>
                <w:color w:val="000000"/>
                <w:sz w:val="17"/>
                <w:szCs w:val="17"/>
              </w:rPr>
            </w:pPr>
            <w:r>
              <w:rPr>
                <w:rFonts w:ascii="Franklin Gothic Book" w:hAnsi="Franklin Gothic Book" w:cs="Calibri"/>
                <w:b/>
                <w:bCs/>
                <w:color w:val="000000"/>
                <w:sz w:val="17"/>
                <w:szCs w:val="17"/>
              </w:rPr>
              <w:t>100</w:t>
            </w:r>
          </w:p>
        </w:tc>
      </w:tr>
    </w:tbl>
    <w:p w:rsidR="000D733F" w:rsidRPr="00E12874" w:rsidRDefault="00511A0F" w:rsidP="00511A0F">
      <w:pPr>
        <w:pStyle w:val="Heading2"/>
        <w:rPr>
          <w:color w:val="FF0000"/>
          <w:sz w:val="28"/>
        </w:rPr>
      </w:pPr>
      <w:r>
        <w:rPr>
          <w:sz w:val="28"/>
        </w:rPr>
        <w:t xml:space="preserve">Progress </w:t>
      </w:r>
      <w:r w:rsidR="00E15678">
        <w:rPr>
          <w:sz w:val="28"/>
        </w:rPr>
        <w:t>towards</w:t>
      </w:r>
      <w:r>
        <w:rPr>
          <w:sz w:val="28"/>
        </w:rPr>
        <w:t xml:space="preserve"> O</w:t>
      </w:r>
      <w:r w:rsidR="000D733F" w:rsidRPr="00511A0F">
        <w:rPr>
          <w:sz w:val="28"/>
        </w:rPr>
        <w:t>bjectives</w:t>
      </w:r>
      <w:r w:rsidR="000D733F" w:rsidRPr="00511A0F">
        <w:rPr>
          <w:sz w:val="28"/>
        </w:rPr>
        <w:tab/>
      </w:r>
      <w:r w:rsidR="00E12874">
        <w:rPr>
          <w:sz w:val="28"/>
        </w:rPr>
        <w:t xml:space="preserve"> </w:t>
      </w:r>
    </w:p>
    <w:p w:rsidR="000D733F" w:rsidRDefault="000D733F" w:rsidP="005901D2">
      <w:pPr>
        <w:pStyle w:val="Caption"/>
      </w:pPr>
      <w:r>
        <w:t xml:space="preserve">Table </w:t>
      </w:r>
      <w:fldSimple w:instr=" SEQ Table \* ARABIC ">
        <w:r w:rsidR="005E56EA">
          <w:rPr>
            <w:noProof/>
          </w:rPr>
          <w:t>2</w:t>
        </w:r>
      </w:fldSimple>
      <w:r w:rsidR="00582C22">
        <w:t xml:space="preserve"> Rating of the Program's P</w:t>
      </w:r>
      <w:r>
        <w:t xml:space="preserve">rogress towards Australia’s </w:t>
      </w:r>
      <w:r w:rsidR="00582C22">
        <w:t>A</w:t>
      </w:r>
      <w:r w:rsidR="00D206B3">
        <w:t xml:space="preserve">id </w:t>
      </w:r>
      <w:r w:rsidR="00582C22">
        <w:t>O</w:t>
      </w:r>
      <w:r>
        <w:t>bjectives</w:t>
      </w:r>
    </w:p>
    <w:tbl>
      <w:tblPr>
        <w:tblStyle w:val="APPR"/>
        <w:tblW w:w="4838" w:type="pct"/>
        <w:tblLayout w:type="fixed"/>
        <w:tblLook w:val="0000" w:firstRow="0" w:lastRow="0" w:firstColumn="0" w:lastColumn="0" w:noHBand="0" w:noVBand="0"/>
        <w:tblCaption w:val="Table 2 Rating of the Program's Progress towards Australia's Aid Objectives"/>
        <w:tblDescription w:val="Table lists the four aid objectives, their previous rating and current rating."/>
      </w:tblPr>
      <w:tblGrid>
        <w:gridCol w:w="6515"/>
        <w:gridCol w:w="992"/>
        <w:gridCol w:w="986"/>
      </w:tblGrid>
      <w:tr w:rsidR="0083217B" w:rsidRPr="0019341B" w:rsidTr="0083217B">
        <w:trPr>
          <w:cnfStyle w:val="000000010000" w:firstRow="0" w:lastRow="0" w:firstColumn="0" w:lastColumn="0" w:oddVBand="0" w:evenVBand="0" w:oddHBand="0" w:evenHBand="1" w:firstRowFirstColumn="0" w:firstRowLastColumn="0" w:lastRowFirstColumn="0" w:lastRowLastColumn="0"/>
          <w:trHeight w:val="651"/>
        </w:trPr>
        <w:tc>
          <w:tcPr>
            <w:tcW w:w="6473" w:type="dxa"/>
          </w:tcPr>
          <w:p w:rsidR="0083217B" w:rsidRPr="0019341B" w:rsidRDefault="0083217B" w:rsidP="000D733F">
            <w:pPr>
              <w:pStyle w:val="TableTextColumnHeading"/>
            </w:pPr>
            <w:r>
              <w:t>Objective</w:t>
            </w:r>
          </w:p>
        </w:tc>
        <w:tc>
          <w:tcPr>
            <w:tcW w:w="964" w:type="dxa"/>
          </w:tcPr>
          <w:p w:rsidR="0083217B" w:rsidRPr="0019341B" w:rsidRDefault="0083217B" w:rsidP="000D733F">
            <w:pPr>
              <w:pStyle w:val="TableTextColumnHeading"/>
            </w:pPr>
            <w:r>
              <w:t>Previous Rating</w:t>
            </w:r>
          </w:p>
        </w:tc>
        <w:tc>
          <w:tcPr>
            <w:tcW w:w="944" w:type="dxa"/>
          </w:tcPr>
          <w:p w:rsidR="0083217B" w:rsidRPr="0019341B" w:rsidRDefault="0083217B" w:rsidP="000D733F">
            <w:pPr>
              <w:pStyle w:val="TableTextColumnHeading"/>
            </w:pPr>
            <w:r>
              <w:t>Current Rating</w:t>
            </w:r>
          </w:p>
        </w:tc>
      </w:tr>
      <w:tr w:rsidR="0083217B" w:rsidRPr="0017082E" w:rsidTr="0083217B">
        <w:trPr>
          <w:cnfStyle w:val="000000010000" w:firstRow="0" w:lastRow="0" w:firstColumn="0" w:lastColumn="0" w:oddVBand="0" w:evenVBand="0" w:oddHBand="0" w:evenHBand="1" w:firstRowFirstColumn="0" w:firstRowLastColumn="0" w:lastRowFirstColumn="0" w:lastRowLastColumn="0"/>
        </w:trPr>
        <w:tc>
          <w:tcPr>
            <w:tcW w:w="6473" w:type="dxa"/>
          </w:tcPr>
          <w:p w:rsidR="0083217B" w:rsidRPr="0019341B" w:rsidRDefault="0083217B" w:rsidP="000D733F">
            <w:pPr>
              <w:pStyle w:val="TableTextEntries"/>
            </w:pPr>
            <w:r>
              <w:t>Objective 1 – Improve the quality of Vietnam’s human resources</w:t>
            </w:r>
          </w:p>
        </w:tc>
        <w:tc>
          <w:tcPr>
            <w:tcW w:w="964" w:type="dxa"/>
            <w:shd w:val="clear" w:color="auto" w:fill="72AF2F"/>
            <w:noWrap/>
          </w:tcPr>
          <w:p w:rsidR="0083217B" w:rsidRPr="00443639" w:rsidRDefault="0083217B" w:rsidP="000D733F">
            <w:pPr>
              <w:pStyle w:val="TableTextEntries"/>
              <w:jc w:val="center"/>
              <w:rPr>
                <w:color w:val="FFFFFF" w:themeColor="background1"/>
              </w:rPr>
            </w:pPr>
            <w:r w:rsidRPr="00443639">
              <w:rPr>
                <w:color w:val="FFFFFF" w:themeColor="background1"/>
              </w:rPr>
              <w:t>Green</w:t>
            </w:r>
          </w:p>
        </w:tc>
        <w:tc>
          <w:tcPr>
            <w:tcW w:w="944" w:type="dxa"/>
            <w:shd w:val="clear" w:color="auto" w:fill="72AF2F"/>
            <w:noWrap/>
          </w:tcPr>
          <w:p w:rsidR="0083217B" w:rsidRPr="00443639" w:rsidRDefault="0083217B" w:rsidP="00F21270">
            <w:pPr>
              <w:pStyle w:val="TableTextEntries"/>
              <w:jc w:val="center"/>
              <w:rPr>
                <w:color w:val="FFFFFF" w:themeColor="background1"/>
              </w:rPr>
            </w:pPr>
            <w:r w:rsidRPr="00443639">
              <w:rPr>
                <w:color w:val="FFFFFF" w:themeColor="background1"/>
              </w:rPr>
              <w:t>Green</w:t>
            </w:r>
          </w:p>
        </w:tc>
      </w:tr>
      <w:tr w:rsidR="0083217B" w:rsidRPr="009D53C4" w:rsidTr="0083217B">
        <w:trPr>
          <w:cnfStyle w:val="000000010000" w:firstRow="0" w:lastRow="0" w:firstColumn="0" w:lastColumn="0" w:oddVBand="0" w:evenVBand="0" w:oddHBand="0" w:evenHBand="1" w:firstRowFirstColumn="0" w:firstRowLastColumn="0" w:lastRowFirstColumn="0" w:lastRowLastColumn="0"/>
        </w:trPr>
        <w:tc>
          <w:tcPr>
            <w:tcW w:w="6473" w:type="dxa"/>
          </w:tcPr>
          <w:p w:rsidR="0083217B" w:rsidRPr="0019341B" w:rsidRDefault="0083217B" w:rsidP="000D733F">
            <w:pPr>
              <w:pStyle w:val="TableTextEntries"/>
            </w:pPr>
            <w:r>
              <w:t xml:space="preserve">Objective 2 - </w:t>
            </w:r>
            <w:r w:rsidRPr="003B260C">
              <w:t>Develop better transport infrastructure and policy to support economic integration</w:t>
            </w:r>
          </w:p>
        </w:tc>
        <w:tc>
          <w:tcPr>
            <w:tcW w:w="964" w:type="dxa"/>
            <w:shd w:val="clear" w:color="auto" w:fill="72AF2F"/>
            <w:noWrap/>
          </w:tcPr>
          <w:p w:rsidR="0083217B" w:rsidRPr="00443639" w:rsidRDefault="0083217B" w:rsidP="000D733F">
            <w:pPr>
              <w:pStyle w:val="TableTextEntries"/>
              <w:jc w:val="center"/>
              <w:rPr>
                <w:color w:val="FFFFFF" w:themeColor="background1"/>
              </w:rPr>
            </w:pPr>
            <w:r>
              <w:rPr>
                <w:color w:val="FFFFFF" w:themeColor="background1"/>
              </w:rPr>
              <w:t>Green</w:t>
            </w:r>
          </w:p>
        </w:tc>
        <w:tc>
          <w:tcPr>
            <w:tcW w:w="944" w:type="dxa"/>
            <w:shd w:val="clear" w:color="auto" w:fill="72AF2F"/>
            <w:noWrap/>
          </w:tcPr>
          <w:p w:rsidR="0083217B" w:rsidRPr="00443639" w:rsidRDefault="0083217B" w:rsidP="000D733F">
            <w:pPr>
              <w:pStyle w:val="TableTextEntries"/>
              <w:jc w:val="center"/>
              <w:rPr>
                <w:color w:val="FFFFFF" w:themeColor="background1"/>
              </w:rPr>
            </w:pPr>
            <w:r w:rsidRPr="00443639">
              <w:rPr>
                <w:color w:val="FFFFFF" w:themeColor="background1"/>
              </w:rPr>
              <w:t>Green</w:t>
            </w:r>
          </w:p>
        </w:tc>
      </w:tr>
      <w:tr w:rsidR="0083217B" w:rsidRPr="009D53C4" w:rsidTr="0083217B">
        <w:trPr>
          <w:cnfStyle w:val="000000010000" w:firstRow="0" w:lastRow="0" w:firstColumn="0" w:lastColumn="0" w:oddVBand="0" w:evenVBand="0" w:oddHBand="0" w:evenHBand="1" w:firstRowFirstColumn="0" w:firstRowLastColumn="0" w:lastRowFirstColumn="0" w:lastRowLastColumn="0"/>
        </w:trPr>
        <w:tc>
          <w:tcPr>
            <w:tcW w:w="6473" w:type="dxa"/>
          </w:tcPr>
          <w:p w:rsidR="0083217B" w:rsidRDefault="0083217B" w:rsidP="000D733F">
            <w:pPr>
              <w:pStyle w:val="TableTextEntries"/>
            </w:pPr>
            <w:r>
              <w:t>Objective 3 – Increase rural access to clean water and hygienic sanitation</w:t>
            </w:r>
          </w:p>
        </w:tc>
        <w:tc>
          <w:tcPr>
            <w:tcW w:w="964" w:type="dxa"/>
            <w:shd w:val="clear" w:color="auto" w:fill="72AF2F"/>
            <w:noWrap/>
          </w:tcPr>
          <w:p w:rsidR="0083217B" w:rsidRPr="00443639" w:rsidRDefault="0083217B" w:rsidP="000D733F">
            <w:pPr>
              <w:pStyle w:val="TableTextEntries"/>
              <w:jc w:val="center"/>
              <w:rPr>
                <w:color w:val="FFFFFF" w:themeColor="background1"/>
              </w:rPr>
            </w:pPr>
            <w:r>
              <w:rPr>
                <w:color w:val="FFFFFF" w:themeColor="background1"/>
              </w:rPr>
              <w:t>Green</w:t>
            </w:r>
          </w:p>
        </w:tc>
        <w:tc>
          <w:tcPr>
            <w:tcW w:w="944" w:type="dxa"/>
            <w:shd w:val="clear" w:color="auto" w:fill="72AF2F"/>
            <w:noWrap/>
          </w:tcPr>
          <w:p w:rsidR="0083217B" w:rsidRPr="00443639" w:rsidRDefault="0083217B" w:rsidP="000D733F">
            <w:pPr>
              <w:pStyle w:val="TableTextEntries"/>
              <w:jc w:val="center"/>
              <w:rPr>
                <w:color w:val="FFFFFF" w:themeColor="background1"/>
              </w:rPr>
            </w:pPr>
            <w:r>
              <w:rPr>
                <w:color w:val="FFFFFF" w:themeColor="background1"/>
              </w:rPr>
              <w:t>Green</w:t>
            </w:r>
          </w:p>
        </w:tc>
      </w:tr>
      <w:tr w:rsidR="0083217B" w:rsidRPr="009D53C4" w:rsidTr="0083217B">
        <w:trPr>
          <w:cnfStyle w:val="000000010000" w:firstRow="0" w:lastRow="0" w:firstColumn="0" w:lastColumn="0" w:oddVBand="0" w:evenVBand="0" w:oddHBand="0" w:evenHBand="1" w:firstRowFirstColumn="0" w:firstRowLastColumn="0" w:lastRowFirstColumn="0" w:lastRowLastColumn="0"/>
        </w:trPr>
        <w:tc>
          <w:tcPr>
            <w:tcW w:w="6473" w:type="dxa"/>
          </w:tcPr>
          <w:p w:rsidR="0083217B" w:rsidRDefault="0083217B" w:rsidP="000D733F">
            <w:pPr>
              <w:pStyle w:val="TableTextEntries"/>
            </w:pPr>
            <w:r>
              <w:t>Objective 4 – Advance climate change adaptation and mitigation focusing on the Mekong Delta</w:t>
            </w:r>
          </w:p>
        </w:tc>
        <w:tc>
          <w:tcPr>
            <w:tcW w:w="964" w:type="dxa"/>
            <w:shd w:val="clear" w:color="auto" w:fill="E36C0A"/>
            <w:noWrap/>
          </w:tcPr>
          <w:p w:rsidR="0083217B" w:rsidRPr="00443639" w:rsidRDefault="0083217B" w:rsidP="0009492E">
            <w:pPr>
              <w:pStyle w:val="TableTextEntries"/>
              <w:jc w:val="center"/>
              <w:rPr>
                <w:color w:val="FFFFFF" w:themeColor="background1"/>
              </w:rPr>
            </w:pPr>
            <w:r>
              <w:rPr>
                <w:color w:val="FFFFFF" w:themeColor="background1"/>
              </w:rPr>
              <w:t>Amber</w:t>
            </w:r>
          </w:p>
        </w:tc>
        <w:tc>
          <w:tcPr>
            <w:tcW w:w="944" w:type="dxa"/>
            <w:shd w:val="clear" w:color="auto" w:fill="72AF2F"/>
            <w:noWrap/>
          </w:tcPr>
          <w:p w:rsidR="0083217B" w:rsidRPr="00443639" w:rsidRDefault="0083217B" w:rsidP="0009492E">
            <w:pPr>
              <w:pStyle w:val="TableTextEntries"/>
              <w:jc w:val="center"/>
              <w:rPr>
                <w:color w:val="FFFFFF" w:themeColor="background1"/>
              </w:rPr>
            </w:pPr>
            <w:r>
              <w:rPr>
                <w:color w:val="FFFFFF" w:themeColor="background1"/>
              </w:rPr>
              <w:t>Green</w:t>
            </w:r>
          </w:p>
        </w:tc>
      </w:tr>
    </w:tbl>
    <w:p w:rsidR="000D733F" w:rsidRPr="00180B19" w:rsidRDefault="000D733F" w:rsidP="00582C22">
      <w:pPr>
        <w:pStyle w:val="Note"/>
      </w:pPr>
      <w:r w:rsidRPr="00180B19">
        <w:t xml:space="preserve">Note: </w:t>
      </w:r>
    </w:p>
    <w:p w:rsidR="000D733F" w:rsidRPr="00180B19" w:rsidRDefault="000D733F" w:rsidP="00582C22">
      <w:pPr>
        <w:pStyle w:val="Note"/>
      </w:pPr>
      <w:r w:rsidRPr="00E74404">
        <w:rPr>
          <w:color w:val="72AF2F"/>
        </w:rPr>
        <w:sym w:font="Webdings" w:char="F067"/>
      </w:r>
      <w:r w:rsidRPr="00180B19">
        <w:t> </w:t>
      </w:r>
      <w:r w:rsidRPr="00180B19">
        <w:t xml:space="preserve"> </w:t>
      </w:r>
      <w:r>
        <w:t xml:space="preserve">Green. </w:t>
      </w:r>
      <w:r w:rsidRPr="00180B19">
        <w:t xml:space="preserve">Progress is as expected </w:t>
      </w:r>
      <w:r w:rsidR="00581979">
        <w:t xml:space="preserve">at this stage of implementation </w:t>
      </w:r>
      <w:r w:rsidRPr="00180B19">
        <w:t>and it is likely that the objective will be achieved. Standard program management practices are sufficient.</w:t>
      </w:r>
    </w:p>
    <w:p w:rsidR="000D733F" w:rsidRPr="00180B19" w:rsidRDefault="000D733F" w:rsidP="00582C22">
      <w:pPr>
        <w:pStyle w:val="Note"/>
      </w:pPr>
      <w:r w:rsidRPr="00E74404">
        <w:rPr>
          <w:color w:val="E36C0A"/>
        </w:rPr>
        <w:sym w:font="Webdings" w:char="F067"/>
      </w:r>
      <w:r w:rsidRPr="00180B19">
        <w:t> </w:t>
      </w:r>
      <w:r w:rsidRPr="00180B19">
        <w:t xml:space="preserve"> </w:t>
      </w:r>
      <w:r>
        <w:t xml:space="preserve">Amber. </w:t>
      </w:r>
      <w:r w:rsidRPr="00180B19">
        <w:t xml:space="preserve">Progress is somewhat less than expected </w:t>
      </w:r>
      <w:r w:rsidR="00581979">
        <w:t xml:space="preserve">at this stage of implementation </w:t>
      </w:r>
      <w:r w:rsidRPr="00180B19">
        <w:t>and restorative action will be necessary if the objective is to be achieved. Close performance monitoring is recommended.</w:t>
      </w:r>
    </w:p>
    <w:p w:rsidR="000D733F" w:rsidRDefault="000D733F" w:rsidP="00582C22">
      <w:pPr>
        <w:pStyle w:val="Note"/>
      </w:pPr>
      <w:r w:rsidRPr="004C4A3E">
        <w:rPr>
          <w:color w:val="FF0000"/>
        </w:rPr>
        <w:sym w:font="Webdings" w:char="F067"/>
      </w:r>
      <w:r w:rsidRPr="00180B19">
        <w:t> </w:t>
      </w:r>
      <w:r w:rsidRPr="00180B19">
        <w:t xml:space="preserve"> </w:t>
      </w:r>
      <w:r>
        <w:t xml:space="preserve">Red. </w:t>
      </w:r>
      <w:r w:rsidRPr="00180B19">
        <w:t xml:space="preserve">Progress is significantly less than expected </w:t>
      </w:r>
      <w:r w:rsidR="00581979">
        <w:t xml:space="preserve">at this stage of implementation </w:t>
      </w:r>
      <w:r w:rsidRPr="00180B19">
        <w:t>and the objective is not likely to be met given available resources and priorities. Recasting the objective may be required.</w:t>
      </w:r>
    </w:p>
    <w:p w:rsidR="000D733F" w:rsidRPr="003B260C" w:rsidRDefault="000D733F" w:rsidP="003B260C">
      <w:pPr>
        <w:pStyle w:val="Note"/>
      </w:pPr>
      <w:r>
        <w:t xml:space="preserve">Reporting period: </w:t>
      </w:r>
      <w:r w:rsidRPr="00180B19">
        <w:t xml:space="preserve"> </w:t>
      </w:r>
    </w:p>
    <w:p w:rsidR="00A67E2E" w:rsidRPr="009B1720" w:rsidRDefault="00A67E2E" w:rsidP="00A67E2E">
      <w:pPr>
        <w:pStyle w:val="Heading3"/>
        <w:rPr>
          <w:color w:val="FF0000"/>
        </w:rPr>
      </w:pPr>
      <w:r>
        <w:t xml:space="preserve">Objective 1 – Improve the quality of Vietnam’s human resources </w:t>
      </w:r>
    </w:p>
    <w:p w:rsidR="00A67E2E" w:rsidRDefault="00A67E2E" w:rsidP="00ED5A66">
      <w:pPr>
        <w:pStyle w:val="BodyText"/>
      </w:pPr>
      <w:r>
        <w:t>The overall rating for this objective was green. In the 2014-15 review period the Australia Awards</w:t>
      </w:r>
      <w:r>
        <w:rPr>
          <w:rStyle w:val="FootnoteReference"/>
        </w:rPr>
        <w:footnoteReference w:id="4"/>
      </w:r>
      <w:r>
        <w:t xml:space="preserve"> Vietnam program exceeded the targets</w:t>
      </w:r>
      <w:r>
        <w:rPr>
          <w:rStyle w:val="FootnoteReference"/>
        </w:rPr>
        <w:footnoteReference w:id="5"/>
      </w:r>
      <w:r>
        <w:t xml:space="preserve"> for the number of Scholarships and Fellowships offered, and a new five-year human resource development program was designed</w:t>
      </w:r>
      <w:r>
        <w:rPr>
          <w:rStyle w:val="FootnoteReference"/>
        </w:rPr>
        <w:footnoteReference w:id="6"/>
      </w:r>
      <w:r>
        <w:t>.</w:t>
      </w:r>
    </w:p>
    <w:p w:rsidR="006820D3" w:rsidRDefault="006820D3" w:rsidP="00ED5A66">
      <w:pPr>
        <w:pStyle w:val="BodyText"/>
        <w:rPr>
          <w:szCs w:val="21"/>
        </w:rPr>
      </w:pPr>
      <w:r>
        <w:rPr>
          <w:szCs w:val="21"/>
        </w:rPr>
        <w:t xml:space="preserve">The </w:t>
      </w:r>
      <w:hyperlink r:id="rId15" w:history="1">
        <w:r w:rsidRPr="00DC7AD3">
          <w:rPr>
            <w:rStyle w:val="Hyperlink"/>
            <w:i/>
            <w:sz w:val="21"/>
            <w:szCs w:val="21"/>
          </w:rPr>
          <w:t xml:space="preserve">Australia-Vietnam </w:t>
        </w:r>
        <w:r w:rsidR="0083433F" w:rsidRPr="00DC7AD3">
          <w:rPr>
            <w:rStyle w:val="Hyperlink"/>
            <w:i/>
            <w:sz w:val="21"/>
            <w:szCs w:val="21"/>
          </w:rPr>
          <w:t>Human Resources Development</w:t>
        </w:r>
        <w:r w:rsidRPr="00DC7AD3">
          <w:rPr>
            <w:rStyle w:val="Hyperlink"/>
            <w:i/>
            <w:sz w:val="21"/>
            <w:szCs w:val="21"/>
          </w:rPr>
          <w:t xml:space="preserve"> Strategy 2014</w:t>
        </w:r>
        <w:r w:rsidR="0083433F" w:rsidRPr="00DC7AD3">
          <w:rPr>
            <w:rStyle w:val="Hyperlink"/>
            <w:i/>
            <w:sz w:val="21"/>
            <w:szCs w:val="21"/>
          </w:rPr>
          <w:t xml:space="preserve"> </w:t>
        </w:r>
        <w:r w:rsidRPr="00DC7AD3">
          <w:rPr>
            <w:rStyle w:val="Hyperlink"/>
            <w:i/>
            <w:sz w:val="21"/>
            <w:szCs w:val="21"/>
          </w:rPr>
          <w:t>- 2020</w:t>
        </w:r>
      </w:hyperlink>
      <w:r>
        <w:rPr>
          <w:szCs w:val="21"/>
        </w:rPr>
        <w:t xml:space="preserve"> guides Australia’s support for Vietnam’s human resource development</w:t>
      </w:r>
      <w:r w:rsidR="00EC7057">
        <w:rPr>
          <w:szCs w:val="21"/>
        </w:rPr>
        <w:t xml:space="preserve"> (HRD)</w:t>
      </w:r>
      <w:r>
        <w:rPr>
          <w:rStyle w:val="FootnoteReference"/>
        </w:rPr>
        <w:footnoteReference w:id="7"/>
      </w:r>
      <w:r>
        <w:rPr>
          <w:szCs w:val="21"/>
        </w:rPr>
        <w:t xml:space="preserve">. The strategy focuses on: improving individuals’ skills so they can have a positive impact on their workplace; strengthening public </w:t>
      </w:r>
      <w:r>
        <w:rPr>
          <w:szCs w:val="21"/>
        </w:rPr>
        <w:lastRenderedPageBreak/>
        <w:t xml:space="preserve">institutions; and promoting Australia-Vietnam people to people linkages. The strategy is implemented through the Australia Awards Vietnam program, global programs, and programs managed by other Australian government departments. </w:t>
      </w:r>
    </w:p>
    <w:p w:rsidR="00DF64F4" w:rsidRDefault="00A67E2E" w:rsidP="00ED5A66">
      <w:pPr>
        <w:pStyle w:val="BodyText"/>
        <w:rPr>
          <w:szCs w:val="21"/>
        </w:rPr>
      </w:pPr>
      <w:r>
        <w:rPr>
          <w:szCs w:val="21"/>
        </w:rPr>
        <w:t xml:space="preserve">Australia Awards Scholarships and Fellowships represent a very small proportion of overall Vietnamese students in Australia. However, they are targeted to areas of priority for Vietnam’s development that are agreed annually with the Government of Vietnam, and </w:t>
      </w:r>
      <w:r w:rsidR="00A93217">
        <w:rPr>
          <w:szCs w:val="21"/>
        </w:rPr>
        <w:t xml:space="preserve">they </w:t>
      </w:r>
      <w:r>
        <w:rPr>
          <w:szCs w:val="21"/>
        </w:rPr>
        <w:t>are highly valued by recipients, employers and the Government of Vietnam. Australia is one of the largest scholarship providers to Vietnam, although the Government of Vietnam remains the largest provider overall.</w:t>
      </w:r>
    </w:p>
    <w:p w:rsidR="006820D3" w:rsidRPr="00167551" w:rsidRDefault="006820D3" w:rsidP="00ED5A66">
      <w:pPr>
        <w:pStyle w:val="Caption"/>
      </w:pPr>
      <w:r w:rsidRPr="00167551">
        <w:t>Table</w:t>
      </w:r>
      <w:r w:rsidR="0083433F">
        <w:t xml:space="preserve"> </w:t>
      </w:r>
      <w:r w:rsidR="00FF18C2">
        <w:t>3</w:t>
      </w:r>
      <w:r w:rsidRPr="00167551">
        <w:t>: Australia Awards offered and completed in 2014</w:t>
      </w:r>
    </w:p>
    <w:tbl>
      <w:tblPr>
        <w:tblStyle w:val="TableGrid"/>
        <w:tblW w:w="0" w:type="auto"/>
        <w:tblLayout w:type="fixed"/>
        <w:tblLook w:val="04A0" w:firstRow="1" w:lastRow="0" w:firstColumn="1" w:lastColumn="0" w:noHBand="0" w:noVBand="1"/>
        <w:tblCaption w:val="Table 3: Australia Awards offered and completed in 2014"/>
        <w:tblDescription w:val="Table provides total and sex-disaggregated numbers of Australia Awards offered and completed in 2014, by award type."/>
      </w:tblPr>
      <w:tblGrid>
        <w:gridCol w:w="3369"/>
        <w:gridCol w:w="992"/>
        <w:gridCol w:w="850"/>
        <w:gridCol w:w="851"/>
        <w:gridCol w:w="850"/>
        <w:gridCol w:w="709"/>
        <w:gridCol w:w="992"/>
      </w:tblGrid>
      <w:tr w:rsidR="006820D3" w:rsidRPr="00596399" w:rsidTr="0083217B">
        <w:trPr>
          <w:tblHeader/>
        </w:trPr>
        <w:tc>
          <w:tcPr>
            <w:tcW w:w="3369" w:type="dxa"/>
          </w:tcPr>
          <w:p w:rsidR="006820D3" w:rsidRPr="00596399" w:rsidRDefault="006820D3" w:rsidP="00FC3F28">
            <w:pPr>
              <w:pStyle w:val="ListBullet"/>
              <w:numPr>
                <w:ilvl w:val="0"/>
                <w:numId w:val="0"/>
              </w:numPr>
              <w:tabs>
                <w:tab w:val="clear" w:pos="284"/>
              </w:tabs>
              <w:spacing w:after="0" w:line="240" w:lineRule="auto"/>
              <w:rPr>
                <w:b/>
                <w:sz w:val="16"/>
                <w:szCs w:val="16"/>
              </w:rPr>
            </w:pPr>
          </w:p>
        </w:tc>
        <w:tc>
          <w:tcPr>
            <w:tcW w:w="2693" w:type="dxa"/>
            <w:gridSpan w:val="3"/>
          </w:tcPr>
          <w:p w:rsidR="006820D3" w:rsidRPr="00596399" w:rsidRDefault="006820D3" w:rsidP="00FC3F28">
            <w:pPr>
              <w:pStyle w:val="ListBullet"/>
              <w:numPr>
                <w:ilvl w:val="0"/>
                <w:numId w:val="0"/>
              </w:numPr>
              <w:tabs>
                <w:tab w:val="clear" w:pos="284"/>
              </w:tabs>
              <w:spacing w:after="0" w:line="240" w:lineRule="auto"/>
              <w:rPr>
                <w:b/>
                <w:sz w:val="16"/>
                <w:szCs w:val="16"/>
              </w:rPr>
            </w:pPr>
            <w:r w:rsidRPr="00596399">
              <w:rPr>
                <w:b/>
                <w:sz w:val="16"/>
                <w:szCs w:val="16"/>
              </w:rPr>
              <w:t>New awards offered (2014)</w:t>
            </w:r>
          </w:p>
        </w:tc>
        <w:tc>
          <w:tcPr>
            <w:tcW w:w="2551" w:type="dxa"/>
            <w:gridSpan w:val="3"/>
          </w:tcPr>
          <w:p w:rsidR="006820D3" w:rsidRPr="00596399" w:rsidRDefault="006820D3" w:rsidP="00FC3F28">
            <w:pPr>
              <w:pStyle w:val="ListBullet"/>
              <w:numPr>
                <w:ilvl w:val="0"/>
                <w:numId w:val="0"/>
              </w:numPr>
              <w:tabs>
                <w:tab w:val="clear" w:pos="284"/>
              </w:tabs>
              <w:spacing w:after="0" w:line="240" w:lineRule="auto"/>
              <w:rPr>
                <w:b/>
                <w:sz w:val="16"/>
                <w:szCs w:val="16"/>
              </w:rPr>
            </w:pPr>
            <w:r w:rsidRPr="00596399">
              <w:rPr>
                <w:b/>
                <w:sz w:val="16"/>
                <w:szCs w:val="16"/>
              </w:rPr>
              <w:t>Awards completed (2014)</w:t>
            </w:r>
          </w:p>
        </w:tc>
      </w:tr>
      <w:tr w:rsidR="006820D3" w:rsidRPr="00596399" w:rsidTr="00FC3F28">
        <w:tc>
          <w:tcPr>
            <w:tcW w:w="3369" w:type="dxa"/>
          </w:tcPr>
          <w:p w:rsidR="006820D3" w:rsidRPr="00596399" w:rsidRDefault="006820D3" w:rsidP="00FC3F28">
            <w:pPr>
              <w:pStyle w:val="ListBullet"/>
              <w:numPr>
                <w:ilvl w:val="0"/>
                <w:numId w:val="0"/>
              </w:numPr>
              <w:tabs>
                <w:tab w:val="clear" w:pos="284"/>
              </w:tabs>
              <w:spacing w:after="0" w:line="240" w:lineRule="auto"/>
              <w:rPr>
                <w:b/>
                <w:sz w:val="16"/>
                <w:szCs w:val="16"/>
              </w:rPr>
            </w:pPr>
          </w:p>
        </w:tc>
        <w:tc>
          <w:tcPr>
            <w:tcW w:w="992" w:type="dxa"/>
          </w:tcPr>
          <w:p w:rsidR="006820D3" w:rsidRPr="00596399" w:rsidRDefault="006820D3" w:rsidP="00FC3F28">
            <w:pPr>
              <w:pStyle w:val="ListBullet"/>
              <w:numPr>
                <w:ilvl w:val="0"/>
                <w:numId w:val="0"/>
              </w:numPr>
              <w:tabs>
                <w:tab w:val="clear" w:pos="284"/>
              </w:tabs>
              <w:spacing w:after="0" w:line="240" w:lineRule="auto"/>
              <w:rPr>
                <w:b/>
                <w:sz w:val="16"/>
                <w:szCs w:val="16"/>
              </w:rPr>
            </w:pPr>
            <w:r w:rsidRPr="00596399">
              <w:rPr>
                <w:b/>
                <w:sz w:val="16"/>
                <w:szCs w:val="16"/>
              </w:rPr>
              <w:t>Total</w:t>
            </w:r>
          </w:p>
        </w:tc>
        <w:tc>
          <w:tcPr>
            <w:tcW w:w="850" w:type="dxa"/>
          </w:tcPr>
          <w:p w:rsidR="006820D3" w:rsidRPr="00596399" w:rsidRDefault="006820D3" w:rsidP="00FC3F28">
            <w:pPr>
              <w:pStyle w:val="ListBullet"/>
              <w:numPr>
                <w:ilvl w:val="0"/>
                <w:numId w:val="0"/>
              </w:numPr>
              <w:tabs>
                <w:tab w:val="clear" w:pos="284"/>
              </w:tabs>
              <w:spacing w:after="0" w:line="240" w:lineRule="auto"/>
              <w:rPr>
                <w:b/>
                <w:sz w:val="16"/>
                <w:szCs w:val="16"/>
              </w:rPr>
            </w:pPr>
            <w:r w:rsidRPr="00596399">
              <w:rPr>
                <w:b/>
                <w:sz w:val="16"/>
                <w:szCs w:val="16"/>
              </w:rPr>
              <w:t>Male</w:t>
            </w:r>
          </w:p>
        </w:tc>
        <w:tc>
          <w:tcPr>
            <w:tcW w:w="851" w:type="dxa"/>
          </w:tcPr>
          <w:p w:rsidR="006820D3" w:rsidRPr="00596399" w:rsidRDefault="006820D3" w:rsidP="00FC3F28">
            <w:pPr>
              <w:pStyle w:val="ListBullet"/>
              <w:numPr>
                <w:ilvl w:val="0"/>
                <w:numId w:val="0"/>
              </w:numPr>
              <w:tabs>
                <w:tab w:val="clear" w:pos="284"/>
              </w:tabs>
              <w:spacing w:after="0" w:line="240" w:lineRule="auto"/>
              <w:rPr>
                <w:b/>
                <w:sz w:val="16"/>
                <w:szCs w:val="16"/>
              </w:rPr>
            </w:pPr>
            <w:r w:rsidRPr="00596399">
              <w:rPr>
                <w:b/>
                <w:sz w:val="16"/>
                <w:szCs w:val="16"/>
              </w:rPr>
              <w:t>Female</w:t>
            </w:r>
          </w:p>
        </w:tc>
        <w:tc>
          <w:tcPr>
            <w:tcW w:w="850" w:type="dxa"/>
          </w:tcPr>
          <w:p w:rsidR="006820D3" w:rsidRPr="00596399" w:rsidRDefault="006820D3" w:rsidP="00FC3F28">
            <w:pPr>
              <w:pStyle w:val="ListBullet"/>
              <w:numPr>
                <w:ilvl w:val="0"/>
                <w:numId w:val="0"/>
              </w:numPr>
              <w:tabs>
                <w:tab w:val="clear" w:pos="284"/>
              </w:tabs>
              <w:spacing w:after="0" w:line="240" w:lineRule="auto"/>
              <w:rPr>
                <w:b/>
                <w:sz w:val="16"/>
                <w:szCs w:val="16"/>
              </w:rPr>
            </w:pPr>
            <w:r w:rsidRPr="00596399">
              <w:rPr>
                <w:b/>
                <w:sz w:val="16"/>
                <w:szCs w:val="16"/>
              </w:rPr>
              <w:t>Total</w:t>
            </w:r>
          </w:p>
        </w:tc>
        <w:tc>
          <w:tcPr>
            <w:tcW w:w="709" w:type="dxa"/>
          </w:tcPr>
          <w:p w:rsidR="006820D3" w:rsidRPr="00596399" w:rsidRDefault="006820D3" w:rsidP="00FC3F28">
            <w:pPr>
              <w:pStyle w:val="ListBullet"/>
              <w:numPr>
                <w:ilvl w:val="0"/>
                <w:numId w:val="0"/>
              </w:numPr>
              <w:tabs>
                <w:tab w:val="clear" w:pos="284"/>
              </w:tabs>
              <w:spacing w:after="0" w:line="240" w:lineRule="auto"/>
              <w:rPr>
                <w:b/>
                <w:sz w:val="16"/>
                <w:szCs w:val="16"/>
              </w:rPr>
            </w:pPr>
            <w:r w:rsidRPr="00596399">
              <w:rPr>
                <w:b/>
                <w:sz w:val="16"/>
                <w:szCs w:val="16"/>
              </w:rPr>
              <w:t>Male</w:t>
            </w:r>
          </w:p>
        </w:tc>
        <w:tc>
          <w:tcPr>
            <w:tcW w:w="992" w:type="dxa"/>
          </w:tcPr>
          <w:p w:rsidR="006820D3" w:rsidRPr="00596399" w:rsidRDefault="006820D3" w:rsidP="00FC3F28">
            <w:pPr>
              <w:pStyle w:val="ListBullet"/>
              <w:numPr>
                <w:ilvl w:val="0"/>
                <w:numId w:val="0"/>
              </w:numPr>
              <w:tabs>
                <w:tab w:val="clear" w:pos="284"/>
              </w:tabs>
              <w:spacing w:after="0" w:line="240" w:lineRule="auto"/>
              <w:rPr>
                <w:b/>
                <w:sz w:val="16"/>
                <w:szCs w:val="16"/>
              </w:rPr>
            </w:pPr>
            <w:r w:rsidRPr="00596399">
              <w:rPr>
                <w:b/>
                <w:sz w:val="16"/>
                <w:szCs w:val="16"/>
              </w:rPr>
              <w:t>Female</w:t>
            </w:r>
          </w:p>
        </w:tc>
      </w:tr>
      <w:tr w:rsidR="006820D3" w:rsidRPr="00596399" w:rsidTr="00FC3F28">
        <w:tc>
          <w:tcPr>
            <w:tcW w:w="3369" w:type="dxa"/>
          </w:tcPr>
          <w:p w:rsidR="006820D3" w:rsidRPr="00596399" w:rsidRDefault="006820D3" w:rsidP="00FC3F28">
            <w:pPr>
              <w:pStyle w:val="ListBullet"/>
              <w:numPr>
                <w:ilvl w:val="0"/>
                <w:numId w:val="0"/>
              </w:numPr>
              <w:tabs>
                <w:tab w:val="clear" w:pos="284"/>
              </w:tabs>
              <w:spacing w:after="0" w:line="240" w:lineRule="auto"/>
              <w:rPr>
                <w:b/>
                <w:sz w:val="16"/>
                <w:szCs w:val="16"/>
              </w:rPr>
            </w:pPr>
            <w:r w:rsidRPr="00596399">
              <w:rPr>
                <w:b/>
                <w:sz w:val="16"/>
                <w:szCs w:val="16"/>
              </w:rPr>
              <w:t>Australia Awards Scholarships</w:t>
            </w:r>
            <w:r w:rsidRPr="00596399">
              <w:rPr>
                <w:rStyle w:val="FootnoteReference"/>
                <w:szCs w:val="16"/>
              </w:rPr>
              <w:footnoteReference w:id="8"/>
            </w:r>
          </w:p>
        </w:tc>
        <w:tc>
          <w:tcPr>
            <w:tcW w:w="992"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185</w:t>
            </w:r>
          </w:p>
        </w:tc>
        <w:tc>
          <w:tcPr>
            <w:tcW w:w="850"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70</w:t>
            </w:r>
          </w:p>
        </w:tc>
        <w:tc>
          <w:tcPr>
            <w:tcW w:w="851"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115</w:t>
            </w:r>
          </w:p>
        </w:tc>
        <w:tc>
          <w:tcPr>
            <w:tcW w:w="850"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228</w:t>
            </w:r>
          </w:p>
        </w:tc>
        <w:tc>
          <w:tcPr>
            <w:tcW w:w="709"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102</w:t>
            </w:r>
          </w:p>
        </w:tc>
        <w:tc>
          <w:tcPr>
            <w:tcW w:w="992"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126</w:t>
            </w:r>
          </w:p>
        </w:tc>
      </w:tr>
      <w:tr w:rsidR="006820D3" w:rsidRPr="00596399" w:rsidTr="00FC3F28">
        <w:tc>
          <w:tcPr>
            <w:tcW w:w="3369" w:type="dxa"/>
          </w:tcPr>
          <w:p w:rsidR="006820D3" w:rsidRPr="00596399" w:rsidRDefault="006820D3" w:rsidP="00FC3F28">
            <w:pPr>
              <w:pStyle w:val="ListBullet"/>
              <w:numPr>
                <w:ilvl w:val="0"/>
                <w:numId w:val="0"/>
              </w:numPr>
              <w:tabs>
                <w:tab w:val="clear" w:pos="284"/>
              </w:tabs>
              <w:spacing w:after="0" w:line="240" w:lineRule="auto"/>
              <w:rPr>
                <w:b/>
                <w:sz w:val="16"/>
                <w:szCs w:val="16"/>
              </w:rPr>
            </w:pPr>
            <w:r w:rsidRPr="00596399">
              <w:rPr>
                <w:b/>
                <w:sz w:val="16"/>
                <w:szCs w:val="16"/>
              </w:rPr>
              <w:t>Australia Awards Fellowships</w:t>
            </w:r>
            <w:r w:rsidRPr="00596399">
              <w:rPr>
                <w:rStyle w:val="FootnoteReference"/>
                <w:szCs w:val="16"/>
              </w:rPr>
              <w:footnoteReference w:id="9"/>
            </w:r>
          </w:p>
        </w:tc>
        <w:tc>
          <w:tcPr>
            <w:tcW w:w="992"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142</w:t>
            </w:r>
          </w:p>
        </w:tc>
        <w:tc>
          <w:tcPr>
            <w:tcW w:w="850"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80</w:t>
            </w:r>
          </w:p>
        </w:tc>
        <w:tc>
          <w:tcPr>
            <w:tcW w:w="851"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61</w:t>
            </w:r>
          </w:p>
        </w:tc>
        <w:tc>
          <w:tcPr>
            <w:tcW w:w="850"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n/a</w:t>
            </w:r>
          </w:p>
        </w:tc>
        <w:tc>
          <w:tcPr>
            <w:tcW w:w="709"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n/a</w:t>
            </w:r>
          </w:p>
        </w:tc>
        <w:tc>
          <w:tcPr>
            <w:tcW w:w="992"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n/a</w:t>
            </w:r>
          </w:p>
        </w:tc>
      </w:tr>
      <w:tr w:rsidR="006820D3" w:rsidRPr="00596399" w:rsidTr="00FC3F28">
        <w:tc>
          <w:tcPr>
            <w:tcW w:w="3369" w:type="dxa"/>
          </w:tcPr>
          <w:p w:rsidR="006820D3" w:rsidRPr="00596399" w:rsidRDefault="006820D3" w:rsidP="00FC3F28">
            <w:pPr>
              <w:pStyle w:val="ListBullet"/>
              <w:numPr>
                <w:ilvl w:val="0"/>
                <w:numId w:val="0"/>
              </w:numPr>
              <w:tabs>
                <w:tab w:val="clear" w:pos="284"/>
              </w:tabs>
              <w:spacing w:after="0" w:line="240" w:lineRule="auto"/>
              <w:rPr>
                <w:b/>
                <w:sz w:val="16"/>
                <w:szCs w:val="16"/>
              </w:rPr>
            </w:pPr>
            <w:r w:rsidRPr="00596399">
              <w:rPr>
                <w:b/>
                <w:sz w:val="16"/>
                <w:szCs w:val="16"/>
              </w:rPr>
              <w:t>Australia Awards John Allwright Fellowships</w:t>
            </w:r>
            <w:r w:rsidRPr="00596399">
              <w:rPr>
                <w:rStyle w:val="FootnoteReference"/>
                <w:szCs w:val="16"/>
              </w:rPr>
              <w:footnoteReference w:id="10"/>
            </w:r>
          </w:p>
        </w:tc>
        <w:tc>
          <w:tcPr>
            <w:tcW w:w="992"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6</w:t>
            </w:r>
          </w:p>
        </w:tc>
        <w:tc>
          <w:tcPr>
            <w:tcW w:w="850"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5</w:t>
            </w:r>
          </w:p>
        </w:tc>
        <w:tc>
          <w:tcPr>
            <w:tcW w:w="851"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1</w:t>
            </w:r>
          </w:p>
        </w:tc>
        <w:tc>
          <w:tcPr>
            <w:tcW w:w="850"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5</w:t>
            </w:r>
          </w:p>
        </w:tc>
        <w:tc>
          <w:tcPr>
            <w:tcW w:w="709"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4</w:t>
            </w:r>
          </w:p>
        </w:tc>
        <w:tc>
          <w:tcPr>
            <w:tcW w:w="992"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1</w:t>
            </w:r>
          </w:p>
        </w:tc>
      </w:tr>
      <w:tr w:rsidR="006820D3" w:rsidRPr="00596399" w:rsidTr="00FC3F28">
        <w:tc>
          <w:tcPr>
            <w:tcW w:w="3369" w:type="dxa"/>
          </w:tcPr>
          <w:p w:rsidR="006820D3" w:rsidRPr="00596399" w:rsidRDefault="006820D3" w:rsidP="00FC3F28">
            <w:pPr>
              <w:pStyle w:val="ListBullet"/>
              <w:numPr>
                <w:ilvl w:val="0"/>
                <w:numId w:val="0"/>
              </w:numPr>
              <w:tabs>
                <w:tab w:val="clear" w:pos="284"/>
              </w:tabs>
              <w:spacing w:after="0" w:line="240" w:lineRule="auto"/>
              <w:rPr>
                <w:b/>
                <w:sz w:val="16"/>
                <w:szCs w:val="16"/>
              </w:rPr>
            </w:pPr>
            <w:r w:rsidRPr="00596399">
              <w:rPr>
                <w:b/>
                <w:sz w:val="16"/>
                <w:szCs w:val="16"/>
              </w:rPr>
              <w:t>Australia Awards Endeavour Scholarships</w:t>
            </w:r>
            <w:r w:rsidRPr="00596399">
              <w:rPr>
                <w:rStyle w:val="FootnoteReference"/>
                <w:szCs w:val="16"/>
              </w:rPr>
              <w:footnoteReference w:id="11"/>
            </w:r>
          </w:p>
        </w:tc>
        <w:tc>
          <w:tcPr>
            <w:tcW w:w="992"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28</w:t>
            </w:r>
          </w:p>
        </w:tc>
        <w:tc>
          <w:tcPr>
            <w:tcW w:w="850"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6</w:t>
            </w:r>
          </w:p>
        </w:tc>
        <w:tc>
          <w:tcPr>
            <w:tcW w:w="851"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22</w:t>
            </w:r>
          </w:p>
        </w:tc>
        <w:tc>
          <w:tcPr>
            <w:tcW w:w="850" w:type="dxa"/>
            <w:vMerge w:val="restart"/>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19</w:t>
            </w:r>
          </w:p>
        </w:tc>
        <w:tc>
          <w:tcPr>
            <w:tcW w:w="709" w:type="dxa"/>
            <w:vMerge w:val="restart"/>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8</w:t>
            </w:r>
          </w:p>
        </w:tc>
        <w:tc>
          <w:tcPr>
            <w:tcW w:w="992" w:type="dxa"/>
            <w:vMerge w:val="restart"/>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11</w:t>
            </w:r>
          </w:p>
        </w:tc>
      </w:tr>
      <w:tr w:rsidR="006820D3" w:rsidRPr="00596399" w:rsidTr="00FC3F28">
        <w:tc>
          <w:tcPr>
            <w:tcW w:w="3369" w:type="dxa"/>
          </w:tcPr>
          <w:p w:rsidR="006820D3" w:rsidRPr="00596399" w:rsidRDefault="006820D3" w:rsidP="00FC3F28">
            <w:pPr>
              <w:pStyle w:val="ListBullet"/>
              <w:numPr>
                <w:ilvl w:val="0"/>
                <w:numId w:val="0"/>
              </w:numPr>
              <w:tabs>
                <w:tab w:val="clear" w:pos="284"/>
              </w:tabs>
              <w:spacing w:after="0" w:line="240" w:lineRule="auto"/>
              <w:rPr>
                <w:b/>
                <w:sz w:val="16"/>
                <w:szCs w:val="16"/>
              </w:rPr>
            </w:pPr>
            <w:r w:rsidRPr="00596399">
              <w:rPr>
                <w:b/>
                <w:sz w:val="16"/>
                <w:szCs w:val="16"/>
              </w:rPr>
              <w:t>Australia Awards Endeavour Fellowships</w:t>
            </w:r>
            <w:r w:rsidRPr="00596399">
              <w:rPr>
                <w:rStyle w:val="FootnoteReference"/>
                <w:szCs w:val="16"/>
              </w:rPr>
              <w:footnoteReference w:id="12"/>
            </w:r>
          </w:p>
        </w:tc>
        <w:tc>
          <w:tcPr>
            <w:tcW w:w="992"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16</w:t>
            </w:r>
          </w:p>
        </w:tc>
        <w:tc>
          <w:tcPr>
            <w:tcW w:w="850"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10</w:t>
            </w:r>
          </w:p>
        </w:tc>
        <w:tc>
          <w:tcPr>
            <w:tcW w:w="851" w:type="dxa"/>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sz w:val="16"/>
                <w:szCs w:val="16"/>
              </w:rPr>
              <w:t>6</w:t>
            </w:r>
          </w:p>
        </w:tc>
        <w:tc>
          <w:tcPr>
            <w:tcW w:w="850" w:type="dxa"/>
            <w:vMerge/>
          </w:tcPr>
          <w:p w:rsidR="006820D3" w:rsidRPr="00596399" w:rsidRDefault="006820D3" w:rsidP="00FC3F28">
            <w:pPr>
              <w:pStyle w:val="ListBullet"/>
              <w:numPr>
                <w:ilvl w:val="0"/>
                <w:numId w:val="0"/>
              </w:numPr>
              <w:tabs>
                <w:tab w:val="clear" w:pos="284"/>
              </w:tabs>
              <w:spacing w:after="0" w:line="240" w:lineRule="auto"/>
              <w:rPr>
                <w:sz w:val="16"/>
                <w:szCs w:val="16"/>
              </w:rPr>
            </w:pPr>
          </w:p>
        </w:tc>
        <w:tc>
          <w:tcPr>
            <w:tcW w:w="709" w:type="dxa"/>
            <w:vMerge/>
          </w:tcPr>
          <w:p w:rsidR="006820D3" w:rsidRPr="00596399" w:rsidRDefault="006820D3" w:rsidP="00FC3F28">
            <w:pPr>
              <w:pStyle w:val="ListBullet"/>
              <w:numPr>
                <w:ilvl w:val="0"/>
                <w:numId w:val="0"/>
              </w:numPr>
              <w:tabs>
                <w:tab w:val="clear" w:pos="284"/>
              </w:tabs>
              <w:spacing w:after="0" w:line="240" w:lineRule="auto"/>
              <w:rPr>
                <w:sz w:val="16"/>
                <w:szCs w:val="16"/>
              </w:rPr>
            </w:pPr>
          </w:p>
        </w:tc>
        <w:tc>
          <w:tcPr>
            <w:tcW w:w="992" w:type="dxa"/>
            <w:vMerge/>
          </w:tcPr>
          <w:p w:rsidR="006820D3" w:rsidRPr="00596399" w:rsidRDefault="006820D3" w:rsidP="00FC3F28">
            <w:pPr>
              <w:pStyle w:val="ListBullet"/>
              <w:numPr>
                <w:ilvl w:val="0"/>
                <w:numId w:val="0"/>
              </w:numPr>
              <w:tabs>
                <w:tab w:val="clear" w:pos="284"/>
              </w:tabs>
              <w:spacing w:after="0" w:line="240" w:lineRule="auto"/>
              <w:rPr>
                <w:sz w:val="16"/>
                <w:szCs w:val="16"/>
              </w:rPr>
            </w:pPr>
          </w:p>
        </w:tc>
      </w:tr>
      <w:tr w:rsidR="006820D3" w:rsidRPr="00596399" w:rsidTr="00FC3F28">
        <w:tc>
          <w:tcPr>
            <w:tcW w:w="3369" w:type="dxa"/>
          </w:tcPr>
          <w:p w:rsidR="006820D3" w:rsidRPr="00596399" w:rsidRDefault="006820D3" w:rsidP="00FC3F28">
            <w:pPr>
              <w:pStyle w:val="ListBullet"/>
              <w:numPr>
                <w:ilvl w:val="0"/>
                <w:numId w:val="0"/>
              </w:numPr>
              <w:tabs>
                <w:tab w:val="clear" w:pos="284"/>
              </w:tabs>
              <w:spacing w:after="0" w:line="240" w:lineRule="auto"/>
              <w:rPr>
                <w:b/>
                <w:sz w:val="16"/>
                <w:szCs w:val="16"/>
              </w:rPr>
            </w:pPr>
            <w:r w:rsidRPr="00596399">
              <w:rPr>
                <w:b/>
                <w:sz w:val="16"/>
                <w:szCs w:val="16"/>
              </w:rPr>
              <w:t>TOTAL</w:t>
            </w:r>
          </w:p>
        </w:tc>
        <w:tc>
          <w:tcPr>
            <w:tcW w:w="992" w:type="dxa"/>
            <w:vAlign w:val="center"/>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rFonts w:cs="Calibri"/>
                <w:color w:val="000000"/>
                <w:sz w:val="16"/>
                <w:szCs w:val="16"/>
              </w:rPr>
              <w:t>377</w:t>
            </w:r>
          </w:p>
        </w:tc>
        <w:tc>
          <w:tcPr>
            <w:tcW w:w="850" w:type="dxa"/>
            <w:vAlign w:val="center"/>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rFonts w:cs="Calibri"/>
                <w:color w:val="000000"/>
                <w:sz w:val="16"/>
                <w:szCs w:val="16"/>
              </w:rPr>
              <w:t>171</w:t>
            </w:r>
          </w:p>
        </w:tc>
        <w:tc>
          <w:tcPr>
            <w:tcW w:w="851" w:type="dxa"/>
            <w:vAlign w:val="center"/>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rFonts w:cs="Calibri"/>
                <w:color w:val="000000"/>
                <w:sz w:val="16"/>
                <w:szCs w:val="16"/>
              </w:rPr>
              <w:t>205</w:t>
            </w:r>
          </w:p>
        </w:tc>
        <w:tc>
          <w:tcPr>
            <w:tcW w:w="850" w:type="dxa"/>
            <w:vAlign w:val="center"/>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rFonts w:cs="Calibri"/>
                <w:color w:val="000000"/>
                <w:sz w:val="16"/>
                <w:szCs w:val="16"/>
              </w:rPr>
              <w:t>252</w:t>
            </w:r>
          </w:p>
        </w:tc>
        <w:tc>
          <w:tcPr>
            <w:tcW w:w="709" w:type="dxa"/>
            <w:vAlign w:val="center"/>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rFonts w:cs="Calibri"/>
                <w:color w:val="000000"/>
                <w:sz w:val="16"/>
                <w:szCs w:val="16"/>
              </w:rPr>
              <w:t>114</w:t>
            </w:r>
          </w:p>
        </w:tc>
        <w:tc>
          <w:tcPr>
            <w:tcW w:w="992" w:type="dxa"/>
            <w:vAlign w:val="center"/>
          </w:tcPr>
          <w:p w:rsidR="006820D3" w:rsidRPr="00596399" w:rsidRDefault="006820D3" w:rsidP="00FC3F28">
            <w:pPr>
              <w:pStyle w:val="ListBullet"/>
              <w:numPr>
                <w:ilvl w:val="0"/>
                <w:numId w:val="0"/>
              </w:numPr>
              <w:tabs>
                <w:tab w:val="clear" w:pos="284"/>
              </w:tabs>
              <w:spacing w:after="0" w:line="240" w:lineRule="auto"/>
              <w:rPr>
                <w:sz w:val="16"/>
                <w:szCs w:val="16"/>
              </w:rPr>
            </w:pPr>
            <w:r w:rsidRPr="00596399">
              <w:rPr>
                <w:rFonts w:cs="Calibri"/>
                <w:color w:val="000000"/>
                <w:sz w:val="16"/>
                <w:szCs w:val="16"/>
              </w:rPr>
              <w:t>138</w:t>
            </w:r>
          </w:p>
        </w:tc>
      </w:tr>
    </w:tbl>
    <w:p w:rsidR="00AD0D0C" w:rsidRPr="00AD0D0C" w:rsidRDefault="00AD0D0C" w:rsidP="00F1413A">
      <w:pPr>
        <w:pStyle w:val="BodyText"/>
        <w:spacing w:before="240"/>
      </w:pPr>
      <w:r>
        <w:t xml:space="preserve">There are over 5,300 </w:t>
      </w:r>
      <w:r w:rsidRPr="0024468A">
        <w:t>Australia Awards</w:t>
      </w:r>
      <w:r w:rsidR="00FC3F28">
        <w:t xml:space="preserve"> </w:t>
      </w:r>
      <w:r w:rsidRPr="0024468A">
        <w:t xml:space="preserve">alumni </w:t>
      </w:r>
      <w:r>
        <w:t>from Vietnam</w:t>
      </w:r>
      <w:r w:rsidR="00730CE3">
        <w:t>,</w:t>
      </w:r>
      <w:r>
        <w:t xml:space="preserve"> dating back to the 1970s</w:t>
      </w:r>
      <w:r w:rsidR="00AA7604">
        <w:t>. They are</w:t>
      </w:r>
      <w:r>
        <w:t xml:space="preserve"> </w:t>
      </w:r>
      <w:r w:rsidR="00AA7604">
        <w:t>a key source of evidence of the effectiveness of the Australia Awards and</w:t>
      </w:r>
      <w:r>
        <w:t xml:space="preserve"> a vehicle for public diplomacy efforts</w:t>
      </w:r>
      <w:r w:rsidRPr="0024468A">
        <w:t>.</w:t>
      </w:r>
      <w:r>
        <w:t xml:space="preserve"> In 2014-15</w:t>
      </w:r>
      <w:r w:rsidR="00E70051">
        <w:t xml:space="preserve"> a number of activities</w:t>
      </w:r>
      <w:r>
        <w:t xml:space="preserve"> </w:t>
      </w:r>
      <w:r w:rsidR="00E70051" w:rsidRPr="00AD0D0C">
        <w:t>helped to promote the positive image of Au</w:t>
      </w:r>
      <w:r w:rsidR="00E70051">
        <w:t xml:space="preserve">stralia and study in Australia: </w:t>
      </w:r>
      <w:r>
        <w:t>the pre-departure briefing for Australi</w:t>
      </w:r>
      <w:r w:rsidR="00DF64F4">
        <w:t>a Awards Scholarship recipients</w:t>
      </w:r>
      <w:r w:rsidR="00E70051">
        <w:t>;</w:t>
      </w:r>
      <w:r w:rsidR="00DF64F4">
        <w:t xml:space="preserve"> </w:t>
      </w:r>
      <w:r>
        <w:t xml:space="preserve">several large </w:t>
      </w:r>
      <w:r w:rsidRPr="00AD0D0C">
        <w:t>alumni events</w:t>
      </w:r>
      <w:r w:rsidR="00E70051">
        <w:t>;</w:t>
      </w:r>
      <w:r w:rsidRPr="00AD0D0C">
        <w:t xml:space="preserve"> </w:t>
      </w:r>
      <w:r w:rsidR="00DF64F4">
        <w:t xml:space="preserve">and engagement through </w:t>
      </w:r>
      <w:r w:rsidR="00DF64F4" w:rsidRPr="00AD0D0C">
        <w:t>online and social media</w:t>
      </w:r>
      <w:r w:rsidR="00DF64F4">
        <w:t>.</w:t>
      </w:r>
      <w:r w:rsidRPr="00AD0D0C">
        <w:t xml:space="preserve"> </w:t>
      </w:r>
    </w:p>
    <w:p w:rsidR="00A67E2E" w:rsidRDefault="00A67E2E" w:rsidP="00ED5A66">
      <w:pPr>
        <w:pStyle w:val="BodyText"/>
      </w:pPr>
      <w:r>
        <w:t xml:space="preserve">A tracer study of Australia Awards Scholarships alumni </w:t>
      </w:r>
      <w:r w:rsidRPr="0024468A">
        <w:t>who had returned to Vietnam since 1998</w:t>
      </w:r>
      <w:r>
        <w:t xml:space="preserve"> was conducted in 2014</w:t>
      </w:r>
      <w:r w:rsidR="00AA7604">
        <w:t>. It</w:t>
      </w:r>
      <w:r>
        <w:t xml:space="preserve"> showed that the Australia Awards Vietnam program is largely achieving its intended outcomes. Of the 785 respondents</w:t>
      </w:r>
      <w:r>
        <w:rPr>
          <w:rStyle w:val="FootnoteReference"/>
        </w:rPr>
        <w:footnoteReference w:id="13"/>
      </w:r>
      <w:r>
        <w:t xml:space="preserve">, </w:t>
      </w:r>
      <w:r w:rsidRPr="0024468A">
        <w:t xml:space="preserve">89 per cent reported having gained knowledge and skills in Australia that had relevance to Vietnam’s development priorities. Governance, financial management and economics were the areas in which alumni contributed most significantly. Alumni were very active volunteers in their local communities, and 55 per cent of respondents reported professional or business links between their organisation </w:t>
      </w:r>
      <w:r>
        <w:t>and an Australian organisation.</w:t>
      </w:r>
    </w:p>
    <w:p w:rsidR="00A67E2E" w:rsidRDefault="00A67E2E" w:rsidP="00ED5A66">
      <w:pPr>
        <w:pStyle w:val="BodyText"/>
      </w:pPr>
      <w:r>
        <w:t>Although the results of the tracer study were good overall, it also showed that t</w:t>
      </w:r>
      <w:r w:rsidRPr="007A2472">
        <w:t xml:space="preserve">he reintegration experience </w:t>
      </w:r>
      <w:r w:rsidRPr="004058DA">
        <w:t>var</w:t>
      </w:r>
      <w:r>
        <w:t>ie</w:t>
      </w:r>
      <w:r w:rsidR="00AA7604">
        <w:t>d</w:t>
      </w:r>
      <w:r w:rsidRPr="007A2472">
        <w:t xml:space="preserve"> for alumni </w:t>
      </w:r>
      <w:r w:rsidRPr="004058DA">
        <w:t>in different types of organisations</w:t>
      </w:r>
      <w:r>
        <w:t xml:space="preserve">. Generally, </w:t>
      </w:r>
      <w:r w:rsidRPr="00167551">
        <w:t xml:space="preserve">alumni whose organisation had a link with an Australian organisation </w:t>
      </w:r>
      <w:r w:rsidR="00E70051">
        <w:t xml:space="preserve">reported better outcomes </w:t>
      </w:r>
      <w:r w:rsidRPr="00167551">
        <w:t xml:space="preserve">than those whose organisation did not. </w:t>
      </w:r>
      <w:r w:rsidRPr="00F1413A">
        <w:t xml:space="preserve">Recommendations to address these issues have informed the new HRD </w:t>
      </w:r>
      <w:r w:rsidR="00730CE3" w:rsidRPr="00F1413A">
        <w:t>program</w:t>
      </w:r>
      <w:r w:rsidRPr="00F1413A">
        <w:t xml:space="preserve">, such as specifically facilitating linkages while awardees are </w:t>
      </w:r>
      <w:r w:rsidR="00730CE3" w:rsidRPr="00F1413A">
        <w:t>in Australia</w:t>
      </w:r>
      <w:r w:rsidRPr="00F1413A">
        <w:t>, and linkages between alumni and organisations in the private sector.</w:t>
      </w:r>
      <w:r>
        <w:t xml:space="preserve"> </w:t>
      </w:r>
    </w:p>
    <w:p w:rsidR="00A67E2E" w:rsidRDefault="00A67E2E" w:rsidP="00ED5A66">
      <w:pPr>
        <w:pStyle w:val="BodyText"/>
        <w:rPr>
          <w:rFonts w:cs="FranklinGothic-Book"/>
        </w:rPr>
      </w:pPr>
      <w:r>
        <w:rPr>
          <w:rFonts w:cs="FranklinGothic-Book"/>
        </w:rPr>
        <w:t xml:space="preserve">The tracer study also showed that although women have consistently accounted for over 60 per cent of all scholars over the past five years, </w:t>
      </w:r>
      <w:r w:rsidRPr="00F1413A">
        <w:rPr>
          <w:rFonts w:cs="FranklinGothic-Book"/>
        </w:rPr>
        <w:t xml:space="preserve">there is a gender gap </w:t>
      </w:r>
      <w:r w:rsidR="00730CE3" w:rsidRPr="00F1413A">
        <w:rPr>
          <w:rFonts w:cs="FranklinGothic-Book"/>
        </w:rPr>
        <w:t>in outcomes</w:t>
      </w:r>
      <w:r>
        <w:rPr>
          <w:rFonts w:cs="FranklinGothic-Book"/>
        </w:rPr>
        <w:t xml:space="preserve">. Among recently returned alumni, men were almost 50 per cent more likely than women to be in a management </w:t>
      </w:r>
      <w:r>
        <w:rPr>
          <w:rFonts w:cs="FranklinGothic-Book"/>
        </w:rPr>
        <w:lastRenderedPageBreak/>
        <w:t>position, men were more likely to be promoted at work</w:t>
      </w:r>
      <w:r w:rsidR="00730CE3">
        <w:rPr>
          <w:rFonts w:cs="FranklinGothic-Book"/>
        </w:rPr>
        <w:t>,</w:t>
      </w:r>
      <w:r>
        <w:rPr>
          <w:rFonts w:cs="FranklinGothic-Book"/>
        </w:rPr>
        <w:t xml:space="preserve"> and a greater percentage of male alumni returned to a higher position than women</w:t>
      </w:r>
      <w:r>
        <w:rPr>
          <w:rStyle w:val="FootnoteReference"/>
          <w:rFonts w:cs="FranklinGothic-Book"/>
        </w:rPr>
        <w:footnoteReference w:id="14"/>
      </w:r>
      <w:r>
        <w:rPr>
          <w:rFonts w:cs="FranklinGothic-Book"/>
        </w:rPr>
        <w:t xml:space="preserve">. The program therefore undertook a study in 2014 to explore the issues and identify strategies for promoting leadership pathways for female alumni to be implemented in the </w:t>
      </w:r>
      <w:r w:rsidR="00730CE3">
        <w:rPr>
          <w:rFonts w:cs="FranklinGothic-Book"/>
        </w:rPr>
        <w:t>new</w:t>
      </w:r>
      <w:r>
        <w:rPr>
          <w:rFonts w:cs="FranklinGothic-Book"/>
        </w:rPr>
        <w:t xml:space="preserve"> HRD program. </w:t>
      </w:r>
    </w:p>
    <w:p w:rsidR="00A67E2E" w:rsidRDefault="00A67E2E" w:rsidP="00ED5A66">
      <w:pPr>
        <w:pStyle w:val="BodyText"/>
        <w:rPr>
          <w:rFonts w:cs="FranklinGothic-Book"/>
        </w:rPr>
      </w:pPr>
      <w:r>
        <w:rPr>
          <w:rFonts w:cs="FranklinGothic-Book"/>
        </w:rPr>
        <w:t>Progress, if slow, is being made on social inclusion, and it continued to be a focus of the Australia Awards Vietnam program</w:t>
      </w:r>
      <w:r w:rsidRPr="00F07992">
        <w:rPr>
          <w:rFonts w:cs="FranklinGothic-Book"/>
        </w:rPr>
        <w:t>. Seven scholarships were awarded to people with disability (including five women) and 28 to people from rural, disadvantaged areas. This total of 35 is a steady increase from 33 in 2013-14 and 14 in 2012-13.</w:t>
      </w:r>
      <w:r>
        <w:rPr>
          <w:rFonts w:cs="FranklinGothic-Book"/>
        </w:rPr>
        <w:t xml:space="preserve"> The increase is as a result of more intensive promotion of the program’s disability policy to Disabled People</w:t>
      </w:r>
      <w:r w:rsidR="00607A9A">
        <w:rPr>
          <w:rFonts w:cs="FranklinGothic-Book"/>
        </w:rPr>
        <w:t>’s</w:t>
      </w:r>
      <w:r>
        <w:rPr>
          <w:rFonts w:cs="FranklinGothic-Book"/>
        </w:rPr>
        <w:t xml:space="preserve"> Organisations and increased dissemination of information through online news and social media. Scholarships were awarded to 14 candidates from ethnic minorities (including nine women) in 2014, as compared to 10 (including five women) in 2013. In 2014, thirteen people with disabilities and two </w:t>
      </w:r>
      <w:r w:rsidR="00473E29">
        <w:rPr>
          <w:rFonts w:cs="FranklinGothic-Book"/>
        </w:rPr>
        <w:t xml:space="preserve">from </w:t>
      </w:r>
      <w:r>
        <w:rPr>
          <w:rFonts w:cs="FranklinGothic-Book"/>
        </w:rPr>
        <w:t xml:space="preserve">rural disadvantaged </w:t>
      </w:r>
      <w:r w:rsidR="00473E29">
        <w:rPr>
          <w:rFonts w:cs="FranklinGothic-Book"/>
        </w:rPr>
        <w:t xml:space="preserve">areas </w:t>
      </w:r>
      <w:r>
        <w:rPr>
          <w:rFonts w:cs="FranklinGothic-Book"/>
        </w:rPr>
        <w:t>received additional support to enable their full participation in the Australia Awards.</w:t>
      </w:r>
    </w:p>
    <w:p w:rsidR="00A67E2E" w:rsidRDefault="00A67E2E" w:rsidP="00ED5A66">
      <w:pPr>
        <w:pStyle w:val="BodyText"/>
        <w:rPr>
          <w:rFonts w:cs="FranklinGothic-Book"/>
        </w:rPr>
      </w:pPr>
      <w:r>
        <w:rPr>
          <w:rFonts w:cs="FranklinGothic-Book"/>
        </w:rPr>
        <w:t xml:space="preserve">In response to Vietnam’s </w:t>
      </w:r>
      <w:r w:rsidR="00214EE1">
        <w:rPr>
          <w:rFonts w:cs="FranklinGothic-Book"/>
        </w:rPr>
        <w:t xml:space="preserve">strong need to develop </w:t>
      </w:r>
      <w:r>
        <w:rPr>
          <w:rFonts w:cs="FranklinGothic-Book"/>
        </w:rPr>
        <w:t xml:space="preserve">the </w:t>
      </w:r>
      <w:r w:rsidR="006F2095">
        <w:rPr>
          <w:rFonts w:cs="FranklinGothic-Book"/>
        </w:rPr>
        <w:t>vocational education and training (</w:t>
      </w:r>
      <w:r>
        <w:rPr>
          <w:rFonts w:cs="FranklinGothic-Book"/>
        </w:rPr>
        <w:t>VET</w:t>
      </w:r>
      <w:r w:rsidR="006F2095">
        <w:rPr>
          <w:rFonts w:cs="FranklinGothic-Book"/>
        </w:rPr>
        <w:t>)</w:t>
      </w:r>
      <w:r w:rsidR="00730CE3">
        <w:rPr>
          <w:rFonts w:cs="FranklinGothic-Book"/>
        </w:rPr>
        <w:t xml:space="preserve"> sector</w:t>
      </w:r>
      <w:r>
        <w:rPr>
          <w:rFonts w:cs="FranklinGothic-Book"/>
        </w:rPr>
        <w:t xml:space="preserve">, Australia piloted a leadership and management training program in Australia and follow-up support in Vietnam for 47 VET college rectors and government officials (including three women). DFAT trialled an innovative co-financing arrangement between the Governments of Australia and Vietnam, which demonstrated Australia’s flexibility and responsiveness in meeting Vietnam’s priority HRD needs in a cost-effective manner. The arrangement was successful and </w:t>
      </w:r>
      <w:r w:rsidR="005D4F71">
        <w:rPr>
          <w:rFonts w:cs="FranklinGothic-Book"/>
        </w:rPr>
        <w:t>DFAT is considering ways to use this model again.</w:t>
      </w:r>
      <w:r>
        <w:rPr>
          <w:rFonts w:cs="FranklinGothic-Book"/>
        </w:rPr>
        <w:t xml:space="preserve"> As a result of the training, participants have begun to introduce changes in their colleges, such as greater industry involvement in curriculum design</w:t>
      </w:r>
      <w:r w:rsidR="005D4F71">
        <w:rPr>
          <w:rStyle w:val="FootnoteReference"/>
          <w:rFonts w:cs="FranklinGothic-Book"/>
        </w:rPr>
        <w:footnoteReference w:id="15"/>
      </w:r>
      <w:r>
        <w:rPr>
          <w:rFonts w:cs="FranklinGothic-Book"/>
        </w:rPr>
        <w:t>.</w:t>
      </w:r>
      <w:r w:rsidR="005D4F71">
        <w:rPr>
          <w:rFonts w:cs="FranklinGothic-Book"/>
        </w:rPr>
        <w:t xml:space="preserve"> </w:t>
      </w:r>
    </w:p>
    <w:p w:rsidR="00A67E2E" w:rsidRPr="001B6CD8" w:rsidRDefault="00A67E2E" w:rsidP="00ED5A66">
      <w:pPr>
        <w:pStyle w:val="BodyText"/>
        <w:rPr>
          <w:rFonts w:cs="FranklinGothic-Book"/>
        </w:rPr>
      </w:pPr>
      <w:r>
        <w:rPr>
          <w:rFonts w:cs="FranklinGothic-Book"/>
        </w:rPr>
        <w:t>The</w:t>
      </w:r>
      <w:r w:rsidRPr="001B6CD8">
        <w:rPr>
          <w:rFonts w:cs="FranklinGothic-Book"/>
        </w:rPr>
        <w:t xml:space="preserve"> current </w:t>
      </w:r>
      <w:r w:rsidR="00EC7057">
        <w:rPr>
          <w:rFonts w:cs="FranklinGothic-Book"/>
        </w:rPr>
        <w:t>Australia Awards Vietnam</w:t>
      </w:r>
      <w:r w:rsidRPr="001B6CD8">
        <w:rPr>
          <w:rFonts w:cs="FranklinGothic-Book"/>
        </w:rPr>
        <w:t xml:space="preserve"> program end</w:t>
      </w:r>
      <w:r>
        <w:rPr>
          <w:rFonts w:cs="FranklinGothic-Book"/>
        </w:rPr>
        <w:t>s</w:t>
      </w:r>
      <w:r w:rsidRPr="001B6CD8">
        <w:rPr>
          <w:rFonts w:cs="FranklinGothic-Book"/>
        </w:rPr>
        <w:t xml:space="preserve"> in </w:t>
      </w:r>
      <w:r w:rsidR="00473E29">
        <w:rPr>
          <w:rFonts w:cs="FranklinGothic-Book"/>
        </w:rPr>
        <w:t xml:space="preserve">January </w:t>
      </w:r>
      <w:r w:rsidRPr="001B6CD8">
        <w:rPr>
          <w:rFonts w:cs="FranklinGothic-Book"/>
        </w:rPr>
        <w:t>2016</w:t>
      </w:r>
      <w:r w:rsidR="00EC7057">
        <w:rPr>
          <w:rFonts w:cs="FranklinGothic-Book"/>
        </w:rPr>
        <w:t xml:space="preserve"> and</w:t>
      </w:r>
      <w:r w:rsidRPr="001B6CD8">
        <w:rPr>
          <w:rFonts w:cs="FranklinGothic-Book"/>
        </w:rPr>
        <w:t xml:space="preserve"> lessons learned have been applied in the development of a new program, </w:t>
      </w:r>
      <w:r>
        <w:rPr>
          <w:rFonts w:cs="FranklinGothic-Book"/>
        </w:rPr>
        <w:t xml:space="preserve">the </w:t>
      </w:r>
      <w:hyperlink r:id="rId16" w:history="1">
        <w:r w:rsidR="00EC7057" w:rsidRPr="00EC7057">
          <w:rPr>
            <w:rStyle w:val="Hyperlink"/>
            <w:rFonts w:cs="FranklinGothic-Book"/>
            <w:i/>
            <w:sz w:val="21"/>
            <w:szCs w:val="24"/>
          </w:rPr>
          <w:t>Australia-Vietnam</w:t>
        </w:r>
        <w:r w:rsidRPr="00EC7057">
          <w:rPr>
            <w:rStyle w:val="Hyperlink"/>
            <w:rFonts w:cs="FranklinGothic-Book"/>
            <w:i/>
            <w:sz w:val="21"/>
            <w:szCs w:val="24"/>
          </w:rPr>
          <w:t xml:space="preserve"> Partnership on Human Resource Development 2016-2020</w:t>
        </w:r>
      </w:hyperlink>
      <w:r w:rsidRPr="001B6CD8">
        <w:rPr>
          <w:rFonts w:cs="FranklinGothic-Book"/>
        </w:rPr>
        <w:t>, designed in 2014-15. The program will continue to deliver</w:t>
      </w:r>
      <w:r w:rsidRPr="009E3A7A">
        <w:rPr>
          <w:rFonts w:cs="FranklinGothic-Book"/>
        </w:rPr>
        <w:t xml:space="preserve"> the </w:t>
      </w:r>
      <w:r w:rsidRPr="00D766C8">
        <w:rPr>
          <w:rFonts w:cs="FranklinGothic-Book"/>
        </w:rPr>
        <w:t>well-established Australia Awards Scholarships and support for alumni</w:t>
      </w:r>
      <w:r>
        <w:rPr>
          <w:rFonts w:cs="FranklinGothic-Book"/>
        </w:rPr>
        <w:t>. H</w:t>
      </w:r>
      <w:r w:rsidRPr="00D766C8">
        <w:rPr>
          <w:rFonts w:cs="FranklinGothic-Book"/>
        </w:rPr>
        <w:t xml:space="preserve">owever, </w:t>
      </w:r>
      <w:r>
        <w:rPr>
          <w:rFonts w:cs="FranklinGothic-Book"/>
        </w:rPr>
        <w:t>the program</w:t>
      </w:r>
      <w:r w:rsidRPr="00D766C8" w:rsidDel="00A4228D">
        <w:rPr>
          <w:rFonts w:cs="FranklinGothic-Book"/>
        </w:rPr>
        <w:t xml:space="preserve"> </w:t>
      </w:r>
      <w:r w:rsidR="00B21030">
        <w:rPr>
          <w:rFonts w:cs="FranklinGothic-Book"/>
        </w:rPr>
        <w:t xml:space="preserve">will pilot a number of activities to </w:t>
      </w:r>
      <w:r w:rsidR="00B21030" w:rsidRPr="009E3A7A">
        <w:rPr>
          <w:rFonts w:cs="FranklinGothic-Book"/>
        </w:rPr>
        <w:t>support Australia Awards Scholarship alumni to use the skills they gained from their study in Australia</w:t>
      </w:r>
      <w:r w:rsidR="00E70051">
        <w:rPr>
          <w:rFonts w:cs="FranklinGothic-Book"/>
        </w:rPr>
        <w:t>,</w:t>
      </w:r>
      <w:r w:rsidR="00B21030" w:rsidRPr="00D766C8">
        <w:rPr>
          <w:rFonts w:cs="FranklinGothic-Book"/>
        </w:rPr>
        <w:t xml:space="preserve"> </w:t>
      </w:r>
      <w:r w:rsidR="00B21030" w:rsidRPr="00192006">
        <w:rPr>
          <w:rFonts w:cs="FranklinGothic-Book"/>
        </w:rPr>
        <w:t xml:space="preserve">offer short term training </w:t>
      </w:r>
      <w:r w:rsidR="00B21030">
        <w:rPr>
          <w:rFonts w:cs="FranklinGothic-Book"/>
        </w:rPr>
        <w:t xml:space="preserve">opportunities </w:t>
      </w:r>
      <w:r w:rsidR="00B21030" w:rsidRPr="00192006">
        <w:rPr>
          <w:rFonts w:cs="FranklinGothic-Book"/>
        </w:rPr>
        <w:t xml:space="preserve">for </w:t>
      </w:r>
      <w:r w:rsidR="00B21030">
        <w:rPr>
          <w:rFonts w:cs="FranklinGothic-Book"/>
        </w:rPr>
        <w:t xml:space="preserve">people from </w:t>
      </w:r>
      <w:r w:rsidR="00B21030" w:rsidRPr="00192006">
        <w:rPr>
          <w:rFonts w:cs="FranklinGothic-Book"/>
        </w:rPr>
        <w:t>selected</w:t>
      </w:r>
      <w:r w:rsidR="00B21030" w:rsidRPr="00AC50AF">
        <w:rPr>
          <w:rFonts w:cs="FranklinGothic-Book"/>
        </w:rPr>
        <w:t xml:space="preserve"> institutions and </w:t>
      </w:r>
      <w:r w:rsidR="00E70051">
        <w:rPr>
          <w:rFonts w:cs="FranklinGothic-Book"/>
        </w:rPr>
        <w:t xml:space="preserve">deliver </w:t>
      </w:r>
      <w:r w:rsidR="00B21030" w:rsidRPr="00AC50AF">
        <w:rPr>
          <w:rFonts w:cs="FranklinGothic-Book"/>
        </w:rPr>
        <w:t>a Women in Leadership program</w:t>
      </w:r>
      <w:r w:rsidR="00B21030" w:rsidRPr="008F20FA">
        <w:rPr>
          <w:rFonts w:cs="FranklinGothic-Book"/>
        </w:rPr>
        <w:t>.</w:t>
      </w:r>
      <w:r w:rsidR="00B21030">
        <w:rPr>
          <w:rFonts w:cs="FranklinGothic-Book"/>
        </w:rPr>
        <w:t xml:space="preserve"> </w:t>
      </w:r>
      <w:r w:rsidR="00E70051">
        <w:rPr>
          <w:rFonts w:cs="FranklinGothic-Book"/>
        </w:rPr>
        <w:t xml:space="preserve">The design and proposed activities are based on </w:t>
      </w:r>
      <w:r w:rsidRPr="001B6CD8">
        <w:rPr>
          <w:rFonts w:cs="FranklinGothic-Book"/>
        </w:rPr>
        <w:t xml:space="preserve">evidence from </w:t>
      </w:r>
      <w:r w:rsidR="00B21030">
        <w:rPr>
          <w:rFonts w:cs="FranklinGothic-Book"/>
        </w:rPr>
        <w:t xml:space="preserve">reviews and </w:t>
      </w:r>
      <w:r w:rsidR="00E70051">
        <w:rPr>
          <w:rFonts w:cs="FranklinGothic-Book"/>
        </w:rPr>
        <w:t>analyses undertaken by this program</w:t>
      </w:r>
      <w:r w:rsidR="00730CE3">
        <w:rPr>
          <w:rFonts w:cs="FranklinGothic-Book"/>
        </w:rPr>
        <w:t xml:space="preserve"> and similar programs in </w:t>
      </w:r>
      <w:r w:rsidRPr="001B6CD8">
        <w:rPr>
          <w:rFonts w:cs="FranklinGothic-Book"/>
        </w:rPr>
        <w:t>other countries.</w:t>
      </w:r>
    </w:p>
    <w:p w:rsidR="00A67E2E" w:rsidRDefault="00A67E2E" w:rsidP="00ED5A66">
      <w:pPr>
        <w:pStyle w:val="BodyText"/>
        <w:rPr>
          <w:rFonts w:cs="FranklinGothic-Book"/>
        </w:rPr>
      </w:pPr>
      <w:r>
        <w:rPr>
          <w:rFonts w:cs="FranklinGothic-Book"/>
        </w:rPr>
        <w:t xml:space="preserve">Improving the quality of Vietnam’s human resources is also supported by Australia’s investment in the Australian Volunteers for International Development (AVID) program. </w:t>
      </w:r>
      <w:r w:rsidRPr="00A04F58">
        <w:rPr>
          <w:rFonts w:cs="FranklinGothic-Book"/>
        </w:rPr>
        <w:t xml:space="preserve">A total of 69 new </w:t>
      </w:r>
      <w:r>
        <w:rPr>
          <w:rFonts w:cs="FranklinGothic-Book"/>
        </w:rPr>
        <w:t>AVID participants</w:t>
      </w:r>
      <w:r w:rsidRPr="00A04F58">
        <w:rPr>
          <w:rFonts w:cs="FranklinGothic-Book"/>
        </w:rPr>
        <w:t xml:space="preserve"> (including 43 women) were placed in organisations in Vietnam in 2014-15 to build capacity and reinforce people-to-people links. </w:t>
      </w:r>
    </w:p>
    <w:p w:rsidR="00675137" w:rsidRDefault="00675137" w:rsidP="00675137">
      <w:pPr>
        <w:pStyle w:val="BodyText"/>
      </w:pPr>
      <w:r>
        <w:rPr>
          <w:rFonts w:cs="FranklinGothic-Book"/>
        </w:rPr>
        <w:t>Australia engages in policy dialogue</w:t>
      </w:r>
      <w:r>
        <w:rPr>
          <w:rStyle w:val="FootnoteReference"/>
          <w:rFonts w:cs="FranklinGothic-Book"/>
        </w:rPr>
        <w:footnoteReference w:id="16"/>
      </w:r>
      <w:r>
        <w:rPr>
          <w:rFonts w:cs="FranklinGothic-Book"/>
        </w:rPr>
        <w:t xml:space="preserve"> with Vietnam on HRD and education issues through the Australia-Vietnam Joint Working Group on Education and Training, the Vietnam Development Partnerships Forum Technical and Voc</w:t>
      </w:r>
      <w:r w:rsidR="00EC7057">
        <w:rPr>
          <w:rFonts w:cs="FranklinGothic-Book"/>
        </w:rPr>
        <w:t xml:space="preserve">ational Education and Training </w:t>
      </w:r>
      <w:r>
        <w:rPr>
          <w:rFonts w:cs="FranklinGothic-Book"/>
        </w:rPr>
        <w:t>Network, multilateral forums such as the East Asia Summit (EAS)</w:t>
      </w:r>
      <w:r>
        <w:rPr>
          <w:rFonts w:cs="FranklinGothic-Book"/>
          <w:color w:val="1F497D"/>
        </w:rPr>
        <w:t xml:space="preserve">, </w:t>
      </w:r>
      <w:r w:rsidRPr="00D91D17">
        <w:rPr>
          <w:rFonts w:cs="FranklinGothic-Book"/>
        </w:rPr>
        <w:t>Asia-Pacific Economic Cooperation and</w:t>
      </w:r>
      <w:r>
        <w:rPr>
          <w:rFonts w:cs="FranklinGothic-Book"/>
        </w:rPr>
        <w:t xml:space="preserve"> the Association of Southeast Asian Nations (ASEAN)</w:t>
      </w:r>
      <w:r w:rsidRPr="00D91D17">
        <w:rPr>
          <w:rFonts w:cs="FranklinGothic-Book"/>
        </w:rPr>
        <w:t>, and associated technical assistance activities. Through these dialogues Australia influenced</w:t>
      </w:r>
      <w:r>
        <w:t xml:space="preserve"> a number of key achievements in 2014-15, including:</w:t>
      </w:r>
    </w:p>
    <w:p w:rsidR="00675137" w:rsidRDefault="00675137" w:rsidP="00675137">
      <w:pPr>
        <w:pStyle w:val="ListBullet"/>
        <w:numPr>
          <w:ilvl w:val="0"/>
          <w:numId w:val="25"/>
        </w:numPr>
        <w:tabs>
          <w:tab w:val="clear" w:pos="284"/>
          <w:tab w:val="left" w:pos="720"/>
        </w:tabs>
        <w:rPr>
          <w:szCs w:val="21"/>
        </w:rPr>
      </w:pPr>
      <w:r>
        <w:rPr>
          <w:szCs w:val="21"/>
        </w:rPr>
        <w:lastRenderedPageBreak/>
        <w:t>support for the benchmarking of occupational standards between Vietnam and other countries in the region in selected sectors</w:t>
      </w:r>
      <w:r>
        <w:rPr>
          <w:rStyle w:val="FootnoteReference"/>
        </w:rPr>
        <w:footnoteReference w:id="17"/>
      </w:r>
      <w:r>
        <w:rPr>
          <w:szCs w:val="21"/>
        </w:rPr>
        <w:t>;</w:t>
      </w:r>
    </w:p>
    <w:p w:rsidR="00675137" w:rsidRPr="00D91D17" w:rsidRDefault="00675137" w:rsidP="00675137">
      <w:pPr>
        <w:pStyle w:val="ListBullet"/>
        <w:numPr>
          <w:ilvl w:val="0"/>
          <w:numId w:val="25"/>
        </w:numPr>
        <w:tabs>
          <w:tab w:val="clear" w:pos="284"/>
          <w:tab w:val="left" w:pos="720"/>
        </w:tabs>
        <w:rPr>
          <w:szCs w:val="21"/>
        </w:rPr>
      </w:pPr>
      <w:r>
        <w:rPr>
          <w:szCs w:val="21"/>
        </w:rPr>
        <w:t>strengthening VET Quality Assurance in Vietnam through application of the regional VET Quality Assurance Framework developed through</w:t>
      </w:r>
      <w:r w:rsidRPr="00D91D17">
        <w:rPr>
          <w:szCs w:val="21"/>
        </w:rPr>
        <w:t xml:space="preserve"> the EAS Education Ministers</w:t>
      </w:r>
      <w:r>
        <w:rPr>
          <w:szCs w:val="21"/>
        </w:rPr>
        <w:t>’</w:t>
      </w:r>
      <w:r w:rsidRPr="00D91D17">
        <w:rPr>
          <w:szCs w:val="21"/>
        </w:rPr>
        <w:t xml:space="preserve"> Plan of Action (2011-1015);</w:t>
      </w:r>
      <w:r>
        <w:rPr>
          <w:szCs w:val="21"/>
        </w:rPr>
        <w:t xml:space="preserve"> and</w:t>
      </w:r>
    </w:p>
    <w:p w:rsidR="00675137" w:rsidRPr="00675137" w:rsidRDefault="00675137" w:rsidP="00F1413A">
      <w:pPr>
        <w:pStyle w:val="ListBullet"/>
        <w:numPr>
          <w:ilvl w:val="0"/>
          <w:numId w:val="25"/>
        </w:numPr>
        <w:tabs>
          <w:tab w:val="clear" w:pos="284"/>
          <w:tab w:val="left" w:pos="720"/>
        </w:tabs>
        <w:rPr>
          <w:szCs w:val="21"/>
        </w:rPr>
      </w:pPr>
      <w:r w:rsidRPr="00D91D17">
        <w:rPr>
          <w:szCs w:val="21"/>
        </w:rPr>
        <w:t xml:space="preserve">providing technical assistance to </w:t>
      </w:r>
      <w:r>
        <w:rPr>
          <w:szCs w:val="21"/>
        </w:rPr>
        <w:t>Vietnam in</w:t>
      </w:r>
      <w:r w:rsidRPr="00D91D17">
        <w:rPr>
          <w:szCs w:val="21"/>
        </w:rPr>
        <w:t xml:space="preserve"> finalising and</w:t>
      </w:r>
      <w:r>
        <w:rPr>
          <w:szCs w:val="21"/>
        </w:rPr>
        <w:t xml:space="preserve"> implementing the </w:t>
      </w:r>
      <w:r w:rsidRPr="00D91D17">
        <w:rPr>
          <w:szCs w:val="21"/>
        </w:rPr>
        <w:t xml:space="preserve">Vietnamese </w:t>
      </w:r>
      <w:r>
        <w:rPr>
          <w:szCs w:val="21"/>
        </w:rPr>
        <w:t xml:space="preserve">National Qualifications Framework </w:t>
      </w:r>
      <w:r w:rsidRPr="00D91D17">
        <w:rPr>
          <w:szCs w:val="21"/>
        </w:rPr>
        <w:t xml:space="preserve">through a project funded under the </w:t>
      </w:r>
      <w:r>
        <w:rPr>
          <w:szCs w:val="21"/>
        </w:rPr>
        <w:t xml:space="preserve">ASEAN-Australia-New Zealand Free Trade Agreement </w:t>
      </w:r>
      <w:r w:rsidRPr="00D91D17">
        <w:rPr>
          <w:szCs w:val="21"/>
        </w:rPr>
        <w:t xml:space="preserve">Economic Work Program </w:t>
      </w:r>
      <w:r>
        <w:rPr>
          <w:szCs w:val="21"/>
        </w:rPr>
        <w:t>linked to the ASEAN Qualifications Referencing Framework.</w:t>
      </w:r>
    </w:p>
    <w:p w:rsidR="00A47563" w:rsidRDefault="00A47563" w:rsidP="00A47563">
      <w:pPr>
        <w:pStyle w:val="Heading3"/>
        <w:rPr>
          <w:color w:val="FF0000"/>
        </w:rPr>
      </w:pPr>
      <w:r>
        <w:t xml:space="preserve">Objective 2 – Develop better transport infrastructure and policy to support economic integration </w:t>
      </w:r>
    </w:p>
    <w:p w:rsidR="00A47563" w:rsidRPr="00477665" w:rsidRDefault="00A47563" w:rsidP="00ED5A66">
      <w:pPr>
        <w:pStyle w:val="BodyText"/>
      </w:pPr>
      <w:r>
        <w:t>Progress towards this objective is rated green because the</w:t>
      </w:r>
      <w:r w:rsidRPr="000B6474">
        <w:t xml:space="preserve"> key activities </w:t>
      </w:r>
      <w:r>
        <w:t xml:space="preserve">(the construction of </w:t>
      </w:r>
      <w:r w:rsidRPr="000B6474">
        <w:t xml:space="preserve">Cao Lanh Bridge and the </w:t>
      </w:r>
      <w:r>
        <w:t xml:space="preserve">implementation of the </w:t>
      </w:r>
      <w:r w:rsidRPr="000B6474">
        <w:t xml:space="preserve">Restructuring for a more </w:t>
      </w:r>
      <w:r>
        <w:t>C</w:t>
      </w:r>
      <w:r w:rsidRPr="000B6474">
        <w:t>ompetitive Vietnam program</w:t>
      </w:r>
      <w:r>
        <w:t>)</w:t>
      </w:r>
      <w:r w:rsidRPr="000B6474">
        <w:t xml:space="preserve"> </w:t>
      </w:r>
      <w:r>
        <w:t xml:space="preserve">are </w:t>
      </w:r>
      <w:r w:rsidRPr="000B6474">
        <w:t>on track</w:t>
      </w:r>
      <w:r>
        <w:t xml:space="preserve">. However, </w:t>
      </w:r>
      <w:r w:rsidRPr="00F1413A">
        <w:t xml:space="preserve">there have been delays in some activities, most notably the Southern Coastal Corridor Project, which was not completed within the reporting period as planned. This is expected to be completed </w:t>
      </w:r>
      <w:r w:rsidR="00B327FE" w:rsidRPr="00F1413A">
        <w:t>by December 2015</w:t>
      </w:r>
      <w:r w:rsidRPr="00F1413A">
        <w:t>.</w:t>
      </w:r>
    </w:p>
    <w:p w:rsidR="00A47563" w:rsidRDefault="00A47563" w:rsidP="00ED5A66">
      <w:pPr>
        <w:pStyle w:val="BodyText"/>
      </w:pPr>
      <w:r>
        <w:t xml:space="preserve">The Government of Vietnam has prioritised making business easier for the private sector, to </w:t>
      </w:r>
      <w:r w:rsidRPr="001B6FDF">
        <w:t xml:space="preserve">stimulate </w:t>
      </w:r>
      <w:r>
        <w:t>Vietnam’s</w:t>
      </w:r>
      <w:r w:rsidRPr="001B6FDF">
        <w:t xml:space="preserve"> economy </w:t>
      </w:r>
      <w:r w:rsidR="00911113">
        <w:t>(</w:t>
      </w:r>
      <w:r w:rsidRPr="001B6FDF">
        <w:t>which has yet to fully recover from the impacts of the global financial crisis</w:t>
      </w:r>
      <w:r w:rsidR="00911113">
        <w:t>)</w:t>
      </w:r>
      <w:r w:rsidRPr="001B6FDF">
        <w:t xml:space="preserve"> and to lay the foundations for long term economic development. </w:t>
      </w:r>
      <w:r>
        <w:t>E</w:t>
      </w:r>
      <w:r w:rsidRPr="001B6FDF">
        <w:t xml:space="preserve">conomic infrastructure development </w:t>
      </w:r>
      <w:r>
        <w:t>is one of the priority areas identified by t</w:t>
      </w:r>
      <w:r w:rsidRPr="001B6FDF">
        <w:t xml:space="preserve">he Government </w:t>
      </w:r>
      <w:r>
        <w:t>of Vietnam in its Socio-Economic Development Strategy (2011-2020)</w:t>
      </w:r>
      <w:r w:rsidRPr="001B6FDF">
        <w:t xml:space="preserve">. </w:t>
      </w:r>
      <w:r>
        <w:t xml:space="preserve">Australia has helped </w:t>
      </w:r>
      <w:r w:rsidRPr="004A2D5E">
        <w:t xml:space="preserve">the </w:t>
      </w:r>
      <w:r>
        <w:t xml:space="preserve">Government of </w:t>
      </w:r>
      <w:r w:rsidRPr="004A2D5E">
        <w:t>V</w:t>
      </w:r>
      <w:r>
        <w:t>ietnam</w:t>
      </w:r>
      <w:r w:rsidRPr="004A2D5E">
        <w:t xml:space="preserve"> </w:t>
      </w:r>
      <w:r>
        <w:t xml:space="preserve">to </w:t>
      </w:r>
      <w:r w:rsidRPr="004A2D5E">
        <w:t xml:space="preserve">evaluate, prioritise and fund major transport infrastructure development projects, </w:t>
      </w:r>
      <w:r>
        <w:t>particula</w:t>
      </w:r>
      <w:r w:rsidRPr="004A2D5E">
        <w:t xml:space="preserve">rly in key economic zones. </w:t>
      </w:r>
      <w:r>
        <w:t xml:space="preserve">In 2014-15 Australia invested directly in building roads and bridges to </w:t>
      </w:r>
      <w:r w:rsidRPr="00F44AC6">
        <w:t>improve local and regional connectivity</w:t>
      </w:r>
      <w:r>
        <w:t xml:space="preserve">. We also provided </w:t>
      </w:r>
      <w:r w:rsidRPr="009E3A7A">
        <w:t xml:space="preserve">advice to the Government of Vietnam on how to engage the </w:t>
      </w:r>
      <w:r w:rsidR="00F70ADE">
        <w:t>private</w:t>
      </w:r>
      <w:r w:rsidRPr="009E3A7A">
        <w:t xml:space="preserve"> sector in funding and building infrastructure </w:t>
      </w:r>
      <w:r>
        <w:t>through the</w:t>
      </w:r>
      <w:r w:rsidRPr="00F44AC6">
        <w:t xml:space="preserve"> development of Public-Private Partnerships </w:t>
      </w:r>
      <w:r>
        <w:t xml:space="preserve">(PPPs) </w:t>
      </w:r>
      <w:r w:rsidRPr="00F44AC6">
        <w:t>in the road</w:t>
      </w:r>
      <w:r>
        <w:t>s</w:t>
      </w:r>
      <w:r w:rsidRPr="00F44AC6">
        <w:t xml:space="preserve"> sector.</w:t>
      </w:r>
    </w:p>
    <w:p w:rsidR="00A47563" w:rsidRPr="00837906" w:rsidRDefault="00A47563" w:rsidP="00ED5A66">
      <w:pPr>
        <w:pStyle w:val="Heading4"/>
      </w:pPr>
      <w:r>
        <w:t>Transport infrastructure</w:t>
      </w:r>
    </w:p>
    <w:p w:rsidR="00A47563" w:rsidRDefault="00A47563" w:rsidP="00ED5A66">
      <w:pPr>
        <w:pStyle w:val="BodyText"/>
      </w:pPr>
      <w:r w:rsidRPr="00161C7F">
        <w:t>The objective</w:t>
      </w:r>
      <w:r>
        <w:t>s</w:t>
      </w:r>
      <w:r w:rsidRPr="00161C7F">
        <w:t xml:space="preserve"> of our support in transport infrastructure </w:t>
      </w:r>
      <w:r>
        <w:t>are two-fold: 1)</w:t>
      </w:r>
      <w:r w:rsidRPr="00161C7F">
        <w:t xml:space="preserve"> to </w:t>
      </w:r>
      <w:r>
        <w:t xml:space="preserve">promote private sector development in Vietnam by reducing costs and improving connectivity for business to new markets; and 2) to reduce poverty by better connecting the poor to essential services. </w:t>
      </w:r>
    </w:p>
    <w:p w:rsidR="00675137" w:rsidRDefault="00A47563" w:rsidP="00ED5A66">
      <w:pPr>
        <w:pStyle w:val="BodyText"/>
      </w:pPr>
      <w:r>
        <w:t>T</w:t>
      </w:r>
      <w:r w:rsidRPr="004A2D5E">
        <w:t xml:space="preserve">he Cao Lanh </w:t>
      </w:r>
      <w:r>
        <w:t>B</w:t>
      </w:r>
      <w:r w:rsidRPr="004A2D5E">
        <w:t>ridge project</w:t>
      </w:r>
      <w:r>
        <w:rPr>
          <w:rStyle w:val="FootnoteReference"/>
        </w:rPr>
        <w:footnoteReference w:id="18"/>
      </w:r>
      <w:r w:rsidRPr="004A2D5E">
        <w:t xml:space="preserve"> </w:t>
      </w:r>
      <w:r>
        <w:t xml:space="preserve">with the Asian Development Bank (ADB) has </w:t>
      </w:r>
      <w:r w:rsidRPr="004A2D5E">
        <w:t>continued to make good progress</w:t>
      </w:r>
      <w:r>
        <w:t xml:space="preserve"> in 2014-15. C</w:t>
      </w:r>
      <w:r w:rsidRPr="004A2D5E">
        <w:t>onstruction is running slightly ahead of schedule</w:t>
      </w:r>
      <w:r>
        <w:t xml:space="preserve"> and the bridge itself is more than 50 per cent complete</w:t>
      </w:r>
      <w:r w:rsidRPr="004A2D5E">
        <w:t xml:space="preserve">. </w:t>
      </w:r>
      <w:r>
        <w:t>Contractors were mobilised for the approach roads in late 2014 and have begun construction.</w:t>
      </w:r>
    </w:p>
    <w:p w:rsidR="00675137" w:rsidRDefault="00675137" w:rsidP="00675137">
      <w:pPr>
        <w:pStyle w:val="BodyText"/>
      </w:pPr>
      <w:r w:rsidRPr="006E31D9">
        <w:t>The program has dedicated resources to work closely</w:t>
      </w:r>
      <w:r>
        <w:t xml:space="preserve"> with</w:t>
      </w:r>
      <w:r w:rsidRPr="006E31D9">
        <w:t xml:space="preserve"> the ADB and implementing partners, and drive a best practice approach to resettlement and safeguards management for this project.  Pleasingly, resettlement is on track and when issues have arisen, they have been dealt with swiftly and comprehensively.  Land has been handed over to the contractors to allow construction to remain on schedule. Our external monitoring has confirmed that compensation provided to affected households was consistent with the agreed resettlement plan, no major issues have been found and </w:t>
      </w:r>
      <w:r>
        <w:t xml:space="preserve">the majority of </w:t>
      </w:r>
      <w:r w:rsidRPr="006E31D9">
        <w:t>affected households</w:t>
      </w:r>
      <w:r>
        <w:t xml:space="preserve"> are satisfied</w:t>
      </w:r>
      <w:r w:rsidRPr="006E31D9">
        <w:t>. The livelihood restoration program is providing vocational training</w:t>
      </w:r>
      <w:r>
        <w:t xml:space="preserve"> </w:t>
      </w:r>
      <w:r w:rsidRPr="006E31D9">
        <w:t>in agricultur</w:t>
      </w:r>
      <w:r>
        <w:t>e</w:t>
      </w:r>
      <w:r w:rsidRPr="006E31D9">
        <w:t xml:space="preserve"> and small business for affected households. </w:t>
      </w:r>
      <w:r w:rsidRPr="00F1413A">
        <w:t xml:space="preserve">We continue to monitor this closely, as a key program risk, and an area of </w:t>
      </w:r>
      <w:r w:rsidRPr="00F1413A">
        <w:lastRenderedPageBreak/>
        <w:t>learning not just for the Vietnam program but for the Australian aid program more generally and in our relationship with multilateral lending institutions.</w:t>
      </w:r>
    </w:p>
    <w:p w:rsidR="00A47563" w:rsidRDefault="00A47563" w:rsidP="00ED5A66">
      <w:pPr>
        <w:pStyle w:val="BodyText"/>
      </w:pPr>
      <w:r w:rsidRPr="004C3026">
        <w:t>100</w:t>
      </w:r>
      <w:r>
        <w:t xml:space="preserve"> per cent</w:t>
      </w:r>
      <w:r w:rsidRPr="004A2D5E">
        <w:t xml:space="preserve"> of affected households </w:t>
      </w:r>
      <w:r>
        <w:t xml:space="preserve">at the bridge site and </w:t>
      </w:r>
      <w:r w:rsidRPr="004C3026">
        <w:t>95 per cent at the approach roads</w:t>
      </w:r>
      <w:r>
        <w:t xml:space="preserve"> </w:t>
      </w:r>
      <w:r w:rsidRPr="004A2D5E">
        <w:t>have received compensation and vulnerable households (including poor and landless</w:t>
      </w:r>
      <w:r>
        <w:t xml:space="preserve"> households</w:t>
      </w:r>
      <w:r w:rsidRPr="004A2D5E">
        <w:t xml:space="preserve">) </w:t>
      </w:r>
      <w:r>
        <w:t>are</w:t>
      </w:r>
      <w:r w:rsidRPr="004A2D5E">
        <w:t xml:space="preserve"> receiving loans from our microfinance program to </w:t>
      </w:r>
      <w:r>
        <w:t xml:space="preserve">help </w:t>
      </w:r>
      <w:r w:rsidRPr="004A2D5E">
        <w:t xml:space="preserve">upgrade </w:t>
      </w:r>
      <w:r>
        <w:t xml:space="preserve">their </w:t>
      </w:r>
      <w:r w:rsidRPr="004A2D5E">
        <w:t xml:space="preserve">houses and </w:t>
      </w:r>
      <w:r w:rsidR="006E31D9">
        <w:t>generate</w:t>
      </w:r>
      <w:r w:rsidRPr="004A2D5E">
        <w:t xml:space="preserve"> income. </w:t>
      </w:r>
      <w:r w:rsidR="00F07992" w:rsidRPr="00F07992">
        <w:t>At least</w:t>
      </w:r>
      <w:r w:rsidRPr="00F07992">
        <w:t xml:space="preserve"> 818</w:t>
      </w:r>
      <w:r w:rsidRPr="004C3026">
        <w:t xml:space="preserve"> households have now received loans under this microfinance program </w:t>
      </w:r>
      <w:r>
        <w:t>with</w:t>
      </w:r>
      <w:r w:rsidRPr="004C3026">
        <w:t xml:space="preserve"> 68 per cent</w:t>
      </w:r>
      <w:r>
        <w:t xml:space="preserve"> of loans being given to women</w:t>
      </w:r>
      <w:r>
        <w:rPr>
          <w:rStyle w:val="FootnoteReference"/>
        </w:rPr>
        <w:footnoteReference w:id="19"/>
      </w:r>
      <w:r w:rsidR="002200D9">
        <w:t>.</w:t>
      </w:r>
      <w:r w:rsidR="006E31D9">
        <w:t xml:space="preserve"> </w:t>
      </w:r>
      <w:r>
        <w:t>Environmental management requires ongoing monitoring as the capacity of many of the construction contractors is weak. To address this we engaged an independent environmental monitoring specialist to monitor contractor performance and advise on measures to strengthen environmental management where necessary.</w:t>
      </w:r>
    </w:p>
    <w:p w:rsidR="00A47563" w:rsidRDefault="00A47563" w:rsidP="00ED5A66">
      <w:pPr>
        <w:pStyle w:val="BodyText"/>
      </w:pPr>
      <w:r>
        <w:t xml:space="preserve">Progress of the </w:t>
      </w:r>
      <w:r w:rsidRPr="00F44AC6">
        <w:t xml:space="preserve">Mekong Delta Transport Infrastructure Development Project </w:t>
      </w:r>
      <w:r>
        <w:t xml:space="preserve">with the World Bank met </w:t>
      </w:r>
      <w:r w:rsidRPr="004A2D5E">
        <w:t>expectations (</w:t>
      </w:r>
      <w:r>
        <w:t xml:space="preserve">28 kilometres </w:t>
      </w:r>
      <w:r w:rsidRPr="004A2D5E">
        <w:t>of road rehabilitated and major bridges reaching completion)</w:t>
      </w:r>
      <w:r>
        <w:t>,</w:t>
      </w:r>
      <w:r w:rsidRPr="004A2D5E">
        <w:t xml:space="preserve"> with works </w:t>
      </w:r>
      <w:r>
        <w:t xml:space="preserve">scheduled for </w:t>
      </w:r>
      <w:r w:rsidRPr="004A2D5E">
        <w:t>complet</w:t>
      </w:r>
      <w:r>
        <w:t>ion</w:t>
      </w:r>
      <w:r w:rsidRPr="004A2D5E">
        <w:t xml:space="preserve"> </w:t>
      </w:r>
      <w:r>
        <w:t xml:space="preserve">by </w:t>
      </w:r>
      <w:r w:rsidRPr="004A2D5E">
        <w:t>the December 2015</w:t>
      </w:r>
      <w:r>
        <w:t xml:space="preserve"> </w:t>
      </w:r>
      <w:r w:rsidRPr="004A2D5E">
        <w:t xml:space="preserve">project end date. </w:t>
      </w:r>
      <w:r w:rsidRPr="00F1413A">
        <w:t>However, the Southern Coastal Corridor Project with the ADB has been delayed. Roads scheduled to be completed by 31 May 2015 are now expected to be ready later in 2015-16.</w:t>
      </w:r>
      <w:r>
        <w:t xml:space="preserve"> These delays reflect efforts by contractors to apply technical treatments to account for soft soils in the Mekong Delta that will over the longer term improve road safety and sustainability of the investment. </w:t>
      </w:r>
      <w:r w:rsidR="00F70ADE">
        <w:t xml:space="preserve">This has been implemented at Australia’s request. </w:t>
      </w:r>
      <w:r>
        <w:t>The i</w:t>
      </w:r>
      <w:r w:rsidRPr="004A2D5E">
        <w:t>mpact</w:t>
      </w:r>
      <w:r>
        <w:t>s</w:t>
      </w:r>
      <w:r w:rsidRPr="004A2D5E">
        <w:t xml:space="preserve"> of </w:t>
      </w:r>
      <w:r>
        <w:t>improved infrastructure</w:t>
      </w:r>
      <w:r w:rsidRPr="004A2D5E">
        <w:t xml:space="preserve"> </w:t>
      </w:r>
      <w:r>
        <w:t xml:space="preserve">on incomes and livelihoods will only be fully realised once these roads are </w:t>
      </w:r>
      <w:r w:rsidRPr="004A2D5E">
        <w:t>complete</w:t>
      </w:r>
      <w:r>
        <w:t>d</w:t>
      </w:r>
      <w:r w:rsidRPr="004A2D5E">
        <w:t xml:space="preserve">. </w:t>
      </w:r>
    </w:p>
    <w:p w:rsidR="00A47563" w:rsidRDefault="00A47563" w:rsidP="00ED5A66">
      <w:pPr>
        <w:pStyle w:val="BodyText"/>
      </w:pPr>
      <w:r>
        <w:t xml:space="preserve">Australia is providing </w:t>
      </w:r>
      <w:r w:rsidRPr="004A2D5E">
        <w:t>advic</w:t>
      </w:r>
      <w:r>
        <w:t>e</w:t>
      </w:r>
      <w:r w:rsidRPr="004A2D5E">
        <w:t xml:space="preserve"> and analy</w:t>
      </w:r>
      <w:r>
        <w:t xml:space="preserve">sis to </w:t>
      </w:r>
      <w:r w:rsidRPr="004A2D5E">
        <w:t>support</w:t>
      </w:r>
      <w:r>
        <w:t xml:space="preserve"> the Government of Vietnam to prepare infrastructure projects. Development bank</w:t>
      </w:r>
      <w:r w:rsidRPr="004A2D5E">
        <w:t xml:space="preserve">s and other donors </w:t>
      </w:r>
      <w:r>
        <w:t>offer loans for implementing</w:t>
      </w:r>
      <w:r w:rsidRPr="004A2D5E">
        <w:t xml:space="preserve"> project</w:t>
      </w:r>
      <w:r>
        <w:t xml:space="preserve">s, but only </w:t>
      </w:r>
      <w:r w:rsidRPr="004A2D5E">
        <w:t>limited grant fund</w:t>
      </w:r>
      <w:r>
        <w:t>ing</w:t>
      </w:r>
      <w:r w:rsidRPr="004A2D5E">
        <w:t xml:space="preserve"> </w:t>
      </w:r>
      <w:r>
        <w:t xml:space="preserve">for the </w:t>
      </w:r>
      <w:r w:rsidRPr="004A2D5E">
        <w:t xml:space="preserve">preparation </w:t>
      </w:r>
      <w:r>
        <w:t xml:space="preserve">of </w:t>
      </w:r>
      <w:r w:rsidRPr="004A2D5E">
        <w:t>project</w:t>
      </w:r>
      <w:r>
        <w:t xml:space="preserve">s. Australia’s contribution fills this </w:t>
      </w:r>
      <w:r w:rsidRPr="004A2D5E">
        <w:t xml:space="preserve">gap </w:t>
      </w:r>
      <w:r>
        <w:t xml:space="preserve">and </w:t>
      </w:r>
      <w:r w:rsidRPr="004A2D5E">
        <w:t>help</w:t>
      </w:r>
      <w:r>
        <w:t>s</w:t>
      </w:r>
      <w:r w:rsidRPr="004A2D5E">
        <w:t xml:space="preserve"> </w:t>
      </w:r>
      <w:r>
        <w:t xml:space="preserve">us </w:t>
      </w:r>
      <w:r w:rsidRPr="004A2D5E">
        <w:t xml:space="preserve">leverage </w:t>
      </w:r>
      <w:r>
        <w:t xml:space="preserve">better </w:t>
      </w:r>
      <w:r w:rsidRPr="004A2D5E">
        <w:t xml:space="preserve">development outcomes. </w:t>
      </w:r>
      <w:r>
        <w:t>It</w:t>
      </w:r>
      <w:r w:rsidRPr="004A2D5E">
        <w:t xml:space="preserve"> also </w:t>
      </w:r>
      <w:r>
        <w:t xml:space="preserve">helps to </w:t>
      </w:r>
      <w:r w:rsidRPr="004A2D5E">
        <w:t xml:space="preserve">ensure projects are delivered on time and to </w:t>
      </w:r>
      <w:r>
        <w:t>international standards</w:t>
      </w:r>
      <w:r w:rsidRPr="004A2D5E">
        <w:t xml:space="preserve">. </w:t>
      </w:r>
      <w:r w:rsidRPr="00F10DA4">
        <w:t xml:space="preserve">In </w:t>
      </w:r>
      <w:r>
        <w:t>2014-15,</w:t>
      </w:r>
      <w:r w:rsidRPr="00F10DA4">
        <w:t xml:space="preserve"> </w:t>
      </w:r>
      <w:r>
        <w:t>progress in this area was mixed</w:t>
      </w:r>
      <w:r w:rsidRPr="00F10DA4">
        <w:t xml:space="preserve">. </w:t>
      </w:r>
      <w:r>
        <w:t xml:space="preserve">Good progress was made in developing online maps of Hai Phong City that can be used to track public transport services. </w:t>
      </w:r>
      <w:r w:rsidRPr="004A2D5E">
        <w:t>However</w:t>
      </w:r>
      <w:r>
        <w:t>,</w:t>
      </w:r>
      <w:r w:rsidRPr="004A2D5E">
        <w:t xml:space="preserve"> </w:t>
      </w:r>
      <w:r w:rsidRPr="00F1413A">
        <w:t xml:space="preserve">other analytical and advisory support has been delayed, in particular for PPPs. In Vietnam, responsibility for implementation of PPP projects rests with sector Ministries </w:t>
      </w:r>
      <w:r w:rsidR="00A2239A" w:rsidRPr="00F1413A">
        <w:t>that</w:t>
      </w:r>
      <w:r w:rsidRPr="00F1413A">
        <w:t xml:space="preserve"> often have limited capacity, leading to delays. Australia provided </w:t>
      </w:r>
      <w:r w:rsidR="00F37F10" w:rsidRPr="00F1413A">
        <w:t>critical</w:t>
      </w:r>
      <w:r w:rsidRPr="00F1413A">
        <w:t xml:space="preserve"> capacity building assistance to the Ministry of Transport </w:t>
      </w:r>
      <w:r w:rsidR="00F37F10" w:rsidRPr="00F1413A">
        <w:t>that will help address the issues</w:t>
      </w:r>
      <w:r w:rsidR="00F37F10" w:rsidRPr="00C0328E">
        <w:t xml:space="preserve"> in mobilising the private sector to meet investment demand in infrastructure given the Government of Vietnam’s budget constraints.</w:t>
      </w:r>
    </w:p>
    <w:p w:rsidR="00A47563" w:rsidRDefault="00A47563" w:rsidP="00ED5A66">
      <w:pPr>
        <w:pStyle w:val="Heading4"/>
      </w:pPr>
      <w:r>
        <w:t>Economic integration</w:t>
      </w:r>
      <w:r w:rsidRPr="00612E68">
        <w:t xml:space="preserve"> </w:t>
      </w:r>
      <w:r w:rsidRPr="00C77B8C">
        <w:t>- Restructuring for a more Competitive Vietnam</w:t>
      </w:r>
      <w:r>
        <w:t xml:space="preserve"> (RCV)</w:t>
      </w:r>
    </w:p>
    <w:p w:rsidR="006F7AB4" w:rsidRDefault="00A47563" w:rsidP="00ED5A66">
      <w:pPr>
        <w:pStyle w:val="BodyText"/>
      </w:pPr>
      <w:r>
        <w:t>Through the RCV program</w:t>
      </w:r>
      <w:r w:rsidR="00741DB0">
        <w:t>,</w:t>
      </w:r>
      <w:r>
        <w:t xml:space="preserve"> Australia is helping Vietnam to undertake long-term </w:t>
      </w:r>
      <w:r w:rsidR="00A2239A">
        <w:t xml:space="preserve">reforms to enhance </w:t>
      </w:r>
      <w:r>
        <w:t xml:space="preserve">productivity by targeting </w:t>
      </w:r>
      <w:r w:rsidRPr="004A2D5E">
        <w:t xml:space="preserve">three priority areas: promoting economic restructuring; strengthening Vietnam’s competition institutions; and improving rural productivity. </w:t>
      </w:r>
    </w:p>
    <w:p w:rsidR="00A47563" w:rsidRDefault="00B35881" w:rsidP="00ED5A66">
      <w:pPr>
        <w:pStyle w:val="BodyText"/>
      </w:pPr>
      <w:r w:rsidRPr="00B35881">
        <w:t>A key outcome in 2014-15 for the RCV was to make it easier for firms to start a business or invest in Vietnam. This was achieved throug</w:t>
      </w:r>
      <w:r w:rsidR="00A93217">
        <w:t xml:space="preserve">h our support for the </w:t>
      </w:r>
      <w:r w:rsidRPr="00B35881">
        <w:t>development of Vietnam’s new Enterprise and Investment Laws</w:t>
      </w:r>
      <w:r w:rsidR="00A93217">
        <w:t>, which were</w:t>
      </w:r>
      <w:r w:rsidRPr="00B35881">
        <w:t xml:space="preserve"> passed by the National Assembly in October 2014</w:t>
      </w:r>
      <w:r w:rsidR="000845DD">
        <w:t>.</w:t>
      </w:r>
      <w:r w:rsidR="00A47563">
        <w:t xml:space="preserve"> </w:t>
      </w:r>
      <w:r w:rsidR="00F83A18" w:rsidRPr="00F83A18">
        <w:t>The support from RCV gave the drafters confidence in the bold policy changes they proposed and</w:t>
      </w:r>
      <w:r w:rsidR="00A2239A">
        <w:t xml:space="preserve"> the evidence</w:t>
      </w:r>
      <w:r w:rsidR="00F83A18" w:rsidRPr="00F83A18">
        <w:t xml:space="preserve"> </w:t>
      </w:r>
      <w:r w:rsidR="00A2239A">
        <w:t>helped</w:t>
      </w:r>
      <w:r w:rsidR="00A2239A" w:rsidRPr="00F83A18">
        <w:t xml:space="preserve"> </w:t>
      </w:r>
      <w:r w:rsidR="00F83A18" w:rsidRPr="00F83A18">
        <w:t>convinc</w:t>
      </w:r>
      <w:r w:rsidR="00A2239A">
        <w:t>e</w:t>
      </w:r>
      <w:r w:rsidR="00F83A18" w:rsidRPr="00F83A18">
        <w:t xml:space="preserve"> the National Assembly to adopt these policy proposals. These laws will make it easier for firms to start a business or invest in Vietnam</w:t>
      </w:r>
      <w:r w:rsidR="00A2239A">
        <w:t>.</w:t>
      </w:r>
      <w:r w:rsidR="00F83A18" w:rsidRPr="00F83A18">
        <w:t xml:space="preserve"> </w:t>
      </w:r>
      <w:r w:rsidR="00A2239A">
        <w:t xml:space="preserve"> The </w:t>
      </w:r>
      <w:r w:rsidR="00F83A18" w:rsidRPr="00F83A18">
        <w:t xml:space="preserve">business registration procedures </w:t>
      </w:r>
      <w:r w:rsidR="00A2239A">
        <w:t xml:space="preserve">are </w:t>
      </w:r>
      <w:r w:rsidR="00A2239A" w:rsidRPr="00F83A18">
        <w:t xml:space="preserve">easier and shorter </w:t>
      </w:r>
      <w:r w:rsidR="00F83A18" w:rsidRPr="00F83A18">
        <w:t xml:space="preserve">and </w:t>
      </w:r>
      <w:r w:rsidR="00A2239A">
        <w:t xml:space="preserve">the laws </w:t>
      </w:r>
      <w:r w:rsidR="00F83A18" w:rsidRPr="00F83A18">
        <w:t xml:space="preserve">make clear </w:t>
      </w:r>
      <w:r w:rsidR="0091109A">
        <w:t>which</w:t>
      </w:r>
      <w:r w:rsidR="00F83A18" w:rsidRPr="00F83A18">
        <w:t xml:space="preserve"> business sectors are prohibited or restricted </w:t>
      </w:r>
      <w:r w:rsidR="00A2239A">
        <w:t>(</w:t>
      </w:r>
      <w:r w:rsidR="00F83A18" w:rsidRPr="00F83A18">
        <w:t xml:space="preserve">prohibited sectors </w:t>
      </w:r>
      <w:r w:rsidR="00A2239A">
        <w:t xml:space="preserve">have </w:t>
      </w:r>
      <w:r w:rsidR="00F83A18" w:rsidRPr="00F83A18">
        <w:t>decreas</w:t>
      </w:r>
      <w:r w:rsidR="00A2239A">
        <w:t>ed</w:t>
      </w:r>
      <w:r w:rsidR="00F83A18" w:rsidRPr="00F83A18">
        <w:t xml:space="preserve"> from 51 to 6). The new </w:t>
      </w:r>
      <w:r w:rsidR="00F83A18" w:rsidRPr="00F83A18">
        <w:lastRenderedPageBreak/>
        <w:t xml:space="preserve">Investment Law removes </w:t>
      </w:r>
      <w:r w:rsidR="00A2239A">
        <w:t>M</w:t>
      </w:r>
      <w:r w:rsidR="00F83A18" w:rsidRPr="00F83A18">
        <w:t xml:space="preserve">inistries’ power to issue regulations on business restrictions which </w:t>
      </w:r>
      <w:r w:rsidR="00C0328E">
        <w:t xml:space="preserve">in the past </w:t>
      </w:r>
      <w:r w:rsidR="00F83A18" w:rsidRPr="00F83A18">
        <w:t>created a lot of cumbersome and costly administrative procedures and opportunities for corruption. In addition, RCV support was also instrumental in developing completely new regulations on social enterprises in the Enterprise Law.</w:t>
      </w:r>
    </w:p>
    <w:p w:rsidR="00F83A18" w:rsidRDefault="00A47563" w:rsidP="00ED5A66">
      <w:pPr>
        <w:pStyle w:val="BodyText"/>
      </w:pPr>
      <w:r>
        <w:t>The program aims to build an evidence bas</w:t>
      </w:r>
      <w:r w:rsidR="00B327FE">
        <w:t>e</w:t>
      </w:r>
      <w:r>
        <w:t xml:space="preserve"> and communicate the benefits of reform to Government, the private sector, a</w:t>
      </w:r>
      <w:r w:rsidR="00F83A18">
        <w:t xml:space="preserve">cademia and the general public. </w:t>
      </w:r>
      <w:r w:rsidR="00F83A18" w:rsidRPr="00F83A18">
        <w:t>Specifically, RCV provides support for studies on negative impacts of</w:t>
      </w:r>
      <w:r w:rsidR="0083433F">
        <w:t xml:space="preserve"> State-Owned Enterprises (</w:t>
      </w:r>
      <w:r w:rsidR="00F83A18" w:rsidRPr="00F83A18">
        <w:t>SOEs</w:t>
      </w:r>
      <w:r w:rsidR="0083433F">
        <w:t>)</w:t>
      </w:r>
      <w:r w:rsidR="00F83A18" w:rsidRPr="00F83A18">
        <w:t xml:space="preserve"> and measures to improve SOEs governance. These studies contributed directly to several </w:t>
      </w:r>
      <w:r w:rsidR="00F83A18" w:rsidRPr="00B245ED">
        <w:t xml:space="preserve">legal </w:t>
      </w:r>
      <w:r w:rsidR="00B245ED">
        <w:t>instruments</w:t>
      </w:r>
      <w:r w:rsidR="0091109A">
        <w:t xml:space="preserve">, </w:t>
      </w:r>
      <w:r w:rsidR="00F83A18" w:rsidRPr="00F83A18">
        <w:t>such as the Prime Minister</w:t>
      </w:r>
      <w:r w:rsidR="00F83A18">
        <w:t>ial</w:t>
      </w:r>
      <w:r w:rsidR="00F83A18" w:rsidRPr="00F83A18">
        <w:t xml:space="preserve"> Decision 36 on SOE information disclosure and the Decree 107/2015 on SOE performance reporting and monitoring. In addition, the studies funded by RCV and implemented by </w:t>
      </w:r>
      <w:r w:rsidR="00A2239A">
        <w:t>the Ministry of Planning and Investment (</w:t>
      </w:r>
      <w:r w:rsidR="00F83A18" w:rsidRPr="00F83A18">
        <w:t>MPI</w:t>
      </w:r>
      <w:r w:rsidR="00A2239A">
        <w:t>)</w:t>
      </w:r>
      <w:r w:rsidR="00F83A18" w:rsidRPr="00F83A18">
        <w:t xml:space="preserve"> and the Central Economic Commission of the Party have been submitted to both the Government of Vietnam and the Central Party Committee for discussion and drafting of the Party documents for the next Party Congress such as the Socio-Economic Report and the Socio-Economic Development Plan (SEDP) 2016-2020</w:t>
      </w:r>
      <w:r w:rsidR="00F83A18" w:rsidRPr="00F83A18">
        <w:rPr>
          <w:rStyle w:val="FootnoteReference"/>
        </w:rPr>
        <w:footnoteReference w:id="20"/>
      </w:r>
      <w:r w:rsidR="00F83A18" w:rsidRPr="00F83A18">
        <w:t xml:space="preserve">. </w:t>
      </w:r>
    </w:p>
    <w:p w:rsidR="00A47563" w:rsidRDefault="00A47563" w:rsidP="00ED5A66">
      <w:pPr>
        <w:pStyle w:val="BodyText"/>
      </w:pPr>
      <w:r>
        <w:t xml:space="preserve">Increasingly, the program is also drawing on Australia’s domestic economic reform experience by engaging with institutions like the Productivity Commission </w:t>
      </w:r>
      <w:r w:rsidR="0083433F">
        <w:t xml:space="preserve">(PC) </w:t>
      </w:r>
      <w:r>
        <w:t>and the Australian Competition and Consumer Commission</w:t>
      </w:r>
      <w:r w:rsidR="0083433F">
        <w:t xml:space="preserve"> (ACCC)</w:t>
      </w:r>
      <w:r>
        <w:t xml:space="preserve">. </w:t>
      </w:r>
      <w:r w:rsidR="00F83A18" w:rsidRPr="00F83A18">
        <w:t xml:space="preserve">Australian experts from PC and ACCC have come to Vietnam to share knowledge and experiences in conducting regulatory reforms, strengthening competition policy and engaging private sector in big infrastructure projects </w:t>
      </w:r>
      <w:r w:rsidR="00F83A18">
        <w:t xml:space="preserve">such as airports. Through RCV, </w:t>
      </w:r>
      <w:r w:rsidR="00F83A18" w:rsidRPr="00F83A18">
        <w:t>we</w:t>
      </w:r>
      <w:r w:rsidR="00F83A18">
        <w:t xml:space="preserve"> </w:t>
      </w:r>
      <w:r>
        <w:t>have also been engaged in a policy dialogue with the Government of Vietnam on the need for ongoing economic reform, including pushing for competition policy reforms through major events like the Vietnam Development Partners’ Forum and the National Assembly Economic Forum.</w:t>
      </w:r>
    </w:p>
    <w:p w:rsidR="00A47563" w:rsidRPr="002A65C3" w:rsidRDefault="00A47563" w:rsidP="00ED5A66">
      <w:pPr>
        <w:pStyle w:val="BodyText"/>
        <w:rPr>
          <w:lang w:eastAsia="zh-CN"/>
        </w:rPr>
      </w:pPr>
      <w:r>
        <w:t>Gender equality was not addressed specifically in the program in 2014-15</w:t>
      </w:r>
      <w:r w:rsidRPr="00C15256">
        <w:t xml:space="preserve"> </w:t>
      </w:r>
      <w:r>
        <w:t>and the</w:t>
      </w:r>
      <w:r w:rsidR="00A2239A">
        <w:t>re</w:t>
      </w:r>
      <w:r>
        <w:t xml:space="preserve"> </w:t>
      </w:r>
      <w:r w:rsidR="00A2239A">
        <w:t xml:space="preserve">were no </w:t>
      </w:r>
      <w:r w:rsidRPr="004A2D5E">
        <w:t xml:space="preserve">specific gender </w:t>
      </w:r>
      <w:r>
        <w:t xml:space="preserve">equality </w:t>
      </w:r>
      <w:r w:rsidRPr="004A2D5E">
        <w:t>related targets</w:t>
      </w:r>
      <w:r>
        <w:t xml:space="preserve">. </w:t>
      </w:r>
      <w:r w:rsidR="00B327FE">
        <w:t xml:space="preserve">The development of </w:t>
      </w:r>
      <w:r w:rsidR="0083433F">
        <w:t>RCV</w:t>
      </w:r>
      <w:r w:rsidR="00B327FE">
        <w:t xml:space="preserve"> was informed by a </w:t>
      </w:r>
      <w:r w:rsidR="00B327FE" w:rsidRPr="00C15256">
        <w:t xml:space="preserve">study that found that barriers to starting and operating a business in Vietnam </w:t>
      </w:r>
      <w:r w:rsidR="00B327FE">
        <w:t>impact</w:t>
      </w:r>
      <w:r w:rsidR="00B327FE" w:rsidRPr="00C15256">
        <w:t xml:space="preserve"> equally </w:t>
      </w:r>
      <w:r w:rsidR="00B327FE">
        <w:t>on</w:t>
      </w:r>
      <w:r w:rsidR="00B327FE" w:rsidRPr="00C15256">
        <w:t xml:space="preserve"> women and men</w:t>
      </w:r>
      <w:r>
        <w:t xml:space="preserve">. However, </w:t>
      </w:r>
      <w:r w:rsidRPr="00F1413A">
        <w:t>in order to assess any possible gender impacts of the project, gender equality considerations will be strengthened through additional analysis of the impact of previous economic reforms on women to identify benefits and risks for future reform measures</w:t>
      </w:r>
      <w:r>
        <w:t>.</w:t>
      </w:r>
    </w:p>
    <w:p w:rsidR="00ED5DC9" w:rsidRDefault="00ED5DC9" w:rsidP="00ED5DC9">
      <w:pPr>
        <w:pStyle w:val="Heading3"/>
      </w:pPr>
      <w:r>
        <w:t>Objective 3 – Increase rural access to clean water and hygienic sanitation</w:t>
      </w:r>
    </w:p>
    <w:p w:rsidR="00F47591" w:rsidRPr="00ED5A66" w:rsidRDefault="00F47591" w:rsidP="00ED5A66">
      <w:pPr>
        <w:pStyle w:val="BodyText"/>
      </w:pPr>
      <w:r w:rsidRPr="00ED5A66">
        <w:t xml:space="preserve">Progress against the objective is rated green, reflecting successful achievement of targets for 2014-2015 and setting a foundation for achieving the objective in 2015. </w:t>
      </w:r>
    </w:p>
    <w:p w:rsidR="00ED5DC9" w:rsidRPr="00ED5A66" w:rsidRDefault="00F47591" w:rsidP="00ED5A66">
      <w:pPr>
        <w:pStyle w:val="BodyText"/>
      </w:pPr>
      <w:r w:rsidRPr="00ED5A66">
        <w:t>The Rural Water Supply and Sanitation National Target Program (RWSS NTP), supported by Australia</w:t>
      </w:r>
      <w:r w:rsidR="0091109A" w:rsidRPr="00ED5A66">
        <w:t>,</w:t>
      </w:r>
      <w:r w:rsidRPr="00ED5A66">
        <w:t xml:space="preserve"> is one of the ways Vietnam is working toward achieving MDG7 on environmental sustainability. </w:t>
      </w:r>
      <w:r w:rsidR="00ED5DC9" w:rsidRPr="00ED5A66">
        <w:t>The program aims to increase access to water and sanitation for rural populations by 85 per cent per cent and 65 per cent respectively by the end of 2015.</w:t>
      </w:r>
    </w:p>
    <w:p w:rsidR="00ED5DC9" w:rsidRPr="00ED5A66" w:rsidRDefault="00ED5DC9" w:rsidP="00ED5A66">
      <w:pPr>
        <w:pStyle w:val="BodyText"/>
      </w:pPr>
      <w:r w:rsidRPr="00ED5A66">
        <w:t>In 2014, Australian funding was provided for budget support</w:t>
      </w:r>
      <w:r w:rsidR="00AA7604">
        <w:t xml:space="preserve"> for the program</w:t>
      </w:r>
      <w:r w:rsidRPr="00ED5A66">
        <w:t xml:space="preserve">, technical assistance and contributions to multilateral partners. Our funding accounted for 4.3 per cent </w:t>
      </w:r>
      <w:r w:rsidR="00730CE3" w:rsidRPr="00ED5A66">
        <w:t>of the total RWSS NTP</w:t>
      </w:r>
      <w:r w:rsidRPr="00ED5A66">
        <w:t xml:space="preserve">3 budget. The total program budget comprises Government of Vietnam state budget, provincial budgets, contributions from other donors, private sector contributions and individual contributions. As a lead donor, Australia worked closely with the Government of Vietnam to ensure not just successful service delivery, but also sustainability of the program and the capture of lessons learnt in the sector. </w:t>
      </w:r>
    </w:p>
    <w:p w:rsidR="00ED5DC9" w:rsidRDefault="00ED5DC9" w:rsidP="00ED5DC9">
      <w:pPr>
        <w:pStyle w:val="BodyText"/>
        <w:rPr>
          <w:lang w:eastAsia="zh-CN"/>
        </w:rPr>
      </w:pPr>
      <w:r w:rsidRPr="00941F92">
        <w:rPr>
          <w:lang w:eastAsia="zh-CN"/>
        </w:rPr>
        <w:lastRenderedPageBreak/>
        <w:t>RWSS NTP3 results are on track to meet and</w:t>
      </w:r>
      <w:r>
        <w:rPr>
          <w:lang w:eastAsia="zh-CN"/>
        </w:rPr>
        <w:t>,</w:t>
      </w:r>
      <w:r w:rsidRPr="00941F92">
        <w:rPr>
          <w:lang w:eastAsia="zh-CN"/>
        </w:rPr>
        <w:t xml:space="preserve"> in some areas</w:t>
      </w:r>
      <w:r>
        <w:rPr>
          <w:lang w:eastAsia="zh-CN"/>
        </w:rPr>
        <w:t>,</w:t>
      </w:r>
      <w:r w:rsidRPr="00941F92">
        <w:rPr>
          <w:lang w:eastAsia="zh-CN"/>
        </w:rPr>
        <w:t xml:space="preserve"> surpass </w:t>
      </w:r>
      <w:r>
        <w:rPr>
          <w:lang w:eastAsia="zh-CN"/>
        </w:rPr>
        <w:t>its</w:t>
      </w:r>
      <w:r w:rsidRPr="00941F92">
        <w:rPr>
          <w:lang w:eastAsia="zh-CN"/>
        </w:rPr>
        <w:t xml:space="preserve"> targets. By 31 December 2014</w:t>
      </w:r>
      <w:r w:rsidRPr="00941F92">
        <w:rPr>
          <w:vertAlign w:val="superscript"/>
          <w:lang w:eastAsia="zh-CN"/>
        </w:rPr>
        <w:footnoteReference w:id="21"/>
      </w:r>
      <w:r w:rsidRPr="00941F92">
        <w:rPr>
          <w:lang w:eastAsia="zh-CN"/>
        </w:rPr>
        <w:t>:</w:t>
      </w:r>
    </w:p>
    <w:p w:rsidR="00ED5DC9" w:rsidRDefault="00ED5DC9" w:rsidP="00EC57EE">
      <w:pPr>
        <w:pStyle w:val="BodyText"/>
        <w:numPr>
          <w:ilvl w:val="0"/>
          <w:numId w:val="23"/>
        </w:numPr>
        <w:rPr>
          <w:lang w:eastAsia="zh-CN"/>
        </w:rPr>
      </w:pPr>
      <w:r w:rsidRPr="00941F92">
        <w:rPr>
          <w:lang w:eastAsia="zh-CN"/>
        </w:rPr>
        <w:t xml:space="preserve">84.5 per cent of the rural population had access to </w:t>
      </w:r>
      <w:r w:rsidR="00C3104C">
        <w:rPr>
          <w:lang w:eastAsia="zh-CN"/>
        </w:rPr>
        <w:t>hygienic</w:t>
      </w:r>
      <w:r w:rsidRPr="00941F92">
        <w:rPr>
          <w:lang w:eastAsia="zh-CN"/>
        </w:rPr>
        <w:t xml:space="preserve"> water (</w:t>
      </w:r>
      <w:r w:rsidR="00AA7604">
        <w:rPr>
          <w:lang w:eastAsia="zh-CN"/>
        </w:rPr>
        <w:t>an increase of two</w:t>
      </w:r>
      <w:r w:rsidR="00ED5A66">
        <w:rPr>
          <w:lang w:eastAsia="zh-CN"/>
        </w:rPr>
        <w:t> </w:t>
      </w:r>
      <w:r w:rsidR="00867A73">
        <w:rPr>
          <w:lang w:eastAsia="zh-CN"/>
        </w:rPr>
        <w:t>percent</w:t>
      </w:r>
      <w:r w:rsidR="00AA7604">
        <w:rPr>
          <w:lang w:eastAsia="zh-CN"/>
        </w:rPr>
        <w:t>age points</w:t>
      </w:r>
      <w:r>
        <w:rPr>
          <w:lang w:eastAsia="zh-CN"/>
        </w:rPr>
        <w:t xml:space="preserve"> compared to 2013 – </w:t>
      </w:r>
      <w:r w:rsidRPr="00941F92">
        <w:rPr>
          <w:lang w:eastAsia="zh-CN"/>
        </w:rPr>
        <w:t>an</w:t>
      </w:r>
      <w:r>
        <w:rPr>
          <w:lang w:eastAsia="zh-CN"/>
        </w:rPr>
        <w:t xml:space="preserve"> </w:t>
      </w:r>
      <w:r w:rsidRPr="00941F92">
        <w:rPr>
          <w:lang w:eastAsia="zh-CN"/>
        </w:rPr>
        <w:t>additional 1</w:t>
      </w:r>
      <w:r>
        <w:rPr>
          <w:lang w:eastAsia="zh-CN"/>
        </w:rPr>
        <w:t>.5 million</w:t>
      </w:r>
      <w:r w:rsidR="003B0BDD">
        <w:rPr>
          <w:lang w:eastAsia="zh-CN"/>
        </w:rPr>
        <w:t xml:space="preserve"> people)</w:t>
      </w:r>
      <w:r>
        <w:rPr>
          <w:rStyle w:val="FootnoteReference"/>
        </w:rPr>
        <w:footnoteReference w:id="22"/>
      </w:r>
      <w:r w:rsidRPr="00941F92">
        <w:rPr>
          <w:lang w:eastAsia="zh-CN"/>
        </w:rPr>
        <w:t>;</w:t>
      </w:r>
    </w:p>
    <w:p w:rsidR="00ED5DC9" w:rsidRDefault="00ED5DC9" w:rsidP="00EC57EE">
      <w:pPr>
        <w:pStyle w:val="BodyText"/>
        <w:numPr>
          <w:ilvl w:val="0"/>
          <w:numId w:val="23"/>
        </w:numPr>
        <w:rPr>
          <w:lang w:eastAsia="zh-CN"/>
        </w:rPr>
      </w:pPr>
      <w:r w:rsidRPr="00941F92">
        <w:rPr>
          <w:lang w:eastAsia="zh-CN"/>
        </w:rPr>
        <w:t>63 per cent of rural households had hygienic latrines (</w:t>
      </w:r>
      <w:r w:rsidR="00AA7604">
        <w:rPr>
          <w:lang w:eastAsia="zh-CN"/>
        </w:rPr>
        <w:t>an increase of three per</w:t>
      </w:r>
      <w:r w:rsidR="00867A73">
        <w:rPr>
          <w:lang w:eastAsia="zh-CN"/>
        </w:rPr>
        <w:t>cent</w:t>
      </w:r>
      <w:r w:rsidR="00AA7604">
        <w:rPr>
          <w:lang w:eastAsia="zh-CN"/>
        </w:rPr>
        <w:t>age points</w:t>
      </w:r>
      <w:r>
        <w:rPr>
          <w:lang w:eastAsia="zh-CN"/>
        </w:rPr>
        <w:t xml:space="preserve"> compared to 2013 – </w:t>
      </w:r>
      <w:r w:rsidRPr="00941F92">
        <w:rPr>
          <w:lang w:eastAsia="zh-CN"/>
        </w:rPr>
        <w:t>an</w:t>
      </w:r>
      <w:r>
        <w:rPr>
          <w:lang w:eastAsia="zh-CN"/>
        </w:rPr>
        <w:t xml:space="preserve"> </w:t>
      </w:r>
      <w:r w:rsidRPr="00941F92">
        <w:rPr>
          <w:lang w:eastAsia="zh-CN"/>
        </w:rPr>
        <w:t>additional 400</w:t>
      </w:r>
      <w:r>
        <w:rPr>
          <w:lang w:eastAsia="zh-CN"/>
        </w:rPr>
        <w:t>,</w:t>
      </w:r>
      <w:r w:rsidRPr="00941F92">
        <w:rPr>
          <w:lang w:eastAsia="zh-CN"/>
        </w:rPr>
        <w:t xml:space="preserve">000 households </w:t>
      </w:r>
      <w:r>
        <w:rPr>
          <w:lang w:eastAsia="zh-CN"/>
        </w:rPr>
        <w:t>or</w:t>
      </w:r>
      <w:r w:rsidRPr="00941F92">
        <w:rPr>
          <w:lang w:eastAsia="zh-CN"/>
        </w:rPr>
        <w:t xml:space="preserve"> approximately 2.5 million people)</w:t>
      </w:r>
      <w:r>
        <w:rPr>
          <w:rStyle w:val="FootnoteReference"/>
        </w:rPr>
        <w:footnoteReference w:id="23"/>
      </w:r>
      <w:r w:rsidRPr="00941F92">
        <w:rPr>
          <w:lang w:eastAsia="zh-CN"/>
        </w:rPr>
        <w:t>;</w:t>
      </w:r>
      <w:r>
        <w:rPr>
          <w:lang w:eastAsia="zh-CN"/>
        </w:rPr>
        <w:t xml:space="preserve"> and</w:t>
      </w:r>
    </w:p>
    <w:p w:rsidR="00ED5DC9" w:rsidRDefault="00ED5DC9" w:rsidP="00EC57EE">
      <w:pPr>
        <w:pStyle w:val="BodyText"/>
        <w:numPr>
          <w:ilvl w:val="0"/>
          <w:numId w:val="23"/>
        </w:numPr>
        <w:rPr>
          <w:lang w:eastAsia="zh-CN"/>
        </w:rPr>
      </w:pPr>
      <w:r w:rsidRPr="00941F92">
        <w:rPr>
          <w:lang w:eastAsia="zh-CN"/>
        </w:rPr>
        <w:t>91.4 per cent of rural schools and 92.8 per cent of rural health clinics were equipped with water supply and sanitation facilities</w:t>
      </w:r>
      <w:r>
        <w:rPr>
          <w:lang w:eastAsia="zh-CN"/>
        </w:rPr>
        <w:t xml:space="preserve"> (increase</w:t>
      </w:r>
      <w:r w:rsidR="00AA7604">
        <w:rPr>
          <w:lang w:eastAsia="zh-CN"/>
        </w:rPr>
        <w:t>s of four per</w:t>
      </w:r>
      <w:r w:rsidR="00867A73">
        <w:rPr>
          <w:lang w:eastAsia="zh-CN"/>
        </w:rPr>
        <w:t>cent</w:t>
      </w:r>
      <w:r w:rsidR="00AA7604">
        <w:rPr>
          <w:lang w:eastAsia="zh-CN"/>
        </w:rPr>
        <w:t>age points and one per</w:t>
      </w:r>
      <w:r w:rsidR="00867A73">
        <w:rPr>
          <w:lang w:eastAsia="zh-CN"/>
        </w:rPr>
        <w:t>cent</w:t>
      </w:r>
      <w:r w:rsidR="00AA7604">
        <w:rPr>
          <w:lang w:eastAsia="zh-CN"/>
        </w:rPr>
        <w:t>age point respectively,</w:t>
      </w:r>
      <w:r>
        <w:rPr>
          <w:lang w:eastAsia="zh-CN"/>
        </w:rPr>
        <w:t xml:space="preserve"> compared to 2013</w:t>
      </w:r>
      <w:r w:rsidR="003B0BDD">
        <w:rPr>
          <w:lang w:eastAsia="zh-CN"/>
        </w:rPr>
        <w:t>)</w:t>
      </w:r>
      <w:r w:rsidRPr="00941F92">
        <w:rPr>
          <w:lang w:eastAsia="zh-CN"/>
        </w:rPr>
        <w:t>.</w:t>
      </w:r>
    </w:p>
    <w:p w:rsidR="00ED5DC9" w:rsidRDefault="00ED5DC9" w:rsidP="00ED5DC9">
      <w:pPr>
        <w:pStyle w:val="BodyText"/>
        <w:rPr>
          <w:lang w:eastAsia="zh-CN"/>
        </w:rPr>
      </w:pPr>
      <w:r>
        <w:rPr>
          <w:lang w:eastAsia="zh-CN"/>
        </w:rPr>
        <w:t>I</w:t>
      </w:r>
      <w:r w:rsidRPr="00941F92">
        <w:rPr>
          <w:lang w:eastAsia="zh-CN"/>
        </w:rPr>
        <w:t>n 2014</w:t>
      </w:r>
      <w:r>
        <w:rPr>
          <w:lang w:eastAsia="zh-CN"/>
        </w:rPr>
        <w:t xml:space="preserve">, </w:t>
      </w:r>
      <w:r w:rsidRPr="00941F92">
        <w:rPr>
          <w:lang w:eastAsia="zh-CN"/>
        </w:rPr>
        <w:t>Australia’s investment in RWSS NTP3</w:t>
      </w:r>
      <w:r>
        <w:rPr>
          <w:lang w:eastAsia="zh-CN"/>
        </w:rPr>
        <w:t xml:space="preserve"> focused on ensuring that the </w:t>
      </w:r>
      <w:r w:rsidRPr="0033606A">
        <w:rPr>
          <w:lang w:eastAsia="zh-CN"/>
        </w:rPr>
        <w:t>rural pipeline schemes</w:t>
      </w:r>
      <w:r w:rsidDel="003960E7">
        <w:rPr>
          <w:lang w:eastAsia="zh-CN"/>
        </w:rPr>
        <w:t xml:space="preserve"> </w:t>
      </w:r>
      <w:r>
        <w:rPr>
          <w:lang w:eastAsia="zh-CN"/>
        </w:rPr>
        <w:t>operate effectively.</w:t>
      </w:r>
      <w:r w:rsidRPr="00941F92">
        <w:rPr>
          <w:lang w:eastAsia="zh-CN"/>
        </w:rPr>
        <w:t xml:space="preserve"> </w:t>
      </w:r>
      <w:r>
        <w:rPr>
          <w:lang w:eastAsia="zh-CN"/>
        </w:rPr>
        <w:t>T</w:t>
      </w:r>
      <w:r w:rsidRPr="00941F92">
        <w:rPr>
          <w:lang w:eastAsia="zh-CN"/>
        </w:rPr>
        <w:t>he proportion of existing</w:t>
      </w:r>
      <w:r w:rsidRPr="0033606A">
        <w:rPr>
          <w:lang w:eastAsia="zh-CN"/>
        </w:rPr>
        <w:t xml:space="preserve"> schemes</w:t>
      </w:r>
      <w:r w:rsidRPr="00941F92" w:rsidDel="003960E7">
        <w:rPr>
          <w:lang w:eastAsia="zh-CN"/>
        </w:rPr>
        <w:t xml:space="preserve"> </w:t>
      </w:r>
      <w:r w:rsidRPr="00941F92">
        <w:rPr>
          <w:lang w:eastAsia="zh-CN"/>
        </w:rPr>
        <w:t>operat</w:t>
      </w:r>
      <w:r>
        <w:rPr>
          <w:lang w:eastAsia="zh-CN"/>
        </w:rPr>
        <w:t>ing</w:t>
      </w:r>
      <w:r w:rsidRPr="00941F92">
        <w:rPr>
          <w:lang w:eastAsia="zh-CN"/>
        </w:rPr>
        <w:t xml:space="preserve"> effectively has </w:t>
      </w:r>
      <w:r>
        <w:rPr>
          <w:lang w:eastAsia="zh-CN"/>
        </w:rPr>
        <w:t>increased markedly</w:t>
      </w:r>
      <w:r w:rsidRPr="00941F92">
        <w:rPr>
          <w:lang w:eastAsia="zh-CN"/>
        </w:rPr>
        <w:t xml:space="preserve"> from 60</w:t>
      </w:r>
      <w:r>
        <w:rPr>
          <w:lang w:eastAsia="zh-CN"/>
        </w:rPr>
        <w:t xml:space="preserve"> per cent</w:t>
      </w:r>
      <w:r w:rsidRPr="00941F92">
        <w:rPr>
          <w:lang w:eastAsia="zh-CN"/>
        </w:rPr>
        <w:t xml:space="preserve"> in 2013 to 74</w:t>
      </w:r>
      <w:r>
        <w:rPr>
          <w:lang w:eastAsia="zh-CN"/>
        </w:rPr>
        <w:t xml:space="preserve"> per cent</w:t>
      </w:r>
      <w:r w:rsidRPr="00941F92">
        <w:rPr>
          <w:lang w:eastAsia="zh-CN"/>
        </w:rPr>
        <w:t xml:space="preserve"> in 2014.</w:t>
      </w:r>
    </w:p>
    <w:p w:rsidR="00ED5DC9" w:rsidRPr="00B610FA" w:rsidRDefault="00ED5DC9" w:rsidP="00607A9A">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b/>
          <w:lang w:eastAsia="zh-CN"/>
        </w:rPr>
      </w:pPr>
      <w:r>
        <w:rPr>
          <w:b/>
          <w:lang w:eastAsia="zh-CN"/>
        </w:rPr>
        <w:t>Case study</w:t>
      </w:r>
      <w:r w:rsidRPr="00B610FA">
        <w:rPr>
          <w:b/>
          <w:lang w:eastAsia="zh-CN"/>
        </w:rPr>
        <w:t>: development of a national registration database of rural water facilities</w:t>
      </w:r>
    </w:p>
    <w:p w:rsidR="00ED5DC9" w:rsidRPr="00941F92" w:rsidRDefault="00ED5DC9" w:rsidP="00607A9A">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lang w:eastAsia="zh-CN"/>
        </w:rPr>
      </w:pPr>
      <w:r w:rsidRPr="00941F92">
        <w:rPr>
          <w:lang w:eastAsia="zh-CN"/>
        </w:rPr>
        <w:t xml:space="preserve">Australia has provided support </w:t>
      </w:r>
      <w:r>
        <w:rPr>
          <w:lang w:eastAsia="zh-CN"/>
        </w:rPr>
        <w:t>for</w:t>
      </w:r>
      <w:r w:rsidRPr="00941F92">
        <w:rPr>
          <w:lang w:eastAsia="zh-CN"/>
        </w:rPr>
        <w:t xml:space="preserve"> the development of a national registration database of rural water facilities. </w:t>
      </w:r>
      <w:r>
        <w:rPr>
          <w:lang w:eastAsia="zh-CN"/>
        </w:rPr>
        <w:t>The o</w:t>
      </w:r>
      <w:r w:rsidRPr="00941F92">
        <w:rPr>
          <w:lang w:eastAsia="zh-CN"/>
        </w:rPr>
        <w:t xml:space="preserve">wnership </w:t>
      </w:r>
      <w:r>
        <w:rPr>
          <w:lang w:eastAsia="zh-CN"/>
        </w:rPr>
        <w:t xml:space="preserve">of water facilities and </w:t>
      </w:r>
      <w:r w:rsidRPr="00941F92">
        <w:rPr>
          <w:lang w:eastAsia="zh-CN"/>
        </w:rPr>
        <w:t xml:space="preserve">the </w:t>
      </w:r>
      <w:r>
        <w:rPr>
          <w:lang w:eastAsia="zh-CN"/>
        </w:rPr>
        <w:t xml:space="preserve">value of these </w:t>
      </w:r>
      <w:r w:rsidRPr="00941F92">
        <w:rPr>
          <w:lang w:eastAsia="zh-CN"/>
        </w:rPr>
        <w:t>asset</w:t>
      </w:r>
      <w:r>
        <w:rPr>
          <w:lang w:eastAsia="zh-CN"/>
        </w:rPr>
        <w:t>s</w:t>
      </w:r>
      <w:r w:rsidRPr="00941F92">
        <w:rPr>
          <w:lang w:eastAsia="zh-CN"/>
        </w:rPr>
        <w:t xml:space="preserve"> had not previously been established</w:t>
      </w:r>
      <w:r>
        <w:rPr>
          <w:lang w:eastAsia="zh-CN"/>
        </w:rPr>
        <w:t>. S</w:t>
      </w:r>
      <w:r w:rsidRPr="00941F92">
        <w:rPr>
          <w:lang w:eastAsia="zh-CN"/>
        </w:rPr>
        <w:t>ome belong</w:t>
      </w:r>
      <w:r>
        <w:rPr>
          <w:lang w:eastAsia="zh-CN"/>
        </w:rPr>
        <w:t>ed</w:t>
      </w:r>
      <w:r w:rsidRPr="00941F92">
        <w:rPr>
          <w:lang w:eastAsia="zh-CN"/>
        </w:rPr>
        <w:t xml:space="preserve"> to the community</w:t>
      </w:r>
      <w:r>
        <w:rPr>
          <w:lang w:eastAsia="zh-CN"/>
        </w:rPr>
        <w:t>,</w:t>
      </w:r>
      <w:r w:rsidRPr="00941F92">
        <w:rPr>
          <w:lang w:eastAsia="zh-CN"/>
        </w:rPr>
        <w:t xml:space="preserve"> and others </w:t>
      </w:r>
      <w:r>
        <w:rPr>
          <w:lang w:eastAsia="zh-CN"/>
        </w:rPr>
        <w:t xml:space="preserve">were </w:t>
      </w:r>
      <w:r w:rsidRPr="00941F92">
        <w:rPr>
          <w:lang w:eastAsia="zh-CN"/>
        </w:rPr>
        <w:t xml:space="preserve">managed by the </w:t>
      </w:r>
      <w:r w:rsidRPr="0033606A">
        <w:rPr>
          <w:lang w:eastAsia="zh-CN"/>
        </w:rPr>
        <w:t xml:space="preserve">provincial centres for rural water supply and sanitation </w:t>
      </w:r>
      <w:r w:rsidRPr="00941F92">
        <w:rPr>
          <w:lang w:eastAsia="zh-CN"/>
        </w:rPr>
        <w:t>or private entities.</w:t>
      </w:r>
      <w:r>
        <w:rPr>
          <w:lang w:eastAsia="zh-CN"/>
        </w:rPr>
        <w:t xml:space="preserve"> The database holds details of ownership of the water facilities, and defines the different responsibilities of agencies that are implementing programs in the sector. </w:t>
      </w:r>
      <w:r w:rsidRPr="00941F92">
        <w:rPr>
          <w:lang w:eastAsia="zh-CN"/>
        </w:rPr>
        <w:t xml:space="preserve">This </w:t>
      </w:r>
      <w:r>
        <w:rPr>
          <w:lang w:eastAsia="zh-CN"/>
        </w:rPr>
        <w:t xml:space="preserve">database </w:t>
      </w:r>
      <w:r w:rsidRPr="00941F92">
        <w:rPr>
          <w:lang w:eastAsia="zh-CN"/>
        </w:rPr>
        <w:t xml:space="preserve">will help to set the foundation for future public-private partnerships in the sector by enabling the private sector to propose a PPP deal knowing who owns the asset and what its value is. By the end of 2014, 16,000 </w:t>
      </w:r>
      <w:r w:rsidRPr="0033606A">
        <w:rPr>
          <w:lang w:eastAsia="zh-CN"/>
        </w:rPr>
        <w:t>rural pipeline schemes</w:t>
      </w:r>
      <w:r w:rsidRPr="00941F92" w:rsidDel="003960E7">
        <w:rPr>
          <w:lang w:eastAsia="zh-CN"/>
        </w:rPr>
        <w:t xml:space="preserve"> </w:t>
      </w:r>
      <w:r w:rsidRPr="00941F92">
        <w:rPr>
          <w:lang w:eastAsia="zh-CN"/>
        </w:rPr>
        <w:t xml:space="preserve">were registered and had their ownership arrangements defined. The database also serves as </w:t>
      </w:r>
      <w:r>
        <w:rPr>
          <w:lang w:eastAsia="zh-CN"/>
        </w:rPr>
        <w:t xml:space="preserve">a tool to help </w:t>
      </w:r>
      <w:r w:rsidRPr="00941F92">
        <w:rPr>
          <w:lang w:eastAsia="zh-CN"/>
        </w:rPr>
        <w:t xml:space="preserve">provincial level authorities </w:t>
      </w:r>
      <w:r>
        <w:rPr>
          <w:lang w:eastAsia="zh-CN"/>
        </w:rPr>
        <w:t xml:space="preserve">make </w:t>
      </w:r>
      <w:r w:rsidRPr="00941F92">
        <w:rPr>
          <w:lang w:eastAsia="zh-CN"/>
        </w:rPr>
        <w:t>decision</w:t>
      </w:r>
      <w:r>
        <w:rPr>
          <w:lang w:eastAsia="zh-CN"/>
        </w:rPr>
        <w:t xml:space="preserve">s and </w:t>
      </w:r>
      <w:r w:rsidRPr="00941F92">
        <w:rPr>
          <w:lang w:eastAsia="zh-CN"/>
        </w:rPr>
        <w:t xml:space="preserve">prioritise investments. </w:t>
      </w:r>
      <w:r>
        <w:rPr>
          <w:lang w:eastAsia="zh-CN"/>
        </w:rPr>
        <w:t xml:space="preserve">For example, in 2014 provinces decided to allocate funding for upgrading and rehabilitating rural pipeline schemes instead of building new ones, and the private sector has invested a lot in upgrading schemes. As a result, </w:t>
      </w:r>
      <w:r w:rsidRPr="00941F92">
        <w:rPr>
          <w:lang w:eastAsia="zh-CN"/>
        </w:rPr>
        <w:t xml:space="preserve">900 </w:t>
      </w:r>
      <w:r w:rsidRPr="0033606A">
        <w:rPr>
          <w:lang w:eastAsia="zh-CN"/>
        </w:rPr>
        <w:t>rural pipeline schemes</w:t>
      </w:r>
      <w:r w:rsidRPr="00941F92" w:rsidDel="003960E7">
        <w:rPr>
          <w:lang w:eastAsia="zh-CN"/>
        </w:rPr>
        <w:t xml:space="preserve"> </w:t>
      </w:r>
      <w:r w:rsidRPr="00941F92">
        <w:rPr>
          <w:lang w:eastAsia="zh-CN"/>
        </w:rPr>
        <w:t xml:space="preserve">have been upgraded following </w:t>
      </w:r>
      <w:r>
        <w:rPr>
          <w:lang w:eastAsia="zh-CN"/>
        </w:rPr>
        <w:t xml:space="preserve">the </w:t>
      </w:r>
      <w:r w:rsidRPr="00941F92">
        <w:rPr>
          <w:lang w:eastAsia="zh-CN"/>
        </w:rPr>
        <w:t>successful roll out of the database</w:t>
      </w:r>
      <w:r w:rsidRPr="00941F92">
        <w:rPr>
          <w:vertAlign w:val="superscript"/>
          <w:lang w:eastAsia="zh-CN"/>
        </w:rPr>
        <w:footnoteReference w:id="24"/>
      </w:r>
      <w:r>
        <w:rPr>
          <w:lang w:eastAsia="zh-CN"/>
        </w:rPr>
        <w:t>.</w:t>
      </w:r>
    </w:p>
    <w:p w:rsidR="00ED5DC9" w:rsidRPr="00941F92" w:rsidRDefault="00ED5DC9" w:rsidP="00ED5DC9">
      <w:pPr>
        <w:pStyle w:val="BodyText"/>
        <w:rPr>
          <w:lang w:eastAsia="zh-CN"/>
        </w:rPr>
      </w:pPr>
      <w:r>
        <w:rPr>
          <w:lang w:eastAsia="zh-CN"/>
        </w:rPr>
        <w:t xml:space="preserve">Australia </w:t>
      </w:r>
      <w:r w:rsidR="00C3104C">
        <w:rPr>
          <w:lang w:eastAsia="zh-CN"/>
        </w:rPr>
        <w:t>topped up the Government of Vietnam subsidy to cover the operational cost of</w:t>
      </w:r>
      <w:r w:rsidRPr="00941F92">
        <w:rPr>
          <w:lang w:eastAsia="zh-CN"/>
        </w:rPr>
        <w:t xml:space="preserve"> the Vietnam Bank for Social Policies (VBSP)</w:t>
      </w:r>
      <w:r w:rsidR="00C3104C">
        <w:rPr>
          <w:lang w:eastAsia="zh-CN"/>
        </w:rPr>
        <w:t xml:space="preserve"> </w:t>
      </w:r>
      <w:r w:rsidR="00CD1256">
        <w:rPr>
          <w:lang w:eastAsia="zh-CN"/>
        </w:rPr>
        <w:t>providing</w:t>
      </w:r>
      <w:r w:rsidRPr="00941F92">
        <w:rPr>
          <w:lang w:eastAsia="zh-CN"/>
        </w:rPr>
        <w:t xml:space="preserve"> loans to RWSS</w:t>
      </w:r>
      <w:r w:rsidR="00CD1256">
        <w:rPr>
          <w:lang w:eastAsia="zh-CN"/>
        </w:rPr>
        <w:t>. These loans</w:t>
      </w:r>
      <w:r>
        <w:rPr>
          <w:lang w:eastAsia="zh-CN"/>
        </w:rPr>
        <w:t xml:space="preserve"> are</w:t>
      </w:r>
      <w:r w:rsidRPr="00941F92">
        <w:rPr>
          <w:lang w:eastAsia="zh-CN"/>
        </w:rPr>
        <w:t xml:space="preserve"> critical to </w:t>
      </w:r>
      <w:r>
        <w:rPr>
          <w:lang w:eastAsia="zh-CN"/>
        </w:rPr>
        <w:t xml:space="preserve">the program’s </w:t>
      </w:r>
      <w:r w:rsidRPr="00941F92">
        <w:rPr>
          <w:lang w:eastAsia="zh-CN"/>
        </w:rPr>
        <w:t>success</w:t>
      </w:r>
      <w:r>
        <w:rPr>
          <w:lang w:eastAsia="zh-CN"/>
        </w:rPr>
        <w:t xml:space="preserve"> and</w:t>
      </w:r>
      <w:r w:rsidRPr="00941F92">
        <w:rPr>
          <w:lang w:eastAsia="zh-CN"/>
        </w:rPr>
        <w:t xml:space="preserve"> </w:t>
      </w:r>
      <w:r>
        <w:rPr>
          <w:lang w:eastAsia="zh-CN"/>
        </w:rPr>
        <w:t xml:space="preserve">are an </w:t>
      </w:r>
      <w:r w:rsidRPr="00941F92">
        <w:rPr>
          <w:lang w:eastAsia="zh-CN"/>
        </w:rPr>
        <w:t>effective lending mechanism to the poor. From 2004</w:t>
      </w:r>
      <w:r>
        <w:rPr>
          <w:lang w:eastAsia="zh-CN"/>
        </w:rPr>
        <w:t xml:space="preserve"> to </w:t>
      </w:r>
      <w:r w:rsidRPr="00941F92">
        <w:rPr>
          <w:lang w:eastAsia="zh-CN"/>
        </w:rPr>
        <w:t>2014 there have been over 6.2 million household</w:t>
      </w:r>
      <w:r w:rsidRPr="00ED5DC9">
        <w:rPr>
          <w:vertAlign w:val="superscript"/>
          <w:lang w:eastAsia="zh-CN"/>
        </w:rPr>
        <w:footnoteReference w:id="25"/>
      </w:r>
      <w:r w:rsidRPr="00941F92">
        <w:rPr>
          <w:lang w:eastAsia="zh-CN"/>
        </w:rPr>
        <w:t xml:space="preserve"> water connection and sanitation facilities built </w:t>
      </w:r>
      <w:r>
        <w:rPr>
          <w:lang w:eastAsia="zh-CN"/>
        </w:rPr>
        <w:t>using</w:t>
      </w:r>
      <w:r w:rsidRPr="00941F92">
        <w:rPr>
          <w:lang w:eastAsia="zh-CN"/>
        </w:rPr>
        <w:t xml:space="preserve"> the VBSP loans</w:t>
      </w:r>
      <w:r w:rsidRPr="00ED5DC9">
        <w:rPr>
          <w:vertAlign w:val="superscript"/>
          <w:lang w:eastAsia="zh-CN"/>
        </w:rPr>
        <w:footnoteReference w:id="26"/>
      </w:r>
      <w:r>
        <w:rPr>
          <w:lang w:eastAsia="zh-CN"/>
        </w:rPr>
        <w:t xml:space="preserve">. </w:t>
      </w:r>
      <w:r w:rsidR="00F47591">
        <w:rPr>
          <w:lang w:eastAsia="zh-CN"/>
        </w:rPr>
        <w:t xml:space="preserve">This has </w:t>
      </w:r>
      <w:r w:rsidR="00F47591" w:rsidRPr="00941F92">
        <w:rPr>
          <w:lang w:eastAsia="zh-CN"/>
        </w:rPr>
        <w:t xml:space="preserve">contributed significantly to meeting </w:t>
      </w:r>
      <w:r w:rsidR="00F47591">
        <w:rPr>
          <w:lang w:eastAsia="zh-CN"/>
        </w:rPr>
        <w:t>the program’s</w:t>
      </w:r>
      <w:r w:rsidR="00F47591" w:rsidRPr="00941F92">
        <w:rPr>
          <w:lang w:eastAsia="zh-CN"/>
        </w:rPr>
        <w:t xml:space="preserve"> overall </w:t>
      </w:r>
      <w:r w:rsidR="00F47591">
        <w:rPr>
          <w:lang w:eastAsia="zh-CN"/>
        </w:rPr>
        <w:t xml:space="preserve">household water </w:t>
      </w:r>
      <w:r w:rsidR="00F47591" w:rsidRPr="00941F92">
        <w:rPr>
          <w:lang w:eastAsia="zh-CN"/>
        </w:rPr>
        <w:t>connection targets.</w:t>
      </w:r>
    </w:p>
    <w:p w:rsidR="00CD1256" w:rsidRDefault="00CD1256" w:rsidP="00ED5DC9">
      <w:pPr>
        <w:pStyle w:val="BodyText"/>
        <w:rPr>
          <w:lang w:eastAsia="zh-CN"/>
        </w:rPr>
      </w:pPr>
      <w:r w:rsidRPr="00CD1256">
        <w:rPr>
          <w:lang w:eastAsia="zh-CN"/>
        </w:rPr>
        <w:t xml:space="preserve">Under the NTP3, a greater focus is being placed on addressing inequalities suffered by women and girls related to water and sanitation services. Australia provided technical assistance to the Vietnam Women’s Union and Ho Chi Minh City </w:t>
      </w:r>
      <w:r w:rsidR="00A976A9">
        <w:rPr>
          <w:lang w:eastAsia="zh-CN"/>
        </w:rPr>
        <w:t xml:space="preserve">Women’s Union </w:t>
      </w:r>
      <w:r w:rsidRPr="00CD1256">
        <w:rPr>
          <w:lang w:eastAsia="zh-CN"/>
        </w:rPr>
        <w:t xml:space="preserve">to enhance women’s participation in water and sanitation related services. As a result of Australia’s support, women </w:t>
      </w:r>
      <w:r w:rsidRPr="00CD1256">
        <w:rPr>
          <w:lang w:eastAsia="zh-CN"/>
        </w:rPr>
        <w:lastRenderedPageBreak/>
        <w:t>are directly involved in the planning and management of water supply and sanitation programs, and hygiene promotion interventions are specifically designed to reach women and girls. Australia requested the Government of Vietnam and provinces to track and report against gender specific indicators</w:t>
      </w:r>
      <w:r w:rsidR="007B4B08">
        <w:rPr>
          <w:lang w:eastAsia="zh-CN"/>
        </w:rPr>
        <w:t xml:space="preserve"> </w:t>
      </w:r>
      <w:r w:rsidRPr="00CD1256">
        <w:rPr>
          <w:lang w:eastAsia="zh-CN"/>
        </w:rPr>
        <w:t>introduced in 2013</w:t>
      </w:r>
      <w:r w:rsidR="0091109A">
        <w:rPr>
          <w:lang w:eastAsia="zh-CN"/>
        </w:rPr>
        <w:t>. They</w:t>
      </w:r>
      <w:r w:rsidRPr="00CD1256">
        <w:rPr>
          <w:lang w:eastAsia="zh-CN"/>
        </w:rPr>
        <w:t xml:space="preserve"> </w:t>
      </w:r>
      <w:r w:rsidR="00C0328E">
        <w:rPr>
          <w:lang w:eastAsia="zh-CN"/>
        </w:rPr>
        <w:t>were</w:t>
      </w:r>
      <w:r w:rsidRPr="00CD1256">
        <w:rPr>
          <w:lang w:eastAsia="zh-CN"/>
        </w:rPr>
        <w:t xml:space="preserve"> reported against consistently </w:t>
      </w:r>
      <w:r w:rsidR="00C0328E">
        <w:rPr>
          <w:lang w:eastAsia="zh-CN"/>
        </w:rPr>
        <w:t>i</w:t>
      </w:r>
      <w:r w:rsidRPr="00CD1256">
        <w:rPr>
          <w:lang w:eastAsia="zh-CN"/>
        </w:rPr>
        <w:t>n 2014 by the provinces</w:t>
      </w:r>
      <w:r w:rsidR="0091109A">
        <w:rPr>
          <w:lang w:eastAsia="zh-CN"/>
        </w:rPr>
        <w:t xml:space="preserve"> and</w:t>
      </w:r>
      <w:r w:rsidRPr="00CD1256">
        <w:rPr>
          <w:lang w:eastAsia="zh-CN"/>
        </w:rPr>
        <w:t xml:space="preserve"> show that 53 per cent of the rural </w:t>
      </w:r>
      <w:r w:rsidR="007B4B08">
        <w:rPr>
          <w:lang w:eastAsia="zh-CN"/>
        </w:rPr>
        <w:t>beneficiaries</w:t>
      </w:r>
      <w:r w:rsidR="007B4B08" w:rsidRPr="00CD1256">
        <w:rPr>
          <w:lang w:eastAsia="zh-CN"/>
        </w:rPr>
        <w:t xml:space="preserve"> </w:t>
      </w:r>
      <w:r w:rsidR="007B4B08">
        <w:rPr>
          <w:lang w:eastAsia="zh-CN"/>
        </w:rPr>
        <w:t xml:space="preserve">of </w:t>
      </w:r>
      <w:r>
        <w:rPr>
          <w:lang w:eastAsia="zh-CN"/>
        </w:rPr>
        <w:t xml:space="preserve">the NTP3 are </w:t>
      </w:r>
      <w:r w:rsidR="00A976A9">
        <w:rPr>
          <w:lang w:eastAsia="zh-CN"/>
        </w:rPr>
        <w:t>women</w:t>
      </w:r>
      <w:r w:rsidR="00A976A9" w:rsidRPr="00941F92">
        <w:rPr>
          <w:vertAlign w:val="superscript"/>
          <w:lang w:eastAsia="zh-CN"/>
        </w:rPr>
        <w:footnoteReference w:id="27"/>
      </w:r>
      <w:r w:rsidR="00BF7AE1">
        <w:rPr>
          <w:lang w:eastAsia="zh-CN"/>
        </w:rPr>
        <w:t>.</w:t>
      </w:r>
      <w:r>
        <w:rPr>
          <w:lang w:eastAsia="zh-CN"/>
        </w:rPr>
        <w:t xml:space="preserve"> </w:t>
      </w:r>
    </w:p>
    <w:p w:rsidR="00ED5DC9" w:rsidRDefault="00ED5DC9" w:rsidP="00ED5DC9">
      <w:pPr>
        <w:pStyle w:val="BodyText"/>
        <w:rPr>
          <w:lang w:eastAsia="zh-CN"/>
        </w:rPr>
      </w:pPr>
      <w:r w:rsidRPr="00941F92">
        <w:rPr>
          <w:lang w:eastAsia="zh-CN"/>
        </w:rPr>
        <w:t>To complement our direct support to RWSS NTP3, we partnered with the World Bank and NGOs at the policy and program levels to deliver sustainable water and sanitation outcomes</w:t>
      </w:r>
      <w:r>
        <w:rPr>
          <w:lang w:eastAsia="zh-CN"/>
        </w:rPr>
        <w:t xml:space="preserve"> that </w:t>
      </w:r>
      <w:r w:rsidRPr="00941F92">
        <w:rPr>
          <w:lang w:eastAsia="zh-CN"/>
        </w:rPr>
        <w:t>aligned to the priorities of the NTP3 and promote innovative measures.</w:t>
      </w:r>
    </w:p>
    <w:p w:rsidR="00ED5DC9" w:rsidRPr="00426B7C" w:rsidRDefault="00ED5DC9" w:rsidP="00607A9A">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b/>
          <w:lang w:eastAsia="zh-CN"/>
        </w:rPr>
      </w:pPr>
      <w:r w:rsidRPr="00426B7C">
        <w:rPr>
          <w:b/>
          <w:lang w:eastAsia="zh-CN"/>
        </w:rPr>
        <w:t xml:space="preserve">Case study: </w:t>
      </w:r>
      <w:r w:rsidR="00CD1256">
        <w:rPr>
          <w:b/>
          <w:lang w:eastAsia="zh-CN"/>
        </w:rPr>
        <w:t>Partnering with NGOs to</w:t>
      </w:r>
      <w:r>
        <w:rPr>
          <w:b/>
          <w:lang w:eastAsia="zh-CN"/>
        </w:rPr>
        <w:t xml:space="preserve"> increase access to water and sanitation services</w:t>
      </w:r>
    </w:p>
    <w:p w:rsidR="00ED5DC9" w:rsidRPr="00941F92" w:rsidRDefault="00ED5DC9" w:rsidP="00607A9A">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lang w:eastAsia="zh-CN"/>
        </w:rPr>
      </w:pPr>
      <w:r w:rsidRPr="00941F92">
        <w:rPr>
          <w:lang w:eastAsia="zh-CN"/>
        </w:rPr>
        <w:t>In 2014-2015 we supported three NGOs</w:t>
      </w:r>
      <w:r>
        <w:rPr>
          <w:lang w:eastAsia="zh-CN"/>
        </w:rPr>
        <w:t xml:space="preserve"> (</w:t>
      </w:r>
      <w:r w:rsidRPr="00941F92">
        <w:rPr>
          <w:lang w:eastAsia="zh-CN"/>
        </w:rPr>
        <w:t>East Meets West Foundation, Plan International and iDE</w:t>
      </w:r>
      <w:r>
        <w:rPr>
          <w:lang w:eastAsia="zh-CN"/>
        </w:rPr>
        <w:t xml:space="preserve">) </w:t>
      </w:r>
      <w:r w:rsidRPr="00941F92">
        <w:rPr>
          <w:lang w:eastAsia="zh-CN"/>
        </w:rPr>
        <w:t>to implement water and sanitation activities under Australia’s investment in Civil Society Water and Sanitation Fund (C</w:t>
      </w:r>
      <w:r>
        <w:rPr>
          <w:lang w:eastAsia="zh-CN"/>
        </w:rPr>
        <w:t>S</w:t>
      </w:r>
      <w:r w:rsidRPr="00941F92">
        <w:rPr>
          <w:lang w:eastAsia="zh-CN"/>
        </w:rPr>
        <w:t>O WASH Fu</w:t>
      </w:r>
      <w:r>
        <w:rPr>
          <w:lang w:eastAsia="zh-CN"/>
        </w:rPr>
        <w:t>nd), and</w:t>
      </w:r>
      <w:r w:rsidRPr="00941F92">
        <w:rPr>
          <w:lang w:eastAsia="zh-CN"/>
        </w:rPr>
        <w:t xml:space="preserve"> continued to support the expansion of out-put based (OBA) </w:t>
      </w:r>
      <w:r>
        <w:rPr>
          <w:lang w:eastAsia="zh-CN"/>
        </w:rPr>
        <w:t>aid</w:t>
      </w:r>
      <w:r w:rsidRPr="00941F92">
        <w:rPr>
          <w:lang w:eastAsia="zh-CN"/>
        </w:rPr>
        <w:t xml:space="preserve"> through </w:t>
      </w:r>
      <w:r>
        <w:rPr>
          <w:lang w:eastAsia="zh-CN"/>
        </w:rPr>
        <w:t xml:space="preserve">the </w:t>
      </w:r>
      <w:r w:rsidRPr="00941F92">
        <w:rPr>
          <w:lang w:eastAsia="zh-CN"/>
        </w:rPr>
        <w:t>East Meets West Foundation. The OBA is a</w:t>
      </w:r>
      <w:r>
        <w:rPr>
          <w:lang w:eastAsia="zh-CN"/>
        </w:rPr>
        <w:t>n</w:t>
      </w:r>
      <w:r w:rsidRPr="00941F92">
        <w:rPr>
          <w:lang w:eastAsia="zh-CN"/>
        </w:rPr>
        <w:t xml:space="preserve"> innovative mechanism </w:t>
      </w:r>
      <w:r>
        <w:rPr>
          <w:lang w:eastAsia="zh-CN"/>
        </w:rPr>
        <w:t>that links</w:t>
      </w:r>
      <w:r w:rsidRPr="00941F92">
        <w:rPr>
          <w:lang w:eastAsia="zh-CN"/>
        </w:rPr>
        <w:t xml:space="preserve"> the grant disbursement to the delivery of water connections and latrines</w:t>
      </w:r>
      <w:r>
        <w:rPr>
          <w:lang w:eastAsia="zh-CN"/>
        </w:rPr>
        <w:t xml:space="preserve">. </w:t>
      </w:r>
      <w:r w:rsidRPr="004D5B48">
        <w:rPr>
          <w:lang w:eastAsia="zh-CN"/>
        </w:rPr>
        <w:t xml:space="preserve">The financial rebate schemes that underpin OBA are designed to incentivise WASH service providers to target </w:t>
      </w:r>
      <w:r>
        <w:rPr>
          <w:lang w:eastAsia="zh-CN"/>
        </w:rPr>
        <w:t xml:space="preserve">poor customers and poor areas. </w:t>
      </w:r>
      <w:r w:rsidRPr="004D5B48">
        <w:rPr>
          <w:lang w:eastAsia="zh-CN"/>
        </w:rPr>
        <w:t xml:space="preserve">OBA differs from other contractual arrangements as funding is provided by </w:t>
      </w:r>
      <w:r w:rsidR="00A976A9">
        <w:rPr>
          <w:lang w:eastAsia="zh-CN"/>
        </w:rPr>
        <w:t xml:space="preserve">the </w:t>
      </w:r>
      <w:r>
        <w:rPr>
          <w:lang w:eastAsia="zh-CN"/>
        </w:rPr>
        <w:t>East Meets West Foundation only</w:t>
      </w:r>
      <w:r w:rsidRPr="004D5B48">
        <w:rPr>
          <w:lang w:eastAsia="zh-CN"/>
        </w:rPr>
        <w:t xml:space="preserve"> after independent verification of predefined outputs. </w:t>
      </w:r>
      <w:r>
        <w:rPr>
          <w:lang w:eastAsia="zh-CN"/>
        </w:rPr>
        <w:t>Evidence from Ben Tre province in the water supply component indicates that the provincial water centre application of the OBA approach is about 30 per cent cheaper than their typical approach to water supply construction works</w:t>
      </w:r>
      <w:r>
        <w:rPr>
          <w:rStyle w:val="FootnoteReference"/>
        </w:rPr>
        <w:footnoteReference w:id="28"/>
      </w:r>
      <w:r>
        <w:rPr>
          <w:lang w:eastAsia="zh-CN"/>
        </w:rPr>
        <w:t xml:space="preserve">. This </w:t>
      </w:r>
      <w:r w:rsidRPr="00941F92">
        <w:rPr>
          <w:lang w:eastAsia="zh-CN"/>
        </w:rPr>
        <w:t>increas</w:t>
      </w:r>
      <w:r>
        <w:rPr>
          <w:lang w:eastAsia="zh-CN"/>
        </w:rPr>
        <w:t>es</w:t>
      </w:r>
      <w:r w:rsidRPr="00941F92">
        <w:rPr>
          <w:lang w:eastAsia="zh-CN"/>
        </w:rPr>
        <w:t xml:space="preserve"> access to water and sanitation services by the poor and ensure</w:t>
      </w:r>
      <w:r>
        <w:rPr>
          <w:lang w:eastAsia="zh-CN"/>
        </w:rPr>
        <w:t>s</w:t>
      </w:r>
      <w:r w:rsidRPr="00941F92">
        <w:rPr>
          <w:lang w:eastAsia="zh-CN"/>
        </w:rPr>
        <w:t xml:space="preserve"> that our grant is well spent</w:t>
      </w:r>
      <w:r>
        <w:rPr>
          <w:lang w:eastAsia="zh-CN"/>
        </w:rPr>
        <w:t xml:space="preserve">. </w:t>
      </w:r>
    </w:p>
    <w:p w:rsidR="00ED5DC9" w:rsidRDefault="00ED5DC9" w:rsidP="00ED5DC9">
      <w:pPr>
        <w:pStyle w:val="BodyText"/>
        <w:rPr>
          <w:lang w:eastAsia="zh-CN"/>
        </w:rPr>
      </w:pPr>
      <w:r w:rsidRPr="00941F92">
        <w:rPr>
          <w:lang w:eastAsia="zh-CN"/>
        </w:rPr>
        <w:t>A</w:t>
      </w:r>
      <w:r>
        <w:rPr>
          <w:lang w:eastAsia="zh-CN"/>
        </w:rPr>
        <w:t>ustralia contributed to improving the</w:t>
      </w:r>
      <w:r w:rsidRPr="00941F92">
        <w:rPr>
          <w:lang w:eastAsia="zh-CN"/>
        </w:rPr>
        <w:t xml:space="preserve"> coordination between agriculture, health and education at the central level</w:t>
      </w:r>
      <w:r>
        <w:rPr>
          <w:lang w:eastAsia="zh-CN"/>
        </w:rPr>
        <w:t xml:space="preserve"> t</w:t>
      </w:r>
      <w:r w:rsidRPr="00941F92">
        <w:rPr>
          <w:lang w:eastAsia="zh-CN"/>
        </w:rPr>
        <w:t xml:space="preserve">hrough the RWSS Partnership Group, a policy dialogue </w:t>
      </w:r>
      <w:r>
        <w:rPr>
          <w:lang w:eastAsia="zh-CN"/>
        </w:rPr>
        <w:t xml:space="preserve">we </w:t>
      </w:r>
      <w:r w:rsidRPr="00941F92">
        <w:rPr>
          <w:lang w:eastAsia="zh-CN"/>
        </w:rPr>
        <w:t>co-chaired with the Ministry for Agriculture and Rural Development</w:t>
      </w:r>
      <w:r>
        <w:rPr>
          <w:lang w:eastAsia="zh-CN"/>
        </w:rPr>
        <w:t>.</w:t>
      </w:r>
      <w:r w:rsidR="00CD1256">
        <w:rPr>
          <w:lang w:eastAsia="zh-CN"/>
        </w:rPr>
        <w:t xml:space="preserve"> </w:t>
      </w:r>
      <w:r w:rsidR="00CD1256" w:rsidRPr="00941F92">
        <w:rPr>
          <w:lang w:eastAsia="zh-CN"/>
        </w:rPr>
        <w:t xml:space="preserve">Our technical assistance to the </w:t>
      </w:r>
      <w:r w:rsidR="00CD1256" w:rsidRPr="00D54E5C">
        <w:rPr>
          <w:lang w:eastAsia="zh-CN"/>
        </w:rPr>
        <w:t>provincial centre</w:t>
      </w:r>
      <w:r w:rsidR="00CD1256">
        <w:rPr>
          <w:lang w:eastAsia="zh-CN"/>
        </w:rPr>
        <w:t>s</w:t>
      </w:r>
      <w:r w:rsidR="00CD1256" w:rsidRPr="00D54E5C">
        <w:rPr>
          <w:lang w:eastAsia="zh-CN"/>
        </w:rPr>
        <w:t xml:space="preserve"> for rural water supply and sanitation </w:t>
      </w:r>
      <w:r w:rsidR="00CD1256" w:rsidRPr="00941F92">
        <w:rPr>
          <w:lang w:eastAsia="zh-CN"/>
        </w:rPr>
        <w:t>not only strengthened overall water quality management</w:t>
      </w:r>
      <w:r w:rsidR="00CD1256">
        <w:rPr>
          <w:lang w:eastAsia="zh-CN"/>
        </w:rPr>
        <w:t>,</w:t>
      </w:r>
      <w:r w:rsidR="00CD1256" w:rsidRPr="00941F92">
        <w:rPr>
          <w:lang w:eastAsia="zh-CN"/>
        </w:rPr>
        <w:t xml:space="preserve"> but also built the</w:t>
      </w:r>
      <w:r w:rsidR="00CD1256">
        <w:rPr>
          <w:lang w:eastAsia="zh-CN"/>
        </w:rPr>
        <w:t xml:space="preserve"> </w:t>
      </w:r>
      <w:r w:rsidR="00CD1256" w:rsidRPr="00941F92">
        <w:rPr>
          <w:lang w:eastAsia="zh-CN"/>
        </w:rPr>
        <w:t>technical and professional capacity</w:t>
      </w:r>
      <w:r w:rsidR="00CD1256">
        <w:rPr>
          <w:lang w:eastAsia="zh-CN"/>
        </w:rPr>
        <w:t xml:space="preserve"> of these centres</w:t>
      </w:r>
      <w:r w:rsidR="00CD1256" w:rsidRPr="00941F92">
        <w:rPr>
          <w:lang w:eastAsia="zh-CN"/>
        </w:rPr>
        <w:t xml:space="preserve"> to </w:t>
      </w:r>
      <w:r w:rsidR="00CD1256">
        <w:rPr>
          <w:lang w:eastAsia="zh-CN"/>
        </w:rPr>
        <w:t>prepare for the</w:t>
      </w:r>
      <w:r w:rsidR="00CD1256" w:rsidRPr="00941F92">
        <w:rPr>
          <w:lang w:eastAsia="zh-CN"/>
        </w:rPr>
        <w:t xml:space="preserve"> critical transformation from state dependent to privately owned enterprises</w:t>
      </w:r>
      <w:r w:rsidR="00CD1256">
        <w:rPr>
          <w:lang w:eastAsia="zh-CN"/>
        </w:rPr>
        <w:t xml:space="preserve"> during 2015.</w:t>
      </w:r>
    </w:p>
    <w:p w:rsidR="00264F18" w:rsidRPr="00E12874" w:rsidRDefault="00264F18" w:rsidP="00264F18">
      <w:pPr>
        <w:pStyle w:val="Heading3"/>
      </w:pPr>
      <w:r>
        <w:t>Objective 4 – Advance climate change adaptation and mitigation (focusing on Mekong Delta)</w:t>
      </w:r>
    </w:p>
    <w:p w:rsidR="00AF0BD8" w:rsidRDefault="0091109A" w:rsidP="00AF0BD8">
      <w:pPr>
        <w:pStyle w:val="BodyText"/>
      </w:pPr>
      <w:r>
        <w:rPr>
          <w:lang w:eastAsia="zh-CN"/>
        </w:rPr>
        <w:t>Progress against this</w:t>
      </w:r>
      <w:r w:rsidR="00AF0BD8" w:rsidRPr="00D36467">
        <w:rPr>
          <w:lang w:eastAsia="zh-CN"/>
        </w:rPr>
        <w:t xml:space="preserve"> objective is rated green. Progress is as </w:t>
      </w:r>
      <w:r w:rsidR="00AF0BD8">
        <w:rPr>
          <w:lang w:eastAsia="zh-CN"/>
        </w:rPr>
        <w:t>expected for this point of time, a</w:t>
      </w:r>
      <w:r w:rsidR="00AF0BD8" w:rsidRPr="00D36467">
        <w:rPr>
          <w:lang w:eastAsia="zh-CN"/>
        </w:rPr>
        <w:t xml:space="preserve">ll milestones for 2014-2015 </w:t>
      </w:r>
      <w:r w:rsidR="00AF0BD8">
        <w:rPr>
          <w:lang w:eastAsia="zh-CN"/>
        </w:rPr>
        <w:t>have been</w:t>
      </w:r>
      <w:r w:rsidR="00AF0BD8" w:rsidRPr="00D36467">
        <w:rPr>
          <w:lang w:eastAsia="zh-CN"/>
        </w:rPr>
        <w:t xml:space="preserve"> met and it is likely that the objective will be achieved. </w:t>
      </w:r>
      <w:r w:rsidR="00AF0BD8">
        <w:rPr>
          <w:lang w:eastAsia="zh-CN"/>
        </w:rPr>
        <w:t xml:space="preserve">The rating has improved from amber in 2013-14 to green in 2014-15 due to </w:t>
      </w:r>
      <w:r w:rsidR="00AA7604">
        <w:rPr>
          <w:lang w:eastAsia="zh-CN"/>
        </w:rPr>
        <w:t>our</w:t>
      </w:r>
      <w:r w:rsidR="00AF0BD8">
        <w:rPr>
          <w:lang w:eastAsia="zh-CN"/>
        </w:rPr>
        <w:t xml:space="preserve"> taking s</w:t>
      </w:r>
      <w:r w:rsidR="00AF0BD8" w:rsidRPr="00501CDD">
        <w:rPr>
          <w:lang w:eastAsia="zh-CN"/>
        </w:rPr>
        <w:t>ome tough decisions</w:t>
      </w:r>
      <w:r w:rsidR="00AF0BD8">
        <w:rPr>
          <w:lang w:eastAsia="zh-CN"/>
        </w:rPr>
        <w:t xml:space="preserve">, including terminating our contribution to the ADB flood and drought management project due to unacceptable delays. Our remediation plan and close engagement with </w:t>
      </w:r>
      <w:r w:rsidR="00730CE3">
        <w:rPr>
          <w:lang w:eastAsia="zh-CN"/>
        </w:rPr>
        <w:t xml:space="preserve">the </w:t>
      </w:r>
      <w:r w:rsidR="00AF0BD8">
        <w:rPr>
          <w:lang w:eastAsia="zh-CN"/>
        </w:rPr>
        <w:t>World Bank on the Vietnam Climate Innovation Centre have brought this investment back on track in 2014-15.</w:t>
      </w:r>
    </w:p>
    <w:p w:rsidR="00AF0BD8" w:rsidRPr="00D36467" w:rsidRDefault="00AF0BD8" w:rsidP="00AF0BD8">
      <w:pPr>
        <w:pStyle w:val="BodyText"/>
        <w:rPr>
          <w:lang w:eastAsia="zh-CN"/>
        </w:rPr>
      </w:pPr>
      <w:r w:rsidRPr="00D36467">
        <w:rPr>
          <w:lang w:eastAsia="zh-CN"/>
        </w:rPr>
        <w:t>A</w:t>
      </w:r>
      <w:r>
        <w:rPr>
          <w:lang w:eastAsia="zh-CN"/>
        </w:rPr>
        <w:t xml:space="preserve">ustralia works with the </w:t>
      </w:r>
      <w:r w:rsidRPr="00D36467">
        <w:rPr>
          <w:lang w:eastAsia="zh-CN"/>
        </w:rPr>
        <w:t xml:space="preserve">Government of Vietnam </w:t>
      </w:r>
      <w:r>
        <w:rPr>
          <w:lang w:eastAsia="zh-CN"/>
        </w:rPr>
        <w:t>and other development partners</w:t>
      </w:r>
      <w:r w:rsidRPr="00D36467">
        <w:rPr>
          <w:lang w:eastAsia="zh-CN"/>
        </w:rPr>
        <w:t xml:space="preserve"> to support </w:t>
      </w:r>
      <w:r>
        <w:rPr>
          <w:lang w:eastAsia="zh-CN"/>
        </w:rPr>
        <w:t>investments</w:t>
      </w:r>
      <w:r w:rsidRPr="00D36467">
        <w:rPr>
          <w:lang w:eastAsia="zh-CN"/>
        </w:rPr>
        <w:t xml:space="preserve"> that contribute to </w:t>
      </w:r>
      <w:r>
        <w:rPr>
          <w:lang w:eastAsia="zh-CN"/>
        </w:rPr>
        <w:t xml:space="preserve">the </w:t>
      </w:r>
      <w:r w:rsidRPr="00D36467">
        <w:rPr>
          <w:lang w:eastAsia="zh-CN"/>
        </w:rPr>
        <w:t>Government of Vietnam</w:t>
      </w:r>
      <w:r>
        <w:rPr>
          <w:lang w:eastAsia="zh-CN"/>
        </w:rPr>
        <w:t>’s</w:t>
      </w:r>
      <w:r w:rsidRPr="00D36467">
        <w:rPr>
          <w:lang w:eastAsia="zh-CN"/>
        </w:rPr>
        <w:t xml:space="preserve"> objectives and targets in integrated coastal management</w:t>
      </w:r>
      <w:r>
        <w:rPr>
          <w:lang w:eastAsia="zh-CN"/>
        </w:rPr>
        <w:t xml:space="preserve"> </w:t>
      </w:r>
      <w:r w:rsidRPr="00D442E9">
        <w:rPr>
          <w:lang w:eastAsia="zh-CN"/>
        </w:rPr>
        <w:t>and clean technologies, helping communities adapt to climate change and to help limit its adverse impacts.</w:t>
      </w:r>
    </w:p>
    <w:p w:rsidR="0091109A" w:rsidRDefault="00AF0BD8" w:rsidP="00AF0BD8">
      <w:pPr>
        <w:pStyle w:val="BodyText"/>
        <w:rPr>
          <w:lang w:eastAsia="zh-CN"/>
        </w:rPr>
      </w:pPr>
      <w:r w:rsidRPr="00D36467">
        <w:rPr>
          <w:lang w:eastAsia="zh-CN"/>
        </w:rPr>
        <w:t xml:space="preserve">As a number of the investments initiated under the </w:t>
      </w:r>
      <w:r w:rsidRPr="0045506C">
        <w:rPr>
          <w:i/>
          <w:lang w:eastAsia="zh-CN"/>
        </w:rPr>
        <w:t>Vietnam Climate Change Strategy 2011-2016</w:t>
      </w:r>
      <w:r w:rsidRPr="00D36467">
        <w:rPr>
          <w:lang w:eastAsia="zh-CN"/>
        </w:rPr>
        <w:t xml:space="preserve"> </w:t>
      </w:r>
      <w:r>
        <w:rPr>
          <w:lang w:eastAsia="zh-CN"/>
        </w:rPr>
        <w:t>end</w:t>
      </w:r>
      <w:r w:rsidRPr="00D36467">
        <w:rPr>
          <w:lang w:eastAsia="zh-CN"/>
        </w:rPr>
        <w:t xml:space="preserve"> this year</w:t>
      </w:r>
      <w:r>
        <w:rPr>
          <w:lang w:eastAsia="zh-CN"/>
        </w:rPr>
        <w:t>, we have</w:t>
      </w:r>
      <w:r w:rsidRPr="00D36467">
        <w:rPr>
          <w:lang w:eastAsia="zh-CN"/>
        </w:rPr>
        <w:t xml:space="preserve"> focused on </w:t>
      </w:r>
      <w:r>
        <w:rPr>
          <w:lang w:eastAsia="zh-CN"/>
        </w:rPr>
        <w:t>documenting</w:t>
      </w:r>
      <w:r w:rsidRPr="00D36467">
        <w:rPr>
          <w:lang w:eastAsia="zh-CN"/>
        </w:rPr>
        <w:t xml:space="preserve"> the lessons </w:t>
      </w:r>
      <w:r>
        <w:rPr>
          <w:lang w:eastAsia="zh-CN"/>
        </w:rPr>
        <w:t xml:space="preserve">learnt </w:t>
      </w:r>
      <w:r w:rsidRPr="00D36467">
        <w:rPr>
          <w:lang w:eastAsia="zh-CN"/>
        </w:rPr>
        <w:t>and partnerships</w:t>
      </w:r>
      <w:r>
        <w:rPr>
          <w:lang w:eastAsia="zh-CN"/>
        </w:rPr>
        <w:t xml:space="preserve">. </w:t>
      </w:r>
      <w:r w:rsidR="0091109A">
        <w:rPr>
          <w:lang w:eastAsia="zh-CN"/>
        </w:rPr>
        <w:t>T</w:t>
      </w:r>
      <w:r>
        <w:rPr>
          <w:lang w:eastAsia="zh-CN"/>
        </w:rPr>
        <w:t xml:space="preserve">he </w:t>
      </w:r>
      <w:r>
        <w:rPr>
          <w:lang w:eastAsia="zh-CN"/>
        </w:rPr>
        <w:lastRenderedPageBreak/>
        <w:t>strategy covered a range of sectors including climate-resilient agriculture and innovative technologies, and worked with stakeholders including women and vulnerable groups</w:t>
      </w:r>
      <w:r w:rsidR="0091109A">
        <w:rPr>
          <w:lang w:eastAsia="zh-CN"/>
        </w:rPr>
        <w:t>. T</w:t>
      </w:r>
      <w:r>
        <w:rPr>
          <w:lang w:eastAsia="zh-CN"/>
        </w:rPr>
        <w:t>hese programs will</w:t>
      </w:r>
      <w:r w:rsidR="0091109A">
        <w:rPr>
          <w:lang w:eastAsia="zh-CN"/>
        </w:rPr>
        <w:t xml:space="preserve"> therefore</w:t>
      </w:r>
      <w:r w:rsidRPr="00D36467">
        <w:rPr>
          <w:lang w:eastAsia="zh-CN"/>
        </w:rPr>
        <w:t xml:space="preserve"> inform Australia’s </w:t>
      </w:r>
      <w:r>
        <w:rPr>
          <w:lang w:eastAsia="zh-CN"/>
        </w:rPr>
        <w:t>investments</w:t>
      </w:r>
      <w:r w:rsidRPr="00D36467">
        <w:rPr>
          <w:lang w:eastAsia="zh-CN"/>
        </w:rPr>
        <w:t xml:space="preserve"> for 2015-2020</w:t>
      </w:r>
      <w:r>
        <w:rPr>
          <w:lang w:eastAsia="zh-CN"/>
        </w:rPr>
        <w:t>, which have been re-framed to focus</w:t>
      </w:r>
      <w:r w:rsidRPr="00D36467">
        <w:rPr>
          <w:lang w:eastAsia="zh-CN"/>
        </w:rPr>
        <w:t xml:space="preserve"> on women’s economic empowerment, supporting vulnerable ethnic minorities, and stimulating innovative private sector engagement, including in agriculture and among women’s </w:t>
      </w:r>
      <w:r>
        <w:rPr>
          <w:lang w:eastAsia="zh-CN"/>
        </w:rPr>
        <w:t>small and medium enterprise</w:t>
      </w:r>
      <w:r w:rsidRPr="00D36467">
        <w:rPr>
          <w:lang w:eastAsia="zh-CN"/>
        </w:rPr>
        <w:t>s.</w:t>
      </w:r>
    </w:p>
    <w:p w:rsidR="00AF0BD8" w:rsidRPr="00D36467" w:rsidRDefault="00AF0BD8" w:rsidP="00AF0BD8">
      <w:pPr>
        <w:pStyle w:val="BodyText"/>
        <w:rPr>
          <w:b/>
          <w:bCs/>
          <w:lang w:eastAsia="zh-CN"/>
        </w:rPr>
      </w:pPr>
      <w:r>
        <w:rPr>
          <w:lang w:eastAsia="zh-CN"/>
        </w:rPr>
        <w:t xml:space="preserve">In 2014-15 </w:t>
      </w:r>
      <w:r w:rsidRPr="002200D9">
        <w:rPr>
          <w:lang w:eastAsia="zh-CN"/>
        </w:rPr>
        <w:t>the Integrated Coastal Management Program (ICMP),</w:t>
      </w:r>
      <w:r>
        <w:rPr>
          <w:lang w:eastAsia="zh-CN"/>
        </w:rPr>
        <w:t xml:space="preserve"> in partnership with German development agency GIZ, </w:t>
      </w:r>
      <w:r w:rsidRPr="00D36467">
        <w:rPr>
          <w:lang w:eastAsia="zh-CN"/>
        </w:rPr>
        <w:t>transition</w:t>
      </w:r>
      <w:r>
        <w:rPr>
          <w:lang w:eastAsia="zh-CN"/>
        </w:rPr>
        <w:t>ed successfully from the</w:t>
      </w:r>
      <w:r w:rsidRPr="00D36467">
        <w:rPr>
          <w:lang w:eastAsia="zh-CN"/>
        </w:rPr>
        <w:t xml:space="preserve"> province-by-province approach </w:t>
      </w:r>
      <w:r>
        <w:rPr>
          <w:lang w:eastAsia="zh-CN"/>
        </w:rPr>
        <w:t>of</w:t>
      </w:r>
      <w:r w:rsidRPr="00D36467">
        <w:rPr>
          <w:lang w:eastAsia="zh-CN"/>
        </w:rPr>
        <w:t xml:space="preserve"> Phase I to</w:t>
      </w:r>
      <w:r>
        <w:rPr>
          <w:lang w:eastAsia="zh-CN"/>
        </w:rPr>
        <w:t xml:space="preserve"> the </w:t>
      </w:r>
      <w:r w:rsidRPr="00D36467">
        <w:rPr>
          <w:lang w:eastAsia="zh-CN"/>
        </w:rPr>
        <w:t>more strategic regional approach</w:t>
      </w:r>
      <w:r>
        <w:rPr>
          <w:lang w:eastAsia="zh-CN"/>
        </w:rPr>
        <w:t xml:space="preserve"> of</w:t>
      </w:r>
      <w:r w:rsidRPr="00D36467">
        <w:rPr>
          <w:lang w:eastAsia="zh-CN"/>
        </w:rPr>
        <w:t xml:space="preserve"> Phase II. </w:t>
      </w:r>
      <w:r>
        <w:rPr>
          <w:lang w:eastAsia="zh-CN"/>
        </w:rPr>
        <w:t xml:space="preserve">The </w:t>
      </w:r>
      <w:r w:rsidRPr="00D36467">
        <w:rPr>
          <w:lang w:eastAsia="zh-CN"/>
        </w:rPr>
        <w:t xml:space="preserve">models piloted </w:t>
      </w:r>
      <w:r>
        <w:rPr>
          <w:lang w:eastAsia="zh-CN"/>
        </w:rPr>
        <w:t xml:space="preserve">in </w:t>
      </w:r>
      <w:r w:rsidRPr="00D36467">
        <w:rPr>
          <w:lang w:eastAsia="zh-CN"/>
        </w:rPr>
        <w:t xml:space="preserve">phase I </w:t>
      </w:r>
      <w:r>
        <w:rPr>
          <w:lang w:eastAsia="zh-CN"/>
        </w:rPr>
        <w:t>(</w:t>
      </w:r>
      <w:r w:rsidRPr="00D36467">
        <w:rPr>
          <w:lang w:eastAsia="zh-CN"/>
        </w:rPr>
        <w:t>coastal management</w:t>
      </w:r>
      <w:r>
        <w:rPr>
          <w:lang w:eastAsia="zh-CN"/>
        </w:rPr>
        <w:t xml:space="preserve"> and adaptation of farming methods and rural livelihoods to </w:t>
      </w:r>
      <w:r w:rsidRPr="00D36467">
        <w:rPr>
          <w:lang w:eastAsia="zh-CN"/>
        </w:rPr>
        <w:t>climate change</w:t>
      </w:r>
      <w:r>
        <w:rPr>
          <w:lang w:eastAsia="zh-CN"/>
        </w:rPr>
        <w:t>)</w:t>
      </w:r>
      <w:r w:rsidRPr="00D36467">
        <w:rPr>
          <w:vertAlign w:val="superscript"/>
          <w:lang w:eastAsia="zh-CN"/>
        </w:rPr>
        <w:footnoteReference w:id="29"/>
      </w:r>
      <w:r w:rsidRPr="00D36467">
        <w:rPr>
          <w:b/>
          <w:bCs/>
          <w:lang w:eastAsia="zh-CN"/>
        </w:rPr>
        <w:t xml:space="preserve"> </w:t>
      </w:r>
      <w:r w:rsidRPr="00792470">
        <w:rPr>
          <w:lang w:eastAsia="zh-CN"/>
        </w:rPr>
        <w:t>are informing the investments of other donors operating in the Mekong Delta, such as the World Bank</w:t>
      </w:r>
      <w:r w:rsidR="0091109A">
        <w:rPr>
          <w:lang w:eastAsia="zh-CN"/>
        </w:rPr>
        <w:t>. T</w:t>
      </w:r>
      <w:r w:rsidRPr="00792470">
        <w:rPr>
          <w:lang w:eastAsia="zh-CN"/>
        </w:rPr>
        <w:t xml:space="preserve">hanks to increasing coordination and joint policy dialogue among donors including Australia and Germany </w:t>
      </w:r>
      <w:r w:rsidR="0091109A">
        <w:rPr>
          <w:lang w:eastAsia="zh-CN"/>
        </w:rPr>
        <w:t>these activities</w:t>
      </w:r>
      <w:r w:rsidRPr="00792470">
        <w:rPr>
          <w:lang w:eastAsia="zh-CN"/>
        </w:rPr>
        <w:t xml:space="preserve"> are beginning to influence the Government of Vietnam’s own discussions about resilient socio-economic development planning for the Mekong Delta</w:t>
      </w:r>
      <w:r w:rsidRPr="00792470">
        <w:rPr>
          <w:vertAlign w:val="superscript"/>
          <w:lang w:eastAsia="zh-CN"/>
        </w:rPr>
        <w:footnoteReference w:id="30"/>
      </w:r>
      <w:r w:rsidRPr="00792470">
        <w:rPr>
          <w:lang w:eastAsia="zh-CN"/>
        </w:rPr>
        <w:t xml:space="preserve">. For example, DFAT enhanced the impact of ICMP by leveraging a small project under Australia’s partnership with the World Bank to fund the Mekong Delta Forum in February 2015 which helped to showcase lessons and expertise from ICMP to an audience including the </w:t>
      </w:r>
      <w:r w:rsidR="00AA7604">
        <w:rPr>
          <w:lang w:eastAsia="zh-CN"/>
        </w:rPr>
        <w:t xml:space="preserve">Vietnamese </w:t>
      </w:r>
      <w:r w:rsidRPr="00792470">
        <w:rPr>
          <w:lang w:eastAsia="zh-CN"/>
        </w:rPr>
        <w:t>Deputy Prime Minister, provincial leaders, scientists and international partners.</w:t>
      </w:r>
      <w:r w:rsidRPr="004F6547">
        <w:t xml:space="preserve"> </w:t>
      </w:r>
    </w:p>
    <w:p w:rsidR="00AF0BD8" w:rsidRPr="00D36467" w:rsidRDefault="00AF0BD8" w:rsidP="00AF0BD8">
      <w:pPr>
        <w:pStyle w:val="BodyText"/>
        <w:rPr>
          <w:lang w:eastAsia="zh-CN"/>
        </w:rPr>
      </w:pPr>
      <w:r>
        <w:rPr>
          <w:lang w:eastAsia="zh-CN"/>
        </w:rPr>
        <w:t>Six c</w:t>
      </w:r>
      <w:r w:rsidRPr="00D36467">
        <w:rPr>
          <w:lang w:eastAsia="zh-CN"/>
        </w:rPr>
        <w:t>ommunity-base</w:t>
      </w:r>
      <w:r>
        <w:rPr>
          <w:lang w:eastAsia="zh-CN"/>
        </w:rPr>
        <w:t xml:space="preserve">d </w:t>
      </w:r>
      <w:r w:rsidRPr="00D36467">
        <w:rPr>
          <w:lang w:eastAsia="zh-CN"/>
        </w:rPr>
        <w:t xml:space="preserve">projects </w:t>
      </w:r>
      <w:r>
        <w:rPr>
          <w:lang w:eastAsia="zh-CN"/>
        </w:rPr>
        <w:t xml:space="preserve">funded through NGOs under the </w:t>
      </w:r>
      <w:r w:rsidRPr="002200D9">
        <w:rPr>
          <w:lang w:eastAsia="zh-CN"/>
        </w:rPr>
        <w:t>Climate Change Action Grants</w:t>
      </w:r>
      <w:r w:rsidRPr="00D36467">
        <w:rPr>
          <w:lang w:eastAsia="zh-CN"/>
        </w:rPr>
        <w:t xml:space="preserve"> have </w:t>
      </w:r>
      <w:r>
        <w:rPr>
          <w:lang w:eastAsia="zh-CN"/>
        </w:rPr>
        <w:t xml:space="preserve">helped to </w:t>
      </w:r>
      <w:r w:rsidRPr="009430D1">
        <w:rPr>
          <w:lang w:eastAsia="zh-CN"/>
        </w:rPr>
        <w:t xml:space="preserve">prepare </w:t>
      </w:r>
      <w:r>
        <w:rPr>
          <w:lang w:eastAsia="zh-CN"/>
        </w:rPr>
        <w:t>over 275,</w:t>
      </w:r>
      <w:r w:rsidRPr="00D36467">
        <w:rPr>
          <w:lang w:eastAsia="zh-CN"/>
        </w:rPr>
        <w:t>000</w:t>
      </w:r>
      <w:r w:rsidR="00730CE3" w:rsidRPr="00D36467">
        <w:rPr>
          <w:vertAlign w:val="superscript"/>
          <w:lang w:eastAsia="zh-CN"/>
        </w:rPr>
        <w:footnoteReference w:id="31"/>
      </w:r>
      <w:r w:rsidRPr="00D36467">
        <w:rPr>
          <w:lang w:eastAsia="zh-CN"/>
        </w:rPr>
        <w:t xml:space="preserve"> people</w:t>
      </w:r>
      <w:r w:rsidR="00AA7604" w:rsidRPr="00AA7604">
        <w:rPr>
          <w:lang w:eastAsia="zh-CN"/>
        </w:rPr>
        <w:t xml:space="preserve"> </w:t>
      </w:r>
      <w:r w:rsidR="00AA7604">
        <w:rPr>
          <w:lang w:eastAsia="zh-CN"/>
        </w:rPr>
        <w:t>better</w:t>
      </w:r>
      <w:r>
        <w:rPr>
          <w:lang w:eastAsia="zh-CN"/>
        </w:rPr>
        <w:t xml:space="preserve"> </w:t>
      </w:r>
      <w:r w:rsidRPr="009430D1">
        <w:rPr>
          <w:lang w:eastAsia="zh-CN"/>
        </w:rPr>
        <w:t>for the unavoidable risks of climate change and weather-related disasters</w:t>
      </w:r>
      <w:r>
        <w:rPr>
          <w:lang w:eastAsia="zh-CN"/>
        </w:rPr>
        <w:t xml:space="preserve">. The </w:t>
      </w:r>
      <w:r w:rsidRPr="00B82130">
        <w:rPr>
          <w:lang w:eastAsia="zh-CN"/>
        </w:rPr>
        <w:t xml:space="preserve">program has focused specifically on poor and vulnerable people, including female-headed households, ethnic minorities, and communities in geographic areas that are experiencing climate change impacts such as saline intrusion into rice fields and more severe floods and storms. </w:t>
      </w:r>
      <w:r>
        <w:t>They have been trained in</w:t>
      </w:r>
      <w:r w:rsidRPr="008003AB">
        <w:t xml:space="preserve"> </w:t>
      </w:r>
      <w:r>
        <w:t xml:space="preserve">new </w:t>
      </w:r>
      <w:r>
        <w:rPr>
          <w:lang w:eastAsia="zh-CN"/>
        </w:rPr>
        <w:t xml:space="preserve">agriculture practices </w:t>
      </w:r>
      <w:r w:rsidRPr="00C968FA">
        <w:t>that are better adapted to risks such as flooding and drought</w:t>
      </w:r>
      <w:r>
        <w:t xml:space="preserve">, and disaster management. </w:t>
      </w:r>
      <w:r>
        <w:rPr>
          <w:lang w:eastAsia="zh-CN"/>
        </w:rPr>
        <w:t xml:space="preserve">The program was extended </w:t>
      </w:r>
      <w:r w:rsidRPr="00D36467">
        <w:rPr>
          <w:lang w:eastAsia="zh-CN"/>
        </w:rPr>
        <w:t>until the end of Dec</w:t>
      </w:r>
      <w:r>
        <w:rPr>
          <w:lang w:eastAsia="zh-CN"/>
        </w:rPr>
        <w:t>ember</w:t>
      </w:r>
      <w:r w:rsidRPr="00D36467">
        <w:rPr>
          <w:lang w:eastAsia="zh-CN"/>
        </w:rPr>
        <w:t xml:space="preserve"> 2015 to enable partners to communicate </w:t>
      </w:r>
      <w:r>
        <w:rPr>
          <w:lang w:eastAsia="zh-CN"/>
        </w:rPr>
        <w:t>their</w:t>
      </w:r>
      <w:r w:rsidRPr="00D36467">
        <w:rPr>
          <w:lang w:eastAsia="zh-CN"/>
        </w:rPr>
        <w:t xml:space="preserve"> achievements to </w:t>
      </w:r>
      <w:r>
        <w:rPr>
          <w:lang w:eastAsia="zh-CN"/>
        </w:rPr>
        <w:t xml:space="preserve">a </w:t>
      </w:r>
      <w:r w:rsidRPr="00D36467">
        <w:rPr>
          <w:lang w:eastAsia="zh-CN"/>
        </w:rPr>
        <w:t xml:space="preserve">wider audience </w:t>
      </w:r>
      <w:r w:rsidR="00730CE3">
        <w:rPr>
          <w:lang w:eastAsia="zh-CN"/>
        </w:rPr>
        <w:t>(</w:t>
      </w:r>
      <w:r w:rsidRPr="00D36467">
        <w:rPr>
          <w:lang w:eastAsia="zh-CN"/>
        </w:rPr>
        <w:t xml:space="preserve">including </w:t>
      </w:r>
      <w:r>
        <w:rPr>
          <w:lang w:eastAsia="zh-CN"/>
        </w:rPr>
        <w:t xml:space="preserve">the </w:t>
      </w:r>
      <w:r w:rsidRPr="00D36467">
        <w:rPr>
          <w:lang w:eastAsia="zh-CN"/>
        </w:rPr>
        <w:t>Government of Vietnam</w:t>
      </w:r>
      <w:r w:rsidR="00730CE3">
        <w:rPr>
          <w:lang w:eastAsia="zh-CN"/>
        </w:rPr>
        <w:t>),</w:t>
      </w:r>
      <w:r w:rsidRPr="00D36467">
        <w:rPr>
          <w:lang w:eastAsia="zh-CN"/>
        </w:rPr>
        <w:t xml:space="preserve"> </w:t>
      </w:r>
      <w:r>
        <w:rPr>
          <w:lang w:eastAsia="zh-CN"/>
        </w:rPr>
        <w:t>to promote sustainability of the outcomes</w:t>
      </w:r>
      <w:r w:rsidR="00730CE3">
        <w:rPr>
          <w:lang w:eastAsia="zh-CN"/>
        </w:rPr>
        <w:t>,</w:t>
      </w:r>
      <w:r>
        <w:rPr>
          <w:lang w:eastAsia="zh-CN"/>
        </w:rPr>
        <w:t xml:space="preserve"> and influence more inclusive socio-economic development policy and planning, well beyond the immediate impacts of livelihood improvements for direct beneficiaries</w:t>
      </w:r>
      <w:r w:rsidRPr="00D36467">
        <w:rPr>
          <w:lang w:eastAsia="zh-CN"/>
        </w:rPr>
        <w:t xml:space="preserve">. The program drew on resources </w:t>
      </w:r>
      <w:r>
        <w:rPr>
          <w:lang w:eastAsia="zh-CN"/>
        </w:rPr>
        <w:t xml:space="preserve">through the </w:t>
      </w:r>
      <w:r w:rsidRPr="00D36467">
        <w:rPr>
          <w:lang w:eastAsia="zh-CN"/>
        </w:rPr>
        <w:t>Australia</w:t>
      </w:r>
      <w:r>
        <w:rPr>
          <w:lang w:eastAsia="zh-CN"/>
        </w:rPr>
        <w:t>-Mekong NGO Engagement Platform</w:t>
      </w:r>
      <w:r w:rsidRPr="00D36467">
        <w:rPr>
          <w:lang w:eastAsia="zh-CN"/>
        </w:rPr>
        <w:t xml:space="preserve"> to </w:t>
      </w:r>
      <w:r>
        <w:rPr>
          <w:lang w:eastAsia="zh-CN"/>
        </w:rPr>
        <w:t>support</w:t>
      </w:r>
      <w:r w:rsidRPr="00D36467">
        <w:rPr>
          <w:lang w:eastAsia="zh-CN"/>
        </w:rPr>
        <w:t xml:space="preserve"> a joint advocacy plan </w:t>
      </w:r>
      <w:r>
        <w:rPr>
          <w:lang w:eastAsia="zh-CN"/>
        </w:rPr>
        <w:t>involving</w:t>
      </w:r>
      <w:r w:rsidRPr="00D36467">
        <w:rPr>
          <w:lang w:eastAsia="zh-CN"/>
        </w:rPr>
        <w:t xml:space="preserve"> all partners. </w:t>
      </w:r>
    </w:p>
    <w:p w:rsidR="00AF0BD8" w:rsidRDefault="00AF0BD8" w:rsidP="00AF0BD8">
      <w:pPr>
        <w:pStyle w:val="BodyText"/>
        <w:rPr>
          <w:lang w:eastAsia="zh-CN"/>
        </w:rPr>
      </w:pPr>
      <w:r w:rsidRPr="00D36467">
        <w:rPr>
          <w:lang w:eastAsia="zh-CN"/>
        </w:rPr>
        <w:t xml:space="preserve">The </w:t>
      </w:r>
      <w:r w:rsidRPr="002200D9">
        <w:rPr>
          <w:lang w:eastAsia="zh-CN"/>
        </w:rPr>
        <w:t>Community Based Disaster Risk Management</w:t>
      </w:r>
      <w:r w:rsidRPr="00D36467">
        <w:rPr>
          <w:lang w:eastAsia="zh-CN"/>
        </w:rPr>
        <w:t xml:space="preserve"> </w:t>
      </w:r>
      <w:r>
        <w:rPr>
          <w:lang w:eastAsia="zh-CN"/>
        </w:rPr>
        <w:t xml:space="preserve">program is delivered through </w:t>
      </w:r>
      <w:r w:rsidRPr="00D36467">
        <w:rPr>
          <w:lang w:eastAsia="zh-CN"/>
        </w:rPr>
        <w:t>partnership</w:t>
      </w:r>
      <w:r>
        <w:rPr>
          <w:lang w:eastAsia="zh-CN"/>
        </w:rPr>
        <w:t>s</w:t>
      </w:r>
      <w:r w:rsidRPr="00D36467">
        <w:rPr>
          <w:lang w:eastAsia="zh-CN"/>
        </w:rPr>
        <w:t xml:space="preserve"> with the U</w:t>
      </w:r>
      <w:r>
        <w:rPr>
          <w:lang w:eastAsia="zh-CN"/>
        </w:rPr>
        <w:t xml:space="preserve">nited </w:t>
      </w:r>
      <w:r w:rsidRPr="00D36467">
        <w:rPr>
          <w:lang w:eastAsia="zh-CN"/>
        </w:rPr>
        <w:t>N</w:t>
      </w:r>
      <w:r>
        <w:rPr>
          <w:lang w:eastAsia="zh-CN"/>
        </w:rPr>
        <w:t xml:space="preserve">ations </w:t>
      </w:r>
      <w:r w:rsidRPr="00D36467">
        <w:rPr>
          <w:lang w:eastAsia="zh-CN"/>
        </w:rPr>
        <w:t>D</w:t>
      </w:r>
      <w:r>
        <w:rPr>
          <w:lang w:eastAsia="zh-CN"/>
        </w:rPr>
        <w:t xml:space="preserve">evelopment </w:t>
      </w:r>
      <w:r w:rsidRPr="00D36467">
        <w:rPr>
          <w:lang w:eastAsia="zh-CN"/>
        </w:rPr>
        <w:t>P</w:t>
      </w:r>
      <w:r>
        <w:rPr>
          <w:lang w:eastAsia="zh-CN"/>
        </w:rPr>
        <w:t>rogramme</w:t>
      </w:r>
      <w:r w:rsidRPr="00D36467">
        <w:rPr>
          <w:lang w:eastAsia="zh-CN"/>
        </w:rPr>
        <w:t xml:space="preserve"> </w:t>
      </w:r>
      <w:r>
        <w:rPr>
          <w:lang w:eastAsia="zh-CN"/>
        </w:rPr>
        <w:t xml:space="preserve">(UNDP) </w:t>
      </w:r>
      <w:r w:rsidRPr="00D36467">
        <w:rPr>
          <w:lang w:eastAsia="zh-CN"/>
        </w:rPr>
        <w:t>and ADB</w:t>
      </w:r>
      <w:r>
        <w:rPr>
          <w:lang w:eastAsia="zh-CN"/>
        </w:rPr>
        <w:t>.</w:t>
      </w:r>
      <w:r w:rsidRPr="00D36467">
        <w:rPr>
          <w:lang w:eastAsia="zh-CN"/>
        </w:rPr>
        <w:t xml:space="preserve"> </w:t>
      </w:r>
      <w:r>
        <w:rPr>
          <w:lang w:eastAsia="zh-CN"/>
        </w:rPr>
        <w:t xml:space="preserve">The </w:t>
      </w:r>
      <w:r w:rsidRPr="00D36467">
        <w:rPr>
          <w:lang w:eastAsia="zh-CN"/>
        </w:rPr>
        <w:t>UNDP partnership represents a</w:t>
      </w:r>
      <w:r>
        <w:rPr>
          <w:lang w:eastAsia="zh-CN"/>
        </w:rPr>
        <w:t xml:space="preserve">n innovative </w:t>
      </w:r>
      <w:r w:rsidRPr="00D36467">
        <w:rPr>
          <w:lang w:eastAsia="zh-CN"/>
        </w:rPr>
        <w:t xml:space="preserve">way of working </w:t>
      </w:r>
      <w:r>
        <w:rPr>
          <w:lang w:eastAsia="zh-CN"/>
        </w:rPr>
        <w:t>by</w:t>
      </w:r>
      <w:r w:rsidRPr="00D36467">
        <w:rPr>
          <w:lang w:eastAsia="zh-CN"/>
        </w:rPr>
        <w:t xml:space="preserve"> bring</w:t>
      </w:r>
      <w:r>
        <w:rPr>
          <w:lang w:eastAsia="zh-CN"/>
        </w:rPr>
        <w:t>ing</w:t>
      </w:r>
      <w:r w:rsidRPr="00D36467">
        <w:rPr>
          <w:lang w:eastAsia="zh-CN"/>
        </w:rPr>
        <w:t xml:space="preserve"> together </w:t>
      </w:r>
      <w:r>
        <w:rPr>
          <w:lang w:eastAsia="zh-CN"/>
        </w:rPr>
        <w:t>the Government of Vietnam</w:t>
      </w:r>
      <w:r w:rsidRPr="00D36467">
        <w:rPr>
          <w:lang w:eastAsia="zh-CN"/>
        </w:rPr>
        <w:t xml:space="preserve">, international donors, NGOs and organisations </w:t>
      </w:r>
      <w:r>
        <w:rPr>
          <w:lang w:eastAsia="zh-CN"/>
        </w:rPr>
        <w:t xml:space="preserve">such as </w:t>
      </w:r>
      <w:r w:rsidRPr="00D36467">
        <w:rPr>
          <w:lang w:eastAsia="zh-CN"/>
        </w:rPr>
        <w:t xml:space="preserve">the Vietnam Women's Union and Vietnam Red Cross as core decision-making and implementing partners. </w:t>
      </w:r>
      <w:r>
        <w:rPr>
          <w:lang w:eastAsia="zh-CN"/>
        </w:rPr>
        <w:t>The partnership has been recognised internationally as</w:t>
      </w:r>
      <w:r w:rsidRPr="00D36467">
        <w:rPr>
          <w:lang w:eastAsia="zh-CN"/>
        </w:rPr>
        <w:t xml:space="preserve"> good practice as it empowers women while engaging constructively with the male-dominated disaster risk management (DRM) system. Gender equality is reflected in revised draft DRM legislation supported under </w:t>
      </w:r>
      <w:r>
        <w:rPr>
          <w:lang w:eastAsia="zh-CN"/>
        </w:rPr>
        <w:t xml:space="preserve">this </w:t>
      </w:r>
      <w:r w:rsidRPr="00D36467">
        <w:rPr>
          <w:lang w:eastAsia="zh-CN"/>
        </w:rPr>
        <w:t>UNDP partnership</w:t>
      </w:r>
      <w:r>
        <w:rPr>
          <w:lang w:eastAsia="zh-CN"/>
        </w:rPr>
        <w:t>, and</w:t>
      </w:r>
      <w:r w:rsidRPr="00D36467">
        <w:rPr>
          <w:lang w:eastAsia="zh-CN"/>
        </w:rPr>
        <w:t xml:space="preserve"> the Vietnam Women's Union has been legally recognised as part of the DRM system.</w:t>
      </w:r>
      <w:r>
        <w:rPr>
          <w:lang w:eastAsia="zh-CN"/>
        </w:rPr>
        <w:t xml:space="preserve"> </w:t>
      </w:r>
    </w:p>
    <w:p w:rsidR="00AF0BD8" w:rsidRPr="00D36467" w:rsidRDefault="00AF0BD8" w:rsidP="00AF0BD8">
      <w:pPr>
        <w:pStyle w:val="BodyText"/>
        <w:rPr>
          <w:lang w:eastAsia="zh-CN"/>
        </w:rPr>
      </w:pPr>
      <w:r>
        <w:rPr>
          <w:lang w:eastAsia="zh-CN"/>
        </w:rPr>
        <w:t xml:space="preserve">Beyond Australia’s </w:t>
      </w:r>
      <w:r w:rsidR="00ED5A66">
        <w:rPr>
          <w:lang w:eastAsia="zh-CN"/>
        </w:rPr>
        <w:t>final</w:t>
      </w:r>
      <w:r>
        <w:rPr>
          <w:lang w:eastAsia="zh-CN"/>
        </w:rPr>
        <w:t xml:space="preserve"> financial contribution to the </w:t>
      </w:r>
      <w:r w:rsidRPr="002200D9">
        <w:rPr>
          <w:lang w:eastAsia="zh-CN"/>
        </w:rPr>
        <w:t>Support Program to Respond to Climate Change</w:t>
      </w:r>
      <w:r w:rsidRPr="00F00BD8">
        <w:rPr>
          <w:b/>
          <w:lang w:eastAsia="zh-CN"/>
        </w:rPr>
        <w:t xml:space="preserve"> </w:t>
      </w:r>
      <w:r>
        <w:rPr>
          <w:lang w:eastAsia="zh-CN"/>
        </w:rPr>
        <w:t xml:space="preserve">(SP-RCC) in 2014, Australia has continued to support improvements in Vietnam’s climate change and disaster-related policy through </w:t>
      </w:r>
      <w:r w:rsidRPr="00B82130">
        <w:rPr>
          <w:lang w:eastAsia="zh-CN"/>
        </w:rPr>
        <w:t xml:space="preserve">ongoing policy engagement with </w:t>
      </w:r>
      <w:r w:rsidR="00607A9A">
        <w:rPr>
          <w:lang w:eastAsia="zh-CN"/>
        </w:rPr>
        <w:t>the Government of Vietnam</w:t>
      </w:r>
      <w:r w:rsidR="00607A9A" w:rsidRPr="00B82130">
        <w:rPr>
          <w:lang w:eastAsia="zh-CN"/>
        </w:rPr>
        <w:t xml:space="preserve"> </w:t>
      </w:r>
      <w:r w:rsidRPr="00B82130">
        <w:rPr>
          <w:lang w:eastAsia="zh-CN"/>
        </w:rPr>
        <w:t>on climate change</w:t>
      </w:r>
      <w:r>
        <w:rPr>
          <w:lang w:eastAsia="zh-CN"/>
        </w:rPr>
        <w:t>. This has included</w:t>
      </w:r>
      <w:r w:rsidRPr="00B82130">
        <w:rPr>
          <w:lang w:eastAsia="zh-CN"/>
        </w:rPr>
        <w:t xml:space="preserve"> encouraging national level </w:t>
      </w:r>
      <w:r w:rsidRPr="00B82130">
        <w:rPr>
          <w:lang w:eastAsia="zh-CN"/>
        </w:rPr>
        <w:lastRenderedPageBreak/>
        <w:t xml:space="preserve">government to incorporate provincial level lessons from GIZ’s Integrated Coastal Management Program into policy; our active participation in the Mekong Delta working group alongside Germany, </w:t>
      </w:r>
      <w:r w:rsidR="00EC7057">
        <w:rPr>
          <w:lang w:eastAsia="zh-CN"/>
        </w:rPr>
        <w:t xml:space="preserve">the </w:t>
      </w:r>
      <w:r w:rsidRPr="00B82130">
        <w:rPr>
          <w:lang w:eastAsia="zh-CN"/>
        </w:rPr>
        <w:t xml:space="preserve">World Bank, UNDP and others; </w:t>
      </w:r>
      <w:r w:rsidR="00EC7057">
        <w:rPr>
          <w:lang w:eastAsia="zh-CN"/>
        </w:rPr>
        <w:t xml:space="preserve">and </w:t>
      </w:r>
      <w:r w:rsidRPr="00B82130">
        <w:rPr>
          <w:lang w:eastAsia="zh-CN"/>
        </w:rPr>
        <w:t>promoting the advocacy efforts of our NGO partners to share best practice in climate resilient community-level socio-economic development planning</w:t>
      </w:r>
      <w:r>
        <w:rPr>
          <w:lang w:eastAsia="zh-CN"/>
        </w:rPr>
        <w:t>. The cumulative impact of Australia’s engagement in this influential policy forum has contributed to approval of 33 priority policy actions to be undertaken by line ministries in 2015 to address eight strategic tasks of the National Climate Change Strategy, including laws on Hydro-Meteorology and on Irrigation and Drainage</w:t>
      </w:r>
      <w:r>
        <w:rPr>
          <w:rStyle w:val="FootnoteReference"/>
        </w:rPr>
        <w:footnoteReference w:id="32"/>
      </w:r>
      <w:r>
        <w:rPr>
          <w:lang w:eastAsia="zh-CN"/>
        </w:rPr>
        <w:t>.</w:t>
      </w:r>
    </w:p>
    <w:p w:rsidR="00AF0BD8" w:rsidRPr="00D36467" w:rsidRDefault="00AF0BD8" w:rsidP="00AF0BD8">
      <w:pPr>
        <w:pStyle w:val="BodyText"/>
        <w:rPr>
          <w:lang w:eastAsia="zh-CN"/>
        </w:rPr>
      </w:pPr>
      <w:r>
        <w:rPr>
          <w:lang w:eastAsia="zh-CN"/>
        </w:rPr>
        <w:t xml:space="preserve">The </w:t>
      </w:r>
      <w:r w:rsidRPr="002200D9">
        <w:rPr>
          <w:lang w:eastAsia="zh-CN"/>
        </w:rPr>
        <w:t>energy efficiency standards and labelling program</w:t>
      </w:r>
      <w:r w:rsidRPr="00D36467">
        <w:rPr>
          <w:lang w:eastAsia="zh-CN"/>
        </w:rPr>
        <w:t xml:space="preserve"> </w:t>
      </w:r>
      <w:r w:rsidR="0081281D">
        <w:rPr>
          <w:lang w:eastAsia="zh-CN"/>
        </w:rPr>
        <w:t>was</w:t>
      </w:r>
      <w:r w:rsidRPr="00D36467">
        <w:rPr>
          <w:lang w:eastAsia="zh-CN"/>
        </w:rPr>
        <w:t xml:space="preserve"> managed through a partnership between the Australia</w:t>
      </w:r>
      <w:r>
        <w:rPr>
          <w:lang w:eastAsia="zh-CN"/>
        </w:rPr>
        <w:t>n</w:t>
      </w:r>
      <w:r w:rsidRPr="00D36467">
        <w:rPr>
          <w:lang w:eastAsia="zh-CN"/>
        </w:rPr>
        <w:t xml:space="preserve"> Department of Industry and Science and </w:t>
      </w:r>
      <w:r>
        <w:rPr>
          <w:lang w:eastAsia="zh-CN"/>
        </w:rPr>
        <w:t xml:space="preserve">Vietnam’s </w:t>
      </w:r>
      <w:r w:rsidRPr="00D36467">
        <w:rPr>
          <w:lang w:eastAsia="zh-CN"/>
        </w:rPr>
        <w:t xml:space="preserve">Ministry of Industry and Trade (MOIT). It </w:t>
      </w:r>
      <w:r w:rsidR="0081281D">
        <w:rPr>
          <w:lang w:eastAsia="zh-CN"/>
        </w:rPr>
        <w:t>helped improve</w:t>
      </w:r>
      <w:r w:rsidRPr="00D36467">
        <w:rPr>
          <w:lang w:eastAsia="zh-CN"/>
        </w:rPr>
        <w:t xml:space="preserve"> MOIT’s capacity </w:t>
      </w:r>
      <w:r>
        <w:rPr>
          <w:lang w:eastAsia="zh-CN"/>
        </w:rPr>
        <w:t xml:space="preserve">to </w:t>
      </w:r>
      <w:r w:rsidRPr="00D36467">
        <w:rPr>
          <w:lang w:eastAsia="zh-CN"/>
        </w:rPr>
        <w:t xml:space="preserve">develop more transparent processes </w:t>
      </w:r>
      <w:r>
        <w:rPr>
          <w:lang w:eastAsia="zh-CN"/>
        </w:rPr>
        <w:t xml:space="preserve">for implementing </w:t>
      </w:r>
      <w:r w:rsidRPr="00D36467">
        <w:rPr>
          <w:lang w:eastAsia="zh-CN"/>
        </w:rPr>
        <w:t xml:space="preserve">energy efficiency standards for appliances sold in Vietnam. More than 7,000 products have been registered online since the new system </w:t>
      </w:r>
      <w:r>
        <w:rPr>
          <w:lang w:eastAsia="zh-CN"/>
        </w:rPr>
        <w:t>came into effect</w:t>
      </w:r>
      <w:r w:rsidRPr="00D36467">
        <w:rPr>
          <w:lang w:eastAsia="zh-CN"/>
        </w:rPr>
        <w:t xml:space="preserve"> in May 2014.  The project has also raised awareness </w:t>
      </w:r>
      <w:r>
        <w:rPr>
          <w:lang w:eastAsia="zh-CN"/>
        </w:rPr>
        <w:t xml:space="preserve">among </w:t>
      </w:r>
      <w:r w:rsidRPr="00D36467">
        <w:rPr>
          <w:lang w:eastAsia="zh-CN"/>
        </w:rPr>
        <w:t>consumers</w:t>
      </w:r>
      <w:r>
        <w:rPr>
          <w:lang w:eastAsia="zh-CN"/>
        </w:rPr>
        <w:t xml:space="preserve"> of</w:t>
      </w:r>
      <w:r w:rsidRPr="00D36467">
        <w:rPr>
          <w:lang w:eastAsia="zh-CN"/>
        </w:rPr>
        <w:t xml:space="preserve"> their ability to make choices around purchasing energy saving appliances</w:t>
      </w:r>
      <w:r>
        <w:rPr>
          <w:lang w:eastAsia="zh-CN"/>
        </w:rPr>
        <w:t xml:space="preserve">, </w:t>
      </w:r>
      <w:r w:rsidRPr="00D36467">
        <w:rPr>
          <w:lang w:eastAsia="zh-CN"/>
        </w:rPr>
        <w:t>with each household able to save at least VND400</w:t>
      </w:r>
      <w:r w:rsidR="00426452">
        <w:rPr>
          <w:lang w:eastAsia="zh-CN"/>
        </w:rPr>
        <w:t>,</w:t>
      </w:r>
      <w:r w:rsidRPr="00D36467">
        <w:rPr>
          <w:lang w:eastAsia="zh-CN"/>
        </w:rPr>
        <w:t>00</w:t>
      </w:r>
      <w:r w:rsidR="0081281D">
        <w:rPr>
          <w:lang w:eastAsia="zh-CN"/>
        </w:rPr>
        <w:t xml:space="preserve">0 per </w:t>
      </w:r>
      <w:r w:rsidRPr="00D36467">
        <w:rPr>
          <w:lang w:eastAsia="zh-CN"/>
        </w:rPr>
        <w:t>year</w:t>
      </w:r>
      <w:r>
        <w:rPr>
          <w:lang w:eastAsia="zh-CN"/>
        </w:rPr>
        <w:t xml:space="preserve"> (equivalent to </w:t>
      </w:r>
      <w:r w:rsidR="00867A73">
        <w:rPr>
          <w:lang w:eastAsia="zh-CN"/>
        </w:rPr>
        <w:t>$</w:t>
      </w:r>
      <w:r>
        <w:rPr>
          <w:lang w:eastAsia="zh-CN"/>
        </w:rPr>
        <w:t>25</w:t>
      </w:r>
      <w:r>
        <w:rPr>
          <w:rStyle w:val="FootnoteReference"/>
        </w:rPr>
        <w:footnoteReference w:id="33"/>
      </w:r>
      <w:r>
        <w:rPr>
          <w:lang w:eastAsia="zh-CN"/>
        </w:rPr>
        <w:t>).</w:t>
      </w:r>
    </w:p>
    <w:p w:rsidR="00AF0BD8" w:rsidRDefault="00AF0BD8" w:rsidP="00AF0BD8">
      <w:pPr>
        <w:pStyle w:val="BodyText"/>
        <w:rPr>
          <w:lang w:eastAsia="zh-CN"/>
        </w:rPr>
      </w:pPr>
      <w:r>
        <w:rPr>
          <w:lang w:eastAsia="zh-CN"/>
        </w:rPr>
        <w:t>The World-Bank-led</w:t>
      </w:r>
      <w:r w:rsidRPr="00D36467">
        <w:rPr>
          <w:lang w:eastAsia="zh-CN"/>
        </w:rPr>
        <w:t xml:space="preserve"> </w:t>
      </w:r>
      <w:r w:rsidRPr="002200D9">
        <w:rPr>
          <w:lang w:eastAsia="zh-CN"/>
        </w:rPr>
        <w:t>Vietnam Climate Innovation Centre</w:t>
      </w:r>
      <w:r w:rsidRPr="00D36467">
        <w:rPr>
          <w:lang w:eastAsia="zh-CN"/>
        </w:rPr>
        <w:t xml:space="preserve"> project</w:t>
      </w:r>
      <w:r>
        <w:rPr>
          <w:lang w:eastAsia="zh-CN"/>
        </w:rPr>
        <w:t xml:space="preserve"> aims to stimulate economic growth by providing early-stage financing and support to small and medium enterprises </w:t>
      </w:r>
      <w:r w:rsidR="001A6177">
        <w:rPr>
          <w:lang w:eastAsia="zh-CN"/>
        </w:rPr>
        <w:t xml:space="preserve">focussing on innovative technologies </w:t>
      </w:r>
      <w:r>
        <w:rPr>
          <w:lang w:eastAsia="zh-CN"/>
        </w:rPr>
        <w:t xml:space="preserve">at a critical incubation stage, and would otherwise find it difficult to enter a market dominated by state-owned enterprises. However, the program encountered a number of delays during the preparation phase and in 2015 DFAT informed World Bank we </w:t>
      </w:r>
      <w:r w:rsidR="00AA7604">
        <w:rPr>
          <w:lang w:eastAsia="zh-CN"/>
        </w:rPr>
        <w:t>would</w:t>
      </w:r>
      <w:r>
        <w:rPr>
          <w:lang w:eastAsia="zh-CN"/>
        </w:rPr>
        <w:t xml:space="preserve"> not provide the planned second tranche of</w:t>
      </w:r>
      <w:r w:rsidR="00867A73">
        <w:rPr>
          <w:lang w:eastAsia="zh-CN"/>
        </w:rPr>
        <w:t xml:space="preserve"> $</w:t>
      </w:r>
      <w:r>
        <w:rPr>
          <w:lang w:eastAsia="zh-CN"/>
        </w:rPr>
        <w:t>3 million, and put in place a management plan that include</w:t>
      </w:r>
      <w:r w:rsidR="00AA7604">
        <w:rPr>
          <w:lang w:eastAsia="zh-CN"/>
        </w:rPr>
        <w:t>d</w:t>
      </w:r>
      <w:r>
        <w:rPr>
          <w:lang w:eastAsia="zh-CN"/>
        </w:rPr>
        <w:t xml:space="preserve"> critical milestones. </w:t>
      </w:r>
      <w:r w:rsidRPr="00F1413A">
        <w:rPr>
          <w:lang w:eastAsia="zh-CN"/>
        </w:rPr>
        <w:t xml:space="preserve">If these milestones are not achieved by January 2016 Australia will </w:t>
      </w:r>
      <w:r w:rsidR="00F07992" w:rsidRPr="00F1413A">
        <w:rPr>
          <w:lang w:eastAsia="zh-CN"/>
        </w:rPr>
        <w:t>terminate the investment</w:t>
      </w:r>
      <w:r w:rsidRPr="00F1413A">
        <w:rPr>
          <w:lang w:eastAsia="zh-CN"/>
        </w:rPr>
        <w:t>.</w:t>
      </w:r>
      <w:r>
        <w:rPr>
          <w:lang w:eastAsia="zh-CN"/>
        </w:rPr>
        <w:t xml:space="preserve"> </w:t>
      </w:r>
      <w:r w:rsidRPr="00D36467">
        <w:rPr>
          <w:lang w:eastAsia="zh-CN"/>
        </w:rPr>
        <w:t xml:space="preserve">The program </w:t>
      </w:r>
      <w:r w:rsidR="00426452">
        <w:rPr>
          <w:lang w:eastAsia="zh-CN"/>
        </w:rPr>
        <w:t>is</w:t>
      </w:r>
      <w:r w:rsidR="00426452" w:rsidRPr="00D36467">
        <w:rPr>
          <w:lang w:eastAsia="zh-CN"/>
        </w:rPr>
        <w:t xml:space="preserve"> </w:t>
      </w:r>
      <w:r w:rsidRPr="00D36467">
        <w:rPr>
          <w:lang w:eastAsia="zh-CN"/>
        </w:rPr>
        <w:t xml:space="preserve">largely back on track, with a different </w:t>
      </w:r>
      <w:r>
        <w:rPr>
          <w:lang w:eastAsia="zh-CN"/>
        </w:rPr>
        <w:t xml:space="preserve">Government of Vietnam </w:t>
      </w:r>
      <w:r w:rsidRPr="00D36467">
        <w:rPr>
          <w:lang w:eastAsia="zh-CN"/>
        </w:rPr>
        <w:t xml:space="preserve">counterpart identified, a new design, </w:t>
      </w:r>
      <w:r>
        <w:rPr>
          <w:lang w:eastAsia="zh-CN"/>
        </w:rPr>
        <w:t xml:space="preserve">and a </w:t>
      </w:r>
      <w:r w:rsidRPr="00D36467">
        <w:rPr>
          <w:lang w:eastAsia="zh-CN"/>
        </w:rPr>
        <w:t xml:space="preserve">new </w:t>
      </w:r>
      <w:r>
        <w:rPr>
          <w:lang w:eastAsia="zh-CN"/>
        </w:rPr>
        <w:t>World Bank</w:t>
      </w:r>
      <w:r w:rsidRPr="00D36467">
        <w:rPr>
          <w:lang w:eastAsia="zh-CN"/>
        </w:rPr>
        <w:t xml:space="preserve"> lead</w:t>
      </w:r>
      <w:r>
        <w:rPr>
          <w:lang w:eastAsia="zh-CN"/>
        </w:rPr>
        <w:t>er</w:t>
      </w:r>
      <w:r w:rsidRPr="00D36467">
        <w:rPr>
          <w:lang w:eastAsia="zh-CN"/>
        </w:rPr>
        <w:t>s</w:t>
      </w:r>
      <w:r>
        <w:rPr>
          <w:lang w:eastAsia="zh-CN"/>
        </w:rPr>
        <w:t>hip team</w:t>
      </w:r>
      <w:r w:rsidRPr="00D36467">
        <w:rPr>
          <w:lang w:eastAsia="zh-CN"/>
        </w:rPr>
        <w:t xml:space="preserve"> in Washington and Hanoi. </w:t>
      </w:r>
      <w:r>
        <w:rPr>
          <w:lang w:eastAsia="zh-CN"/>
        </w:rPr>
        <w:t>Australia has</w:t>
      </w:r>
      <w:r w:rsidRPr="00D36467">
        <w:rPr>
          <w:lang w:eastAsia="zh-CN"/>
        </w:rPr>
        <w:t xml:space="preserve"> dedicated expert resources to improving performance and quality. If</w:t>
      </w:r>
      <w:r>
        <w:rPr>
          <w:lang w:eastAsia="zh-CN"/>
        </w:rPr>
        <w:t xml:space="preserve"> improvements continue in line with Australia’s expectations</w:t>
      </w:r>
      <w:r w:rsidRPr="00D36467">
        <w:rPr>
          <w:lang w:eastAsia="zh-CN"/>
        </w:rPr>
        <w:t xml:space="preserve">, </w:t>
      </w:r>
      <w:r>
        <w:rPr>
          <w:lang w:eastAsia="zh-CN"/>
        </w:rPr>
        <w:t>the project</w:t>
      </w:r>
      <w:r w:rsidRPr="00D36467">
        <w:rPr>
          <w:lang w:eastAsia="zh-CN"/>
        </w:rPr>
        <w:t xml:space="preserve"> </w:t>
      </w:r>
      <w:r w:rsidRPr="00F07992">
        <w:rPr>
          <w:lang w:eastAsia="zh-CN"/>
        </w:rPr>
        <w:t>has great potential as a flagship private sector innovation program</w:t>
      </w:r>
      <w:r w:rsidRPr="00D36467">
        <w:rPr>
          <w:lang w:eastAsia="zh-CN"/>
        </w:rPr>
        <w:t>.</w:t>
      </w:r>
      <w:r w:rsidRPr="00C81444">
        <w:rPr>
          <w:lang w:eastAsia="zh-CN"/>
        </w:rPr>
        <w:t xml:space="preserve"> </w:t>
      </w:r>
    </w:p>
    <w:p w:rsidR="0091109A" w:rsidRPr="00D36467" w:rsidRDefault="0091109A" w:rsidP="00AF0BD8">
      <w:pPr>
        <w:pStyle w:val="BodyText"/>
        <w:rPr>
          <w:lang w:eastAsia="zh-CN"/>
        </w:rPr>
      </w:pPr>
      <w:r w:rsidRPr="00F17131">
        <w:rPr>
          <w:lang w:eastAsia="zh-CN"/>
        </w:rPr>
        <w:t>A major research project in the Mekong Delta supported by</w:t>
      </w:r>
      <w:r w:rsidR="00607A9A">
        <w:rPr>
          <w:lang w:eastAsia="zh-CN"/>
        </w:rPr>
        <w:t xml:space="preserve"> the Australian Centre for International Agricultural Research</w:t>
      </w:r>
      <w:r w:rsidRPr="00F17131">
        <w:rPr>
          <w:lang w:eastAsia="zh-CN"/>
        </w:rPr>
        <w:t xml:space="preserve"> evaluated potential impacts of climate change and potential responses to maintain agricultural productivity. This project provides insights on the risks from climate change to rice-based farming systems, and provides a number of technical strategies for sustainable agriculture in the Delta. Major outputs from the project include: maps of hotspots from flooding and salinity damages; three new lines of submergence and salinity tolerant rice varieties; options for water saving irrigation for rice in different eco-zones; techniques to reduce greenhouse gas emissions</w:t>
      </w:r>
      <w:r w:rsidR="00730CE3">
        <w:rPr>
          <w:lang w:eastAsia="zh-CN"/>
        </w:rPr>
        <w:t>;</w:t>
      </w:r>
      <w:r w:rsidRPr="00F17131">
        <w:rPr>
          <w:lang w:eastAsia="zh-CN"/>
        </w:rPr>
        <w:t xml:space="preserve"> and suitability of non-rice alternative crops</w:t>
      </w:r>
      <w:r>
        <w:rPr>
          <w:lang w:eastAsia="zh-CN"/>
        </w:rPr>
        <w:t>.</w:t>
      </w:r>
    </w:p>
    <w:p w:rsidR="00264F18" w:rsidRPr="00060549" w:rsidRDefault="00264F18" w:rsidP="00264F18">
      <w:pPr>
        <w:pStyle w:val="Heading3"/>
      </w:pPr>
      <w:r w:rsidRPr="00060549">
        <w:t>Performance Benchmarks</w:t>
      </w:r>
      <w:r w:rsidRPr="00060549">
        <w:tab/>
      </w:r>
    </w:p>
    <w:p w:rsidR="003A029F" w:rsidRDefault="004B25E5" w:rsidP="007375D9">
      <w:pPr>
        <w:pStyle w:val="BodyText"/>
        <w:rPr>
          <w:lang w:eastAsia="zh-CN"/>
        </w:rPr>
      </w:pPr>
      <w:r w:rsidRPr="007375D9">
        <w:rPr>
          <w:lang w:eastAsia="zh-CN"/>
        </w:rPr>
        <w:t xml:space="preserve">All Performance Benchmarks in 2014-2015 </w:t>
      </w:r>
      <w:r w:rsidR="00AA7604">
        <w:rPr>
          <w:lang w:eastAsia="zh-CN"/>
        </w:rPr>
        <w:t>were</w:t>
      </w:r>
      <w:r w:rsidRPr="007375D9">
        <w:rPr>
          <w:lang w:eastAsia="zh-CN"/>
        </w:rPr>
        <w:t xml:space="preserve"> achieved</w:t>
      </w:r>
      <w:r w:rsidR="006D12CE">
        <w:rPr>
          <w:lang w:eastAsia="zh-CN"/>
        </w:rPr>
        <w:t xml:space="preserve"> and</w:t>
      </w:r>
      <w:r w:rsidRPr="007375D9">
        <w:rPr>
          <w:lang w:eastAsia="zh-CN"/>
        </w:rPr>
        <w:t xml:space="preserve"> none were revised during the year</w:t>
      </w:r>
      <w:r w:rsidR="006D12CE">
        <w:rPr>
          <w:lang w:eastAsia="zh-CN"/>
        </w:rPr>
        <w:t>. Most</w:t>
      </w:r>
      <w:r w:rsidRPr="007375D9">
        <w:rPr>
          <w:lang w:eastAsia="zh-CN"/>
        </w:rPr>
        <w:t xml:space="preserve"> </w:t>
      </w:r>
      <w:r w:rsidR="006D12CE" w:rsidRPr="007375D9">
        <w:rPr>
          <w:lang w:eastAsia="zh-CN"/>
        </w:rPr>
        <w:t>target</w:t>
      </w:r>
      <w:r w:rsidR="006D12CE">
        <w:rPr>
          <w:lang w:eastAsia="zh-CN"/>
        </w:rPr>
        <w:t>s were exceeded, such as progress on the Cao Lanh Bridge</w:t>
      </w:r>
      <w:r w:rsidR="00C244A9">
        <w:rPr>
          <w:lang w:eastAsia="zh-CN"/>
        </w:rPr>
        <w:t xml:space="preserve"> and</w:t>
      </w:r>
      <w:r w:rsidR="006D12CE">
        <w:rPr>
          <w:lang w:eastAsia="zh-CN"/>
        </w:rPr>
        <w:t xml:space="preserve"> the number of Australia Awards Scholarships offered, suggesting that targets were realistic but </w:t>
      </w:r>
      <w:r w:rsidR="0091109A">
        <w:rPr>
          <w:lang w:eastAsia="zh-CN"/>
        </w:rPr>
        <w:t xml:space="preserve">some </w:t>
      </w:r>
      <w:r w:rsidR="00AA7604">
        <w:rPr>
          <w:lang w:eastAsia="zh-CN"/>
        </w:rPr>
        <w:t>might not have been</w:t>
      </w:r>
      <w:r w:rsidR="006D12CE">
        <w:rPr>
          <w:lang w:eastAsia="zh-CN"/>
        </w:rPr>
        <w:t xml:space="preserve"> sufficiently ambitious.</w:t>
      </w:r>
    </w:p>
    <w:p w:rsidR="0028267D" w:rsidRDefault="003A029F" w:rsidP="000E42F3">
      <w:pPr>
        <w:pStyle w:val="BodyText"/>
      </w:pPr>
      <w:r>
        <w:rPr>
          <w:lang w:eastAsia="zh-CN"/>
        </w:rPr>
        <w:t>C</w:t>
      </w:r>
      <w:r w:rsidRPr="003A029F">
        <w:rPr>
          <w:lang w:eastAsia="zh-CN"/>
        </w:rPr>
        <w:t>omment on achievements against each performance benchmark</w:t>
      </w:r>
      <w:r>
        <w:rPr>
          <w:lang w:eastAsia="zh-CN"/>
        </w:rPr>
        <w:t xml:space="preserve"> can be found</w:t>
      </w:r>
      <w:r w:rsidRPr="003A029F">
        <w:rPr>
          <w:lang w:eastAsia="zh-CN"/>
        </w:rPr>
        <w:t xml:space="preserve"> </w:t>
      </w:r>
      <w:r w:rsidRPr="002200D9">
        <w:rPr>
          <w:lang w:eastAsia="zh-CN"/>
        </w:rPr>
        <w:t>in Annex B.</w:t>
      </w:r>
      <w:r w:rsidRPr="003A029F">
        <w:rPr>
          <w:lang w:eastAsia="zh-CN"/>
        </w:rPr>
        <w:t xml:space="preserve"> </w:t>
      </w:r>
      <w:r w:rsidR="004B25E5" w:rsidRPr="007375D9">
        <w:rPr>
          <w:lang w:eastAsia="zh-CN"/>
        </w:rPr>
        <w:t xml:space="preserve"> </w:t>
      </w:r>
    </w:p>
    <w:p w:rsidR="000D733F" w:rsidRPr="001375E3" w:rsidRDefault="000D733F" w:rsidP="00264F18">
      <w:pPr>
        <w:pStyle w:val="Heading2"/>
        <w:rPr>
          <w:rStyle w:val="BodyTextChar"/>
          <w:b/>
          <w:color w:val="auto"/>
        </w:rPr>
      </w:pPr>
      <w:r w:rsidRPr="009E38C1">
        <w:lastRenderedPageBreak/>
        <w:t>Mutual Obligations</w:t>
      </w:r>
    </w:p>
    <w:p w:rsidR="00F55A88" w:rsidRDefault="00F55A88" w:rsidP="00F55A88">
      <w:pPr>
        <w:pStyle w:val="BodyText"/>
        <w:rPr>
          <w:lang w:eastAsia="zh-CN"/>
        </w:rPr>
      </w:pPr>
      <w:r>
        <w:rPr>
          <w:lang w:eastAsia="zh-CN"/>
        </w:rPr>
        <w:t xml:space="preserve">The Government of Vietnam and donors, including Australia, agreed a set of joint policy actions.  These were approved by </w:t>
      </w:r>
      <w:r w:rsidR="00426452">
        <w:rPr>
          <w:lang w:eastAsia="zh-CN"/>
        </w:rPr>
        <w:t xml:space="preserve">Vietnam’s </w:t>
      </w:r>
      <w:r>
        <w:rPr>
          <w:lang w:eastAsia="zh-CN"/>
        </w:rPr>
        <w:t xml:space="preserve">Prime Minister in 2014 via the </w:t>
      </w:r>
      <w:r w:rsidRPr="00B35726">
        <w:rPr>
          <w:lang w:eastAsia="zh-CN"/>
        </w:rPr>
        <w:t>Vietnam</w:t>
      </w:r>
      <w:r w:rsidR="002200D9">
        <w:rPr>
          <w:lang w:eastAsia="zh-CN"/>
        </w:rPr>
        <w:t xml:space="preserve"> Development Partnership Forum</w:t>
      </w:r>
      <w:r w:rsidRPr="00B35726">
        <w:rPr>
          <w:lang w:eastAsia="zh-CN"/>
        </w:rPr>
        <w:t xml:space="preserve"> </w:t>
      </w:r>
      <w:r>
        <w:rPr>
          <w:lang w:eastAsia="zh-CN"/>
        </w:rPr>
        <w:t>process.  Progress on implementation was reviewed at the VDPF mid-term discussion in June 2015. Achievements include a reduction of</w:t>
      </w:r>
      <w:r w:rsidRPr="009B1F8B">
        <w:rPr>
          <w:lang w:eastAsia="zh-CN"/>
        </w:rPr>
        <w:t xml:space="preserve"> poor households </w:t>
      </w:r>
      <w:r w:rsidR="00426452">
        <w:rPr>
          <w:lang w:eastAsia="zh-CN"/>
        </w:rPr>
        <w:br/>
      </w:r>
      <w:r>
        <w:rPr>
          <w:lang w:eastAsia="zh-CN"/>
        </w:rPr>
        <w:t>to</w:t>
      </w:r>
      <w:r w:rsidRPr="009B1F8B">
        <w:rPr>
          <w:lang w:eastAsia="zh-CN"/>
        </w:rPr>
        <w:t xml:space="preserve"> 5.97</w:t>
      </w:r>
      <w:r>
        <w:rPr>
          <w:lang w:eastAsia="zh-CN"/>
        </w:rPr>
        <w:t xml:space="preserve"> per cent</w:t>
      </w:r>
      <w:r w:rsidRPr="009B1F8B">
        <w:rPr>
          <w:lang w:eastAsia="zh-CN"/>
        </w:rPr>
        <w:t xml:space="preserve"> in 2014 (in comparison with 58</w:t>
      </w:r>
      <w:r>
        <w:rPr>
          <w:lang w:eastAsia="zh-CN"/>
        </w:rPr>
        <w:t xml:space="preserve"> per cent</w:t>
      </w:r>
      <w:r w:rsidRPr="009B1F8B">
        <w:rPr>
          <w:lang w:eastAsia="zh-CN"/>
        </w:rPr>
        <w:t xml:space="preserve"> in 1993);</w:t>
      </w:r>
      <w:r>
        <w:rPr>
          <w:lang w:eastAsia="zh-CN"/>
        </w:rPr>
        <w:t xml:space="preserve"> </w:t>
      </w:r>
      <w:r w:rsidRPr="00B35726">
        <w:rPr>
          <w:lang w:eastAsia="zh-CN"/>
        </w:rPr>
        <w:t xml:space="preserve">revision of </w:t>
      </w:r>
      <w:r>
        <w:rPr>
          <w:lang w:eastAsia="zh-CN"/>
        </w:rPr>
        <w:t xml:space="preserve">legal frameworks to </w:t>
      </w:r>
      <w:r w:rsidRPr="009B1F8B">
        <w:rPr>
          <w:lang w:eastAsia="zh-CN"/>
        </w:rPr>
        <w:t>strengthen</w:t>
      </w:r>
      <w:r>
        <w:rPr>
          <w:lang w:eastAsia="zh-CN"/>
        </w:rPr>
        <w:t xml:space="preserve"> </w:t>
      </w:r>
      <w:r w:rsidRPr="009B1F8B">
        <w:rPr>
          <w:lang w:eastAsia="zh-CN"/>
        </w:rPr>
        <w:t>Vietnam’s international competitiveness</w:t>
      </w:r>
      <w:r>
        <w:rPr>
          <w:lang w:eastAsia="zh-CN"/>
        </w:rPr>
        <w:t xml:space="preserve">; </w:t>
      </w:r>
      <w:r w:rsidRPr="009B1F8B">
        <w:rPr>
          <w:lang w:eastAsia="zh-CN"/>
        </w:rPr>
        <w:t>improve</w:t>
      </w:r>
      <w:r>
        <w:rPr>
          <w:lang w:eastAsia="zh-CN"/>
        </w:rPr>
        <w:t>ments to</w:t>
      </w:r>
      <w:r w:rsidRPr="009B1F8B">
        <w:rPr>
          <w:lang w:eastAsia="zh-CN"/>
        </w:rPr>
        <w:t xml:space="preserve"> </w:t>
      </w:r>
      <w:r>
        <w:rPr>
          <w:lang w:eastAsia="zh-CN"/>
        </w:rPr>
        <w:t xml:space="preserve">the </w:t>
      </w:r>
      <w:r w:rsidRPr="009B1F8B">
        <w:rPr>
          <w:lang w:eastAsia="zh-CN"/>
        </w:rPr>
        <w:t>business environment and national competitiveness</w:t>
      </w:r>
      <w:r>
        <w:rPr>
          <w:lang w:eastAsia="zh-CN"/>
        </w:rPr>
        <w:t xml:space="preserve"> and</w:t>
      </w:r>
      <w:r w:rsidRPr="009B1F8B">
        <w:rPr>
          <w:lang w:eastAsia="zh-CN"/>
        </w:rPr>
        <w:t xml:space="preserve"> simplification of administrative procedures</w:t>
      </w:r>
      <w:r>
        <w:rPr>
          <w:lang w:eastAsia="zh-CN"/>
        </w:rPr>
        <w:t>.</w:t>
      </w:r>
    </w:p>
    <w:p w:rsidR="00F55A88" w:rsidRDefault="00F55A88" w:rsidP="00F55A88">
      <w:pPr>
        <w:pStyle w:val="BodyText"/>
        <w:rPr>
          <w:lang w:eastAsia="zh-CN"/>
        </w:rPr>
      </w:pPr>
      <w:r w:rsidRPr="002F70A9">
        <w:rPr>
          <w:lang w:eastAsia="zh-CN"/>
        </w:rPr>
        <w:t xml:space="preserve">Australia and Vietnam have been implementing the commitments made </w:t>
      </w:r>
      <w:r>
        <w:rPr>
          <w:lang w:eastAsia="zh-CN"/>
        </w:rPr>
        <w:t>during the visit of Vietnam’s Prime Minister to Australia in March 2015</w:t>
      </w:r>
      <w:r w:rsidRPr="002F70A9">
        <w:rPr>
          <w:lang w:eastAsia="zh-CN"/>
        </w:rPr>
        <w:t xml:space="preserve">.  </w:t>
      </w:r>
      <w:r>
        <w:rPr>
          <w:lang w:eastAsia="zh-CN"/>
        </w:rPr>
        <w:t xml:space="preserve">These are outlined in the </w:t>
      </w:r>
      <w:hyperlink r:id="rId17" w:history="1">
        <w:r w:rsidRPr="00607A9A">
          <w:rPr>
            <w:rStyle w:val="Hyperlink"/>
            <w:i/>
            <w:sz w:val="21"/>
            <w:szCs w:val="24"/>
            <w:lang w:eastAsia="zh-CN"/>
          </w:rPr>
          <w:t>Declaration on Enhancing the Comprehensive Partnership</w:t>
        </w:r>
      </w:hyperlink>
      <w:r>
        <w:rPr>
          <w:i/>
          <w:lang w:eastAsia="zh-CN"/>
        </w:rPr>
        <w:t xml:space="preserve">. </w:t>
      </w:r>
      <w:r>
        <w:rPr>
          <w:lang w:eastAsia="zh-CN"/>
        </w:rPr>
        <w:t>This partnership</w:t>
      </w:r>
      <w:r w:rsidRPr="002F70A9">
        <w:rPr>
          <w:lang w:eastAsia="zh-CN"/>
        </w:rPr>
        <w:t xml:space="preserve"> </w:t>
      </w:r>
      <w:r>
        <w:rPr>
          <w:lang w:eastAsia="zh-CN"/>
        </w:rPr>
        <w:t>outlines</w:t>
      </w:r>
      <w:r w:rsidRPr="002F70A9">
        <w:rPr>
          <w:lang w:eastAsia="zh-CN"/>
        </w:rPr>
        <w:t xml:space="preserve"> Australia’</w:t>
      </w:r>
      <w:r>
        <w:rPr>
          <w:lang w:eastAsia="zh-CN"/>
        </w:rPr>
        <w:t xml:space="preserve">s assistance across areas </w:t>
      </w:r>
      <w:r w:rsidRPr="002F70A9">
        <w:rPr>
          <w:lang w:eastAsia="zh-CN"/>
        </w:rPr>
        <w:t>of priority for the development of Vietnam</w:t>
      </w:r>
      <w:r>
        <w:rPr>
          <w:lang w:eastAsia="zh-CN"/>
        </w:rPr>
        <w:t>,</w:t>
      </w:r>
      <w:r w:rsidRPr="002F70A9">
        <w:rPr>
          <w:lang w:eastAsia="zh-CN"/>
        </w:rPr>
        <w:t xml:space="preserve"> including infrastructure, </w:t>
      </w:r>
      <w:r>
        <w:rPr>
          <w:lang w:eastAsia="zh-CN"/>
        </w:rPr>
        <w:t xml:space="preserve">human resource development, </w:t>
      </w:r>
      <w:r w:rsidRPr="002F70A9">
        <w:rPr>
          <w:lang w:eastAsia="zh-CN"/>
        </w:rPr>
        <w:t>water and sanitation, agriculture and economic integration</w:t>
      </w:r>
      <w:r>
        <w:rPr>
          <w:lang w:eastAsia="zh-CN"/>
        </w:rPr>
        <w:t xml:space="preserve">. </w:t>
      </w:r>
    </w:p>
    <w:p w:rsidR="00F55A88" w:rsidRDefault="00F55A88" w:rsidP="00F55A88">
      <w:pPr>
        <w:pStyle w:val="BodyText"/>
        <w:rPr>
          <w:lang w:eastAsia="zh-CN"/>
        </w:rPr>
      </w:pPr>
      <w:r>
        <w:rPr>
          <w:lang w:eastAsia="zh-CN"/>
        </w:rPr>
        <w:t>As part of our economic partnership moving forward, we anticipate our future programs will, where appropriate, include specific mutual obligations and in s</w:t>
      </w:r>
      <w:r w:rsidR="00BE714F">
        <w:rPr>
          <w:lang w:eastAsia="zh-CN"/>
        </w:rPr>
        <w:t>ome instances co-</w:t>
      </w:r>
      <w:r>
        <w:rPr>
          <w:lang w:eastAsia="zh-CN"/>
        </w:rPr>
        <w:t xml:space="preserve">financing with the Government of Vietnam.  </w:t>
      </w:r>
    </w:p>
    <w:p w:rsidR="00906A81" w:rsidRPr="00E83DD7" w:rsidRDefault="00511A0F" w:rsidP="0007149C">
      <w:pPr>
        <w:pStyle w:val="Heading2"/>
        <w:rPr>
          <w:sz w:val="28"/>
        </w:rPr>
      </w:pPr>
      <w:r w:rsidRPr="00E83DD7">
        <w:rPr>
          <w:sz w:val="28"/>
        </w:rPr>
        <w:t>Program Quality</w:t>
      </w:r>
      <w:r w:rsidR="000D733F" w:rsidRPr="00E83DD7">
        <w:rPr>
          <w:sz w:val="28"/>
        </w:rPr>
        <w:t xml:space="preserve"> and </w:t>
      </w:r>
      <w:r w:rsidR="00581979" w:rsidRPr="00E83DD7">
        <w:rPr>
          <w:sz w:val="28"/>
        </w:rPr>
        <w:t>Partner Performance</w:t>
      </w:r>
      <w:r w:rsidR="000D733F" w:rsidRPr="00E83DD7">
        <w:rPr>
          <w:sz w:val="28"/>
        </w:rPr>
        <w:t xml:space="preserve"> </w:t>
      </w:r>
    </w:p>
    <w:p w:rsidR="000D733F" w:rsidRPr="006A5742" w:rsidRDefault="00906A81" w:rsidP="007375D9">
      <w:pPr>
        <w:pStyle w:val="Heading3"/>
      </w:pPr>
      <w:r w:rsidRPr="00E83DD7">
        <w:t>Overview</w:t>
      </w:r>
      <w:r w:rsidR="000D733F" w:rsidRPr="006A5742">
        <w:tab/>
      </w:r>
      <w:r w:rsidR="000D733F">
        <w:tab/>
      </w:r>
    </w:p>
    <w:p w:rsidR="00E83DD7" w:rsidRDefault="00E83DD7" w:rsidP="00ED5A66">
      <w:pPr>
        <w:pStyle w:val="BodyText"/>
        <w:rPr>
          <w:lang w:eastAsia="zh-CN"/>
        </w:rPr>
      </w:pPr>
      <w:r>
        <w:rPr>
          <w:lang w:eastAsia="zh-CN"/>
        </w:rPr>
        <w:t xml:space="preserve">The 2014-2015 Performance Benchmarks (Annex B) </w:t>
      </w:r>
      <w:r w:rsidR="0091109A">
        <w:rPr>
          <w:lang w:eastAsia="zh-CN"/>
        </w:rPr>
        <w:t>and Performance Assessment Frameworks (Annex E) assess progress in</w:t>
      </w:r>
      <w:r>
        <w:rPr>
          <w:lang w:eastAsia="zh-CN"/>
        </w:rPr>
        <w:t xml:space="preserve"> the implementation of the </w:t>
      </w:r>
      <w:r w:rsidRPr="00C77B8C">
        <w:rPr>
          <w:i/>
          <w:lang w:eastAsia="zh-CN"/>
        </w:rPr>
        <w:t>Vietnam-Australia Joint Aid Program Strategy 201</w:t>
      </w:r>
      <w:r w:rsidR="00A163FE" w:rsidRPr="00C77B8C">
        <w:rPr>
          <w:i/>
          <w:lang w:eastAsia="zh-CN"/>
        </w:rPr>
        <w:t>0-2015</w:t>
      </w:r>
      <w:r w:rsidR="00A163FE">
        <w:rPr>
          <w:lang w:eastAsia="zh-CN"/>
        </w:rPr>
        <w:t xml:space="preserve">. Aid Quality Checks and </w:t>
      </w:r>
      <w:r>
        <w:rPr>
          <w:lang w:eastAsia="zh-CN"/>
        </w:rPr>
        <w:t>monitoring and evaluation activities were effective in generating and using performance information. All evaluations</w:t>
      </w:r>
      <w:r w:rsidR="00A86AA5">
        <w:rPr>
          <w:lang w:eastAsia="zh-CN"/>
        </w:rPr>
        <w:t xml:space="preserve"> and </w:t>
      </w:r>
      <w:r>
        <w:rPr>
          <w:lang w:eastAsia="zh-CN"/>
        </w:rPr>
        <w:t xml:space="preserve">reviews </w:t>
      </w:r>
      <w:r w:rsidR="00A86AA5">
        <w:rPr>
          <w:lang w:eastAsia="zh-CN"/>
        </w:rPr>
        <w:t xml:space="preserve">planned in </w:t>
      </w:r>
      <w:r>
        <w:rPr>
          <w:lang w:eastAsia="zh-CN"/>
        </w:rPr>
        <w:t>2013-2014 were completed</w:t>
      </w:r>
      <w:r w:rsidR="00A86AA5">
        <w:rPr>
          <w:lang w:eastAsia="zh-CN"/>
        </w:rPr>
        <w:t>,</w:t>
      </w:r>
      <w:r>
        <w:rPr>
          <w:lang w:eastAsia="zh-CN"/>
        </w:rPr>
        <w:t xml:space="preserve"> and appropriate management decisions made. For example, the Vietnam Climate Change Action Grants</w:t>
      </w:r>
      <w:r w:rsidR="008B7A12">
        <w:rPr>
          <w:lang w:eastAsia="zh-CN"/>
        </w:rPr>
        <w:t xml:space="preserve"> </w:t>
      </w:r>
      <w:r w:rsidR="00423BF7">
        <w:rPr>
          <w:lang w:eastAsia="zh-CN"/>
        </w:rPr>
        <w:t>were</w:t>
      </w:r>
      <w:r w:rsidR="008B7A12">
        <w:rPr>
          <w:lang w:eastAsia="zh-CN"/>
        </w:rPr>
        <w:t xml:space="preserve"> extended to enable</w:t>
      </w:r>
      <w:r>
        <w:rPr>
          <w:lang w:eastAsia="zh-CN"/>
        </w:rPr>
        <w:t xml:space="preserve"> CARE and </w:t>
      </w:r>
      <w:r w:rsidR="006A79B7">
        <w:rPr>
          <w:lang w:eastAsia="zh-CN"/>
        </w:rPr>
        <w:t xml:space="preserve">the </w:t>
      </w:r>
      <w:r w:rsidR="00E533FE">
        <w:rPr>
          <w:lang w:eastAsia="zh-CN"/>
        </w:rPr>
        <w:t xml:space="preserve">Dutch development organisation </w:t>
      </w:r>
      <w:r>
        <w:rPr>
          <w:lang w:eastAsia="zh-CN"/>
        </w:rPr>
        <w:t>SNV to implement a joint advocacy plan. Following the mid-term</w:t>
      </w:r>
      <w:r w:rsidR="00423BF7">
        <w:rPr>
          <w:lang w:eastAsia="zh-CN"/>
        </w:rPr>
        <w:t xml:space="preserve"> review of the Australia-</w:t>
      </w:r>
      <w:r>
        <w:rPr>
          <w:lang w:eastAsia="zh-CN"/>
        </w:rPr>
        <w:t xml:space="preserve">World Bank Partnership Trust Fund, a partnership retreat was conducted to respond to the recommendation for enhanced communication between donors. </w:t>
      </w:r>
    </w:p>
    <w:p w:rsidR="00E83DD7" w:rsidRDefault="00E83DD7" w:rsidP="00ED5A66">
      <w:pPr>
        <w:pStyle w:val="BodyText"/>
        <w:rPr>
          <w:lang w:eastAsia="zh-CN"/>
        </w:rPr>
      </w:pPr>
      <w:r>
        <w:rPr>
          <w:lang w:eastAsia="zh-CN"/>
        </w:rPr>
        <w:t xml:space="preserve">In the next twelve months </w:t>
      </w:r>
      <w:r w:rsidR="00E533FE" w:rsidRPr="00C77B8C">
        <w:rPr>
          <w:lang w:eastAsia="zh-CN"/>
        </w:rPr>
        <w:t>five independent evaluations and one DFAT-led evaluation</w:t>
      </w:r>
      <w:r w:rsidR="00E533FE">
        <w:rPr>
          <w:lang w:eastAsia="zh-CN"/>
        </w:rPr>
        <w:t xml:space="preserve"> </w:t>
      </w:r>
      <w:r>
        <w:rPr>
          <w:lang w:eastAsia="zh-CN"/>
        </w:rPr>
        <w:t>are planned</w:t>
      </w:r>
      <w:r w:rsidR="00E533FE">
        <w:rPr>
          <w:lang w:eastAsia="zh-CN"/>
        </w:rPr>
        <w:t>. T</w:t>
      </w:r>
      <w:r w:rsidR="0091109A">
        <w:rPr>
          <w:lang w:eastAsia="zh-CN"/>
        </w:rPr>
        <w:t xml:space="preserve">wo of these will be led by our partners, </w:t>
      </w:r>
      <w:r>
        <w:rPr>
          <w:lang w:eastAsia="zh-CN"/>
        </w:rPr>
        <w:t>one is a joint independent progress report</w:t>
      </w:r>
      <w:r w:rsidR="00B36DAA">
        <w:rPr>
          <w:lang w:eastAsia="zh-CN"/>
        </w:rPr>
        <w:t>, one</w:t>
      </w:r>
      <w:r>
        <w:rPr>
          <w:lang w:eastAsia="zh-CN"/>
        </w:rPr>
        <w:t xml:space="preserve"> an end</w:t>
      </w:r>
      <w:r w:rsidR="00AA7604">
        <w:rPr>
          <w:lang w:eastAsia="zh-CN"/>
        </w:rPr>
        <w:t>-</w:t>
      </w:r>
      <w:r>
        <w:rPr>
          <w:lang w:eastAsia="zh-CN"/>
        </w:rPr>
        <w:t>of</w:t>
      </w:r>
      <w:r w:rsidR="00AA7604">
        <w:rPr>
          <w:lang w:eastAsia="zh-CN"/>
        </w:rPr>
        <w:t>-</w:t>
      </w:r>
      <w:r>
        <w:rPr>
          <w:lang w:eastAsia="zh-CN"/>
        </w:rPr>
        <w:t>project evaluation</w:t>
      </w:r>
      <w:r w:rsidR="0091109A">
        <w:rPr>
          <w:lang w:eastAsia="zh-CN"/>
        </w:rPr>
        <w:t>, and two are</w:t>
      </w:r>
      <w:r w:rsidR="00B36DAA">
        <w:rPr>
          <w:lang w:eastAsia="zh-CN"/>
        </w:rPr>
        <w:t xml:space="preserve"> mid</w:t>
      </w:r>
      <w:r w:rsidR="00167841">
        <w:rPr>
          <w:lang w:eastAsia="zh-CN"/>
        </w:rPr>
        <w:t>-</w:t>
      </w:r>
      <w:r w:rsidR="00B36DAA">
        <w:rPr>
          <w:lang w:eastAsia="zh-CN"/>
        </w:rPr>
        <w:t>term revie</w:t>
      </w:r>
      <w:r w:rsidR="0091109A">
        <w:rPr>
          <w:lang w:eastAsia="zh-CN"/>
        </w:rPr>
        <w:t xml:space="preserve">ws (for the </w:t>
      </w:r>
      <w:r w:rsidR="00B36DAA">
        <w:rPr>
          <w:lang w:eastAsia="zh-CN"/>
        </w:rPr>
        <w:t xml:space="preserve">RCV and UNDP </w:t>
      </w:r>
      <w:r w:rsidR="002200D9">
        <w:rPr>
          <w:lang w:eastAsia="zh-CN"/>
        </w:rPr>
        <w:t>disaster risk reduction</w:t>
      </w:r>
      <w:r w:rsidR="00B36DAA">
        <w:rPr>
          <w:lang w:eastAsia="zh-CN"/>
        </w:rPr>
        <w:t xml:space="preserve"> programs</w:t>
      </w:r>
      <w:r w:rsidR="0091109A">
        <w:rPr>
          <w:lang w:eastAsia="zh-CN"/>
        </w:rPr>
        <w:t>)</w:t>
      </w:r>
      <w:r>
        <w:rPr>
          <w:lang w:eastAsia="zh-CN"/>
        </w:rPr>
        <w:t xml:space="preserve">. The baseline for the Impact Evaluation of Cao Lanh </w:t>
      </w:r>
      <w:r w:rsidR="00FE2124">
        <w:rPr>
          <w:lang w:eastAsia="zh-CN"/>
        </w:rPr>
        <w:t>B</w:t>
      </w:r>
      <w:r>
        <w:rPr>
          <w:lang w:eastAsia="zh-CN"/>
        </w:rPr>
        <w:t>ridge project will be prepared in line with the evaluation’s design</w:t>
      </w:r>
      <w:r w:rsidR="00AA7604">
        <w:rPr>
          <w:lang w:eastAsia="zh-CN"/>
        </w:rPr>
        <w:t>,</w:t>
      </w:r>
      <w:r>
        <w:rPr>
          <w:lang w:eastAsia="zh-CN"/>
        </w:rPr>
        <w:t xml:space="preserve"> which will be developed by the end of 2015.</w:t>
      </w:r>
      <w:r w:rsidR="00C46A96">
        <w:rPr>
          <w:lang w:eastAsia="zh-CN"/>
        </w:rPr>
        <w:t xml:space="preserve"> Although this would ideally have been developed earlier to ensure all impacts are captured, </w:t>
      </w:r>
      <w:r w:rsidR="00C46A96" w:rsidRPr="00C46A96">
        <w:rPr>
          <w:lang w:eastAsia="zh-CN"/>
        </w:rPr>
        <w:t>we have captured most of the major resettlement impacts though other processes.</w:t>
      </w:r>
    </w:p>
    <w:p w:rsidR="00AE6F9B" w:rsidRPr="00180B19" w:rsidRDefault="00AE6F9B" w:rsidP="007375D9">
      <w:pPr>
        <w:pStyle w:val="Heading3"/>
      </w:pPr>
      <w:r>
        <w:t xml:space="preserve">Analysis of Aid </w:t>
      </w:r>
      <w:r w:rsidRPr="00180B19">
        <w:t xml:space="preserve">Quality </w:t>
      </w:r>
      <w:r>
        <w:t>Checks (AQCs)</w:t>
      </w:r>
    </w:p>
    <w:p w:rsidR="00EC57EE" w:rsidRPr="00EC57EE" w:rsidRDefault="00E80052" w:rsidP="00ED5A66">
      <w:pPr>
        <w:pStyle w:val="BodyText"/>
        <w:rPr>
          <w:lang w:eastAsia="zh-CN"/>
        </w:rPr>
      </w:pPr>
      <w:r w:rsidRPr="00EC57EE">
        <w:rPr>
          <w:lang w:eastAsia="zh-CN"/>
        </w:rPr>
        <w:t>The Vietnam program completed 16 AQC reports</w:t>
      </w:r>
      <w:r w:rsidRPr="00EC57EE">
        <w:rPr>
          <w:vertAlign w:val="superscript"/>
          <w:lang w:eastAsia="zh-CN"/>
        </w:rPr>
        <w:footnoteReference w:id="34"/>
      </w:r>
      <w:r w:rsidR="00C244A9" w:rsidRPr="00EC57EE">
        <w:rPr>
          <w:vertAlign w:val="superscript"/>
          <w:lang w:eastAsia="zh-CN"/>
        </w:rPr>
        <w:t xml:space="preserve"> </w:t>
      </w:r>
      <w:r w:rsidR="00C244A9" w:rsidRPr="00EC57EE">
        <w:rPr>
          <w:lang w:eastAsia="zh-CN"/>
        </w:rPr>
        <w:t>in 2014-2015, including four</w:t>
      </w:r>
      <w:r w:rsidRPr="00EC57EE">
        <w:rPr>
          <w:lang w:eastAsia="zh-CN"/>
        </w:rPr>
        <w:t xml:space="preserve"> F</w:t>
      </w:r>
      <w:r w:rsidR="00707572" w:rsidRPr="00EC57EE">
        <w:rPr>
          <w:lang w:eastAsia="zh-CN"/>
        </w:rPr>
        <w:t xml:space="preserve">inal </w:t>
      </w:r>
      <w:r w:rsidRPr="00EC57EE">
        <w:rPr>
          <w:lang w:eastAsia="zh-CN"/>
        </w:rPr>
        <w:t xml:space="preserve">AQCs </w:t>
      </w:r>
      <w:r w:rsidR="00707572" w:rsidRPr="00EC57EE">
        <w:rPr>
          <w:lang w:eastAsia="zh-CN"/>
        </w:rPr>
        <w:t>f</w:t>
      </w:r>
      <w:r w:rsidR="00C244A9" w:rsidRPr="00EC57EE">
        <w:rPr>
          <w:lang w:eastAsia="zh-CN"/>
        </w:rPr>
        <w:t xml:space="preserve">or programs that </w:t>
      </w:r>
      <w:r w:rsidR="00C77569" w:rsidRPr="00EC57EE">
        <w:rPr>
          <w:lang w:eastAsia="zh-CN"/>
        </w:rPr>
        <w:t>had concluded</w:t>
      </w:r>
      <w:r w:rsidR="003F7D8E" w:rsidRPr="00EC57EE">
        <w:rPr>
          <w:lang w:eastAsia="zh-CN"/>
        </w:rPr>
        <w:t xml:space="preserve">. DFAT’s regional aid effectiveness staff facilitated a moderation process to independently contest and verify quality reporting. The moderation process confirmed that, in 2014-2015, programs </w:t>
      </w:r>
      <w:r w:rsidR="00AA7604">
        <w:rPr>
          <w:lang w:eastAsia="zh-CN"/>
        </w:rPr>
        <w:t>were</w:t>
      </w:r>
      <w:r w:rsidR="003F7D8E" w:rsidRPr="00EC57EE">
        <w:rPr>
          <w:lang w:eastAsia="zh-CN"/>
        </w:rPr>
        <w:t xml:space="preserve"> aligned well with Australia’s national interest and the Government of Vietnam’s development priorities. </w:t>
      </w:r>
      <w:r w:rsidR="00F55A88" w:rsidRPr="00F55A88">
        <w:rPr>
          <w:lang w:eastAsia="zh-CN"/>
        </w:rPr>
        <w:t>The program deliver</w:t>
      </w:r>
      <w:r w:rsidR="001E4735">
        <w:rPr>
          <w:lang w:eastAsia="zh-CN"/>
        </w:rPr>
        <w:t>ed</w:t>
      </w:r>
      <w:r w:rsidR="00F55A88" w:rsidRPr="00F55A88">
        <w:rPr>
          <w:lang w:eastAsia="zh-CN"/>
        </w:rPr>
        <w:t xml:space="preserve"> high standards of value-for-money, with at least 88 per cent of aid investments </w:t>
      </w:r>
      <w:r w:rsidR="000778C1" w:rsidRPr="00EC57EE">
        <w:rPr>
          <w:lang w:eastAsia="zh-CN"/>
        </w:rPr>
        <w:t xml:space="preserve">(equivalent to 94 per cent of the </w:t>
      </w:r>
      <w:r w:rsidR="000778C1" w:rsidRPr="00EC57EE">
        <w:rPr>
          <w:lang w:eastAsia="zh-CN"/>
        </w:rPr>
        <w:lastRenderedPageBreak/>
        <w:t xml:space="preserve">total approved budget for all investments) </w:t>
      </w:r>
      <w:r w:rsidR="00F55A88" w:rsidRPr="00F55A88">
        <w:rPr>
          <w:lang w:eastAsia="zh-CN"/>
        </w:rPr>
        <w:t>rated satisfactory or above for eith</w:t>
      </w:r>
      <w:r w:rsidR="000778C1">
        <w:rPr>
          <w:lang w:eastAsia="zh-CN"/>
        </w:rPr>
        <w:t>er effectiveness or efficiency</w:t>
      </w:r>
      <w:r w:rsidR="00C77569" w:rsidRPr="00EC57EE">
        <w:rPr>
          <w:lang w:eastAsia="zh-CN"/>
        </w:rPr>
        <w:t xml:space="preserve">. </w:t>
      </w:r>
    </w:p>
    <w:p w:rsidR="00BF4E7F" w:rsidRPr="00EC57EE" w:rsidRDefault="00C77569" w:rsidP="00ED5A66">
      <w:pPr>
        <w:pStyle w:val="BodyText"/>
        <w:rPr>
          <w:lang w:eastAsia="zh-CN"/>
        </w:rPr>
      </w:pPr>
      <w:r w:rsidRPr="00EC57EE">
        <w:rPr>
          <w:lang w:eastAsia="zh-CN"/>
        </w:rPr>
        <w:t>Two investments had unsatisfactory ratings for efficiency: Vietnam Delivering Better Health and Vietnam Climate Innovation Centre.</w:t>
      </w:r>
      <w:r w:rsidR="00EC57EE" w:rsidRPr="00EC57EE">
        <w:rPr>
          <w:lang w:eastAsia="zh-CN"/>
        </w:rPr>
        <w:t xml:space="preserve"> </w:t>
      </w:r>
      <w:r w:rsidRPr="00EC57EE">
        <w:rPr>
          <w:lang w:eastAsia="zh-CN"/>
        </w:rPr>
        <w:t xml:space="preserve">The overall rating for efficiency in the </w:t>
      </w:r>
      <w:r w:rsidR="005F0AEB">
        <w:rPr>
          <w:lang w:eastAsia="zh-CN"/>
        </w:rPr>
        <w:t>F</w:t>
      </w:r>
      <w:r w:rsidRPr="00EC57EE">
        <w:rPr>
          <w:lang w:eastAsia="zh-CN"/>
        </w:rPr>
        <w:t>inal AQC for Vietnam Delivering Better Health investments was unsatisfactory due to significant procurement bottlenecks at the beginning of the program causing a one year delay in mobilisation. The investment was completed in June 2015, thanks to concerted efforts by ADB to get the program back on track</w:t>
      </w:r>
      <w:r w:rsidR="003F7D8E" w:rsidRPr="00EC57EE">
        <w:rPr>
          <w:lang w:eastAsia="zh-CN"/>
        </w:rPr>
        <w:t xml:space="preserve">. </w:t>
      </w:r>
      <w:r w:rsidR="00BF4E7F" w:rsidRPr="00EC57EE">
        <w:rPr>
          <w:lang w:eastAsia="zh-CN"/>
        </w:rPr>
        <w:t>The Vietnam Climate Innovation Centre project in partnership with the Climate Innovation Multi-donor Trust Fund was rated below satisfactory against several criteria</w:t>
      </w:r>
      <w:r w:rsidR="0091109A" w:rsidRPr="00EC57EE">
        <w:rPr>
          <w:vertAlign w:val="superscript"/>
          <w:lang w:eastAsia="zh-CN"/>
        </w:rPr>
        <w:footnoteReference w:id="35"/>
      </w:r>
      <w:r w:rsidR="00BF4E7F" w:rsidRPr="00EC57EE">
        <w:rPr>
          <w:lang w:eastAsia="zh-CN"/>
        </w:rPr>
        <w:t>.</w:t>
      </w:r>
    </w:p>
    <w:p w:rsidR="003F7D8E" w:rsidRPr="00EC57EE" w:rsidRDefault="008F2A77" w:rsidP="00ED5A66">
      <w:pPr>
        <w:pStyle w:val="BodyText"/>
        <w:rPr>
          <w:lang w:eastAsia="zh-CN"/>
        </w:rPr>
      </w:pPr>
      <w:r w:rsidRPr="00EC57EE">
        <w:rPr>
          <w:lang w:eastAsia="zh-CN"/>
        </w:rPr>
        <w:t xml:space="preserve">With a more robust assessment on gender equality taken this year, 76 per cent of investments rated as satisfactory on gender. This is lower than last year </w:t>
      </w:r>
      <w:r w:rsidR="00AA7604">
        <w:rPr>
          <w:lang w:eastAsia="zh-CN"/>
        </w:rPr>
        <w:t xml:space="preserve">and below the target of 80 per cent for the overall aid program, </w:t>
      </w:r>
      <w:r w:rsidRPr="00EC57EE">
        <w:rPr>
          <w:lang w:eastAsia="zh-CN"/>
        </w:rPr>
        <w:t xml:space="preserve">but this trend was noted across </w:t>
      </w:r>
      <w:r w:rsidR="00741DB0">
        <w:rPr>
          <w:lang w:eastAsia="zh-CN"/>
        </w:rPr>
        <w:t>the aid program</w:t>
      </w:r>
      <w:r w:rsidRPr="00EC57EE">
        <w:rPr>
          <w:lang w:eastAsia="zh-CN"/>
        </w:rPr>
        <w:t xml:space="preserve"> due to the new assessment criteria on gender. </w:t>
      </w:r>
      <w:r w:rsidR="00741DB0">
        <w:rPr>
          <w:lang w:eastAsia="zh-CN"/>
        </w:rPr>
        <w:t xml:space="preserve">DFAT’s post in Hanoi </w:t>
      </w:r>
      <w:r w:rsidRPr="00EC57EE">
        <w:rPr>
          <w:lang w:eastAsia="zh-CN"/>
        </w:rPr>
        <w:t xml:space="preserve">has taken steps to build the capacity of staff on gender and is working with our partners to strengthen the integration of gender issues into Australian aid investments. </w:t>
      </w:r>
      <w:r w:rsidR="00EC57EE">
        <w:rPr>
          <w:lang w:eastAsia="zh-CN"/>
        </w:rPr>
        <w:t>T</w:t>
      </w:r>
      <w:r w:rsidR="003F7D8E" w:rsidRPr="00EC57EE">
        <w:rPr>
          <w:lang w:eastAsia="zh-CN"/>
        </w:rPr>
        <w:t xml:space="preserve">he World Bank Vietnam Partnership Trust Fund </w:t>
      </w:r>
      <w:r w:rsidR="00EC57EE">
        <w:rPr>
          <w:lang w:eastAsia="zh-CN"/>
        </w:rPr>
        <w:t>was the only investment with</w:t>
      </w:r>
      <w:r w:rsidR="003F7D8E" w:rsidRPr="00EC57EE">
        <w:rPr>
          <w:lang w:eastAsia="zh-CN"/>
        </w:rPr>
        <w:t xml:space="preserve"> an unsatisfactory rating for gender equality for two consecutive years. </w:t>
      </w:r>
      <w:r w:rsidR="003F7D8E" w:rsidRPr="00FA4450">
        <w:rPr>
          <w:lang w:eastAsia="zh-CN"/>
        </w:rPr>
        <w:t>The mid-term review recogni</w:t>
      </w:r>
      <w:r w:rsidR="000150AF" w:rsidRPr="00FA4450">
        <w:rPr>
          <w:lang w:eastAsia="zh-CN"/>
        </w:rPr>
        <w:t>s</w:t>
      </w:r>
      <w:r w:rsidR="003F7D8E" w:rsidRPr="00FA4450">
        <w:rPr>
          <w:lang w:eastAsia="zh-CN"/>
        </w:rPr>
        <w:t xml:space="preserve">ed good progress was made </w:t>
      </w:r>
      <w:r w:rsidR="00FA4450" w:rsidRPr="00FA4450">
        <w:rPr>
          <w:lang w:eastAsia="zh-CN"/>
        </w:rPr>
        <w:t>being made</w:t>
      </w:r>
      <w:r w:rsidR="003F7D8E" w:rsidRPr="00FA4450">
        <w:rPr>
          <w:lang w:eastAsia="zh-CN"/>
        </w:rPr>
        <w:t xml:space="preserve"> to mainstream gender issues bette</w:t>
      </w:r>
      <w:r w:rsidR="006E560C" w:rsidRPr="00FA4450">
        <w:rPr>
          <w:lang w:eastAsia="zh-CN"/>
        </w:rPr>
        <w:t>r into on</w:t>
      </w:r>
      <w:r w:rsidR="003F7D8E" w:rsidRPr="00FA4450">
        <w:rPr>
          <w:lang w:eastAsia="zh-CN"/>
        </w:rPr>
        <w:t>going activities.</w:t>
      </w:r>
      <w:r w:rsidR="003F7D8E" w:rsidRPr="00EC57EE">
        <w:rPr>
          <w:lang w:eastAsia="zh-CN"/>
        </w:rPr>
        <w:t xml:space="preserve"> However, a lot of work will need to be done to implement all the actions. </w:t>
      </w:r>
      <w:r w:rsidR="003F7D8E" w:rsidRPr="00F1413A">
        <w:rPr>
          <w:lang w:eastAsia="zh-CN"/>
        </w:rPr>
        <w:t>A detailed action plan to address gender issues in a more systematic way is being prepared by a World Bank Gender Specialist with support from a DFAT Gender Adviser.  The gender focal point and gender experts will also be directly involved in activity implementation rather than just providin</w:t>
      </w:r>
      <w:r w:rsidR="00ED5A66" w:rsidRPr="00F1413A">
        <w:rPr>
          <w:lang w:eastAsia="zh-CN"/>
        </w:rPr>
        <w:t>g desk reviews as in the past.</w:t>
      </w:r>
    </w:p>
    <w:p w:rsidR="00B85135" w:rsidRDefault="00C46A96" w:rsidP="00ED5A66">
      <w:pPr>
        <w:pStyle w:val="BodyText"/>
      </w:pPr>
      <w:r>
        <w:rPr>
          <w:lang w:eastAsia="zh-CN"/>
        </w:rPr>
        <w:t>The rating for monitoring and evaluation (M&amp;E) for the Mekong Transport Infrastructure Development investment improved</w:t>
      </w:r>
      <w:r w:rsidR="005F0AEB">
        <w:rPr>
          <w:lang w:eastAsia="zh-CN"/>
        </w:rPr>
        <w:t>,</w:t>
      </w:r>
      <w:r>
        <w:rPr>
          <w:lang w:eastAsia="zh-CN"/>
        </w:rPr>
        <w:t xml:space="preserve"> from poor in 2013 to adequate in 2014. While the M&amp;E</w:t>
      </w:r>
      <w:r w:rsidRPr="00BB3D7F">
        <w:rPr>
          <w:lang w:eastAsia="zh-CN"/>
        </w:rPr>
        <w:t xml:space="preserve"> of implementation progress and quality of construction has been reasonably good</w:t>
      </w:r>
      <w:r>
        <w:rPr>
          <w:lang w:eastAsia="zh-CN"/>
        </w:rPr>
        <w:t>,</w:t>
      </w:r>
      <w:r w:rsidRPr="00BB3D7F">
        <w:rPr>
          <w:lang w:eastAsia="zh-CN"/>
        </w:rPr>
        <w:t xml:space="preserve"> </w:t>
      </w:r>
      <w:r>
        <w:rPr>
          <w:lang w:eastAsia="zh-CN"/>
        </w:rPr>
        <w:t>t</w:t>
      </w:r>
      <w:r w:rsidRPr="00BB3D7F">
        <w:rPr>
          <w:lang w:eastAsia="zh-CN"/>
        </w:rPr>
        <w:t xml:space="preserve">he quality of </w:t>
      </w:r>
      <w:r>
        <w:rPr>
          <w:lang w:eastAsia="zh-CN"/>
        </w:rPr>
        <w:t>baseline impact</w:t>
      </w:r>
      <w:r w:rsidRPr="00BB3D7F">
        <w:rPr>
          <w:lang w:eastAsia="zh-CN"/>
        </w:rPr>
        <w:t xml:space="preserve"> monitoring has been problematic. </w:t>
      </w:r>
      <w:r>
        <w:rPr>
          <w:lang w:eastAsia="zh-CN"/>
        </w:rPr>
        <w:t>To address the issue, DFAT agreed</w:t>
      </w:r>
      <w:r w:rsidRPr="00BB3D7F">
        <w:rPr>
          <w:lang w:eastAsia="zh-CN"/>
        </w:rPr>
        <w:t xml:space="preserve"> with the </w:t>
      </w:r>
      <w:r>
        <w:rPr>
          <w:lang w:eastAsia="zh-CN"/>
        </w:rPr>
        <w:t xml:space="preserve">World Bank </w:t>
      </w:r>
      <w:r w:rsidRPr="00BB3D7F">
        <w:rPr>
          <w:lang w:eastAsia="zh-CN"/>
        </w:rPr>
        <w:t>that a further round of surveys and complete analysis</w:t>
      </w:r>
      <w:r>
        <w:rPr>
          <w:lang w:eastAsia="zh-CN"/>
        </w:rPr>
        <w:t xml:space="preserve"> of the data </w:t>
      </w:r>
      <w:r w:rsidR="00AA7604">
        <w:rPr>
          <w:lang w:eastAsia="zh-CN"/>
        </w:rPr>
        <w:t>would</w:t>
      </w:r>
      <w:r>
        <w:rPr>
          <w:lang w:eastAsia="zh-CN"/>
        </w:rPr>
        <w:t xml:space="preserve"> be undertaken upon completion of the program. This has led to an improved rating in 2014.</w:t>
      </w:r>
    </w:p>
    <w:p w:rsidR="00AE6F9B" w:rsidRDefault="00AE6F9B" w:rsidP="003F7D8E">
      <w:pPr>
        <w:pStyle w:val="Heading3"/>
      </w:pPr>
      <w:r>
        <w:t>Performance of key delivery partners</w:t>
      </w:r>
    </w:p>
    <w:p w:rsidR="009F6431" w:rsidRPr="003F7D8E" w:rsidRDefault="009F6431" w:rsidP="009F6431">
      <w:pPr>
        <w:pStyle w:val="BodyText"/>
        <w:rPr>
          <w:color w:val="000000" w:themeColor="text1"/>
        </w:rPr>
      </w:pPr>
      <w:r w:rsidRPr="00B4494A">
        <w:rPr>
          <w:color w:val="000000" w:themeColor="text1"/>
        </w:rPr>
        <w:t xml:space="preserve">Our primary partner </w:t>
      </w:r>
      <w:r w:rsidR="002C0DD8">
        <w:rPr>
          <w:color w:val="000000" w:themeColor="text1"/>
        </w:rPr>
        <w:t xml:space="preserve">at the policy level </w:t>
      </w:r>
      <w:r w:rsidRPr="00B4494A">
        <w:rPr>
          <w:color w:val="000000" w:themeColor="text1"/>
        </w:rPr>
        <w:t xml:space="preserve">remains the </w:t>
      </w:r>
      <w:r w:rsidRPr="00607A9A">
        <w:rPr>
          <w:color w:val="000000" w:themeColor="text1"/>
        </w:rPr>
        <w:t>Government of Vietnam</w:t>
      </w:r>
      <w:r w:rsidRPr="00B4494A">
        <w:rPr>
          <w:color w:val="000000" w:themeColor="text1"/>
        </w:rPr>
        <w:t>, with which we have a long-established and highly productive working relationship</w:t>
      </w:r>
      <w:r>
        <w:rPr>
          <w:rStyle w:val="FootnoteReference"/>
          <w:color w:val="000000" w:themeColor="text1"/>
        </w:rPr>
        <w:footnoteReference w:id="36"/>
      </w:r>
      <w:r>
        <w:rPr>
          <w:color w:val="000000" w:themeColor="text1"/>
        </w:rPr>
        <w:t>.</w:t>
      </w:r>
      <w:r w:rsidR="005A4C22" w:rsidRPr="005A4C22">
        <w:rPr>
          <w:color w:val="000000" w:themeColor="text1"/>
        </w:rPr>
        <w:t xml:space="preserve"> </w:t>
      </w:r>
      <w:r w:rsidR="00C244A9">
        <w:rPr>
          <w:color w:val="000000" w:themeColor="text1"/>
        </w:rPr>
        <w:t xml:space="preserve">Our key implementing partners are </w:t>
      </w:r>
      <w:r w:rsidR="005A4C22" w:rsidRPr="009F6431">
        <w:rPr>
          <w:color w:val="000000" w:themeColor="text1"/>
        </w:rPr>
        <w:t xml:space="preserve">the </w:t>
      </w:r>
      <w:r w:rsidR="005A4C22" w:rsidRPr="002C0DD8">
        <w:rPr>
          <w:color w:val="000000" w:themeColor="text1"/>
        </w:rPr>
        <w:t>World Bank and ADB</w:t>
      </w:r>
      <w:r w:rsidR="002C0DD8" w:rsidRPr="002C0DD8">
        <w:rPr>
          <w:color w:val="000000" w:themeColor="text1"/>
        </w:rPr>
        <w:t>, who</w:t>
      </w:r>
      <w:r w:rsidR="005A4C22" w:rsidRPr="009F6431">
        <w:rPr>
          <w:color w:val="000000" w:themeColor="text1"/>
        </w:rPr>
        <w:t xml:space="preserve"> </w:t>
      </w:r>
      <w:r w:rsidR="005A4C22">
        <w:rPr>
          <w:color w:val="000000" w:themeColor="text1"/>
        </w:rPr>
        <w:t>account</w:t>
      </w:r>
      <w:r w:rsidR="005A4C22" w:rsidRPr="009F6431">
        <w:rPr>
          <w:color w:val="000000" w:themeColor="text1"/>
        </w:rPr>
        <w:t xml:space="preserve"> for </w:t>
      </w:r>
      <w:r w:rsidR="003E06FB">
        <w:rPr>
          <w:color w:val="000000" w:themeColor="text1"/>
        </w:rPr>
        <w:t>58</w:t>
      </w:r>
      <w:r w:rsidR="005A4C22">
        <w:rPr>
          <w:color w:val="000000" w:themeColor="text1"/>
        </w:rPr>
        <w:t xml:space="preserve"> </w:t>
      </w:r>
      <w:r w:rsidR="005A4C22" w:rsidRPr="009F6431">
        <w:rPr>
          <w:color w:val="000000" w:themeColor="text1"/>
        </w:rPr>
        <w:t>per cent</w:t>
      </w:r>
      <w:r w:rsidR="005A4C22">
        <w:rPr>
          <w:color w:val="000000" w:themeColor="text1"/>
        </w:rPr>
        <w:t xml:space="preserve"> </w:t>
      </w:r>
      <w:r w:rsidR="005A4C22" w:rsidRPr="009F6431">
        <w:rPr>
          <w:color w:val="000000" w:themeColor="text1"/>
        </w:rPr>
        <w:t>of ongoing commitments in 2014-2015</w:t>
      </w:r>
      <w:r w:rsidR="005A4C22">
        <w:rPr>
          <w:color w:val="000000" w:themeColor="text1"/>
        </w:rPr>
        <w:t>.</w:t>
      </w:r>
    </w:p>
    <w:p w:rsidR="003F7D8E" w:rsidRDefault="009F6431" w:rsidP="003F7D8E">
      <w:pPr>
        <w:pStyle w:val="BodyText"/>
        <w:rPr>
          <w:color w:val="000000" w:themeColor="text1"/>
        </w:rPr>
      </w:pPr>
      <w:r w:rsidRPr="009F6431">
        <w:rPr>
          <w:color w:val="000000" w:themeColor="text1"/>
        </w:rPr>
        <w:t xml:space="preserve">There were a total of ten Partner Performance Assessments </w:t>
      </w:r>
      <w:r w:rsidR="006A79B7">
        <w:rPr>
          <w:color w:val="000000" w:themeColor="text1"/>
        </w:rPr>
        <w:t xml:space="preserve">(PPAs) </w:t>
      </w:r>
      <w:r w:rsidRPr="009F6431">
        <w:rPr>
          <w:color w:val="000000" w:themeColor="text1"/>
        </w:rPr>
        <w:t xml:space="preserve">undertaken in </w:t>
      </w:r>
      <w:r w:rsidR="000150AF">
        <w:rPr>
          <w:color w:val="000000" w:themeColor="text1"/>
        </w:rPr>
        <w:t>2015</w:t>
      </w:r>
      <w:r w:rsidR="005A4C22">
        <w:rPr>
          <w:color w:val="000000" w:themeColor="text1"/>
        </w:rPr>
        <w:t xml:space="preserve"> that found partners performing strongly in most areas</w:t>
      </w:r>
      <w:r w:rsidRPr="009F6431">
        <w:rPr>
          <w:color w:val="000000" w:themeColor="text1"/>
        </w:rPr>
        <w:t xml:space="preserve">. </w:t>
      </w:r>
      <w:r w:rsidR="005A4C22">
        <w:rPr>
          <w:color w:val="000000" w:themeColor="text1"/>
        </w:rPr>
        <w:t>F</w:t>
      </w:r>
      <w:r w:rsidR="005A4C22" w:rsidRPr="009F6431">
        <w:rPr>
          <w:color w:val="000000" w:themeColor="text1"/>
        </w:rPr>
        <w:t xml:space="preserve">our </w:t>
      </w:r>
      <w:r w:rsidR="005A4C22">
        <w:rPr>
          <w:color w:val="000000" w:themeColor="text1"/>
        </w:rPr>
        <w:t>PPAs were undertaken for</w:t>
      </w:r>
      <w:r w:rsidRPr="009F6431">
        <w:rPr>
          <w:color w:val="000000" w:themeColor="text1"/>
        </w:rPr>
        <w:t xml:space="preserve"> multilateral</w:t>
      </w:r>
      <w:r w:rsidR="000150AF">
        <w:rPr>
          <w:color w:val="000000" w:themeColor="text1"/>
        </w:rPr>
        <w:t xml:space="preserve"> organisations</w:t>
      </w:r>
      <w:r w:rsidRPr="009F6431">
        <w:rPr>
          <w:color w:val="000000" w:themeColor="text1"/>
        </w:rPr>
        <w:t>, two for contractors and four for NGOs</w:t>
      </w:r>
      <w:r w:rsidRPr="009F6431">
        <w:rPr>
          <w:rStyle w:val="FootnoteReference"/>
        </w:rPr>
        <w:footnoteReference w:id="37"/>
      </w:r>
      <w:r w:rsidRPr="009F6431">
        <w:rPr>
          <w:color w:val="000000" w:themeColor="text1"/>
        </w:rPr>
        <w:t xml:space="preserve">. </w:t>
      </w:r>
    </w:p>
    <w:p w:rsidR="003F7D8E" w:rsidRPr="003F7D8E" w:rsidRDefault="003F7D8E" w:rsidP="003F7D8E">
      <w:pPr>
        <w:pStyle w:val="BodyText"/>
        <w:rPr>
          <w:color w:val="000000" w:themeColor="text1"/>
        </w:rPr>
      </w:pPr>
      <w:r w:rsidRPr="003F7D8E">
        <w:rPr>
          <w:color w:val="000000" w:themeColor="text1"/>
        </w:rPr>
        <w:t xml:space="preserve">Our country-level partnership with </w:t>
      </w:r>
      <w:r w:rsidRPr="002C0DD8">
        <w:rPr>
          <w:color w:val="000000" w:themeColor="text1"/>
        </w:rPr>
        <w:t>the World Bank is</w:t>
      </w:r>
      <w:r w:rsidRPr="003F7D8E">
        <w:rPr>
          <w:color w:val="000000" w:themeColor="text1"/>
        </w:rPr>
        <w:t xml:space="preserve"> effective, maximises value for money, and involves good collaboration and alignment to DFAT policy. </w:t>
      </w:r>
      <w:r w:rsidR="00B36DAA">
        <w:rPr>
          <w:color w:val="000000" w:themeColor="text1"/>
        </w:rPr>
        <w:t xml:space="preserve">It has enabled a number of public diplomacy opportunities with the Ambassador raising Australia’s visibility amongst senior </w:t>
      </w:r>
      <w:r w:rsidR="00AA7604">
        <w:rPr>
          <w:color w:val="000000" w:themeColor="text1"/>
        </w:rPr>
        <w:t>Vietnamese</w:t>
      </w:r>
      <w:r w:rsidR="00B36DAA">
        <w:rPr>
          <w:color w:val="000000" w:themeColor="text1"/>
        </w:rPr>
        <w:t xml:space="preserve"> ministers. </w:t>
      </w:r>
      <w:r w:rsidR="008A56C9">
        <w:rPr>
          <w:color w:val="000000" w:themeColor="text1"/>
        </w:rPr>
        <w:t xml:space="preserve">The World </w:t>
      </w:r>
      <w:r w:rsidR="008A56C9" w:rsidRPr="008A56C9">
        <w:rPr>
          <w:color w:val="000000" w:themeColor="text1"/>
        </w:rPr>
        <w:t xml:space="preserve">Bank’s performance has been especially good </w:t>
      </w:r>
      <w:r w:rsidR="008A56C9">
        <w:rPr>
          <w:color w:val="000000" w:themeColor="text1"/>
        </w:rPr>
        <w:t>in regard to</w:t>
      </w:r>
      <w:r w:rsidR="008A56C9" w:rsidRPr="008A56C9">
        <w:rPr>
          <w:color w:val="000000" w:themeColor="text1"/>
        </w:rPr>
        <w:t xml:space="preserve"> the technical assistance activities executed by the Bank itself</w:t>
      </w:r>
      <w:r w:rsidR="008A56C9">
        <w:rPr>
          <w:color w:val="000000" w:themeColor="text1"/>
        </w:rPr>
        <w:t>,</w:t>
      </w:r>
      <w:r w:rsidR="008A56C9" w:rsidRPr="008A56C9">
        <w:rPr>
          <w:color w:val="000000" w:themeColor="text1"/>
        </w:rPr>
        <w:t xml:space="preserve"> but not optimal for the activities </w:t>
      </w:r>
      <w:r w:rsidR="008A56C9" w:rsidRPr="008A56C9">
        <w:rPr>
          <w:color w:val="000000" w:themeColor="text1"/>
        </w:rPr>
        <w:lastRenderedPageBreak/>
        <w:t xml:space="preserve">implemented by the Government </w:t>
      </w:r>
      <w:r w:rsidR="008A56C9">
        <w:rPr>
          <w:color w:val="000000" w:themeColor="text1"/>
        </w:rPr>
        <w:t xml:space="preserve">of Vietnam, </w:t>
      </w:r>
      <w:r w:rsidR="008A56C9" w:rsidRPr="008A56C9">
        <w:rPr>
          <w:color w:val="000000" w:themeColor="text1"/>
        </w:rPr>
        <w:t>due to unrealistic expectations o</w:t>
      </w:r>
      <w:r w:rsidR="008A56C9">
        <w:rPr>
          <w:color w:val="000000" w:themeColor="text1"/>
        </w:rPr>
        <w:t>f</w:t>
      </w:r>
      <w:r w:rsidR="008A56C9" w:rsidRPr="008A56C9">
        <w:rPr>
          <w:color w:val="000000" w:themeColor="text1"/>
        </w:rPr>
        <w:t xml:space="preserve"> </w:t>
      </w:r>
      <w:r w:rsidR="00960E8D">
        <w:rPr>
          <w:color w:val="000000" w:themeColor="text1"/>
        </w:rPr>
        <w:t xml:space="preserve">the </w:t>
      </w:r>
      <w:r w:rsidR="008A56C9">
        <w:rPr>
          <w:color w:val="000000" w:themeColor="text1"/>
        </w:rPr>
        <w:t>Government of Vietnam’s</w:t>
      </w:r>
      <w:r w:rsidR="008A56C9" w:rsidRPr="008A56C9">
        <w:rPr>
          <w:color w:val="000000" w:themeColor="text1"/>
        </w:rPr>
        <w:t xml:space="preserve"> procedures and systems. </w:t>
      </w:r>
      <w:r w:rsidRPr="003F7D8E">
        <w:rPr>
          <w:color w:val="000000" w:themeColor="text1"/>
        </w:rPr>
        <w:t xml:space="preserve">Ongoing challenges remain for the World Bank to address gender issues </w:t>
      </w:r>
      <w:r w:rsidR="00AA7604" w:rsidRPr="003F7D8E">
        <w:rPr>
          <w:color w:val="000000" w:themeColor="text1"/>
        </w:rPr>
        <w:t xml:space="preserve">systematically </w:t>
      </w:r>
      <w:r w:rsidRPr="003F7D8E">
        <w:rPr>
          <w:color w:val="000000" w:themeColor="text1"/>
        </w:rPr>
        <w:t xml:space="preserve">in the program, </w:t>
      </w:r>
      <w:r w:rsidRPr="00F1413A">
        <w:rPr>
          <w:color w:val="000000" w:themeColor="text1"/>
        </w:rPr>
        <w:t>and partnerships at the implementation level will need to be enhanced to ensure cooperation.</w:t>
      </w:r>
      <w:r w:rsidRPr="003F7D8E">
        <w:rPr>
          <w:color w:val="000000" w:themeColor="text1"/>
        </w:rPr>
        <w:t xml:space="preserve"> </w:t>
      </w:r>
      <w:r w:rsidR="005A4C22">
        <w:rPr>
          <w:color w:val="000000" w:themeColor="text1"/>
        </w:rPr>
        <w:t>T</w:t>
      </w:r>
      <w:r w:rsidR="005A4C22" w:rsidRPr="003F7D8E">
        <w:rPr>
          <w:color w:val="000000" w:themeColor="text1"/>
        </w:rPr>
        <w:t xml:space="preserve">hese concerns </w:t>
      </w:r>
      <w:r w:rsidR="005A4C22">
        <w:rPr>
          <w:color w:val="000000" w:themeColor="text1"/>
        </w:rPr>
        <w:t xml:space="preserve">were </w:t>
      </w:r>
      <w:r w:rsidR="005A4C22" w:rsidRPr="003F7D8E">
        <w:rPr>
          <w:color w:val="000000" w:themeColor="text1"/>
        </w:rPr>
        <w:t xml:space="preserve">discussed </w:t>
      </w:r>
      <w:r w:rsidR="005A4C22">
        <w:rPr>
          <w:color w:val="000000" w:themeColor="text1"/>
        </w:rPr>
        <w:t>at t</w:t>
      </w:r>
      <w:r w:rsidRPr="003F7D8E">
        <w:rPr>
          <w:color w:val="000000" w:themeColor="text1"/>
        </w:rPr>
        <w:t>he June 2015 partnership retreat</w:t>
      </w:r>
      <w:r w:rsidR="005A4C22">
        <w:rPr>
          <w:color w:val="000000" w:themeColor="text1"/>
        </w:rPr>
        <w:t xml:space="preserve"> with</w:t>
      </w:r>
      <w:r w:rsidRPr="003F7D8E">
        <w:rPr>
          <w:color w:val="000000" w:themeColor="text1"/>
        </w:rPr>
        <w:t xml:space="preserve"> </w:t>
      </w:r>
      <w:r w:rsidR="005A4C22" w:rsidRPr="003F7D8E">
        <w:rPr>
          <w:color w:val="000000" w:themeColor="text1"/>
        </w:rPr>
        <w:t>follow up actions</w:t>
      </w:r>
      <w:r w:rsidR="005A4C22" w:rsidRPr="003F7D8E" w:rsidDel="005A4C22">
        <w:rPr>
          <w:color w:val="000000" w:themeColor="text1"/>
        </w:rPr>
        <w:t xml:space="preserve"> </w:t>
      </w:r>
      <w:r w:rsidRPr="003F7D8E">
        <w:rPr>
          <w:color w:val="000000" w:themeColor="text1"/>
        </w:rPr>
        <w:t xml:space="preserve">identified. </w:t>
      </w:r>
    </w:p>
    <w:p w:rsidR="003F7D8E" w:rsidRPr="003F7D8E" w:rsidRDefault="003F7D8E" w:rsidP="003F7D8E">
      <w:pPr>
        <w:pStyle w:val="BodyText"/>
        <w:rPr>
          <w:color w:val="000000" w:themeColor="text1"/>
        </w:rPr>
      </w:pPr>
      <w:r w:rsidRPr="003F7D8E">
        <w:rPr>
          <w:color w:val="000000" w:themeColor="text1"/>
        </w:rPr>
        <w:t xml:space="preserve">The partnership with </w:t>
      </w:r>
      <w:r w:rsidRPr="002C0DD8">
        <w:rPr>
          <w:color w:val="000000" w:themeColor="text1"/>
        </w:rPr>
        <w:t>ADB</w:t>
      </w:r>
      <w:r w:rsidRPr="003F7D8E">
        <w:rPr>
          <w:b/>
          <w:color w:val="000000" w:themeColor="text1"/>
        </w:rPr>
        <w:t xml:space="preserve"> </w:t>
      </w:r>
      <w:r w:rsidRPr="003F7D8E">
        <w:rPr>
          <w:color w:val="000000" w:themeColor="text1"/>
        </w:rPr>
        <w:t>through Cao Lanh Bridge project is performing well. ADB and DFAT participate in joint supervision missions every three month</w:t>
      </w:r>
      <w:r w:rsidR="00EC7057">
        <w:rPr>
          <w:color w:val="000000" w:themeColor="text1"/>
        </w:rPr>
        <w:t>s</w:t>
      </w:r>
      <w:r w:rsidRPr="003F7D8E">
        <w:rPr>
          <w:color w:val="000000" w:themeColor="text1"/>
        </w:rPr>
        <w:t xml:space="preserve"> to review the actual project progress and ensure the project is on the right track to meet its objectives. ADB regularly provides expertise in both engineering and safeguards on these missions. There is also an annual high level consultation meeting between ADB and DFAT executive management, where major issues are discussed and resolved.</w:t>
      </w:r>
    </w:p>
    <w:p w:rsidR="00586583" w:rsidRPr="00264F18" w:rsidRDefault="003F7D8E" w:rsidP="00264F18">
      <w:pPr>
        <w:pStyle w:val="BodyText"/>
      </w:pPr>
      <w:r w:rsidRPr="003F7D8E">
        <w:rPr>
          <w:color w:val="000000" w:themeColor="text1"/>
        </w:rPr>
        <w:t xml:space="preserve">Partnerships with all NGOs (CARE, Oxfam, Save the Children Australia and SNV) under </w:t>
      </w:r>
      <w:r w:rsidR="00EC57EE">
        <w:rPr>
          <w:color w:val="000000" w:themeColor="text1"/>
        </w:rPr>
        <w:t xml:space="preserve">the </w:t>
      </w:r>
      <w:r w:rsidR="00EC57EE" w:rsidRPr="003F7D8E">
        <w:rPr>
          <w:color w:val="000000" w:themeColor="text1"/>
        </w:rPr>
        <w:t xml:space="preserve">Vietnam Climate Change </w:t>
      </w:r>
      <w:r w:rsidR="00EC57EE" w:rsidRPr="002C0DD8">
        <w:rPr>
          <w:color w:val="000000" w:themeColor="text1"/>
        </w:rPr>
        <w:t>NGOs</w:t>
      </w:r>
      <w:r w:rsidR="00EC57EE" w:rsidRPr="003F7D8E">
        <w:rPr>
          <w:color w:val="000000" w:themeColor="text1"/>
        </w:rPr>
        <w:t xml:space="preserve"> Partnership program</w:t>
      </w:r>
      <w:r w:rsidRPr="003F7D8E">
        <w:rPr>
          <w:color w:val="000000" w:themeColor="text1"/>
        </w:rPr>
        <w:t xml:space="preserve"> have been effective</w:t>
      </w:r>
      <w:r w:rsidR="00572469">
        <w:rPr>
          <w:color w:val="000000" w:themeColor="text1"/>
        </w:rPr>
        <w:t xml:space="preserve"> with most being rated </w:t>
      </w:r>
      <w:r w:rsidR="00EC57EE">
        <w:rPr>
          <w:color w:val="000000" w:themeColor="text1"/>
        </w:rPr>
        <w:t>“</w:t>
      </w:r>
      <w:r w:rsidR="00572469">
        <w:rPr>
          <w:color w:val="000000" w:themeColor="text1"/>
        </w:rPr>
        <w:t>good</w:t>
      </w:r>
      <w:r w:rsidR="00EC57EE">
        <w:rPr>
          <w:color w:val="000000" w:themeColor="text1"/>
        </w:rPr>
        <w:t>” overall</w:t>
      </w:r>
      <w:r w:rsidRPr="003F7D8E">
        <w:rPr>
          <w:color w:val="000000" w:themeColor="text1"/>
        </w:rPr>
        <w:t>.</w:t>
      </w:r>
    </w:p>
    <w:p w:rsidR="00ED38CE" w:rsidRDefault="00ED38CE" w:rsidP="007375D9">
      <w:pPr>
        <w:pStyle w:val="Heading3"/>
      </w:pPr>
      <w:r>
        <w:t>Risks</w:t>
      </w:r>
      <w:r>
        <w:tab/>
      </w:r>
    </w:p>
    <w:p w:rsidR="00ED38CE" w:rsidRDefault="00FF18C2" w:rsidP="00ED38CE">
      <w:pPr>
        <w:pStyle w:val="Caption"/>
      </w:pPr>
      <w:r>
        <w:t>Table 4</w:t>
      </w:r>
      <w:r w:rsidR="00ED38CE">
        <w:t xml:space="preserve"> Management of Key Risks to Achieving Objectives</w:t>
      </w:r>
    </w:p>
    <w:tbl>
      <w:tblPr>
        <w:tblStyle w:val="APPR"/>
        <w:tblW w:w="5000" w:type="pct"/>
        <w:tblLook w:val="0600" w:firstRow="0" w:lastRow="0" w:firstColumn="0" w:lastColumn="0" w:noHBand="1" w:noVBand="1"/>
        <w:tblCaption w:val="Table 4 Management of Key Risks to Achieving Objectives"/>
        <w:tblDescription w:val="Table lists key risks, what actions were taken to manage the risk over the pas year, what further actions will be taken to manage the risk in the coming year, and a risk rating of low, medium, high, very high."/>
      </w:tblPr>
      <w:tblGrid>
        <w:gridCol w:w="2506"/>
        <w:gridCol w:w="2271"/>
        <w:gridCol w:w="2385"/>
        <w:gridCol w:w="1615"/>
      </w:tblGrid>
      <w:tr w:rsidR="00ED38CE" w:rsidTr="00A93217">
        <w:tc>
          <w:tcPr>
            <w:tcW w:w="2484" w:type="dxa"/>
            <w:tcBorders>
              <w:top w:val="nil"/>
              <w:left w:val="nil"/>
              <w:bottom w:val="nil"/>
              <w:right w:val="nil"/>
            </w:tcBorders>
            <w:hideMark/>
          </w:tcPr>
          <w:p w:rsidR="00ED38CE" w:rsidRDefault="00ED38CE">
            <w:pPr>
              <w:pStyle w:val="TableTextColumnHeading"/>
            </w:pPr>
            <w:r>
              <w:t>Key risks</w:t>
            </w:r>
          </w:p>
        </w:tc>
        <w:tc>
          <w:tcPr>
            <w:tcW w:w="2260" w:type="dxa"/>
            <w:tcBorders>
              <w:top w:val="nil"/>
              <w:left w:val="nil"/>
              <w:bottom w:val="nil"/>
              <w:right w:val="nil"/>
            </w:tcBorders>
            <w:hideMark/>
          </w:tcPr>
          <w:p w:rsidR="00ED38CE" w:rsidRDefault="00ED38CE">
            <w:pPr>
              <w:pStyle w:val="TableTextColumnHeading"/>
            </w:pPr>
            <w:r>
              <w:t>What actions were taken to manage the risks over the past year?</w:t>
            </w:r>
          </w:p>
        </w:tc>
        <w:tc>
          <w:tcPr>
            <w:tcW w:w="2362" w:type="dxa"/>
            <w:tcBorders>
              <w:top w:val="nil"/>
              <w:left w:val="nil"/>
              <w:bottom w:val="nil"/>
              <w:right w:val="nil"/>
            </w:tcBorders>
            <w:hideMark/>
          </w:tcPr>
          <w:p w:rsidR="00ED38CE" w:rsidRDefault="00ED38CE">
            <w:pPr>
              <w:pStyle w:val="TableTextColumnHeading"/>
            </w:pPr>
            <w:r>
              <w:t>What further actions will be taken to manage the risks in the coming year?</w:t>
            </w:r>
          </w:p>
        </w:tc>
        <w:tc>
          <w:tcPr>
            <w:tcW w:w="1531" w:type="dxa"/>
            <w:tcBorders>
              <w:top w:val="nil"/>
              <w:left w:val="nil"/>
              <w:bottom w:val="nil"/>
              <w:right w:val="nil"/>
            </w:tcBorders>
            <w:hideMark/>
          </w:tcPr>
          <w:p w:rsidR="00ED38CE" w:rsidRDefault="00ED38CE">
            <w:pPr>
              <w:pStyle w:val="TableTextColumnHeading"/>
            </w:pPr>
            <w:r>
              <w:t>For emerging/ongoing risks provide a Risk Rating (low, medium, high, very high)</w:t>
            </w:r>
          </w:p>
        </w:tc>
      </w:tr>
      <w:tr w:rsidR="00ED38CE" w:rsidTr="00A93217">
        <w:tc>
          <w:tcPr>
            <w:tcW w:w="2484" w:type="dxa"/>
            <w:tcBorders>
              <w:top w:val="single" w:sz="4" w:space="0" w:color="auto"/>
              <w:left w:val="nil"/>
              <w:bottom w:val="single" w:sz="4" w:space="0" w:color="auto"/>
              <w:right w:val="nil"/>
            </w:tcBorders>
            <w:hideMark/>
          </w:tcPr>
          <w:p w:rsidR="00ED38CE" w:rsidRDefault="00ED38CE">
            <w:pPr>
              <w:pStyle w:val="ListBullet"/>
              <w:numPr>
                <w:ilvl w:val="0"/>
                <w:numId w:val="0"/>
              </w:numPr>
              <w:tabs>
                <w:tab w:val="left" w:pos="0"/>
              </w:tabs>
              <w:spacing w:line="240" w:lineRule="auto"/>
              <w:rPr>
                <w:sz w:val="16"/>
                <w:szCs w:val="16"/>
              </w:rPr>
            </w:pPr>
            <w:r>
              <w:rPr>
                <w:sz w:val="16"/>
                <w:szCs w:val="16"/>
              </w:rPr>
              <w:t>ODA management framework of Vietnam does not have transparent arrangements for private sector access to ODA and the institutional framework for PPPs is still in development. This may impact on the efficiency and effectiveness of Australian aid interventions to support private sector development in Vietnam.</w:t>
            </w:r>
          </w:p>
        </w:tc>
        <w:tc>
          <w:tcPr>
            <w:tcW w:w="2260" w:type="dxa"/>
            <w:tcBorders>
              <w:top w:val="single" w:sz="4" w:space="0" w:color="auto"/>
              <w:left w:val="nil"/>
              <w:bottom w:val="single" w:sz="4" w:space="0" w:color="auto"/>
              <w:right w:val="nil"/>
            </w:tcBorders>
            <w:hideMark/>
          </w:tcPr>
          <w:p w:rsidR="00ED38CE" w:rsidRDefault="00ED38CE">
            <w:pPr>
              <w:pStyle w:val="ListBullet"/>
              <w:numPr>
                <w:ilvl w:val="0"/>
                <w:numId w:val="0"/>
              </w:numPr>
              <w:tabs>
                <w:tab w:val="left" w:pos="0"/>
              </w:tabs>
              <w:spacing w:line="240" w:lineRule="auto"/>
              <w:rPr>
                <w:sz w:val="16"/>
                <w:szCs w:val="16"/>
              </w:rPr>
            </w:pPr>
            <w:r>
              <w:rPr>
                <w:sz w:val="16"/>
                <w:szCs w:val="16"/>
              </w:rPr>
              <w:t>Post has actively participated in consultations with the Government of Vietnam and used its networks to advocate for transparency and specific guidance on private sector access to ODA and PPPs at the decree and circular level.</w:t>
            </w:r>
          </w:p>
        </w:tc>
        <w:tc>
          <w:tcPr>
            <w:tcW w:w="2362" w:type="dxa"/>
            <w:tcBorders>
              <w:top w:val="single" w:sz="4" w:space="0" w:color="auto"/>
              <w:left w:val="nil"/>
              <w:bottom w:val="single" w:sz="4" w:space="0" w:color="auto"/>
              <w:right w:val="nil"/>
            </w:tcBorders>
            <w:hideMark/>
          </w:tcPr>
          <w:p w:rsidR="00ED38CE" w:rsidRDefault="00ED38CE">
            <w:pPr>
              <w:pStyle w:val="ListBullet"/>
              <w:numPr>
                <w:ilvl w:val="0"/>
                <w:numId w:val="0"/>
              </w:numPr>
              <w:tabs>
                <w:tab w:val="left" w:pos="0"/>
              </w:tabs>
              <w:spacing w:line="240" w:lineRule="auto"/>
              <w:rPr>
                <w:sz w:val="16"/>
                <w:szCs w:val="16"/>
              </w:rPr>
            </w:pPr>
            <w:r>
              <w:rPr>
                <w:sz w:val="16"/>
                <w:szCs w:val="16"/>
              </w:rPr>
              <w:t xml:space="preserve">Post will continue to work with targeted line agencies </w:t>
            </w:r>
            <w:r w:rsidRPr="00F1413A">
              <w:rPr>
                <w:sz w:val="16"/>
                <w:szCs w:val="16"/>
              </w:rPr>
              <w:t>to pilot mechanisms for the private sector to access ODA, and to pilot the PPP model in targeted sectors.</w:t>
            </w:r>
          </w:p>
        </w:tc>
        <w:tc>
          <w:tcPr>
            <w:tcW w:w="1531" w:type="dxa"/>
            <w:tcBorders>
              <w:top w:val="single" w:sz="4" w:space="0" w:color="auto"/>
              <w:left w:val="nil"/>
              <w:bottom w:val="single" w:sz="4" w:space="0" w:color="auto"/>
              <w:right w:val="nil"/>
            </w:tcBorders>
            <w:hideMark/>
          </w:tcPr>
          <w:p w:rsidR="00ED38CE" w:rsidRDefault="00ED38CE">
            <w:pPr>
              <w:pStyle w:val="TableTextEntries"/>
            </w:pPr>
            <w:r>
              <w:t>Moderate</w:t>
            </w:r>
          </w:p>
        </w:tc>
      </w:tr>
      <w:tr w:rsidR="00ED38CE" w:rsidTr="00A93217">
        <w:tc>
          <w:tcPr>
            <w:tcW w:w="2484" w:type="dxa"/>
            <w:tcBorders>
              <w:top w:val="nil"/>
              <w:left w:val="nil"/>
              <w:bottom w:val="single" w:sz="4" w:space="0" w:color="auto"/>
              <w:right w:val="nil"/>
            </w:tcBorders>
            <w:hideMark/>
          </w:tcPr>
          <w:p w:rsidR="00ED38CE" w:rsidRPr="00F1413A" w:rsidRDefault="00ED38CE" w:rsidP="000865D3">
            <w:pPr>
              <w:pStyle w:val="ListBullet"/>
              <w:numPr>
                <w:ilvl w:val="0"/>
                <w:numId w:val="0"/>
              </w:numPr>
              <w:tabs>
                <w:tab w:val="left" w:pos="0"/>
              </w:tabs>
              <w:spacing w:line="240" w:lineRule="auto"/>
              <w:rPr>
                <w:sz w:val="16"/>
                <w:szCs w:val="16"/>
              </w:rPr>
            </w:pPr>
            <w:r w:rsidRPr="00F1413A">
              <w:rPr>
                <w:sz w:val="16"/>
                <w:szCs w:val="16"/>
              </w:rPr>
              <w:t>Reduction of bilateral allocation makes it difficult for the program to:</w:t>
            </w:r>
            <w:r w:rsidRPr="00F1413A">
              <w:rPr>
                <w:sz w:val="16"/>
                <w:szCs w:val="16"/>
              </w:rPr>
              <w:br/>
              <w:t>(a) fulfil contractual obligations leading to p</w:t>
            </w:r>
            <w:r w:rsidR="00A93217">
              <w:rPr>
                <w:sz w:val="16"/>
                <w:szCs w:val="16"/>
              </w:rPr>
              <w:t>otential reputational damage;</w:t>
            </w:r>
            <w:r w:rsidR="00A93217">
              <w:rPr>
                <w:sz w:val="16"/>
                <w:szCs w:val="16"/>
              </w:rPr>
              <w:br/>
              <w:t>(b</w:t>
            </w:r>
            <w:r w:rsidRPr="00F1413A">
              <w:rPr>
                <w:sz w:val="16"/>
                <w:szCs w:val="16"/>
              </w:rPr>
              <w:t>) allocate  sufficient funds for mobilisation of new investments by 2017-2018, leading to a sudden scale up for a number of large investments in 2017-18 financial year.</w:t>
            </w:r>
          </w:p>
        </w:tc>
        <w:tc>
          <w:tcPr>
            <w:tcW w:w="2260" w:type="dxa"/>
            <w:tcBorders>
              <w:top w:val="nil"/>
              <w:left w:val="nil"/>
              <w:bottom w:val="single" w:sz="4" w:space="0" w:color="auto"/>
              <w:right w:val="nil"/>
            </w:tcBorders>
          </w:tcPr>
          <w:p w:rsidR="00ED38CE" w:rsidRPr="00F1413A" w:rsidRDefault="00ED38CE">
            <w:pPr>
              <w:pStyle w:val="ListBullet"/>
              <w:numPr>
                <w:ilvl w:val="0"/>
                <w:numId w:val="0"/>
              </w:numPr>
              <w:tabs>
                <w:tab w:val="left" w:pos="0"/>
              </w:tabs>
              <w:spacing w:line="240" w:lineRule="auto"/>
              <w:rPr>
                <w:sz w:val="16"/>
                <w:szCs w:val="16"/>
              </w:rPr>
            </w:pPr>
            <w:r w:rsidRPr="00F1413A">
              <w:rPr>
                <w:sz w:val="16"/>
                <w:szCs w:val="16"/>
              </w:rPr>
              <w:t xml:space="preserve">Post held regular meetings with DFAT Canberra to stay updated on budget changes. Funding allocations were a priority agenda item on the monthly Aid Management Steering Committee. A detailed program pipeline plan has been kept up to date. </w:t>
            </w:r>
          </w:p>
          <w:p w:rsidR="00ED38CE" w:rsidRPr="00F1413A" w:rsidRDefault="00ED38CE">
            <w:pPr>
              <w:pStyle w:val="TableTextEntries"/>
            </w:pPr>
          </w:p>
          <w:p w:rsidR="00ED38CE" w:rsidRPr="00F1413A" w:rsidRDefault="00ED38CE">
            <w:pPr>
              <w:pStyle w:val="TableTextEntries"/>
            </w:pPr>
          </w:p>
        </w:tc>
        <w:tc>
          <w:tcPr>
            <w:tcW w:w="2362" w:type="dxa"/>
            <w:tcBorders>
              <w:top w:val="nil"/>
              <w:left w:val="nil"/>
              <w:bottom w:val="single" w:sz="4" w:space="0" w:color="auto"/>
              <w:right w:val="nil"/>
            </w:tcBorders>
          </w:tcPr>
          <w:p w:rsidR="00ED38CE" w:rsidRPr="00F1413A" w:rsidRDefault="00ED38CE" w:rsidP="00A93217">
            <w:pPr>
              <w:pStyle w:val="ListBullet"/>
              <w:numPr>
                <w:ilvl w:val="0"/>
                <w:numId w:val="0"/>
              </w:numPr>
              <w:tabs>
                <w:tab w:val="left" w:pos="0"/>
              </w:tabs>
              <w:spacing w:line="240" w:lineRule="auto"/>
            </w:pPr>
            <w:r w:rsidRPr="00F1413A">
              <w:rPr>
                <w:sz w:val="16"/>
                <w:szCs w:val="16"/>
              </w:rPr>
              <w:t>Post will continue to communicate regularly with implementing partners on changes to funding allocations. Post is actively identifying options to achieve feasible outcomes and minimise damage.</w:t>
            </w:r>
            <w:r w:rsidRPr="00F1413A">
              <w:rPr>
                <w:sz w:val="16"/>
                <w:szCs w:val="16"/>
              </w:rPr>
              <w:br/>
              <w:t>Design teams will be required to develop a feasible investment budget</w:t>
            </w:r>
            <w:r w:rsidR="00A93217">
              <w:rPr>
                <w:sz w:val="16"/>
                <w:szCs w:val="16"/>
              </w:rPr>
              <w:t>s</w:t>
            </w:r>
            <w:r w:rsidRPr="00F1413A">
              <w:rPr>
                <w:sz w:val="16"/>
                <w:szCs w:val="16"/>
              </w:rPr>
              <w:t>. Post will update the Program Fund Plan frequently, taking into consideration investment budgets set out in Investment Design Documents.</w:t>
            </w:r>
          </w:p>
        </w:tc>
        <w:tc>
          <w:tcPr>
            <w:tcW w:w="1531" w:type="dxa"/>
            <w:tcBorders>
              <w:top w:val="nil"/>
              <w:left w:val="nil"/>
              <w:bottom w:val="single" w:sz="4" w:space="0" w:color="auto"/>
              <w:right w:val="nil"/>
            </w:tcBorders>
            <w:hideMark/>
          </w:tcPr>
          <w:p w:rsidR="00ED38CE" w:rsidRPr="00F1413A" w:rsidRDefault="00ED38CE">
            <w:pPr>
              <w:pStyle w:val="TableTextEntries"/>
            </w:pPr>
            <w:r w:rsidRPr="00F1413A">
              <w:t>High</w:t>
            </w:r>
          </w:p>
        </w:tc>
      </w:tr>
      <w:tr w:rsidR="00ED38CE" w:rsidTr="00A93217">
        <w:tc>
          <w:tcPr>
            <w:tcW w:w="2484" w:type="dxa"/>
            <w:tcBorders>
              <w:top w:val="nil"/>
              <w:left w:val="nil"/>
              <w:bottom w:val="nil"/>
              <w:right w:val="nil"/>
            </w:tcBorders>
            <w:hideMark/>
          </w:tcPr>
          <w:p w:rsidR="00ED38CE" w:rsidRDefault="00ED38CE">
            <w:pPr>
              <w:pStyle w:val="ListBullet"/>
              <w:numPr>
                <w:ilvl w:val="0"/>
                <w:numId w:val="0"/>
              </w:numPr>
              <w:tabs>
                <w:tab w:val="left" w:pos="0"/>
              </w:tabs>
              <w:spacing w:line="240" w:lineRule="auto"/>
              <w:rPr>
                <w:sz w:val="16"/>
                <w:szCs w:val="16"/>
              </w:rPr>
            </w:pPr>
            <w:r>
              <w:rPr>
                <w:sz w:val="16"/>
                <w:szCs w:val="16"/>
              </w:rPr>
              <w:t>Government financial, procurement and reporting systems are not consistently implemented to control fraud and corruption that may cause reputational damage for DFAT</w:t>
            </w:r>
          </w:p>
        </w:tc>
        <w:tc>
          <w:tcPr>
            <w:tcW w:w="2260" w:type="dxa"/>
            <w:tcBorders>
              <w:top w:val="nil"/>
              <w:left w:val="nil"/>
              <w:bottom w:val="nil"/>
              <w:right w:val="nil"/>
            </w:tcBorders>
            <w:hideMark/>
          </w:tcPr>
          <w:p w:rsidR="00ED38CE" w:rsidRDefault="00AA1ADA" w:rsidP="00AA1ADA">
            <w:pPr>
              <w:pStyle w:val="ListBullet"/>
              <w:numPr>
                <w:ilvl w:val="0"/>
                <w:numId w:val="0"/>
              </w:numPr>
              <w:tabs>
                <w:tab w:val="left" w:pos="0"/>
              </w:tabs>
              <w:spacing w:line="240" w:lineRule="auto"/>
              <w:rPr>
                <w:sz w:val="16"/>
                <w:szCs w:val="16"/>
              </w:rPr>
            </w:pPr>
            <w:r w:rsidRPr="00AA1ADA">
              <w:rPr>
                <w:sz w:val="16"/>
                <w:szCs w:val="16"/>
              </w:rPr>
              <w:t>Post has ensured all agreement</w:t>
            </w:r>
            <w:r w:rsidR="00741DB0">
              <w:rPr>
                <w:sz w:val="16"/>
                <w:szCs w:val="16"/>
              </w:rPr>
              <w:t>s</w:t>
            </w:r>
            <w:r w:rsidRPr="00AA1ADA">
              <w:rPr>
                <w:sz w:val="16"/>
                <w:szCs w:val="16"/>
              </w:rPr>
              <w:t xml:space="preserve"> with partner government agencies specify additional fiduciary risk mitigation measures and thresholds to enable post to maintain quality control over the procurement process. All staff and partners are provided with fraud and anti-corruption training.</w:t>
            </w:r>
          </w:p>
        </w:tc>
        <w:tc>
          <w:tcPr>
            <w:tcW w:w="2362" w:type="dxa"/>
            <w:tcBorders>
              <w:top w:val="nil"/>
              <w:left w:val="nil"/>
              <w:bottom w:val="nil"/>
              <w:right w:val="nil"/>
            </w:tcBorders>
            <w:hideMark/>
          </w:tcPr>
          <w:p w:rsidR="00ED38CE" w:rsidRDefault="00ED38CE">
            <w:pPr>
              <w:pStyle w:val="ListBullet"/>
              <w:numPr>
                <w:ilvl w:val="0"/>
                <w:numId w:val="0"/>
              </w:numPr>
              <w:tabs>
                <w:tab w:val="left" w:pos="0"/>
              </w:tabs>
              <w:spacing w:line="240" w:lineRule="auto"/>
              <w:rPr>
                <w:sz w:val="16"/>
                <w:szCs w:val="16"/>
              </w:rPr>
            </w:pPr>
            <w:r>
              <w:rPr>
                <w:sz w:val="16"/>
                <w:szCs w:val="16"/>
              </w:rPr>
              <w:t>Post will include fraud and corruption detection as an agenda and reporting item for monitoring visits. Post will identify high risk Investments for procurement/performance audits and compliance spot-checks.</w:t>
            </w:r>
          </w:p>
        </w:tc>
        <w:tc>
          <w:tcPr>
            <w:tcW w:w="1531" w:type="dxa"/>
            <w:tcBorders>
              <w:top w:val="nil"/>
              <w:left w:val="nil"/>
              <w:bottom w:val="nil"/>
              <w:right w:val="nil"/>
            </w:tcBorders>
            <w:hideMark/>
          </w:tcPr>
          <w:p w:rsidR="00ED38CE" w:rsidRDefault="00ED38CE">
            <w:pPr>
              <w:pStyle w:val="TableTextEntries"/>
            </w:pPr>
            <w:r>
              <w:t xml:space="preserve">Moderate </w:t>
            </w:r>
          </w:p>
        </w:tc>
      </w:tr>
    </w:tbl>
    <w:p w:rsidR="000D733F" w:rsidRPr="0007149C" w:rsidRDefault="000D733F" w:rsidP="0007149C">
      <w:pPr>
        <w:pStyle w:val="Heading2"/>
        <w:rPr>
          <w:sz w:val="28"/>
        </w:rPr>
      </w:pPr>
      <w:r w:rsidRPr="00F944FD">
        <w:rPr>
          <w:sz w:val="28"/>
        </w:rPr>
        <w:lastRenderedPageBreak/>
        <w:t xml:space="preserve">Management </w:t>
      </w:r>
      <w:r w:rsidR="00805ADD" w:rsidRPr="00F944FD">
        <w:rPr>
          <w:sz w:val="28"/>
        </w:rPr>
        <w:t>Responses</w:t>
      </w:r>
      <w:r w:rsidRPr="0007149C">
        <w:rPr>
          <w:sz w:val="28"/>
        </w:rPr>
        <w:tab/>
      </w:r>
    </w:p>
    <w:p w:rsidR="00F55A88" w:rsidRPr="00F944FD" w:rsidRDefault="00F55A88" w:rsidP="00581CA0">
      <w:pPr>
        <w:pStyle w:val="BodyText"/>
      </w:pPr>
      <w:r w:rsidRPr="00F944FD">
        <w:t>Annex A outlines progress in addressing last year’s management responses. During 2014-15, DFAT</w:t>
      </w:r>
      <w:r>
        <w:t>’s post in</w:t>
      </w:r>
      <w:r w:rsidRPr="00F944FD">
        <w:t xml:space="preserve"> Hanoi </w:t>
      </w:r>
      <w:r>
        <w:t>undertook an i</w:t>
      </w:r>
      <w:r w:rsidRPr="00F944FD">
        <w:t xml:space="preserve">nternal </w:t>
      </w:r>
      <w:r>
        <w:t>r</w:t>
      </w:r>
      <w:r w:rsidRPr="00F944FD">
        <w:t xml:space="preserve">eview of its structure to achieve full integration of former AusAID and DFAT. A key outcome of the </w:t>
      </w:r>
      <w:r>
        <w:t>r</w:t>
      </w:r>
      <w:r w:rsidRPr="00F944FD">
        <w:t>eview was a revised organisational structure for DFAT at Hanoi Post. This structure came into effect on 6 March 2015.</w:t>
      </w:r>
    </w:p>
    <w:p w:rsidR="00F55A88" w:rsidRPr="00F944FD" w:rsidRDefault="00F55A88" w:rsidP="00581CA0">
      <w:pPr>
        <w:pStyle w:val="BodyText"/>
      </w:pPr>
      <w:r w:rsidRPr="00F944FD">
        <w:t xml:space="preserve">The revised structure strengthened </w:t>
      </w:r>
      <w:r>
        <w:t>Hanoi p</w:t>
      </w:r>
      <w:r w:rsidRPr="00F944FD">
        <w:t>ost’s capacity to deliver on the Government’s agenda and DFAT’s post</w:t>
      </w:r>
      <w:r>
        <w:t>-</w:t>
      </w:r>
      <w:r w:rsidRPr="00F944FD">
        <w:t xml:space="preserve">integration management agenda. The changes have strengthened coherence in DFAT Hanoi </w:t>
      </w:r>
      <w:r>
        <w:t>p</w:t>
      </w:r>
      <w:r w:rsidRPr="00F944FD">
        <w:t>ost’s work</w:t>
      </w:r>
      <w:r>
        <w:t xml:space="preserve"> and</w:t>
      </w:r>
      <w:r w:rsidRPr="00F944FD">
        <w:t xml:space="preserve"> enable</w:t>
      </w:r>
      <w:r>
        <w:t>d</w:t>
      </w:r>
      <w:r w:rsidRPr="00F944FD">
        <w:t xml:space="preserve"> more effective management of external relationships and sharing of knowledge. Strengthening the political lens </w:t>
      </w:r>
      <w:r w:rsidR="00AA7604">
        <w:t>through</w:t>
      </w:r>
      <w:r w:rsidRPr="00F944FD">
        <w:t xml:space="preserve"> which we program aid investments will increase the impact of those investments and our influence with Government of Vietnam.</w:t>
      </w:r>
    </w:p>
    <w:p w:rsidR="00F55A88" w:rsidRPr="00F944FD" w:rsidRDefault="00F55A88" w:rsidP="00581CA0">
      <w:pPr>
        <w:pStyle w:val="BodyText"/>
      </w:pPr>
      <w:r w:rsidRPr="00F944FD">
        <w:t>The aid program is now managed acros</w:t>
      </w:r>
      <w:r>
        <w:t>s three sections at DFAT Hanoi p</w:t>
      </w:r>
      <w:r w:rsidRPr="00F944FD">
        <w:t>ost, with ultimate responsibility for the aid program residing with the Ambassador. A</w:t>
      </w:r>
      <w:r w:rsidR="00BE714F">
        <w:t>n</w:t>
      </w:r>
      <w:r w:rsidRPr="00F944FD">
        <w:t xml:space="preserve"> aid management </w:t>
      </w:r>
      <w:r>
        <w:t>steering committee, chaired by the Ambass</w:t>
      </w:r>
      <w:r w:rsidR="00BE714F">
        <w:t>a</w:t>
      </w:r>
      <w:r>
        <w:t>dor,</w:t>
      </w:r>
      <w:r w:rsidRPr="00F944FD">
        <w:t xml:space="preserve"> oversees the cohesive and strategic management of the aid program and aid budget.</w:t>
      </w:r>
    </w:p>
    <w:p w:rsidR="00F55A88" w:rsidRPr="00F944FD" w:rsidRDefault="004B43C3" w:rsidP="00581CA0">
      <w:pPr>
        <w:pStyle w:val="BodyText"/>
      </w:pPr>
      <w:r>
        <w:t xml:space="preserve">To </w:t>
      </w:r>
      <w:r w:rsidR="00B35881">
        <w:t>continue to transition the</w:t>
      </w:r>
      <w:r>
        <w:t xml:space="preserve"> aid program to an economic partnership, and to address the issues covered in this review, the </w:t>
      </w:r>
      <w:r w:rsidRPr="00F944FD">
        <w:t xml:space="preserve">Vietnam aid program </w:t>
      </w:r>
      <w:r>
        <w:t>will address the following o</w:t>
      </w:r>
      <w:r w:rsidR="00F55A88" w:rsidRPr="00F944FD">
        <w:t>verarching strategic priorities in 2015-16 :</w:t>
      </w:r>
    </w:p>
    <w:p w:rsidR="00F55A88" w:rsidRPr="00F1413A" w:rsidRDefault="00F55A88" w:rsidP="00723E2E">
      <w:pPr>
        <w:pStyle w:val="ListBullet"/>
        <w:numPr>
          <w:ilvl w:val="0"/>
          <w:numId w:val="24"/>
        </w:numPr>
      </w:pPr>
      <w:r w:rsidRPr="00F1413A">
        <w:t>Design and approve five new aid investments</w:t>
      </w:r>
      <w:r w:rsidR="00723E2E" w:rsidRPr="00F1413A">
        <w:t xml:space="preserve"> to address the priorities of the Aid Investment Plan</w:t>
      </w:r>
      <w:r w:rsidRPr="00F1413A">
        <w:t>.</w:t>
      </w:r>
    </w:p>
    <w:p w:rsidR="00F55A88" w:rsidRPr="00F1413A" w:rsidRDefault="00F55A88" w:rsidP="00F55A88">
      <w:pPr>
        <w:pStyle w:val="ListBullet"/>
        <w:numPr>
          <w:ilvl w:val="0"/>
          <w:numId w:val="24"/>
        </w:numPr>
      </w:pPr>
      <w:r w:rsidRPr="00F1413A">
        <w:t xml:space="preserve">For new designs, focus on innovation. Consult the private sector as we design.  </w:t>
      </w:r>
    </w:p>
    <w:p w:rsidR="00F55A88" w:rsidRPr="00F1413A" w:rsidRDefault="00F55A88" w:rsidP="00F55A88">
      <w:pPr>
        <w:pStyle w:val="ListBullet"/>
        <w:numPr>
          <w:ilvl w:val="0"/>
          <w:numId w:val="24"/>
        </w:numPr>
      </w:pPr>
      <w:r w:rsidRPr="00F1413A">
        <w:t xml:space="preserve">Close nine </w:t>
      </w:r>
      <w:r w:rsidR="00BE714F" w:rsidRPr="00F1413A">
        <w:t>investments</w:t>
      </w:r>
      <w:r w:rsidRPr="00F1413A">
        <w:t xml:space="preserve"> in 2015-16 and drive program consolidation.</w:t>
      </w:r>
    </w:p>
    <w:p w:rsidR="00F55A88" w:rsidRPr="00F1413A" w:rsidRDefault="00F55A88" w:rsidP="00F55A88">
      <w:pPr>
        <w:pStyle w:val="ListBullet"/>
        <w:numPr>
          <w:ilvl w:val="0"/>
          <w:numId w:val="24"/>
        </w:numPr>
      </w:pPr>
      <w:r w:rsidRPr="00F1413A">
        <w:t>Prepare a gender strategy and secure resources to enable us to achieve 100 per cent of programs effectively addressing gender in their implementation by 2016-17.</w:t>
      </w:r>
    </w:p>
    <w:p w:rsidR="00F55A88" w:rsidRPr="00F1413A" w:rsidRDefault="00F55A88" w:rsidP="00F55A88">
      <w:pPr>
        <w:pStyle w:val="ListBullet"/>
        <w:numPr>
          <w:ilvl w:val="0"/>
          <w:numId w:val="24"/>
        </w:numPr>
      </w:pPr>
      <w:r w:rsidRPr="00F1413A">
        <w:t>Start the Vietnam-Australia Partnership on Human Resource Development 2016-2020.</w:t>
      </w:r>
    </w:p>
    <w:p w:rsidR="00F55A88" w:rsidRPr="00F1413A" w:rsidRDefault="00F55A88" w:rsidP="00F55A88">
      <w:pPr>
        <w:pStyle w:val="ListBullet"/>
        <w:numPr>
          <w:ilvl w:val="0"/>
          <w:numId w:val="24"/>
        </w:numPr>
      </w:pPr>
      <w:r w:rsidRPr="00F1413A">
        <w:t>Work with partners to identify mechanisms for the private sector to access ODA.</w:t>
      </w:r>
    </w:p>
    <w:p w:rsidR="00723E2E" w:rsidRPr="00F1413A" w:rsidRDefault="00723E2E" w:rsidP="00F55A88">
      <w:pPr>
        <w:pStyle w:val="ListBullet"/>
        <w:numPr>
          <w:ilvl w:val="0"/>
          <w:numId w:val="24"/>
        </w:numPr>
      </w:pPr>
      <w:r w:rsidRPr="00F1413A">
        <w:t>Closely monitor investments where there have been delays or performance issues and take action to address any ongoing issues.</w:t>
      </w:r>
    </w:p>
    <w:p w:rsidR="00F55A88" w:rsidRPr="00F1413A" w:rsidRDefault="00F55A88" w:rsidP="00F55A88">
      <w:pPr>
        <w:pStyle w:val="ListBullet"/>
        <w:numPr>
          <w:ilvl w:val="0"/>
          <w:numId w:val="24"/>
        </w:numPr>
      </w:pPr>
      <w:r w:rsidRPr="00F1413A">
        <w:t xml:space="preserve">Against a reducing aid budget and a lower donor ranking, maintain Australia’s reputation and influence.  </w:t>
      </w:r>
    </w:p>
    <w:p w:rsidR="00031349" w:rsidRPr="00F1413A" w:rsidRDefault="00F55A88" w:rsidP="00F1413A">
      <w:pPr>
        <w:pStyle w:val="ListBullet"/>
        <w:numPr>
          <w:ilvl w:val="0"/>
          <w:numId w:val="24"/>
        </w:numPr>
      </w:pPr>
      <w:r w:rsidRPr="00F1413A">
        <w:t>Following the restructure of post, deepen capacity of staff with aid management responsibilities in: aid management, gender equality, private sector engagement, risk and fraud management and safeguard issues.</w:t>
      </w:r>
    </w:p>
    <w:p w:rsidR="00BC3BEC" w:rsidRDefault="00BC3BEC">
      <w:pPr>
        <w:pStyle w:val="ListBullet"/>
        <w:numPr>
          <w:ilvl w:val="0"/>
          <w:numId w:val="0"/>
        </w:numPr>
        <w:tabs>
          <w:tab w:val="clear" w:pos="284"/>
        </w:tabs>
      </w:pPr>
    </w:p>
    <w:p w:rsidR="00BC3BEC" w:rsidRPr="00BC3BEC" w:rsidRDefault="00BC3BEC" w:rsidP="00EC57EE">
      <w:pPr>
        <w:pStyle w:val="ListBullet"/>
        <w:numPr>
          <w:ilvl w:val="0"/>
          <w:numId w:val="22"/>
        </w:numPr>
        <w:tabs>
          <w:tab w:val="clear" w:pos="284"/>
        </w:tabs>
        <w:sectPr w:rsidR="00BC3BEC" w:rsidRPr="00BC3BEC" w:rsidSect="00ED6B0D">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701" w:right="1701" w:bottom="907" w:left="1701" w:header="850" w:footer="567" w:gutter="0"/>
          <w:pgNumType w:start="1"/>
          <w:cols w:space="720"/>
          <w:docGrid w:linePitch="326"/>
        </w:sectPr>
      </w:pPr>
    </w:p>
    <w:p w:rsidR="005C310A" w:rsidRPr="00E869F3" w:rsidRDefault="005C310A" w:rsidP="00E869F3">
      <w:pPr>
        <w:pStyle w:val="Heading2"/>
        <w:rPr>
          <w:sz w:val="28"/>
        </w:rPr>
      </w:pPr>
      <w:r>
        <w:rPr>
          <w:sz w:val="28"/>
        </w:rPr>
        <w:lastRenderedPageBreak/>
        <w:t>Annex A</w:t>
      </w:r>
      <w:r w:rsidRPr="009E38C1">
        <w:rPr>
          <w:sz w:val="28"/>
        </w:rPr>
        <w:t xml:space="preserve"> </w:t>
      </w:r>
      <w:r>
        <w:rPr>
          <w:sz w:val="28"/>
        </w:rPr>
        <w:t>- Progress in Addressing Management R</w:t>
      </w:r>
      <w:r w:rsidRPr="009E38C1">
        <w:rPr>
          <w:sz w:val="28"/>
        </w:rPr>
        <w:t>esponses</w:t>
      </w:r>
      <w:r w:rsidR="009150A7">
        <w:rPr>
          <w:sz w:val="28"/>
        </w:rPr>
        <w:t xml:space="preserve"> </w:t>
      </w:r>
    </w:p>
    <w:tbl>
      <w:tblPr>
        <w:tblStyle w:val="APPR"/>
        <w:tblpPr w:leftFromText="180" w:rightFromText="180" w:vertAnchor="text" w:tblpY="1"/>
        <w:tblW w:w="5000" w:type="pct"/>
        <w:tblLayout w:type="fixed"/>
        <w:tblLook w:val="0000" w:firstRow="0" w:lastRow="0" w:firstColumn="0" w:lastColumn="0" w:noHBand="0" w:noVBand="0"/>
        <w:tblCaption w:val="Annex A - Progress in addressing management responses"/>
        <w:tblDescription w:val="Management responses identified in the 2013-14 APPR; rating of whether they were achieved, partly achieved or not achieved; and comments on progress made in 2014-15."/>
      </w:tblPr>
      <w:tblGrid>
        <w:gridCol w:w="6515"/>
        <w:gridCol w:w="992"/>
        <w:gridCol w:w="6938"/>
      </w:tblGrid>
      <w:tr w:rsidR="005C310A" w:rsidRPr="00180B19" w:rsidTr="00445FE0">
        <w:trPr>
          <w:cnfStyle w:val="000000010000" w:firstRow="0" w:lastRow="0" w:firstColumn="0" w:lastColumn="0" w:oddVBand="0" w:evenVBand="0" w:oddHBand="0" w:evenHBand="1" w:firstRowFirstColumn="0" w:firstRowLastColumn="0" w:lastRowFirstColumn="0" w:lastRowLastColumn="0"/>
        </w:trPr>
        <w:tc>
          <w:tcPr>
            <w:tcW w:w="6473" w:type="dxa"/>
          </w:tcPr>
          <w:p w:rsidR="005C310A" w:rsidRPr="00180B19" w:rsidRDefault="005C310A" w:rsidP="00445FE0">
            <w:pPr>
              <w:pStyle w:val="TableTextColumnHeading"/>
              <w:tabs>
                <w:tab w:val="left" w:pos="1185"/>
              </w:tabs>
            </w:pPr>
            <w:r w:rsidRPr="00FE4491">
              <w:t xml:space="preserve">Management </w:t>
            </w:r>
            <w:r>
              <w:t>respon</w:t>
            </w:r>
            <w:r w:rsidR="00F43B6E">
              <w:t>s</w:t>
            </w:r>
            <w:r>
              <w:t>e</w:t>
            </w:r>
            <w:r w:rsidRPr="00FE4491">
              <w:t>s identified in 20</w:t>
            </w:r>
            <w:r>
              <w:t>13-</w:t>
            </w:r>
            <w:r w:rsidRPr="00FE4491">
              <w:t>1</w:t>
            </w:r>
            <w:r>
              <w:t>4</w:t>
            </w:r>
            <w:r w:rsidRPr="00FE4491">
              <w:t xml:space="preserve"> </w:t>
            </w:r>
            <w:r>
              <w:t>APPR</w:t>
            </w:r>
            <w:r>
              <w:tab/>
            </w:r>
          </w:p>
        </w:tc>
        <w:tc>
          <w:tcPr>
            <w:tcW w:w="964" w:type="dxa"/>
          </w:tcPr>
          <w:p w:rsidR="005C310A" w:rsidRPr="00060549" w:rsidRDefault="005C310A" w:rsidP="00445FE0">
            <w:pPr>
              <w:pStyle w:val="TableTextColumnHeading"/>
            </w:pPr>
            <w:r w:rsidRPr="00060549">
              <w:t>Rating</w:t>
            </w:r>
          </w:p>
        </w:tc>
        <w:tc>
          <w:tcPr>
            <w:tcW w:w="6896" w:type="dxa"/>
          </w:tcPr>
          <w:p w:rsidR="005C310A" w:rsidRPr="00060549" w:rsidRDefault="005C310A" w:rsidP="00445FE0">
            <w:pPr>
              <w:pStyle w:val="TableTextColumnHeading"/>
            </w:pPr>
            <w:r w:rsidRPr="00060549">
              <w:t>Progress made in 2014-</w:t>
            </w:r>
            <w:r w:rsidR="00D73714">
              <w:t>1</w:t>
            </w:r>
            <w:r w:rsidRPr="00060549">
              <w:t>5</w:t>
            </w:r>
          </w:p>
        </w:tc>
      </w:tr>
      <w:tr w:rsidR="005C310A" w:rsidRPr="00180B19" w:rsidTr="00ED38CE">
        <w:trPr>
          <w:cnfStyle w:val="000000010000" w:firstRow="0" w:lastRow="0" w:firstColumn="0" w:lastColumn="0" w:oddVBand="0" w:evenVBand="0" w:oddHBand="0" w:evenHBand="1" w:firstRowFirstColumn="0" w:firstRowLastColumn="0" w:lastRowFirstColumn="0" w:lastRowLastColumn="0"/>
        </w:trPr>
        <w:tc>
          <w:tcPr>
            <w:tcW w:w="6473" w:type="dxa"/>
          </w:tcPr>
          <w:p w:rsidR="005C310A" w:rsidRPr="00100AA2" w:rsidRDefault="00ED38CE" w:rsidP="00EC57EE">
            <w:pPr>
              <w:pStyle w:val="TableTextEntries"/>
              <w:numPr>
                <w:ilvl w:val="0"/>
                <w:numId w:val="21"/>
              </w:numPr>
            </w:pPr>
            <w:r>
              <w:t>Develop a new strategic framework to guide aid investments in Vietnam beyond 2015</w:t>
            </w:r>
          </w:p>
        </w:tc>
        <w:tc>
          <w:tcPr>
            <w:tcW w:w="964" w:type="dxa"/>
            <w:shd w:val="clear" w:color="auto" w:fill="auto"/>
          </w:tcPr>
          <w:p w:rsidR="005C310A" w:rsidRPr="00970ED5" w:rsidRDefault="005C310A" w:rsidP="00445FE0">
            <w:pPr>
              <w:pStyle w:val="TableTextEntries"/>
              <w:jc w:val="center"/>
              <w:rPr>
                <w:b/>
                <w:iCs w:val="0"/>
                <w:color w:val="72AF2F"/>
                <w:lang w:eastAsia="en-AU"/>
              </w:rPr>
            </w:pPr>
            <w:r w:rsidRPr="00970ED5">
              <w:rPr>
                <w:b/>
                <w:iCs w:val="0"/>
                <w:color w:val="72AF2F"/>
                <w:lang w:eastAsia="en-AU"/>
              </w:rPr>
              <w:t>Achieved</w:t>
            </w:r>
          </w:p>
        </w:tc>
        <w:tc>
          <w:tcPr>
            <w:tcW w:w="6896" w:type="dxa"/>
          </w:tcPr>
          <w:p w:rsidR="005C310A" w:rsidRPr="00060549" w:rsidRDefault="00C64AC2" w:rsidP="00C64AC2">
            <w:pPr>
              <w:pStyle w:val="TableTextEntries"/>
            </w:pPr>
            <w:r w:rsidRPr="00060549">
              <w:t>The Aid Investment Plan was drafted, a senior level peer review was held and the document was approved by the Minister on 1 September 2015. Aid High Level Consultations with GOV in July 2015 confirmed their support for the direction of the new 5 year ODA program.</w:t>
            </w:r>
          </w:p>
        </w:tc>
      </w:tr>
      <w:tr w:rsidR="005C310A" w:rsidRPr="00180B19" w:rsidTr="00ED38CE">
        <w:trPr>
          <w:cnfStyle w:val="000000010000" w:firstRow="0" w:lastRow="0" w:firstColumn="0" w:lastColumn="0" w:oddVBand="0" w:evenVBand="0" w:oddHBand="0" w:evenHBand="1" w:firstRowFirstColumn="0" w:firstRowLastColumn="0" w:lastRowFirstColumn="0" w:lastRowLastColumn="0"/>
        </w:trPr>
        <w:tc>
          <w:tcPr>
            <w:tcW w:w="6473" w:type="dxa"/>
          </w:tcPr>
          <w:p w:rsidR="005C310A" w:rsidRPr="00100AA2" w:rsidRDefault="00ED38CE" w:rsidP="00EC57EE">
            <w:pPr>
              <w:pStyle w:val="TableTextEntries"/>
              <w:numPr>
                <w:ilvl w:val="0"/>
                <w:numId w:val="21"/>
              </w:numPr>
            </w:pPr>
            <w:r>
              <w:t>Strengthen economic diplomacy engagement in Vietnam</w:t>
            </w:r>
          </w:p>
        </w:tc>
        <w:tc>
          <w:tcPr>
            <w:tcW w:w="964" w:type="dxa"/>
            <w:shd w:val="clear" w:color="auto" w:fill="auto"/>
          </w:tcPr>
          <w:p w:rsidR="005C310A" w:rsidRPr="00970ED5" w:rsidRDefault="005C310A" w:rsidP="00445FE0">
            <w:pPr>
              <w:pStyle w:val="TableTextEntries"/>
              <w:jc w:val="center"/>
              <w:rPr>
                <w:b/>
                <w:iCs w:val="0"/>
                <w:color w:val="72AF2F"/>
                <w:lang w:eastAsia="en-AU"/>
              </w:rPr>
            </w:pPr>
            <w:r w:rsidRPr="00970ED5">
              <w:rPr>
                <w:b/>
                <w:iCs w:val="0"/>
                <w:color w:val="72AF2F"/>
                <w:lang w:eastAsia="en-AU"/>
              </w:rPr>
              <w:t>Achieved</w:t>
            </w:r>
            <w:r w:rsidRPr="00970ED5">
              <w:rPr>
                <w:b/>
                <w:iCs w:val="0"/>
                <w:color w:val="72AF2F"/>
                <w:lang w:eastAsia="en-AU"/>
              </w:rPr>
              <w:fldChar w:fldCharType="begin"/>
            </w:r>
            <w:r w:rsidRPr="00970ED5">
              <w:rPr>
                <w:b/>
                <w:iCs w:val="0"/>
                <w:color w:val="72AF2F"/>
                <w:lang w:eastAsia="en-AU"/>
              </w:rPr>
              <w:instrText xml:space="preserve"> AUTOTEXTLIST  \s "Rating bullet"\t "Right click to choose a rating" \* MERGEFORMAT </w:instrText>
            </w:r>
            <w:r w:rsidRPr="00970ED5">
              <w:rPr>
                <w:b/>
                <w:iCs w:val="0"/>
                <w:color w:val="72AF2F"/>
                <w:lang w:eastAsia="en-AU"/>
              </w:rPr>
              <w:fldChar w:fldCharType="end"/>
            </w:r>
          </w:p>
        </w:tc>
        <w:tc>
          <w:tcPr>
            <w:tcW w:w="6896" w:type="dxa"/>
          </w:tcPr>
          <w:p w:rsidR="005C310A" w:rsidRPr="00060549" w:rsidRDefault="00C64AC2" w:rsidP="00D73714">
            <w:pPr>
              <w:pStyle w:val="TableTextEntries"/>
            </w:pPr>
            <w:r w:rsidRPr="00060549">
              <w:t>An economic diplomacy fund was established to help facilitate cross</w:t>
            </w:r>
            <w:r w:rsidR="00D73714">
              <w:t>-</w:t>
            </w:r>
            <w:r w:rsidRPr="00060549">
              <w:t>agency working. Nine activities were undertaken that showcased Australia’s economic strengths and provided high level public diplomacy opportunities for the Ambassador</w:t>
            </w:r>
            <w:r w:rsidR="00D73714">
              <w:t>.</w:t>
            </w:r>
          </w:p>
        </w:tc>
      </w:tr>
      <w:tr w:rsidR="005C310A" w:rsidRPr="00180B19" w:rsidTr="00ED38CE">
        <w:trPr>
          <w:cnfStyle w:val="000000010000" w:firstRow="0" w:lastRow="0" w:firstColumn="0" w:lastColumn="0" w:oddVBand="0" w:evenVBand="0" w:oddHBand="0" w:evenHBand="1" w:firstRowFirstColumn="0" w:firstRowLastColumn="0" w:lastRowFirstColumn="0" w:lastRowLastColumn="0"/>
        </w:trPr>
        <w:tc>
          <w:tcPr>
            <w:tcW w:w="6473" w:type="dxa"/>
          </w:tcPr>
          <w:p w:rsidR="005C310A" w:rsidRPr="00100AA2" w:rsidRDefault="00ED38CE" w:rsidP="00EC57EE">
            <w:pPr>
              <w:pStyle w:val="TableTextEntries"/>
              <w:numPr>
                <w:ilvl w:val="0"/>
                <w:numId w:val="21"/>
              </w:numPr>
            </w:pPr>
            <w:r>
              <w:t>Ensure innovation is central to delivery of our aid program</w:t>
            </w:r>
          </w:p>
        </w:tc>
        <w:tc>
          <w:tcPr>
            <w:tcW w:w="964" w:type="dxa"/>
            <w:shd w:val="clear" w:color="auto" w:fill="auto"/>
          </w:tcPr>
          <w:p w:rsidR="005C310A" w:rsidRPr="00970ED5" w:rsidRDefault="00970ED5" w:rsidP="00445FE0">
            <w:pPr>
              <w:pStyle w:val="TableTextEntries"/>
              <w:jc w:val="center"/>
              <w:rPr>
                <w:b/>
                <w:color w:val="FF0000"/>
              </w:rPr>
            </w:pPr>
            <w:r w:rsidRPr="00970ED5">
              <w:rPr>
                <w:b/>
                <w:color w:val="FF0000"/>
              </w:rPr>
              <w:t>Not achieved</w:t>
            </w:r>
          </w:p>
        </w:tc>
        <w:tc>
          <w:tcPr>
            <w:tcW w:w="6896" w:type="dxa"/>
          </w:tcPr>
          <w:p w:rsidR="005C310A" w:rsidRPr="00060549" w:rsidRDefault="00C64AC2" w:rsidP="00C64AC2">
            <w:pPr>
              <w:pStyle w:val="TableTextEntries"/>
            </w:pPr>
            <w:r w:rsidRPr="00060549">
              <w:t xml:space="preserve">Programs were reviewed to see where innovation and private sector engagement could be strengthened. </w:t>
            </w:r>
          </w:p>
        </w:tc>
      </w:tr>
      <w:tr w:rsidR="005C310A" w:rsidRPr="00180B19" w:rsidTr="00ED38CE">
        <w:trPr>
          <w:cnfStyle w:val="000000010000" w:firstRow="0" w:lastRow="0" w:firstColumn="0" w:lastColumn="0" w:oddVBand="0" w:evenVBand="0" w:oddHBand="0" w:evenHBand="1" w:firstRowFirstColumn="0" w:firstRowLastColumn="0" w:lastRowFirstColumn="0" w:lastRowLastColumn="0"/>
        </w:trPr>
        <w:tc>
          <w:tcPr>
            <w:tcW w:w="6473" w:type="dxa"/>
          </w:tcPr>
          <w:p w:rsidR="005C310A" w:rsidRPr="00100AA2" w:rsidRDefault="00ED38CE" w:rsidP="00EC57EE">
            <w:pPr>
              <w:pStyle w:val="TableTextEntries"/>
              <w:numPr>
                <w:ilvl w:val="0"/>
                <w:numId w:val="21"/>
              </w:numPr>
            </w:pPr>
            <w:r>
              <w:t>Build DFAT’s capacity to manage integration and implement the new Aid Policy</w:t>
            </w:r>
          </w:p>
        </w:tc>
        <w:tc>
          <w:tcPr>
            <w:tcW w:w="964" w:type="dxa"/>
            <w:shd w:val="clear" w:color="auto" w:fill="auto"/>
          </w:tcPr>
          <w:p w:rsidR="005C310A" w:rsidRPr="00970ED5" w:rsidRDefault="005C310A" w:rsidP="00445FE0">
            <w:pPr>
              <w:pStyle w:val="TableTextEntries"/>
              <w:jc w:val="center"/>
              <w:rPr>
                <w:b/>
                <w:iCs w:val="0"/>
                <w:color w:val="E36C0A"/>
                <w:lang w:eastAsia="en-AU"/>
              </w:rPr>
            </w:pPr>
            <w:r w:rsidRPr="00970ED5">
              <w:rPr>
                <w:b/>
                <w:iCs w:val="0"/>
                <w:color w:val="E36C0A"/>
                <w:lang w:eastAsia="en-AU"/>
              </w:rPr>
              <w:t>Partly achieved</w:t>
            </w:r>
          </w:p>
        </w:tc>
        <w:tc>
          <w:tcPr>
            <w:tcW w:w="6896" w:type="dxa"/>
          </w:tcPr>
          <w:p w:rsidR="005C310A" w:rsidRPr="00060549" w:rsidRDefault="00C64AC2" w:rsidP="00D73714">
            <w:pPr>
              <w:pStyle w:val="TableTextEntries"/>
            </w:pPr>
            <w:r w:rsidRPr="00060549">
              <w:t xml:space="preserve">Basic training on aid management and </w:t>
            </w:r>
            <w:r w:rsidR="00D73714">
              <w:t>A</w:t>
            </w:r>
            <w:r w:rsidRPr="00060549">
              <w:t xml:space="preserve">idworks has been provided by Canberra. Post </w:t>
            </w:r>
            <w:r w:rsidR="00D73714">
              <w:t>is</w:t>
            </w:r>
            <w:r w:rsidR="00D73714" w:rsidRPr="00060549">
              <w:t xml:space="preserve"> </w:t>
            </w:r>
            <w:r w:rsidRPr="00060549">
              <w:t>now developing a training plan to ensure the other areas of training needs identified are provided.</w:t>
            </w:r>
          </w:p>
        </w:tc>
      </w:tr>
      <w:tr w:rsidR="005C310A" w:rsidRPr="00180B19" w:rsidTr="00ED38CE">
        <w:trPr>
          <w:cnfStyle w:val="000000010000" w:firstRow="0" w:lastRow="0" w:firstColumn="0" w:lastColumn="0" w:oddVBand="0" w:evenVBand="0" w:oddHBand="0" w:evenHBand="1" w:firstRowFirstColumn="0" w:firstRowLastColumn="0" w:lastRowFirstColumn="0" w:lastRowLastColumn="0"/>
        </w:trPr>
        <w:tc>
          <w:tcPr>
            <w:tcW w:w="6473" w:type="dxa"/>
          </w:tcPr>
          <w:p w:rsidR="005C310A" w:rsidRPr="00100AA2" w:rsidRDefault="00ED38CE" w:rsidP="00EC57EE">
            <w:pPr>
              <w:pStyle w:val="TableTextEntries"/>
              <w:numPr>
                <w:ilvl w:val="0"/>
                <w:numId w:val="21"/>
              </w:numPr>
            </w:pPr>
            <w:r>
              <w:t>Maintain our reputation for delivering a high quality and effective aid program that delivers results</w:t>
            </w:r>
          </w:p>
        </w:tc>
        <w:tc>
          <w:tcPr>
            <w:tcW w:w="964" w:type="dxa"/>
            <w:shd w:val="clear" w:color="auto" w:fill="auto"/>
          </w:tcPr>
          <w:p w:rsidR="005C310A" w:rsidRPr="00970ED5" w:rsidRDefault="00C64AC2" w:rsidP="00445FE0">
            <w:pPr>
              <w:pStyle w:val="TableTextEntries"/>
              <w:jc w:val="center"/>
              <w:rPr>
                <w:b/>
                <w:iCs w:val="0"/>
                <w:color w:val="72AF2F"/>
                <w:lang w:eastAsia="en-AU"/>
              </w:rPr>
            </w:pPr>
            <w:r w:rsidRPr="00970ED5">
              <w:rPr>
                <w:b/>
                <w:iCs w:val="0"/>
                <w:color w:val="72AF2F"/>
                <w:lang w:eastAsia="en-AU"/>
              </w:rPr>
              <w:t>Achieved</w:t>
            </w:r>
            <w:r w:rsidRPr="00970ED5">
              <w:rPr>
                <w:b/>
                <w:iCs w:val="0"/>
                <w:color w:val="72AF2F"/>
                <w:lang w:eastAsia="en-AU"/>
              </w:rPr>
              <w:fldChar w:fldCharType="begin"/>
            </w:r>
            <w:r w:rsidRPr="00970ED5">
              <w:rPr>
                <w:b/>
                <w:iCs w:val="0"/>
                <w:color w:val="72AF2F"/>
                <w:lang w:eastAsia="en-AU"/>
              </w:rPr>
              <w:instrText xml:space="preserve"> AUTOTEXTLIST  \s "Rating bullet"\t "Right click to choose a rating" \* MERGEFORMAT </w:instrText>
            </w:r>
            <w:r w:rsidRPr="00970ED5">
              <w:rPr>
                <w:b/>
                <w:iCs w:val="0"/>
                <w:color w:val="72AF2F"/>
                <w:lang w:eastAsia="en-AU"/>
              </w:rPr>
              <w:fldChar w:fldCharType="end"/>
            </w:r>
          </w:p>
        </w:tc>
        <w:tc>
          <w:tcPr>
            <w:tcW w:w="6896" w:type="dxa"/>
          </w:tcPr>
          <w:p w:rsidR="005C310A" w:rsidRPr="00060549" w:rsidRDefault="00C64AC2" w:rsidP="00C64AC2">
            <w:pPr>
              <w:pStyle w:val="TableTextEntries"/>
            </w:pPr>
            <w:r w:rsidRPr="00060549">
              <w:t xml:space="preserve">The Assessment on National Systems was completed and obtained FAS approval. </w:t>
            </w:r>
            <w:r w:rsidR="002C0DD8">
              <w:t>Three</w:t>
            </w:r>
            <w:r w:rsidRPr="00060549">
              <w:t xml:space="preserve"> programs </w:t>
            </w:r>
            <w:r w:rsidR="002C0DD8">
              <w:t>came to an end in 2014-</w:t>
            </w:r>
            <w:r w:rsidRPr="00060549">
              <w:t>15</w:t>
            </w:r>
            <w:r w:rsidR="002C0DD8">
              <w:t>,</w:t>
            </w:r>
            <w:r w:rsidRPr="00060549">
              <w:t xml:space="preserve"> contributing to our consolidation target. And whilst budget cuts have had an impact on planned activities, high level consultations with the GOV in July 2015 confirmed ongoing demand for an Australian aid program in Vietnam.</w:t>
            </w:r>
          </w:p>
        </w:tc>
      </w:tr>
      <w:tr w:rsidR="00ED38CE" w:rsidRPr="00180B19" w:rsidTr="00ED38CE">
        <w:trPr>
          <w:cnfStyle w:val="000000010000" w:firstRow="0" w:lastRow="0" w:firstColumn="0" w:lastColumn="0" w:oddVBand="0" w:evenVBand="0" w:oddHBand="0" w:evenHBand="1" w:firstRowFirstColumn="0" w:firstRowLastColumn="0" w:lastRowFirstColumn="0" w:lastRowLastColumn="0"/>
        </w:trPr>
        <w:tc>
          <w:tcPr>
            <w:tcW w:w="6473" w:type="dxa"/>
          </w:tcPr>
          <w:p w:rsidR="00ED38CE" w:rsidRDefault="00ED38CE" w:rsidP="00EC57EE">
            <w:pPr>
              <w:pStyle w:val="TableTextEntries"/>
              <w:numPr>
                <w:ilvl w:val="0"/>
                <w:numId w:val="21"/>
              </w:numPr>
            </w:pPr>
            <w:r>
              <w:t>Improve integration of gender equality throughout our program</w:t>
            </w:r>
          </w:p>
        </w:tc>
        <w:tc>
          <w:tcPr>
            <w:tcW w:w="964" w:type="dxa"/>
            <w:shd w:val="clear" w:color="auto" w:fill="auto"/>
          </w:tcPr>
          <w:p w:rsidR="00ED38CE" w:rsidRPr="00970ED5" w:rsidRDefault="00C64AC2" w:rsidP="00445FE0">
            <w:pPr>
              <w:pStyle w:val="TableTextEntries"/>
              <w:jc w:val="center"/>
              <w:rPr>
                <w:b/>
                <w:iCs w:val="0"/>
                <w:color w:val="72AF2F"/>
                <w:lang w:eastAsia="en-AU"/>
              </w:rPr>
            </w:pPr>
            <w:r w:rsidRPr="00970ED5">
              <w:rPr>
                <w:b/>
                <w:iCs w:val="0"/>
                <w:color w:val="72AF2F"/>
                <w:lang w:eastAsia="en-AU"/>
              </w:rPr>
              <w:t>Achieved</w:t>
            </w:r>
          </w:p>
        </w:tc>
        <w:tc>
          <w:tcPr>
            <w:tcW w:w="6896" w:type="dxa"/>
          </w:tcPr>
          <w:p w:rsidR="00ED38CE" w:rsidRPr="00060549" w:rsidRDefault="00C64AC2" w:rsidP="00513634">
            <w:pPr>
              <w:pStyle w:val="TableTextEntries"/>
            </w:pPr>
            <w:r w:rsidRPr="00060549">
              <w:t xml:space="preserve">A gender </w:t>
            </w:r>
            <w:r w:rsidR="00EC7057">
              <w:t>stocktake was completed in 2014-</w:t>
            </w:r>
            <w:r w:rsidRPr="00060549">
              <w:t>15 for the aid program and across the embassy as a whole. An action plan has been mapped out</w:t>
            </w:r>
            <w:r w:rsidR="00513634" w:rsidRPr="00060549">
              <w:t xml:space="preserve">, and resources allocated, </w:t>
            </w:r>
            <w:r w:rsidRPr="00060549">
              <w:t xml:space="preserve">to enable the development of a gender strategy for the Embassy by July 2016. </w:t>
            </w:r>
          </w:p>
        </w:tc>
      </w:tr>
      <w:tr w:rsidR="00ED38CE" w:rsidRPr="00180B19" w:rsidTr="00ED38CE">
        <w:trPr>
          <w:cnfStyle w:val="000000010000" w:firstRow="0" w:lastRow="0" w:firstColumn="0" w:lastColumn="0" w:oddVBand="0" w:evenVBand="0" w:oddHBand="0" w:evenHBand="1" w:firstRowFirstColumn="0" w:firstRowLastColumn="0" w:lastRowFirstColumn="0" w:lastRowLastColumn="0"/>
        </w:trPr>
        <w:tc>
          <w:tcPr>
            <w:tcW w:w="6473" w:type="dxa"/>
          </w:tcPr>
          <w:p w:rsidR="00ED38CE" w:rsidRDefault="00ED38CE" w:rsidP="00EC57EE">
            <w:pPr>
              <w:pStyle w:val="TableTextEntries"/>
              <w:numPr>
                <w:ilvl w:val="0"/>
                <w:numId w:val="21"/>
              </w:numPr>
            </w:pPr>
            <w:r>
              <w:t>(Sector specific): Improve the effectiveness and sustainability of our infrastructure investments</w:t>
            </w:r>
          </w:p>
        </w:tc>
        <w:tc>
          <w:tcPr>
            <w:tcW w:w="964" w:type="dxa"/>
            <w:shd w:val="clear" w:color="auto" w:fill="auto"/>
          </w:tcPr>
          <w:p w:rsidR="00ED38CE" w:rsidRPr="00970ED5" w:rsidRDefault="00513634" w:rsidP="00445FE0">
            <w:pPr>
              <w:pStyle w:val="TableTextEntries"/>
              <w:jc w:val="center"/>
              <w:rPr>
                <w:b/>
                <w:iCs w:val="0"/>
                <w:color w:val="72AF2F"/>
                <w:lang w:eastAsia="en-AU"/>
              </w:rPr>
            </w:pPr>
            <w:r w:rsidRPr="00970ED5">
              <w:rPr>
                <w:b/>
                <w:iCs w:val="0"/>
                <w:color w:val="72AF2F"/>
                <w:lang w:eastAsia="en-AU"/>
              </w:rPr>
              <w:t>Achieved</w:t>
            </w:r>
          </w:p>
        </w:tc>
        <w:tc>
          <w:tcPr>
            <w:tcW w:w="6896" w:type="dxa"/>
          </w:tcPr>
          <w:p w:rsidR="00ED38CE" w:rsidRPr="00060549" w:rsidRDefault="00513634" w:rsidP="00D73714">
            <w:pPr>
              <w:pStyle w:val="TableTextEntries"/>
            </w:pPr>
            <w:r w:rsidRPr="00060549">
              <w:t xml:space="preserve">Ongoing supervision of infrastructure investments by </w:t>
            </w:r>
            <w:r w:rsidR="00D73714">
              <w:t>post</w:t>
            </w:r>
            <w:r w:rsidRPr="00060549">
              <w:t xml:space="preserve"> has enabled early identification and mitigation </w:t>
            </w:r>
            <w:r w:rsidR="00EC7057">
              <w:t>of safeguards risks.</w:t>
            </w:r>
            <w:r w:rsidRPr="00060549">
              <w:t xml:space="preserve"> In 2014 the environmental safety of Cao Lanh bridge was identified as a risk and an extra supervision mission, with Australian </w:t>
            </w:r>
            <w:r w:rsidR="00D73714">
              <w:t>e</w:t>
            </w:r>
            <w:r w:rsidRPr="00060549">
              <w:t>nvironment</w:t>
            </w:r>
            <w:r w:rsidR="00D73714">
              <w:t>al</w:t>
            </w:r>
            <w:r w:rsidRPr="00060549">
              <w:t xml:space="preserve"> expertise, was mobilised to put in place a risk mitigation strategy. This has been implemented and is currently being monitored.</w:t>
            </w:r>
          </w:p>
        </w:tc>
      </w:tr>
    </w:tbl>
    <w:p w:rsidR="005C310A" w:rsidRPr="00FE4491" w:rsidRDefault="005C310A" w:rsidP="005C310A">
      <w:pPr>
        <w:pStyle w:val="Note"/>
      </w:pPr>
      <w:r w:rsidRPr="00FE4491">
        <w:t xml:space="preserve">Note: </w:t>
      </w:r>
    </w:p>
    <w:p w:rsidR="005C310A" w:rsidRPr="00671434" w:rsidRDefault="005C310A" w:rsidP="005C310A">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5C310A" w:rsidRPr="00EA3BAD" w:rsidRDefault="005C310A" w:rsidP="005C310A">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5C310A" w:rsidRDefault="005C310A" w:rsidP="005C310A">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5C310A" w:rsidRDefault="005C310A">
      <w:pPr>
        <w:spacing w:after="200" w:line="276" w:lineRule="auto"/>
        <w:rPr>
          <w:rFonts w:ascii="Helvetica" w:eastAsia="Times New Roman" w:hAnsi="Helvetica" w:cs="Arial"/>
          <w:color w:val="007FAD"/>
          <w:kern w:val="28"/>
          <w:sz w:val="28"/>
          <w:szCs w:val="28"/>
        </w:rPr>
      </w:pPr>
      <w:r>
        <w:rPr>
          <w:sz w:val="28"/>
        </w:rPr>
        <w:br w:type="page"/>
      </w:r>
    </w:p>
    <w:p w:rsidR="00416B02" w:rsidRPr="009E38C1" w:rsidRDefault="00416B02" w:rsidP="00416B02">
      <w:pPr>
        <w:pStyle w:val="Heading2"/>
        <w:rPr>
          <w:sz w:val="28"/>
        </w:rPr>
      </w:pPr>
      <w:r w:rsidRPr="009E38C1">
        <w:rPr>
          <w:sz w:val="28"/>
        </w:rPr>
        <w:lastRenderedPageBreak/>
        <w:t>Annex</w:t>
      </w:r>
      <w:r w:rsidR="005C310A">
        <w:rPr>
          <w:sz w:val="28"/>
        </w:rPr>
        <w:t xml:space="preserve"> B</w:t>
      </w:r>
      <w:r w:rsidR="0057490F">
        <w:rPr>
          <w:sz w:val="28"/>
        </w:rPr>
        <w:t xml:space="preserve"> - </w:t>
      </w:r>
      <w:r>
        <w:rPr>
          <w:sz w:val="28"/>
        </w:rPr>
        <w:t xml:space="preserve">Progress towards </w:t>
      </w:r>
      <w:r w:rsidRPr="009E38C1">
        <w:rPr>
          <w:sz w:val="28"/>
        </w:rPr>
        <w:t xml:space="preserve">Performance Benchmarks </w:t>
      </w:r>
      <w:r>
        <w:rPr>
          <w:sz w:val="28"/>
        </w:rPr>
        <w:t xml:space="preserve">in </w:t>
      </w:r>
      <w:r w:rsidRPr="009E38C1">
        <w:rPr>
          <w:sz w:val="28"/>
        </w:rPr>
        <w:t>2014 -15</w:t>
      </w:r>
      <w:r w:rsidR="009150A7">
        <w:rPr>
          <w:sz w:val="28"/>
        </w:rPr>
        <w:t xml:space="preserve"> </w:t>
      </w:r>
    </w:p>
    <w:p w:rsidR="00416B02" w:rsidRPr="004D740B" w:rsidRDefault="00416B02" w:rsidP="00A502C8">
      <w:pPr>
        <w:pStyle w:val="ListBullet"/>
        <w:numPr>
          <w:ilvl w:val="0"/>
          <w:numId w:val="0"/>
        </w:numPr>
        <w:tabs>
          <w:tab w:val="clear" w:pos="284"/>
        </w:tabs>
      </w:pPr>
    </w:p>
    <w:tbl>
      <w:tblPr>
        <w:tblStyle w:val="DFATTable"/>
        <w:tblW w:w="5000" w:type="pct"/>
        <w:tblLook w:val="04A0" w:firstRow="1" w:lastRow="0" w:firstColumn="1" w:lastColumn="0" w:noHBand="0" w:noVBand="1"/>
        <w:tblCaption w:val="Annex B - Progress towards Performance Benchmarks in 2014-15"/>
        <w:tblDescription w:val="Table provides the performance benchmarks against each aid objective, the rating and comments on progress towards meeting the benchmark in 2014-15."/>
      </w:tblPr>
      <w:tblGrid>
        <w:gridCol w:w="3511"/>
        <w:gridCol w:w="3968"/>
        <w:gridCol w:w="1134"/>
        <w:gridCol w:w="5776"/>
      </w:tblGrid>
      <w:tr w:rsidR="00416B02" w:rsidRPr="004F7D80" w:rsidTr="00A502C8">
        <w:trPr>
          <w:tblHeader/>
        </w:trPr>
        <w:tc>
          <w:tcPr>
            <w:tcW w:w="1220" w:type="pct"/>
            <w:tcMar>
              <w:top w:w="57" w:type="dxa"/>
              <w:bottom w:w="57" w:type="dxa"/>
            </w:tcMar>
          </w:tcPr>
          <w:p w:rsidR="00416B02" w:rsidRPr="002749B6" w:rsidRDefault="00416B02" w:rsidP="00E15678">
            <w:pPr>
              <w:pStyle w:val="TableHeading1"/>
            </w:pPr>
            <w:r>
              <w:t>Aid</w:t>
            </w:r>
            <w:r w:rsidRPr="002749B6">
              <w:t xml:space="preserve"> objective</w:t>
            </w:r>
          </w:p>
        </w:tc>
        <w:tc>
          <w:tcPr>
            <w:tcW w:w="1379" w:type="pct"/>
          </w:tcPr>
          <w:p w:rsidR="00416B02" w:rsidRPr="002749B6" w:rsidRDefault="00416B02" w:rsidP="00E15678">
            <w:pPr>
              <w:pStyle w:val="TableHeading1"/>
            </w:pPr>
            <w:r w:rsidRPr="002749B6">
              <w:t xml:space="preserve">2014-15 benchmark </w:t>
            </w:r>
          </w:p>
        </w:tc>
        <w:tc>
          <w:tcPr>
            <w:tcW w:w="394" w:type="pct"/>
          </w:tcPr>
          <w:p w:rsidR="00416B02" w:rsidRDefault="00416B02" w:rsidP="00E15678">
            <w:pPr>
              <w:pStyle w:val="TableHeading1"/>
            </w:pPr>
            <w:r>
              <w:t>Rating</w:t>
            </w:r>
          </w:p>
        </w:tc>
        <w:tc>
          <w:tcPr>
            <w:tcW w:w="2007" w:type="pct"/>
          </w:tcPr>
          <w:p w:rsidR="00416B02" w:rsidRPr="002749B6" w:rsidRDefault="00416B02" w:rsidP="00E15678">
            <w:pPr>
              <w:pStyle w:val="TableHeading1"/>
            </w:pPr>
            <w:r>
              <w:t>Progress in 2014-15</w:t>
            </w:r>
          </w:p>
        </w:tc>
      </w:tr>
      <w:tr w:rsidR="00416B02" w:rsidRPr="004F7D80" w:rsidTr="00A502C8">
        <w:tc>
          <w:tcPr>
            <w:tcW w:w="1220" w:type="pct"/>
            <w:tcBorders>
              <w:bottom w:val="nil"/>
            </w:tcBorders>
            <w:tcMar>
              <w:top w:w="57" w:type="dxa"/>
              <w:bottom w:w="57" w:type="dxa"/>
            </w:tcMar>
          </w:tcPr>
          <w:p w:rsidR="004814B0" w:rsidRPr="004814B0" w:rsidRDefault="004814B0" w:rsidP="00E15678">
            <w:pPr>
              <w:pStyle w:val="TableTextEntries"/>
              <w:rPr>
                <w:b/>
              </w:rPr>
            </w:pPr>
            <w:r w:rsidRPr="004814B0">
              <w:rPr>
                <w:b/>
              </w:rPr>
              <w:t>Human resource development</w:t>
            </w:r>
          </w:p>
          <w:p w:rsidR="00416B02" w:rsidRPr="002749B6" w:rsidRDefault="004814B0" w:rsidP="00E15678">
            <w:pPr>
              <w:pStyle w:val="TableTextEntries"/>
            </w:pPr>
            <w:r>
              <w:t>Improvement in the quality of Vietnam’s human resources</w:t>
            </w:r>
            <w:r w:rsidR="00416B02" w:rsidRPr="002749B6">
              <w:t>.</w:t>
            </w:r>
          </w:p>
        </w:tc>
        <w:tc>
          <w:tcPr>
            <w:tcW w:w="1379" w:type="pct"/>
            <w:tcBorders>
              <w:bottom w:val="nil"/>
            </w:tcBorders>
          </w:tcPr>
          <w:p w:rsidR="00416B02" w:rsidRPr="002749B6" w:rsidRDefault="004814B0" w:rsidP="00EC57EE">
            <w:pPr>
              <w:pStyle w:val="TableTextEntries"/>
              <w:numPr>
                <w:ilvl w:val="0"/>
                <w:numId w:val="20"/>
              </w:numPr>
            </w:pPr>
            <w:r w:rsidRPr="004814B0">
              <w:t>150 Australia Awards Scholarships and 50 Australia Awards Fellowships provided</w:t>
            </w:r>
          </w:p>
        </w:tc>
        <w:tc>
          <w:tcPr>
            <w:tcW w:w="394" w:type="pct"/>
            <w:tcBorders>
              <w:bottom w:val="nil"/>
            </w:tcBorders>
            <w:shd w:val="clear" w:color="auto" w:fill="92D050"/>
          </w:tcPr>
          <w:p w:rsidR="00416B02" w:rsidRPr="00443639" w:rsidRDefault="00416B02" w:rsidP="00E15678">
            <w:pPr>
              <w:pStyle w:val="TableTextEntries"/>
              <w:jc w:val="center"/>
              <w:rPr>
                <w:color w:val="FFFFFF" w:themeColor="background1"/>
              </w:rPr>
            </w:pPr>
            <w:r w:rsidRPr="00B92B2F">
              <w:rPr>
                <w:color w:val="FFFFFF" w:themeColor="background1"/>
              </w:rPr>
              <w:t>Achieved</w:t>
            </w:r>
          </w:p>
        </w:tc>
        <w:tc>
          <w:tcPr>
            <w:tcW w:w="2007" w:type="pct"/>
            <w:tcBorders>
              <w:bottom w:val="nil"/>
            </w:tcBorders>
          </w:tcPr>
          <w:p w:rsidR="00416B02" w:rsidRPr="002749B6" w:rsidRDefault="004814B0" w:rsidP="00E15678">
            <w:pPr>
              <w:pStyle w:val="TableTextEntries"/>
            </w:pPr>
            <w:r w:rsidRPr="004814B0">
              <w:t>185 Australia Awards Scholarships and 142 Australia Awards Fellowships provided</w:t>
            </w:r>
            <w:r>
              <w:t>.</w:t>
            </w:r>
          </w:p>
        </w:tc>
      </w:tr>
      <w:tr w:rsidR="004814B0" w:rsidRPr="004F7D80" w:rsidTr="00A502C8">
        <w:tc>
          <w:tcPr>
            <w:tcW w:w="1220" w:type="pct"/>
            <w:tcBorders>
              <w:top w:val="nil"/>
              <w:bottom w:val="single" w:sz="4" w:space="0" w:color="auto"/>
            </w:tcBorders>
            <w:tcMar>
              <w:top w:w="57" w:type="dxa"/>
              <w:bottom w:w="57" w:type="dxa"/>
            </w:tcMar>
          </w:tcPr>
          <w:p w:rsidR="004814B0" w:rsidRPr="004814B0" w:rsidRDefault="004814B0" w:rsidP="00E15678">
            <w:pPr>
              <w:pStyle w:val="TableTextEntries"/>
              <w:rPr>
                <w:b/>
              </w:rPr>
            </w:pPr>
          </w:p>
        </w:tc>
        <w:tc>
          <w:tcPr>
            <w:tcW w:w="1379" w:type="pct"/>
            <w:tcBorders>
              <w:top w:val="nil"/>
              <w:bottom w:val="single" w:sz="4" w:space="0" w:color="auto"/>
            </w:tcBorders>
          </w:tcPr>
          <w:p w:rsidR="004814B0" w:rsidRPr="004814B0" w:rsidRDefault="004814B0" w:rsidP="00EC57EE">
            <w:pPr>
              <w:pStyle w:val="TableTextEntries"/>
              <w:numPr>
                <w:ilvl w:val="0"/>
                <w:numId w:val="20"/>
              </w:numPr>
            </w:pPr>
            <w:r w:rsidRPr="004814B0">
              <w:t>New human resource development investment designed</w:t>
            </w:r>
          </w:p>
        </w:tc>
        <w:tc>
          <w:tcPr>
            <w:tcW w:w="394" w:type="pct"/>
            <w:tcBorders>
              <w:top w:val="nil"/>
              <w:bottom w:val="single" w:sz="4" w:space="0" w:color="auto"/>
            </w:tcBorders>
            <w:shd w:val="clear" w:color="auto" w:fill="92D050"/>
          </w:tcPr>
          <w:p w:rsidR="004814B0" w:rsidRPr="00B92B2F" w:rsidRDefault="004814B0" w:rsidP="00E15678">
            <w:pPr>
              <w:pStyle w:val="TableTextEntries"/>
              <w:jc w:val="center"/>
              <w:rPr>
                <w:color w:val="FFFFFF" w:themeColor="background1"/>
              </w:rPr>
            </w:pPr>
            <w:r>
              <w:rPr>
                <w:color w:val="FFFFFF" w:themeColor="background1"/>
              </w:rPr>
              <w:t>Achieved</w:t>
            </w:r>
          </w:p>
        </w:tc>
        <w:tc>
          <w:tcPr>
            <w:tcW w:w="2007" w:type="pct"/>
            <w:tcBorders>
              <w:top w:val="nil"/>
              <w:bottom w:val="single" w:sz="4" w:space="0" w:color="auto"/>
            </w:tcBorders>
          </w:tcPr>
          <w:p w:rsidR="004814B0" w:rsidRDefault="00D73714" w:rsidP="00320C8E">
            <w:pPr>
              <w:pStyle w:val="TableTextEntries"/>
            </w:pPr>
            <w:r>
              <w:t>D</w:t>
            </w:r>
            <w:r w:rsidR="004814B0">
              <w:t xml:space="preserve">esign </w:t>
            </w:r>
            <w:r>
              <w:t xml:space="preserve">of the new Australia-Vietnam Partnership on Human Resources Development 2016-2020 was </w:t>
            </w:r>
            <w:r w:rsidR="004814B0">
              <w:t>completed in 2014</w:t>
            </w:r>
            <w:r w:rsidR="00320C8E">
              <w:t>-</w:t>
            </w:r>
            <w:r w:rsidR="004814B0">
              <w:t>15.</w:t>
            </w:r>
          </w:p>
        </w:tc>
      </w:tr>
      <w:tr w:rsidR="00416B02" w:rsidRPr="004F7D80" w:rsidTr="00A502C8">
        <w:tc>
          <w:tcPr>
            <w:tcW w:w="1220" w:type="pct"/>
            <w:tcBorders>
              <w:top w:val="single" w:sz="4" w:space="0" w:color="auto"/>
              <w:bottom w:val="nil"/>
            </w:tcBorders>
            <w:tcMar>
              <w:top w:w="57" w:type="dxa"/>
              <w:bottom w:w="57" w:type="dxa"/>
            </w:tcMar>
          </w:tcPr>
          <w:p w:rsidR="00416B02" w:rsidRDefault="004814B0" w:rsidP="00E15678">
            <w:pPr>
              <w:pStyle w:val="TableTextEntries"/>
              <w:rPr>
                <w:b/>
              </w:rPr>
            </w:pPr>
            <w:r w:rsidRPr="004814B0">
              <w:rPr>
                <w:b/>
              </w:rPr>
              <w:t>Transport infrastructure and economic integration</w:t>
            </w:r>
          </w:p>
          <w:p w:rsidR="004814B0" w:rsidRPr="004814B0" w:rsidRDefault="004814B0" w:rsidP="00E15678">
            <w:pPr>
              <w:pStyle w:val="TableTextEntries"/>
            </w:pPr>
            <w:r w:rsidRPr="004814B0">
              <w:t>Better transport infrastructure and policy to support economic integration</w:t>
            </w:r>
          </w:p>
        </w:tc>
        <w:tc>
          <w:tcPr>
            <w:tcW w:w="1379" w:type="pct"/>
            <w:tcBorders>
              <w:top w:val="single" w:sz="4" w:space="0" w:color="auto"/>
              <w:bottom w:val="nil"/>
            </w:tcBorders>
          </w:tcPr>
          <w:p w:rsidR="00416B02" w:rsidRPr="002749B6" w:rsidRDefault="004814B0" w:rsidP="00EC57EE">
            <w:pPr>
              <w:pStyle w:val="TableTextEntries"/>
              <w:numPr>
                <w:ilvl w:val="0"/>
                <w:numId w:val="20"/>
              </w:numPr>
              <w:spacing w:before="0" w:after="0" w:line="240" w:lineRule="auto"/>
              <w:ind w:left="357" w:hanging="357"/>
            </w:pPr>
            <w:r>
              <w:t>40 per cent of Cao Lanh bridge construction completed</w:t>
            </w:r>
          </w:p>
        </w:tc>
        <w:tc>
          <w:tcPr>
            <w:tcW w:w="394" w:type="pct"/>
            <w:tcBorders>
              <w:top w:val="single" w:sz="4" w:space="0" w:color="auto"/>
              <w:bottom w:val="nil"/>
            </w:tcBorders>
            <w:shd w:val="clear" w:color="auto" w:fill="92D050"/>
          </w:tcPr>
          <w:p w:rsidR="00416B02" w:rsidRPr="00CA3082" w:rsidRDefault="004814B0" w:rsidP="00E15678">
            <w:pPr>
              <w:pStyle w:val="TableTextEntries"/>
              <w:jc w:val="center"/>
              <w:rPr>
                <w:color w:val="FFFFFF" w:themeColor="background1"/>
              </w:rPr>
            </w:pPr>
            <w:r>
              <w:rPr>
                <w:color w:val="FFFFFF" w:themeColor="background1"/>
              </w:rPr>
              <w:t>Achieved</w:t>
            </w:r>
          </w:p>
        </w:tc>
        <w:tc>
          <w:tcPr>
            <w:tcW w:w="2007" w:type="pct"/>
            <w:tcBorders>
              <w:top w:val="single" w:sz="4" w:space="0" w:color="auto"/>
              <w:bottom w:val="nil"/>
            </w:tcBorders>
          </w:tcPr>
          <w:p w:rsidR="00416B02" w:rsidRPr="002749B6" w:rsidRDefault="004814B0" w:rsidP="00E15678">
            <w:pPr>
              <w:pStyle w:val="TableTextEntries"/>
            </w:pPr>
            <w:r>
              <w:t>Over 50 per cent of construction complete</w:t>
            </w:r>
            <w:r w:rsidR="00405831">
              <w:t>.</w:t>
            </w:r>
          </w:p>
        </w:tc>
      </w:tr>
      <w:tr w:rsidR="004814B0" w:rsidRPr="004F7D80" w:rsidTr="00A502C8">
        <w:tc>
          <w:tcPr>
            <w:tcW w:w="1220" w:type="pct"/>
            <w:tcBorders>
              <w:top w:val="nil"/>
              <w:bottom w:val="single" w:sz="4" w:space="0" w:color="auto"/>
            </w:tcBorders>
            <w:tcMar>
              <w:top w:w="57" w:type="dxa"/>
              <w:bottom w:w="57" w:type="dxa"/>
            </w:tcMar>
          </w:tcPr>
          <w:p w:rsidR="004814B0" w:rsidRDefault="004814B0" w:rsidP="00E15678">
            <w:pPr>
              <w:pStyle w:val="TableTextEntries"/>
            </w:pPr>
          </w:p>
        </w:tc>
        <w:tc>
          <w:tcPr>
            <w:tcW w:w="1379" w:type="pct"/>
            <w:tcBorders>
              <w:top w:val="nil"/>
              <w:bottom w:val="single" w:sz="4" w:space="0" w:color="auto"/>
            </w:tcBorders>
          </w:tcPr>
          <w:p w:rsidR="004814B0" w:rsidRDefault="004814B0" w:rsidP="00EC57EE">
            <w:pPr>
              <w:pStyle w:val="TableTextEntries"/>
              <w:numPr>
                <w:ilvl w:val="0"/>
                <w:numId w:val="20"/>
              </w:numPr>
              <w:spacing w:before="0" w:after="0" w:line="240" w:lineRule="auto"/>
              <w:ind w:left="357" w:hanging="357"/>
            </w:pPr>
            <w:r w:rsidRPr="004814B0">
              <w:t>Australian-funded studies and consultations are used to revise the Enterprise Law, to reduce costs of private business entry and improve corporate governance</w:t>
            </w:r>
          </w:p>
        </w:tc>
        <w:tc>
          <w:tcPr>
            <w:tcW w:w="394" w:type="pct"/>
            <w:tcBorders>
              <w:top w:val="nil"/>
              <w:bottom w:val="single" w:sz="4" w:space="0" w:color="auto"/>
            </w:tcBorders>
            <w:shd w:val="clear" w:color="auto" w:fill="92D050"/>
          </w:tcPr>
          <w:p w:rsidR="004814B0" w:rsidRPr="00B92B2F" w:rsidRDefault="004814B0" w:rsidP="00CA3082">
            <w:pPr>
              <w:pStyle w:val="TableTextEntries"/>
              <w:jc w:val="center"/>
              <w:rPr>
                <w:color w:val="FFFFFF" w:themeColor="background1"/>
              </w:rPr>
            </w:pPr>
            <w:r>
              <w:rPr>
                <w:color w:val="FFFFFF" w:themeColor="background1"/>
              </w:rPr>
              <w:t>Achieved</w:t>
            </w:r>
          </w:p>
        </w:tc>
        <w:tc>
          <w:tcPr>
            <w:tcW w:w="2007" w:type="pct"/>
            <w:tcBorders>
              <w:top w:val="nil"/>
              <w:bottom w:val="single" w:sz="4" w:space="0" w:color="auto"/>
            </w:tcBorders>
          </w:tcPr>
          <w:p w:rsidR="004814B0" w:rsidRPr="002749B6" w:rsidRDefault="00904310" w:rsidP="00904310">
            <w:pPr>
              <w:pStyle w:val="TableTextEntries"/>
            </w:pPr>
            <w:r>
              <w:t>I</w:t>
            </w:r>
            <w:r w:rsidRPr="00CA3082">
              <w:t xml:space="preserve">nternational experts </w:t>
            </w:r>
            <w:r>
              <w:t xml:space="preserve">were engaged </w:t>
            </w:r>
            <w:r w:rsidRPr="00CA3082">
              <w:t>to provide in</w:t>
            </w:r>
            <w:r>
              <w:t>put on the laws and facilitate</w:t>
            </w:r>
            <w:r w:rsidRPr="00CA3082">
              <w:t xml:space="preserve"> feedback from a range of stakeholders including the private sector</w:t>
            </w:r>
            <w:r>
              <w:t>.</w:t>
            </w:r>
            <w:r w:rsidRPr="00CA3082">
              <w:t xml:space="preserve"> </w:t>
            </w:r>
            <w:r>
              <w:t>T</w:t>
            </w:r>
            <w:r w:rsidR="00CA3082" w:rsidRPr="00CA3082">
              <w:t>he Enterprise and Investment Laws</w:t>
            </w:r>
            <w:r>
              <w:t xml:space="preserve"> were </w:t>
            </w:r>
            <w:r w:rsidR="00CA3082" w:rsidRPr="00CA3082">
              <w:t>passed in October 2014</w:t>
            </w:r>
            <w:r>
              <w:t>.</w:t>
            </w:r>
          </w:p>
        </w:tc>
      </w:tr>
      <w:tr w:rsidR="00416B02" w:rsidRPr="004F7D80" w:rsidTr="00A502C8">
        <w:tc>
          <w:tcPr>
            <w:tcW w:w="1220" w:type="pct"/>
            <w:tcBorders>
              <w:top w:val="single" w:sz="4" w:space="0" w:color="auto"/>
              <w:bottom w:val="nil"/>
            </w:tcBorders>
            <w:tcMar>
              <w:top w:w="57" w:type="dxa"/>
              <w:bottom w:w="57" w:type="dxa"/>
            </w:tcMar>
          </w:tcPr>
          <w:p w:rsidR="00416B02" w:rsidRDefault="00A502C8" w:rsidP="00E15678">
            <w:pPr>
              <w:pStyle w:val="TableTextEntries"/>
              <w:rPr>
                <w:b/>
              </w:rPr>
            </w:pPr>
            <w:r w:rsidRPr="00A502C8">
              <w:rPr>
                <w:b/>
              </w:rPr>
              <w:t>Rural water supply and sanitation</w:t>
            </w:r>
          </w:p>
          <w:p w:rsidR="00A502C8" w:rsidRPr="00A502C8" w:rsidRDefault="00A502C8" w:rsidP="00E15678">
            <w:pPr>
              <w:pStyle w:val="TableTextEntries"/>
            </w:pPr>
            <w:r w:rsidRPr="00A502C8">
              <w:t>Increase rural access to clean water and hygienic sanitation</w:t>
            </w:r>
          </w:p>
        </w:tc>
        <w:tc>
          <w:tcPr>
            <w:tcW w:w="1379" w:type="pct"/>
            <w:tcBorders>
              <w:top w:val="single" w:sz="4" w:space="0" w:color="auto"/>
              <w:bottom w:val="nil"/>
            </w:tcBorders>
          </w:tcPr>
          <w:p w:rsidR="00416B02" w:rsidRPr="002749B6" w:rsidRDefault="00A502C8" w:rsidP="00EC57EE">
            <w:pPr>
              <w:pStyle w:val="TableTextEntries"/>
              <w:numPr>
                <w:ilvl w:val="0"/>
                <w:numId w:val="20"/>
              </w:numPr>
            </w:pPr>
            <w:r w:rsidRPr="00A502C8">
              <w:t>An additional 1,100,000 people have access to clean water and an additional 2,500,000 people have increased access to basic sanitation</w:t>
            </w:r>
          </w:p>
        </w:tc>
        <w:tc>
          <w:tcPr>
            <w:tcW w:w="394" w:type="pct"/>
            <w:tcBorders>
              <w:top w:val="single" w:sz="4" w:space="0" w:color="auto"/>
              <w:bottom w:val="nil"/>
            </w:tcBorders>
            <w:shd w:val="clear" w:color="auto" w:fill="92D050"/>
          </w:tcPr>
          <w:p w:rsidR="00416B02" w:rsidRPr="00A502C8" w:rsidRDefault="00416B02" w:rsidP="00A502C8">
            <w:pPr>
              <w:pStyle w:val="TableTextEntries"/>
              <w:jc w:val="center"/>
              <w:rPr>
                <w:color w:val="FFFFFF" w:themeColor="background1"/>
              </w:rPr>
            </w:pPr>
            <w:r w:rsidRPr="00B92B2F">
              <w:rPr>
                <w:color w:val="FFFFFF" w:themeColor="background1"/>
              </w:rPr>
              <w:t xml:space="preserve">Achieved </w:t>
            </w:r>
          </w:p>
        </w:tc>
        <w:tc>
          <w:tcPr>
            <w:tcW w:w="2007" w:type="pct"/>
            <w:tcBorders>
              <w:top w:val="single" w:sz="4" w:space="0" w:color="auto"/>
              <w:bottom w:val="nil"/>
            </w:tcBorders>
          </w:tcPr>
          <w:p w:rsidR="00416B02" w:rsidRPr="002749B6" w:rsidRDefault="00A502C8" w:rsidP="00C3104C">
            <w:pPr>
              <w:pStyle w:val="TableTextEntries"/>
            </w:pPr>
            <w:r w:rsidRPr="00A502C8">
              <w:t>1</w:t>
            </w:r>
            <w:r w:rsidR="00D73714">
              <w:t>.5</w:t>
            </w:r>
            <w:r w:rsidR="00320C8E">
              <w:t xml:space="preserve"> </w:t>
            </w:r>
            <w:r w:rsidR="00D73714">
              <w:t>m</w:t>
            </w:r>
            <w:r w:rsidR="00320C8E">
              <w:t>illion</w:t>
            </w:r>
            <w:r w:rsidRPr="00A502C8">
              <w:t xml:space="preserve"> additional people have access to </w:t>
            </w:r>
            <w:r w:rsidR="00C3104C">
              <w:t>hygienic</w:t>
            </w:r>
            <w:r w:rsidRPr="00A502C8">
              <w:t xml:space="preserve"> water. 63</w:t>
            </w:r>
            <w:r w:rsidR="00B36DAA">
              <w:t xml:space="preserve"> per cent</w:t>
            </w:r>
            <w:r w:rsidRPr="00A502C8">
              <w:t xml:space="preserve"> of rural households had hygienic latrines (an additional 400,000 households</w:t>
            </w:r>
            <w:r w:rsidR="00731647">
              <w:t xml:space="preserve"> or approximately 2.5</w:t>
            </w:r>
            <w:r w:rsidR="00320C8E">
              <w:t xml:space="preserve"> </w:t>
            </w:r>
            <w:r w:rsidR="00731647">
              <w:t>m</w:t>
            </w:r>
            <w:r w:rsidR="00320C8E">
              <w:t>illion</w:t>
            </w:r>
            <w:r w:rsidR="00731647">
              <w:t xml:space="preserve"> people</w:t>
            </w:r>
            <w:r w:rsidRPr="00A502C8">
              <w:t xml:space="preserve"> in 2014)</w:t>
            </w:r>
          </w:p>
        </w:tc>
      </w:tr>
      <w:tr w:rsidR="00A502C8" w:rsidRPr="004F7D80" w:rsidTr="00A502C8">
        <w:tc>
          <w:tcPr>
            <w:tcW w:w="1220" w:type="pct"/>
            <w:tcBorders>
              <w:top w:val="nil"/>
              <w:bottom w:val="single" w:sz="4" w:space="0" w:color="auto"/>
            </w:tcBorders>
            <w:tcMar>
              <w:top w:w="57" w:type="dxa"/>
              <w:bottom w:w="57" w:type="dxa"/>
            </w:tcMar>
          </w:tcPr>
          <w:p w:rsidR="00A502C8" w:rsidRPr="00A502C8" w:rsidRDefault="00A502C8" w:rsidP="00E15678">
            <w:pPr>
              <w:pStyle w:val="TableTextEntries"/>
            </w:pPr>
          </w:p>
        </w:tc>
        <w:tc>
          <w:tcPr>
            <w:tcW w:w="1379" w:type="pct"/>
            <w:tcBorders>
              <w:top w:val="nil"/>
              <w:bottom w:val="single" w:sz="4" w:space="0" w:color="auto"/>
            </w:tcBorders>
          </w:tcPr>
          <w:p w:rsidR="00A502C8" w:rsidRPr="00A502C8" w:rsidRDefault="00A502C8" w:rsidP="00EC57EE">
            <w:pPr>
              <w:pStyle w:val="TableTextEntries"/>
              <w:numPr>
                <w:ilvl w:val="0"/>
                <w:numId w:val="20"/>
              </w:numPr>
            </w:pPr>
            <w:r w:rsidRPr="00A502C8">
              <w:t>75 per cent of rural pipeline schemes (approximately 550 schemes) are improved or upgraded</w:t>
            </w:r>
          </w:p>
        </w:tc>
        <w:tc>
          <w:tcPr>
            <w:tcW w:w="394" w:type="pct"/>
            <w:tcBorders>
              <w:top w:val="nil"/>
              <w:bottom w:val="single" w:sz="4" w:space="0" w:color="auto"/>
            </w:tcBorders>
            <w:shd w:val="clear" w:color="auto" w:fill="92D050"/>
          </w:tcPr>
          <w:p w:rsidR="00A502C8" w:rsidRPr="00B92B2F" w:rsidRDefault="00A502C8" w:rsidP="00A502C8">
            <w:pPr>
              <w:pStyle w:val="TableTextEntries"/>
              <w:jc w:val="center"/>
              <w:rPr>
                <w:color w:val="FFFFFF" w:themeColor="background1"/>
              </w:rPr>
            </w:pPr>
            <w:r>
              <w:rPr>
                <w:color w:val="FFFFFF" w:themeColor="background1"/>
              </w:rPr>
              <w:t>Achieved</w:t>
            </w:r>
          </w:p>
        </w:tc>
        <w:tc>
          <w:tcPr>
            <w:tcW w:w="2007" w:type="pct"/>
            <w:tcBorders>
              <w:top w:val="nil"/>
              <w:bottom w:val="single" w:sz="4" w:space="0" w:color="auto"/>
            </w:tcBorders>
          </w:tcPr>
          <w:p w:rsidR="00A502C8" w:rsidRPr="002749B6" w:rsidRDefault="00A502C8" w:rsidP="00E15678">
            <w:pPr>
              <w:pStyle w:val="TableTextEntries"/>
            </w:pPr>
            <w:r w:rsidRPr="00A502C8">
              <w:t>900 schemes have been upgraded</w:t>
            </w:r>
          </w:p>
        </w:tc>
      </w:tr>
      <w:tr w:rsidR="00A502C8" w:rsidRPr="004F7D80" w:rsidTr="00A502C8">
        <w:tc>
          <w:tcPr>
            <w:tcW w:w="1220" w:type="pct"/>
            <w:tcBorders>
              <w:top w:val="single" w:sz="4" w:space="0" w:color="auto"/>
            </w:tcBorders>
            <w:tcMar>
              <w:top w:w="57" w:type="dxa"/>
              <w:bottom w:w="57" w:type="dxa"/>
            </w:tcMar>
          </w:tcPr>
          <w:p w:rsidR="00A502C8" w:rsidRPr="00A502C8" w:rsidRDefault="00A502C8" w:rsidP="00E15678">
            <w:pPr>
              <w:pStyle w:val="TableTextEntries"/>
              <w:rPr>
                <w:b/>
              </w:rPr>
            </w:pPr>
            <w:r w:rsidRPr="00A502C8">
              <w:rPr>
                <w:b/>
              </w:rPr>
              <w:t>Climate change and disaster risk reduction</w:t>
            </w:r>
          </w:p>
          <w:p w:rsidR="00A502C8" w:rsidRPr="00A502C8" w:rsidRDefault="00A502C8" w:rsidP="00E15678">
            <w:pPr>
              <w:pStyle w:val="TableTextEntries"/>
            </w:pPr>
            <w:r w:rsidRPr="00A502C8">
              <w:t>Advance climate change adaptation and  mitigation, focusing on the Mekong Delta</w:t>
            </w:r>
            <w:r>
              <w:t>.</w:t>
            </w:r>
          </w:p>
        </w:tc>
        <w:tc>
          <w:tcPr>
            <w:tcW w:w="1379" w:type="pct"/>
            <w:tcBorders>
              <w:top w:val="single" w:sz="4" w:space="0" w:color="auto"/>
            </w:tcBorders>
          </w:tcPr>
          <w:p w:rsidR="00A502C8" w:rsidRPr="00A502C8" w:rsidRDefault="00A502C8" w:rsidP="00EC57EE">
            <w:pPr>
              <w:pStyle w:val="ListParagraph"/>
              <w:numPr>
                <w:ilvl w:val="0"/>
                <w:numId w:val="20"/>
              </w:numPr>
              <w:rPr>
                <w:rFonts w:ascii="Franklin Gothic Book" w:hAnsi="Franklin Gothic Book"/>
                <w:iCs/>
                <w:sz w:val="17"/>
                <w:szCs w:val="17"/>
                <w:lang w:eastAsia="en-US"/>
              </w:rPr>
            </w:pPr>
            <w:r w:rsidRPr="00A502C8">
              <w:rPr>
                <w:rFonts w:ascii="Franklin Gothic Book" w:hAnsi="Franklin Gothic Book"/>
                <w:iCs/>
                <w:sz w:val="17"/>
                <w:szCs w:val="17"/>
                <w:lang w:eastAsia="en-US"/>
              </w:rPr>
              <w:t>247,000 people have increased resilience to climate change and natural disasters</w:t>
            </w:r>
          </w:p>
        </w:tc>
        <w:tc>
          <w:tcPr>
            <w:tcW w:w="394" w:type="pct"/>
            <w:tcBorders>
              <w:top w:val="single" w:sz="4" w:space="0" w:color="auto"/>
            </w:tcBorders>
            <w:shd w:val="clear" w:color="auto" w:fill="92D050"/>
          </w:tcPr>
          <w:p w:rsidR="00A502C8" w:rsidRDefault="00A502C8" w:rsidP="00A502C8">
            <w:pPr>
              <w:pStyle w:val="TableTextEntries"/>
              <w:jc w:val="center"/>
              <w:rPr>
                <w:color w:val="FFFFFF" w:themeColor="background1"/>
              </w:rPr>
            </w:pPr>
            <w:r>
              <w:rPr>
                <w:color w:val="FFFFFF" w:themeColor="background1"/>
              </w:rPr>
              <w:t>Achieved</w:t>
            </w:r>
          </w:p>
        </w:tc>
        <w:tc>
          <w:tcPr>
            <w:tcW w:w="2007" w:type="pct"/>
            <w:tcBorders>
              <w:top w:val="single" w:sz="4" w:space="0" w:color="auto"/>
            </w:tcBorders>
          </w:tcPr>
          <w:p w:rsidR="00A502C8" w:rsidRPr="002749B6" w:rsidRDefault="00A502C8" w:rsidP="00E15678">
            <w:pPr>
              <w:pStyle w:val="TableTextEntries"/>
            </w:pPr>
            <w:r w:rsidRPr="00A502C8">
              <w:t>275,000 people have increased resilience to climate change and natural disasters</w:t>
            </w:r>
          </w:p>
        </w:tc>
      </w:tr>
      <w:tr w:rsidR="00C318B6" w:rsidRPr="004F7D80" w:rsidTr="00C318B6">
        <w:tc>
          <w:tcPr>
            <w:tcW w:w="1220" w:type="pct"/>
            <w:tcMar>
              <w:top w:w="57" w:type="dxa"/>
              <w:bottom w:w="57" w:type="dxa"/>
            </w:tcMar>
          </w:tcPr>
          <w:p w:rsidR="00C318B6" w:rsidRPr="00A502C8" w:rsidRDefault="00C318B6" w:rsidP="00E15678">
            <w:pPr>
              <w:pStyle w:val="TableTextEntries"/>
              <w:rPr>
                <w:b/>
              </w:rPr>
            </w:pPr>
          </w:p>
        </w:tc>
        <w:tc>
          <w:tcPr>
            <w:tcW w:w="1379" w:type="pct"/>
          </w:tcPr>
          <w:p w:rsidR="00C318B6" w:rsidRPr="00A502C8" w:rsidRDefault="00C318B6" w:rsidP="00EC57EE">
            <w:pPr>
              <w:pStyle w:val="ListParagraph"/>
              <w:numPr>
                <w:ilvl w:val="0"/>
                <w:numId w:val="20"/>
              </w:numPr>
              <w:rPr>
                <w:rFonts w:ascii="Franklin Gothic Book" w:hAnsi="Franklin Gothic Book"/>
                <w:iCs/>
                <w:sz w:val="17"/>
                <w:szCs w:val="17"/>
                <w:lang w:eastAsia="en-US"/>
              </w:rPr>
            </w:pPr>
            <w:r w:rsidRPr="00A502C8">
              <w:rPr>
                <w:rFonts w:ascii="Franklin Gothic Book" w:hAnsi="Franklin Gothic Book"/>
                <w:iCs/>
                <w:sz w:val="17"/>
                <w:szCs w:val="17"/>
                <w:lang w:eastAsia="en-US"/>
              </w:rPr>
              <w:t>Government of Vietnam approves development and implementation of priority actions addressing eight strategic tasks of the National Climate Change Strategy</w:t>
            </w:r>
          </w:p>
        </w:tc>
        <w:tc>
          <w:tcPr>
            <w:tcW w:w="394" w:type="pct"/>
            <w:shd w:val="clear" w:color="auto" w:fill="92D050"/>
          </w:tcPr>
          <w:p w:rsidR="00C318B6" w:rsidRDefault="00C318B6" w:rsidP="004B25E5">
            <w:pPr>
              <w:pStyle w:val="TableTextEntries"/>
              <w:jc w:val="center"/>
              <w:rPr>
                <w:color w:val="FFFFFF" w:themeColor="background1"/>
              </w:rPr>
            </w:pPr>
            <w:r>
              <w:rPr>
                <w:color w:val="FFFFFF" w:themeColor="background1"/>
              </w:rPr>
              <w:t>Achieved</w:t>
            </w:r>
          </w:p>
        </w:tc>
        <w:tc>
          <w:tcPr>
            <w:tcW w:w="2007" w:type="pct"/>
          </w:tcPr>
          <w:p w:rsidR="00C318B6" w:rsidRPr="00A502C8" w:rsidRDefault="00C318B6" w:rsidP="00320C8E">
            <w:pPr>
              <w:pStyle w:val="TableTextEntries"/>
            </w:pPr>
            <w:r>
              <w:t>I</w:t>
            </w:r>
            <w:r w:rsidRPr="00C318B6">
              <w:t xml:space="preserve">n July 2014 </w:t>
            </w:r>
            <w:r w:rsidR="00320C8E">
              <w:t>the Government of Vietnam</w:t>
            </w:r>
            <w:r w:rsidRPr="00C318B6">
              <w:t xml:space="preserve"> approved </w:t>
            </w:r>
            <w:r>
              <w:t xml:space="preserve">the </w:t>
            </w:r>
            <w:r w:rsidRPr="00C318B6">
              <w:t>priority policy actions addr</w:t>
            </w:r>
            <w:r>
              <w:t>essing eight</w:t>
            </w:r>
            <w:r w:rsidRPr="00C318B6">
              <w:t xml:space="preserve"> strategic tasks of National Climate Change Strategy to be developed and implemented in 2015.</w:t>
            </w:r>
          </w:p>
        </w:tc>
      </w:tr>
    </w:tbl>
    <w:p w:rsidR="00416B02" w:rsidRPr="00FE4491" w:rsidRDefault="00416B02" w:rsidP="00582C22">
      <w:pPr>
        <w:pStyle w:val="Note"/>
      </w:pPr>
      <w:r w:rsidRPr="00FE4491">
        <w:t xml:space="preserve">Note: </w:t>
      </w:r>
    </w:p>
    <w:p w:rsidR="00416B02" w:rsidRPr="00671434" w:rsidRDefault="00416B02" w:rsidP="00582C22">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w:t>
      </w:r>
      <w:r>
        <w:t xml:space="preserve">and the performance benchmark was achieved </w:t>
      </w:r>
    </w:p>
    <w:p w:rsidR="00416B02" w:rsidRPr="00EA3BAD" w:rsidRDefault="00416B02" w:rsidP="00582C22">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towards achieving the performance benchmark, but progress was less than anticipated. </w:t>
      </w:r>
    </w:p>
    <w:p w:rsidR="00416B02" w:rsidRDefault="00416B02" w:rsidP="00A502C8">
      <w:pPr>
        <w:pStyle w:val="Note"/>
      </w:pPr>
      <w:r w:rsidRPr="00EA3BAD">
        <w:rPr>
          <w:color w:val="FF0000"/>
        </w:rPr>
        <w:sym w:font="Webdings" w:char="F067"/>
      </w:r>
      <w:r w:rsidRPr="00EA3BAD">
        <w:t> </w:t>
      </w:r>
      <w:r w:rsidRPr="00EA3BAD">
        <w:t xml:space="preserve"> Not achieved. Progress </w:t>
      </w:r>
      <w:r>
        <w:t xml:space="preserve">towards the performance benchmark </w:t>
      </w:r>
      <w:r w:rsidRPr="00EA3BAD">
        <w:t>has been significantly below expectations</w:t>
      </w:r>
      <w:r>
        <w:br w:type="page"/>
      </w:r>
    </w:p>
    <w:p w:rsidR="00416B02" w:rsidRPr="00416B02" w:rsidRDefault="00416B02" w:rsidP="00416B02">
      <w:pPr>
        <w:pStyle w:val="BodyText"/>
        <w:sectPr w:rsidR="00416B02" w:rsidRPr="00416B02" w:rsidSect="000D733F">
          <w:headerReference w:type="even" r:id="rId24"/>
          <w:footerReference w:type="first" r:id="rId25"/>
          <w:footnotePr>
            <w:numRestart w:val="eachPage"/>
          </w:footnotePr>
          <w:type w:val="continuous"/>
          <w:pgSz w:w="16838" w:h="11906" w:orient="landscape" w:code="9"/>
          <w:pgMar w:top="1814" w:right="1814" w:bottom="851" w:left="851" w:header="709" w:footer="425" w:gutter="0"/>
          <w:cols w:space="708"/>
          <w:titlePg/>
          <w:docGrid w:linePitch="360"/>
        </w:sectPr>
      </w:pPr>
    </w:p>
    <w:bookmarkEnd w:id="2"/>
    <w:p w:rsidR="00416B02" w:rsidRPr="009E38C1" w:rsidRDefault="005C310A" w:rsidP="00416B02">
      <w:pPr>
        <w:pStyle w:val="Heading2"/>
        <w:rPr>
          <w:sz w:val="28"/>
        </w:rPr>
      </w:pPr>
      <w:r>
        <w:rPr>
          <w:sz w:val="28"/>
        </w:rPr>
        <w:lastRenderedPageBreak/>
        <w:t>Annex C</w:t>
      </w:r>
      <w:r w:rsidR="0057490F">
        <w:rPr>
          <w:sz w:val="28"/>
        </w:rPr>
        <w:t xml:space="preserve"> - </w:t>
      </w:r>
      <w:r w:rsidR="00416B02" w:rsidRPr="009E38C1">
        <w:rPr>
          <w:sz w:val="28"/>
        </w:rPr>
        <w:t>Evaluation and Review Pipeline Planning</w:t>
      </w:r>
      <w:r w:rsidR="009150A7">
        <w:rPr>
          <w:sz w:val="28"/>
        </w:rPr>
        <w:t xml:space="preserve"> </w:t>
      </w:r>
    </w:p>
    <w:p w:rsidR="008F6E08" w:rsidRPr="00071B95" w:rsidRDefault="008F6E08" w:rsidP="007375D9">
      <w:pPr>
        <w:pStyle w:val="Heading3"/>
      </w:pPr>
      <w:r w:rsidRPr="00071B95">
        <w:t xml:space="preserve">List of </w:t>
      </w:r>
      <w:r>
        <w:t>e</w:t>
      </w:r>
      <w:r w:rsidRPr="00071B95">
        <w:t>valuations completed</w:t>
      </w:r>
      <w:r>
        <w:t xml:space="preserve"> </w:t>
      </w:r>
      <w:r w:rsidRPr="00071B95">
        <w:t xml:space="preserve">in the reporting period </w:t>
      </w:r>
    </w:p>
    <w:tbl>
      <w:tblPr>
        <w:tblStyle w:val="APPR"/>
        <w:tblW w:w="15162" w:type="dxa"/>
        <w:tblLook w:val="04A0" w:firstRow="1" w:lastRow="0" w:firstColumn="1" w:lastColumn="0" w:noHBand="0" w:noVBand="1"/>
        <w:tblCaption w:val="List of evaluations completed in the reporting period"/>
        <w:tblDescription w:val="Table sets out the list of evaluations completed in the reporting period, including details of the investment name, AidWorks number, name of evaluation, date finalised, datve uploaded into AidWorks, data management response uploaded into AidWorks and data published on website."/>
      </w:tblPr>
      <w:tblGrid>
        <w:gridCol w:w="3538"/>
        <w:gridCol w:w="993"/>
        <w:gridCol w:w="2126"/>
        <w:gridCol w:w="1843"/>
        <w:gridCol w:w="2409"/>
        <w:gridCol w:w="2552"/>
        <w:gridCol w:w="1701"/>
      </w:tblGrid>
      <w:tr w:rsidR="008F6E08" w:rsidRPr="00071B95" w:rsidTr="00A05D61">
        <w:trPr>
          <w:cnfStyle w:val="100000000000" w:firstRow="1" w:lastRow="0" w:firstColumn="0" w:lastColumn="0" w:oddVBand="0" w:evenVBand="0" w:oddHBand="0" w:evenHBand="0" w:firstRowFirstColumn="0" w:firstRowLastColumn="0" w:lastRowFirstColumn="0" w:lastRowLastColumn="0"/>
        </w:trPr>
        <w:tc>
          <w:tcPr>
            <w:tcW w:w="3496" w:type="dxa"/>
            <w:tcBorders>
              <w:top w:val="none" w:sz="0" w:space="0" w:color="auto"/>
              <w:bottom w:val="none" w:sz="0" w:space="0" w:color="auto"/>
            </w:tcBorders>
          </w:tcPr>
          <w:p w:rsidR="008F6E08" w:rsidRPr="00071B95" w:rsidRDefault="008F6E08" w:rsidP="008F6E08">
            <w:pPr>
              <w:pStyle w:val="TableTextColumnHeading"/>
              <w:rPr>
                <w:b/>
              </w:rPr>
            </w:pPr>
            <w:r w:rsidRPr="00071B95">
              <w:rPr>
                <w:b/>
              </w:rPr>
              <w:t xml:space="preserve">Name of </w:t>
            </w:r>
            <w:r>
              <w:rPr>
                <w:b/>
              </w:rPr>
              <w:t>Investment</w:t>
            </w:r>
          </w:p>
        </w:tc>
        <w:tc>
          <w:tcPr>
            <w:tcW w:w="965" w:type="dxa"/>
            <w:tcBorders>
              <w:top w:val="none" w:sz="0" w:space="0" w:color="auto"/>
              <w:bottom w:val="none" w:sz="0" w:space="0" w:color="auto"/>
            </w:tcBorders>
          </w:tcPr>
          <w:p w:rsidR="008F6E08" w:rsidRPr="00071B95" w:rsidRDefault="008F6E08" w:rsidP="008F6E08">
            <w:pPr>
              <w:pStyle w:val="TableTextColumnHeading"/>
              <w:rPr>
                <w:b/>
              </w:rPr>
            </w:pPr>
            <w:r>
              <w:rPr>
                <w:b/>
              </w:rPr>
              <w:t>AidW</w:t>
            </w:r>
            <w:r w:rsidRPr="00071B95">
              <w:rPr>
                <w:b/>
              </w:rPr>
              <w:t>orks number</w:t>
            </w:r>
          </w:p>
        </w:tc>
        <w:tc>
          <w:tcPr>
            <w:tcW w:w="2098" w:type="dxa"/>
            <w:tcBorders>
              <w:top w:val="none" w:sz="0" w:space="0" w:color="auto"/>
              <w:bottom w:val="none" w:sz="0" w:space="0" w:color="auto"/>
            </w:tcBorders>
          </w:tcPr>
          <w:p w:rsidR="008F6E08" w:rsidRPr="00071B95" w:rsidRDefault="008F6E08" w:rsidP="008F6E08">
            <w:pPr>
              <w:pStyle w:val="TableTextColumnHeading"/>
              <w:rPr>
                <w:b/>
              </w:rPr>
            </w:pPr>
            <w:r>
              <w:rPr>
                <w:b/>
              </w:rPr>
              <w:t>Name of evaluation</w:t>
            </w:r>
          </w:p>
        </w:tc>
        <w:tc>
          <w:tcPr>
            <w:tcW w:w="1815" w:type="dxa"/>
            <w:tcBorders>
              <w:top w:val="none" w:sz="0" w:space="0" w:color="auto"/>
              <w:bottom w:val="none" w:sz="0" w:space="0" w:color="auto"/>
            </w:tcBorders>
          </w:tcPr>
          <w:p w:rsidR="008F6E08" w:rsidRPr="00071B95" w:rsidRDefault="008F6E08" w:rsidP="008F6E08">
            <w:pPr>
              <w:pStyle w:val="TableTextColumnHeading"/>
              <w:rPr>
                <w:b/>
              </w:rPr>
            </w:pPr>
            <w:r w:rsidRPr="00071B95">
              <w:rPr>
                <w:b/>
              </w:rPr>
              <w:t xml:space="preserve">Date </w:t>
            </w:r>
            <w:r>
              <w:rPr>
                <w:b/>
              </w:rPr>
              <w:t>finalised</w:t>
            </w:r>
          </w:p>
        </w:tc>
        <w:tc>
          <w:tcPr>
            <w:tcW w:w="2381" w:type="dxa"/>
            <w:tcBorders>
              <w:top w:val="none" w:sz="0" w:space="0" w:color="auto"/>
              <w:bottom w:val="none" w:sz="0" w:space="0" w:color="auto"/>
            </w:tcBorders>
          </w:tcPr>
          <w:p w:rsidR="008F6E08" w:rsidRPr="00071B95" w:rsidRDefault="008F6E08" w:rsidP="008F6E08">
            <w:pPr>
              <w:pStyle w:val="TableTextColumnHeading"/>
              <w:rPr>
                <w:b/>
              </w:rPr>
            </w:pPr>
            <w:r w:rsidRPr="00071B95">
              <w:rPr>
                <w:b/>
              </w:rPr>
              <w:t xml:space="preserve">Date Evaluation report Uploaded into </w:t>
            </w:r>
            <w:r>
              <w:rPr>
                <w:b/>
              </w:rPr>
              <w:t>AidW</w:t>
            </w:r>
            <w:r w:rsidRPr="00071B95">
              <w:rPr>
                <w:b/>
              </w:rPr>
              <w:t>orks</w:t>
            </w:r>
          </w:p>
        </w:tc>
        <w:tc>
          <w:tcPr>
            <w:tcW w:w="2524" w:type="dxa"/>
            <w:tcBorders>
              <w:top w:val="none" w:sz="0" w:space="0" w:color="auto"/>
              <w:bottom w:val="none" w:sz="0" w:space="0" w:color="auto"/>
            </w:tcBorders>
          </w:tcPr>
          <w:p w:rsidR="008F6E08" w:rsidRPr="00071B95" w:rsidRDefault="008F6E08" w:rsidP="008F6E08">
            <w:pPr>
              <w:pStyle w:val="TableTextColumnHeading"/>
              <w:rPr>
                <w:b/>
              </w:rPr>
            </w:pPr>
            <w:r w:rsidRPr="00071B95">
              <w:rPr>
                <w:b/>
              </w:rPr>
              <w:t xml:space="preserve">Date Management response uploaded into </w:t>
            </w:r>
            <w:r>
              <w:rPr>
                <w:b/>
              </w:rPr>
              <w:t>AidW</w:t>
            </w:r>
            <w:r w:rsidRPr="00071B95">
              <w:rPr>
                <w:b/>
              </w:rPr>
              <w:t>orks</w:t>
            </w:r>
          </w:p>
        </w:tc>
        <w:tc>
          <w:tcPr>
            <w:tcW w:w="1659" w:type="dxa"/>
            <w:tcBorders>
              <w:top w:val="none" w:sz="0" w:space="0" w:color="auto"/>
              <w:bottom w:val="none" w:sz="0" w:space="0" w:color="auto"/>
            </w:tcBorders>
          </w:tcPr>
          <w:p w:rsidR="008F6E08" w:rsidRPr="00071B95" w:rsidRDefault="008F6E08" w:rsidP="008F6E08">
            <w:pPr>
              <w:pStyle w:val="TableTextColumnHeading"/>
              <w:rPr>
                <w:b/>
              </w:rPr>
            </w:pPr>
            <w:r w:rsidRPr="00071B95">
              <w:rPr>
                <w:b/>
              </w:rPr>
              <w:t>Published on website</w:t>
            </w:r>
          </w:p>
        </w:tc>
      </w:tr>
      <w:tr w:rsidR="00FF18C2" w:rsidRPr="00FF18C2" w:rsidTr="00A05D61">
        <w:trPr>
          <w:cnfStyle w:val="100000000000" w:firstRow="1" w:lastRow="0" w:firstColumn="0" w:lastColumn="0" w:oddVBand="0" w:evenVBand="0" w:oddHBand="0" w:evenHBand="0" w:firstRowFirstColumn="0" w:firstRowLastColumn="0" w:lastRowFirstColumn="0" w:lastRowLastColumn="0"/>
          <w:trHeight w:val="765"/>
        </w:trPr>
        <w:tc>
          <w:tcPr>
            <w:tcW w:w="3496" w:type="dxa"/>
            <w:tcBorders>
              <w:top w:val="single" w:sz="12" w:space="0" w:color="000000" w:themeColor="text1"/>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Joint Donor Support to RWSS NTP3</w:t>
            </w:r>
          </w:p>
        </w:tc>
        <w:tc>
          <w:tcPr>
            <w:tcW w:w="965" w:type="dxa"/>
            <w:tcBorders>
              <w:top w:val="single" w:sz="12" w:space="0" w:color="000000" w:themeColor="text1"/>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INJ128</w:t>
            </w:r>
          </w:p>
        </w:tc>
        <w:tc>
          <w:tcPr>
            <w:tcW w:w="2098" w:type="dxa"/>
            <w:tcBorders>
              <w:top w:val="single" w:sz="12" w:space="0" w:color="000000" w:themeColor="text1"/>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Mid-term review</w:t>
            </w:r>
          </w:p>
        </w:tc>
        <w:tc>
          <w:tcPr>
            <w:tcW w:w="1815" w:type="dxa"/>
            <w:tcBorders>
              <w:top w:val="single" w:sz="12" w:space="0" w:color="000000" w:themeColor="text1"/>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 xml:space="preserve">August  2015 </w:t>
            </w:r>
          </w:p>
        </w:tc>
        <w:tc>
          <w:tcPr>
            <w:tcW w:w="2381" w:type="dxa"/>
            <w:tcBorders>
              <w:top w:val="single" w:sz="12" w:space="0" w:color="000000" w:themeColor="text1"/>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September 2015</w:t>
            </w:r>
          </w:p>
        </w:tc>
        <w:tc>
          <w:tcPr>
            <w:tcW w:w="2524" w:type="dxa"/>
            <w:tcBorders>
              <w:top w:val="single" w:sz="12" w:space="0" w:color="000000" w:themeColor="text1"/>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October 2015</w:t>
            </w:r>
          </w:p>
        </w:tc>
        <w:tc>
          <w:tcPr>
            <w:tcW w:w="1659" w:type="dxa"/>
            <w:tcBorders>
              <w:top w:val="single" w:sz="12" w:space="0" w:color="000000" w:themeColor="text1"/>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TBC</w:t>
            </w:r>
          </w:p>
        </w:tc>
      </w:tr>
      <w:tr w:rsidR="00FF18C2" w:rsidRPr="00FF18C2" w:rsidTr="00A05D61">
        <w:trPr>
          <w:cnfStyle w:val="100000000000" w:firstRow="1" w:lastRow="0" w:firstColumn="0" w:lastColumn="0" w:oddVBand="0" w:evenVBand="0" w:oddHBand="0" w:evenHBand="0" w:firstRowFirstColumn="0" w:firstRowLastColumn="0" w:lastRowFirstColumn="0" w:lastRowLastColumn="0"/>
          <w:trHeight w:val="765"/>
        </w:trPr>
        <w:tc>
          <w:tcPr>
            <w:tcW w:w="3496" w:type="dxa"/>
            <w:tcBorders>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Australia World Bank Partnership Trust Fund</w:t>
            </w:r>
          </w:p>
        </w:tc>
        <w:tc>
          <w:tcPr>
            <w:tcW w:w="965" w:type="dxa"/>
            <w:tcBorders>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INK376</w:t>
            </w:r>
          </w:p>
        </w:tc>
        <w:tc>
          <w:tcPr>
            <w:tcW w:w="2098" w:type="dxa"/>
            <w:tcBorders>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Mid-term review</w:t>
            </w:r>
          </w:p>
        </w:tc>
        <w:tc>
          <w:tcPr>
            <w:tcW w:w="1815" w:type="dxa"/>
            <w:tcBorders>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November 2014</w:t>
            </w:r>
          </w:p>
        </w:tc>
        <w:tc>
          <w:tcPr>
            <w:tcW w:w="2381" w:type="dxa"/>
            <w:tcBorders>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September 2015</w:t>
            </w:r>
          </w:p>
        </w:tc>
        <w:tc>
          <w:tcPr>
            <w:tcW w:w="2524" w:type="dxa"/>
            <w:tcBorders>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October 2015</w:t>
            </w:r>
          </w:p>
        </w:tc>
        <w:tc>
          <w:tcPr>
            <w:tcW w:w="1659" w:type="dxa"/>
            <w:tcBorders>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TBC</w:t>
            </w:r>
          </w:p>
        </w:tc>
      </w:tr>
      <w:tr w:rsidR="00FF18C2" w:rsidRPr="00FF18C2" w:rsidTr="00A05D61">
        <w:trPr>
          <w:cnfStyle w:val="100000000000" w:firstRow="1" w:lastRow="0" w:firstColumn="0" w:lastColumn="0" w:oddVBand="0" w:evenVBand="0" w:oddHBand="0" w:evenHBand="0" w:firstRowFirstColumn="0" w:firstRowLastColumn="0" w:lastRowFirstColumn="0" w:lastRowLastColumn="0"/>
          <w:trHeight w:val="765"/>
        </w:trPr>
        <w:tc>
          <w:tcPr>
            <w:tcW w:w="3496" w:type="dxa"/>
            <w:tcBorders>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Public Finance Management Program</w:t>
            </w:r>
          </w:p>
        </w:tc>
        <w:tc>
          <w:tcPr>
            <w:tcW w:w="965" w:type="dxa"/>
            <w:tcBorders>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INH925</w:t>
            </w:r>
          </w:p>
        </w:tc>
        <w:tc>
          <w:tcPr>
            <w:tcW w:w="2098" w:type="dxa"/>
            <w:tcBorders>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Completion evaluation</w:t>
            </w:r>
          </w:p>
        </w:tc>
        <w:tc>
          <w:tcPr>
            <w:tcW w:w="1815" w:type="dxa"/>
            <w:tcBorders>
              <w:bottom w:val="single" w:sz="2" w:space="0" w:color="000000" w:themeColor="text1"/>
            </w:tcBorders>
            <w:noWrap/>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September 2014</w:t>
            </w:r>
          </w:p>
        </w:tc>
        <w:tc>
          <w:tcPr>
            <w:tcW w:w="2381" w:type="dxa"/>
            <w:tcBorders>
              <w:bottom w:val="single" w:sz="2" w:space="0" w:color="000000" w:themeColor="text1"/>
            </w:tcBorders>
            <w:noWrap/>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N/a (Investment under 3 million not listed for quality management on Aidworks)</w:t>
            </w:r>
          </w:p>
        </w:tc>
        <w:tc>
          <w:tcPr>
            <w:tcW w:w="2524" w:type="dxa"/>
            <w:tcBorders>
              <w:bottom w:val="single" w:sz="2" w:space="0" w:color="000000" w:themeColor="text1"/>
            </w:tcBorders>
            <w:noWrap/>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N/a</w:t>
            </w:r>
          </w:p>
        </w:tc>
        <w:tc>
          <w:tcPr>
            <w:tcW w:w="1659" w:type="dxa"/>
            <w:tcBorders>
              <w:bottom w:val="single" w:sz="2" w:space="0" w:color="000000" w:themeColor="text1"/>
            </w:tcBorders>
            <w:noWrap/>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N/a</w:t>
            </w:r>
          </w:p>
        </w:tc>
      </w:tr>
      <w:tr w:rsidR="00FF18C2" w:rsidRPr="00FF18C2" w:rsidTr="00A05D61">
        <w:trPr>
          <w:cnfStyle w:val="100000000000" w:firstRow="1" w:lastRow="0" w:firstColumn="0" w:lastColumn="0" w:oddVBand="0" w:evenVBand="0" w:oddHBand="0" w:evenHBand="0" w:firstRowFirstColumn="0" w:firstRowLastColumn="0" w:lastRowFirstColumn="0" w:lastRowLastColumn="0"/>
          <w:trHeight w:val="943"/>
        </w:trPr>
        <w:tc>
          <w:tcPr>
            <w:tcW w:w="3496" w:type="dxa"/>
            <w:tcBorders>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Delivering Better Health</w:t>
            </w:r>
          </w:p>
        </w:tc>
        <w:tc>
          <w:tcPr>
            <w:tcW w:w="965" w:type="dxa"/>
            <w:tcBorders>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INH507</w:t>
            </w:r>
          </w:p>
        </w:tc>
        <w:tc>
          <w:tcPr>
            <w:tcW w:w="2098" w:type="dxa"/>
            <w:tcBorders>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Completion evaluation (Partner Lead)</w:t>
            </w:r>
          </w:p>
        </w:tc>
        <w:tc>
          <w:tcPr>
            <w:tcW w:w="1815" w:type="dxa"/>
            <w:tcBorders>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July 2015</w:t>
            </w:r>
          </w:p>
        </w:tc>
        <w:tc>
          <w:tcPr>
            <w:tcW w:w="2381" w:type="dxa"/>
            <w:tcBorders>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October 2015</w:t>
            </w:r>
          </w:p>
        </w:tc>
        <w:tc>
          <w:tcPr>
            <w:tcW w:w="2524" w:type="dxa"/>
            <w:tcBorders>
              <w:bottom w:val="single" w:sz="2" w:space="0" w:color="000000" w:themeColor="text1"/>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N/a (Completion evaluation in the sector that the program has exited from)</w:t>
            </w:r>
          </w:p>
        </w:tc>
        <w:tc>
          <w:tcPr>
            <w:tcW w:w="1659" w:type="dxa"/>
            <w:tcBorders>
              <w:bottom w:val="single" w:sz="2" w:space="0" w:color="000000" w:themeColor="text1"/>
            </w:tcBorders>
            <w:noWrap/>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TBC</w:t>
            </w:r>
          </w:p>
        </w:tc>
      </w:tr>
      <w:tr w:rsidR="00FF18C2" w:rsidRPr="00FF18C2" w:rsidTr="00A05D61">
        <w:trPr>
          <w:cnfStyle w:val="100000000000" w:firstRow="1" w:lastRow="0" w:firstColumn="0" w:lastColumn="0" w:oddVBand="0" w:evenVBand="0" w:oddHBand="0" w:evenHBand="0" w:firstRowFirstColumn="0" w:firstRowLastColumn="0" w:lastRowFirstColumn="0" w:lastRowLastColumn="0"/>
          <w:trHeight w:val="780"/>
        </w:trPr>
        <w:tc>
          <w:tcPr>
            <w:tcW w:w="3496" w:type="dxa"/>
            <w:tcBorders>
              <w:top w:val="none" w:sz="0" w:space="0" w:color="auto"/>
              <w:bottom w:val="none" w:sz="0" w:space="0" w:color="auto"/>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In-country Engineering Scholarship</w:t>
            </w:r>
          </w:p>
        </w:tc>
        <w:tc>
          <w:tcPr>
            <w:tcW w:w="965" w:type="dxa"/>
            <w:tcBorders>
              <w:top w:val="none" w:sz="0" w:space="0" w:color="auto"/>
              <w:bottom w:val="none" w:sz="0" w:space="0" w:color="auto"/>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INJ173</w:t>
            </w:r>
          </w:p>
        </w:tc>
        <w:tc>
          <w:tcPr>
            <w:tcW w:w="2098" w:type="dxa"/>
            <w:tcBorders>
              <w:top w:val="none" w:sz="0" w:space="0" w:color="auto"/>
              <w:bottom w:val="none" w:sz="0" w:space="0" w:color="auto"/>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Review of the in-country scholarship model</w:t>
            </w:r>
          </w:p>
        </w:tc>
        <w:tc>
          <w:tcPr>
            <w:tcW w:w="1815" w:type="dxa"/>
            <w:tcBorders>
              <w:top w:val="none" w:sz="0" w:space="0" w:color="auto"/>
              <w:bottom w:val="none" w:sz="0" w:space="0" w:color="auto"/>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 September 2014</w:t>
            </w:r>
          </w:p>
        </w:tc>
        <w:tc>
          <w:tcPr>
            <w:tcW w:w="2381" w:type="dxa"/>
            <w:tcBorders>
              <w:top w:val="none" w:sz="0" w:space="0" w:color="auto"/>
              <w:bottom w:val="none" w:sz="0" w:space="0" w:color="auto"/>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N/a (Investment under 3 million not listed for quality management on aidworks)</w:t>
            </w:r>
          </w:p>
        </w:tc>
        <w:tc>
          <w:tcPr>
            <w:tcW w:w="2524" w:type="dxa"/>
            <w:tcBorders>
              <w:top w:val="none" w:sz="0" w:space="0" w:color="auto"/>
              <w:bottom w:val="none" w:sz="0" w:space="0" w:color="auto"/>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 N/a</w:t>
            </w:r>
          </w:p>
        </w:tc>
        <w:tc>
          <w:tcPr>
            <w:tcW w:w="1659" w:type="dxa"/>
            <w:tcBorders>
              <w:top w:val="none" w:sz="0" w:space="0" w:color="auto"/>
              <w:bottom w:val="none" w:sz="0" w:space="0" w:color="auto"/>
            </w:tcBorders>
            <w:hideMark/>
          </w:tcPr>
          <w:p w:rsidR="00FF18C2" w:rsidRPr="00FF18C2" w:rsidRDefault="00FF18C2" w:rsidP="00FF18C2">
            <w:pPr>
              <w:spacing w:before="240"/>
              <w:rPr>
                <w:rFonts w:ascii="Franklin Gothic Book" w:hAnsi="Franklin Gothic Book" w:cs="Calibri"/>
                <w:b w:val="0"/>
                <w:color w:val="000000"/>
                <w:sz w:val="17"/>
                <w:szCs w:val="17"/>
              </w:rPr>
            </w:pPr>
            <w:r w:rsidRPr="00FF18C2">
              <w:rPr>
                <w:rFonts w:ascii="Franklin Gothic Book" w:hAnsi="Franklin Gothic Book" w:cs="Calibri"/>
                <w:b w:val="0"/>
                <w:color w:val="000000"/>
                <w:sz w:val="17"/>
                <w:szCs w:val="17"/>
              </w:rPr>
              <w:t>N/a</w:t>
            </w:r>
          </w:p>
        </w:tc>
      </w:tr>
    </w:tbl>
    <w:p w:rsidR="008F6E08" w:rsidRDefault="008F6E08">
      <w:pPr>
        <w:spacing w:after="200" w:line="276" w:lineRule="auto"/>
        <w:rPr>
          <w:rFonts w:ascii="Helvetica" w:eastAsia="Times New Roman" w:hAnsi="Helvetica" w:cs="Arial"/>
          <w:b/>
          <w:color w:val="124486"/>
          <w:kern w:val="28"/>
          <w:sz w:val="22"/>
          <w:szCs w:val="22"/>
          <w:lang w:eastAsia="zh-CN"/>
        </w:rPr>
      </w:pPr>
      <w:r>
        <w:br w:type="page"/>
      </w:r>
    </w:p>
    <w:p w:rsidR="00416B02" w:rsidRPr="00071B95" w:rsidRDefault="00416B02" w:rsidP="007375D9">
      <w:pPr>
        <w:pStyle w:val="Heading3"/>
      </w:pPr>
      <w:r w:rsidRPr="00071B95">
        <w:lastRenderedPageBreak/>
        <w:t xml:space="preserve">List of evaluations planned in the next 12 months </w:t>
      </w:r>
    </w:p>
    <w:p w:rsidR="00416B02" w:rsidRDefault="00416B02" w:rsidP="00416B02">
      <w:pPr>
        <w:pStyle w:val="TableTextColumnHeading"/>
        <w:sectPr w:rsidR="00416B02" w:rsidSect="00CD061B">
          <w:headerReference w:type="even" r:id="rId26"/>
          <w:footerReference w:type="first" r:id="rId27"/>
          <w:pgSz w:w="16838" w:h="11906" w:orient="landscape" w:code="9"/>
          <w:pgMar w:top="1814" w:right="1814" w:bottom="851" w:left="851" w:header="709" w:footer="425" w:gutter="0"/>
          <w:cols w:space="708"/>
          <w:docGrid w:linePitch="360"/>
        </w:sectPr>
      </w:pPr>
    </w:p>
    <w:tbl>
      <w:tblPr>
        <w:tblStyle w:val="APPR"/>
        <w:tblW w:w="0" w:type="auto"/>
        <w:tblLook w:val="0600" w:firstRow="0" w:lastRow="0" w:firstColumn="0" w:lastColumn="0" w:noHBand="1" w:noVBand="1"/>
        <w:tblCaption w:val="List of evaluations planned in the next 12 months"/>
        <w:tblDescription w:val="Table lists evaluations planned in the next 12 months, including details of the name of the investment, AidWorks number, type of evaluation, purpose of evaluation and expectec ompletion date."/>
      </w:tblPr>
      <w:tblGrid>
        <w:gridCol w:w="2643"/>
        <w:gridCol w:w="2558"/>
        <w:gridCol w:w="2640"/>
        <w:gridCol w:w="2640"/>
        <w:gridCol w:w="2659"/>
      </w:tblGrid>
      <w:tr w:rsidR="00416B02" w:rsidRPr="00071B95" w:rsidTr="00EC7057">
        <w:tc>
          <w:tcPr>
            <w:tcW w:w="2601" w:type="dxa"/>
            <w:tcBorders>
              <w:top w:val="nil"/>
              <w:bottom w:val="nil"/>
            </w:tcBorders>
          </w:tcPr>
          <w:p w:rsidR="00416B02" w:rsidRPr="00071B95" w:rsidRDefault="00416B02" w:rsidP="00E15678">
            <w:pPr>
              <w:pStyle w:val="TableTextColumnHeading"/>
            </w:pPr>
            <w:r w:rsidRPr="00071B95">
              <w:lastRenderedPageBreak/>
              <w:t xml:space="preserve">Name of </w:t>
            </w:r>
            <w:r>
              <w:t>Investment</w:t>
            </w:r>
          </w:p>
        </w:tc>
        <w:tc>
          <w:tcPr>
            <w:tcW w:w="2530" w:type="dxa"/>
            <w:tcBorders>
              <w:top w:val="nil"/>
              <w:bottom w:val="nil"/>
            </w:tcBorders>
          </w:tcPr>
          <w:p w:rsidR="00416B02" w:rsidRPr="00071B95" w:rsidRDefault="00136CC1" w:rsidP="00E15678">
            <w:pPr>
              <w:pStyle w:val="TableTextColumnHeading"/>
            </w:pPr>
            <w:r>
              <w:t>AidW</w:t>
            </w:r>
            <w:r w:rsidRPr="00071B95">
              <w:t>orks</w:t>
            </w:r>
            <w:r w:rsidR="00416B02" w:rsidRPr="00071B95">
              <w:t xml:space="preserve"> number</w:t>
            </w:r>
          </w:p>
        </w:tc>
        <w:tc>
          <w:tcPr>
            <w:tcW w:w="2612" w:type="dxa"/>
            <w:tcBorders>
              <w:top w:val="nil"/>
              <w:bottom w:val="nil"/>
            </w:tcBorders>
          </w:tcPr>
          <w:p w:rsidR="00416B02" w:rsidRPr="00071B95" w:rsidRDefault="00416B02" w:rsidP="00E15678">
            <w:pPr>
              <w:pStyle w:val="TableTextColumnHeading"/>
            </w:pPr>
            <w:r w:rsidRPr="00071B95">
              <w:t>Type of evaluation</w:t>
            </w:r>
          </w:p>
        </w:tc>
        <w:tc>
          <w:tcPr>
            <w:tcW w:w="2612" w:type="dxa"/>
            <w:tcBorders>
              <w:top w:val="nil"/>
              <w:bottom w:val="nil"/>
            </w:tcBorders>
          </w:tcPr>
          <w:p w:rsidR="00416B02" w:rsidRPr="00071B95" w:rsidRDefault="00416B02" w:rsidP="00E15678">
            <w:pPr>
              <w:pStyle w:val="TableTextColumnHeading"/>
            </w:pPr>
            <w:r w:rsidRPr="00071B95">
              <w:t>Purpose of evaluation</w:t>
            </w:r>
          </w:p>
        </w:tc>
        <w:tc>
          <w:tcPr>
            <w:tcW w:w="2617" w:type="dxa"/>
            <w:tcBorders>
              <w:top w:val="nil"/>
              <w:bottom w:val="nil"/>
            </w:tcBorders>
          </w:tcPr>
          <w:p w:rsidR="00416B02" w:rsidRPr="00071B95" w:rsidRDefault="00416B02" w:rsidP="00E15678">
            <w:pPr>
              <w:pStyle w:val="TableTextColumnHeading"/>
            </w:pPr>
            <w:r w:rsidRPr="00071B95">
              <w:t>Expected completion date</w:t>
            </w:r>
          </w:p>
        </w:tc>
      </w:tr>
      <w:tr w:rsidR="008F6E08" w:rsidRPr="00071B95" w:rsidTr="00A05D61">
        <w:tc>
          <w:tcPr>
            <w:tcW w:w="2601" w:type="dxa"/>
            <w:tcBorders>
              <w:top w:val="single" w:sz="2" w:space="0" w:color="000000" w:themeColor="text1"/>
              <w:bottom w:val="nil"/>
            </w:tcBorders>
            <w:vAlign w:val="center"/>
          </w:tcPr>
          <w:p w:rsidR="008F6E08" w:rsidRDefault="008F6E08"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Mekong Transport Infrastructure Development</w:t>
            </w:r>
          </w:p>
        </w:tc>
        <w:tc>
          <w:tcPr>
            <w:tcW w:w="2530" w:type="dxa"/>
            <w:tcBorders>
              <w:top w:val="single" w:sz="2" w:space="0" w:color="000000" w:themeColor="text1"/>
              <w:bottom w:val="nil"/>
            </w:tcBorders>
            <w:vAlign w:val="center"/>
          </w:tcPr>
          <w:p w:rsidR="008F6E08" w:rsidRDefault="008F6E08"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INH551</w:t>
            </w:r>
          </w:p>
        </w:tc>
        <w:tc>
          <w:tcPr>
            <w:tcW w:w="2612" w:type="dxa"/>
            <w:tcBorders>
              <w:top w:val="single" w:sz="2" w:space="0" w:color="000000" w:themeColor="text1"/>
              <w:bottom w:val="nil"/>
            </w:tcBorders>
            <w:vAlign w:val="center"/>
          </w:tcPr>
          <w:p w:rsidR="008F6E08" w:rsidRDefault="008F6E08"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Partner-led evaluation</w:t>
            </w:r>
          </w:p>
        </w:tc>
        <w:tc>
          <w:tcPr>
            <w:tcW w:w="2612" w:type="dxa"/>
            <w:tcBorders>
              <w:top w:val="single" w:sz="2" w:space="0" w:color="000000" w:themeColor="text1"/>
              <w:bottom w:val="nil"/>
            </w:tcBorders>
            <w:vAlign w:val="center"/>
          </w:tcPr>
          <w:p w:rsidR="008F6E08" w:rsidRDefault="008F6E08"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End of project evaluation to assess results</w:t>
            </w:r>
          </w:p>
        </w:tc>
        <w:tc>
          <w:tcPr>
            <w:tcW w:w="2617" w:type="dxa"/>
            <w:tcBorders>
              <w:top w:val="single" w:sz="2" w:space="0" w:color="000000" w:themeColor="text1"/>
              <w:bottom w:val="nil"/>
            </w:tcBorders>
            <w:vAlign w:val="center"/>
          </w:tcPr>
          <w:p w:rsidR="008F6E08" w:rsidRDefault="008F6E08" w:rsidP="00A05D61">
            <w:pPr>
              <w:spacing w:after="240"/>
              <w:jc w:val="right"/>
              <w:rPr>
                <w:rFonts w:ascii="Franklin Gothic Book" w:hAnsi="Franklin Gothic Book" w:cs="Calibri"/>
                <w:color w:val="000000"/>
                <w:sz w:val="17"/>
                <w:szCs w:val="17"/>
              </w:rPr>
            </w:pPr>
            <w:r>
              <w:rPr>
                <w:rFonts w:ascii="Franklin Gothic Book" w:hAnsi="Franklin Gothic Book" w:cs="Calibri"/>
                <w:color w:val="000000"/>
                <w:sz w:val="17"/>
                <w:szCs w:val="17"/>
              </w:rPr>
              <w:t>December 2015</w:t>
            </w:r>
          </w:p>
        </w:tc>
      </w:tr>
      <w:tr w:rsidR="008F6E08" w:rsidRPr="00071B95" w:rsidTr="00A05D61">
        <w:tc>
          <w:tcPr>
            <w:tcW w:w="2601" w:type="dxa"/>
            <w:tcBorders>
              <w:top w:val="single" w:sz="2" w:space="0" w:color="000000" w:themeColor="text1"/>
              <w:bottom w:val="nil"/>
            </w:tcBorders>
            <w:vAlign w:val="center"/>
          </w:tcPr>
          <w:p w:rsidR="008F6E08" w:rsidRDefault="008F6E08"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Southern Coastal Corridor Vietnam</w:t>
            </w:r>
          </w:p>
        </w:tc>
        <w:tc>
          <w:tcPr>
            <w:tcW w:w="2530" w:type="dxa"/>
            <w:tcBorders>
              <w:top w:val="single" w:sz="2" w:space="0" w:color="000000" w:themeColor="text1"/>
              <w:bottom w:val="nil"/>
            </w:tcBorders>
            <w:vAlign w:val="center"/>
          </w:tcPr>
          <w:p w:rsidR="008F6E08" w:rsidRDefault="008F6E08"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INH651</w:t>
            </w:r>
          </w:p>
        </w:tc>
        <w:tc>
          <w:tcPr>
            <w:tcW w:w="2612" w:type="dxa"/>
            <w:tcBorders>
              <w:top w:val="single" w:sz="2" w:space="0" w:color="000000" w:themeColor="text1"/>
              <w:bottom w:val="nil"/>
            </w:tcBorders>
            <w:vAlign w:val="center"/>
          </w:tcPr>
          <w:p w:rsidR="008F6E08" w:rsidRDefault="008F6E08"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Partner-led evaluation</w:t>
            </w:r>
          </w:p>
        </w:tc>
        <w:tc>
          <w:tcPr>
            <w:tcW w:w="2612" w:type="dxa"/>
            <w:tcBorders>
              <w:top w:val="single" w:sz="2" w:space="0" w:color="000000" w:themeColor="text1"/>
              <w:bottom w:val="nil"/>
            </w:tcBorders>
            <w:vAlign w:val="center"/>
          </w:tcPr>
          <w:p w:rsidR="008F6E08" w:rsidRDefault="008F6E08"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End of project evaluation to assess results</w:t>
            </w:r>
          </w:p>
        </w:tc>
        <w:tc>
          <w:tcPr>
            <w:tcW w:w="2617" w:type="dxa"/>
            <w:tcBorders>
              <w:top w:val="single" w:sz="2" w:space="0" w:color="000000" w:themeColor="text1"/>
              <w:bottom w:val="nil"/>
            </w:tcBorders>
            <w:vAlign w:val="center"/>
          </w:tcPr>
          <w:p w:rsidR="008F6E08" w:rsidRDefault="008F6E08" w:rsidP="00A05D61">
            <w:pPr>
              <w:spacing w:after="240"/>
              <w:jc w:val="right"/>
              <w:rPr>
                <w:rFonts w:ascii="Franklin Gothic Book" w:hAnsi="Franklin Gothic Book" w:cs="Calibri"/>
                <w:color w:val="000000"/>
                <w:sz w:val="17"/>
                <w:szCs w:val="17"/>
              </w:rPr>
            </w:pPr>
            <w:r>
              <w:rPr>
                <w:rFonts w:ascii="Franklin Gothic Book" w:hAnsi="Franklin Gothic Book" w:cs="Calibri"/>
                <w:color w:val="000000"/>
                <w:sz w:val="17"/>
                <w:szCs w:val="17"/>
              </w:rPr>
              <w:t>June 2016</w:t>
            </w:r>
          </w:p>
        </w:tc>
      </w:tr>
      <w:tr w:rsidR="008F6E08" w:rsidRPr="00071B95" w:rsidTr="00A05D61">
        <w:tc>
          <w:tcPr>
            <w:tcW w:w="2601" w:type="dxa"/>
            <w:tcBorders>
              <w:top w:val="single" w:sz="2" w:space="0" w:color="000000" w:themeColor="text1"/>
              <w:bottom w:val="nil"/>
            </w:tcBorders>
            <w:vAlign w:val="center"/>
          </w:tcPr>
          <w:p w:rsidR="008F6E08" w:rsidRDefault="008F6E08"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 xml:space="preserve"> Cao Lanh Bridge Construction</w:t>
            </w:r>
          </w:p>
        </w:tc>
        <w:tc>
          <w:tcPr>
            <w:tcW w:w="2530" w:type="dxa"/>
            <w:tcBorders>
              <w:top w:val="single" w:sz="2" w:space="0" w:color="000000" w:themeColor="text1"/>
              <w:bottom w:val="nil"/>
            </w:tcBorders>
            <w:vAlign w:val="center"/>
          </w:tcPr>
          <w:p w:rsidR="008F6E08" w:rsidRDefault="008F6E08"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INK042</w:t>
            </w:r>
          </w:p>
        </w:tc>
        <w:tc>
          <w:tcPr>
            <w:tcW w:w="2612" w:type="dxa"/>
            <w:tcBorders>
              <w:top w:val="single" w:sz="2" w:space="0" w:color="000000" w:themeColor="text1"/>
              <w:bottom w:val="nil"/>
            </w:tcBorders>
            <w:vAlign w:val="center"/>
          </w:tcPr>
          <w:p w:rsidR="008F6E08" w:rsidRDefault="008F6E08"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Joint Independent Progress Report</w:t>
            </w:r>
          </w:p>
        </w:tc>
        <w:tc>
          <w:tcPr>
            <w:tcW w:w="2612" w:type="dxa"/>
            <w:tcBorders>
              <w:top w:val="single" w:sz="2" w:space="0" w:color="000000" w:themeColor="text1"/>
              <w:bottom w:val="nil"/>
            </w:tcBorders>
            <w:vAlign w:val="center"/>
          </w:tcPr>
          <w:p w:rsidR="008F6E08" w:rsidRDefault="008F6E08"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Mid-cycle evaluation to evaluate progress</w:t>
            </w:r>
          </w:p>
        </w:tc>
        <w:tc>
          <w:tcPr>
            <w:tcW w:w="2617" w:type="dxa"/>
            <w:tcBorders>
              <w:top w:val="single" w:sz="2" w:space="0" w:color="000000" w:themeColor="text1"/>
              <w:bottom w:val="nil"/>
            </w:tcBorders>
            <w:vAlign w:val="center"/>
          </w:tcPr>
          <w:p w:rsidR="008F6E08" w:rsidRDefault="008F6E08" w:rsidP="00A05D61">
            <w:pPr>
              <w:spacing w:after="240"/>
              <w:jc w:val="right"/>
              <w:rPr>
                <w:rFonts w:ascii="Franklin Gothic Book" w:hAnsi="Franklin Gothic Book" w:cs="Calibri"/>
                <w:color w:val="000000"/>
                <w:sz w:val="17"/>
                <w:szCs w:val="17"/>
              </w:rPr>
            </w:pPr>
            <w:r>
              <w:rPr>
                <w:rFonts w:ascii="Franklin Gothic Book" w:hAnsi="Franklin Gothic Book" w:cs="Calibri"/>
                <w:color w:val="000000"/>
                <w:sz w:val="17"/>
                <w:szCs w:val="17"/>
              </w:rPr>
              <w:t>April 2016</w:t>
            </w:r>
          </w:p>
        </w:tc>
      </w:tr>
      <w:tr w:rsidR="008F6E08" w:rsidRPr="00071B95" w:rsidTr="00A05D61">
        <w:tc>
          <w:tcPr>
            <w:tcW w:w="2601" w:type="dxa"/>
            <w:tcBorders>
              <w:top w:val="single" w:sz="2" w:space="0" w:color="000000" w:themeColor="text1"/>
              <w:bottom w:val="nil"/>
            </w:tcBorders>
            <w:vAlign w:val="center"/>
          </w:tcPr>
          <w:p w:rsidR="008F6E08" w:rsidRDefault="008F6E08"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Joint Donors' Support for RWSS NTP Phase 3</w:t>
            </w:r>
          </w:p>
        </w:tc>
        <w:tc>
          <w:tcPr>
            <w:tcW w:w="2530" w:type="dxa"/>
            <w:tcBorders>
              <w:top w:val="single" w:sz="2" w:space="0" w:color="000000" w:themeColor="text1"/>
              <w:bottom w:val="nil"/>
            </w:tcBorders>
            <w:vAlign w:val="center"/>
          </w:tcPr>
          <w:p w:rsidR="008F6E08" w:rsidRDefault="008F6E08"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INJ128</w:t>
            </w:r>
          </w:p>
        </w:tc>
        <w:tc>
          <w:tcPr>
            <w:tcW w:w="2612" w:type="dxa"/>
            <w:tcBorders>
              <w:top w:val="single" w:sz="2" w:space="0" w:color="000000" w:themeColor="text1"/>
              <w:bottom w:val="nil"/>
            </w:tcBorders>
            <w:vAlign w:val="center"/>
          </w:tcPr>
          <w:p w:rsidR="008F6E08" w:rsidRDefault="008F6E08"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Independent Evaluation</w:t>
            </w:r>
          </w:p>
        </w:tc>
        <w:tc>
          <w:tcPr>
            <w:tcW w:w="2612" w:type="dxa"/>
            <w:tcBorders>
              <w:top w:val="single" w:sz="2" w:space="0" w:color="000000" w:themeColor="text1"/>
              <w:bottom w:val="nil"/>
            </w:tcBorders>
            <w:vAlign w:val="center"/>
          </w:tcPr>
          <w:p w:rsidR="008F6E08" w:rsidRDefault="008F6E08"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End of project evaluation to assess results</w:t>
            </w:r>
          </w:p>
        </w:tc>
        <w:tc>
          <w:tcPr>
            <w:tcW w:w="2617" w:type="dxa"/>
            <w:tcBorders>
              <w:top w:val="single" w:sz="2" w:space="0" w:color="000000" w:themeColor="text1"/>
              <w:bottom w:val="nil"/>
            </w:tcBorders>
            <w:vAlign w:val="center"/>
          </w:tcPr>
          <w:p w:rsidR="008F6E08" w:rsidRDefault="008F6E08" w:rsidP="00A05D61">
            <w:pPr>
              <w:spacing w:after="240"/>
              <w:jc w:val="right"/>
              <w:rPr>
                <w:rFonts w:ascii="Franklin Gothic Book" w:hAnsi="Franklin Gothic Book" w:cs="Calibri"/>
                <w:color w:val="000000"/>
                <w:sz w:val="17"/>
                <w:szCs w:val="17"/>
              </w:rPr>
            </w:pPr>
            <w:r>
              <w:rPr>
                <w:rFonts w:ascii="Franklin Gothic Book" w:hAnsi="Franklin Gothic Book" w:cs="Calibri"/>
                <w:color w:val="000000"/>
                <w:sz w:val="17"/>
                <w:szCs w:val="17"/>
              </w:rPr>
              <w:t>June 2016</w:t>
            </w:r>
          </w:p>
        </w:tc>
      </w:tr>
      <w:tr w:rsidR="00167841" w:rsidRPr="00071B95" w:rsidTr="00A05D61">
        <w:tc>
          <w:tcPr>
            <w:tcW w:w="2601" w:type="dxa"/>
            <w:tcBorders>
              <w:top w:val="single" w:sz="2" w:space="0" w:color="000000" w:themeColor="text1"/>
              <w:bottom w:val="nil"/>
            </w:tcBorders>
            <w:vAlign w:val="center"/>
          </w:tcPr>
          <w:p w:rsidR="00167841" w:rsidRDefault="00167841"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Restructuring for a more Competitive Vietnam</w:t>
            </w:r>
          </w:p>
        </w:tc>
        <w:tc>
          <w:tcPr>
            <w:tcW w:w="2530" w:type="dxa"/>
            <w:tcBorders>
              <w:top w:val="single" w:sz="2" w:space="0" w:color="000000" w:themeColor="text1"/>
              <w:bottom w:val="nil"/>
            </w:tcBorders>
            <w:vAlign w:val="center"/>
          </w:tcPr>
          <w:p w:rsidR="00167841" w:rsidRDefault="00167841"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INL354</w:t>
            </w:r>
          </w:p>
        </w:tc>
        <w:tc>
          <w:tcPr>
            <w:tcW w:w="2612" w:type="dxa"/>
            <w:tcBorders>
              <w:top w:val="single" w:sz="2" w:space="0" w:color="000000" w:themeColor="text1"/>
              <w:bottom w:val="nil"/>
            </w:tcBorders>
            <w:vAlign w:val="center"/>
          </w:tcPr>
          <w:p w:rsidR="00167841" w:rsidRDefault="008A56C9"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DFAT-led evaluation</w:t>
            </w:r>
          </w:p>
        </w:tc>
        <w:tc>
          <w:tcPr>
            <w:tcW w:w="2612" w:type="dxa"/>
            <w:tcBorders>
              <w:top w:val="single" w:sz="2" w:space="0" w:color="000000" w:themeColor="text1"/>
              <w:bottom w:val="nil"/>
            </w:tcBorders>
            <w:vAlign w:val="center"/>
          </w:tcPr>
          <w:p w:rsidR="00167841" w:rsidRDefault="008A56C9"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Mid-term review</w:t>
            </w:r>
          </w:p>
        </w:tc>
        <w:tc>
          <w:tcPr>
            <w:tcW w:w="2617" w:type="dxa"/>
            <w:tcBorders>
              <w:top w:val="single" w:sz="2" w:space="0" w:color="000000" w:themeColor="text1"/>
              <w:bottom w:val="nil"/>
            </w:tcBorders>
            <w:vAlign w:val="center"/>
          </w:tcPr>
          <w:p w:rsidR="00167841" w:rsidRDefault="008A56C9" w:rsidP="00A05D61">
            <w:pPr>
              <w:spacing w:after="240"/>
              <w:jc w:val="right"/>
              <w:rPr>
                <w:rFonts w:ascii="Franklin Gothic Book" w:hAnsi="Franklin Gothic Book" w:cs="Calibri"/>
                <w:color w:val="000000"/>
                <w:sz w:val="17"/>
                <w:szCs w:val="17"/>
              </w:rPr>
            </w:pPr>
            <w:r>
              <w:rPr>
                <w:rFonts w:ascii="Franklin Gothic Book" w:hAnsi="Franklin Gothic Book" w:cs="Calibri"/>
                <w:color w:val="000000"/>
                <w:sz w:val="17"/>
                <w:szCs w:val="17"/>
              </w:rPr>
              <w:t>June</w:t>
            </w:r>
            <w:r w:rsidR="00167841">
              <w:rPr>
                <w:rFonts w:ascii="Franklin Gothic Book" w:hAnsi="Franklin Gothic Book" w:cs="Calibri"/>
                <w:color w:val="000000"/>
                <w:sz w:val="17"/>
                <w:szCs w:val="17"/>
              </w:rPr>
              <w:t xml:space="preserve"> 2016</w:t>
            </w:r>
          </w:p>
        </w:tc>
      </w:tr>
      <w:tr w:rsidR="00167841" w:rsidRPr="00071B95" w:rsidTr="00A05D61">
        <w:tc>
          <w:tcPr>
            <w:tcW w:w="2601" w:type="dxa"/>
            <w:tcBorders>
              <w:top w:val="single" w:sz="2" w:space="0" w:color="000000" w:themeColor="text1"/>
              <w:bottom w:val="nil"/>
            </w:tcBorders>
            <w:vAlign w:val="center"/>
          </w:tcPr>
          <w:p w:rsidR="00167841" w:rsidRDefault="00167841"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Community Based Disaster Risk Management</w:t>
            </w:r>
          </w:p>
        </w:tc>
        <w:tc>
          <w:tcPr>
            <w:tcW w:w="2530" w:type="dxa"/>
            <w:tcBorders>
              <w:top w:val="single" w:sz="2" w:space="0" w:color="000000" w:themeColor="text1"/>
              <w:bottom w:val="nil"/>
            </w:tcBorders>
            <w:vAlign w:val="center"/>
          </w:tcPr>
          <w:p w:rsidR="00167841" w:rsidRDefault="00167841"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INK120</w:t>
            </w:r>
          </w:p>
        </w:tc>
        <w:tc>
          <w:tcPr>
            <w:tcW w:w="2612" w:type="dxa"/>
            <w:tcBorders>
              <w:top w:val="single" w:sz="2" w:space="0" w:color="000000" w:themeColor="text1"/>
              <w:bottom w:val="nil"/>
            </w:tcBorders>
            <w:vAlign w:val="center"/>
          </w:tcPr>
          <w:p w:rsidR="00167841" w:rsidRDefault="008A56C9"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Independent evaluation</w:t>
            </w:r>
          </w:p>
        </w:tc>
        <w:tc>
          <w:tcPr>
            <w:tcW w:w="2612" w:type="dxa"/>
            <w:tcBorders>
              <w:top w:val="single" w:sz="2" w:space="0" w:color="000000" w:themeColor="text1"/>
              <w:bottom w:val="nil"/>
            </w:tcBorders>
            <w:vAlign w:val="center"/>
          </w:tcPr>
          <w:p w:rsidR="00167841" w:rsidRDefault="008A56C9" w:rsidP="00A05D61">
            <w:pPr>
              <w:spacing w:after="240"/>
              <w:rPr>
                <w:rFonts w:ascii="Franklin Gothic Book" w:hAnsi="Franklin Gothic Book" w:cs="Calibri"/>
                <w:color w:val="000000"/>
                <w:sz w:val="17"/>
                <w:szCs w:val="17"/>
              </w:rPr>
            </w:pPr>
            <w:r>
              <w:rPr>
                <w:rFonts w:ascii="Franklin Gothic Book" w:hAnsi="Franklin Gothic Book" w:cs="Calibri"/>
                <w:color w:val="000000"/>
                <w:sz w:val="17"/>
                <w:szCs w:val="17"/>
              </w:rPr>
              <w:t>Mid-term review</w:t>
            </w:r>
          </w:p>
        </w:tc>
        <w:tc>
          <w:tcPr>
            <w:tcW w:w="2617" w:type="dxa"/>
            <w:tcBorders>
              <w:top w:val="single" w:sz="2" w:space="0" w:color="000000" w:themeColor="text1"/>
              <w:bottom w:val="nil"/>
            </w:tcBorders>
            <w:vAlign w:val="center"/>
          </w:tcPr>
          <w:p w:rsidR="00167841" w:rsidRDefault="002D1C89" w:rsidP="00A05D61">
            <w:pPr>
              <w:spacing w:after="240"/>
              <w:jc w:val="right"/>
              <w:rPr>
                <w:rFonts w:ascii="Franklin Gothic Book" w:hAnsi="Franklin Gothic Book" w:cs="Calibri"/>
                <w:color w:val="000000"/>
                <w:sz w:val="17"/>
                <w:szCs w:val="17"/>
              </w:rPr>
            </w:pPr>
            <w:r>
              <w:rPr>
                <w:rFonts w:ascii="Franklin Gothic Book" w:hAnsi="Franklin Gothic Book" w:cs="Calibri"/>
                <w:color w:val="000000"/>
                <w:sz w:val="17"/>
                <w:szCs w:val="17"/>
              </w:rPr>
              <w:t>October</w:t>
            </w:r>
            <w:r w:rsidR="00167841">
              <w:rPr>
                <w:rFonts w:ascii="Franklin Gothic Book" w:hAnsi="Franklin Gothic Book" w:cs="Calibri"/>
                <w:color w:val="000000"/>
                <w:sz w:val="17"/>
                <w:szCs w:val="17"/>
              </w:rPr>
              <w:t xml:space="preserve"> 201</w:t>
            </w:r>
            <w:r>
              <w:rPr>
                <w:rFonts w:ascii="Franklin Gothic Book" w:hAnsi="Franklin Gothic Book" w:cs="Calibri"/>
                <w:color w:val="000000"/>
                <w:sz w:val="17"/>
                <w:szCs w:val="17"/>
              </w:rPr>
              <w:t>5</w:t>
            </w:r>
          </w:p>
        </w:tc>
      </w:tr>
    </w:tbl>
    <w:p w:rsidR="00416B02" w:rsidRDefault="00416B02" w:rsidP="00416B02">
      <w:pPr>
        <w:rPr>
          <w:b/>
        </w:rPr>
        <w:sectPr w:rsidR="00416B02" w:rsidSect="00741DB0">
          <w:footnotePr>
            <w:numRestart w:val="eachPage"/>
          </w:footnotePr>
          <w:type w:val="continuous"/>
          <w:pgSz w:w="16838" w:h="11906" w:orient="landscape" w:code="9"/>
          <w:pgMar w:top="1814" w:right="1814" w:bottom="851" w:left="851" w:header="709" w:footer="425" w:gutter="0"/>
          <w:cols w:space="708"/>
          <w:titlePg/>
          <w:docGrid w:linePitch="360"/>
        </w:sectPr>
      </w:pPr>
    </w:p>
    <w:p w:rsidR="00416B02" w:rsidRDefault="005C310A" w:rsidP="0057490F">
      <w:pPr>
        <w:pStyle w:val="Heading2"/>
        <w:tabs>
          <w:tab w:val="left" w:pos="1560"/>
        </w:tabs>
        <w:rPr>
          <w:sz w:val="28"/>
        </w:rPr>
      </w:pPr>
      <w:r>
        <w:rPr>
          <w:sz w:val="28"/>
        </w:rPr>
        <w:lastRenderedPageBreak/>
        <w:t>Annex D</w:t>
      </w:r>
      <w:r w:rsidR="0057490F">
        <w:rPr>
          <w:sz w:val="28"/>
        </w:rPr>
        <w:t xml:space="preserve"> - </w:t>
      </w:r>
      <w:r w:rsidR="00416B02">
        <w:rPr>
          <w:sz w:val="28"/>
        </w:rPr>
        <w:t xml:space="preserve">Aid </w:t>
      </w:r>
      <w:r w:rsidR="00416B02" w:rsidRPr="009E38C1">
        <w:rPr>
          <w:sz w:val="28"/>
        </w:rPr>
        <w:t xml:space="preserve">Quality </w:t>
      </w:r>
      <w:r w:rsidR="00416B02">
        <w:rPr>
          <w:sz w:val="28"/>
        </w:rPr>
        <w:t xml:space="preserve">Check </w:t>
      </w:r>
      <w:r w:rsidR="00416B02" w:rsidRPr="009E38C1">
        <w:rPr>
          <w:sz w:val="28"/>
        </w:rPr>
        <w:t>ratings</w:t>
      </w:r>
    </w:p>
    <w:p w:rsidR="00416B02" w:rsidRPr="000D2CDD" w:rsidRDefault="00416B02" w:rsidP="007375D9">
      <w:pPr>
        <w:pStyle w:val="Heading3"/>
      </w:pPr>
      <w:r>
        <w:t>AQC ratings</w:t>
      </w:r>
    </w:p>
    <w:tbl>
      <w:tblPr>
        <w:tblStyle w:val="APPR"/>
        <w:tblW w:w="5000" w:type="pct"/>
        <w:tblInd w:w="-1" w:type="dxa"/>
        <w:tblBorders>
          <w:top w:val="single" w:sz="4" w:space="0" w:color="auto"/>
          <w:bottom w:val="single" w:sz="4" w:space="0" w:color="auto"/>
        </w:tblBorders>
        <w:tblLook w:val="0000" w:firstRow="0" w:lastRow="0" w:firstColumn="0" w:lastColumn="0" w:noHBand="0" w:noVBand="0"/>
        <w:tblCaption w:val="Aid Quality Check (AQC) ratings"/>
        <w:tblDescription w:val="Table provides all ratings for the Aid Quality Checks completed in the reporting period, providing details of investment name, approved budget and duration, AQC/QAI year, and then the rating against each AQC criteria (relevance, effectiveness, efficiency, monitoring and evaluation, sustainability, gender equality, risks and safeguards)"/>
      </w:tblPr>
      <w:tblGrid>
        <w:gridCol w:w="4577"/>
        <w:gridCol w:w="2139"/>
        <w:gridCol w:w="2050"/>
        <w:gridCol w:w="734"/>
        <w:gridCol w:w="734"/>
        <w:gridCol w:w="737"/>
        <w:gridCol w:w="737"/>
        <w:gridCol w:w="737"/>
        <w:gridCol w:w="739"/>
        <w:gridCol w:w="753"/>
      </w:tblGrid>
      <w:tr w:rsidR="00D57573" w:rsidRPr="001008BA" w:rsidTr="00320C8E">
        <w:trPr>
          <w:cnfStyle w:val="000000010000" w:firstRow="0" w:lastRow="0" w:firstColumn="0" w:lastColumn="0" w:oddVBand="0" w:evenVBand="0" w:oddHBand="0" w:evenHBand="1" w:firstRowFirstColumn="0" w:firstRowLastColumn="0" w:lastRowFirstColumn="0" w:lastRowLastColumn="0"/>
          <w:trHeight w:val="1413"/>
        </w:trPr>
        <w:tc>
          <w:tcPr>
            <w:tcW w:w="1627" w:type="pct"/>
          </w:tcPr>
          <w:p w:rsidR="008F6E08" w:rsidRPr="001008BA" w:rsidRDefault="008F6E08" w:rsidP="008F6E08">
            <w:pPr>
              <w:rPr>
                <w:rFonts w:ascii="Franklin Gothic Book" w:hAnsi="Franklin Gothic Book" w:cs="Calibri"/>
                <w:b/>
                <w:color w:val="000000"/>
                <w:sz w:val="17"/>
                <w:szCs w:val="17"/>
              </w:rPr>
            </w:pPr>
            <w:r w:rsidRPr="001008BA">
              <w:rPr>
                <w:rFonts w:ascii="Franklin Gothic Book" w:hAnsi="Franklin Gothic Book" w:cs="Calibri"/>
                <w:b/>
                <w:noProof/>
                <w:color w:val="000000"/>
                <w:sz w:val="17"/>
                <w:szCs w:val="17"/>
              </w:rPr>
              <w:drawing>
                <wp:anchor distT="0" distB="0" distL="114300" distR="114300" simplePos="0" relativeHeight="251675648" behindDoc="0" locked="0" layoutInCell="1" allowOverlap="1" wp14:anchorId="1FD51AF6" wp14:editId="4D78216A">
                  <wp:simplePos x="0" y="0"/>
                  <wp:positionH relativeFrom="column">
                    <wp:posOffset>0</wp:posOffset>
                  </wp:positionH>
                  <wp:positionV relativeFrom="paragraph">
                    <wp:posOffset>0</wp:posOffset>
                  </wp:positionV>
                  <wp:extent cx="1857375" cy="228600"/>
                  <wp:effectExtent l="0" t="0" r="9525" b="0"/>
                  <wp:wrapNone/>
                  <wp:docPr id="14" name="Picture 1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8BA">
              <w:rPr>
                <w:rFonts w:ascii="Franklin Gothic Book" w:hAnsi="Franklin Gothic Book" w:cs="Calibri"/>
                <w:b/>
                <w:color w:val="000000"/>
                <w:sz w:val="17"/>
                <w:szCs w:val="17"/>
              </w:rPr>
              <w:t>Investment name</w:t>
            </w:r>
          </w:p>
        </w:tc>
        <w:tc>
          <w:tcPr>
            <w:tcW w:w="758" w:type="pct"/>
          </w:tcPr>
          <w:p w:rsidR="008F6E08" w:rsidRPr="001008BA" w:rsidRDefault="008F6E08" w:rsidP="008F6E08">
            <w:pPr>
              <w:rPr>
                <w:rFonts w:ascii="Franklin Gothic Book" w:hAnsi="Franklin Gothic Book" w:cs="Calibri"/>
                <w:b/>
                <w:color w:val="000000"/>
                <w:sz w:val="17"/>
                <w:szCs w:val="17"/>
              </w:rPr>
            </w:pPr>
            <w:r w:rsidRPr="001008BA">
              <w:rPr>
                <w:rFonts w:ascii="Franklin Gothic Book" w:hAnsi="Franklin Gothic Book" w:cs="Calibri"/>
                <w:b/>
                <w:color w:val="000000"/>
                <w:sz w:val="17"/>
                <w:szCs w:val="17"/>
              </w:rPr>
              <w:t>Approved budget</w:t>
            </w:r>
          </w:p>
          <w:p w:rsidR="008F6E08" w:rsidRPr="001008BA" w:rsidRDefault="008F6E08" w:rsidP="008F6E08">
            <w:pPr>
              <w:rPr>
                <w:rFonts w:ascii="Franklin Gothic Book" w:hAnsi="Franklin Gothic Book" w:cs="Calibri"/>
                <w:b/>
                <w:color w:val="000000"/>
                <w:sz w:val="17"/>
                <w:szCs w:val="17"/>
              </w:rPr>
            </w:pPr>
            <w:r w:rsidRPr="001008BA">
              <w:rPr>
                <w:rFonts w:ascii="Franklin Gothic Book" w:hAnsi="Franklin Gothic Book" w:cs="Calibri"/>
                <w:b/>
                <w:color w:val="000000"/>
                <w:sz w:val="17"/>
                <w:szCs w:val="17"/>
              </w:rPr>
              <w:t>and duration</w:t>
            </w:r>
          </w:p>
        </w:tc>
        <w:tc>
          <w:tcPr>
            <w:tcW w:w="726" w:type="pct"/>
          </w:tcPr>
          <w:p w:rsidR="008F6E08" w:rsidRPr="001008BA" w:rsidRDefault="008F6E08" w:rsidP="008F6E08">
            <w:pPr>
              <w:rPr>
                <w:rFonts w:ascii="Franklin Gothic Book" w:hAnsi="Franklin Gothic Book" w:cs="Calibri"/>
                <w:b/>
                <w:color w:val="000000"/>
                <w:sz w:val="17"/>
                <w:szCs w:val="17"/>
              </w:rPr>
            </w:pPr>
            <w:r w:rsidRPr="001008BA">
              <w:rPr>
                <w:rFonts w:ascii="Franklin Gothic Book" w:hAnsi="Franklin Gothic Book" w:cs="Calibri"/>
                <w:b/>
                <w:color w:val="000000"/>
                <w:sz w:val="17"/>
                <w:szCs w:val="17"/>
              </w:rPr>
              <w:t>AQC/QAI year</w:t>
            </w:r>
          </w:p>
        </w:tc>
        <w:tc>
          <w:tcPr>
            <w:tcW w:w="253" w:type="pct"/>
            <w:textDirection w:val="btLr"/>
          </w:tcPr>
          <w:p w:rsidR="008F6E08" w:rsidRPr="001008BA" w:rsidRDefault="008F6E08" w:rsidP="008F6E08">
            <w:pPr>
              <w:rPr>
                <w:rFonts w:ascii="Franklin Gothic Book" w:hAnsi="Franklin Gothic Book" w:cs="Calibri"/>
                <w:b/>
                <w:color w:val="000000"/>
                <w:sz w:val="17"/>
                <w:szCs w:val="17"/>
              </w:rPr>
            </w:pPr>
            <w:r w:rsidRPr="001008BA">
              <w:rPr>
                <w:rFonts w:ascii="Franklin Gothic Book" w:hAnsi="Franklin Gothic Book" w:cs="Calibri"/>
                <w:b/>
                <w:color w:val="000000"/>
                <w:sz w:val="17"/>
                <w:szCs w:val="17"/>
              </w:rPr>
              <w:t>Relevance</w:t>
            </w:r>
          </w:p>
        </w:tc>
        <w:tc>
          <w:tcPr>
            <w:tcW w:w="253" w:type="pct"/>
            <w:textDirection w:val="btLr"/>
          </w:tcPr>
          <w:p w:rsidR="008F6E08" w:rsidRPr="001008BA" w:rsidRDefault="008F6E08" w:rsidP="008F6E08">
            <w:pPr>
              <w:rPr>
                <w:rFonts w:ascii="Franklin Gothic Book" w:hAnsi="Franklin Gothic Book" w:cs="Calibri"/>
                <w:b/>
                <w:color w:val="000000"/>
                <w:sz w:val="17"/>
                <w:szCs w:val="17"/>
              </w:rPr>
            </w:pPr>
            <w:r w:rsidRPr="001008BA">
              <w:rPr>
                <w:rFonts w:ascii="Franklin Gothic Book" w:hAnsi="Franklin Gothic Book" w:cs="Calibri"/>
                <w:b/>
                <w:color w:val="000000"/>
                <w:sz w:val="17"/>
                <w:szCs w:val="17"/>
              </w:rPr>
              <w:t>Effectiveness</w:t>
            </w:r>
          </w:p>
        </w:tc>
        <w:tc>
          <w:tcPr>
            <w:tcW w:w="254" w:type="pct"/>
            <w:textDirection w:val="btLr"/>
          </w:tcPr>
          <w:p w:rsidR="008F6E08" w:rsidRPr="001008BA" w:rsidRDefault="008F6E08" w:rsidP="008F6E08">
            <w:pPr>
              <w:rPr>
                <w:rFonts w:ascii="Franklin Gothic Book" w:hAnsi="Franklin Gothic Book" w:cs="Calibri"/>
                <w:b/>
                <w:color w:val="000000"/>
                <w:sz w:val="17"/>
                <w:szCs w:val="17"/>
              </w:rPr>
            </w:pPr>
            <w:r w:rsidRPr="001008BA">
              <w:rPr>
                <w:rFonts w:ascii="Franklin Gothic Book" w:hAnsi="Franklin Gothic Book" w:cs="Calibri"/>
                <w:b/>
                <w:color w:val="000000"/>
                <w:sz w:val="17"/>
                <w:szCs w:val="17"/>
              </w:rPr>
              <w:t>Efficiency</w:t>
            </w:r>
          </w:p>
        </w:tc>
        <w:tc>
          <w:tcPr>
            <w:tcW w:w="254" w:type="pct"/>
            <w:textDirection w:val="btLr"/>
          </w:tcPr>
          <w:p w:rsidR="008F6E08" w:rsidRPr="001008BA" w:rsidRDefault="008F6E08" w:rsidP="008F6E08">
            <w:pPr>
              <w:rPr>
                <w:rFonts w:ascii="Franklin Gothic Book" w:hAnsi="Franklin Gothic Book" w:cs="Calibri"/>
                <w:b/>
                <w:color w:val="000000"/>
                <w:sz w:val="17"/>
                <w:szCs w:val="17"/>
              </w:rPr>
            </w:pPr>
            <w:r w:rsidRPr="001008BA">
              <w:rPr>
                <w:rFonts w:ascii="Franklin Gothic Book" w:hAnsi="Franklin Gothic Book" w:cs="Calibri"/>
                <w:b/>
                <w:color w:val="000000"/>
                <w:sz w:val="17"/>
                <w:szCs w:val="17"/>
              </w:rPr>
              <w:t>Monitoring and Evaluation</w:t>
            </w:r>
          </w:p>
        </w:tc>
        <w:tc>
          <w:tcPr>
            <w:tcW w:w="254" w:type="pct"/>
            <w:textDirection w:val="btLr"/>
          </w:tcPr>
          <w:p w:rsidR="008F6E08" w:rsidRPr="001008BA" w:rsidRDefault="008F6E08" w:rsidP="008F6E08">
            <w:pPr>
              <w:rPr>
                <w:rFonts w:ascii="Franklin Gothic Book" w:hAnsi="Franklin Gothic Book" w:cs="Calibri"/>
                <w:b/>
                <w:color w:val="000000"/>
                <w:sz w:val="17"/>
                <w:szCs w:val="17"/>
              </w:rPr>
            </w:pPr>
            <w:r w:rsidRPr="001008BA">
              <w:rPr>
                <w:rFonts w:ascii="Franklin Gothic Book" w:hAnsi="Franklin Gothic Book" w:cs="Calibri"/>
                <w:b/>
                <w:color w:val="000000"/>
                <w:sz w:val="17"/>
                <w:szCs w:val="17"/>
              </w:rPr>
              <w:t>Sustainability</w:t>
            </w:r>
          </w:p>
        </w:tc>
        <w:tc>
          <w:tcPr>
            <w:tcW w:w="255" w:type="pct"/>
            <w:textDirection w:val="btLr"/>
          </w:tcPr>
          <w:p w:rsidR="008F6E08" w:rsidRPr="001008BA" w:rsidRDefault="008F6E08" w:rsidP="008F6E08">
            <w:pPr>
              <w:rPr>
                <w:rFonts w:ascii="Franklin Gothic Book" w:hAnsi="Franklin Gothic Book" w:cs="Calibri"/>
                <w:b/>
                <w:color w:val="000000"/>
                <w:sz w:val="17"/>
                <w:szCs w:val="17"/>
              </w:rPr>
            </w:pPr>
            <w:r w:rsidRPr="001008BA">
              <w:rPr>
                <w:rFonts w:ascii="Franklin Gothic Book" w:hAnsi="Franklin Gothic Book" w:cs="Calibri"/>
                <w:b/>
                <w:color w:val="000000"/>
                <w:sz w:val="17"/>
                <w:szCs w:val="17"/>
              </w:rPr>
              <w:t>Gender equality</w:t>
            </w:r>
          </w:p>
        </w:tc>
        <w:tc>
          <w:tcPr>
            <w:tcW w:w="255" w:type="pct"/>
            <w:textDirection w:val="btLr"/>
          </w:tcPr>
          <w:p w:rsidR="008F6E08" w:rsidRPr="001008BA" w:rsidRDefault="008F6E08" w:rsidP="008F6E08">
            <w:pPr>
              <w:rPr>
                <w:rFonts w:ascii="Franklin Gothic Book" w:hAnsi="Franklin Gothic Book" w:cs="Calibri"/>
                <w:b/>
                <w:color w:val="000000"/>
                <w:sz w:val="17"/>
                <w:szCs w:val="17"/>
              </w:rPr>
            </w:pPr>
            <w:r w:rsidRPr="001008BA">
              <w:rPr>
                <w:rFonts w:ascii="Franklin Gothic Book" w:hAnsi="Franklin Gothic Book" w:cs="Calibri"/>
                <w:b/>
                <w:color w:val="000000"/>
                <w:sz w:val="17"/>
                <w:szCs w:val="17"/>
              </w:rPr>
              <w:t>Risks  and Safeguards</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val="restart"/>
            <w:tcBorders>
              <w:top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 xml:space="preserve">Viet Nam ADS </w:t>
            </w:r>
            <w:r w:rsidR="004508F4">
              <w:rPr>
                <w:rFonts w:ascii="Franklin Gothic Book" w:hAnsi="Franklin Gothic Book" w:cs="Calibri"/>
                <w:color w:val="000000"/>
                <w:sz w:val="17"/>
                <w:szCs w:val="17"/>
              </w:rPr>
              <w:t>–</w:t>
            </w:r>
            <w:r w:rsidRPr="001008BA">
              <w:rPr>
                <w:rFonts w:ascii="Franklin Gothic Book" w:hAnsi="Franklin Gothic Book" w:cs="Calibri"/>
                <w:color w:val="000000"/>
                <w:sz w:val="17"/>
                <w:szCs w:val="17"/>
              </w:rPr>
              <w:t xml:space="preserve"> PREP</w:t>
            </w:r>
          </w:p>
        </w:tc>
        <w:tc>
          <w:tcPr>
            <w:tcW w:w="758" w:type="pct"/>
            <w:vMerge w:val="restart"/>
            <w:tcBorders>
              <w:top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$33,555,273</w:t>
            </w:r>
          </w:p>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2002-2016</w:t>
            </w:r>
          </w:p>
        </w:tc>
        <w:tc>
          <w:tcPr>
            <w:tcW w:w="726" w:type="pct"/>
            <w:tcBorders>
              <w:top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AQC 2014</w:t>
            </w:r>
          </w:p>
        </w:tc>
        <w:tc>
          <w:tcPr>
            <w:tcW w:w="253" w:type="pct"/>
            <w:tcBorders>
              <w:top w:val="single" w:sz="4" w:space="0" w:color="auto"/>
            </w:tcBorders>
            <w:shd w:val="clear" w:color="auto" w:fill="72AF2F"/>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3" w:type="pct"/>
            <w:tcBorders>
              <w:top w:val="single" w:sz="4" w:space="0" w:color="auto"/>
            </w:tcBorders>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tcBorders>
              <w:top w:val="single" w:sz="4" w:space="0" w:color="auto"/>
            </w:tcBorders>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tcBorders>
              <w:top w:val="single" w:sz="4" w:space="0" w:color="auto"/>
            </w:tcBorders>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4" w:type="pct"/>
            <w:tcBorders>
              <w:top w:val="single" w:sz="4" w:space="0" w:color="auto"/>
            </w:tcBorders>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tcBorders>
              <w:top w:val="single" w:sz="4" w:space="0" w:color="auto"/>
            </w:tcBorders>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5" w:type="pct"/>
            <w:tcBorders>
              <w:top w:val="single" w:sz="4" w:space="0" w:color="auto"/>
            </w:tcBorders>
            <w:shd w:val="clear" w:color="auto" w:fill="92D050"/>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58"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26" w:type="pct"/>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QAI 2013</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val="restart"/>
            <w:vAlign w:val="center"/>
          </w:tcPr>
          <w:p w:rsidR="008F6E08" w:rsidRPr="001008BA" w:rsidRDefault="008F6E08" w:rsidP="00E80052">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Australia</w:t>
            </w:r>
            <w:r w:rsidR="00E80052">
              <w:rPr>
                <w:rFonts w:ascii="Franklin Gothic Book" w:hAnsi="Franklin Gothic Book" w:cs="Calibri"/>
                <w:color w:val="000000"/>
                <w:sz w:val="17"/>
                <w:szCs w:val="17"/>
              </w:rPr>
              <w:t xml:space="preserve">  Awards Sch</w:t>
            </w:r>
            <w:r w:rsidRPr="001008BA">
              <w:rPr>
                <w:rFonts w:ascii="Franklin Gothic Book" w:hAnsi="Franklin Gothic Book" w:cs="Calibri"/>
                <w:color w:val="000000"/>
                <w:sz w:val="17"/>
                <w:szCs w:val="17"/>
              </w:rPr>
              <w:t>olarships - Vietnam</w:t>
            </w:r>
          </w:p>
        </w:tc>
        <w:tc>
          <w:tcPr>
            <w:tcW w:w="758"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$71,452,754</w:t>
            </w:r>
          </w:p>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2010 - 2018</w:t>
            </w:r>
          </w:p>
        </w:tc>
        <w:tc>
          <w:tcPr>
            <w:tcW w:w="726"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AQC 2014</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5" w:type="pct"/>
            <w:shd w:val="clear" w:color="auto" w:fill="92D050"/>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tcBorders>
              <w:bottom w:val="single" w:sz="4" w:space="0" w:color="auto"/>
            </w:tcBorders>
            <w:vAlign w:val="bottom"/>
          </w:tcPr>
          <w:p w:rsidR="008F6E08" w:rsidRPr="001008BA" w:rsidRDefault="008F6E08" w:rsidP="008F6E08">
            <w:pPr>
              <w:rPr>
                <w:rFonts w:ascii="Franklin Gothic Book" w:hAnsi="Franklin Gothic Book" w:cs="Calibri"/>
                <w:color w:val="000000"/>
                <w:sz w:val="17"/>
                <w:szCs w:val="17"/>
              </w:rPr>
            </w:pPr>
          </w:p>
        </w:tc>
        <w:tc>
          <w:tcPr>
            <w:tcW w:w="758" w:type="pct"/>
            <w:vMerge/>
            <w:tcBorders>
              <w:bottom w:val="single" w:sz="4" w:space="0" w:color="auto"/>
            </w:tcBorders>
            <w:vAlign w:val="bottom"/>
          </w:tcPr>
          <w:p w:rsidR="008F6E08" w:rsidRPr="001008BA" w:rsidRDefault="008F6E08" w:rsidP="008F6E08">
            <w:pPr>
              <w:rPr>
                <w:rFonts w:ascii="Franklin Gothic Book" w:hAnsi="Franklin Gothic Book" w:cs="Calibri"/>
                <w:color w:val="000000"/>
                <w:sz w:val="17"/>
                <w:szCs w:val="17"/>
              </w:rPr>
            </w:pPr>
          </w:p>
        </w:tc>
        <w:tc>
          <w:tcPr>
            <w:tcW w:w="726" w:type="pct"/>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QAI 2013</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Mekong Transport Infrastructure Development</w:t>
            </w:r>
          </w:p>
        </w:tc>
        <w:tc>
          <w:tcPr>
            <w:tcW w:w="758"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$48,000,000</w:t>
            </w:r>
          </w:p>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2007 - 2015</w:t>
            </w:r>
          </w:p>
        </w:tc>
        <w:tc>
          <w:tcPr>
            <w:tcW w:w="726"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AQC 2014</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5"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5" w:type="pct"/>
            <w:shd w:val="clear" w:color="auto" w:fill="92D050"/>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58"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26" w:type="pct"/>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QAI 2013</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3"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4" w:type="pct"/>
            <w:shd w:val="clear" w:color="auto" w:fill="FF00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2</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5" w:type="pct"/>
            <w:shd w:val="clear" w:color="auto" w:fill="FFC0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3</w:t>
            </w:r>
          </w:p>
        </w:tc>
        <w:tc>
          <w:tcPr>
            <w:tcW w:w="255"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Southern Coastal Corridor Vietnam</w:t>
            </w:r>
          </w:p>
        </w:tc>
        <w:tc>
          <w:tcPr>
            <w:tcW w:w="758"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$45,117,000</w:t>
            </w:r>
          </w:p>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2007 - 2016</w:t>
            </w:r>
          </w:p>
        </w:tc>
        <w:tc>
          <w:tcPr>
            <w:tcW w:w="726"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AQC 2014</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3"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5" w:type="pct"/>
            <w:shd w:val="clear" w:color="auto" w:fill="92D050"/>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58"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26" w:type="pct"/>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QAI 2013</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5"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Cao Lanh Detailed Design</w:t>
            </w:r>
          </w:p>
        </w:tc>
        <w:tc>
          <w:tcPr>
            <w:tcW w:w="758"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$26,635,674</w:t>
            </w:r>
          </w:p>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2011 - 2018</w:t>
            </w:r>
          </w:p>
        </w:tc>
        <w:tc>
          <w:tcPr>
            <w:tcW w:w="726"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AQC 2014</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5"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shd w:val="clear" w:color="auto" w:fill="92D050"/>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58"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26" w:type="pct"/>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QAI 2013</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Cao Lanh M&amp;E- social dev, diplomacy &amp; civil work</w:t>
            </w:r>
          </w:p>
        </w:tc>
        <w:tc>
          <w:tcPr>
            <w:tcW w:w="758"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$130,200,000</w:t>
            </w:r>
          </w:p>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2011 - 2018</w:t>
            </w:r>
          </w:p>
        </w:tc>
        <w:tc>
          <w:tcPr>
            <w:tcW w:w="726"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AQC 2014</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5"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shd w:val="clear" w:color="auto" w:fill="92D050"/>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58"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26" w:type="pct"/>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QAI 2013</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Restructuring Competitive Vietnam Project</w:t>
            </w:r>
          </w:p>
        </w:tc>
        <w:tc>
          <w:tcPr>
            <w:tcW w:w="758"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$3,100,000</w:t>
            </w:r>
          </w:p>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2014 - 2016</w:t>
            </w:r>
          </w:p>
        </w:tc>
        <w:tc>
          <w:tcPr>
            <w:tcW w:w="726"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AQC 2014</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5" w:type="pct"/>
            <w:shd w:val="clear" w:color="auto" w:fill="FFC0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3</w:t>
            </w:r>
          </w:p>
        </w:tc>
        <w:tc>
          <w:tcPr>
            <w:tcW w:w="255" w:type="pct"/>
            <w:shd w:val="clear" w:color="auto" w:fill="FFFF00"/>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58"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26" w:type="pct"/>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QAI 2013</w:t>
            </w:r>
          </w:p>
        </w:tc>
        <w:tc>
          <w:tcPr>
            <w:tcW w:w="253" w:type="pct"/>
            <w:noWrap/>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c>
          <w:tcPr>
            <w:tcW w:w="253" w:type="pct"/>
            <w:noWrap/>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c>
          <w:tcPr>
            <w:tcW w:w="254" w:type="pct"/>
            <w:noWrap/>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c>
          <w:tcPr>
            <w:tcW w:w="254" w:type="pct"/>
            <w:noWrap/>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c>
          <w:tcPr>
            <w:tcW w:w="254" w:type="pct"/>
            <w:noWrap/>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c>
          <w:tcPr>
            <w:tcW w:w="255" w:type="pct"/>
            <w:noWrap/>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c>
          <w:tcPr>
            <w:tcW w:w="255" w:type="pct"/>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Joint Donors' Support for RWSS NTP Phase 3</w:t>
            </w:r>
          </w:p>
        </w:tc>
        <w:tc>
          <w:tcPr>
            <w:tcW w:w="758"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$74,136,829</w:t>
            </w:r>
          </w:p>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2011 - 2016</w:t>
            </w:r>
          </w:p>
        </w:tc>
        <w:tc>
          <w:tcPr>
            <w:tcW w:w="726"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AQC 2014</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5"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5" w:type="pct"/>
            <w:shd w:val="clear" w:color="auto" w:fill="92D050"/>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58"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26" w:type="pct"/>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QAI 2013</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5"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5"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Integrated Coastal Management Program (ICMP)</w:t>
            </w:r>
          </w:p>
        </w:tc>
        <w:tc>
          <w:tcPr>
            <w:tcW w:w="758"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$16,564,335</w:t>
            </w:r>
          </w:p>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2011 - 2017</w:t>
            </w:r>
          </w:p>
        </w:tc>
        <w:tc>
          <w:tcPr>
            <w:tcW w:w="726"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AQC 2014</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5" w:type="pct"/>
            <w:shd w:val="clear" w:color="auto" w:fill="92D050"/>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58"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26" w:type="pct"/>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QAI 2013</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3"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4" w:type="pct"/>
            <w:shd w:val="clear" w:color="auto" w:fill="FFC0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3</w:t>
            </w:r>
          </w:p>
        </w:tc>
        <w:tc>
          <w:tcPr>
            <w:tcW w:w="254" w:type="pct"/>
            <w:shd w:val="clear" w:color="auto" w:fill="FFC0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3</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5"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Community Based Disaster Risk Management</w:t>
            </w:r>
          </w:p>
        </w:tc>
        <w:tc>
          <w:tcPr>
            <w:tcW w:w="758"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$4,922,988</w:t>
            </w:r>
          </w:p>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2011 - 2015</w:t>
            </w:r>
          </w:p>
        </w:tc>
        <w:tc>
          <w:tcPr>
            <w:tcW w:w="726"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AQC 2014</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shd w:val="clear" w:color="auto" w:fill="FFFF00"/>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58"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26" w:type="pct"/>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QAI 2013</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3" w:type="pct"/>
            <w:shd w:val="clear" w:color="auto" w:fill="FFC0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3</w:t>
            </w:r>
          </w:p>
        </w:tc>
        <w:tc>
          <w:tcPr>
            <w:tcW w:w="254" w:type="pct"/>
            <w:shd w:val="clear" w:color="auto" w:fill="FFC0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3</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5"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Climate Innovation Centre</w:t>
            </w:r>
          </w:p>
        </w:tc>
        <w:tc>
          <w:tcPr>
            <w:tcW w:w="758"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$14,998,000</w:t>
            </w:r>
          </w:p>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2013 - 2018</w:t>
            </w:r>
          </w:p>
        </w:tc>
        <w:tc>
          <w:tcPr>
            <w:tcW w:w="726"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AQC 2014</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3" w:type="pct"/>
            <w:shd w:val="clear" w:color="auto" w:fill="FFC0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3</w:t>
            </w:r>
          </w:p>
        </w:tc>
        <w:tc>
          <w:tcPr>
            <w:tcW w:w="254" w:type="pct"/>
            <w:shd w:val="clear" w:color="auto" w:fill="FFC0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3</w:t>
            </w:r>
          </w:p>
        </w:tc>
        <w:tc>
          <w:tcPr>
            <w:tcW w:w="254" w:type="pct"/>
            <w:shd w:val="clear" w:color="auto" w:fill="FFC0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3</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shd w:val="clear" w:color="auto" w:fill="FFC0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3</w:t>
            </w:r>
          </w:p>
        </w:tc>
        <w:tc>
          <w:tcPr>
            <w:tcW w:w="255" w:type="pct"/>
            <w:shd w:val="clear" w:color="auto" w:fill="92D050"/>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58"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26" w:type="pct"/>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QAI 2013</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5"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5"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Vietnam Anti-corruption Program 2011-2014</w:t>
            </w:r>
          </w:p>
        </w:tc>
        <w:tc>
          <w:tcPr>
            <w:tcW w:w="758"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$5,500,000</w:t>
            </w:r>
          </w:p>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2011 - 2016</w:t>
            </w:r>
          </w:p>
        </w:tc>
        <w:tc>
          <w:tcPr>
            <w:tcW w:w="726"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AQC 2014</w:t>
            </w:r>
          </w:p>
        </w:tc>
        <w:tc>
          <w:tcPr>
            <w:tcW w:w="253"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3" w:type="pct"/>
            <w:shd w:val="clear" w:color="auto" w:fill="FFC0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3</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5"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5" w:type="pct"/>
            <w:shd w:val="clear" w:color="auto" w:fill="FFFF00"/>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58" w:type="pct"/>
            <w:vMerge/>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p>
        </w:tc>
        <w:tc>
          <w:tcPr>
            <w:tcW w:w="726" w:type="pct"/>
            <w:tcBorders>
              <w:bottom w:val="single" w:sz="4" w:space="0" w:color="auto"/>
            </w:tcBorders>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QAI 2013</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5"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6</w:t>
            </w:r>
          </w:p>
        </w:tc>
        <w:tc>
          <w:tcPr>
            <w:tcW w:w="255" w:type="pc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n\a</w:t>
            </w:r>
          </w:p>
        </w:tc>
      </w:tr>
      <w:tr w:rsidR="00D57573" w:rsidRPr="001008BA" w:rsidTr="00320C8E">
        <w:trPr>
          <w:cnfStyle w:val="000000010000" w:firstRow="0" w:lastRow="0" w:firstColumn="0" w:lastColumn="0" w:oddVBand="0" w:evenVBand="0" w:oddHBand="0" w:evenHBand="1" w:firstRowFirstColumn="0" w:firstRowLastColumn="0" w:lastRowFirstColumn="0" w:lastRowLastColumn="0"/>
        </w:trPr>
        <w:tc>
          <w:tcPr>
            <w:tcW w:w="1627" w:type="pct"/>
            <w:vMerge w:val="restart"/>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AusAID - World Bank Vietnam Partnership Trust Fund</w:t>
            </w:r>
          </w:p>
        </w:tc>
        <w:tc>
          <w:tcPr>
            <w:tcW w:w="758" w:type="pct"/>
            <w:vMerge w:val="restart"/>
            <w:vAlign w:val="center"/>
          </w:tcPr>
          <w:p w:rsidR="008F6E08" w:rsidRPr="001008BA" w:rsidRDefault="008F6E08" w:rsidP="00320C8E">
            <w:pPr>
              <w:jc w:val="both"/>
              <w:rPr>
                <w:rFonts w:ascii="Franklin Gothic Book" w:hAnsi="Franklin Gothic Book" w:cs="Calibri"/>
                <w:color w:val="000000"/>
                <w:sz w:val="17"/>
                <w:szCs w:val="17"/>
              </w:rPr>
            </w:pPr>
            <w:r w:rsidRPr="001008BA">
              <w:rPr>
                <w:rFonts w:ascii="Franklin Gothic Book" w:hAnsi="Franklin Gothic Book" w:cs="Calibri"/>
                <w:color w:val="000000"/>
                <w:sz w:val="17"/>
                <w:szCs w:val="17"/>
              </w:rPr>
              <w:t>$43,000,000</w:t>
            </w:r>
          </w:p>
          <w:p w:rsidR="008F6E08" w:rsidRPr="001008BA" w:rsidRDefault="008F6E08" w:rsidP="00320C8E">
            <w:pPr>
              <w:jc w:val="both"/>
              <w:rPr>
                <w:rFonts w:ascii="Franklin Gothic Book" w:hAnsi="Franklin Gothic Book" w:cs="Calibri"/>
                <w:color w:val="000000"/>
                <w:sz w:val="17"/>
                <w:szCs w:val="17"/>
              </w:rPr>
            </w:pPr>
            <w:r w:rsidRPr="001008BA">
              <w:rPr>
                <w:rFonts w:ascii="Franklin Gothic Book" w:hAnsi="Franklin Gothic Book" w:cs="Calibri"/>
                <w:color w:val="000000"/>
                <w:sz w:val="17"/>
                <w:szCs w:val="17"/>
              </w:rPr>
              <w:t>2012 -2016</w:t>
            </w:r>
          </w:p>
        </w:tc>
        <w:tc>
          <w:tcPr>
            <w:tcW w:w="726" w:type="pct"/>
            <w:vAlign w:val="center"/>
          </w:tcPr>
          <w:p w:rsidR="008F6E08" w:rsidRPr="001008BA" w:rsidRDefault="008F6E08" w:rsidP="00320C8E">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AQC 2014</w:t>
            </w:r>
          </w:p>
        </w:tc>
        <w:tc>
          <w:tcPr>
            <w:tcW w:w="253"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3"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4" w:type="pct"/>
            <w:shd w:val="clear" w:color="auto" w:fill="FFFF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4</w:t>
            </w:r>
          </w:p>
        </w:tc>
        <w:tc>
          <w:tcPr>
            <w:tcW w:w="254" w:type="pct"/>
            <w:shd w:val="clear" w:color="auto" w:fill="FFC0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3</w:t>
            </w:r>
          </w:p>
        </w:tc>
        <w:tc>
          <w:tcPr>
            <w:tcW w:w="254" w:type="pct"/>
            <w:shd w:val="clear" w:color="auto" w:fill="92D05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c>
          <w:tcPr>
            <w:tcW w:w="255" w:type="pct"/>
            <w:shd w:val="clear" w:color="auto" w:fill="FFC000"/>
            <w:noWrap/>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3</w:t>
            </w:r>
          </w:p>
        </w:tc>
        <w:tc>
          <w:tcPr>
            <w:tcW w:w="255" w:type="pct"/>
            <w:shd w:val="clear" w:color="auto" w:fill="92D050"/>
            <w:vAlign w:val="center"/>
          </w:tcPr>
          <w:p w:rsidR="008F6E08" w:rsidRPr="001008BA" w:rsidRDefault="008F6E08" w:rsidP="008F6E08">
            <w:pPr>
              <w:rPr>
                <w:rFonts w:ascii="Franklin Gothic Book" w:hAnsi="Franklin Gothic Book" w:cs="Calibri"/>
                <w:color w:val="000000"/>
                <w:sz w:val="17"/>
                <w:szCs w:val="17"/>
              </w:rPr>
            </w:pPr>
            <w:r w:rsidRPr="001008BA">
              <w:rPr>
                <w:rFonts w:ascii="Franklin Gothic Book" w:hAnsi="Franklin Gothic Book" w:cs="Calibri"/>
                <w:color w:val="000000"/>
                <w:sz w:val="17"/>
                <w:szCs w:val="17"/>
              </w:rPr>
              <w:t>5</w:t>
            </w:r>
          </w:p>
        </w:tc>
      </w:tr>
      <w:tr w:rsidR="00D57573" w:rsidRPr="00051AA7" w:rsidTr="00320C8E">
        <w:trPr>
          <w:cnfStyle w:val="000000010000" w:firstRow="0" w:lastRow="0" w:firstColumn="0" w:lastColumn="0" w:oddVBand="0" w:evenVBand="0" w:oddHBand="0" w:evenHBand="1" w:firstRowFirstColumn="0" w:firstRowLastColumn="0" w:lastRowFirstColumn="0" w:lastRowLastColumn="0"/>
          <w:trHeight w:val="173"/>
        </w:trPr>
        <w:tc>
          <w:tcPr>
            <w:tcW w:w="1627" w:type="pct"/>
            <w:vMerge/>
            <w:vAlign w:val="center"/>
          </w:tcPr>
          <w:p w:rsidR="008F6E08" w:rsidRPr="00051AA7" w:rsidRDefault="008F6E08" w:rsidP="005E690E">
            <w:pPr>
              <w:rPr>
                <w:rFonts w:ascii="Franklin Gothic Book" w:hAnsi="Franklin Gothic Book" w:cs="Arial"/>
                <w:color w:val="25396E"/>
                <w:sz w:val="17"/>
                <w:szCs w:val="17"/>
              </w:rPr>
            </w:pPr>
          </w:p>
        </w:tc>
        <w:tc>
          <w:tcPr>
            <w:tcW w:w="758" w:type="pct"/>
            <w:vMerge/>
            <w:vAlign w:val="center"/>
          </w:tcPr>
          <w:p w:rsidR="008F6E08" w:rsidRPr="00051AA7" w:rsidRDefault="008F6E08" w:rsidP="00C77B8C">
            <w:pPr>
              <w:rPr>
                <w:rFonts w:ascii="Franklin Gothic Book" w:hAnsi="Franklin Gothic Book" w:cs="Arial"/>
                <w:color w:val="25396E"/>
                <w:sz w:val="17"/>
                <w:szCs w:val="17"/>
              </w:rPr>
            </w:pPr>
          </w:p>
        </w:tc>
        <w:tc>
          <w:tcPr>
            <w:tcW w:w="726" w:type="pct"/>
            <w:vAlign w:val="center"/>
          </w:tcPr>
          <w:p w:rsidR="008F6E08" w:rsidRPr="00051AA7" w:rsidRDefault="008F6E08" w:rsidP="00320C8E">
            <w:pPr>
              <w:rPr>
                <w:rFonts w:ascii="Franklin Gothic Book" w:hAnsi="Franklin Gothic Book" w:cs="Arial"/>
                <w:color w:val="25396E"/>
                <w:sz w:val="17"/>
                <w:szCs w:val="17"/>
              </w:rPr>
            </w:pPr>
            <w:r w:rsidRPr="005E690E">
              <w:rPr>
                <w:rFonts w:ascii="Franklin Gothic Book" w:hAnsi="Franklin Gothic Book" w:cs="Calibri"/>
                <w:color w:val="000000"/>
                <w:sz w:val="17"/>
                <w:szCs w:val="17"/>
              </w:rPr>
              <w:t>QAI 2013</w:t>
            </w:r>
          </w:p>
        </w:tc>
        <w:tc>
          <w:tcPr>
            <w:tcW w:w="253" w:type="pct"/>
            <w:shd w:val="clear" w:color="auto" w:fill="92D050"/>
            <w:noWrap/>
            <w:vAlign w:val="center"/>
          </w:tcPr>
          <w:p w:rsidR="008F6E08" w:rsidRPr="00051AA7" w:rsidRDefault="008F6E08" w:rsidP="005E690E">
            <w:pPr>
              <w:rPr>
                <w:rFonts w:ascii="Franklin Gothic Book" w:hAnsi="Franklin Gothic Book" w:cs="Arial"/>
                <w:bCs/>
                <w:sz w:val="17"/>
                <w:szCs w:val="17"/>
              </w:rPr>
            </w:pPr>
            <w:r w:rsidRPr="00051AA7">
              <w:rPr>
                <w:rFonts w:ascii="Franklin Gothic Book" w:hAnsi="Franklin Gothic Book" w:cs="Arial"/>
                <w:bCs/>
                <w:sz w:val="17"/>
                <w:szCs w:val="17"/>
              </w:rPr>
              <w:t>5</w:t>
            </w:r>
          </w:p>
        </w:tc>
        <w:tc>
          <w:tcPr>
            <w:tcW w:w="253" w:type="pct"/>
            <w:shd w:val="clear" w:color="auto" w:fill="FFFF00"/>
            <w:noWrap/>
            <w:vAlign w:val="center"/>
          </w:tcPr>
          <w:p w:rsidR="008F6E08" w:rsidRPr="00051AA7" w:rsidRDefault="008F6E08" w:rsidP="005E690E">
            <w:pPr>
              <w:rPr>
                <w:rFonts w:ascii="Franklin Gothic Book" w:hAnsi="Franklin Gothic Book" w:cs="Arial"/>
                <w:bCs/>
                <w:sz w:val="17"/>
                <w:szCs w:val="17"/>
              </w:rPr>
            </w:pPr>
            <w:r w:rsidRPr="00051AA7">
              <w:rPr>
                <w:rFonts w:ascii="Franklin Gothic Book" w:hAnsi="Franklin Gothic Book" w:cs="Arial"/>
                <w:bCs/>
                <w:sz w:val="17"/>
                <w:szCs w:val="17"/>
              </w:rPr>
              <w:t>4</w:t>
            </w:r>
          </w:p>
        </w:tc>
        <w:tc>
          <w:tcPr>
            <w:tcW w:w="254" w:type="pct"/>
            <w:shd w:val="clear" w:color="auto" w:fill="FFFF00"/>
            <w:noWrap/>
            <w:vAlign w:val="center"/>
          </w:tcPr>
          <w:p w:rsidR="008F6E08" w:rsidRPr="00051AA7" w:rsidRDefault="008F6E08" w:rsidP="005E690E">
            <w:pPr>
              <w:rPr>
                <w:rFonts w:ascii="Franklin Gothic Book" w:hAnsi="Franklin Gothic Book" w:cs="Arial"/>
                <w:bCs/>
                <w:sz w:val="17"/>
                <w:szCs w:val="17"/>
              </w:rPr>
            </w:pPr>
            <w:r w:rsidRPr="00051AA7">
              <w:rPr>
                <w:rFonts w:ascii="Franklin Gothic Book" w:hAnsi="Franklin Gothic Book" w:cs="Arial"/>
                <w:bCs/>
                <w:sz w:val="17"/>
                <w:szCs w:val="17"/>
              </w:rPr>
              <w:t>4</w:t>
            </w:r>
          </w:p>
        </w:tc>
        <w:tc>
          <w:tcPr>
            <w:tcW w:w="254" w:type="pct"/>
            <w:shd w:val="clear" w:color="auto" w:fill="FFFF00"/>
            <w:noWrap/>
            <w:vAlign w:val="center"/>
          </w:tcPr>
          <w:p w:rsidR="008F6E08" w:rsidRPr="00051AA7" w:rsidRDefault="008F6E08" w:rsidP="005E690E">
            <w:pPr>
              <w:rPr>
                <w:rFonts w:ascii="Franklin Gothic Book" w:hAnsi="Franklin Gothic Book" w:cs="Arial"/>
                <w:bCs/>
                <w:sz w:val="17"/>
                <w:szCs w:val="17"/>
              </w:rPr>
            </w:pPr>
            <w:r w:rsidRPr="00051AA7">
              <w:rPr>
                <w:rFonts w:ascii="Franklin Gothic Book" w:hAnsi="Franklin Gothic Book" w:cs="Arial"/>
                <w:bCs/>
                <w:sz w:val="17"/>
                <w:szCs w:val="17"/>
              </w:rPr>
              <w:t>4</w:t>
            </w:r>
          </w:p>
        </w:tc>
        <w:tc>
          <w:tcPr>
            <w:tcW w:w="254" w:type="pct"/>
            <w:shd w:val="clear" w:color="auto" w:fill="FFFF00"/>
            <w:noWrap/>
            <w:vAlign w:val="center"/>
          </w:tcPr>
          <w:p w:rsidR="008F6E08" w:rsidRPr="00051AA7" w:rsidRDefault="008F6E08" w:rsidP="005E690E">
            <w:pPr>
              <w:rPr>
                <w:rFonts w:ascii="Franklin Gothic Book" w:hAnsi="Franklin Gothic Book" w:cs="Arial"/>
                <w:bCs/>
                <w:sz w:val="17"/>
                <w:szCs w:val="17"/>
              </w:rPr>
            </w:pPr>
            <w:r w:rsidRPr="00051AA7">
              <w:rPr>
                <w:rFonts w:ascii="Franklin Gothic Book" w:hAnsi="Franklin Gothic Book" w:cs="Arial"/>
                <w:bCs/>
                <w:sz w:val="17"/>
                <w:szCs w:val="17"/>
              </w:rPr>
              <w:t>4</w:t>
            </w:r>
          </w:p>
        </w:tc>
        <w:tc>
          <w:tcPr>
            <w:tcW w:w="255" w:type="pct"/>
            <w:shd w:val="clear" w:color="auto" w:fill="FFC000"/>
            <w:noWrap/>
            <w:vAlign w:val="center"/>
          </w:tcPr>
          <w:p w:rsidR="008F6E08" w:rsidRPr="00051AA7" w:rsidRDefault="008F6E08" w:rsidP="005E690E">
            <w:pPr>
              <w:rPr>
                <w:rFonts w:ascii="Franklin Gothic Book" w:hAnsi="Franklin Gothic Book" w:cs="Arial"/>
                <w:bCs/>
                <w:sz w:val="17"/>
                <w:szCs w:val="17"/>
              </w:rPr>
            </w:pPr>
            <w:r w:rsidRPr="00051AA7">
              <w:rPr>
                <w:rFonts w:ascii="Franklin Gothic Book" w:hAnsi="Franklin Gothic Book" w:cs="Arial"/>
                <w:bCs/>
                <w:sz w:val="17"/>
                <w:szCs w:val="17"/>
              </w:rPr>
              <w:t>3</w:t>
            </w:r>
          </w:p>
        </w:tc>
        <w:tc>
          <w:tcPr>
            <w:tcW w:w="255" w:type="pct"/>
            <w:vAlign w:val="center"/>
          </w:tcPr>
          <w:p w:rsidR="008F6E08" w:rsidRPr="00051AA7" w:rsidRDefault="008F6E08" w:rsidP="005E690E">
            <w:pPr>
              <w:rPr>
                <w:rFonts w:ascii="Franklin Gothic Book" w:hAnsi="Franklin Gothic Book" w:cs="Arial"/>
                <w:bCs/>
                <w:sz w:val="17"/>
                <w:szCs w:val="17"/>
              </w:rPr>
            </w:pPr>
            <w:r w:rsidRPr="00051AA7">
              <w:rPr>
                <w:rFonts w:ascii="Franklin Gothic Book" w:hAnsi="Franklin Gothic Book" w:cs="Arial"/>
                <w:bCs/>
                <w:sz w:val="17"/>
                <w:szCs w:val="17"/>
              </w:rPr>
              <w:t>n\a</w:t>
            </w:r>
          </w:p>
        </w:tc>
      </w:tr>
    </w:tbl>
    <w:p w:rsidR="00416B02" w:rsidRDefault="00416B02" w:rsidP="00416B02">
      <w:pPr>
        <w:rPr>
          <w:iCs/>
        </w:rPr>
      </w:pPr>
    </w:p>
    <w:p w:rsidR="00416B02" w:rsidRDefault="00416B02" w:rsidP="007375D9">
      <w:pPr>
        <w:pStyle w:val="Heading3"/>
      </w:pPr>
      <w:r>
        <w:lastRenderedPageBreak/>
        <w:t>FAQC ratings</w:t>
      </w:r>
    </w:p>
    <w:p w:rsidR="00416B02" w:rsidRDefault="00416B02" w:rsidP="00416B02">
      <w:pPr>
        <w:pStyle w:val="BodyText"/>
      </w:pPr>
      <w:r>
        <w:t>FAQC scores assess performance over the lifetime of the investment and should not be compared to the previous year’s QAI ratings.</w:t>
      </w:r>
    </w:p>
    <w:tbl>
      <w:tblPr>
        <w:tblStyle w:val="APPR"/>
        <w:tblW w:w="5000" w:type="pct"/>
        <w:tblBorders>
          <w:top w:val="single" w:sz="4" w:space="0" w:color="auto"/>
          <w:bottom w:val="single" w:sz="4" w:space="0" w:color="auto"/>
        </w:tblBorders>
        <w:tblLook w:val="0000" w:firstRow="0" w:lastRow="0" w:firstColumn="0" w:lastColumn="0" w:noHBand="0" w:noVBand="0"/>
        <w:tblCaption w:val="Final Aid Quality Check (FAQC) ratings "/>
        <w:tblDescription w:val="Table provides all ratings for the Final Aid Quality Checks completed in the reporting period, providing details of investment name, approved budget and duration, and then the rating against each FAQC criteria (overall rating, relevance, effectiveness, efficiency, monitoring and evaluation, sustainability, gender equality, risks and safeguards)"/>
      </w:tblPr>
      <w:tblGrid>
        <w:gridCol w:w="2903"/>
        <w:gridCol w:w="1557"/>
        <w:gridCol w:w="1116"/>
        <w:gridCol w:w="1263"/>
        <w:gridCol w:w="1184"/>
        <w:gridCol w:w="1181"/>
        <w:gridCol w:w="1184"/>
        <w:gridCol w:w="1181"/>
        <w:gridCol w:w="1184"/>
        <w:gridCol w:w="1184"/>
      </w:tblGrid>
      <w:tr w:rsidR="00D57573" w:rsidRPr="009D53C4" w:rsidTr="006E27E9">
        <w:trPr>
          <w:cnfStyle w:val="000000010000" w:firstRow="0" w:lastRow="0" w:firstColumn="0" w:lastColumn="0" w:oddVBand="0" w:evenVBand="0" w:oddHBand="0" w:evenHBand="1" w:firstRowFirstColumn="0" w:firstRowLastColumn="0" w:lastRowFirstColumn="0" w:lastRowLastColumn="0"/>
          <w:trHeight w:val="1505"/>
        </w:trPr>
        <w:tc>
          <w:tcPr>
            <w:tcW w:w="1030" w:type="pct"/>
          </w:tcPr>
          <w:p w:rsidR="008F6E08" w:rsidRPr="00FE4491" w:rsidRDefault="008F6E08" w:rsidP="008F6E08">
            <w:pPr>
              <w:pStyle w:val="TableTextColumnHeading"/>
            </w:pPr>
            <w:r w:rsidRPr="00FE4491">
              <w:rPr>
                <w:noProof/>
                <w:lang w:eastAsia="en-AU"/>
              </w:rPr>
              <w:drawing>
                <wp:anchor distT="0" distB="0" distL="114300" distR="114300" simplePos="0" relativeHeight="251677696" behindDoc="0" locked="0" layoutInCell="1" allowOverlap="1" wp14:anchorId="14A6B561" wp14:editId="5A8903DB">
                  <wp:simplePos x="0" y="0"/>
                  <wp:positionH relativeFrom="column">
                    <wp:posOffset>0</wp:posOffset>
                  </wp:positionH>
                  <wp:positionV relativeFrom="paragraph">
                    <wp:posOffset>0</wp:posOffset>
                  </wp:positionV>
                  <wp:extent cx="1857375" cy="228600"/>
                  <wp:effectExtent l="0" t="0" r="9525" b="0"/>
                  <wp:wrapNone/>
                  <wp:docPr id="19" name="Picture 1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550" w:type="pct"/>
          </w:tcPr>
          <w:p w:rsidR="008F6E08" w:rsidRPr="00FE4491" w:rsidRDefault="008F6E08" w:rsidP="008F6E08">
            <w:pPr>
              <w:pStyle w:val="TableTextColumnHeading"/>
            </w:pPr>
            <w:r w:rsidRPr="00FE4491">
              <w:t>Approved budget and duration</w:t>
            </w:r>
          </w:p>
        </w:tc>
        <w:tc>
          <w:tcPr>
            <w:tcW w:w="391" w:type="pct"/>
            <w:noWrap/>
            <w:textDirection w:val="btLr"/>
          </w:tcPr>
          <w:p w:rsidR="008F6E08" w:rsidRPr="00FE4491" w:rsidRDefault="008F6E08" w:rsidP="008F6E08">
            <w:pPr>
              <w:pStyle w:val="TableTextColumnHeading"/>
            </w:pPr>
            <w:r>
              <w:t>Overall rating</w:t>
            </w:r>
          </w:p>
        </w:tc>
        <w:tc>
          <w:tcPr>
            <w:tcW w:w="444" w:type="pct"/>
            <w:noWrap/>
            <w:textDirection w:val="btLr"/>
          </w:tcPr>
          <w:p w:rsidR="008F6E08" w:rsidRPr="00FE4491" w:rsidRDefault="008F6E08" w:rsidP="008F6E08">
            <w:pPr>
              <w:pStyle w:val="TableTextColumnHeading"/>
            </w:pPr>
            <w:r w:rsidRPr="00FE4491">
              <w:t>Relevance</w:t>
            </w:r>
          </w:p>
        </w:tc>
        <w:tc>
          <w:tcPr>
            <w:tcW w:w="416" w:type="pct"/>
            <w:noWrap/>
            <w:textDirection w:val="btLr"/>
          </w:tcPr>
          <w:p w:rsidR="008F6E08" w:rsidRPr="00FE4491" w:rsidRDefault="008F6E08" w:rsidP="008F6E08">
            <w:pPr>
              <w:pStyle w:val="TableTextColumnHeading"/>
            </w:pPr>
            <w:r w:rsidRPr="00FE4491">
              <w:t>Effectiveness</w:t>
            </w:r>
          </w:p>
        </w:tc>
        <w:tc>
          <w:tcPr>
            <w:tcW w:w="415" w:type="pct"/>
            <w:noWrap/>
            <w:textDirection w:val="btLr"/>
          </w:tcPr>
          <w:p w:rsidR="008F6E08" w:rsidRPr="00FE4491" w:rsidRDefault="008F6E08" w:rsidP="008F6E08">
            <w:pPr>
              <w:pStyle w:val="TableTextColumnHeading"/>
            </w:pPr>
            <w:r w:rsidRPr="00FE4491">
              <w:t>Efficiency</w:t>
            </w:r>
          </w:p>
        </w:tc>
        <w:tc>
          <w:tcPr>
            <w:tcW w:w="416" w:type="pct"/>
            <w:noWrap/>
            <w:textDirection w:val="btLr"/>
          </w:tcPr>
          <w:p w:rsidR="008F6E08" w:rsidRPr="00FE4491" w:rsidRDefault="008F6E08" w:rsidP="008F6E08">
            <w:pPr>
              <w:pStyle w:val="TableTextColumnHeading"/>
            </w:pPr>
            <w:r w:rsidRPr="00FE4491">
              <w:t>Monitoring and Evaluation</w:t>
            </w:r>
          </w:p>
        </w:tc>
        <w:tc>
          <w:tcPr>
            <w:tcW w:w="415" w:type="pct"/>
            <w:noWrap/>
            <w:textDirection w:val="btLr"/>
          </w:tcPr>
          <w:p w:rsidR="008F6E08" w:rsidRPr="00FE4491" w:rsidRDefault="008F6E08" w:rsidP="008F6E08">
            <w:pPr>
              <w:pStyle w:val="TableTextColumnHeading"/>
            </w:pPr>
            <w:r w:rsidRPr="00FE4491">
              <w:t>Sustainability</w:t>
            </w:r>
          </w:p>
        </w:tc>
        <w:tc>
          <w:tcPr>
            <w:tcW w:w="416" w:type="pct"/>
            <w:textDirection w:val="btLr"/>
          </w:tcPr>
          <w:p w:rsidR="008F6E08" w:rsidRPr="00FE4491" w:rsidRDefault="008F6E08" w:rsidP="008F6E08">
            <w:pPr>
              <w:pStyle w:val="TableTextColumnHeading"/>
            </w:pPr>
            <w:r w:rsidRPr="00FE4491">
              <w:t>Gender equality</w:t>
            </w:r>
          </w:p>
        </w:tc>
        <w:tc>
          <w:tcPr>
            <w:tcW w:w="411" w:type="pct"/>
            <w:textDirection w:val="btLr"/>
          </w:tcPr>
          <w:p w:rsidR="008F6E08" w:rsidRPr="00FE4491" w:rsidRDefault="008F6E08" w:rsidP="008F6E08">
            <w:pPr>
              <w:pStyle w:val="TableTextColumnHeading"/>
            </w:pPr>
            <w:r>
              <w:t>Risks  and Safeguards</w:t>
            </w:r>
          </w:p>
        </w:tc>
      </w:tr>
      <w:tr w:rsidR="00D57573" w:rsidRPr="009D53C4" w:rsidTr="006E27E9">
        <w:trPr>
          <w:cnfStyle w:val="000000010000" w:firstRow="0" w:lastRow="0" w:firstColumn="0" w:lastColumn="0" w:oddVBand="0" w:evenVBand="0" w:oddHBand="0" w:evenHBand="1" w:firstRowFirstColumn="0" w:firstRowLastColumn="0" w:lastRowFirstColumn="0" w:lastRowLastColumn="0"/>
          <w:trHeight w:val="284"/>
        </w:trPr>
        <w:tc>
          <w:tcPr>
            <w:tcW w:w="1030" w:type="pct"/>
            <w:tcBorders>
              <w:top w:val="single" w:sz="4" w:space="0" w:color="auto"/>
            </w:tcBorders>
            <w:vAlign w:val="center"/>
          </w:tcPr>
          <w:p w:rsidR="008F6E08" w:rsidRPr="008F6E08" w:rsidRDefault="008F6E08" w:rsidP="008F6E08">
            <w:pPr>
              <w:pStyle w:val="TableTextEntries"/>
            </w:pPr>
            <w:r w:rsidRPr="008F6E08">
              <w:t>Support Program to Respond to Climate Change</w:t>
            </w:r>
          </w:p>
        </w:tc>
        <w:tc>
          <w:tcPr>
            <w:tcW w:w="550" w:type="pct"/>
            <w:tcBorders>
              <w:top w:val="single" w:sz="4" w:space="0" w:color="auto"/>
            </w:tcBorders>
            <w:vAlign w:val="center"/>
          </w:tcPr>
          <w:p w:rsidR="008F6E08" w:rsidRPr="008F6E08" w:rsidRDefault="008F6E08" w:rsidP="008F6E08">
            <w:pPr>
              <w:pStyle w:val="TableTextEntries"/>
            </w:pPr>
            <w:r w:rsidRPr="008F6E08">
              <w:t>$14,000,000</w:t>
            </w:r>
          </w:p>
          <w:p w:rsidR="008F6E08" w:rsidRPr="008F6E08" w:rsidRDefault="008F6E08" w:rsidP="008F6E08">
            <w:pPr>
              <w:pStyle w:val="TableTextEntries"/>
            </w:pPr>
            <w:r w:rsidRPr="008F6E08">
              <w:t>2011-2015</w:t>
            </w:r>
          </w:p>
        </w:tc>
        <w:tc>
          <w:tcPr>
            <w:tcW w:w="391" w:type="pct"/>
            <w:tcBorders>
              <w:top w:val="single" w:sz="4" w:space="0" w:color="auto"/>
            </w:tcBorders>
            <w:shd w:val="clear" w:color="auto" w:fill="FFFF00"/>
            <w:noWrap/>
          </w:tcPr>
          <w:p w:rsidR="008F6E08" w:rsidRPr="00FE4491" w:rsidRDefault="008F6E08" w:rsidP="008F6E08">
            <w:pPr>
              <w:pStyle w:val="TableTextEntries"/>
              <w:jc w:val="center"/>
            </w:pPr>
            <w:r>
              <w:t>4</w:t>
            </w:r>
          </w:p>
        </w:tc>
        <w:tc>
          <w:tcPr>
            <w:tcW w:w="444" w:type="pct"/>
            <w:tcBorders>
              <w:top w:val="single" w:sz="4" w:space="0" w:color="auto"/>
            </w:tcBorders>
            <w:shd w:val="clear" w:color="auto" w:fill="92D05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5</w:t>
            </w:r>
          </w:p>
        </w:tc>
        <w:tc>
          <w:tcPr>
            <w:tcW w:w="416" w:type="pct"/>
            <w:tcBorders>
              <w:top w:val="single" w:sz="4" w:space="0" w:color="auto"/>
            </w:tcBorders>
            <w:shd w:val="clear" w:color="auto" w:fill="FFFF0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4</w:t>
            </w:r>
          </w:p>
        </w:tc>
        <w:tc>
          <w:tcPr>
            <w:tcW w:w="415" w:type="pct"/>
            <w:tcBorders>
              <w:top w:val="single" w:sz="4" w:space="0" w:color="auto"/>
            </w:tcBorders>
            <w:shd w:val="clear" w:color="auto" w:fill="FFFF0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4</w:t>
            </w:r>
          </w:p>
        </w:tc>
        <w:tc>
          <w:tcPr>
            <w:tcW w:w="416" w:type="pct"/>
            <w:tcBorders>
              <w:top w:val="single" w:sz="4" w:space="0" w:color="auto"/>
            </w:tcBorders>
            <w:shd w:val="clear" w:color="auto" w:fill="92D05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5</w:t>
            </w:r>
          </w:p>
        </w:tc>
        <w:tc>
          <w:tcPr>
            <w:tcW w:w="415" w:type="pct"/>
            <w:tcBorders>
              <w:top w:val="single" w:sz="4" w:space="0" w:color="auto"/>
            </w:tcBorders>
            <w:shd w:val="clear" w:color="auto" w:fill="FFFF0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4</w:t>
            </w:r>
          </w:p>
        </w:tc>
        <w:tc>
          <w:tcPr>
            <w:tcW w:w="416" w:type="pct"/>
            <w:tcBorders>
              <w:top w:val="single" w:sz="4" w:space="0" w:color="auto"/>
            </w:tcBorders>
            <w:shd w:val="clear" w:color="auto" w:fill="FFC000"/>
            <w:vAlign w:val="center"/>
          </w:tcPr>
          <w:p w:rsidR="008F6E08" w:rsidRDefault="008F6E08" w:rsidP="008F6E08">
            <w:pPr>
              <w:jc w:val="right"/>
              <w:rPr>
                <w:rFonts w:ascii="Arial" w:hAnsi="Arial" w:cs="Arial"/>
                <w:b/>
                <w:bCs/>
                <w:sz w:val="16"/>
                <w:szCs w:val="16"/>
              </w:rPr>
            </w:pPr>
            <w:r>
              <w:rPr>
                <w:rFonts w:ascii="Arial" w:hAnsi="Arial" w:cs="Arial"/>
                <w:b/>
                <w:bCs/>
                <w:sz w:val="16"/>
                <w:szCs w:val="16"/>
              </w:rPr>
              <w:t>3</w:t>
            </w:r>
          </w:p>
        </w:tc>
        <w:tc>
          <w:tcPr>
            <w:tcW w:w="411" w:type="pct"/>
            <w:tcBorders>
              <w:top w:val="single" w:sz="4" w:space="0" w:color="auto"/>
            </w:tcBorders>
            <w:shd w:val="clear" w:color="auto" w:fill="FFFF00"/>
            <w:vAlign w:val="center"/>
          </w:tcPr>
          <w:p w:rsidR="008F6E08" w:rsidRDefault="008F6E08" w:rsidP="008F6E08">
            <w:pPr>
              <w:jc w:val="right"/>
              <w:rPr>
                <w:rFonts w:ascii="Arial" w:hAnsi="Arial" w:cs="Arial"/>
                <w:b/>
                <w:bCs/>
                <w:sz w:val="16"/>
                <w:szCs w:val="16"/>
              </w:rPr>
            </w:pPr>
            <w:r>
              <w:rPr>
                <w:rFonts w:ascii="Arial" w:hAnsi="Arial" w:cs="Arial"/>
                <w:b/>
                <w:bCs/>
                <w:sz w:val="16"/>
                <w:szCs w:val="16"/>
              </w:rPr>
              <w:t>4</w:t>
            </w:r>
          </w:p>
        </w:tc>
      </w:tr>
      <w:tr w:rsidR="00D57573" w:rsidRPr="009D53C4" w:rsidTr="00A05D61">
        <w:trPr>
          <w:cnfStyle w:val="000000010000" w:firstRow="0" w:lastRow="0" w:firstColumn="0" w:lastColumn="0" w:oddVBand="0" w:evenVBand="0" w:oddHBand="0" w:evenHBand="1" w:firstRowFirstColumn="0" w:firstRowLastColumn="0" w:lastRowFirstColumn="0" w:lastRowLastColumn="0"/>
          <w:trHeight w:val="284"/>
        </w:trPr>
        <w:tc>
          <w:tcPr>
            <w:tcW w:w="1030" w:type="pct"/>
            <w:tcBorders>
              <w:top w:val="single" w:sz="2" w:space="0" w:color="000000" w:themeColor="text1"/>
            </w:tcBorders>
            <w:vAlign w:val="center"/>
          </w:tcPr>
          <w:p w:rsidR="008F6E08" w:rsidRPr="008F6E08" w:rsidRDefault="008F6E08" w:rsidP="008F6E08">
            <w:pPr>
              <w:pStyle w:val="TableTextEntries"/>
            </w:pPr>
            <w:r w:rsidRPr="008F6E08">
              <w:t>Vietnam Climate Change NGOs Partnership</w:t>
            </w:r>
          </w:p>
        </w:tc>
        <w:tc>
          <w:tcPr>
            <w:tcW w:w="550" w:type="pct"/>
            <w:tcBorders>
              <w:top w:val="single" w:sz="2" w:space="0" w:color="000000" w:themeColor="text1"/>
            </w:tcBorders>
            <w:vAlign w:val="center"/>
          </w:tcPr>
          <w:p w:rsidR="008F6E08" w:rsidRPr="008F6E08" w:rsidRDefault="008F6E08" w:rsidP="008F6E08">
            <w:pPr>
              <w:pStyle w:val="TableTextEntries"/>
            </w:pPr>
            <w:r w:rsidRPr="008F6E08">
              <w:t>$15,073,305</w:t>
            </w:r>
          </w:p>
          <w:p w:rsidR="008F6E08" w:rsidRPr="008F6E08" w:rsidRDefault="008F6E08" w:rsidP="008F6E08">
            <w:pPr>
              <w:pStyle w:val="TableTextEntries"/>
            </w:pPr>
            <w:r w:rsidRPr="008F6E08">
              <w:t>2012 - 2016</w:t>
            </w:r>
          </w:p>
        </w:tc>
        <w:tc>
          <w:tcPr>
            <w:tcW w:w="391" w:type="pct"/>
            <w:tcBorders>
              <w:top w:val="single" w:sz="2" w:space="0" w:color="000000" w:themeColor="text1"/>
            </w:tcBorders>
            <w:shd w:val="clear" w:color="auto" w:fill="92D050"/>
            <w:noWrap/>
          </w:tcPr>
          <w:p w:rsidR="008F6E08" w:rsidRPr="00FE4491" w:rsidRDefault="008F6E08" w:rsidP="008F6E08">
            <w:pPr>
              <w:pStyle w:val="TableTextEntries"/>
              <w:jc w:val="center"/>
            </w:pPr>
            <w:r>
              <w:t>5</w:t>
            </w:r>
          </w:p>
        </w:tc>
        <w:tc>
          <w:tcPr>
            <w:tcW w:w="444" w:type="pct"/>
            <w:tcBorders>
              <w:top w:val="single" w:sz="2" w:space="0" w:color="000000" w:themeColor="text1"/>
            </w:tcBorders>
            <w:shd w:val="clear" w:color="auto" w:fill="92D05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6</w:t>
            </w:r>
          </w:p>
        </w:tc>
        <w:tc>
          <w:tcPr>
            <w:tcW w:w="416" w:type="pct"/>
            <w:tcBorders>
              <w:top w:val="single" w:sz="2" w:space="0" w:color="000000" w:themeColor="text1"/>
            </w:tcBorders>
            <w:shd w:val="clear" w:color="auto" w:fill="92D05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5</w:t>
            </w:r>
          </w:p>
        </w:tc>
        <w:tc>
          <w:tcPr>
            <w:tcW w:w="415" w:type="pct"/>
            <w:tcBorders>
              <w:top w:val="single" w:sz="2" w:space="0" w:color="000000" w:themeColor="text1"/>
            </w:tcBorders>
            <w:shd w:val="clear" w:color="auto" w:fill="92D05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5</w:t>
            </w:r>
          </w:p>
        </w:tc>
        <w:tc>
          <w:tcPr>
            <w:tcW w:w="416" w:type="pct"/>
            <w:tcBorders>
              <w:top w:val="single" w:sz="2" w:space="0" w:color="000000" w:themeColor="text1"/>
            </w:tcBorders>
            <w:shd w:val="clear" w:color="auto" w:fill="92D05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5</w:t>
            </w:r>
          </w:p>
        </w:tc>
        <w:tc>
          <w:tcPr>
            <w:tcW w:w="415" w:type="pct"/>
            <w:tcBorders>
              <w:top w:val="single" w:sz="2" w:space="0" w:color="000000" w:themeColor="text1"/>
            </w:tcBorders>
            <w:shd w:val="clear" w:color="auto" w:fill="92D05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5</w:t>
            </w:r>
          </w:p>
        </w:tc>
        <w:tc>
          <w:tcPr>
            <w:tcW w:w="416" w:type="pct"/>
            <w:tcBorders>
              <w:top w:val="single" w:sz="2" w:space="0" w:color="000000" w:themeColor="text1"/>
            </w:tcBorders>
            <w:shd w:val="clear" w:color="auto" w:fill="92D050"/>
            <w:vAlign w:val="center"/>
          </w:tcPr>
          <w:p w:rsidR="008F6E08" w:rsidRDefault="008F6E08" w:rsidP="008F6E08">
            <w:pPr>
              <w:jc w:val="right"/>
              <w:rPr>
                <w:rFonts w:ascii="Arial" w:hAnsi="Arial" w:cs="Arial"/>
                <w:b/>
                <w:bCs/>
                <w:sz w:val="16"/>
                <w:szCs w:val="16"/>
              </w:rPr>
            </w:pPr>
            <w:r>
              <w:rPr>
                <w:rFonts w:ascii="Arial" w:hAnsi="Arial" w:cs="Arial"/>
                <w:b/>
                <w:bCs/>
                <w:sz w:val="16"/>
                <w:szCs w:val="16"/>
              </w:rPr>
              <w:t>5</w:t>
            </w:r>
          </w:p>
        </w:tc>
        <w:tc>
          <w:tcPr>
            <w:tcW w:w="411" w:type="pct"/>
            <w:tcBorders>
              <w:top w:val="single" w:sz="2" w:space="0" w:color="000000" w:themeColor="text1"/>
            </w:tcBorders>
            <w:shd w:val="clear" w:color="auto" w:fill="92D050"/>
            <w:vAlign w:val="center"/>
          </w:tcPr>
          <w:p w:rsidR="008F6E08" w:rsidRDefault="008F6E08" w:rsidP="008F6E08">
            <w:pPr>
              <w:jc w:val="right"/>
              <w:rPr>
                <w:rFonts w:ascii="Arial" w:hAnsi="Arial" w:cs="Arial"/>
                <w:b/>
                <w:bCs/>
                <w:sz w:val="16"/>
                <w:szCs w:val="16"/>
              </w:rPr>
            </w:pPr>
            <w:r>
              <w:rPr>
                <w:rFonts w:ascii="Arial" w:hAnsi="Arial" w:cs="Arial"/>
                <w:b/>
                <w:bCs/>
                <w:sz w:val="16"/>
                <w:szCs w:val="16"/>
              </w:rPr>
              <w:t>5</w:t>
            </w:r>
          </w:p>
        </w:tc>
      </w:tr>
      <w:tr w:rsidR="00D57573" w:rsidRPr="009D53C4" w:rsidTr="00A05D61">
        <w:trPr>
          <w:cnfStyle w:val="000000010000" w:firstRow="0" w:lastRow="0" w:firstColumn="0" w:lastColumn="0" w:oddVBand="0" w:evenVBand="0" w:oddHBand="0" w:evenHBand="1" w:firstRowFirstColumn="0" w:firstRowLastColumn="0" w:lastRowFirstColumn="0" w:lastRowLastColumn="0"/>
          <w:trHeight w:val="284"/>
        </w:trPr>
        <w:tc>
          <w:tcPr>
            <w:tcW w:w="1030" w:type="pct"/>
            <w:tcBorders>
              <w:top w:val="single" w:sz="2" w:space="0" w:color="000000" w:themeColor="text1"/>
            </w:tcBorders>
            <w:vAlign w:val="center"/>
          </w:tcPr>
          <w:p w:rsidR="008F6E08" w:rsidRPr="008F6E08" w:rsidRDefault="008F6E08" w:rsidP="008F6E08">
            <w:pPr>
              <w:pStyle w:val="TableTextEntries"/>
            </w:pPr>
            <w:r w:rsidRPr="008F6E08">
              <w:t>Vietnam Delivering Better Health</w:t>
            </w:r>
          </w:p>
        </w:tc>
        <w:tc>
          <w:tcPr>
            <w:tcW w:w="550" w:type="pct"/>
            <w:tcBorders>
              <w:top w:val="single" w:sz="2" w:space="0" w:color="000000" w:themeColor="text1"/>
            </w:tcBorders>
            <w:vAlign w:val="center"/>
          </w:tcPr>
          <w:p w:rsidR="008F6E08" w:rsidRPr="008F6E08" w:rsidRDefault="008F6E08" w:rsidP="008F6E08">
            <w:pPr>
              <w:pStyle w:val="TableTextEntries"/>
            </w:pPr>
            <w:r w:rsidRPr="008F6E08">
              <w:t>$14,897,501</w:t>
            </w:r>
          </w:p>
          <w:p w:rsidR="008F6E08" w:rsidRPr="008F6E08" w:rsidRDefault="008F6E08" w:rsidP="008F6E08">
            <w:pPr>
              <w:pStyle w:val="TableTextEntries"/>
            </w:pPr>
            <w:r w:rsidRPr="008F6E08">
              <w:t>2007 - 2015</w:t>
            </w:r>
          </w:p>
        </w:tc>
        <w:tc>
          <w:tcPr>
            <w:tcW w:w="391" w:type="pct"/>
            <w:tcBorders>
              <w:top w:val="single" w:sz="2" w:space="0" w:color="000000" w:themeColor="text1"/>
            </w:tcBorders>
            <w:shd w:val="clear" w:color="auto" w:fill="FFFF00"/>
            <w:noWrap/>
          </w:tcPr>
          <w:p w:rsidR="008F6E08" w:rsidRPr="00FE4491" w:rsidRDefault="008F6E08" w:rsidP="008F6E08">
            <w:pPr>
              <w:pStyle w:val="TableTextEntries"/>
              <w:jc w:val="center"/>
            </w:pPr>
            <w:r>
              <w:t>4</w:t>
            </w:r>
          </w:p>
        </w:tc>
        <w:tc>
          <w:tcPr>
            <w:tcW w:w="444" w:type="pct"/>
            <w:tcBorders>
              <w:top w:val="single" w:sz="2" w:space="0" w:color="000000" w:themeColor="text1"/>
            </w:tcBorders>
            <w:shd w:val="clear" w:color="auto" w:fill="FFFF0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4</w:t>
            </w:r>
          </w:p>
        </w:tc>
        <w:tc>
          <w:tcPr>
            <w:tcW w:w="416" w:type="pct"/>
            <w:tcBorders>
              <w:top w:val="single" w:sz="2" w:space="0" w:color="000000" w:themeColor="text1"/>
            </w:tcBorders>
            <w:shd w:val="clear" w:color="auto" w:fill="FFFF0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4</w:t>
            </w:r>
          </w:p>
        </w:tc>
        <w:tc>
          <w:tcPr>
            <w:tcW w:w="415" w:type="pct"/>
            <w:tcBorders>
              <w:top w:val="single" w:sz="2" w:space="0" w:color="000000" w:themeColor="text1"/>
            </w:tcBorders>
            <w:shd w:val="clear" w:color="auto" w:fill="FFC00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3</w:t>
            </w:r>
          </w:p>
        </w:tc>
        <w:tc>
          <w:tcPr>
            <w:tcW w:w="416" w:type="pct"/>
            <w:tcBorders>
              <w:top w:val="single" w:sz="2" w:space="0" w:color="000000" w:themeColor="text1"/>
            </w:tcBorders>
            <w:shd w:val="clear" w:color="auto" w:fill="FFC00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3</w:t>
            </w:r>
          </w:p>
        </w:tc>
        <w:tc>
          <w:tcPr>
            <w:tcW w:w="415" w:type="pct"/>
            <w:tcBorders>
              <w:top w:val="single" w:sz="2" w:space="0" w:color="000000" w:themeColor="text1"/>
            </w:tcBorders>
            <w:shd w:val="clear" w:color="auto" w:fill="92D05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5</w:t>
            </w:r>
          </w:p>
        </w:tc>
        <w:tc>
          <w:tcPr>
            <w:tcW w:w="416" w:type="pct"/>
            <w:tcBorders>
              <w:top w:val="single" w:sz="2" w:space="0" w:color="000000" w:themeColor="text1"/>
            </w:tcBorders>
            <w:shd w:val="clear" w:color="auto" w:fill="FFFF00"/>
            <w:vAlign w:val="center"/>
          </w:tcPr>
          <w:p w:rsidR="008F6E08" w:rsidRDefault="008F6E08" w:rsidP="008F6E08">
            <w:pPr>
              <w:jc w:val="right"/>
              <w:rPr>
                <w:rFonts w:ascii="Arial" w:hAnsi="Arial" w:cs="Arial"/>
                <w:b/>
                <w:bCs/>
                <w:sz w:val="16"/>
                <w:szCs w:val="16"/>
              </w:rPr>
            </w:pPr>
            <w:r>
              <w:rPr>
                <w:rFonts w:ascii="Arial" w:hAnsi="Arial" w:cs="Arial"/>
                <w:b/>
                <w:bCs/>
                <w:sz w:val="16"/>
                <w:szCs w:val="16"/>
              </w:rPr>
              <w:t>4</w:t>
            </w:r>
          </w:p>
        </w:tc>
        <w:tc>
          <w:tcPr>
            <w:tcW w:w="411" w:type="pct"/>
            <w:tcBorders>
              <w:top w:val="single" w:sz="2" w:space="0" w:color="000000" w:themeColor="text1"/>
            </w:tcBorders>
            <w:shd w:val="clear" w:color="auto" w:fill="FFFF00"/>
            <w:vAlign w:val="center"/>
          </w:tcPr>
          <w:p w:rsidR="008F6E08" w:rsidRDefault="008F6E08" w:rsidP="008F6E08">
            <w:pPr>
              <w:jc w:val="right"/>
              <w:rPr>
                <w:rFonts w:ascii="Arial" w:hAnsi="Arial" w:cs="Arial"/>
                <w:b/>
                <w:bCs/>
                <w:sz w:val="16"/>
                <w:szCs w:val="16"/>
              </w:rPr>
            </w:pPr>
            <w:r>
              <w:rPr>
                <w:rFonts w:ascii="Arial" w:hAnsi="Arial" w:cs="Arial"/>
                <w:b/>
                <w:bCs/>
                <w:sz w:val="16"/>
                <w:szCs w:val="16"/>
              </w:rPr>
              <w:t>4</w:t>
            </w:r>
          </w:p>
        </w:tc>
      </w:tr>
      <w:tr w:rsidR="00D57573" w:rsidRPr="009D53C4" w:rsidTr="00A05D61">
        <w:trPr>
          <w:cnfStyle w:val="000000010000" w:firstRow="0" w:lastRow="0" w:firstColumn="0" w:lastColumn="0" w:oddVBand="0" w:evenVBand="0" w:oddHBand="0" w:evenHBand="1" w:firstRowFirstColumn="0" w:firstRowLastColumn="0" w:lastRowFirstColumn="0" w:lastRowLastColumn="0"/>
          <w:trHeight w:val="284"/>
        </w:trPr>
        <w:tc>
          <w:tcPr>
            <w:tcW w:w="1030" w:type="pct"/>
            <w:tcBorders>
              <w:top w:val="single" w:sz="2" w:space="0" w:color="000000" w:themeColor="text1"/>
            </w:tcBorders>
            <w:vAlign w:val="center"/>
          </w:tcPr>
          <w:p w:rsidR="008F6E08" w:rsidRPr="008F6E08" w:rsidRDefault="008F6E08" w:rsidP="008F6E08">
            <w:pPr>
              <w:pStyle w:val="TableTextEntries"/>
            </w:pPr>
            <w:r w:rsidRPr="008F6E08">
              <w:t>Vietnam Clinton Health Access Initiative Phase III</w:t>
            </w:r>
          </w:p>
        </w:tc>
        <w:tc>
          <w:tcPr>
            <w:tcW w:w="550" w:type="pct"/>
            <w:tcBorders>
              <w:top w:val="single" w:sz="2" w:space="0" w:color="000000" w:themeColor="text1"/>
            </w:tcBorders>
            <w:vAlign w:val="center"/>
          </w:tcPr>
          <w:p w:rsidR="008F6E08" w:rsidRPr="008F6E08" w:rsidRDefault="008F6E08" w:rsidP="008F6E08">
            <w:pPr>
              <w:pStyle w:val="TableTextEntries"/>
            </w:pPr>
            <w:r w:rsidRPr="008F6E08">
              <w:t>$4,650,000</w:t>
            </w:r>
          </w:p>
          <w:p w:rsidR="008F6E08" w:rsidRPr="008F6E08" w:rsidRDefault="008F6E08" w:rsidP="008F6E08">
            <w:pPr>
              <w:pStyle w:val="TableTextEntries"/>
            </w:pPr>
            <w:r w:rsidRPr="008F6E08">
              <w:t>2012 - 2015</w:t>
            </w:r>
          </w:p>
        </w:tc>
        <w:tc>
          <w:tcPr>
            <w:tcW w:w="391" w:type="pct"/>
            <w:tcBorders>
              <w:top w:val="single" w:sz="2" w:space="0" w:color="000000" w:themeColor="text1"/>
            </w:tcBorders>
            <w:shd w:val="clear" w:color="auto" w:fill="92D050"/>
            <w:noWrap/>
          </w:tcPr>
          <w:p w:rsidR="008F6E08" w:rsidRPr="00FE4491" w:rsidRDefault="008F6E08" w:rsidP="008F6E08">
            <w:pPr>
              <w:pStyle w:val="TableTextEntries"/>
              <w:jc w:val="center"/>
            </w:pPr>
            <w:r>
              <w:t>5</w:t>
            </w:r>
          </w:p>
        </w:tc>
        <w:tc>
          <w:tcPr>
            <w:tcW w:w="444" w:type="pct"/>
            <w:tcBorders>
              <w:top w:val="single" w:sz="2" w:space="0" w:color="000000" w:themeColor="text1"/>
            </w:tcBorders>
            <w:shd w:val="clear" w:color="auto" w:fill="FFFF0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4</w:t>
            </w:r>
          </w:p>
        </w:tc>
        <w:tc>
          <w:tcPr>
            <w:tcW w:w="416" w:type="pct"/>
            <w:tcBorders>
              <w:top w:val="single" w:sz="2" w:space="0" w:color="000000" w:themeColor="text1"/>
            </w:tcBorders>
            <w:shd w:val="clear" w:color="auto" w:fill="FFFF0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4</w:t>
            </w:r>
          </w:p>
        </w:tc>
        <w:tc>
          <w:tcPr>
            <w:tcW w:w="415" w:type="pct"/>
            <w:tcBorders>
              <w:top w:val="single" w:sz="2" w:space="0" w:color="000000" w:themeColor="text1"/>
            </w:tcBorders>
            <w:shd w:val="clear" w:color="auto" w:fill="92D05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5</w:t>
            </w:r>
          </w:p>
        </w:tc>
        <w:tc>
          <w:tcPr>
            <w:tcW w:w="416" w:type="pct"/>
            <w:tcBorders>
              <w:top w:val="single" w:sz="2" w:space="0" w:color="000000" w:themeColor="text1"/>
            </w:tcBorders>
            <w:shd w:val="clear" w:color="auto" w:fill="92D05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5</w:t>
            </w:r>
          </w:p>
        </w:tc>
        <w:tc>
          <w:tcPr>
            <w:tcW w:w="415" w:type="pct"/>
            <w:tcBorders>
              <w:top w:val="single" w:sz="2" w:space="0" w:color="000000" w:themeColor="text1"/>
            </w:tcBorders>
            <w:shd w:val="clear" w:color="auto" w:fill="FFFF00"/>
            <w:noWrap/>
            <w:vAlign w:val="center"/>
          </w:tcPr>
          <w:p w:rsidR="008F6E08" w:rsidRDefault="008F6E08" w:rsidP="008F6E08">
            <w:pPr>
              <w:jc w:val="right"/>
              <w:rPr>
                <w:rFonts w:ascii="Arial" w:hAnsi="Arial" w:cs="Arial"/>
                <w:b/>
                <w:bCs/>
                <w:sz w:val="16"/>
                <w:szCs w:val="16"/>
              </w:rPr>
            </w:pPr>
            <w:r>
              <w:rPr>
                <w:rFonts w:ascii="Arial" w:hAnsi="Arial" w:cs="Arial"/>
                <w:b/>
                <w:bCs/>
                <w:sz w:val="16"/>
                <w:szCs w:val="16"/>
              </w:rPr>
              <w:t>4</w:t>
            </w:r>
          </w:p>
        </w:tc>
        <w:tc>
          <w:tcPr>
            <w:tcW w:w="416" w:type="pct"/>
            <w:tcBorders>
              <w:top w:val="single" w:sz="2" w:space="0" w:color="000000" w:themeColor="text1"/>
            </w:tcBorders>
            <w:shd w:val="clear" w:color="auto" w:fill="92D050"/>
            <w:vAlign w:val="center"/>
          </w:tcPr>
          <w:p w:rsidR="008F6E08" w:rsidRDefault="008F6E08" w:rsidP="008F6E08">
            <w:pPr>
              <w:jc w:val="right"/>
              <w:rPr>
                <w:rFonts w:ascii="Arial" w:hAnsi="Arial" w:cs="Arial"/>
                <w:b/>
                <w:bCs/>
                <w:sz w:val="16"/>
                <w:szCs w:val="16"/>
              </w:rPr>
            </w:pPr>
            <w:r>
              <w:rPr>
                <w:rFonts w:ascii="Arial" w:hAnsi="Arial" w:cs="Arial"/>
                <w:b/>
                <w:bCs/>
                <w:sz w:val="16"/>
                <w:szCs w:val="16"/>
              </w:rPr>
              <w:t>5</w:t>
            </w:r>
          </w:p>
        </w:tc>
        <w:tc>
          <w:tcPr>
            <w:tcW w:w="411" w:type="pct"/>
            <w:tcBorders>
              <w:top w:val="single" w:sz="2" w:space="0" w:color="000000" w:themeColor="text1"/>
            </w:tcBorders>
            <w:shd w:val="clear" w:color="auto" w:fill="92D050"/>
            <w:vAlign w:val="center"/>
          </w:tcPr>
          <w:p w:rsidR="008F6E08" w:rsidRDefault="008F6E08" w:rsidP="008F6E08">
            <w:pPr>
              <w:jc w:val="right"/>
              <w:rPr>
                <w:rFonts w:ascii="Arial" w:hAnsi="Arial" w:cs="Arial"/>
                <w:b/>
                <w:bCs/>
                <w:sz w:val="16"/>
                <w:szCs w:val="16"/>
              </w:rPr>
            </w:pPr>
            <w:r>
              <w:rPr>
                <w:rFonts w:ascii="Arial" w:hAnsi="Arial" w:cs="Arial"/>
                <w:b/>
                <w:bCs/>
                <w:sz w:val="16"/>
                <w:szCs w:val="16"/>
              </w:rPr>
              <w:t>5</w:t>
            </w:r>
          </w:p>
        </w:tc>
      </w:tr>
    </w:tbl>
    <w:p w:rsidR="008F6E08" w:rsidRDefault="008F6E08" w:rsidP="00416B02">
      <w:pPr>
        <w:pStyle w:val="BodyText"/>
      </w:pPr>
    </w:p>
    <w:p w:rsidR="00416B02" w:rsidRDefault="00416B02" w:rsidP="00582C22">
      <w:pPr>
        <w:pStyle w:val="Note"/>
      </w:pPr>
      <w:r>
        <w:t>Definitions of rating scale:</w:t>
      </w:r>
      <w:r>
        <w:tab/>
      </w:r>
    </w:p>
    <w:p w:rsidR="00416B02" w:rsidRDefault="00416B02" w:rsidP="00582C22">
      <w:pPr>
        <w:pStyle w:val="Note"/>
      </w:pPr>
      <w:r>
        <w:t>Satisfactory (4, 5 and 6)</w:t>
      </w:r>
    </w:p>
    <w:p w:rsidR="00416B02" w:rsidRDefault="00416B02" w:rsidP="00582C22">
      <w:pPr>
        <w:pStyle w:val="Note"/>
      </w:pPr>
      <w:r w:rsidRPr="00593946">
        <w:rPr>
          <w:color w:val="72AF2F"/>
        </w:rPr>
        <w:sym w:font="Webdings" w:char="F067"/>
      </w:r>
      <w:r>
        <w:t xml:space="preserve"> = 6 = Very good; satisfies criteria in all or almost all areas</w:t>
      </w:r>
    </w:p>
    <w:p w:rsidR="00416B02" w:rsidRDefault="00416B02" w:rsidP="00582C22">
      <w:pPr>
        <w:pStyle w:val="Note"/>
      </w:pPr>
      <w:r w:rsidRPr="00593946">
        <w:rPr>
          <w:color w:val="72AF2F"/>
        </w:rPr>
        <w:sym w:font="Webdings" w:char="F067"/>
      </w:r>
      <w:r>
        <w:t xml:space="preserve"> = 5 = Good; satisfies criteria in most areas</w:t>
      </w:r>
    </w:p>
    <w:p w:rsidR="00416B02" w:rsidRDefault="00416B02" w:rsidP="00582C22">
      <w:pPr>
        <w:pStyle w:val="Note"/>
      </w:pPr>
      <w:r w:rsidRPr="000774FD">
        <w:rPr>
          <w:color w:val="FFFF00"/>
        </w:rPr>
        <w:sym w:font="Webdings" w:char="F067"/>
      </w:r>
      <w:r>
        <w:t xml:space="preserve"> = 4 = Adequate; on balance, satisfies criteria; does not fail in any major area</w:t>
      </w:r>
    </w:p>
    <w:p w:rsidR="00416B02" w:rsidRDefault="00416B02" w:rsidP="00582C22">
      <w:pPr>
        <w:pStyle w:val="Note"/>
      </w:pPr>
      <w:r>
        <w:t>Less than satisfactory (1, 2 and 3)</w:t>
      </w:r>
    </w:p>
    <w:p w:rsidR="00416B02" w:rsidRDefault="00416B02" w:rsidP="00582C22">
      <w:pPr>
        <w:pStyle w:val="Note"/>
      </w:pPr>
      <w:r w:rsidRPr="00593946">
        <w:rPr>
          <w:color w:val="E36C0A"/>
        </w:rPr>
        <w:sym w:font="Webdings" w:char="F067"/>
      </w:r>
      <w:r w:rsidRPr="00593946">
        <w:rPr>
          <w:color w:val="E36C0A"/>
        </w:rPr>
        <w:t xml:space="preserve"> </w:t>
      </w:r>
      <w:r>
        <w:t>= 3 = Less than adequate; on balance does not satisfy criteria but does not fail in any major area</w:t>
      </w:r>
    </w:p>
    <w:p w:rsidR="00416B02" w:rsidRDefault="00416B02" w:rsidP="00582C22">
      <w:pPr>
        <w:pStyle w:val="Note"/>
      </w:pPr>
      <w:r w:rsidRPr="000774FD">
        <w:rPr>
          <w:color w:val="FF0000"/>
        </w:rPr>
        <w:sym w:font="Webdings" w:char="F067"/>
      </w:r>
      <w:r>
        <w:t xml:space="preserve"> = 2 = Poor; does not satisfy criteria in major areas</w:t>
      </w:r>
    </w:p>
    <w:p w:rsidR="00416B02" w:rsidRDefault="00416B02" w:rsidP="00582C22">
      <w:pPr>
        <w:pStyle w:val="Note"/>
      </w:pPr>
      <w:r w:rsidRPr="000774FD">
        <w:rPr>
          <w:color w:val="FF0000"/>
        </w:rPr>
        <w:sym w:font="Webdings" w:char="F067"/>
      </w:r>
      <w:r>
        <w:t xml:space="preserve"> = 1 = Very poor; does not satisfy criteria in many major areas</w:t>
      </w:r>
    </w:p>
    <w:p w:rsidR="00FF4A21" w:rsidRDefault="00FF4A21">
      <w:pPr>
        <w:spacing w:after="200" w:line="276" w:lineRule="auto"/>
        <w:rPr>
          <w:rFonts w:ascii="Helvetica" w:hAnsi="Helvetica" w:cs="Arial"/>
          <w:color w:val="007FAD"/>
          <w:kern w:val="28"/>
          <w:sz w:val="24"/>
          <w:szCs w:val="28"/>
        </w:rPr>
      </w:pPr>
      <w:r>
        <w:rPr>
          <w:rFonts w:ascii="Helvetica" w:hAnsi="Helvetica" w:cs="Arial"/>
          <w:color w:val="007FAD"/>
          <w:kern w:val="28"/>
          <w:sz w:val="24"/>
          <w:szCs w:val="28"/>
        </w:rPr>
        <w:br w:type="page"/>
      </w:r>
    </w:p>
    <w:p w:rsidR="00FF4A21" w:rsidRDefault="00FF4A21">
      <w:pPr>
        <w:spacing w:after="200" w:line="276" w:lineRule="auto"/>
        <w:rPr>
          <w:rFonts w:ascii="Helvetica" w:hAnsi="Helvetica" w:cs="Arial"/>
          <w:color w:val="007FAD"/>
          <w:kern w:val="28"/>
          <w:sz w:val="24"/>
          <w:szCs w:val="28"/>
        </w:rPr>
      </w:pPr>
      <w:r>
        <w:rPr>
          <w:rFonts w:ascii="Helvetica" w:hAnsi="Helvetica" w:cs="Arial"/>
          <w:color w:val="007FAD"/>
          <w:kern w:val="28"/>
          <w:sz w:val="24"/>
          <w:szCs w:val="28"/>
        </w:rPr>
        <w:lastRenderedPageBreak/>
        <w:t>Annex E – Performance Assessment Frameworks</w:t>
      </w:r>
    </w:p>
    <w:p w:rsidR="00FF4A21" w:rsidRDefault="00FF4A21" w:rsidP="00FF4A21">
      <w:pPr>
        <w:pStyle w:val="Caption"/>
      </w:pPr>
      <w:r>
        <w:t>Aid Objective: Improvement in the quality of Vietnam’s human resources</w:t>
      </w:r>
    </w:p>
    <w:tbl>
      <w:tblPr>
        <w:tblStyle w:val="TableGrid"/>
        <w:tblW w:w="14425" w:type="dxa"/>
        <w:tblLook w:val="04A0" w:firstRow="1" w:lastRow="0" w:firstColumn="1" w:lastColumn="0" w:noHBand="0" w:noVBand="1"/>
        <w:tblCaption w:val="Aid Objective: Improvement in the quality of Vietnam's human resources"/>
        <w:tblDescription w:val="Provides the strategy objective indicators/targets for 2015 and the progress targets/milestones for 2011, 2012/13, 2013/14, 2014/15"/>
      </w:tblPr>
      <w:tblGrid>
        <w:gridCol w:w="2660"/>
        <w:gridCol w:w="2410"/>
        <w:gridCol w:w="2268"/>
        <w:gridCol w:w="2268"/>
        <w:gridCol w:w="2268"/>
        <w:gridCol w:w="2551"/>
      </w:tblGrid>
      <w:tr w:rsidR="00FF4A21" w:rsidRPr="0015739C" w:rsidTr="0093159B">
        <w:tc>
          <w:tcPr>
            <w:tcW w:w="2660" w:type="dxa"/>
            <w:shd w:val="clear" w:color="auto" w:fill="BFBFBF" w:themeFill="background1" w:themeFillShade="BF"/>
          </w:tcPr>
          <w:p w:rsidR="00FF4A21" w:rsidRPr="0015739C" w:rsidRDefault="00FF4A21" w:rsidP="00FF4A21">
            <w:pPr>
              <w:keepNext/>
              <w:jc w:val="center"/>
              <w:rPr>
                <w:rFonts w:ascii="Franklin Gothic Book" w:hAnsi="Franklin Gothic Book"/>
                <w:b/>
                <w:sz w:val="18"/>
                <w:szCs w:val="18"/>
              </w:rPr>
            </w:pPr>
            <w:r w:rsidRPr="0015739C">
              <w:rPr>
                <w:rFonts w:ascii="Franklin Gothic Book" w:hAnsi="Franklin Gothic Book"/>
                <w:b/>
                <w:sz w:val="18"/>
                <w:szCs w:val="18"/>
              </w:rPr>
              <w:t xml:space="preserve">Strategy Objective </w:t>
            </w:r>
          </w:p>
          <w:p w:rsidR="00FF4A21" w:rsidRPr="0015739C" w:rsidRDefault="00FF4A21" w:rsidP="00FF4A21">
            <w:pPr>
              <w:keepNext/>
              <w:jc w:val="center"/>
              <w:rPr>
                <w:rFonts w:ascii="Franklin Gothic Book" w:hAnsi="Franklin Gothic Book"/>
                <w:b/>
                <w:sz w:val="18"/>
                <w:szCs w:val="18"/>
              </w:rPr>
            </w:pPr>
            <w:r w:rsidRPr="0015739C">
              <w:rPr>
                <w:rFonts w:ascii="Franklin Gothic Book" w:hAnsi="Franklin Gothic Book"/>
                <w:b/>
                <w:sz w:val="18"/>
                <w:szCs w:val="18"/>
              </w:rPr>
              <w:t xml:space="preserve">Indicators / Targets </w:t>
            </w:r>
          </w:p>
          <w:p w:rsidR="00FF4A21" w:rsidRPr="0015739C" w:rsidRDefault="00FF4A21" w:rsidP="00FF4A21">
            <w:pPr>
              <w:keepNext/>
              <w:jc w:val="center"/>
              <w:rPr>
                <w:rFonts w:ascii="Franklin Gothic Book" w:hAnsi="Franklin Gothic Book"/>
                <w:b/>
                <w:sz w:val="18"/>
                <w:szCs w:val="18"/>
              </w:rPr>
            </w:pPr>
            <w:r w:rsidRPr="0015739C">
              <w:rPr>
                <w:rFonts w:ascii="Franklin Gothic Book" w:hAnsi="Franklin Gothic Book"/>
                <w:b/>
                <w:sz w:val="18"/>
                <w:szCs w:val="18"/>
              </w:rPr>
              <w:t>2015</w:t>
            </w:r>
          </w:p>
        </w:tc>
        <w:tc>
          <w:tcPr>
            <w:tcW w:w="2410" w:type="dxa"/>
            <w:shd w:val="clear" w:color="auto" w:fill="BFBFBF" w:themeFill="background1" w:themeFillShade="BF"/>
          </w:tcPr>
          <w:p w:rsidR="00FF4A21" w:rsidRPr="0015739C" w:rsidRDefault="00FF4A21" w:rsidP="00FF4A21">
            <w:pPr>
              <w:keepNext/>
              <w:jc w:val="center"/>
              <w:rPr>
                <w:rFonts w:ascii="Franklin Gothic Book" w:hAnsi="Franklin Gothic Book"/>
                <w:b/>
                <w:sz w:val="18"/>
                <w:szCs w:val="18"/>
              </w:rPr>
            </w:pPr>
            <w:r w:rsidRPr="0015739C">
              <w:rPr>
                <w:rFonts w:ascii="Franklin Gothic Book" w:hAnsi="Franklin Gothic Book"/>
                <w:b/>
                <w:sz w:val="18"/>
                <w:szCs w:val="18"/>
              </w:rPr>
              <w:t xml:space="preserve">Progress Targets/Milestones </w:t>
            </w:r>
          </w:p>
          <w:p w:rsidR="00FF4A21" w:rsidRPr="0015739C" w:rsidRDefault="00FF4A21" w:rsidP="00FF4A21">
            <w:pPr>
              <w:keepNext/>
              <w:jc w:val="center"/>
              <w:rPr>
                <w:rFonts w:ascii="Franklin Gothic Book" w:hAnsi="Franklin Gothic Book"/>
                <w:b/>
                <w:sz w:val="18"/>
                <w:szCs w:val="18"/>
              </w:rPr>
            </w:pPr>
            <w:r w:rsidRPr="0015739C">
              <w:rPr>
                <w:rFonts w:ascii="Franklin Gothic Book" w:hAnsi="Franklin Gothic Book"/>
                <w:b/>
                <w:sz w:val="18"/>
                <w:szCs w:val="18"/>
              </w:rPr>
              <w:t>2010</w:t>
            </w:r>
          </w:p>
          <w:p w:rsidR="00FF4A21" w:rsidRPr="0015739C" w:rsidRDefault="00FF4A21" w:rsidP="00FF4A21">
            <w:pPr>
              <w:keepNext/>
              <w:jc w:val="center"/>
              <w:rPr>
                <w:rFonts w:ascii="Franklin Gothic Book" w:hAnsi="Franklin Gothic Book"/>
                <w:b/>
                <w:sz w:val="18"/>
                <w:szCs w:val="18"/>
              </w:rPr>
            </w:pPr>
          </w:p>
        </w:tc>
        <w:tc>
          <w:tcPr>
            <w:tcW w:w="2268" w:type="dxa"/>
            <w:shd w:val="clear" w:color="auto" w:fill="BFBFBF" w:themeFill="background1" w:themeFillShade="BF"/>
          </w:tcPr>
          <w:p w:rsidR="00FF4A21" w:rsidRPr="0015739C" w:rsidRDefault="00FF4A21" w:rsidP="00FF4A21">
            <w:pPr>
              <w:keepNext/>
              <w:jc w:val="center"/>
              <w:rPr>
                <w:rFonts w:ascii="Franklin Gothic Book" w:hAnsi="Franklin Gothic Book"/>
                <w:b/>
                <w:sz w:val="18"/>
                <w:szCs w:val="18"/>
              </w:rPr>
            </w:pPr>
            <w:r w:rsidRPr="0015739C">
              <w:rPr>
                <w:rFonts w:ascii="Franklin Gothic Book" w:hAnsi="Franklin Gothic Book"/>
                <w:b/>
                <w:sz w:val="18"/>
                <w:szCs w:val="18"/>
              </w:rPr>
              <w:t>2011</w:t>
            </w:r>
          </w:p>
        </w:tc>
        <w:tc>
          <w:tcPr>
            <w:tcW w:w="2268" w:type="dxa"/>
            <w:shd w:val="clear" w:color="auto" w:fill="BFBFBF" w:themeFill="background1" w:themeFillShade="BF"/>
          </w:tcPr>
          <w:p w:rsidR="00FF4A21" w:rsidRPr="0015739C" w:rsidRDefault="00FF4A21" w:rsidP="00FF4A21">
            <w:pPr>
              <w:keepNext/>
              <w:jc w:val="center"/>
              <w:rPr>
                <w:rFonts w:ascii="Franklin Gothic Book" w:hAnsi="Franklin Gothic Book"/>
                <w:b/>
                <w:sz w:val="18"/>
                <w:szCs w:val="18"/>
              </w:rPr>
            </w:pPr>
            <w:r w:rsidRPr="0015739C">
              <w:rPr>
                <w:rFonts w:ascii="Franklin Gothic Book" w:hAnsi="Franklin Gothic Book"/>
                <w:b/>
                <w:sz w:val="18"/>
                <w:szCs w:val="18"/>
              </w:rPr>
              <w:t>2012/13</w:t>
            </w:r>
          </w:p>
        </w:tc>
        <w:tc>
          <w:tcPr>
            <w:tcW w:w="2268" w:type="dxa"/>
            <w:shd w:val="clear" w:color="auto" w:fill="BFBFBF" w:themeFill="background1" w:themeFillShade="BF"/>
          </w:tcPr>
          <w:p w:rsidR="00FF4A21" w:rsidRPr="0015739C" w:rsidRDefault="00FF4A21" w:rsidP="00FF4A21">
            <w:pPr>
              <w:keepNext/>
              <w:ind w:right="126"/>
              <w:jc w:val="center"/>
              <w:rPr>
                <w:rFonts w:ascii="Franklin Gothic Book" w:hAnsi="Franklin Gothic Book"/>
                <w:b/>
                <w:sz w:val="18"/>
                <w:szCs w:val="18"/>
              </w:rPr>
            </w:pPr>
            <w:r w:rsidRPr="0015739C">
              <w:rPr>
                <w:rFonts w:ascii="Franklin Gothic Book" w:hAnsi="Franklin Gothic Book"/>
                <w:b/>
                <w:sz w:val="18"/>
                <w:szCs w:val="18"/>
              </w:rPr>
              <w:t>2013/14</w:t>
            </w:r>
          </w:p>
        </w:tc>
        <w:tc>
          <w:tcPr>
            <w:tcW w:w="2551" w:type="dxa"/>
            <w:shd w:val="clear" w:color="auto" w:fill="BFBFBF" w:themeFill="background1" w:themeFillShade="BF"/>
          </w:tcPr>
          <w:p w:rsidR="00FF4A21" w:rsidRPr="0015739C" w:rsidRDefault="00FF4A21" w:rsidP="00FF4A21">
            <w:pPr>
              <w:keepNext/>
              <w:ind w:right="126"/>
              <w:jc w:val="center"/>
              <w:rPr>
                <w:rFonts w:ascii="Franklin Gothic Book" w:hAnsi="Franklin Gothic Book"/>
                <w:b/>
                <w:sz w:val="18"/>
                <w:szCs w:val="18"/>
              </w:rPr>
            </w:pPr>
            <w:r w:rsidRPr="0015739C">
              <w:rPr>
                <w:rFonts w:ascii="Franklin Gothic Book" w:hAnsi="Franklin Gothic Book"/>
                <w:b/>
                <w:sz w:val="18"/>
                <w:szCs w:val="18"/>
              </w:rPr>
              <w:t>2014/15</w:t>
            </w:r>
          </w:p>
        </w:tc>
      </w:tr>
      <w:tr w:rsidR="00FF4A21" w:rsidRPr="0015739C" w:rsidTr="0093159B">
        <w:tc>
          <w:tcPr>
            <w:tcW w:w="2660" w:type="dxa"/>
          </w:tcPr>
          <w:p w:rsidR="00FF4A21" w:rsidRPr="0015739C" w:rsidRDefault="00FF4A21" w:rsidP="00FF4A21">
            <w:pPr>
              <w:numPr>
                <w:ilvl w:val="0"/>
                <w:numId w:val="26"/>
              </w:numPr>
              <w:tabs>
                <w:tab w:val="clear" w:pos="685"/>
                <w:tab w:val="num" w:pos="70"/>
              </w:tabs>
              <w:ind w:left="70" w:right="-108" w:hanging="180"/>
              <w:rPr>
                <w:rFonts w:ascii="Franklin Gothic Book" w:hAnsi="Franklin Gothic Book"/>
                <w:sz w:val="18"/>
                <w:szCs w:val="18"/>
                <w:lang w:eastAsia="en-US"/>
              </w:rPr>
            </w:pPr>
            <w:r w:rsidRPr="0015739C">
              <w:rPr>
                <w:rFonts w:ascii="Franklin Gothic Book" w:hAnsi="Franklin Gothic Book"/>
                <w:sz w:val="18"/>
                <w:szCs w:val="18"/>
                <w:lang w:eastAsia="en-US"/>
              </w:rPr>
              <w:t xml:space="preserve">1,380 scholarships and 300 fellowships delivered </w:t>
            </w:r>
          </w:p>
          <w:p w:rsidR="00FF4A21" w:rsidRPr="0015739C" w:rsidRDefault="00FF4A21" w:rsidP="00FF4A21">
            <w:pPr>
              <w:tabs>
                <w:tab w:val="num" w:pos="70"/>
              </w:tabs>
              <w:ind w:left="70" w:right="-108" w:hanging="180"/>
              <w:rPr>
                <w:rFonts w:ascii="Franklin Gothic Book" w:hAnsi="Franklin Gothic Book"/>
                <w:sz w:val="18"/>
                <w:szCs w:val="18"/>
                <w:lang w:eastAsia="en-US"/>
              </w:rPr>
            </w:pPr>
          </w:p>
          <w:p w:rsidR="00FF4A21" w:rsidRPr="0015739C" w:rsidRDefault="00FF4A21" w:rsidP="00FF4A21">
            <w:pPr>
              <w:ind w:left="70" w:right="-108"/>
              <w:rPr>
                <w:rFonts w:ascii="Franklin Gothic Book" w:hAnsi="Franklin Gothic Book"/>
                <w:sz w:val="18"/>
                <w:szCs w:val="18"/>
                <w:lang w:eastAsia="en-US"/>
              </w:rPr>
            </w:pPr>
          </w:p>
          <w:p w:rsidR="00FF4A21" w:rsidRPr="0015739C" w:rsidRDefault="00FF4A21" w:rsidP="00FF4A21">
            <w:pPr>
              <w:ind w:left="70" w:right="-108"/>
              <w:rPr>
                <w:rFonts w:ascii="Franklin Gothic Book" w:hAnsi="Franklin Gothic Book"/>
                <w:sz w:val="18"/>
                <w:szCs w:val="18"/>
                <w:lang w:eastAsia="en-US"/>
              </w:rPr>
            </w:pPr>
          </w:p>
          <w:p w:rsidR="00FF4A21" w:rsidRPr="0015739C" w:rsidRDefault="00FF4A21" w:rsidP="00FF4A21">
            <w:pPr>
              <w:ind w:left="70" w:right="-108"/>
              <w:rPr>
                <w:rFonts w:ascii="Franklin Gothic Book" w:hAnsi="Franklin Gothic Book"/>
                <w:sz w:val="18"/>
                <w:szCs w:val="18"/>
                <w:lang w:eastAsia="en-US"/>
              </w:rPr>
            </w:pPr>
          </w:p>
          <w:p w:rsidR="00FF4A21" w:rsidRPr="0015739C" w:rsidRDefault="00FF4A21" w:rsidP="00FF4A21">
            <w:pPr>
              <w:ind w:left="70" w:right="-108"/>
              <w:rPr>
                <w:rFonts w:ascii="Franklin Gothic Book" w:hAnsi="Franklin Gothic Book"/>
                <w:sz w:val="18"/>
                <w:szCs w:val="18"/>
                <w:lang w:eastAsia="en-US"/>
              </w:rPr>
            </w:pPr>
          </w:p>
          <w:p w:rsidR="00FF4A21" w:rsidRPr="0015739C" w:rsidRDefault="00FF4A21" w:rsidP="00FF4A21">
            <w:pPr>
              <w:ind w:left="70" w:right="-108"/>
              <w:rPr>
                <w:rFonts w:ascii="Franklin Gothic Book" w:hAnsi="Franklin Gothic Book"/>
                <w:sz w:val="18"/>
                <w:szCs w:val="18"/>
                <w:lang w:eastAsia="en-US"/>
              </w:rPr>
            </w:pPr>
          </w:p>
          <w:p w:rsidR="00FF4A21" w:rsidRPr="0015739C" w:rsidRDefault="00FF4A21" w:rsidP="00FF4A21">
            <w:pPr>
              <w:ind w:left="70" w:right="-108"/>
              <w:rPr>
                <w:rFonts w:ascii="Franklin Gothic Book" w:hAnsi="Franklin Gothic Book"/>
                <w:sz w:val="18"/>
                <w:szCs w:val="18"/>
                <w:lang w:eastAsia="en-US"/>
              </w:rPr>
            </w:pPr>
          </w:p>
          <w:p w:rsidR="00FF4A21" w:rsidRPr="0015739C" w:rsidRDefault="00FF4A21" w:rsidP="00FF4A21">
            <w:pPr>
              <w:ind w:left="70" w:right="-108"/>
              <w:rPr>
                <w:rFonts w:ascii="Franklin Gothic Book" w:hAnsi="Franklin Gothic Book"/>
                <w:sz w:val="18"/>
                <w:szCs w:val="18"/>
                <w:lang w:eastAsia="en-US"/>
              </w:rPr>
            </w:pPr>
          </w:p>
          <w:p w:rsidR="00FF4A21" w:rsidRPr="0015739C" w:rsidRDefault="00FF4A21" w:rsidP="00FF4A21">
            <w:pPr>
              <w:ind w:left="70" w:right="-108"/>
              <w:rPr>
                <w:rFonts w:ascii="Franklin Gothic Book" w:hAnsi="Franklin Gothic Book"/>
                <w:sz w:val="18"/>
                <w:szCs w:val="18"/>
                <w:lang w:eastAsia="en-US"/>
              </w:rPr>
            </w:pPr>
          </w:p>
          <w:p w:rsidR="00FF4A21" w:rsidRPr="0015739C" w:rsidRDefault="00FF4A21" w:rsidP="00FF4A21">
            <w:pPr>
              <w:ind w:left="70" w:right="-108"/>
              <w:rPr>
                <w:rFonts w:ascii="Franklin Gothic Book" w:hAnsi="Franklin Gothic Book"/>
                <w:sz w:val="18"/>
                <w:szCs w:val="18"/>
                <w:lang w:eastAsia="en-US"/>
              </w:rPr>
            </w:pPr>
          </w:p>
          <w:p w:rsidR="00FF4A21" w:rsidRPr="0015739C" w:rsidRDefault="00FF4A21" w:rsidP="00FF4A21">
            <w:pPr>
              <w:ind w:left="70" w:right="-108"/>
              <w:rPr>
                <w:rFonts w:ascii="Franklin Gothic Book" w:hAnsi="Franklin Gothic Book"/>
                <w:sz w:val="18"/>
                <w:szCs w:val="18"/>
                <w:lang w:eastAsia="en-US"/>
              </w:rPr>
            </w:pPr>
          </w:p>
          <w:p w:rsidR="00FF4A21" w:rsidRPr="0015739C" w:rsidRDefault="00FF4A21" w:rsidP="00FF4A21">
            <w:pPr>
              <w:ind w:left="70" w:right="-108"/>
              <w:rPr>
                <w:rFonts w:ascii="Franklin Gothic Book" w:hAnsi="Franklin Gothic Book"/>
                <w:sz w:val="18"/>
                <w:szCs w:val="18"/>
                <w:lang w:eastAsia="en-US"/>
              </w:rPr>
            </w:pPr>
          </w:p>
          <w:p w:rsidR="00FF4A21" w:rsidRPr="0015739C" w:rsidRDefault="00FF4A21" w:rsidP="00FF4A21">
            <w:pPr>
              <w:ind w:left="70" w:right="-108"/>
              <w:rPr>
                <w:rFonts w:ascii="Franklin Gothic Book" w:hAnsi="Franklin Gothic Book"/>
                <w:sz w:val="18"/>
                <w:szCs w:val="18"/>
                <w:lang w:eastAsia="en-US"/>
              </w:rPr>
            </w:pPr>
          </w:p>
          <w:p w:rsidR="00FF4A21" w:rsidRPr="0015739C" w:rsidRDefault="00FF4A21" w:rsidP="00FF4A21">
            <w:pPr>
              <w:ind w:left="70" w:right="-108"/>
              <w:rPr>
                <w:rFonts w:ascii="Franklin Gothic Book" w:hAnsi="Franklin Gothic Book"/>
                <w:sz w:val="18"/>
                <w:szCs w:val="18"/>
                <w:lang w:eastAsia="en-US"/>
              </w:rPr>
            </w:pPr>
          </w:p>
          <w:p w:rsidR="00FF4A21" w:rsidRPr="0015739C" w:rsidRDefault="00FF4A21" w:rsidP="00FF4A21">
            <w:pPr>
              <w:ind w:left="70" w:right="-108"/>
              <w:rPr>
                <w:rFonts w:ascii="Franklin Gothic Book" w:hAnsi="Franklin Gothic Book"/>
                <w:sz w:val="18"/>
                <w:szCs w:val="18"/>
                <w:lang w:eastAsia="en-US"/>
              </w:rPr>
            </w:pPr>
          </w:p>
          <w:p w:rsidR="00FF4A21" w:rsidRPr="0015739C" w:rsidRDefault="00FF4A21" w:rsidP="00FF4A21">
            <w:pPr>
              <w:ind w:left="70" w:right="-108"/>
              <w:rPr>
                <w:rFonts w:ascii="Franklin Gothic Book" w:hAnsi="Franklin Gothic Book"/>
                <w:sz w:val="18"/>
                <w:szCs w:val="18"/>
                <w:lang w:eastAsia="en-US"/>
              </w:rPr>
            </w:pPr>
          </w:p>
          <w:p w:rsidR="00FF4A21" w:rsidRPr="0015739C" w:rsidRDefault="00FF4A21" w:rsidP="00FF4A21">
            <w:pPr>
              <w:ind w:left="70" w:right="-108"/>
              <w:rPr>
                <w:rFonts w:ascii="Franklin Gothic Book" w:hAnsi="Franklin Gothic Book"/>
                <w:sz w:val="18"/>
                <w:szCs w:val="18"/>
                <w:lang w:eastAsia="en-US"/>
              </w:rPr>
            </w:pPr>
          </w:p>
          <w:p w:rsidR="00FF4A21" w:rsidRPr="0015739C" w:rsidRDefault="00FF4A21" w:rsidP="00FF4A21">
            <w:pPr>
              <w:numPr>
                <w:ilvl w:val="0"/>
                <w:numId w:val="26"/>
              </w:numPr>
              <w:tabs>
                <w:tab w:val="clear" w:pos="685"/>
                <w:tab w:val="num" w:pos="70"/>
              </w:tabs>
              <w:ind w:left="70" w:right="-108" w:hanging="180"/>
              <w:rPr>
                <w:rFonts w:ascii="Franklin Gothic Book" w:hAnsi="Franklin Gothic Book"/>
                <w:sz w:val="18"/>
                <w:szCs w:val="18"/>
                <w:lang w:eastAsia="en-US"/>
              </w:rPr>
            </w:pPr>
            <w:r w:rsidRPr="0015739C">
              <w:rPr>
                <w:rFonts w:ascii="Franklin Gothic Book" w:hAnsi="Franklin Gothic Book"/>
                <w:sz w:val="18"/>
                <w:szCs w:val="18"/>
                <w:lang w:eastAsia="en-US"/>
              </w:rPr>
              <w:t>Increase in number and strength of institutional links between public sector institutions</w:t>
            </w:r>
          </w:p>
          <w:p w:rsidR="00FF4A21" w:rsidRPr="0015739C" w:rsidRDefault="00FF4A21" w:rsidP="00FF4A21">
            <w:pPr>
              <w:tabs>
                <w:tab w:val="num" w:pos="70"/>
              </w:tabs>
              <w:ind w:right="-108"/>
              <w:rPr>
                <w:rFonts w:ascii="Franklin Gothic Book" w:hAnsi="Franklin Gothic Book"/>
                <w:sz w:val="18"/>
                <w:szCs w:val="18"/>
                <w:lang w:eastAsia="en-US"/>
              </w:rPr>
            </w:pPr>
          </w:p>
          <w:p w:rsidR="00FF4A21" w:rsidRPr="0015739C" w:rsidRDefault="00FF4A21" w:rsidP="00FF4A21">
            <w:pPr>
              <w:numPr>
                <w:ilvl w:val="0"/>
                <w:numId w:val="26"/>
              </w:numPr>
              <w:tabs>
                <w:tab w:val="clear" w:pos="685"/>
                <w:tab w:val="num" w:pos="70"/>
              </w:tabs>
              <w:ind w:left="70" w:right="-108" w:hanging="180"/>
              <w:rPr>
                <w:rFonts w:ascii="Franklin Gothic Book" w:hAnsi="Franklin Gothic Book"/>
                <w:sz w:val="18"/>
                <w:szCs w:val="18"/>
                <w:lang w:eastAsia="en-US"/>
              </w:rPr>
            </w:pPr>
            <w:r w:rsidRPr="0015739C">
              <w:rPr>
                <w:rFonts w:ascii="Franklin Gothic Book" w:hAnsi="Franklin Gothic Book"/>
                <w:sz w:val="18"/>
                <w:szCs w:val="18"/>
                <w:lang w:eastAsia="en-US"/>
              </w:rPr>
              <w:t xml:space="preserve">Increased contribution of scholarship alumni and institutional links to meeting Vietnam development challenges  </w:t>
            </w:r>
          </w:p>
          <w:p w:rsidR="00FF4A21" w:rsidRPr="0015739C" w:rsidRDefault="00FF4A21" w:rsidP="00FF4A21">
            <w:pPr>
              <w:rPr>
                <w:rFonts w:ascii="Franklin Gothic Book" w:hAnsi="Franklin Gothic Book"/>
                <w:sz w:val="18"/>
                <w:szCs w:val="18"/>
              </w:rPr>
            </w:pPr>
          </w:p>
        </w:tc>
        <w:tc>
          <w:tcPr>
            <w:tcW w:w="2410" w:type="dxa"/>
          </w:tcPr>
          <w:p w:rsidR="00FF4A21" w:rsidRPr="0015739C" w:rsidRDefault="00FF4A21" w:rsidP="00FF4A21">
            <w:pPr>
              <w:ind w:right="-108"/>
              <w:rPr>
                <w:rFonts w:ascii="Franklin Gothic Book" w:hAnsi="Franklin Gothic Book"/>
                <w:sz w:val="18"/>
                <w:szCs w:val="18"/>
                <w:lang w:eastAsia="en-US"/>
              </w:rPr>
            </w:pPr>
            <w:r w:rsidRPr="0015739C">
              <w:rPr>
                <w:rFonts w:ascii="Franklin Gothic Book" w:hAnsi="Franklin Gothic Book"/>
                <w:sz w:val="18"/>
                <w:szCs w:val="18"/>
                <w:lang w:eastAsia="en-US"/>
              </w:rPr>
              <w:t>225 ADS scholarships provided</w:t>
            </w:r>
          </w:p>
          <w:p w:rsidR="00FF4A21" w:rsidRPr="0015739C" w:rsidRDefault="00FF4A21" w:rsidP="00FF4A21">
            <w:pPr>
              <w:ind w:right="-108"/>
              <w:rPr>
                <w:rFonts w:ascii="Franklin Gothic Book" w:hAnsi="Franklin Gothic Book"/>
                <w:sz w:val="18"/>
                <w:szCs w:val="18"/>
                <w:lang w:eastAsia="en-US"/>
              </w:rPr>
            </w:pPr>
          </w:p>
          <w:p w:rsidR="00FF4A21" w:rsidRPr="0015739C" w:rsidRDefault="00FF4A21" w:rsidP="00FF4A21">
            <w:pPr>
              <w:ind w:right="-108"/>
              <w:rPr>
                <w:rFonts w:ascii="Franklin Gothic Book" w:hAnsi="Franklin Gothic Book"/>
                <w:sz w:val="18"/>
                <w:szCs w:val="18"/>
                <w:lang w:eastAsia="en-US"/>
              </w:rPr>
            </w:pPr>
          </w:p>
          <w:p w:rsidR="00FF4A21" w:rsidRPr="0015739C" w:rsidRDefault="00FF4A21" w:rsidP="00FF4A21">
            <w:pPr>
              <w:ind w:right="-108"/>
              <w:rPr>
                <w:rFonts w:ascii="Franklin Gothic Book" w:hAnsi="Franklin Gothic Book"/>
                <w:sz w:val="18"/>
                <w:szCs w:val="18"/>
                <w:lang w:eastAsia="en-US"/>
              </w:rPr>
            </w:pPr>
          </w:p>
          <w:p w:rsidR="00FF4A21" w:rsidRPr="0015739C" w:rsidRDefault="00FF4A21" w:rsidP="00FF4A21">
            <w:pPr>
              <w:ind w:right="-108"/>
              <w:rPr>
                <w:rFonts w:ascii="Franklin Gothic Book" w:hAnsi="Franklin Gothic Book"/>
                <w:sz w:val="18"/>
                <w:szCs w:val="18"/>
                <w:lang w:eastAsia="en-US"/>
              </w:rPr>
            </w:pPr>
          </w:p>
          <w:p w:rsidR="00FF4A21" w:rsidRPr="0015739C" w:rsidRDefault="00FF4A21" w:rsidP="00FF4A21">
            <w:pPr>
              <w:ind w:right="-108"/>
              <w:rPr>
                <w:rFonts w:ascii="Franklin Gothic Book" w:hAnsi="Franklin Gothic Book"/>
                <w:sz w:val="18"/>
                <w:szCs w:val="18"/>
                <w:lang w:eastAsia="en-US"/>
              </w:rPr>
            </w:pPr>
            <w:r w:rsidRPr="0015739C">
              <w:rPr>
                <w:rFonts w:ascii="Franklin Gothic Book" w:hAnsi="Franklin Gothic Book"/>
                <w:sz w:val="18"/>
                <w:szCs w:val="18"/>
                <w:lang w:eastAsia="en-US"/>
              </w:rPr>
              <w:t>16 ALA scholarships</w:t>
            </w:r>
          </w:p>
          <w:p w:rsidR="00FF4A21" w:rsidRPr="0015739C" w:rsidRDefault="00FF4A21" w:rsidP="00FF4A21">
            <w:pPr>
              <w:ind w:left="685" w:right="-108"/>
              <w:rPr>
                <w:rFonts w:ascii="Franklin Gothic Book" w:hAnsi="Franklin Gothic Book"/>
                <w:sz w:val="18"/>
                <w:szCs w:val="18"/>
                <w:lang w:eastAsia="en-US"/>
              </w:rPr>
            </w:pPr>
          </w:p>
          <w:p w:rsidR="00FF4A21" w:rsidRPr="0015739C" w:rsidRDefault="00FF4A21" w:rsidP="00FF4A21">
            <w:pPr>
              <w:ind w:right="-108"/>
              <w:rPr>
                <w:rFonts w:ascii="Franklin Gothic Book" w:hAnsi="Franklin Gothic Book"/>
                <w:sz w:val="18"/>
                <w:szCs w:val="18"/>
                <w:lang w:eastAsia="en-US"/>
              </w:rPr>
            </w:pPr>
          </w:p>
          <w:p w:rsidR="00FF4A21" w:rsidRPr="0015739C" w:rsidRDefault="00FF4A21" w:rsidP="00FF4A21">
            <w:pPr>
              <w:ind w:right="-108"/>
              <w:rPr>
                <w:rFonts w:ascii="Franklin Gothic Book" w:hAnsi="Franklin Gothic Book"/>
                <w:sz w:val="18"/>
                <w:szCs w:val="18"/>
                <w:lang w:eastAsia="en-US"/>
              </w:rPr>
            </w:pPr>
          </w:p>
          <w:p w:rsidR="00FF4A21" w:rsidRPr="0015739C" w:rsidRDefault="00FF4A21" w:rsidP="00FF4A21">
            <w:pPr>
              <w:ind w:right="-108"/>
              <w:rPr>
                <w:rFonts w:ascii="Franklin Gothic Book" w:hAnsi="Franklin Gothic Book"/>
                <w:sz w:val="18"/>
                <w:szCs w:val="18"/>
                <w:lang w:eastAsia="en-US"/>
              </w:rPr>
            </w:pPr>
            <w:r w:rsidRPr="0015739C">
              <w:rPr>
                <w:rFonts w:ascii="Franklin Gothic Book" w:hAnsi="Franklin Gothic Book"/>
                <w:sz w:val="18"/>
                <w:szCs w:val="18"/>
                <w:lang w:eastAsia="en-US"/>
              </w:rPr>
              <w:t>30-50 ALA fellowships</w:t>
            </w:r>
          </w:p>
          <w:p w:rsidR="00FF4A21" w:rsidRPr="0015739C" w:rsidRDefault="00FF4A21" w:rsidP="00FF4A21">
            <w:pPr>
              <w:ind w:right="-108"/>
              <w:rPr>
                <w:rFonts w:ascii="Franklin Gothic Book" w:hAnsi="Franklin Gothic Book"/>
                <w:sz w:val="18"/>
                <w:szCs w:val="18"/>
                <w:lang w:eastAsia="en-US"/>
              </w:rPr>
            </w:pPr>
          </w:p>
          <w:p w:rsidR="00FF4A21" w:rsidRPr="0015739C" w:rsidRDefault="00FF4A21" w:rsidP="00FF4A21">
            <w:pPr>
              <w:ind w:right="-108"/>
              <w:rPr>
                <w:rFonts w:ascii="Franklin Gothic Book" w:hAnsi="Franklin Gothic Book"/>
                <w:sz w:val="18"/>
                <w:szCs w:val="18"/>
                <w:lang w:eastAsia="en-US"/>
              </w:rPr>
            </w:pPr>
          </w:p>
          <w:p w:rsidR="00FF4A21" w:rsidRPr="0015739C" w:rsidRDefault="00FF4A21" w:rsidP="00FF4A21">
            <w:pPr>
              <w:ind w:right="-108"/>
              <w:rPr>
                <w:rFonts w:ascii="Franklin Gothic Book" w:hAnsi="Franklin Gothic Book"/>
                <w:sz w:val="18"/>
                <w:szCs w:val="18"/>
                <w:lang w:eastAsia="en-US"/>
              </w:rPr>
            </w:pPr>
          </w:p>
          <w:p w:rsidR="00FF4A21" w:rsidRPr="0015739C" w:rsidRDefault="00FF4A21" w:rsidP="00FF4A21">
            <w:pPr>
              <w:ind w:right="-108"/>
              <w:rPr>
                <w:rFonts w:ascii="Franklin Gothic Book" w:hAnsi="Franklin Gothic Book"/>
                <w:sz w:val="18"/>
                <w:szCs w:val="18"/>
                <w:lang w:eastAsia="en-US"/>
              </w:rPr>
            </w:pPr>
          </w:p>
          <w:p w:rsidR="00FF4A21" w:rsidRPr="0015739C" w:rsidRDefault="00FF4A21" w:rsidP="00FF4A21">
            <w:pPr>
              <w:ind w:right="-108"/>
              <w:rPr>
                <w:rFonts w:ascii="Franklin Gothic Book" w:hAnsi="Franklin Gothic Book"/>
                <w:sz w:val="18"/>
                <w:szCs w:val="18"/>
                <w:lang w:eastAsia="en-US"/>
              </w:rPr>
            </w:pPr>
          </w:p>
          <w:p w:rsidR="00FF4A21" w:rsidRPr="0015739C" w:rsidRDefault="00FF4A21" w:rsidP="00FF4A21">
            <w:pPr>
              <w:ind w:right="-108"/>
              <w:rPr>
                <w:rFonts w:ascii="Franklin Gothic Book" w:hAnsi="Franklin Gothic Book"/>
                <w:sz w:val="18"/>
                <w:szCs w:val="18"/>
                <w:lang w:eastAsia="en-US"/>
              </w:rPr>
            </w:pPr>
          </w:p>
          <w:p w:rsidR="00FF4A21" w:rsidRPr="0015739C" w:rsidRDefault="00FF4A21" w:rsidP="00FF4A21">
            <w:pPr>
              <w:ind w:right="-108"/>
              <w:rPr>
                <w:rFonts w:ascii="Franklin Gothic Book" w:hAnsi="Franklin Gothic Book"/>
                <w:sz w:val="18"/>
                <w:szCs w:val="18"/>
                <w:lang w:eastAsia="en-US"/>
              </w:rPr>
            </w:pPr>
          </w:p>
          <w:p w:rsidR="00FF4A21" w:rsidRPr="0015739C" w:rsidRDefault="00FF4A21" w:rsidP="00FF4A21">
            <w:pPr>
              <w:ind w:right="-108"/>
              <w:rPr>
                <w:rFonts w:ascii="Franklin Gothic Book" w:hAnsi="Franklin Gothic Book"/>
                <w:sz w:val="18"/>
                <w:szCs w:val="18"/>
                <w:lang w:eastAsia="en-US"/>
              </w:rPr>
            </w:pPr>
          </w:p>
          <w:p w:rsidR="00FF4A21" w:rsidRPr="0015739C" w:rsidRDefault="00FF4A21" w:rsidP="00FF4A21">
            <w:pPr>
              <w:ind w:right="-108"/>
              <w:rPr>
                <w:rFonts w:ascii="Franklin Gothic Book" w:hAnsi="Franklin Gothic Book"/>
                <w:sz w:val="18"/>
                <w:szCs w:val="18"/>
                <w:lang w:eastAsia="en-US"/>
              </w:rPr>
            </w:pPr>
          </w:p>
          <w:p w:rsidR="00FF4A21" w:rsidRPr="0015739C" w:rsidRDefault="00FF4A21" w:rsidP="00FF4A21">
            <w:pPr>
              <w:ind w:right="-108"/>
              <w:rPr>
                <w:rFonts w:ascii="Franklin Gothic Book" w:hAnsi="Franklin Gothic Book"/>
                <w:sz w:val="18"/>
                <w:szCs w:val="18"/>
                <w:lang w:eastAsia="en-US"/>
              </w:rPr>
            </w:pPr>
            <w:r w:rsidRPr="0015739C">
              <w:rPr>
                <w:rFonts w:ascii="Franklin Gothic Book" w:hAnsi="Franklin Gothic Book"/>
                <w:sz w:val="18"/>
                <w:szCs w:val="18"/>
                <w:lang w:eastAsia="en-US"/>
              </w:rPr>
              <w:t>Undertake stocktake of current public institutional linkages between Aust and Vietnam</w:t>
            </w:r>
          </w:p>
          <w:p w:rsidR="00FF4A21" w:rsidRPr="0015739C" w:rsidRDefault="00FF4A21" w:rsidP="00FF4A21">
            <w:pPr>
              <w:ind w:right="-108"/>
              <w:rPr>
                <w:rFonts w:ascii="Franklin Gothic Book" w:hAnsi="Franklin Gothic Book"/>
                <w:sz w:val="18"/>
                <w:szCs w:val="18"/>
                <w:lang w:eastAsia="en-US"/>
              </w:rPr>
            </w:pPr>
          </w:p>
          <w:p w:rsidR="00FF4A21" w:rsidRPr="0015739C" w:rsidRDefault="00FF4A21" w:rsidP="00FF4A21">
            <w:pPr>
              <w:ind w:right="-108"/>
              <w:rPr>
                <w:rFonts w:ascii="Franklin Gothic Book" w:hAnsi="Franklin Gothic Book"/>
                <w:sz w:val="18"/>
                <w:szCs w:val="18"/>
                <w:lang w:eastAsia="en-US"/>
              </w:rPr>
            </w:pPr>
            <w:r w:rsidRPr="0015739C">
              <w:rPr>
                <w:rFonts w:ascii="Franklin Gothic Book" w:hAnsi="Franklin Gothic Book"/>
                <w:sz w:val="18"/>
                <w:szCs w:val="18"/>
                <w:lang w:eastAsia="en-US"/>
              </w:rPr>
              <w:t>Identify role of PLSP and take steps to establish larger program if required.</w:t>
            </w:r>
          </w:p>
          <w:p w:rsidR="00FF4A21" w:rsidRPr="0015739C" w:rsidRDefault="00FF4A21" w:rsidP="00FF4A21">
            <w:pPr>
              <w:ind w:left="70" w:right="-108"/>
              <w:rPr>
                <w:rFonts w:ascii="Franklin Gothic Book" w:hAnsi="Franklin Gothic Book"/>
                <w:sz w:val="18"/>
                <w:szCs w:val="18"/>
              </w:rPr>
            </w:pPr>
          </w:p>
        </w:tc>
        <w:tc>
          <w:tcPr>
            <w:tcW w:w="2268" w:type="dxa"/>
          </w:tcPr>
          <w:p w:rsidR="00FF4A21" w:rsidRPr="0015739C" w:rsidRDefault="00FF4A21" w:rsidP="00FF4A21">
            <w:pPr>
              <w:ind w:right="-108"/>
              <w:rPr>
                <w:rFonts w:ascii="Franklin Gothic Book" w:hAnsi="Franklin Gothic Book"/>
                <w:sz w:val="18"/>
                <w:szCs w:val="18"/>
              </w:rPr>
            </w:pPr>
            <w:r w:rsidRPr="0015739C">
              <w:rPr>
                <w:rFonts w:ascii="Franklin Gothic Book" w:hAnsi="Franklin Gothic Book"/>
                <w:sz w:val="18"/>
                <w:szCs w:val="18"/>
              </w:rPr>
              <w:t>Australian Development Scholarships (ADS) (225)</w:t>
            </w:r>
          </w:p>
          <w:p w:rsidR="00FF4A21" w:rsidRPr="0015739C" w:rsidRDefault="00FF4A21" w:rsidP="00FF4A21">
            <w:pPr>
              <w:ind w:right="-108"/>
              <w:rPr>
                <w:rFonts w:ascii="Franklin Gothic Book" w:hAnsi="Franklin Gothic Book"/>
                <w:sz w:val="18"/>
                <w:szCs w:val="18"/>
              </w:rPr>
            </w:pPr>
          </w:p>
          <w:p w:rsidR="00FF4A21" w:rsidRPr="0015739C" w:rsidRDefault="00FF4A21" w:rsidP="00FF4A21">
            <w:pPr>
              <w:ind w:right="-108"/>
              <w:rPr>
                <w:rFonts w:ascii="Franklin Gothic Book" w:hAnsi="Franklin Gothic Book"/>
                <w:sz w:val="18"/>
                <w:szCs w:val="18"/>
              </w:rPr>
            </w:pPr>
            <w:r w:rsidRPr="0015739C">
              <w:rPr>
                <w:rFonts w:ascii="Franklin Gothic Book" w:hAnsi="Franklin Gothic Book"/>
                <w:sz w:val="18"/>
                <w:szCs w:val="18"/>
              </w:rPr>
              <w:t>Australian Leadership Awards (20) scholarships (ALAS)</w:t>
            </w:r>
          </w:p>
          <w:p w:rsidR="00FF4A21" w:rsidRPr="0015739C" w:rsidRDefault="00FF4A21" w:rsidP="00FF4A21">
            <w:pPr>
              <w:ind w:right="-108"/>
              <w:rPr>
                <w:rFonts w:ascii="Franklin Gothic Book" w:hAnsi="Franklin Gothic Book"/>
                <w:sz w:val="18"/>
                <w:szCs w:val="18"/>
              </w:rPr>
            </w:pPr>
          </w:p>
          <w:p w:rsidR="00FF4A21" w:rsidRPr="0015739C" w:rsidRDefault="00FF4A21" w:rsidP="00FF4A21">
            <w:pPr>
              <w:ind w:right="-108"/>
              <w:rPr>
                <w:rFonts w:ascii="Franklin Gothic Book" w:hAnsi="Franklin Gothic Book"/>
                <w:sz w:val="18"/>
                <w:szCs w:val="18"/>
              </w:rPr>
            </w:pPr>
            <w:r w:rsidRPr="0015739C">
              <w:rPr>
                <w:rFonts w:ascii="Franklin Gothic Book" w:hAnsi="Franklin Gothic Book"/>
                <w:sz w:val="18"/>
                <w:szCs w:val="18"/>
              </w:rPr>
              <w:t>Australian Leadership Awards (50–60) fellowships</w:t>
            </w:r>
          </w:p>
          <w:p w:rsidR="00FF4A21" w:rsidRPr="0015739C" w:rsidRDefault="00FF4A21" w:rsidP="00FF4A21">
            <w:pPr>
              <w:ind w:right="-108"/>
              <w:rPr>
                <w:rFonts w:ascii="Franklin Gothic Book" w:hAnsi="Franklin Gothic Book"/>
                <w:sz w:val="18"/>
                <w:szCs w:val="18"/>
              </w:rPr>
            </w:pPr>
          </w:p>
          <w:p w:rsidR="00FF4A21" w:rsidRPr="0015739C" w:rsidRDefault="00FF4A21" w:rsidP="00FF4A21">
            <w:pPr>
              <w:ind w:right="-108"/>
              <w:rPr>
                <w:rFonts w:ascii="Franklin Gothic Book" w:hAnsi="Franklin Gothic Book"/>
                <w:sz w:val="18"/>
                <w:szCs w:val="18"/>
              </w:rPr>
            </w:pPr>
            <w:r w:rsidRPr="0015739C">
              <w:rPr>
                <w:rFonts w:ascii="Franklin Gothic Book" w:hAnsi="Franklin Gothic Book"/>
                <w:sz w:val="18"/>
                <w:szCs w:val="18"/>
              </w:rPr>
              <w:t>Complete tracer study</w:t>
            </w:r>
          </w:p>
          <w:p w:rsidR="00FF4A21" w:rsidRPr="0015739C" w:rsidRDefault="00FF4A21" w:rsidP="00FF4A21">
            <w:pPr>
              <w:ind w:right="-108"/>
              <w:rPr>
                <w:rFonts w:ascii="Franklin Gothic Book" w:hAnsi="Franklin Gothic Book"/>
                <w:sz w:val="18"/>
                <w:szCs w:val="18"/>
              </w:rPr>
            </w:pPr>
          </w:p>
          <w:p w:rsidR="00FF4A21" w:rsidRPr="0015739C" w:rsidRDefault="00FF4A21" w:rsidP="00FF4A21">
            <w:pPr>
              <w:ind w:right="-108"/>
              <w:rPr>
                <w:rFonts w:ascii="Franklin Gothic Book" w:hAnsi="Franklin Gothic Book"/>
                <w:sz w:val="18"/>
                <w:szCs w:val="18"/>
              </w:rPr>
            </w:pPr>
            <w:r w:rsidRPr="0015739C">
              <w:rPr>
                <w:rFonts w:ascii="Franklin Gothic Book" w:hAnsi="Franklin Gothic Book"/>
                <w:sz w:val="18"/>
                <w:szCs w:val="18"/>
              </w:rPr>
              <w:t xml:space="preserve">Undertake Australian Development Scholarships mid-term review </w:t>
            </w:r>
          </w:p>
          <w:p w:rsidR="00FF4A21" w:rsidRPr="0015739C" w:rsidRDefault="00FF4A21" w:rsidP="00FF4A21">
            <w:pPr>
              <w:ind w:right="-108"/>
              <w:rPr>
                <w:rFonts w:ascii="Franklin Gothic Book" w:hAnsi="Franklin Gothic Book"/>
                <w:sz w:val="18"/>
                <w:szCs w:val="18"/>
              </w:rPr>
            </w:pPr>
          </w:p>
          <w:p w:rsidR="00FF4A21" w:rsidRPr="0015739C" w:rsidRDefault="00FF4A21" w:rsidP="00FF4A21">
            <w:pPr>
              <w:ind w:left="685" w:right="-108"/>
              <w:rPr>
                <w:rFonts w:ascii="Franklin Gothic Book" w:hAnsi="Franklin Gothic Book"/>
                <w:sz w:val="18"/>
                <w:szCs w:val="18"/>
              </w:rPr>
            </w:pPr>
          </w:p>
          <w:p w:rsidR="00FF4A21" w:rsidRPr="0015739C" w:rsidRDefault="00FF4A21" w:rsidP="00FF4A21">
            <w:pPr>
              <w:ind w:right="-108"/>
              <w:rPr>
                <w:rFonts w:ascii="Franklin Gothic Book" w:hAnsi="Franklin Gothic Book"/>
                <w:sz w:val="18"/>
                <w:szCs w:val="18"/>
              </w:rPr>
            </w:pPr>
          </w:p>
          <w:p w:rsidR="00FF4A21" w:rsidRPr="0015739C" w:rsidRDefault="00FF4A21" w:rsidP="00FF4A21">
            <w:pPr>
              <w:ind w:right="-108"/>
              <w:rPr>
                <w:rFonts w:ascii="Franklin Gothic Book" w:hAnsi="Franklin Gothic Book"/>
                <w:sz w:val="18"/>
                <w:szCs w:val="18"/>
              </w:rPr>
            </w:pPr>
          </w:p>
          <w:p w:rsidR="00FF4A21" w:rsidRPr="0015739C" w:rsidRDefault="00FF4A21" w:rsidP="00FF4A21">
            <w:pPr>
              <w:ind w:right="-108"/>
              <w:rPr>
                <w:rFonts w:ascii="Franklin Gothic Book" w:hAnsi="Franklin Gothic Book"/>
                <w:sz w:val="18"/>
                <w:szCs w:val="18"/>
              </w:rPr>
            </w:pPr>
            <w:r w:rsidRPr="0015739C">
              <w:rPr>
                <w:rFonts w:ascii="Franklin Gothic Book" w:hAnsi="Franklin Gothic Book"/>
                <w:sz w:val="18"/>
                <w:szCs w:val="18"/>
              </w:rPr>
              <w:t>Begin Public Sector Linkages Program</w:t>
            </w:r>
          </w:p>
          <w:p w:rsidR="00FF4A21" w:rsidRPr="0015739C" w:rsidRDefault="00FF4A21" w:rsidP="00FF4A21">
            <w:pPr>
              <w:ind w:right="-108"/>
              <w:rPr>
                <w:rFonts w:ascii="Franklin Gothic Book" w:hAnsi="Franklin Gothic Book"/>
                <w:sz w:val="18"/>
                <w:szCs w:val="18"/>
              </w:rPr>
            </w:pPr>
          </w:p>
          <w:p w:rsidR="00FF4A21" w:rsidRPr="0015739C" w:rsidRDefault="00FF4A21" w:rsidP="00FF4A21">
            <w:pPr>
              <w:ind w:right="-108"/>
              <w:rPr>
                <w:rFonts w:ascii="Franklin Gothic Book" w:hAnsi="Franklin Gothic Book"/>
                <w:sz w:val="18"/>
                <w:szCs w:val="18"/>
              </w:rPr>
            </w:pPr>
          </w:p>
          <w:p w:rsidR="00FF4A21" w:rsidRPr="0015739C" w:rsidRDefault="00FF4A21" w:rsidP="00FF4A21">
            <w:pPr>
              <w:ind w:right="-108"/>
              <w:rPr>
                <w:rFonts w:ascii="Franklin Gothic Book" w:hAnsi="Franklin Gothic Book"/>
                <w:sz w:val="18"/>
                <w:szCs w:val="18"/>
              </w:rPr>
            </w:pPr>
          </w:p>
          <w:p w:rsidR="00FF4A21" w:rsidRPr="0015739C" w:rsidRDefault="00FF4A21" w:rsidP="00FF4A21">
            <w:pPr>
              <w:ind w:right="-108"/>
              <w:rPr>
                <w:rFonts w:ascii="Franklin Gothic Book" w:hAnsi="Franklin Gothic Book"/>
                <w:sz w:val="18"/>
                <w:szCs w:val="18"/>
              </w:rPr>
            </w:pPr>
          </w:p>
          <w:p w:rsidR="00FF4A21" w:rsidRPr="0015739C" w:rsidRDefault="00FF4A21" w:rsidP="00FF4A21">
            <w:pPr>
              <w:ind w:right="-108"/>
              <w:rPr>
                <w:rFonts w:ascii="Franklin Gothic Book" w:hAnsi="Franklin Gothic Book"/>
                <w:sz w:val="18"/>
                <w:szCs w:val="18"/>
              </w:rPr>
            </w:pPr>
          </w:p>
          <w:p w:rsidR="00FF4A21" w:rsidRPr="0015739C" w:rsidRDefault="00FF4A21" w:rsidP="00FF4A21">
            <w:pPr>
              <w:ind w:right="-108"/>
              <w:rPr>
                <w:rFonts w:ascii="Franklin Gothic Book" w:hAnsi="Franklin Gothic Book"/>
                <w:sz w:val="18"/>
                <w:szCs w:val="18"/>
              </w:rPr>
            </w:pPr>
          </w:p>
          <w:p w:rsidR="00FF4A21" w:rsidRPr="0015739C" w:rsidRDefault="00FF4A21" w:rsidP="00FF4A21">
            <w:pPr>
              <w:ind w:right="-108"/>
              <w:rPr>
                <w:rFonts w:ascii="Franklin Gothic Book" w:hAnsi="Franklin Gothic Book"/>
                <w:sz w:val="18"/>
                <w:szCs w:val="18"/>
              </w:rPr>
            </w:pPr>
            <w:r w:rsidRPr="0015739C">
              <w:rPr>
                <w:rFonts w:ascii="Franklin Gothic Book" w:hAnsi="Franklin Gothic Book"/>
                <w:sz w:val="18"/>
                <w:szCs w:val="18"/>
              </w:rPr>
              <w:t>Finalise delivery strategy</w:t>
            </w:r>
          </w:p>
        </w:tc>
        <w:tc>
          <w:tcPr>
            <w:tcW w:w="2268" w:type="dxa"/>
          </w:tcPr>
          <w:p w:rsidR="00FF4A21" w:rsidRPr="0015739C" w:rsidRDefault="00FF4A21" w:rsidP="00FF4A21">
            <w:pPr>
              <w:pStyle w:val="Default"/>
              <w:rPr>
                <w:rFonts w:cs="Times New Roman"/>
                <w:sz w:val="18"/>
                <w:szCs w:val="18"/>
              </w:rPr>
            </w:pPr>
            <w:r w:rsidRPr="0015739C">
              <w:rPr>
                <w:rFonts w:cs="Times New Roman"/>
                <w:sz w:val="18"/>
                <w:szCs w:val="18"/>
              </w:rPr>
              <w:t xml:space="preserve">225 Australia Awards Scholarships </w:t>
            </w:r>
          </w:p>
          <w:p w:rsidR="00FF4A21" w:rsidRPr="0015739C" w:rsidRDefault="00FF4A21" w:rsidP="00FF4A21">
            <w:pPr>
              <w:pStyle w:val="Default"/>
              <w:rPr>
                <w:rFonts w:cs="Times New Roman"/>
                <w:sz w:val="18"/>
                <w:szCs w:val="18"/>
              </w:rPr>
            </w:pPr>
          </w:p>
          <w:p w:rsidR="00FF4A21" w:rsidRPr="0015739C" w:rsidRDefault="00FF4A21" w:rsidP="00FF4A21">
            <w:pPr>
              <w:pStyle w:val="Default"/>
              <w:rPr>
                <w:rFonts w:cs="Times New Roman"/>
                <w:sz w:val="18"/>
                <w:szCs w:val="18"/>
              </w:rPr>
            </w:pPr>
          </w:p>
          <w:p w:rsidR="00FF4A21" w:rsidRPr="0015739C" w:rsidRDefault="00FF4A21" w:rsidP="00FF4A21">
            <w:pPr>
              <w:pStyle w:val="Default"/>
              <w:rPr>
                <w:rFonts w:cs="Times New Roman"/>
                <w:sz w:val="18"/>
                <w:szCs w:val="18"/>
              </w:rPr>
            </w:pPr>
            <w:r w:rsidRPr="0015739C">
              <w:rPr>
                <w:rFonts w:cs="Times New Roman"/>
                <w:sz w:val="18"/>
                <w:szCs w:val="18"/>
              </w:rPr>
              <w:t xml:space="preserve">18 Australia Awards Leadership Program </w:t>
            </w:r>
          </w:p>
          <w:p w:rsidR="00FF4A21" w:rsidRPr="0015739C" w:rsidRDefault="00FF4A21" w:rsidP="00FF4A21">
            <w:pPr>
              <w:pStyle w:val="Default"/>
              <w:rPr>
                <w:rFonts w:cs="Times New Roman"/>
                <w:sz w:val="18"/>
                <w:szCs w:val="18"/>
              </w:rPr>
            </w:pPr>
          </w:p>
          <w:p w:rsidR="00FF4A21" w:rsidRPr="0015739C" w:rsidRDefault="00FF4A21" w:rsidP="00FF4A21">
            <w:pPr>
              <w:pStyle w:val="Default"/>
              <w:rPr>
                <w:rFonts w:cs="Times New Roman"/>
                <w:sz w:val="18"/>
                <w:szCs w:val="18"/>
              </w:rPr>
            </w:pPr>
          </w:p>
          <w:p w:rsidR="00FF4A21" w:rsidRPr="0015739C" w:rsidRDefault="00FF4A21" w:rsidP="00FF4A21">
            <w:pPr>
              <w:pStyle w:val="Default"/>
              <w:rPr>
                <w:rFonts w:cs="Times New Roman"/>
                <w:sz w:val="18"/>
                <w:szCs w:val="18"/>
              </w:rPr>
            </w:pPr>
            <w:r w:rsidRPr="0015739C">
              <w:rPr>
                <w:rFonts w:cs="Times New Roman"/>
                <w:sz w:val="18"/>
                <w:szCs w:val="18"/>
              </w:rPr>
              <w:t xml:space="preserve">50 to 60 Australia Awards Fellowships </w:t>
            </w:r>
          </w:p>
          <w:p w:rsidR="00FF4A21" w:rsidRPr="0015739C" w:rsidRDefault="00FF4A21" w:rsidP="00FF4A21">
            <w:pPr>
              <w:ind w:left="70" w:right="-108"/>
              <w:rPr>
                <w:rFonts w:ascii="Franklin Gothic Book" w:hAnsi="Franklin Gothic Book"/>
                <w:sz w:val="18"/>
                <w:szCs w:val="18"/>
              </w:rPr>
            </w:pPr>
          </w:p>
          <w:p w:rsidR="00FF4A21" w:rsidRPr="0015739C" w:rsidRDefault="00FF4A21" w:rsidP="00FF4A21">
            <w:pPr>
              <w:ind w:left="70" w:right="-108"/>
              <w:rPr>
                <w:rFonts w:ascii="Franklin Gothic Book" w:hAnsi="Franklin Gothic Book"/>
                <w:sz w:val="18"/>
                <w:szCs w:val="18"/>
              </w:rPr>
            </w:pPr>
          </w:p>
          <w:p w:rsidR="00FF4A21" w:rsidRPr="0015739C" w:rsidRDefault="00FF4A21" w:rsidP="00FF4A21">
            <w:pPr>
              <w:ind w:right="-108"/>
              <w:rPr>
                <w:rFonts w:ascii="Franklin Gothic Book" w:hAnsi="Franklin Gothic Book"/>
                <w:sz w:val="18"/>
                <w:szCs w:val="18"/>
              </w:rPr>
            </w:pPr>
            <w:r w:rsidRPr="0015739C">
              <w:rPr>
                <w:rFonts w:ascii="Franklin Gothic Book" w:hAnsi="Franklin Gothic Book"/>
                <w:sz w:val="18"/>
                <w:szCs w:val="18"/>
              </w:rPr>
              <w:t xml:space="preserve">Update monitoring and evaluation framework </w:t>
            </w:r>
          </w:p>
          <w:p w:rsidR="00FF4A21" w:rsidRPr="0015739C" w:rsidRDefault="00FF4A21" w:rsidP="00FF4A21">
            <w:pPr>
              <w:ind w:left="70" w:right="-108"/>
              <w:rPr>
                <w:rFonts w:ascii="Franklin Gothic Book" w:hAnsi="Franklin Gothic Book"/>
                <w:sz w:val="18"/>
                <w:szCs w:val="18"/>
              </w:rPr>
            </w:pPr>
          </w:p>
          <w:p w:rsidR="00FF4A21" w:rsidRPr="0015739C" w:rsidRDefault="00FF4A21" w:rsidP="00FF4A21">
            <w:pPr>
              <w:ind w:right="-108"/>
              <w:rPr>
                <w:rFonts w:ascii="Franklin Gothic Book" w:hAnsi="Franklin Gothic Book"/>
                <w:sz w:val="18"/>
                <w:szCs w:val="18"/>
              </w:rPr>
            </w:pPr>
            <w:r w:rsidRPr="0015739C">
              <w:rPr>
                <w:rFonts w:ascii="Franklin Gothic Book" w:hAnsi="Franklin Gothic Book"/>
                <w:sz w:val="18"/>
                <w:szCs w:val="18"/>
              </w:rPr>
              <w:t>Complete an institutional impact assessment of scholarships program on key central government agencies</w:t>
            </w:r>
          </w:p>
          <w:p w:rsidR="00FF4A21" w:rsidRPr="0015739C" w:rsidRDefault="00FF4A21" w:rsidP="00FF4A21">
            <w:pPr>
              <w:ind w:left="70" w:right="-108"/>
              <w:rPr>
                <w:rFonts w:ascii="Franklin Gothic Book" w:hAnsi="Franklin Gothic Book"/>
                <w:sz w:val="18"/>
                <w:szCs w:val="18"/>
              </w:rPr>
            </w:pPr>
          </w:p>
          <w:p w:rsidR="00FF4A21" w:rsidRPr="0015739C" w:rsidRDefault="00FF4A21" w:rsidP="00FF4A21">
            <w:pPr>
              <w:pStyle w:val="Default"/>
              <w:rPr>
                <w:rFonts w:cs="Times New Roman"/>
                <w:sz w:val="18"/>
                <w:szCs w:val="18"/>
              </w:rPr>
            </w:pPr>
          </w:p>
          <w:p w:rsidR="00FF4A21" w:rsidRPr="0015739C" w:rsidRDefault="00FF4A21" w:rsidP="00FF4A21">
            <w:pPr>
              <w:pStyle w:val="Default"/>
              <w:rPr>
                <w:rFonts w:cs="Times New Roman"/>
                <w:sz w:val="18"/>
                <w:szCs w:val="18"/>
              </w:rPr>
            </w:pPr>
          </w:p>
          <w:p w:rsidR="00FF4A21" w:rsidRPr="0015739C" w:rsidRDefault="00FF4A21" w:rsidP="00FF4A21">
            <w:pPr>
              <w:pStyle w:val="Default"/>
              <w:rPr>
                <w:rFonts w:cs="Times New Roman"/>
                <w:sz w:val="18"/>
                <w:szCs w:val="18"/>
              </w:rPr>
            </w:pPr>
          </w:p>
          <w:p w:rsidR="00FF4A21" w:rsidRPr="0015739C" w:rsidRDefault="00FF4A21" w:rsidP="00FF4A21">
            <w:pPr>
              <w:pStyle w:val="Default"/>
              <w:rPr>
                <w:rFonts w:cs="Times New Roman"/>
                <w:sz w:val="18"/>
                <w:szCs w:val="18"/>
              </w:rPr>
            </w:pPr>
          </w:p>
          <w:p w:rsidR="00FF4A21" w:rsidRPr="0015739C" w:rsidRDefault="00FF4A21" w:rsidP="00FF4A21">
            <w:pPr>
              <w:pStyle w:val="Default"/>
              <w:rPr>
                <w:rFonts w:cs="Times New Roman"/>
                <w:sz w:val="18"/>
                <w:szCs w:val="18"/>
              </w:rPr>
            </w:pPr>
          </w:p>
          <w:p w:rsidR="00FF4A21" w:rsidRPr="0015739C" w:rsidRDefault="00FF4A21" w:rsidP="00FF4A21">
            <w:pPr>
              <w:pStyle w:val="Default"/>
              <w:rPr>
                <w:rFonts w:cs="Times New Roman"/>
                <w:sz w:val="18"/>
                <w:szCs w:val="18"/>
              </w:rPr>
            </w:pPr>
          </w:p>
          <w:p w:rsidR="00FF4A21" w:rsidRPr="0015739C" w:rsidRDefault="00FF4A21" w:rsidP="00FF4A21">
            <w:pPr>
              <w:pStyle w:val="Default"/>
              <w:rPr>
                <w:rFonts w:cs="Times New Roman"/>
                <w:sz w:val="18"/>
                <w:szCs w:val="18"/>
              </w:rPr>
            </w:pPr>
          </w:p>
          <w:p w:rsidR="00FF4A21" w:rsidRPr="0015739C" w:rsidRDefault="00FF4A21" w:rsidP="00FF4A21">
            <w:pPr>
              <w:pStyle w:val="Default"/>
              <w:rPr>
                <w:sz w:val="18"/>
                <w:szCs w:val="18"/>
              </w:rPr>
            </w:pPr>
            <w:r w:rsidRPr="0015739C">
              <w:rPr>
                <w:rFonts w:cs="Times New Roman"/>
                <w:sz w:val="18"/>
                <w:szCs w:val="18"/>
              </w:rPr>
              <w:t xml:space="preserve">Commence delivery strategy </w:t>
            </w:r>
          </w:p>
        </w:tc>
        <w:tc>
          <w:tcPr>
            <w:tcW w:w="2268" w:type="dxa"/>
          </w:tcPr>
          <w:p w:rsidR="00FF4A21" w:rsidRPr="0015739C" w:rsidRDefault="00FF4A21" w:rsidP="00FF4A21">
            <w:pPr>
              <w:ind w:right="126"/>
              <w:rPr>
                <w:rFonts w:ascii="Franklin Gothic Book" w:hAnsi="Franklin Gothic Book"/>
                <w:sz w:val="18"/>
                <w:szCs w:val="18"/>
              </w:rPr>
            </w:pPr>
            <w:r w:rsidRPr="0015739C">
              <w:rPr>
                <w:rFonts w:ascii="Franklin Gothic Book" w:hAnsi="Franklin Gothic Book"/>
                <w:sz w:val="18"/>
                <w:szCs w:val="18"/>
              </w:rPr>
              <w:t>225 Australia Awards Scholarships</w:t>
            </w: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r w:rsidRPr="0015739C">
              <w:rPr>
                <w:rFonts w:ascii="Franklin Gothic Book" w:hAnsi="Franklin Gothic Book"/>
                <w:sz w:val="18"/>
                <w:szCs w:val="18"/>
              </w:rPr>
              <w:t>100 Australia Awards Fellowships</w:t>
            </w:r>
          </w:p>
          <w:p w:rsidR="00FF4A21" w:rsidRPr="0015739C" w:rsidRDefault="00FF4A21" w:rsidP="00FF4A21">
            <w:pPr>
              <w:ind w:left="70"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r w:rsidRPr="0015739C">
              <w:rPr>
                <w:rFonts w:ascii="Franklin Gothic Book" w:hAnsi="Franklin Gothic Book"/>
                <w:sz w:val="18"/>
                <w:szCs w:val="18"/>
              </w:rPr>
              <w:t xml:space="preserve">Australia Awards Scholarships Equity of Access Fund established </w:t>
            </w: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r w:rsidRPr="0015739C">
              <w:rPr>
                <w:rFonts w:ascii="Franklin Gothic Book" w:hAnsi="Franklin Gothic Book"/>
                <w:sz w:val="18"/>
                <w:szCs w:val="18"/>
              </w:rPr>
              <w:t xml:space="preserve">Cluster studies on the environment and education sectors. </w:t>
            </w: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r w:rsidRPr="0015739C">
              <w:rPr>
                <w:rFonts w:ascii="Franklin Gothic Book" w:hAnsi="Franklin Gothic Book"/>
                <w:sz w:val="18"/>
                <w:szCs w:val="18"/>
              </w:rPr>
              <w:t>Impact study on the overall Australia Awards Scholarships program.</w:t>
            </w:r>
          </w:p>
          <w:p w:rsidR="00FF4A21" w:rsidRPr="0015739C" w:rsidRDefault="00FF4A21" w:rsidP="00FF4A21">
            <w:pPr>
              <w:ind w:left="70"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r w:rsidRPr="0015739C">
              <w:rPr>
                <w:rFonts w:ascii="Franklin Gothic Book" w:hAnsi="Franklin Gothic Book"/>
                <w:sz w:val="18"/>
                <w:szCs w:val="18"/>
              </w:rPr>
              <w:t>Sponsor a National Alumni Conference for Vietnamese graduates of Australia</w:t>
            </w: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r w:rsidRPr="0015739C">
              <w:rPr>
                <w:rFonts w:ascii="Franklin Gothic Book" w:hAnsi="Franklin Gothic Book"/>
                <w:sz w:val="18"/>
                <w:szCs w:val="18"/>
              </w:rPr>
              <w:t>HRD Strategy finalised</w:t>
            </w:r>
          </w:p>
        </w:tc>
        <w:tc>
          <w:tcPr>
            <w:tcW w:w="2551" w:type="dxa"/>
          </w:tcPr>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r w:rsidRPr="0015739C">
              <w:rPr>
                <w:rFonts w:ascii="Franklin Gothic Book" w:hAnsi="Franklin Gothic Book"/>
                <w:sz w:val="18"/>
                <w:szCs w:val="18"/>
              </w:rPr>
              <w:t>150 AAS</w:t>
            </w: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r w:rsidRPr="0015739C">
              <w:rPr>
                <w:rFonts w:ascii="Franklin Gothic Book" w:hAnsi="Franklin Gothic Book"/>
                <w:sz w:val="18"/>
                <w:szCs w:val="18"/>
              </w:rPr>
              <w:t>50 AAF</w:t>
            </w: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r w:rsidRPr="0015739C">
              <w:rPr>
                <w:rFonts w:ascii="Franklin Gothic Book" w:hAnsi="Franklin Gothic Book"/>
                <w:sz w:val="18"/>
                <w:szCs w:val="18"/>
              </w:rPr>
              <w:t>40 Heads of TVET Centres of Excellence Colleges trained in a short course in Australia</w:t>
            </w: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r w:rsidRPr="0015739C">
              <w:rPr>
                <w:rFonts w:ascii="Franklin Gothic Book" w:hAnsi="Franklin Gothic Book"/>
                <w:sz w:val="18"/>
                <w:szCs w:val="18"/>
              </w:rPr>
              <w:t>Australia Awards alumni network established</w:t>
            </w:r>
          </w:p>
          <w:p w:rsidR="00FF4A21" w:rsidRPr="0015739C" w:rsidRDefault="00FF4A21" w:rsidP="00FF4A21">
            <w:pPr>
              <w:ind w:right="126"/>
              <w:rPr>
                <w:rFonts w:ascii="Franklin Gothic Book" w:hAnsi="Franklin Gothic Book"/>
                <w:sz w:val="18"/>
                <w:szCs w:val="18"/>
              </w:rPr>
            </w:pPr>
          </w:p>
          <w:p w:rsidR="00FF4A21" w:rsidRPr="0015739C" w:rsidRDefault="00FF4A21" w:rsidP="00FF4A21">
            <w:pPr>
              <w:ind w:right="126"/>
              <w:rPr>
                <w:rFonts w:ascii="Franklin Gothic Book" w:hAnsi="Franklin Gothic Book"/>
                <w:sz w:val="18"/>
                <w:szCs w:val="18"/>
              </w:rPr>
            </w:pPr>
            <w:r w:rsidRPr="0015739C">
              <w:rPr>
                <w:rFonts w:ascii="Franklin Gothic Book" w:hAnsi="Franklin Gothic Book"/>
                <w:sz w:val="18"/>
                <w:szCs w:val="18"/>
              </w:rPr>
              <w:t>Design of new human resource development investment completed</w:t>
            </w:r>
          </w:p>
        </w:tc>
      </w:tr>
    </w:tbl>
    <w:p w:rsidR="00FF4A21" w:rsidRDefault="00FF4A21">
      <w:pPr>
        <w:spacing w:after="200" w:line="276" w:lineRule="auto"/>
        <w:rPr>
          <w:rFonts w:ascii="Franklin Gothic Book" w:eastAsia="Times New Roman" w:hAnsi="Franklin Gothic Book"/>
          <w:sz w:val="21"/>
        </w:rPr>
      </w:pPr>
      <w:r>
        <w:br w:type="page"/>
      </w:r>
    </w:p>
    <w:p w:rsidR="008E1A60" w:rsidRDefault="0093159B" w:rsidP="0093159B">
      <w:pPr>
        <w:pStyle w:val="Caption"/>
      </w:pPr>
      <w:r>
        <w:lastRenderedPageBreak/>
        <w:t>Aid Objective: Better transport infrastructure and policy to support economic integration</w:t>
      </w:r>
    </w:p>
    <w:tbl>
      <w:tblPr>
        <w:tblStyle w:val="TableGrid"/>
        <w:tblW w:w="14425" w:type="dxa"/>
        <w:tblLook w:val="04A0" w:firstRow="1" w:lastRow="0" w:firstColumn="1" w:lastColumn="0" w:noHBand="0" w:noVBand="1"/>
        <w:tblCaption w:val="Aid Objective: Better transport infrastructure and policy to support economic integration"/>
        <w:tblDescription w:val="Provides the strategy objective indicators/targets for 2015 and the progress targets/milestones for 2011, 2012/13, 2013/14, 2014/15"/>
      </w:tblPr>
      <w:tblGrid>
        <w:gridCol w:w="2093"/>
        <w:gridCol w:w="2058"/>
        <w:gridCol w:w="2194"/>
        <w:gridCol w:w="2552"/>
        <w:gridCol w:w="2693"/>
        <w:gridCol w:w="2835"/>
      </w:tblGrid>
      <w:tr w:rsidR="0093159B" w:rsidRPr="0015739C" w:rsidTr="0093159B">
        <w:tc>
          <w:tcPr>
            <w:tcW w:w="2093" w:type="dxa"/>
            <w:shd w:val="clear" w:color="auto" w:fill="BFBFBF" w:themeFill="background1" w:themeFillShade="BF"/>
          </w:tcPr>
          <w:p w:rsidR="0093159B" w:rsidRPr="0015739C" w:rsidRDefault="0093159B" w:rsidP="0093159B">
            <w:pPr>
              <w:keepNext/>
              <w:jc w:val="center"/>
              <w:rPr>
                <w:rFonts w:ascii="Franklin Gothic Book" w:hAnsi="Franklin Gothic Book"/>
                <w:b/>
                <w:sz w:val="18"/>
                <w:szCs w:val="18"/>
              </w:rPr>
            </w:pPr>
            <w:r w:rsidRPr="0015739C">
              <w:rPr>
                <w:rFonts w:ascii="Franklin Gothic Book" w:hAnsi="Franklin Gothic Book"/>
                <w:b/>
                <w:sz w:val="18"/>
                <w:szCs w:val="18"/>
              </w:rPr>
              <w:t xml:space="preserve">Strategy Objective </w:t>
            </w:r>
          </w:p>
          <w:p w:rsidR="0093159B" w:rsidRPr="0015739C" w:rsidRDefault="0093159B" w:rsidP="0093159B">
            <w:pPr>
              <w:keepNext/>
              <w:jc w:val="center"/>
              <w:rPr>
                <w:rFonts w:ascii="Franklin Gothic Book" w:hAnsi="Franklin Gothic Book"/>
                <w:b/>
                <w:sz w:val="18"/>
                <w:szCs w:val="18"/>
              </w:rPr>
            </w:pPr>
            <w:r w:rsidRPr="0015739C">
              <w:rPr>
                <w:rFonts w:ascii="Franklin Gothic Book" w:hAnsi="Franklin Gothic Book"/>
                <w:b/>
                <w:sz w:val="18"/>
                <w:szCs w:val="18"/>
              </w:rPr>
              <w:t xml:space="preserve">Indicators / Targets </w:t>
            </w:r>
          </w:p>
          <w:p w:rsidR="0093159B" w:rsidRPr="0015739C" w:rsidRDefault="0093159B" w:rsidP="0093159B">
            <w:pPr>
              <w:keepNext/>
              <w:jc w:val="center"/>
              <w:rPr>
                <w:rFonts w:ascii="Franklin Gothic Book" w:hAnsi="Franklin Gothic Book"/>
                <w:b/>
                <w:sz w:val="18"/>
                <w:szCs w:val="18"/>
              </w:rPr>
            </w:pPr>
            <w:r w:rsidRPr="0015739C">
              <w:rPr>
                <w:rFonts w:ascii="Franklin Gothic Book" w:hAnsi="Franklin Gothic Book"/>
                <w:b/>
                <w:sz w:val="18"/>
                <w:szCs w:val="18"/>
              </w:rPr>
              <w:t>2015</w:t>
            </w:r>
          </w:p>
        </w:tc>
        <w:tc>
          <w:tcPr>
            <w:tcW w:w="2058" w:type="dxa"/>
            <w:shd w:val="clear" w:color="auto" w:fill="BFBFBF" w:themeFill="background1" w:themeFillShade="BF"/>
          </w:tcPr>
          <w:p w:rsidR="0093159B" w:rsidRPr="0015739C" w:rsidRDefault="0093159B" w:rsidP="0093159B">
            <w:pPr>
              <w:keepNext/>
              <w:jc w:val="center"/>
              <w:rPr>
                <w:rFonts w:ascii="Franklin Gothic Book" w:hAnsi="Franklin Gothic Book"/>
                <w:b/>
                <w:sz w:val="18"/>
                <w:szCs w:val="18"/>
              </w:rPr>
            </w:pPr>
            <w:r w:rsidRPr="0015739C">
              <w:rPr>
                <w:rFonts w:ascii="Franklin Gothic Book" w:hAnsi="Franklin Gothic Book"/>
                <w:b/>
                <w:sz w:val="18"/>
                <w:szCs w:val="18"/>
              </w:rPr>
              <w:t xml:space="preserve">Progress Targets/Milestones </w:t>
            </w:r>
          </w:p>
          <w:p w:rsidR="0093159B" w:rsidRPr="0015739C" w:rsidRDefault="0093159B" w:rsidP="0093159B">
            <w:pPr>
              <w:keepNext/>
              <w:jc w:val="center"/>
              <w:rPr>
                <w:rFonts w:ascii="Franklin Gothic Book" w:hAnsi="Franklin Gothic Book"/>
                <w:b/>
                <w:sz w:val="18"/>
                <w:szCs w:val="18"/>
              </w:rPr>
            </w:pPr>
            <w:r w:rsidRPr="0015739C">
              <w:rPr>
                <w:rFonts w:ascii="Franklin Gothic Book" w:hAnsi="Franklin Gothic Book"/>
                <w:b/>
                <w:sz w:val="18"/>
                <w:szCs w:val="18"/>
              </w:rPr>
              <w:t>2010</w:t>
            </w:r>
          </w:p>
          <w:p w:rsidR="0093159B" w:rsidRPr="0015739C" w:rsidRDefault="0093159B" w:rsidP="0093159B">
            <w:pPr>
              <w:keepNext/>
              <w:jc w:val="center"/>
              <w:rPr>
                <w:rFonts w:ascii="Franklin Gothic Book" w:hAnsi="Franklin Gothic Book"/>
                <w:b/>
                <w:sz w:val="18"/>
                <w:szCs w:val="18"/>
              </w:rPr>
            </w:pPr>
          </w:p>
        </w:tc>
        <w:tc>
          <w:tcPr>
            <w:tcW w:w="2194" w:type="dxa"/>
            <w:shd w:val="clear" w:color="auto" w:fill="BFBFBF" w:themeFill="background1" w:themeFillShade="BF"/>
          </w:tcPr>
          <w:p w:rsidR="0093159B" w:rsidRPr="0015739C" w:rsidRDefault="0093159B" w:rsidP="0093159B">
            <w:pPr>
              <w:keepNext/>
              <w:jc w:val="center"/>
              <w:rPr>
                <w:rFonts w:ascii="Franklin Gothic Book" w:hAnsi="Franklin Gothic Book"/>
                <w:b/>
                <w:sz w:val="18"/>
                <w:szCs w:val="18"/>
              </w:rPr>
            </w:pPr>
            <w:r w:rsidRPr="0015739C">
              <w:rPr>
                <w:rFonts w:ascii="Franklin Gothic Book" w:hAnsi="Franklin Gothic Book"/>
                <w:b/>
                <w:sz w:val="18"/>
                <w:szCs w:val="18"/>
              </w:rPr>
              <w:t>2011</w:t>
            </w:r>
          </w:p>
        </w:tc>
        <w:tc>
          <w:tcPr>
            <w:tcW w:w="2552" w:type="dxa"/>
            <w:shd w:val="clear" w:color="auto" w:fill="BFBFBF" w:themeFill="background1" w:themeFillShade="BF"/>
          </w:tcPr>
          <w:p w:rsidR="0093159B" w:rsidRPr="0015739C" w:rsidRDefault="0093159B" w:rsidP="0093159B">
            <w:pPr>
              <w:keepNext/>
              <w:jc w:val="center"/>
              <w:rPr>
                <w:rFonts w:ascii="Franklin Gothic Book" w:hAnsi="Franklin Gothic Book"/>
                <w:b/>
                <w:sz w:val="18"/>
                <w:szCs w:val="18"/>
              </w:rPr>
            </w:pPr>
            <w:r w:rsidRPr="0015739C">
              <w:rPr>
                <w:rFonts w:ascii="Franklin Gothic Book" w:hAnsi="Franklin Gothic Book"/>
                <w:b/>
                <w:sz w:val="18"/>
                <w:szCs w:val="18"/>
              </w:rPr>
              <w:t>2012/13</w:t>
            </w:r>
          </w:p>
        </w:tc>
        <w:tc>
          <w:tcPr>
            <w:tcW w:w="2693" w:type="dxa"/>
            <w:shd w:val="clear" w:color="auto" w:fill="BFBFBF" w:themeFill="background1" w:themeFillShade="BF"/>
          </w:tcPr>
          <w:p w:rsidR="0093159B" w:rsidRPr="0015739C" w:rsidRDefault="0093159B" w:rsidP="0093159B">
            <w:pPr>
              <w:keepNext/>
              <w:ind w:right="126"/>
              <w:jc w:val="center"/>
              <w:rPr>
                <w:rFonts w:ascii="Franklin Gothic Book" w:hAnsi="Franklin Gothic Book"/>
                <w:b/>
                <w:sz w:val="18"/>
                <w:szCs w:val="18"/>
              </w:rPr>
            </w:pPr>
            <w:r w:rsidRPr="0015739C">
              <w:rPr>
                <w:rFonts w:ascii="Franklin Gothic Book" w:hAnsi="Franklin Gothic Book"/>
                <w:b/>
                <w:sz w:val="18"/>
                <w:szCs w:val="18"/>
              </w:rPr>
              <w:t>2013/14</w:t>
            </w:r>
          </w:p>
        </w:tc>
        <w:tc>
          <w:tcPr>
            <w:tcW w:w="2835" w:type="dxa"/>
            <w:shd w:val="clear" w:color="auto" w:fill="BFBFBF" w:themeFill="background1" w:themeFillShade="BF"/>
          </w:tcPr>
          <w:p w:rsidR="0093159B" w:rsidRPr="0015739C" w:rsidRDefault="0093159B" w:rsidP="0093159B">
            <w:pPr>
              <w:keepNext/>
              <w:ind w:right="126"/>
              <w:jc w:val="center"/>
              <w:rPr>
                <w:rFonts w:ascii="Franklin Gothic Book" w:hAnsi="Franklin Gothic Book"/>
                <w:b/>
                <w:sz w:val="18"/>
                <w:szCs w:val="18"/>
              </w:rPr>
            </w:pPr>
            <w:r w:rsidRPr="0015739C">
              <w:rPr>
                <w:rFonts w:ascii="Franklin Gothic Book" w:hAnsi="Franklin Gothic Book"/>
                <w:b/>
                <w:sz w:val="18"/>
                <w:szCs w:val="18"/>
              </w:rPr>
              <w:t>2014/15</w:t>
            </w:r>
          </w:p>
        </w:tc>
      </w:tr>
      <w:tr w:rsidR="0093159B" w:rsidRPr="0015739C" w:rsidTr="0093159B">
        <w:tc>
          <w:tcPr>
            <w:tcW w:w="2093" w:type="dxa"/>
          </w:tcPr>
          <w:p w:rsidR="0093159B" w:rsidRPr="0015739C" w:rsidRDefault="0093159B" w:rsidP="0093159B">
            <w:pPr>
              <w:rPr>
                <w:rFonts w:ascii="Franklin Gothic Book" w:hAnsi="Franklin Gothic Book"/>
                <w:sz w:val="18"/>
                <w:szCs w:val="18"/>
              </w:rPr>
            </w:pPr>
          </w:p>
          <w:p w:rsidR="0093159B" w:rsidRPr="0015739C" w:rsidRDefault="0093159B" w:rsidP="0093159B">
            <w:pPr>
              <w:rPr>
                <w:rFonts w:ascii="Franklin Gothic Book" w:hAnsi="Franklin Gothic Book"/>
                <w:sz w:val="18"/>
                <w:szCs w:val="18"/>
              </w:rPr>
            </w:pPr>
            <w:r w:rsidRPr="0015739C">
              <w:rPr>
                <w:rFonts w:ascii="Franklin Gothic Book" w:hAnsi="Franklin Gothic Book"/>
                <w:sz w:val="18"/>
                <w:szCs w:val="18"/>
              </w:rPr>
              <w:t xml:space="preserve">total km of road and bridge works connecting Mekong communities to markets </w:t>
            </w:r>
          </w:p>
          <w:p w:rsidR="0093159B" w:rsidRPr="0015739C" w:rsidRDefault="0093159B" w:rsidP="0093159B">
            <w:pPr>
              <w:rPr>
                <w:rFonts w:ascii="Franklin Gothic Book" w:hAnsi="Franklin Gothic Book"/>
                <w:sz w:val="18"/>
                <w:szCs w:val="18"/>
              </w:rPr>
            </w:pPr>
          </w:p>
          <w:p w:rsidR="0093159B" w:rsidRPr="0015739C" w:rsidRDefault="0093159B" w:rsidP="0093159B">
            <w:pPr>
              <w:rPr>
                <w:rFonts w:ascii="Franklin Gothic Book" w:hAnsi="Franklin Gothic Book"/>
                <w:sz w:val="18"/>
                <w:szCs w:val="18"/>
              </w:rPr>
            </w:pPr>
            <w:r w:rsidRPr="0015739C">
              <w:rPr>
                <w:rFonts w:ascii="Franklin Gothic Book" w:hAnsi="Franklin Gothic Book"/>
                <w:sz w:val="18"/>
                <w:szCs w:val="18"/>
              </w:rPr>
              <w:t>higher traffic volume, lower operating costs and travel time on targeted transport corridors</w:t>
            </w:r>
          </w:p>
          <w:p w:rsidR="0093159B" w:rsidRPr="0015739C" w:rsidRDefault="0093159B" w:rsidP="0093159B">
            <w:pPr>
              <w:rPr>
                <w:rFonts w:ascii="Franklin Gothic Book" w:hAnsi="Franklin Gothic Book"/>
                <w:sz w:val="18"/>
                <w:szCs w:val="18"/>
              </w:rPr>
            </w:pPr>
          </w:p>
          <w:p w:rsidR="0093159B" w:rsidRPr="0015739C" w:rsidRDefault="0093159B" w:rsidP="0093159B">
            <w:pPr>
              <w:rPr>
                <w:rFonts w:ascii="Franklin Gothic Book" w:hAnsi="Franklin Gothic Book"/>
                <w:sz w:val="18"/>
                <w:szCs w:val="18"/>
              </w:rPr>
            </w:pPr>
          </w:p>
          <w:p w:rsidR="0093159B" w:rsidRPr="0015739C" w:rsidRDefault="0093159B" w:rsidP="0093159B">
            <w:pPr>
              <w:rPr>
                <w:rFonts w:ascii="Franklin Gothic Book" w:hAnsi="Franklin Gothic Book"/>
                <w:sz w:val="18"/>
                <w:szCs w:val="18"/>
              </w:rPr>
            </w:pPr>
            <w:r w:rsidRPr="0015739C">
              <w:rPr>
                <w:rFonts w:ascii="Franklin Gothic Book" w:hAnsi="Franklin Gothic Book"/>
                <w:sz w:val="18"/>
                <w:szCs w:val="18"/>
              </w:rPr>
              <w:t>Adverse social and environmental impacts are managed effectively</w:t>
            </w:r>
          </w:p>
          <w:p w:rsidR="0093159B" w:rsidRPr="0015739C" w:rsidRDefault="0093159B" w:rsidP="0093159B">
            <w:pPr>
              <w:rPr>
                <w:rFonts w:ascii="Franklin Gothic Book" w:hAnsi="Franklin Gothic Book"/>
                <w:sz w:val="18"/>
                <w:szCs w:val="18"/>
              </w:rPr>
            </w:pPr>
          </w:p>
          <w:p w:rsidR="0093159B" w:rsidRPr="0015739C" w:rsidRDefault="0093159B" w:rsidP="0093159B">
            <w:pPr>
              <w:rPr>
                <w:rFonts w:ascii="Franklin Gothic Book" w:hAnsi="Franklin Gothic Book"/>
                <w:sz w:val="18"/>
                <w:szCs w:val="18"/>
              </w:rPr>
            </w:pPr>
          </w:p>
          <w:p w:rsidR="0093159B" w:rsidRPr="0015739C" w:rsidRDefault="0093159B" w:rsidP="0093159B">
            <w:pPr>
              <w:rPr>
                <w:rFonts w:ascii="Franklin Gothic Book" w:hAnsi="Franklin Gothic Book"/>
                <w:sz w:val="18"/>
                <w:szCs w:val="18"/>
              </w:rPr>
            </w:pPr>
          </w:p>
          <w:p w:rsidR="0093159B" w:rsidRPr="0015739C" w:rsidRDefault="0093159B" w:rsidP="0093159B">
            <w:pPr>
              <w:rPr>
                <w:rFonts w:ascii="Franklin Gothic Book" w:hAnsi="Franklin Gothic Book"/>
                <w:sz w:val="18"/>
                <w:szCs w:val="18"/>
              </w:rPr>
            </w:pPr>
          </w:p>
          <w:p w:rsidR="0093159B" w:rsidRPr="0015739C" w:rsidRDefault="0093159B" w:rsidP="0093159B">
            <w:pPr>
              <w:rPr>
                <w:rFonts w:ascii="Franklin Gothic Book" w:hAnsi="Franklin Gothic Book"/>
                <w:sz w:val="18"/>
                <w:szCs w:val="18"/>
              </w:rPr>
            </w:pPr>
          </w:p>
          <w:p w:rsidR="0093159B" w:rsidRPr="0015739C" w:rsidRDefault="0093159B" w:rsidP="0093159B">
            <w:pPr>
              <w:rPr>
                <w:rFonts w:ascii="Franklin Gothic Book" w:hAnsi="Franklin Gothic Book"/>
                <w:sz w:val="18"/>
                <w:szCs w:val="18"/>
              </w:rPr>
            </w:pPr>
            <w:r w:rsidRPr="0015739C">
              <w:rPr>
                <w:rFonts w:ascii="Franklin Gothic Book" w:hAnsi="Franklin Gothic Book"/>
                <w:sz w:val="18"/>
                <w:szCs w:val="18"/>
              </w:rPr>
              <w:t>evidence-based policy approaches enhance opportunities and address challenges associated with economic integration</w:t>
            </w:r>
          </w:p>
          <w:p w:rsidR="0093159B" w:rsidRPr="0015739C" w:rsidRDefault="0093159B" w:rsidP="0093159B">
            <w:pPr>
              <w:rPr>
                <w:rFonts w:ascii="Franklin Gothic Book" w:hAnsi="Franklin Gothic Book"/>
                <w:sz w:val="18"/>
                <w:szCs w:val="18"/>
              </w:rPr>
            </w:pPr>
          </w:p>
          <w:p w:rsidR="0093159B" w:rsidRPr="0015739C" w:rsidRDefault="0093159B" w:rsidP="0093159B">
            <w:pPr>
              <w:rPr>
                <w:rFonts w:ascii="Franklin Gothic Book" w:hAnsi="Franklin Gothic Book"/>
                <w:sz w:val="18"/>
                <w:szCs w:val="18"/>
              </w:rPr>
            </w:pPr>
          </w:p>
          <w:p w:rsidR="0093159B" w:rsidRPr="0015739C" w:rsidRDefault="0093159B" w:rsidP="0093159B">
            <w:pPr>
              <w:rPr>
                <w:rFonts w:ascii="Franklin Gothic Book" w:hAnsi="Franklin Gothic Book"/>
                <w:sz w:val="18"/>
                <w:szCs w:val="18"/>
              </w:rPr>
            </w:pPr>
          </w:p>
        </w:tc>
        <w:tc>
          <w:tcPr>
            <w:tcW w:w="2058" w:type="dxa"/>
          </w:tcPr>
          <w:p w:rsidR="0093159B" w:rsidRPr="0015739C" w:rsidRDefault="0093159B" w:rsidP="0093159B">
            <w:pPr>
              <w:ind w:left="70" w:right="-108"/>
              <w:rPr>
                <w:rFonts w:ascii="Franklin Gothic Book" w:hAnsi="Franklin Gothic Book"/>
                <w:sz w:val="18"/>
                <w:szCs w:val="18"/>
              </w:rPr>
            </w:pPr>
          </w:p>
          <w:p w:rsidR="0093159B" w:rsidRPr="0015739C" w:rsidRDefault="0093159B" w:rsidP="0093159B">
            <w:pPr>
              <w:pStyle w:val="TableDataEntries"/>
              <w:jc w:val="left"/>
              <w:rPr>
                <w:sz w:val="18"/>
                <w:szCs w:val="18"/>
              </w:rPr>
            </w:pPr>
            <w:r w:rsidRPr="0015739C">
              <w:rPr>
                <w:sz w:val="18"/>
                <w:szCs w:val="18"/>
              </w:rPr>
              <w:t>60km of rural road constructed (MTRIP)</w:t>
            </w: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r w:rsidRPr="0015739C">
              <w:rPr>
                <w:sz w:val="18"/>
                <w:szCs w:val="18"/>
              </w:rPr>
              <w:t xml:space="preserve">SSC construction commence mid-year </w:t>
            </w: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r w:rsidRPr="0015739C">
              <w:rPr>
                <w:sz w:val="18"/>
                <w:szCs w:val="18"/>
              </w:rPr>
              <w:t>Cao Lanh signing of statement of principles</w:t>
            </w: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r w:rsidRPr="0015739C">
              <w:rPr>
                <w:sz w:val="18"/>
                <w:szCs w:val="18"/>
              </w:rPr>
              <w:t>evidence based approaches to market reform (BWTO)</w:t>
            </w:r>
          </w:p>
          <w:p w:rsidR="0093159B" w:rsidRPr="0015739C" w:rsidRDefault="0093159B" w:rsidP="0093159B">
            <w:pPr>
              <w:rPr>
                <w:rFonts w:ascii="Franklin Gothic Book" w:hAnsi="Franklin Gothic Book"/>
                <w:sz w:val="18"/>
                <w:szCs w:val="18"/>
              </w:rPr>
            </w:pPr>
          </w:p>
        </w:tc>
        <w:tc>
          <w:tcPr>
            <w:tcW w:w="2194" w:type="dxa"/>
          </w:tcPr>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An additional 48km to be completed (MTRIP)</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30% of civil works completed (Southern Coastal Corridor)</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Cao Lanh detailed design and supervision contract signed and implementation started</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Social safeguards applied consistently</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Evidence of greater HIV/trafficking awareness</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Evidence based approaches (land law, urban-rural migration)</w:t>
            </w:r>
          </w:p>
        </w:tc>
        <w:tc>
          <w:tcPr>
            <w:tcW w:w="2552" w:type="dxa"/>
          </w:tcPr>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Total of 415km of rural road will be completed  (MTRIP) (additional 179km)</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50% of civil work will be completed by end June 2013</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Cao Lanh Detailed design finalised</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evidence of the recommendations of the three and five year reviews of economic integration funded under the program being reflected in the new government resolution on economic integration</w:t>
            </w:r>
          </w:p>
        </w:tc>
        <w:tc>
          <w:tcPr>
            <w:tcW w:w="2693" w:type="dxa"/>
          </w:tcPr>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71% of civil works completed (SSC)</w:t>
            </w: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 xml:space="preserve">Civil works commenced on Cao Lanh bridge. </w:t>
            </w: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 xml:space="preserve">Resettlement plans are implemented according to plan. Construction environmental management plans are developed and implemented </w:t>
            </w: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Evidence based approach to drafting the land law in area of transparent land governance (including mechanisms for land register to be accessible to the public and to improve community participation in land administration and management)</w:t>
            </w:r>
          </w:p>
        </w:tc>
        <w:tc>
          <w:tcPr>
            <w:tcW w:w="2835" w:type="dxa"/>
          </w:tcPr>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Civil works complete (SSC)</w:t>
            </w: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 xml:space="preserve">40 % of Cao Lanh bridge construction complete (No construction delay due to physical resettlement). </w:t>
            </w: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 xml:space="preserve">Income restoration programs being implemented effectively. </w:t>
            </w: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Construction environmental management plans are implemented and monitored</w:t>
            </w: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Australian supported studies and consultations used to revise enterprise law to reduce costs of private business entry and to improve corporate governance.</w:t>
            </w: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Australian supported studies and consultations informing development planning (including the new SEDP) to improve private sector development and productivity growth.</w:t>
            </w:r>
          </w:p>
        </w:tc>
      </w:tr>
    </w:tbl>
    <w:p w:rsidR="0093159B" w:rsidRDefault="0093159B">
      <w:pPr>
        <w:spacing w:after="200" w:line="276" w:lineRule="auto"/>
        <w:rPr>
          <w:rFonts w:ascii="Franklin Gothic Book" w:eastAsia="Times New Roman" w:hAnsi="Franklin Gothic Book"/>
          <w:sz w:val="21"/>
        </w:rPr>
      </w:pPr>
      <w:r>
        <w:br w:type="page"/>
      </w:r>
    </w:p>
    <w:p w:rsidR="0093159B" w:rsidRDefault="0093159B" w:rsidP="0093159B">
      <w:pPr>
        <w:pStyle w:val="Caption"/>
      </w:pPr>
      <w:r>
        <w:lastRenderedPageBreak/>
        <w:t>Aid Objective: Increase rural access to clean water and hygienic sanitation</w:t>
      </w:r>
    </w:p>
    <w:tbl>
      <w:tblPr>
        <w:tblStyle w:val="TableGrid"/>
        <w:tblW w:w="14850" w:type="dxa"/>
        <w:tblLayout w:type="fixed"/>
        <w:tblLook w:val="04A0" w:firstRow="1" w:lastRow="0" w:firstColumn="1" w:lastColumn="0" w:noHBand="0" w:noVBand="1"/>
        <w:tblCaption w:val="Aid Objective: Increase rural access to clean water and hygienic sanitation"/>
        <w:tblDescription w:val="Provides the strategy objective indicators/targets for 2015 and the progress targets/milestones for 2011, 2012/13, 2013/14, 2014/15"/>
      </w:tblPr>
      <w:tblGrid>
        <w:gridCol w:w="1809"/>
        <w:gridCol w:w="2410"/>
        <w:gridCol w:w="2410"/>
        <w:gridCol w:w="3402"/>
        <w:gridCol w:w="2977"/>
        <w:gridCol w:w="1842"/>
      </w:tblGrid>
      <w:tr w:rsidR="0093159B" w:rsidRPr="0015739C" w:rsidTr="0015739C">
        <w:tc>
          <w:tcPr>
            <w:tcW w:w="1809" w:type="dxa"/>
            <w:shd w:val="clear" w:color="auto" w:fill="BFBFBF" w:themeFill="background1" w:themeFillShade="BF"/>
          </w:tcPr>
          <w:p w:rsidR="004D18E1" w:rsidRPr="0015739C" w:rsidRDefault="004D18E1" w:rsidP="004D18E1">
            <w:pPr>
              <w:keepNext/>
              <w:jc w:val="center"/>
              <w:rPr>
                <w:rFonts w:ascii="Franklin Gothic Book" w:hAnsi="Franklin Gothic Book"/>
                <w:b/>
                <w:sz w:val="18"/>
                <w:szCs w:val="18"/>
              </w:rPr>
            </w:pPr>
            <w:r w:rsidRPr="0015739C">
              <w:rPr>
                <w:rFonts w:ascii="Franklin Gothic Book" w:hAnsi="Franklin Gothic Book"/>
                <w:b/>
                <w:sz w:val="18"/>
                <w:szCs w:val="18"/>
              </w:rPr>
              <w:t xml:space="preserve">Strategy Objective </w:t>
            </w:r>
          </w:p>
          <w:p w:rsidR="004D18E1" w:rsidRPr="0015739C" w:rsidRDefault="004D18E1" w:rsidP="004D18E1">
            <w:pPr>
              <w:keepNext/>
              <w:jc w:val="center"/>
              <w:rPr>
                <w:rFonts w:ascii="Franklin Gothic Book" w:hAnsi="Franklin Gothic Book"/>
                <w:b/>
                <w:sz w:val="18"/>
                <w:szCs w:val="18"/>
              </w:rPr>
            </w:pPr>
            <w:r w:rsidRPr="0015739C">
              <w:rPr>
                <w:rFonts w:ascii="Franklin Gothic Book" w:hAnsi="Franklin Gothic Book"/>
                <w:b/>
                <w:sz w:val="18"/>
                <w:szCs w:val="18"/>
              </w:rPr>
              <w:t xml:space="preserve">Indicators / Targets </w:t>
            </w:r>
          </w:p>
          <w:p w:rsidR="0093159B" w:rsidRPr="0015739C" w:rsidRDefault="004D18E1" w:rsidP="004D18E1">
            <w:pPr>
              <w:keepNext/>
              <w:jc w:val="center"/>
              <w:rPr>
                <w:rFonts w:ascii="Franklin Gothic Book" w:hAnsi="Franklin Gothic Book"/>
                <w:b/>
                <w:sz w:val="18"/>
                <w:szCs w:val="18"/>
              </w:rPr>
            </w:pPr>
            <w:r w:rsidRPr="0015739C">
              <w:rPr>
                <w:rFonts w:ascii="Franklin Gothic Book" w:hAnsi="Franklin Gothic Book"/>
                <w:b/>
                <w:sz w:val="18"/>
                <w:szCs w:val="18"/>
              </w:rPr>
              <w:t>2015</w:t>
            </w:r>
          </w:p>
        </w:tc>
        <w:tc>
          <w:tcPr>
            <w:tcW w:w="2410" w:type="dxa"/>
            <w:shd w:val="clear" w:color="auto" w:fill="BFBFBF" w:themeFill="background1" w:themeFillShade="BF"/>
          </w:tcPr>
          <w:p w:rsidR="0093159B" w:rsidRPr="0015739C" w:rsidRDefault="0093159B" w:rsidP="0093159B">
            <w:pPr>
              <w:keepNext/>
              <w:jc w:val="center"/>
              <w:rPr>
                <w:rFonts w:ascii="Franklin Gothic Book" w:hAnsi="Franklin Gothic Book"/>
                <w:b/>
                <w:sz w:val="18"/>
                <w:szCs w:val="18"/>
              </w:rPr>
            </w:pPr>
            <w:r w:rsidRPr="0015739C">
              <w:rPr>
                <w:rFonts w:ascii="Franklin Gothic Book" w:hAnsi="Franklin Gothic Book"/>
                <w:b/>
                <w:sz w:val="18"/>
                <w:szCs w:val="18"/>
              </w:rPr>
              <w:t xml:space="preserve">Progress Targets/Milestones </w:t>
            </w:r>
          </w:p>
          <w:p w:rsidR="0093159B" w:rsidRPr="0015739C" w:rsidRDefault="0093159B" w:rsidP="0093159B">
            <w:pPr>
              <w:keepNext/>
              <w:jc w:val="center"/>
              <w:rPr>
                <w:rFonts w:ascii="Franklin Gothic Book" w:hAnsi="Franklin Gothic Book"/>
                <w:b/>
                <w:sz w:val="18"/>
                <w:szCs w:val="18"/>
              </w:rPr>
            </w:pPr>
            <w:r w:rsidRPr="0015739C">
              <w:rPr>
                <w:rFonts w:ascii="Franklin Gothic Book" w:hAnsi="Franklin Gothic Book"/>
                <w:b/>
                <w:sz w:val="18"/>
                <w:szCs w:val="18"/>
              </w:rPr>
              <w:t>2010</w:t>
            </w:r>
          </w:p>
          <w:p w:rsidR="0093159B" w:rsidRPr="0015739C" w:rsidRDefault="0093159B" w:rsidP="0093159B">
            <w:pPr>
              <w:keepNext/>
              <w:jc w:val="center"/>
              <w:rPr>
                <w:rFonts w:ascii="Franklin Gothic Book" w:hAnsi="Franklin Gothic Book"/>
                <w:b/>
                <w:sz w:val="18"/>
                <w:szCs w:val="18"/>
              </w:rPr>
            </w:pPr>
          </w:p>
        </w:tc>
        <w:tc>
          <w:tcPr>
            <w:tcW w:w="2410" w:type="dxa"/>
            <w:shd w:val="clear" w:color="auto" w:fill="BFBFBF" w:themeFill="background1" w:themeFillShade="BF"/>
          </w:tcPr>
          <w:p w:rsidR="0093159B" w:rsidRPr="0015739C" w:rsidRDefault="0093159B" w:rsidP="0093159B">
            <w:pPr>
              <w:keepNext/>
              <w:jc w:val="center"/>
              <w:rPr>
                <w:rFonts w:ascii="Franklin Gothic Book" w:hAnsi="Franklin Gothic Book"/>
                <w:b/>
                <w:sz w:val="18"/>
                <w:szCs w:val="18"/>
              </w:rPr>
            </w:pPr>
            <w:r w:rsidRPr="0015739C">
              <w:rPr>
                <w:rFonts w:ascii="Franklin Gothic Book" w:hAnsi="Franklin Gothic Book"/>
                <w:b/>
                <w:sz w:val="18"/>
                <w:szCs w:val="18"/>
              </w:rPr>
              <w:t>2011</w:t>
            </w:r>
          </w:p>
        </w:tc>
        <w:tc>
          <w:tcPr>
            <w:tcW w:w="3402" w:type="dxa"/>
            <w:shd w:val="clear" w:color="auto" w:fill="BFBFBF" w:themeFill="background1" w:themeFillShade="BF"/>
          </w:tcPr>
          <w:p w:rsidR="0093159B" w:rsidRPr="0015739C" w:rsidRDefault="0093159B" w:rsidP="0093159B">
            <w:pPr>
              <w:keepNext/>
              <w:jc w:val="center"/>
              <w:rPr>
                <w:rFonts w:ascii="Franklin Gothic Book" w:hAnsi="Franklin Gothic Book"/>
                <w:b/>
                <w:sz w:val="18"/>
                <w:szCs w:val="18"/>
              </w:rPr>
            </w:pPr>
            <w:r w:rsidRPr="0015739C">
              <w:rPr>
                <w:rFonts w:ascii="Franklin Gothic Book" w:hAnsi="Franklin Gothic Book"/>
                <w:b/>
                <w:sz w:val="18"/>
                <w:szCs w:val="18"/>
              </w:rPr>
              <w:t>2012/13</w:t>
            </w:r>
          </w:p>
        </w:tc>
        <w:tc>
          <w:tcPr>
            <w:tcW w:w="2977" w:type="dxa"/>
            <w:shd w:val="clear" w:color="auto" w:fill="BFBFBF" w:themeFill="background1" w:themeFillShade="BF"/>
          </w:tcPr>
          <w:p w:rsidR="0093159B" w:rsidRPr="0015739C" w:rsidRDefault="0093159B" w:rsidP="0093159B">
            <w:pPr>
              <w:keepNext/>
              <w:ind w:right="126"/>
              <w:jc w:val="center"/>
              <w:rPr>
                <w:rFonts w:ascii="Franklin Gothic Book" w:hAnsi="Franklin Gothic Book"/>
                <w:b/>
                <w:sz w:val="18"/>
                <w:szCs w:val="18"/>
              </w:rPr>
            </w:pPr>
            <w:r w:rsidRPr="0015739C">
              <w:rPr>
                <w:rFonts w:ascii="Franklin Gothic Book" w:hAnsi="Franklin Gothic Book"/>
                <w:b/>
                <w:sz w:val="18"/>
                <w:szCs w:val="18"/>
              </w:rPr>
              <w:t>2013/14</w:t>
            </w:r>
          </w:p>
        </w:tc>
        <w:tc>
          <w:tcPr>
            <w:tcW w:w="1842" w:type="dxa"/>
            <w:shd w:val="clear" w:color="auto" w:fill="BFBFBF" w:themeFill="background1" w:themeFillShade="BF"/>
          </w:tcPr>
          <w:p w:rsidR="0093159B" w:rsidRPr="0015739C" w:rsidRDefault="0093159B" w:rsidP="0093159B">
            <w:pPr>
              <w:keepNext/>
              <w:ind w:right="126"/>
              <w:jc w:val="center"/>
              <w:rPr>
                <w:rFonts w:ascii="Franklin Gothic Book" w:hAnsi="Franklin Gothic Book"/>
                <w:b/>
                <w:sz w:val="18"/>
                <w:szCs w:val="18"/>
              </w:rPr>
            </w:pPr>
            <w:r w:rsidRPr="0015739C">
              <w:rPr>
                <w:rFonts w:ascii="Franklin Gothic Book" w:hAnsi="Franklin Gothic Book"/>
                <w:b/>
                <w:sz w:val="18"/>
                <w:szCs w:val="18"/>
              </w:rPr>
              <w:t>2014/15</w:t>
            </w:r>
          </w:p>
        </w:tc>
      </w:tr>
      <w:tr w:rsidR="0093159B" w:rsidRPr="0015739C" w:rsidTr="0015739C">
        <w:tc>
          <w:tcPr>
            <w:tcW w:w="1809" w:type="dxa"/>
          </w:tcPr>
          <w:p w:rsidR="0093159B" w:rsidRPr="0015739C" w:rsidRDefault="0093159B" w:rsidP="0093159B">
            <w:pPr>
              <w:rPr>
                <w:rFonts w:ascii="Franklin Gothic Book" w:hAnsi="Franklin Gothic Book"/>
                <w:sz w:val="18"/>
                <w:szCs w:val="18"/>
              </w:rPr>
            </w:pPr>
          </w:p>
          <w:p w:rsidR="0093159B" w:rsidRPr="0015739C" w:rsidRDefault="0093159B" w:rsidP="0093159B">
            <w:pPr>
              <w:pStyle w:val="TableDataEntries"/>
              <w:jc w:val="left"/>
              <w:rPr>
                <w:sz w:val="18"/>
                <w:szCs w:val="18"/>
              </w:rPr>
            </w:pPr>
            <w:r w:rsidRPr="0015739C">
              <w:rPr>
                <w:sz w:val="18"/>
                <w:szCs w:val="18"/>
              </w:rPr>
              <w:t xml:space="preserve">85% rural water access target </w:t>
            </w: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r w:rsidRPr="0015739C">
              <w:rPr>
                <w:sz w:val="18"/>
                <w:szCs w:val="18"/>
              </w:rPr>
              <w:t xml:space="preserve">70% rural sanitation access target </w:t>
            </w:r>
          </w:p>
          <w:p w:rsidR="0093159B" w:rsidRPr="0015739C" w:rsidRDefault="0093159B" w:rsidP="0093159B">
            <w:pPr>
              <w:rPr>
                <w:rFonts w:ascii="Franklin Gothic Book" w:hAnsi="Franklin Gothic Book"/>
                <w:sz w:val="18"/>
                <w:szCs w:val="18"/>
              </w:rPr>
            </w:pPr>
          </w:p>
          <w:p w:rsidR="0093159B" w:rsidRPr="0015739C" w:rsidRDefault="0093159B" w:rsidP="0093159B">
            <w:pPr>
              <w:rPr>
                <w:rFonts w:ascii="Franklin Gothic Book" w:hAnsi="Franklin Gothic Book"/>
                <w:sz w:val="18"/>
                <w:szCs w:val="18"/>
              </w:rPr>
            </w:pPr>
          </w:p>
          <w:p w:rsidR="0093159B" w:rsidRPr="0015739C" w:rsidRDefault="0093159B" w:rsidP="0093159B">
            <w:pPr>
              <w:rPr>
                <w:rFonts w:ascii="Franklin Gothic Book" w:hAnsi="Franklin Gothic Book"/>
                <w:sz w:val="18"/>
                <w:szCs w:val="18"/>
              </w:rPr>
            </w:pPr>
          </w:p>
          <w:p w:rsidR="0093159B" w:rsidRPr="0015739C" w:rsidRDefault="0093159B" w:rsidP="0093159B">
            <w:pPr>
              <w:rPr>
                <w:rFonts w:ascii="Franklin Gothic Book" w:hAnsi="Franklin Gothic Book"/>
                <w:sz w:val="18"/>
                <w:szCs w:val="18"/>
              </w:rPr>
            </w:pPr>
          </w:p>
          <w:p w:rsidR="0093159B" w:rsidRPr="0015739C" w:rsidRDefault="0093159B" w:rsidP="0093159B">
            <w:pPr>
              <w:rPr>
                <w:rFonts w:ascii="Franklin Gothic Book" w:hAnsi="Franklin Gothic Book"/>
                <w:sz w:val="18"/>
                <w:szCs w:val="18"/>
              </w:rPr>
            </w:pPr>
          </w:p>
          <w:p w:rsidR="0093159B" w:rsidRPr="0015739C" w:rsidRDefault="0093159B" w:rsidP="0093159B">
            <w:pPr>
              <w:rPr>
                <w:rFonts w:ascii="Franklin Gothic Book" w:hAnsi="Franklin Gothic Book"/>
                <w:sz w:val="18"/>
                <w:szCs w:val="18"/>
              </w:rPr>
            </w:pPr>
          </w:p>
        </w:tc>
        <w:tc>
          <w:tcPr>
            <w:tcW w:w="2410" w:type="dxa"/>
          </w:tcPr>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r w:rsidRPr="0015739C">
              <w:rPr>
                <w:sz w:val="18"/>
                <w:szCs w:val="18"/>
              </w:rPr>
              <w:t>Clean water access 83%</w:t>
            </w: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r w:rsidRPr="0015739C">
              <w:rPr>
                <w:sz w:val="18"/>
                <w:szCs w:val="18"/>
              </w:rPr>
              <w:t>Hygienic sanitation access 65%</w:t>
            </w: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r w:rsidRPr="0015739C">
              <w:rPr>
                <w:sz w:val="18"/>
                <w:szCs w:val="18"/>
              </w:rPr>
              <w:t>pipe scheme target 2010 (NTP II)  pipe water quality issue addressed (NTP II)</w:t>
            </w: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r w:rsidRPr="0015739C">
              <w:rPr>
                <w:sz w:val="18"/>
                <w:szCs w:val="18"/>
              </w:rPr>
              <w:t>O&amp;M funded effectively (water tariff)</w:t>
            </w: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r w:rsidRPr="0015739C">
              <w:rPr>
                <w:sz w:val="18"/>
                <w:szCs w:val="18"/>
              </w:rPr>
              <w:t>M&amp;E timely and consistent</w:t>
            </w: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r w:rsidRPr="0015739C">
              <w:rPr>
                <w:sz w:val="18"/>
                <w:szCs w:val="18"/>
              </w:rPr>
              <w:t>GOV/donor agree on NTP II design document (GOV submission to Assembly Sept)</w:t>
            </w:r>
          </w:p>
          <w:p w:rsidR="0093159B" w:rsidRPr="0015739C" w:rsidRDefault="0093159B" w:rsidP="0093159B">
            <w:pPr>
              <w:pStyle w:val="TableDataEntries"/>
              <w:jc w:val="left"/>
              <w:rPr>
                <w:sz w:val="18"/>
                <w:szCs w:val="18"/>
              </w:rPr>
            </w:pPr>
          </w:p>
          <w:p w:rsidR="0093159B" w:rsidRPr="0015739C" w:rsidRDefault="0093159B" w:rsidP="0093159B">
            <w:pPr>
              <w:pStyle w:val="TableDataEntries"/>
              <w:jc w:val="left"/>
              <w:rPr>
                <w:sz w:val="18"/>
                <w:szCs w:val="18"/>
              </w:rPr>
            </w:pPr>
            <w:r w:rsidRPr="0015739C">
              <w:rPr>
                <w:sz w:val="18"/>
                <w:szCs w:val="18"/>
              </w:rPr>
              <w:t>VANGOCA lessons learnt feed into NTP III design</w:t>
            </w:r>
          </w:p>
        </w:tc>
        <w:tc>
          <w:tcPr>
            <w:tcW w:w="2410" w:type="dxa"/>
          </w:tcPr>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Water and sanitation targets (available March)</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 xml:space="preserve">Operations and maintenance tariff review </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Collection process for water-borne disease data in 10 provinces</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 xml:space="preserve">Medium term expenditure framework for the water and sanitation sector developed (drawing on provincial expenditure frameworks) </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Finalised/approved NTP3 and donor support</w:t>
            </w:r>
          </w:p>
        </w:tc>
        <w:tc>
          <w:tcPr>
            <w:tcW w:w="3402" w:type="dxa"/>
          </w:tcPr>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Water and sanitation targets:</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 xml:space="preserve">80% of rural population has access to hygienic water, </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 xml:space="preserve">57% to hygienic latrines, </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88% of rural primary schools, 92% of commune clinics have access to hygienic water and hygienic latrine</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Collection of waterborne disease data in selected provinces to measure health impact of rural water supply and sanitation</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 xml:space="preserve">Issue standard procedure for monitoring and supervision of National Target Program for Rural Water Supply and Sanitation 2012–2015 Phase 3 </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Update and revise the rural water supply and sanitation procurement manual (including standard bidding documents)</w:t>
            </w:r>
          </w:p>
          <w:p w:rsidR="0093159B" w:rsidRPr="0015739C" w:rsidRDefault="0093159B" w:rsidP="0093159B">
            <w:pPr>
              <w:ind w:right="-108"/>
              <w:rPr>
                <w:rFonts w:ascii="Franklin Gothic Book" w:hAnsi="Franklin Gothic Book"/>
                <w:sz w:val="18"/>
                <w:szCs w:val="18"/>
              </w:rPr>
            </w:pPr>
          </w:p>
          <w:p w:rsidR="0093159B" w:rsidRPr="0015739C" w:rsidRDefault="0093159B" w:rsidP="0093159B">
            <w:pPr>
              <w:ind w:right="-108"/>
              <w:rPr>
                <w:rFonts w:ascii="Franklin Gothic Book" w:hAnsi="Franklin Gothic Book"/>
                <w:sz w:val="18"/>
                <w:szCs w:val="18"/>
              </w:rPr>
            </w:pPr>
            <w:r w:rsidRPr="0015739C">
              <w:rPr>
                <w:rFonts w:ascii="Franklin Gothic Book" w:hAnsi="Franklin Gothic Book"/>
                <w:sz w:val="18"/>
                <w:szCs w:val="18"/>
              </w:rPr>
              <w:t>Work with Ministry of Health and Women’s Union to scale up output-based sanitation approaches</w:t>
            </w:r>
          </w:p>
        </w:tc>
        <w:tc>
          <w:tcPr>
            <w:tcW w:w="2977" w:type="dxa"/>
          </w:tcPr>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 xml:space="preserve">Water and sanitation targets: </w:t>
            </w: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82% of rural population has access to hygienic water</w:t>
            </w: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 xml:space="preserve">60% to hygienic latrines, </w:t>
            </w: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318 of rural primary schools, 92 % of commune clinics have access to hygienic water and hygienic latrine</w:t>
            </w: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Provide support to four provinces to equip and upgrade the water testing laboratories</w:t>
            </w: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Issue the operations and maintenance guidebook for schools water supply and sanitation facilities.</w:t>
            </w: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Collection and analysis of waterborne disease data in selected provinces to measure health impact of rural water supply and sanitation</w:t>
            </w: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 xml:space="preserve">Consolidate the monitoring and evaluation database </w:t>
            </w: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 xml:space="preserve">Establish database on the public assets of the rural water supply and sanitation sector, update. </w:t>
            </w: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Working with international NGOs to design and implement projects under second Civil Society Water, Sanitation and Hygiene Fund</w:t>
            </w:r>
          </w:p>
        </w:tc>
        <w:tc>
          <w:tcPr>
            <w:tcW w:w="1842" w:type="dxa"/>
          </w:tcPr>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 xml:space="preserve">83% of the rural population having access to hygienic water, 63% of rural household having access to hygienic latrines, 95% of rural primary schools and commune clinics have access to hygienic water and hygienic latrine. </w:t>
            </w:r>
          </w:p>
          <w:p w:rsidR="0093159B" w:rsidRPr="0015739C" w:rsidRDefault="0093159B" w:rsidP="0093159B">
            <w:pPr>
              <w:ind w:right="126"/>
              <w:rPr>
                <w:rFonts w:ascii="Franklin Gothic Book" w:hAnsi="Franklin Gothic Book"/>
                <w:sz w:val="18"/>
                <w:szCs w:val="18"/>
              </w:rPr>
            </w:pPr>
          </w:p>
          <w:p w:rsidR="0093159B" w:rsidRPr="0015739C" w:rsidRDefault="0093159B" w:rsidP="0093159B">
            <w:pPr>
              <w:ind w:right="126"/>
              <w:rPr>
                <w:rFonts w:ascii="Franklin Gothic Book" w:hAnsi="Franklin Gothic Book"/>
                <w:sz w:val="18"/>
                <w:szCs w:val="18"/>
              </w:rPr>
            </w:pPr>
            <w:r w:rsidRPr="0015739C">
              <w:rPr>
                <w:rFonts w:ascii="Franklin Gothic Book" w:hAnsi="Franklin Gothic Book"/>
                <w:sz w:val="18"/>
                <w:szCs w:val="18"/>
              </w:rPr>
              <w:t>75% of the schemes (equivalence to 550 schemes) are improved or upgraded</w:t>
            </w:r>
          </w:p>
        </w:tc>
      </w:tr>
    </w:tbl>
    <w:p w:rsidR="0015739C" w:rsidRDefault="0015739C" w:rsidP="0093159B">
      <w:pPr>
        <w:pStyle w:val="BodyText"/>
      </w:pPr>
    </w:p>
    <w:p w:rsidR="0015739C" w:rsidRDefault="0015739C">
      <w:pPr>
        <w:spacing w:after="200" w:line="276" w:lineRule="auto"/>
        <w:rPr>
          <w:rFonts w:ascii="Franklin Gothic Book" w:eastAsia="Times New Roman" w:hAnsi="Franklin Gothic Book"/>
          <w:sz w:val="21"/>
        </w:rPr>
      </w:pPr>
      <w:r>
        <w:br w:type="page"/>
      </w:r>
    </w:p>
    <w:p w:rsidR="0093159B" w:rsidRDefault="0015739C" w:rsidP="0015739C">
      <w:pPr>
        <w:pStyle w:val="Caption"/>
      </w:pPr>
      <w:r>
        <w:lastRenderedPageBreak/>
        <w:t>Aid Objective: Advance climate change adaptation and mitigation</w:t>
      </w:r>
    </w:p>
    <w:tbl>
      <w:tblPr>
        <w:tblStyle w:val="TableGrid"/>
        <w:tblW w:w="14992" w:type="dxa"/>
        <w:tblLook w:val="04A0" w:firstRow="1" w:lastRow="0" w:firstColumn="1" w:lastColumn="0" w:noHBand="0" w:noVBand="1"/>
        <w:tblCaption w:val="Aid Objective: Advance climate change adaptation and mitigation"/>
        <w:tblDescription w:val="Provides the strategy objective indicators/targets for 2015 and the progress targets/milestones for 2011, 2012/13, 2013/14, 2014/15"/>
      </w:tblPr>
      <w:tblGrid>
        <w:gridCol w:w="2093"/>
        <w:gridCol w:w="2410"/>
        <w:gridCol w:w="2268"/>
        <w:gridCol w:w="2268"/>
        <w:gridCol w:w="3118"/>
        <w:gridCol w:w="2835"/>
      </w:tblGrid>
      <w:tr w:rsidR="0015739C" w:rsidRPr="0071613B" w:rsidTr="0015739C">
        <w:tc>
          <w:tcPr>
            <w:tcW w:w="2093" w:type="dxa"/>
            <w:shd w:val="clear" w:color="auto" w:fill="BFBFBF" w:themeFill="background1" w:themeFillShade="BF"/>
          </w:tcPr>
          <w:p w:rsidR="004D18E1" w:rsidRPr="0015739C" w:rsidRDefault="004D18E1" w:rsidP="004D18E1">
            <w:pPr>
              <w:keepNext/>
              <w:jc w:val="center"/>
              <w:rPr>
                <w:rFonts w:ascii="Franklin Gothic Book" w:hAnsi="Franklin Gothic Book"/>
                <w:b/>
                <w:sz w:val="18"/>
                <w:szCs w:val="18"/>
              </w:rPr>
            </w:pPr>
            <w:r w:rsidRPr="0015739C">
              <w:rPr>
                <w:rFonts w:ascii="Franklin Gothic Book" w:hAnsi="Franklin Gothic Book"/>
                <w:b/>
                <w:sz w:val="18"/>
                <w:szCs w:val="18"/>
              </w:rPr>
              <w:t xml:space="preserve">Strategy Objective </w:t>
            </w:r>
          </w:p>
          <w:p w:rsidR="004D18E1" w:rsidRPr="0015739C" w:rsidRDefault="004D18E1" w:rsidP="004D18E1">
            <w:pPr>
              <w:keepNext/>
              <w:jc w:val="center"/>
              <w:rPr>
                <w:rFonts w:ascii="Franklin Gothic Book" w:hAnsi="Franklin Gothic Book"/>
                <w:b/>
                <w:sz w:val="18"/>
                <w:szCs w:val="18"/>
              </w:rPr>
            </w:pPr>
            <w:r w:rsidRPr="0015739C">
              <w:rPr>
                <w:rFonts w:ascii="Franklin Gothic Book" w:hAnsi="Franklin Gothic Book"/>
                <w:b/>
                <w:sz w:val="18"/>
                <w:szCs w:val="18"/>
              </w:rPr>
              <w:t xml:space="preserve">Indicators / Targets </w:t>
            </w:r>
          </w:p>
          <w:p w:rsidR="0015739C" w:rsidRPr="0071613B" w:rsidRDefault="004D18E1" w:rsidP="004D18E1">
            <w:pPr>
              <w:keepNext/>
              <w:jc w:val="center"/>
              <w:rPr>
                <w:rFonts w:ascii="Franklin Gothic Book" w:hAnsi="Franklin Gothic Book"/>
                <w:b/>
                <w:sz w:val="18"/>
                <w:szCs w:val="18"/>
              </w:rPr>
            </w:pPr>
            <w:r w:rsidRPr="0015739C">
              <w:rPr>
                <w:rFonts w:ascii="Franklin Gothic Book" w:hAnsi="Franklin Gothic Book"/>
                <w:b/>
                <w:sz w:val="18"/>
                <w:szCs w:val="18"/>
              </w:rPr>
              <w:t>2015</w:t>
            </w:r>
          </w:p>
        </w:tc>
        <w:tc>
          <w:tcPr>
            <w:tcW w:w="2410" w:type="dxa"/>
            <w:shd w:val="clear" w:color="auto" w:fill="BFBFBF" w:themeFill="background1" w:themeFillShade="BF"/>
          </w:tcPr>
          <w:p w:rsidR="0015739C" w:rsidRPr="0071613B" w:rsidRDefault="0015739C" w:rsidP="0015739C">
            <w:pPr>
              <w:keepNext/>
              <w:jc w:val="center"/>
              <w:rPr>
                <w:rFonts w:ascii="Franklin Gothic Book" w:hAnsi="Franklin Gothic Book"/>
                <w:b/>
                <w:sz w:val="18"/>
                <w:szCs w:val="18"/>
              </w:rPr>
            </w:pPr>
            <w:r w:rsidRPr="0071613B">
              <w:rPr>
                <w:rFonts w:ascii="Franklin Gothic Book" w:hAnsi="Franklin Gothic Book"/>
                <w:b/>
                <w:sz w:val="18"/>
                <w:szCs w:val="18"/>
              </w:rPr>
              <w:t>Progress Milestones 2010</w:t>
            </w:r>
          </w:p>
        </w:tc>
        <w:tc>
          <w:tcPr>
            <w:tcW w:w="2268" w:type="dxa"/>
            <w:shd w:val="clear" w:color="auto" w:fill="BFBFBF" w:themeFill="background1" w:themeFillShade="BF"/>
          </w:tcPr>
          <w:p w:rsidR="0015739C" w:rsidRPr="0071613B" w:rsidRDefault="0015739C" w:rsidP="0015739C">
            <w:pPr>
              <w:keepNext/>
              <w:jc w:val="center"/>
              <w:rPr>
                <w:rFonts w:ascii="Franklin Gothic Book" w:hAnsi="Franklin Gothic Book"/>
                <w:b/>
                <w:sz w:val="18"/>
                <w:szCs w:val="18"/>
              </w:rPr>
            </w:pPr>
            <w:r w:rsidRPr="0071613B">
              <w:rPr>
                <w:rFonts w:ascii="Franklin Gothic Book" w:hAnsi="Franklin Gothic Book"/>
                <w:b/>
                <w:sz w:val="18"/>
                <w:szCs w:val="18"/>
              </w:rPr>
              <w:t>2011</w:t>
            </w:r>
          </w:p>
        </w:tc>
        <w:tc>
          <w:tcPr>
            <w:tcW w:w="2268" w:type="dxa"/>
            <w:shd w:val="clear" w:color="auto" w:fill="BFBFBF" w:themeFill="background1" w:themeFillShade="BF"/>
          </w:tcPr>
          <w:p w:rsidR="0015739C" w:rsidRPr="0071613B" w:rsidRDefault="0015739C" w:rsidP="0015739C">
            <w:pPr>
              <w:keepNext/>
              <w:jc w:val="center"/>
              <w:rPr>
                <w:rFonts w:ascii="Franklin Gothic Book" w:hAnsi="Franklin Gothic Book"/>
                <w:b/>
                <w:sz w:val="18"/>
                <w:szCs w:val="18"/>
              </w:rPr>
            </w:pPr>
            <w:r w:rsidRPr="0071613B">
              <w:rPr>
                <w:rFonts w:ascii="Franklin Gothic Book" w:hAnsi="Franklin Gothic Book"/>
                <w:b/>
                <w:sz w:val="18"/>
                <w:szCs w:val="18"/>
              </w:rPr>
              <w:t>2012/13</w:t>
            </w:r>
          </w:p>
        </w:tc>
        <w:tc>
          <w:tcPr>
            <w:tcW w:w="3118" w:type="dxa"/>
            <w:shd w:val="clear" w:color="auto" w:fill="BFBFBF" w:themeFill="background1" w:themeFillShade="BF"/>
          </w:tcPr>
          <w:p w:rsidR="0015739C" w:rsidRPr="0071613B" w:rsidRDefault="0015739C" w:rsidP="0015739C">
            <w:pPr>
              <w:keepNext/>
              <w:ind w:right="126"/>
              <w:jc w:val="center"/>
              <w:rPr>
                <w:rFonts w:ascii="Franklin Gothic Book" w:hAnsi="Franklin Gothic Book"/>
                <w:b/>
                <w:sz w:val="18"/>
                <w:szCs w:val="18"/>
              </w:rPr>
            </w:pPr>
            <w:r w:rsidRPr="0071613B">
              <w:rPr>
                <w:rFonts w:ascii="Franklin Gothic Book" w:hAnsi="Franklin Gothic Book"/>
                <w:b/>
                <w:sz w:val="18"/>
                <w:szCs w:val="18"/>
              </w:rPr>
              <w:t>2013/14</w:t>
            </w:r>
          </w:p>
        </w:tc>
        <w:tc>
          <w:tcPr>
            <w:tcW w:w="2835" w:type="dxa"/>
            <w:shd w:val="clear" w:color="auto" w:fill="BFBFBF" w:themeFill="background1" w:themeFillShade="BF"/>
          </w:tcPr>
          <w:p w:rsidR="0015739C" w:rsidRPr="0071613B" w:rsidRDefault="0015739C" w:rsidP="0015739C">
            <w:pPr>
              <w:keepNext/>
              <w:ind w:right="126"/>
              <w:jc w:val="center"/>
              <w:rPr>
                <w:rFonts w:ascii="Franklin Gothic Book" w:hAnsi="Franklin Gothic Book"/>
                <w:b/>
                <w:sz w:val="18"/>
                <w:szCs w:val="18"/>
              </w:rPr>
            </w:pPr>
            <w:r w:rsidRPr="0071613B">
              <w:rPr>
                <w:rFonts w:ascii="Franklin Gothic Book" w:hAnsi="Franklin Gothic Book"/>
                <w:b/>
                <w:sz w:val="18"/>
                <w:szCs w:val="18"/>
              </w:rPr>
              <w:t>2014/15</w:t>
            </w:r>
          </w:p>
        </w:tc>
      </w:tr>
      <w:tr w:rsidR="0015739C" w:rsidRPr="0071613B" w:rsidTr="0015739C">
        <w:trPr>
          <w:trHeight w:val="285"/>
        </w:trPr>
        <w:tc>
          <w:tcPr>
            <w:tcW w:w="2093" w:type="dxa"/>
          </w:tcPr>
          <w:p w:rsidR="0015739C" w:rsidRPr="0071613B" w:rsidRDefault="0015739C" w:rsidP="0015739C">
            <w:pPr>
              <w:keepLines/>
              <w:spacing w:before="40" w:after="40" w:line="200" w:lineRule="atLeast"/>
              <w:rPr>
                <w:rFonts w:ascii="Franklin Gothic Book" w:hAnsi="Franklin Gothic Book"/>
                <w:sz w:val="18"/>
                <w:szCs w:val="18"/>
                <w:lang w:eastAsia="en-US"/>
              </w:rPr>
            </w:pPr>
            <w:r w:rsidRPr="0071613B">
              <w:rPr>
                <w:rFonts w:ascii="Franklin Gothic Book" w:hAnsi="Franklin Gothic Book"/>
                <w:sz w:val="18"/>
                <w:szCs w:val="18"/>
                <w:lang w:eastAsia="en-US"/>
              </w:rPr>
              <w:t>750 000 people assisted to build their resilience to climate change and weather-based disasters</w:t>
            </w:r>
          </w:p>
          <w:p w:rsidR="0015739C" w:rsidRPr="0071613B" w:rsidRDefault="0015739C" w:rsidP="0015739C">
            <w:pPr>
              <w:keepLines/>
              <w:spacing w:before="40" w:after="40" w:line="200" w:lineRule="atLeast"/>
              <w:rPr>
                <w:rFonts w:ascii="Franklin Gothic Book" w:hAnsi="Franklin Gothic Book"/>
                <w:sz w:val="18"/>
                <w:szCs w:val="18"/>
                <w:lang w:eastAsia="en-US"/>
              </w:rPr>
            </w:pPr>
          </w:p>
          <w:p w:rsidR="0015739C" w:rsidRPr="0071613B" w:rsidRDefault="0015739C" w:rsidP="0015739C">
            <w:pPr>
              <w:keepLines/>
              <w:spacing w:before="40" w:after="40" w:line="200" w:lineRule="atLeast"/>
              <w:rPr>
                <w:rFonts w:ascii="Franklin Gothic Book" w:hAnsi="Franklin Gothic Book"/>
                <w:sz w:val="18"/>
                <w:szCs w:val="18"/>
                <w:lang w:eastAsia="en-US"/>
              </w:rPr>
            </w:pPr>
          </w:p>
          <w:p w:rsidR="0015739C" w:rsidRPr="0071613B" w:rsidRDefault="0015739C" w:rsidP="0015739C">
            <w:pPr>
              <w:keepLines/>
              <w:spacing w:before="40" w:after="40" w:line="200" w:lineRule="atLeast"/>
              <w:rPr>
                <w:rFonts w:ascii="Franklin Gothic Book" w:hAnsi="Franklin Gothic Book"/>
                <w:sz w:val="18"/>
                <w:szCs w:val="18"/>
                <w:lang w:eastAsia="en-US"/>
              </w:rPr>
            </w:pPr>
          </w:p>
          <w:p w:rsidR="0015739C" w:rsidRPr="0071613B" w:rsidRDefault="0015739C" w:rsidP="0015739C">
            <w:pPr>
              <w:keepLines/>
              <w:spacing w:before="40" w:after="40" w:line="200" w:lineRule="atLeast"/>
              <w:rPr>
                <w:rFonts w:ascii="Franklin Gothic Book" w:hAnsi="Franklin Gothic Book"/>
                <w:sz w:val="18"/>
                <w:szCs w:val="18"/>
                <w:lang w:eastAsia="en-US"/>
              </w:rPr>
            </w:pPr>
          </w:p>
          <w:p w:rsidR="0015739C" w:rsidRPr="0071613B" w:rsidRDefault="0015739C" w:rsidP="0015739C">
            <w:pPr>
              <w:keepLines/>
              <w:spacing w:before="40" w:after="40" w:line="200" w:lineRule="atLeast"/>
              <w:rPr>
                <w:rFonts w:ascii="Franklin Gothic Book" w:hAnsi="Franklin Gothic Book"/>
                <w:sz w:val="18"/>
                <w:szCs w:val="18"/>
                <w:lang w:eastAsia="en-US"/>
              </w:rPr>
            </w:pPr>
          </w:p>
          <w:p w:rsidR="0015739C" w:rsidRPr="0071613B" w:rsidRDefault="0015739C" w:rsidP="0015739C">
            <w:pPr>
              <w:keepLines/>
              <w:spacing w:before="40" w:after="40" w:line="200" w:lineRule="atLeast"/>
              <w:rPr>
                <w:rFonts w:ascii="Franklin Gothic Book" w:hAnsi="Franklin Gothic Book"/>
                <w:sz w:val="18"/>
                <w:szCs w:val="18"/>
                <w:lang w:eastAsia="en-US"/>
              </w:rPr>
            </w:pPr>
          </w:p>
          <w:p w:rsidR="0015739C" w:rsidRPr="0071613B" w:rsidRDefault="0015739C" w:rsidP="0015739C">
            <w:pPr>
              <w:keepLines/>
              <w:spacing w:before="40" w:after="40" w:line="200" w:lineRule="atLeast"/>
              <w:rPr>
                <w:rFonts w:ascii="Franklin Gothic Book" w:hAnsi="Franklin Gothic Book"/>
                <w:sz w:val="18"/>
                <w:szCs w:val="18"/>
                <w:lang w:eastAsia="en-US"/>
              </w:rPr>
            </w:pPr>
          </w:p>
          <w:p w:rsidR="0015739C" w:rsidRPr="0071613B" w:rsidRDefault="0015739C" w:rsidP="0015739C">
            <w:pPr>
              <w:keepLines/>
              <w:spacing w:before="40" w:after="40" w:line="200" w:lineRule="atLeast"/>
              <w:rPr>
                <w:rFonts w:ascii="Franklin Gothic Book" w:hAnsi="Franklin Gothic Book"/>
                <w:sz w:val="18"/>
                <w:szCs w:val="18"/>
                <w:lang w:eastAsia="en-US"/>
              </w:rPr>
            </w:pPr>
            <w:r w:rsidRPr="0071613B">
              <w:rPr>
                <w:rFonts w:ascii="Franklin Gothic Book" w:hAnsi="Franklin Gothic Book"/>
                <w:sz w:val="18"/>
                <w:szCs w:val="18"/>
                <w:lang w:eastAsia="en-US"/>
              </w:rPr>
              <w:t xml:space="preserve">increase in the incidence and quality of sea-dykes and mangrove belts in the southwest Mekong Delta </w:t>
            </w:r>
          </w:p>
          <w:p w:rsidR="0015739C" w:rsidRPr="0071613B" w:rsidRDefault="0015739C" w:rsidP="0015739C">
            <w:pPr>
              <w:keepLines/>
              <w:spacing w:before="40" w:after="40" w:line="200" w:lineRule="atLeast"/>
              <w:rPr>
                <w:rFonts w:ascii="Franklin Gothic Book" w:hAnsi="Franklin Gothic Book"/>
                <w:sz w:val="18"/>
                <w:szCs w:val="18"/>
                <w:lang w:eastAsia="en-US"/>
              </w:rPr>
            </w:pPr>
          </w:p>
          <w:p w:rsidR="0015739C" w:rsidRPr="0071613B" w:rsidRDefault="0015739C" w:rsidP="0015739C">
            <w:pPr>
              <w:keepLines/>
              <w:spacing w:before="40" w:after="40" w:line="200" w:lineRule="atLeast"/>
              <w:rPr>
                <w:rFonts w:ascii="Franklin Gothic Book" w:hAnsi="Franklin Gothic Book"/>
                <w:sz w:val="18"/>
                <w:szCs w:val="18"/>
                <w:lang w:eastAsia="en-US"/>
              </w:rPr>
            </w:pPr>
          </w:p>
          <w:p w:rsidR="0015739C" w:rsidRPr="0071613B" w:rsidRDefault="0015739C" w:rsidP="0015739C">
            <w:pPr>
              <w:keepLines/>
              <w:spacing w:before="40" w:after="40" w:line="200" w:lineRule="atLeast"/>
              <w:rPr>
                <w:rFonts w:ascii="Franklin Gothic Book" w:hAnsi="Franklin Gothic Book"/>
                <w:sz w:val="18"/>
                <w:szCs w:val="18"/>
                <w:lang w:eastAsia="en-US"/>
              </w:rPr>
            </w:pPr>
          </w:p>
          <w:p w:rsidR="0015739C" w:rsidRPr="0071613B" w:rsidRDefault="0015739C" w:rsidP="0015739C">
            <w:pPr>
              <w:keepLines/>
              <w:spacing w:before="40" w:after="40" w:line="200" w:lineRule="atLeast"/>
              <w:rPr>
                <w:rFonts w:ascii="Franklin Gothic Book" w:hAnsi="Franklin Gothic Book"/>
                <w:sz w:val="18"/>
                <w:szCs w:val="18"/>
                <w:lang w:eastAsia="en-US"/>
              </w:rPr>
            </w:pPr>
          </w:p>
          <w:p w:rsidR="0015739C" w:rsidRPr="0071613B" w:rsidRDefault="0015739C" w:rsidP="0015739C">
            <w:pPr>
              <w:keepLines/>
              <w:spacing w:before="40" w:after="40" w:line="200" w:lineRule="atLeast"/>
              <w:rPr>
                <w:rFonts w:ascii="Franklin Gothic Book" w:hAnsi="Franklin Gothic Book"/>
                <w:sz w:val="18"/>
                <w:szCs w:val="18"/>
                <w:lang w:eastAsia="en-US"/>
              </w:rPr>
            </w:pPr>
          </w:p>
          <w:p w:rsidR="0015739C" w:rsidRPr="0071613B" w:rsidRDefault="0015739C" w:rsidP="0015739C">
            <w:pPr>
              <w:keepLines/>
              <w:spacing w:before="40" w:after="40" w:line="200" w:lineRule="atLeast"/>
              <w:rPr>
                <w:rFonts w:ascii="Franklin Gothic Book" w:hAnsi="Franklin Gothic Book"/>
                <w:sz w:val="18"/>
                <w:szCs w:val="18"/>
                <w:lang w:eastAsia="en-US"/>
              </w:rPr>
            </w:pPr>
          </w:p>
          <w:p w:rsidR="0015739C" w:rsidRPr="0071613B" w:rsidRDefault="0015739C" w:rsidP="0015739C">
            <w:pPr>
              <w:keepLines/>
              <w:spacing w:before="40" w:after="40" w:line="200" w:lineRule="atLeast"/>
              <w:rPr>
                <w:rFonts w:ascii="Franklin Gothic Book" w:hAnsi="Franklin Gothic Book"/>
                <w:sz w:val="18"/>
                <w:szCs w:val="18"/>
                <w:lang w:eastAsia="en-US"/>
              </w:rPr>
            </w:pPr>
          </w:p>
          <w:p w:rsidR="0015739C" w:rsidRPr="0071613B" w:rsidRDefault="0015739C" w:rsidP="0015739C">
            <w:pPr>
              <w:keepLines/>
              <w:spacing w:before="40" w:after="40" w:line="200" w:lineRule="atLeast"/>
              <w:rPr>
                <w:rFonts w:ascii="Franklin Gothic Book" w:hAnsi="Franklin Gothic Book"/>
                <w:sz w:val="18"/>
                <w:szCs w:val="18"/>
                <w:lang w:eastAsia="en-US"/>
              </w:rPr>
            </w:pPr>
          </w:p>
          <w:p w:rsidR="0015739C" w:rsidRPr="0071613B" w:rsidRDefault="0015739C" w:rsidP="0015739C">
            <w:pPr>
              <w:keepLines/>
              <w:spacing w:before="40" w:after="40" w:line="200" w:lineRule="atLeast"/>
              <w:rPr>
                <w:rFonts w:ascii="Franklin Gothic Book" w:hAnsi="Franklin Gothic Book"/>
                <w:sz w:val="18"/>
                <w:szCs w:val="18"/>
                <w:lang w:eastAsia="en-US"/>
              </w:rPr>
            </w:pPr>
            <w:r w:rsidRPr="0071613B">
              <w:rPr>
                <w:rFonts w:ascii="Franklin Gothic Book" w:hAnsi="Franklin Gothic Book"/>
                <w:sz w:val="18"/>
                <w:szCs w:val="18"/>
                <w:lang w:eastAsia="en-US"/>
              </w:rPr>
              <w:t>Mitigation target met (emission reduction through improved energy efficiency, adoption of clean technologies and agricultural production)</w:t>
            </w:r>
          </w:p>
        </w:tc>
        <w:tc>
          <w:tcPr>
            <w:tcW w:w="2410" w:type="dxa"/>
          </w:tcPr>
          <w:p w:rsidR="0015739C" w:rsidRPr="0071613B" w:rsidRDefault="0015739C" w:rsidP="0015739C">
            <w:pPr>
              <w:pStyle w:val="TableDataEntries"/>
              <w:jc w:val="left"/>
              <w:rPr>
                <w:sz w:val="18"/>
                <w:szCs w:val="18"/>
              </w:rPr>
            </w:pPr>
            <w:r w:rsidRPr="0071613B">
              <w:rPr>
                <w:sz w:val="18"/>
                <w:szCs w:val="18"/>
              </w:rPr>
              <w:t xml:space="preserve">decision made and progress towards CBDRM support </w:t>
            </w:r>
          </w:p>
          <w:p w:rsidR="0015739C" w:rsidRPr="0071613B" w:rsidRDefault="0015739C" w:rsidP="0015739C">
            <w:pPr>
              <w:pStyle w:val="TableDataEntries"/>
              <w:rPr>
                <w:sz w:val="18"/>
                <w:szCs w:val="18"/>
              </w:rPr>
            </w:pPr>
          </w:p>
          <w:p w:rsidR="0015739C" w:rsidRPr="0071613B" w:rsidRDefault="0015739C" w:rsidP="0015739C">
            <w:pPr>
              <w:pStyle w:val="TableDataEntries"/>
              <w:jc w:val="left"/>
              <w:rPr>
                <w:sz w:val="18"/>
                <w:szCs w:val="18"/>
              </w:rPr>
            </w:pPr>
            <w:r w:rsidRPr="0071613B">
              <w:rPr>
                <w:sz w:val="18"/>
                <w:szCs w:val="18"/>
              </w:rPr>
              <w:t>VANGOCA NGOs transfer lessons learnt in pilot CDRM communes into final CDRM design</w:t>
            </w:r>
          </w:p>
          <w:p w:rsidR="0015739C" w:rsidRPr="0071613B" w:rsidRDefault="0015739C" w:rsidP="0015739C">
            <w:pPr>
              <w:pStyle w:val="TableDataEntries"/>
              <w:jc w:val="left"/>
              <w:rPr>
                <w:sz w:val="18"/>
                <w:szCs w:val="18"/>
              </w:rPr>
            </w:pPr>
          </w:p>
          <w:p w:rsidR="0015739C" w:rsidRPr="0071613B" w:rsidRDefault="0015739C" w:rsidP="0015739C">
            <w:pPr>
              <w:pStyle w:val="TableDataEntries"/>
              <w:jc w:val="left"/>
              <w:rPr>
                <w:sz w:val="18"/>
                <w:szCs w:val="18"/>
              </w:rPr>
            </w:pPr>
          </w:p>
          <w:p w:rsidR="0015739C" w:rsidRPr="0071613B" w:rsidRDefault="0015739C" w:rsidP="0015739C">
            <w:pPr>
              <w:pStyle w:val="TableDataEntries"/>
              <w:jc w:val="left"/>
              <w:rPr>
                <w:sz w:val="18"/>
                <w:szCs w:val="18"/>
              </w:rPr>
            </w:pPr>
          </w:p>
          <w:p w:rsidR="0015739C" w:rsidRPr="0071613B" w:rsidRDefault="0015739C" w:rsidP="0015739C">
            <w:pPr>
              <w:pStyle w:val="TableDataEntries"/>
              <w:jc w:val="left"/>
              <w:rPr>
                <w:sz w:val="18"/>
                <w:szCs w:val="18"/>
              </w:rPr>
            </w:pPr>
            <w:r w:rsidRPr="0071613B">
              <w:rPr>
                <w:sz w:val="18"/>
                <w:szCs w:val="18"/>
              </w:rPr>
              <w:t>evidence of Kien Giang emissions mitigation - REDD influence legislation in KG on mangroves and dykes</w:t>
            </w:r>
          </w:p>
          <w:p w:rsidR="0015739C" w:rsidRPr="0071613B" w:rsidRDefault="0015739C" w:rsidP="0015739C">
            <w:pPr>
              <w:pStyle w:val="TableDataEntries"/>
              <w:jc w:val="left"/>
              <w:rPr>
                <w:sz w:val="18"/>
                <w:szCs w:val="18"/>
              </w:rPr>
            </w:pPr>
          </w:p>
          <w:p w:rsidR="0015739C" w:rsidRPr="0071613B" w:rsidRDefault="0015739C" w:rsidP="0015739C">
            <w:pPr>
              <w:pStyle w:val="TableDataEntries"/>
              <w:jc w:val="left"/>
              <w:rPr>
                <w:sz w:val="18"/>
                <w:szCs w:val="18"/>
              </w:rPr>
            </w:pPr>
            <w:r w:rsidRPr="0071613B">
              <w:rPr>
                <w:sz w:val="18"/>
                <w:szCs w:val="18"/>
              </w:rPr>
              <w:t>increase incidence of dykes and mangroves (demonstration sites)</w:t>
            </w:r>
          </w:p>
          <w:p w:rsidR="0015739C" w:rsidRPr="0071613B" w:rsidRDefault="0015739C" w:rsidP="0015739C">
            <w:pPr>
              <w:pStyle w:val="TableDataEntries"/>
              <w:jc w:val="left"/>
              <w:rPr>
                <w:sz w:val="18"/>
                <w:szCs w:val="18"/>
              </w:rPr>
            </w:pPr>
          </w:p>
          <w:p w:rsidR="0015739C" w:rsidRPr="0071613B" w:rsidRDefault="0015739C" w:rsidP="0015739C">
            <w:pPr>
              <w:pStyle w:val="TableDataEntries"/>
              <w:jc w:val="left"/>
              <w:rPr>
                <w:sz w:val="18"/>
                <w:szCs w:val="18"/>
              </w:rPr>
            </w:pPr>
            <w:r w:rsidRPr="0071613B">
              <w:rPr>
                <w:sz w:val="18"/>
                <w:szCs w:val="18"/>
              </w:rPr>
              <w:t>design and approval of phase II of GTZ cooperation (for implementation start 2011)</w:t>
            </w:r>
          </w:p>
          <w:p w:rsidR="0015739C" w:rsidRPr="0071613B" w:rsidRDefault="0015739C" w:rsidP="0015739C">
            <w:pPr>
              <w:pStyle w:val="TableDataEntries"/>
              <w:jc w:val="left"/>
              <w:rPr>
                <w:sz w:val="18"/>
                <w:szCs w:val="18"/>
              </w:rPr>
            </w:pPr>
          </w:p>
          <w:p w:rsidR="0015739C" w:rsidRPr="0071613B" w:rsidRDefault="0015739C" w:rsidP="0015739C">
            <w:pPr>
              <w:pStyle w:val="TableDataEntries"/>
              <w:jc w:val="left"/>
              <w:rPr>
                <w:sz w:val="18"/>
                <w:szCs w:val="18"/>
              </w:rPr>
            </w:pPr>
            <w:r w:rsidRPr="0071613B">
              <w:rPr>
                <w:sz w:val="18"/>
                <w:szCs w:val="18"/>
              </w:rPr>
              <w:t xml:space="preserve">decision made and progress towards mitigation support </w:t>
            </w:r>
          </w:p>
          <w:p w:rsidR="0015739C" w:rsidRPr="0071613B" w:rsidRDefault="0015739C" w:rsidP="0015739C">
            <w:pPr>
              <w:pStyle w:val="TableDataEntries"/>
              <w:jc w:val="left"/>
              <w:rPr>
                <w:sz w:val="18"/>
                <w:szCs w:val="18"/>
              </w:rPr>
            </w:pPr>
          </w:p>
          <w:p w:rsidR="0015739C" w:rsidRPr="0071613B" w:rsidRDefault="0015739C" w:rsidP="0015739C">
            <w:pPr>
              <w:pStyle w:val="TableDataEntries"/>
              <w:jc w:val="left"/>
              <w:rPr>
                <w:sz w:val="18"/>
                <w:szCs w:val="18"/>
              </w:rPr>
            </w:pPr>
          </w:p>
          <w:p w:rsidR="0015739C" w:rsidRPr="0071613B" w:rsidRDefault="0015739C" w:rsidP="0015739C">
            <w:pPr>
              <w:pStyle w:val="TableDataEntries"/>
              <w:jc w:val="left"/>
              <w:rPr>
                <w:sz w:val="18"/>
                <w:szCs w:val="18"/>
              </w:rPr>
            </w:pPr>
          </w:p>
          <w:p w:rsidR="0015739C" w:rsidRPr="0071613B" w:rsidRDefault="0015739C" w:rsidP="0015739C">
            <w:pPr>
              <w:pStyle w:val="TableDataEntries"/>
              <w:jc w:val="left"/>
              <w:rPr>
                <w:sz w:val="18"/>
                <w:szCs w:val="18"/>
              </w:rPr>
            </w:pPr>
          </w:p>
          <w:p w:rsidR="0015739C" w:rsidRPr="0071613B" w:rsidRDefault="0015739C" w:rsidP="0015739C">
            <w:pPr>
              <w:pStyle w:val="TableDataEntries"/>
              <w:jc w:val="left"/>
              <w:rPr>
                <w:sz w:val="18"/>
                <w:szCs w:val="18"/>
              </w:rPr>
            </w:pPr>
            <w:r w:rsidRPr="0071613B">
              <w:rPr>
                <w:sz w:val="18"/>
                <w:szCs w:val="18"/>
              </w:rPr>
              <w:t>Ensure all new Australian ODA in Vietnam is “climate proofed”</w:t>
            </w:r>
          </w:p>
        </w:tc>
        <w:tc>
          <w:tcPr>
            <w:tcW w:w="2268" w:type="dxa"/>
          </w:tcPr>
          <w:p w:rsidR="0015739C" w:rsidRPr="0071613B" w:rsidRDefault="0015739C" w:rsidP="0015739C">
            <w:pPr>
              <w:pStyle w:val="TableDataEntries"/>
              <w:jc w:val="both"/>
              <w:rPr>
                <w:sz w:val="18"/>
                <w:szCs w:val="18"/>
              </w:rPr>
            </w:pPr>
            <w:r w:rsidRPr="0071613B">
              <w:rPr>
                <w:sz w:val="18"/>
                <w:szCs w:val="18"/>
              </w:rPr>
              <w:t>Agreement on a five year coastal management plan for Kien Giang</w:t>
            </w:r>
          </w:p>
          <w:p w:rsidR="0015739C" w:rsidRPr="0071613B" w:rsidRDefault="0015739C" w:rsidP="0015739C">
            <w:pPr>
              <w:pStyle w:val="TableDataEntries"/>
              <w:jc w:val="left"/>
              <w:rPr>
                <w:sz w:val="18"/>
                <w:szCs w:val="18"/>
              </w:rPr>
            </w:pPr>
            <w:r w:rsidRPr="0071613B">
              <w:rPr>
                <w:sz w:val="18"/>
                <w:szCs w:val="18"/>
              </w:rPr>
              <w:t>30 primary schools in Kien Giang using climate change awareness materials in the classroom</w:t>
            </w:r>
          </w:p>
          <w:p w:rsidR="0015739C" w:rsidRPr="0071613B" w:rsidRDefault="0015739C" w:rsidP="0015739C">
            <w:pPr>
              <w:pStyle w:val="TableDataEntries"/>
              <w:jc w:val="both"/>
              <w:rPr>
                <w:sz w:val="18"/>
                <w:szCs w:val="18"/>
              </w:rPr>
            </w:pPr>
          </w:p>
          <w:p w:rsidR="0015739C" w:rsidRPr="0071613B" w:rsidRDefault="0015739C" w:rsidP="0015739C">
            <w:pPr>
              <w:pStyle w:val="TableDataEntries"/>
              <w:jc w:val="both"/>
              <w:rPr>
                <w:sz w:val="18"/>
                <w:szCs w:val="18"/>
              </w:rPr>
            </w:pPr>
            <w:r w:rsidRPr="0071613B">
              <w:rPr>
                <w:sz w:val="18"/>
                <w:szCs w:val="18"/>
              </w:rPr>
              <w:t>Coordination mechanism established to support donor engagement in community based disaster risk management</w:t>
            </w:r>
          </w:p>
          <w:p w:rsidR="0015739C" w:rsidRPr="0071613B" w:rsidRDefault="0015739C" w:rsidP="0015739C">
            <w:pPr>
              <w:pStyle w:val="TableDataEntries"/>
              <w:jc w:val="both"/>
              <w:rPr>
                <w:sz w:val="18"/>
                <w:szCs w:val="18"/>
              </w:rPr>
            </w:pPr>
          </w:p>
          <w:p w:rsidR="0015739C" w:rsidRPr="0071613B" w:rsidRDefault="0015739C" w:rsidP="0015739C">
            <w:pPr>
              <w:pStyle w:val="TableDataEntries"/>
              <w:jc w:val="left"/>
              <w:rPr>
                <w:sz w:val="18"/>
                <w:szCs w:val="18"/>
              </w:rPr>
            </w:pPr>
            <w:r w:rsidRPr="0071613B">
              <w:rPr>
                <w:sz w:val="18"/>
                <w:szCs w:val="18"/>
              </w:rPr>
              <w:t>4.5km of protective fences installed to support mangrove regeneration in Kien Giang</w:t>
            </w:r>
          </w:p>
          <w:p w:rsidR="0015739C" w:rsidRPr="0071613B" w:rsidRDefault="0015739C" w:rsidP="0015739C">
            <w:pPr>
              <w:pStyle w:val="TableDataEntries"/>
              <w:rPr>
                <w:sz w:val="18"/>
                <w:szCs w:val="18"/>
              </w:rPr>
            </w:pPr>
          </w:p>
          <w:p w:rsidR="0015739C" w:rsidRPr="0071613B" w:rsidRDefault="0015739C" w:rsidP="0015739C">
            <w:pPr>
              <w:pStyle w:val="TableDataEntries"/>
              <w:jc w:val="left"/>
              <w:rPr>
                <w:sz w:val="18"/>
                <w:szCs w:val="18"/>
              </w:rPr>
            </w:pPr>
            <w:r w:rsidRPr="0071613B">
              <w:rPr>
                <w:sz w:val="18"/>
                <w:szCs w:val="18"/>
              </w:rPr>
              <w:t>Support to An Giang and Ca Mau mobilised under an expanded climate change program</w:t>
            </w:r>
          </w:p>
          <w:p w:rsidR="0015739C" w:rsidRPr="0071613B" w:rsidRDefault="0015739C" w:rsidP="0015739C">
            <w:pPr>
              <w:rPr>
                <w:rFonts w:ascii="Franklin Gothic Book" w:hAnsi="Franklin Gothic Book"/>
                <w:sz w:val="18"/>
                <w:szCs w:val="18"/>
                <w:lang w:eastAsia="en-US"/>
              </w:rPr>
            </w:pPr>
          </w:p>
          <w:p w:rsidR="0015739C" w:rsidRPr="0071613B" w:rsidRDefault="0015739C" w:rsidP="0015739C">
            <w:pPr>
              <w:pStyle w:val="TableDataEntries"/>
              <w:jc w:val="both"/>
              <w:rPr>
                <w:sz w:val="18"/>
                <w:szCs w:val="18"/>
              </w:rPr>
            </w:pPr>
          </w:p>
          <w:p w:rsidR="0015739C" w:rsidRPr="0071613B" w:rsidRDefault="0015739C" w:rsidP="0015739C">
            <w:pPr>
              <w:pStyle w:val="TableDataEntries"/>
              <w:jc w:val="both"/>
              <w:rPr>
                <w:sz w:val="18"/>
                <w:szCs w:val="18"/>
              </w:rPr>
            </w:pPr>
          </w:p>
          <w:p w:rsidR="0015739C" w:rsidRPr="0071613B" w:rsidRDefault="0015739C" w:rsidP="0015739C">
            <w:pPr>
              <w:pStyle w:val="TableDataEntries"/>
              <w:jc w:val="both"/>
              <w:rPr>
                <w:sz w:val="18"/>
                <w:szCs w:val="18"/>
              </w:rPr>
            </w:pPr>
          </w:p>
          <w:p w:rsidR="0015739C" w:rsidRPr="0071613B" w:rsidRDefault="0015739C" w:rsidP="0015739C">
            <w:pPr>
              <w:pStyle w:val="TableDataEntries"/>
              <w:jc w:val="both"/>
              <w:rPr>
                <w:sz w:val="18"/>
                <w:szCs w:val="18"/>
              </w:rPr>
            </w:pPr>
          </w:p>
          <w:p w:rsidR="0015739C" w:rsidRPr="0071613B" w:rsidRDefault="0015739C" w:rsidP="0015739C">
            <w:pPr>
              <w:pStyle w:val="TableDataEntries"/>
              <w:jc w:val="both"/>
              <w:rPr>
                <w:sz w:val="18"/>
                <w:szCs w:val="18"/>
              </w:rPr>
            </w:pPr>
          </w:p>
          <w:p w:rsidR="0015739C" w:rsidRPr="0071613B" w:rsidRDefault="0015739C" w:rsidP="0015739C">
            <w:pPr>
              <w:pStyle w:val="TableDataEntries"/>
              <w:jc w:val="left"/>
              <w:rPr>
                <w:sz w:val="18"/>
                <w:szCs w:val="18"/>
              </w:rPr>
            </w:pPr>
            <w:r w:rsidRPr="0071613B">
              <w:rPr>
                <w:sz w:val="18"/>
                <w:szCs w:val="18"/>
              </w:rPr>
              <w:t>Approval of a delivery strategy to guide Australia’s climate change engagement in Vietnam</w:t>
            </w:r>
          </w:p>
        </w:tc>
        <w:tc>
          <w:tcPr>
            <w:tcW w:w="2268" w:type="dxa"/>
          </w:tcPr>
          <w:p w:rsidR="0015739C" w:rsidRPr="0071613B" w:rsidRDefault="0015739C" w:rsidP="0015739C">
            <w:pPr>
              <w:ind w:right="-108"/>
              <w:rPr>
                <w:rFonts w:ascii="Franklin Gothic Book" w:hAnsi="Franklin Gothic Book"/>
                <w:sz w:val="18"/>
                <w:szCs w:val="18"/>
              </w:rPr>
            </w:pPr>
            <w:r w:rsidRPr="0071613B">
              <w:rPr>
                <w:rFonts w:ascii="Franklin Gothic Book" w:hAnsi="Franklin Gothic Book"/>
                <w:sz w:val="18"/>
                <w:szCs w:val="18"/>
              </w:rPr>
              <w:t xml:space="preserve">Climate Change and Coastal Ecosystems Program baseline established and implementation plans agreed with each province </w:t>
            </w:r>
          </w:p>
          <w:p w:rsidR="0015739C" w:rsidRPr="0071613B" w:rsidRDefault="0015739C" w:rsidP="0015739C">
            <w:pPr>
              <w:ind w:right="-108"/>
              <w:rPr>
                <w:rFonts w:ascii="Franklin Gothic Book" w:hAnsi="Franklin Gothic Book"/>
                <w:sz w:val="18"/>
                <w:szCs w:val="18"/>
              </w:rPr>
            </w:pPr>
          </w:p>
          <w:p w:rsidR="0015739C" w:rsidRPr="0071613B" w:rsidRDefault="0015739C" w:rsidP="0015739C">
            <w:pPr>
              <w:ind w:right="-108"/>
              <w:rPr>
                <w:rFonts w:ascii="Franklin Gothic Book" w:hAnsi="Franklin Gothic Book"/>
                <w:sz w:val="18"/>
                <w:szCs w:val="18"/>
              </w:rPr>
            </w:pPr>
            <w:r w:rsidRPr="0071613B">
              <w:rPr>
                <w:rFonts w:ascii="Franklin Gothic Book" w:hAnsi="Franklin Gothic Book"/>
                <w:sz w:val="18"/>
                <w:szCs w:val="18"/>
              </w:rPr>
              <w:t>Establish a national mechanism to enhance disaster risk reduction and climate change adaptation coordination</w:t>
            </w:r>
          </w:p>
          <w:p w:rsidR="0015739C" w:rsidRPr="0071613B" w:rsidRDefault="0015739C" w:rsidP="0015739C">
            <w:pPr>
              <w:ind w:right="-108"/>
              <w:rPr>
                <w:rFonts w:ascii="Franklin Gothic Book" w:hAnsi="Franklin Gothic Book"/>
                <w:sz w:val="18"/>
                <w:szCs w:val="18"/>
              </w:rPr>
            </w:pPr>
          </w:p>
          <w:p w:rsidR="0015739C" w:rsidRPr="0071613B" w:rsidRDefault="0015739C" w:rsidP="0015739C">
            <w:pPr>
              <w:ind w:right="-108"/>
              <w:rPr>
                <w:rFonts w:ascii="Franklin Gothic Book" w:hAnsi="Franklin Gothic Book"/>
                <w:sz w:val="18"/>
                <w:szCs w:val="18"/>
              </w:rPr>
            </w:pPr>
          </w:p>
          <w:p w:rsidR="0015739C" w:rsidRPr="0071613B" w:rsidRDefault="0015739C" w:rsidP="0015739C">
            <w:pPr>
              <w:ind w:right="-108"/>
              <w:rPr>
                <w:rFonts w:ascii="Franklin Gothic Book" w:hAnsi="Franklin Gothic Book"/>
                <w:sz w:val="18"/>
                <w:szCs w:val="18"/>
              </w:rPr>
            </w:pPr>
          </w:p>
          <w:p w:rsidR="0015739C" w:rsidRPr="0071613B" w:rsidRDefault="0015739C" w:rsidP="0015739C">
            <w:pPr>
              <w:ind w:right="-108"/>
              <w:rPr>
                <w:rFonts w:ascii="Franklin Gothic Book" w:hAnsi="Franklin Gothic Book"/>
                <w:sz w:val="18"/>
                <w:szCs w:val="18"/>
              </w:rPr>
            </w:pPr>
          </w:p>
          <w:p w:rsidR="0015739C" w:rsidRPr="0071613B" w:rsidRDefault="0015739C" w:rsidP="0015739C">
            <w:pPr>
              <w:ind w:right="-108"/>
              <w:rPr>
                <w:rFonts w:ascii="Franklin Gothic Book" w:hAnsi="Franklin Gothic Book"/>
                <w:sz w:val="18"/>
                <w:szCs w:val="18"/>
              </w:rPr>
            </w:pPr>
          </w:p>
          <w:p w:rsidR="0015739C" w:rsidRPr="0071613B" w:rsidRDefault="0015739C" w:rsidP="0015739C">
            <w:pPr>
              <w:ind w:right="-108"/>
              <w:rPr>
                <w:rFonts w:ascii="Franklin Gothic Book" w:hAnsi="Franklin Gothic Book"/>
                <w:sz w:val="18"/>
                <w:szCs w:val="18"/>
              </w:rPr>
            </w:pPr>
          </w:p>
          <w:p w:rsidR="0015739C" w:rsidRPr="0071613B" w:rsidRDefault="0015739C" w:rsidP="0015739C">
            <w:pPr>
              <w:ind w:right="-108"/>
              <w:rPr>
                <w:rFonts w:ascii="Franklin Gothic Book" w:hAnsi="Franklin Gothic Book"/>
                <w:sz w:val="18"/>
                <w:szCs w:val="18"/>
              </w:rPr>
            </w:pPr>
          </w:p>
          <w:p w:rsidR="0015739C" w:rsidRPr="0071613B" w:rsidRDefault="0015739C" w:rsidP="0015739C">
            <w:pPr>
              <w:ind w:right="-108"/>
              <w:rPr>
                <w:rFonts w:ascii="Franklin Gothic Book" w:hAnsi="Franklin Gothic Book"/>
                <w:sz w:val="18"/>
                <w:szCs w:val="18"/>
              </w:rPr>
            </w:pPr>
          </w:p>
          <w:p w:rsidR="0015739C" w:rsidRPr="0071613B" w:rsidRDefault="0015739C" w:rsidP="0015739C">
            <w:pPr>
              <w:ind w:right="-108"/>
              <w:rPr>
                <w:rFonts w:ascii="Franklin Gothic Book" w:hAnsi="Franklin Gothic Book"/>
                <w:sz w:val="18"/>
                <w:szCs w:val="18"/>
              </w:rPr>
            </w:pPr>
            <w:r w:rsidRPr="0071613B">
              <w:rPr>
                <w:rFonts w:ascii="Franklin Gothic Book" w:hAnsi="Franklin Gothic Book"/>
                <w:sz w:val="18"/>
                <w:szCs w:val="18"/>
              </w:rPr>
              <w:t xml:space="preserve">Completion of Asian </w:t>
            </w:r>
          </w:p>
          <w:p w:rsidR="0015739C" w:rsidRPr="0071613B" w:rsidRDefault="0015739C" w:rsidP="0015739C">
            <w:pPr>
              <w:ind w:right="-108"/>
              <w:rPr>
                <w:rFonts w:ascii="Franklin Gothic Book" w:hAnsi="Franklin Gothic Book"/>
                <w:sz w:val="18"/>
                <w:szCs w:val="18"/>
              </w:rPr>
            </w:pPr>
            <w:r w:rsidRPr="0071613B">
              <w:rPr>
                <w:rFonts w:ascii="Franklin Gothic Book" w:hAnsi="Franklin Gothic Book"/>
                <w:sz w:val="18"/>
                <w:szCs w:val="18"/>
              </w:rPr>
              <w:t>Development Bank Climate Change Impact Study in the Mekong Delta</w:t>
            </w:r>
          </w:p>
          <w:p w:rsidR="0015739C" w:rsidRPr="0071613B" w:rsidRDefault="0015739C" w:rsidP="0015739C">
            <w:pPr>
              <w:ind w:right="-108"/>
              <w:rPr>
                <w:rFonts w:ascii="Franklin Gothic Book" w:hAnsi="Franklin Gothic Book"/>
                <w:sz w:val="18"/>
                <w:szCs w:val="18"/>
              </w:rPr>
            </w:pPr>
          </w:p>
          <w:p w:rsidR="0015739C" w:rsidRPr="0071613B" w:rsidRDefault="0015739C" w:rsidP="0015739C">
            <w:pPr>
              <w:ind w:right="-108"/>
              <w:rPr>
                <w:rFonts w:ascii="Franklin Gothic Book" w:hAnsi="Franklin Gothic Book"/>
                <w:sz w:val="18"/>
                <w:szCs w:val="18"/>
              </w:rPr>
            </w:pPr>
          </w:p>
          <w:p w:rsidR="0015739C" w:rsidRPr="0071613B" w:rsidRDefault="0015739C" w:rsidP="0015739C">
            <w:pPr>
              <w:ind w:right="-108"/>
              <w:rPr>
                <w:rFonts w:ascii="Franklin Gothic Book" w:hAnsi="Franklin Gothic Book"/>
                <w:sz w:val="18"/>
                <w:szCs w:val="18"/>
              </w:rPr>
            </w:pPr>
          </w:p>
          <w:p w:rsidR="0015739C" w:rsidRPr="0071613B" w:rsidRDefault="0015739C" w:rsidP="0015739C">
            <w:pPr>
              <w:ind w:right="-108"/>
              <w:rPr>
                <w:rFonts w:ascii="Franklin Gothic Book" w:hAnsi="Franklin Gothic Book"/>
                <w:sz w:val="18"/>
                <w:szCs w:val="18"/>
              </w:rPr>
            </w:pPr>
            <w:r w:rsidRPr="0071613B">
              <w:rPr>
                <w:rFonts w:ascii="Franklin Gothic Book" w:hAnsi="Franklin Gothic Book"/>
                <w:sz w:val="18"/>
                <w:szCs w:val="18"/>
              </w:rPr>
              <w:t>CSIRO down-scale projections commence in partnership with the Ministry of Natural Resources and Environment’s science institute</w:t>
            </w:r>
          </w:p>
          <w:p w:rsidR="0015739C" w:rsidRPr="0071613B" w:rsidRDefault="0015739C" w:rsidP="0015739C">
            <w:pPr>
              <w:ind w:right="-108"/>
              <w:rPr>
                <w:rFonts w:ascii="Franklin Gothic Book" w:hAnsi="Franklin Gothic Book"/>
                <w:sz w:val="18"/>
                <w:szCs w:val="18"/>
              </w:rPr>
            </w:pPr>
          </w:p>
          <w:p w:rsidR="0015739C" w:rsidRPr="0071613B" w:rsidRDefault="0015739C" w:rsidP="0015739C">
            <w:pPr>
              <w:ind w:right="-108"/>
              <w:rPr>
                <w:rFonts w:ascii="Franklin Gothic Book" w:hAnsi="Franklin Gothic Book"/>
                <w:sz w:val="18"/>
                <w:szCs w:val="18"/>
              </w:rPr>
            </w:pPr>
            <w:r w:rsidRPr="0071613B">
              <w:rPr>
                <w:rFonts w:ascii="Franklin Gothic Book" w:hAnsi="Franklin Gothic Book"/>
                <w:sz w:val="18"/>
                <w:szCs w:val="18"/>
              </w:rPr>
              <w:t>Value chain analysis to identify low-carbon pathways in agricultural production completed</w:t>
            </w:r>
          </w:p>
        </w:tc>
        <w:tc>
          <w:tcPr>
            <w:tcW w:w="3118" w:type="dxa"/>
          </w:tcPr>
          <w:p w:rsidR="0015739C" w:rsidRPr="0071613B" w:rsidRDefault="0015739C" w:rsidP="0015739C">
            <w:pPr>
              <w:ind w:right="126"/>
              <w:rPr>
                <w:rFonts w:ascii="Franklin Gothic Book" w:hAnsi="Franklin Gothic Book"/>
                <w:sz w:val="18"/>
                <w:szCs w:val="18"/>
              </w:rPr>
            </w:pPr>
            <w:r w:rsidRPr="0071613B">
              <w:rPr>
                <w:rFonts w:ascii="Franklin Gothic Book" w:hAnsi="Franklin Gothic Book"/>
                <w:sz w:val="18"/>
                <w:szCs w:val="18"/>
              </w:rPr>
              <w:t>Progress towards directly helping 270 000 people build their resilience to climate change and natural disasters</w:t>
            </w:r>
          </w:p>
          <w:p w:rsidR="0015739C" w:rsidRPr="0071613B" w:rsidRDefault="0015739C" w:rsidP="0015739C">
            <w:pPr>
              <w:ind w:right="126"/>
              <w:rPr>
                <w:rFonts w:ascii="Franklin Gothic Book" w:hAnsi="Franklin Gothic Book"/>
                <w:sz w:val="18"/>
                <w:szCs w:val="18"/>
              </w:rPr>
            </w:pPr>
          </w:p>
          <w:p w:rsidR="0015739C" w:rsidRPr="0071613B" w:rsidRDefault="0015739C" w:rsidP="0015739C">
            <w:pPr>
              <w:ind w:right="126"/>
              <w:rPr>
                <w:rFonts w:ascii="Franklin Gothic Book" w:hAnsi="Franklin Gothic Book"/>
                <w:sz w:val="18"/>
                <w:szCs w:val="18"/>
              </w:rPr>
            </w:pPr>
            <w:r w:rsidRPr="0071613B">
              <w:rPr>
                <w:rFonts w:ascii="Franklin Gothic Book" w:hAnsi="Franklin Gothic Book"/>
                <w:sz w:val="18"/>
                <w:szCs w:val="18"/>
              </w:rPr>
              <w:t>Mobilisation of community-based disaster risk management under ADB flood and drought mitigation project targeting 63 vulnerable communes</w:t>
            </w:r>
          </w:p>
          <w:p w:rsidR="0015739C" w:rsidRPr="0071613B" w:rsidRDefault="0015739C" w:rsidP="0015739C">
            <w:pPr>
              <w:ind w:right="126"/>
              <w:rPr>
                <w:rFonts w:ascii="Franklin Gothic Book" w:hAnsi="Franklin Gothic Book"/>
                <w:sz w:val="18"/>
                <w:szCs w:val="18"/>
              </w:rPr>
            </w:pPr>
          </w:p>
          <w:p w:rsidR="0015739C" w:rsidRPr="0071613B" w:rsidRDefault="0015739C" w:rsidP="0015739C">
            <w:pPr>
              <w:ind w:right="126"/>
              <w:rPr>
                <w:rFonts w:ascii="Franklin Gothic Book" w:hAnsi="Franklin Gothic Book"/>
                <w:sz w:val="18"/>
                <w:szCs w:val="18"/>
              </w:rPr>
            </w:pPr>
            <w:r w:rsidRPr="0071613B">
              <w:rPr>
                <w:rFonts w:ascii="Franklin Gothic Book" w:hAnsi="Franklin Gothic Book"/>
                <w:sz w:val="18"/>
                <w:szCs w:val="18"/>
              </w:rPr>
              <w:t>Establish a national mechanism to enhance disaster risk reduction and climate change adaption coordination</w:t>
            </w:r>
          </w:p>
          <w:p w:rsidR="0015739C" w:rsidRPr="0071613B" w:rsidRDefault="0015739C" w:rsidP="0015739C">
            <w:pPr>
              <w:ind w:right="126"/>
              <w:rPr>
                <w:rFonts w:ascii="Franklin Gothic Book" w:hAnsi="Franklin Gothic Book"/>
                <w:sz w:val="18"/>
                <w:szCs w:val="18"/>
              </w:rPr>
            </w:pPr>
          </w:p>
          <w:p w:rsidR="0015739C" w:rsidRPr="0071613B" w:rsidRDefault="0015739C" w:rsidP="0015739C">
            <w:pPr>
              <w:ind w:right="126"/>
              <w:rPr>
                <w:rFonts w:ascii="Franklin Gothic Book" w:hAnsi="Franklin Gothic Book"/>
                <w:sz w:val="18"/>
                <w:szCs w:val="18"/>
              </w:rPr>
            </w:pPr>
            <w:r w:rsidRPr="0071613B">
              <w:rPr>
                <w:rFonts w:ascii="Franklin Gothic Book" w:hAnsi="Franklin Gothic Book"/>
                <w:sz w:val="18"/>
                <w:szCs w:val="18"/>
              </w:rPr>
              <w:t>10km of cost effective dyke protection and mangrove rehabilitation structures are completed.</w:t>
            </w:r>
          </w:p>
          <w:p w:rsidR="0015739C" w:rsidRPr="0071613B" w:rsidRDefault="0015739C" w:rsidP="0015739C">
            <w:pPr>
              <w:ind w:right="126"/>
              <w:rPr>
                <w:rFonts w:ascii="Franklin Gothic Book" w:hAnsi="Franklin Gothic Book"/>
                <w:sz w:val="18"/>
                <w:szCs w:val="18"/>
              </w:rPr>
            </w:pPr>
          </w:p>
          <w:p w:rsidR="0015739C" w:rsidRPr="0071613B" w:rsidRDefault="0015739C" w:rsidP="0015739C">
            <w:pPr>
              <w:ind w:right="126"/>
              <w:rPr>
                <w:rFonts w:ascii="Franklin Gothic Book" w:hAnsi="Franklin Gothic Book"/>
                <w:sz w:val="18"/>
                <w:szCs w:val="18"/>
              </w:rPr>
            </w:pPr>
            <w:r w:rsidRPr="0071613B">
              <w:rPr>
                <w:rFonts w:ascii="Franklin Gothic Book" w:hAnsi="Franklin Gothic Book"/>
                <w:sz w:val="18"/>
                <w:szCs w:val="18"/>
              </w:rPr>
              <w:t>Completion of down-scaled climate change projections for Vietnam</w:t>
            </w:r>
          </w:p>
          <w:p w:rsidR="0015739C" w:rsidRPr="0071613B" w:rsidRDefault="0015739C" w:rsidP="0015739C">
            <w:pPr>
              <w:ind w:right="126"/>
              <w:rPr>
                <w:rFonts w:ascii="Franklin Gothic Book" w:hAnsi="Franklin Gothic Book"/>
                <w:sz w:val="18"/>
                <w:szCs w:val="18"/>
              </w:rPr>
            </w:pPr>
            <w:r w:rsidRPr="0071613B">
              <w:rPr>
                <w:rFonts w:ascii="Franklin Gothic Book" w:hAnsi="Franklin Gothic Book"/>
                <w:sz w:val="18"/>
                <w:szCs w:val="18"/>
              </w:rPr>
              <w:t xml:space="preserve">Commencement of a pilot to apply down-scaled projections to inform provincial planning </w:t>
            </w:r>
          </w:p>
          <w:p w:rsidR="0015739C" w:rsidRPr="0071613B" w:rsidRDefault="0015739C" w:rsidP="0015739C">
            <w:pPr>
              <w:ind w:right="126"/>
              <w:rPr>
                <w:rFonts w:ascii="Franklin Gothic Book" w:hAnsi="Franklin Gothic Book"/>
                <w:sz w:val="18"/>
                <w:szCs w:val="18"/>
              </w:rPr>
            </w:pPr>
            <w:r w:rsidRPr="0071613B">
              <w:rPr>
                <w:rFonts w:ascii="Franklin Gothic Book" w:hAnsi="Franklin Gothic Book"/>
                <w:sz w:val="18"/>
                <w:szCs w:val="18"/>
              </w:rPr>
              <w:t>Preliminary results on potential greenhouse gas emission reduction from the adoption of low-carbon rice production techniques</w:t>
            </w:r>
          </w:p>
          <w:p w:rsidR="0015739C" w:rsidRPr="0071613B" w:rsidRDefault="0015739C" w:rsidP="0015739C">
            <w:pPr>
              <w:ind w:right="126"/>
              <w:rPr>
                <w:rFonts w:ascii="Franklin Gothic Book" w:hAnsi="Franklin Gothic Book"/>
                <w:sz w:val="18"/>
                <w:szCs w:val="18"/>
              </w:rPr>
            </w:pPr>
          </w:p>
          <w:p w:rsidR="0015739C" w:rsidRPr="0071613B" w:rsidRDefault="0015739C" w:rsidP="0015739C">
            <w:pPr>
              <w:ind w:right="126"/>
              <w:rPr>
                <w:rFonts w:ascii="Franklin Gothic Book" w:hAnsi="Franklin Gothic Book"/>
                <w:sz w:val="18"/>
                <w:szCs w:val="18"/>
              </w:rPr>
            </w:pPr>
            <w:r w:rsidRPr="0071613B">
              <w:rPr>
                <w:rFonts w:ascii="Franklin Gothic Book" w:hAnsi="Franklin Gothic Book"/>
                <w:sz w:val="18"/>
                <w:szCs w:val="18"/>
              </w:rPr>
              <w:t>Mobilisation of the Distribution Efficiency Project in partnership with the World Bank</w:t>
            </w:r>
          </w:p>
          <w:p w:rsidR="0015739C" w:rsidRPr="0071613B" w:rsidRDefault="0015739C" w:rsidP="0015739C">
            <w:pPr>
              <w:ind w:right="126"/>
              <w:rPr>
                <w:rFonts w:ascii="Franklin Gothic Book" w:hAnsi="Franklin Gothic Book"/>
                <w:sz w:val="18"/>
                <w:szCs w:val="18"/>
              </w:rPr>
            </w:pPr>
            <w:r w:rsidRPr="0071613B">
              <w:rPr>
                <w:rFonts w:ascii="Franklin Gothic Book" w:hAnsi="Franklin Gothic Book"/>
                <w:sz w:val="18"/>
                <w:szCs w:val="18"/>
              </w:rPr>
              <w:t>Mobilisation of a Climate Innovation Centre in Vietnam to support small to medium sized enterprise development in clean technologies</w:t>
            </w:r>
          </w:p>
        </w:tc>
        <w:tc>
          <w:tcPr>
            <w:tcW w:w="2835" w:type="dxa"/>
          </w:tcPr>
          <w:p w:rsidR="0015739C" w:rsidRPr="0071613B" w:rsidRDefault="0015739C" w:rsidP="0015739C">
            <w:pPr>
              <w:ind w:right="126"/>
              <w:rPr>
                <w:rFonts w:ascii="Franklin Gothic Book" w:hAnsi="Franklin Gothic Book"/>
                <w:sz w:val="18"/>
                <w:szCs w:val="18"/>
              </w:rPr>
            </w:pPr>
            <w:r w:rsidRPr="0071613B">
              <w:rPr>
                <w:rFonts w:ascii="Franklin Gothic Book" w:hAnsi="Franklin Gothic Book"/>
                <w:sz w:val="18"/>
                <w:szCs w:val="18"/>
              </w:rPr>
              <w:t>247 000 people have increased resilience to climate change and natural disasters</w:t>
            </w:r>
          </w:p>
          <w:p w:rsidR="0015739C" w:rsidRPr="0071613B" w:rsidRDefault="0015739C" w:rsidP="0015739C">
            <w:pPr>
              <w:ind w:right="126"/>
              <w:rPr>
                <w:rFonts w:ascii="Franklin Gothic Book" w:hAnsi="Franklin Gothic Book"/>
                <w:sz w:val="18"/>
                <w:szCs w:val="18"/>
              </w:rPr>
            </w:pPr>
          </w:p>
          <w:p w:rsidR="0015739C" w:rsidRPr="0071613B" w:rsidRDefault="0015739C" w:rsidP="0015739C">
            <w:pPr>
              <w:ind w:right="126"/>
              <w:rPr>
                <w:rFonts w:ascii="Franklin Gothic Book" w:hAnsi="Franklin Gothic Book"/>
                <w:sz w:val="18"/>
                <w:szCs w:val="18"/>
              </w:rPr>
            </w:pPr>
            <w:r w:rsidRPr="0071613B">
              <w:rPr>
                <w:rFonts w:ascii="Franklin Gothic Book" w:hAnsi="Franklin Gothic Book"/>
                <w:sz w:val="18"/>
                <w:szCs w:val="18"/>
              </w:rPr>
              <w:t>Mobilisation of community-based disaster risk management under ADB flood and drought mitigation project targeting 63 vulnerable communes</w:t>
            </w:r>
          </w:p>
          <w:p w:rsidR="0015739C" w:rsidRPr="0071613B" w:rsidRDefault="0015739C" w:rsidP="0015739C">
            <w:pPr>
              <w:ind w:right="126"/>
              <w:rPr>
                <w:rFonts w:ascii="Franklin Gothic Book" w:hAnsi="Franklin Gothic Book"/>
                <w:sz w:val="18"/>
                <w:szCs w:val="18"/>
              </w:rPr>
            </w:pPr>
          </w:p>
          <w:p w:rsidR="0015739C" w:rsidRPr="0071613B" w:rsidRDefault="0015739C" w:rsidP="0015739C">
            <w:pPr>
              <w:ind w:right="126"/>
              <w:rPr>
                <w:rFonts w:ascii="Franklin Gothic Book" w:hAnsi="Franklin Gothic Book"/>
                <w:sz w:val="18"/>
                <w:szCs w:val="18"/>
              </w:rPr>
            </w:pPr>
            <w:r w:rsidRPr="0071613B">
              <w:rPr>
                <w:rFonts w:ascii="Franklin Gothic Book" w:hAnsi="Franklin Gothic Book"/>
                <w:sz w:val="18"/>
                <w:szCs w:val="18"/>
              </w:rPr>
              <w:t>Approval of Decrees and finalisation of studies supporting  Decision on disaster risk levels to support implementation of the DRM Law</w:t>
            </w:r>
          </w:p>
          <w:p w:rsidR="0015739C" w:rsidRPr="0071613B" w:rsidRDefault="0015739C" w:rsidP="0015739C">
            <w:pPr>
              <w:ind w:right="126"/>
              <w:rPr>
                <w:rFonts w:ascii="Franklin Gothic Book" w:hAnsi="Franklin Gothic Book"/>
                <w:sz w:val="18"/>
                <w:szCs w:val="18"/>
              </w:rPr>
            </w:pPr>
          </w:p>
          <w:p w:rsidR="0015739C" w:rsidRPr="0071613B" w:rsidRDefault="0015739C" w:rsidP="0015739C">
            <w:pPr>
              <w:ind w:right="126"/>
              <w:rPr>
                <w:rFonts w:ascii="Franklin Gothic Book" w:hAnsi="Franklin Gothic Book"/>
                <w:sz w:val="18"/>
                <w:szCs w:val="18"/>
              </w:rPr>
            </w:pPr>
            <w:r w:rsidRPr="0071613B">
              <w:rPr>
                <w:rFonts w:ascii="Franklin Gothic Book" w:hAnsi="Franklin Gothic Book"/>
                <w:sz w:val="18"/>
                <w:szCs w:val="18"/>
              </w:rPr>
              <w:t>Satisfactory progress in implementation of the two comprehensive policy packages on water resources management and coastal area co-management.</w:t>
            </w:r>
          </w:p>
          <w:p w:rsidR="0015739C" w:rsidRPr="0071613B" w:rsidRDefault="0015739C" w:rsidP="0015739C">
            <w:pPr>
              <w:ind w:right="126"/>
              <w:rPr>
                <w:rFonts w:ascii="Franklin Gothic Book" w:hAnsi="Franklin Gothic Book"/>
                <w:sz w:val="18"/>
                <w:szCs w:val="18"/>
              </w:rPr>
            </w:pPr>
          </w:p>
          <w:p w:rsidR="0015739C" w:rsidRPr="0071613B" w:rsidRDefault="0015739C" w:rsidP="0015739C">
            <w:pPr>
              <w:ind w:right="126"/>
              <w:rPr>
                <w:rFonts w:ascii="Franklin Gothic Book" w:hAnsi="Franklin Gothic Book"/>
                <w:sz w:val="18"/>
                <w:szCs w:val="18"/>
              </w:rPr>
            </w:pPr>
            <w:r w:rsidRPr="0071613B">
              <w:rPr>
                <w:rFonts w:ascii="Franklin Gothic Book" w:hAnsi="Franklin Gothic Book"/>
                <w:sz w:val="18"/>
                <w:szCs w:val="18"/>
              </w:rPr>
              <w:t>Approval by GOV for development and implementation in 2015 of priority policy actions addressing 8 strategic tasks of NCCS</w:t>
            </w:r>
          </w:p>
          <w:p w:rsidR="0015739C" w:rsidRPr="0071613B" w:rsidRDefault="0015739C" w:rsidP="0015739C">
            <w:pPr>
              <w:ind w:right="126"/>
              <w:rPr>
                <w:rFonts w:ascii="Franklin Gothic Book" w:hAnsi="Franklin Gothic Book"/>
                <w:sz w:val="18"/>
                <w:szCs w:val="18"/>
              </w:rPr>
            </w:pPr>
            <w:r w:rsidRPr="0071613B">
              <w:rPr>
                <w:rFonts w:ascii="Franklin Gothic Book" w:hAnsi="Franklin Gothic Book"/>
                <w:sz w:val="18"/>
                <w:szCs w:val="18"/>
              </w:rPr>
              <w:t>Results on GHG emission reduction and increased profit figures from the adoption of low-carbon rice production techniques verified</w:t>
            </w:r>
          </w:p>
          <w:p w:rsidR="0015739C" w:rsidRPr="0071613B" w:rsidRDefault="0015739C" w:rsidP="0015739C">
            <w:pPr>
              <w:ind w:right="126"/>
              <w:rPr>
                <w:rFonts w:ascii="Franklin Gothic Book" w:hAnsi="Franklin Gothic Book"/>
                <w:sz w:val="18"/>
                <w:szCs w:val="18"/>
              </w:rPr>
            </w:pPr>
          </w:p>
          <w:p w:rsidR="0015739C" w:rsidRPr="0071613B" w:rsidRDefault="0015739C" w:rsidP="0015739C">
            <w:pPr>
              <w:ind w:right="126"/>
              <w:rPr>
                <w:rFonts w:ascii="Franklin Gothic Book" w:hAnsi="Franklin Gothic Book"/>
                <w:sz w:val="18"/>
                <w:szCs w:val="18"/>
              </w:rPr>
            </w:pPr>
            <w:r w:rsidRPr="0071613B">
              <w:rPr>
                <w:rFonts w:ascii="Franklin Gothic Book" w:hAnsi="Franklin Gothic Book"/>
                <w:sz w:val="18"/>
                <w:szCs w:val="18"/>
              </w:rPr>
              <w:t>Vietnam Climate Innovation Centre mobilised and operational</w:t>
            </w:r>
          </w:p>
        </w:tc>
      </w:tr>
    </w:tbl>
    <w:p w:rsidR="0015739C" w:rsidRPr="0093159B" w:rsidRDefault="0015739C" w:rsidP="0015739C">
      <w:pPr>
        <w:pStyle w:val="BodyText"/>
      </w:pPr>
    </w:p>
    <w:sectPr w:rsidR="0015739C" w:rsidRPr="0093159B" w:rsidSect="00601EF1">
      <w:headerReference w:type="even" r:id="rId28"/>
      <w:footerReference w:type="first" r:id="rId29"/>
      <w:pgSz w:w="16840" w:h="11907" w:orient="landscape" w:code="9"/>
      <w:pgMar w:top="1135" w:right="2268" w:bottom="1702"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6EA" w:rsidRDefault="005E56EA" w:rsidP="0050529F">
      <w:r>
        <w:separator/>
      </w:r>
    </w:p>
    <w:p w:rsidR="005E56EA" w:rsidRDefault="005E56EA"/>
    <w:p w:rsidR="005E56EA" w:rsidRDefault="005E56EA"/>
    <w:p w:rsidR="005E56EA" w:rsidRDefault="005E56EA"/>
    <w:p w:rsidR="005E56EA" w:rsidRDefault="005E56EA"/>
    <w:p w:rsidR="005E56EA" w:rsidRDefault="005E56EA"/>
    <w:p w:rsidR="005E56EA" w:rsidRDefault="005E56EA"/>
  </w:endnote>
  <w:endnote w:type="continuationSeparator" w:id="0">
    <w:p w:rsidR="005E56EA" w:rsidRDefault="005E56EA" w:rsidP="0050529F">
      <w:r>
        <w:continuationSeparator/>
      </w:r>
    </w:p>
    <w:p w:rsidR="005E56EA" w:rsidRDefault="005E56EA"/>
    <w:p w:rsidR="005E56EA" w:rsidRDefault="005E56EA"/>
    <w:p w:rsidR="005E56EA" w:rsidRDefault="005E56EA"/>
    <w:p w:rsidR="005E56EA" w:rsidRDefault="005E56EA"/>
    <w:p w:rsidR="005E56EA" w:rsidRDefault="005E56EA"/>
    <w:p w:rsidR="005E56EA" w:rsidRDefault="005E5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1FA" w:rsidRDefault="003061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089114"/>
      <w:docPartObj>
        <w:docPartGallery w:val="Page Numbers (Bottom of Page)"/>
        <w:docPartUnique/>
      </w:docPartObj>
    </w:sdtPr>
    <w:sdtEndPr>
      <w:rPr>
        <w:noProof/>
      </w:rPr>
    </w:sdtEndPr>
    <w:sdtContent>
      <w:p w:rsidR="005E56EA" w:rsidRDefault="005E56EA">
        <w:pPr>
          <w:pStyle w:val="Footer"/>
          <w:jc w:val="right"/>
        </w:pPr>
        <w:r>
          <w:fldChar w:fldCharType="begin"/>
        </w:r>
        <w:r>
          <w:instrText xml:space="preserve"> PAGE   \* MERGEFORMAT </w:instrText>
        </w:r>
        <w:r>
          <w:fldChar w:fldCharType="separate"/>
        </w:r>
        <w:r w:rsidR="003061FA">
          <w:rPr>
            <w:noProof/>
          </w:rPr>
          <w:t>27</w:t>
        </w:r>
        <w:r>
          <w:rPr>
            <w:noProof/>
          </w:rPr>
          <w:fldChar w:fldCharType="end"/>
        </w:r>
      </w:p>
    </w:sdtContent>
  </w:sdt>
  <w:p w:rsidR="005E56EA" w:rsidRDefault="005E56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1FA" w:rsidRDefault="003061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EA" w:rsidRPr="004C4A3E" w:rsidRDefault="005E56EA"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64B744AA" wp14:editId="65D22AD0">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Description: 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3061FA">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3061FA">
      <w:rPr>
        <w:rFonts w:ascii="Franklin Gothic Medium" w:hAnsi="Franklin Gothic Medium"/>
        <w:noProof/>
        <w:color w:val="54534A"/>
        <w:sz w:val="14"/>
        <w:szCs w:val="14"/>
      </w:rPr>
      <w:t>18</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74C5E19D" wp14:editId="666D28E3">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Description: 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04C6790A" wp14:editId="4D1E2FAD">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Description: 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EA" w:rsidRPr="004C4A3E" w:rsidRDefault="005E56EA"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8896" behindDoc="1" locked="1" layoutInCell="1" allowOverlap="1" wp14:anchorId="20CA7DD1" wp14:editId="134988A1">
              <wp:simplePos x="0" y="0"/>
              <wp:positionH relativeFrom="page">
                <wp:posOffset>0</wp:posOffset>
              </wp:positionH>
              <wp:positionV relativeFrom="page">
                <wp:posOffset>8533130</wp:posOffset>
              </wp:positionV>
              <wp:extent cx="7380000" cy="2181600"/>
              <wp:effectExtent l="0" t="0" r="0" b="9525"/>
              <wp:wrapNone/>
              <wp:docPr id="6" name="Rectangle 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Description: AusAID web address graphic" style="position:absolute;margin-left:0;margin-top:671.9pt;width:581.1pt;height:171.8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kU1e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F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BkpFNX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7872" behindDoc="1" locked="0" layoutInCell="1" allowOverlap="1" wp14:anchorId="571C0C7A" wp14:editId="6A178294">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Description: AusAID web address graphic" style="position:absolute;margin-left:0;margin-top:669.2pt;width:581.1pt;height:17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6848" behindDoc="1" locked="0" layoutInCell="1" allowOverlap="1" wp14:anchorId="22F954F0" wp14:editId="523C479D">
              <wp:simplePos x="0" y="0"/>
              <wp:positionH relativeFrom="column">
                <wp:posOffset>0</wp:posOffset>
              </wp:positionH>
              <wp:positionV relativeFrom="paragraph">
                <wp:posOffset>8498840</wp:posOffset>
              </wp:positionV>
              <wp:extent cx="7379970" cy="2181860"/>
              <wp:effectExtent l="0" t="2540" r="1905" b="0"/>
              <wp:wrapNone/>
              <wp:docPr id="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Description: AusAID web address graphic" style="position:absolute;margin-left:0;margin-top:669.2pt;width:581.1pt;height:17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aVq6q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gnFABRSZHqKMj&#10;1FFwFopMj1FGR6ii4C0UmR6ijIouAt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zfjT/AJBUX/XUfyNdJXN+NP8AkFRf9dR/I1y43/d5+h1YL/eIepwtFFFf&#10;JH1gVv6K2ii3/wBLC/asnBlzs9ulYFb+i/2L9m/0vb9qyf8AW52e1dOE/idPmcuM/hdfkaM8mseS&#10;39nCzMAH/Lrgn9a5BiS7FvvZ5+tdhOusmFv7OayEGOlrgcfjXHtncd3XPNbY7db/AD2+RjgNnt8t&#10;/mJWz4Wcrr8AH8QYH8jWNWv4Y/5GG2/4F/6Ca58L/Hh6o6cV/An6M9Hooor7A+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m/Gn/IKi/66j+RrpK5&#10;vxp/yCov+uo/ka5cb/u8/Q6sF/vEPU4Wiiivkj6wK2NN8P3GoW32nzUjgyRuOSePaset7RtM1GW2&#10;+1QXn2eDJ5yT09hXRhYKdSzjc58VNwp3UrD0XRdNY5urqeUdRGCgzWA5DOxGcE8ZrrbjV9PihaG9&#10;Y6hLjG4wBMVyLEFiQMDPArXGcqtGLXov6Zlg3J3lJO/d/pohK1/DH/Iw23/Av/QTWRWv4Y/5GG2/&#10;4F/6Caxwv8eHqjbFfwJ+jPR6KKK+wP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vxp/yCov+uo/ka6Sub8af8gqL/rqP5GuXG/7vP0OrBf7xD1OF&#10;ooor5I+sCrdlc30LgWckwP8Adjyf0qpW/o2uNZ232QWZkBJ+eLh+a3w6TnrKxhiG1DSNzRtW1m5j&#10;xe2Nu8eOWnUKf8/hXIyDEjDAGCeBXXT6MdShaf7XewcZ2XZyP51yDDDEZzg9a6MapJRT+99TmwLi&#10;3Jq3ougla/hj/kYbb/gX/oJrIrX8Mf8AIw23/Av/AEE1z4X+PD1R04r+BP0Z6PRRRX2B8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NP+QVF/11&#10;H8jXSVzfjT/kFRf9dR/I1y43/d5+h1YL/eIepwtFFFfJH1gVv6Rrh06xML2jNESczRnDc++KwK3L&#10;OTVL3Q3sLa0EkAPL4565xXThZSjNuL1t2uc2LjGUEpLS/exNMNK1PLf2pcRSH+GcFh+dc8wwxAOc&#10;HrUv2WcyvF5L+YgJZccjHXNQ1Fao56uNmVRpqF1GV0Fa/hj/AJGG2/4F/wCgmsitfwx/yMNt/wAC&#10;/wDQTTwv8eHqg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p7OHUrrw/ajTmeMxSPvwdu/JyCD3xXMVuafpt9daeshvxbWwYhA8hAJ74rqwjfM0k3dd&#10;NPxOTGJcqbaVn11/A2xp94utW99IqrGYALliwAJxz/SuLm2+fJs+7uOPpmugbQ5mUg61bsCOQZDz&#10;XOsu12XIODjIrTGN2S5bdd7meDSu7SvstrCVr+GP+Rhtv+Bf+gmsitfwx/yMNt/wL/0E1hhf48PV&#10;HRiv4E/Rno9FFFfYHy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340/5BUX/XUfyNdJXN+NP+QVF/11H8jXLjf93n6HVgv94h6nC0UUV8kfWBXR2t&#10;rDqPh+3invIbdoZG8vc3UE85Fc5WjNaQw6Ja3BBM87tjngKOK6MPLl5na6tqc2JjzcqvZ30Lh8P2&#10;wB/4nFof8/WsNl2sVznBxkV0q6FpqLBaT3Egv503LgfKD6VzckZileNuqsVP4VeJp8iXu2+dycLV&#10;521zX+Vhta/hj/kYbb/gX/oJrIrX8Mf8jDbf8C/9BNZ4X+PD1Rpiv4E/Rno9FFFfYHy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340/5BUX/AF1H&#10;8jXSVzfjT/kFRf8AXUfyNcuN/wB3n6HVgv8AeIepwtFFFfJH1gVvaReB7MW9xpkl5FCxZDGpJUnq&#10;Kwa6eym1BfD9t/ZSncsj+ftXJJzx+FdeDvzt+Xa9zkxnwJefe1jOl1eWXXft5t8tH92Pn5QBWXI5&#10;kkZ26sSx/GuxSyujr0NybYrHNAPtHGACRzXHzKqzyKv3QxA+maeKhOKvJ7tk4WpCTtFbJf8ADDK1&#10;/DH/ACMNt/wL/wBBNZFa/hj/AJGG2/4F/wCgmssL/Hh6o2xX8Cfoz0eiiivsD5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af8AIKi/66j+RrpK&#10;5vxp/wAgqL/rqP5GuXG/7vP0OrBf7xD1OFooor5I+sCug0y21y402P7FOEtwx2jeFOc81z9bOmaW&#10;Z7Q3Vze/ZbUNtBJ5Y+1dOFu52V/k7fic2KsoXdvmr/gX5NL8SSRMj3W5COR5vWsX+yrn+zXvvk8p&#10;H2EZ5zWo+jw3ETnTtW8+VRnyicEj2rAMkgQxl225yVzxmtcQoxtzJ/fcxwzlJPla+6wytfwx/wAj&#10;Dbf8C/8AQTWRWv4Y/wCRhtv+Bf8AoJrDC/x4eqOj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ujtLe2v/D0NvPfQ27xyMyBm7H1Fc5Wkttpx0Qzm5P2&#10;0NxF+P8AhXRhnZy0TVuuhz4lXUdWnformxpum2NheLcHV7ZigO0Bsc4781nX2lWsMEtwuqW8r9di&#10;dT+tY1FVLEQcOXk/Fkxw81Pn5/wQVr+GP+Rhtv8AgX/oJrIrX8Mf8jDbf8C/9BNRhf40PVF4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ho6LaQ3eoAXA&#10;JhjRpHA7gdq0bW10vUlubl4mtY9yRRqpyFY55NZWlXw0++WZk3oQVdfUGr99qNj9hFnpcEqhpBI5&#10;frkdMV3UJU1TvK2l9Or7HBiI1XUtG+ttei7l0WOitdnSRDL9pA2/aNx+9j0zXMSIY5HQ9VJFdTa6&#10;9bNcxyXVikNyww1wRjt1rlpDukY5zkk59aWL9m4pxt12VtPMeE9opNTv03d9fIbWv4Y/5GG2/wCB&#10;f+gmsitfwx/yMNt/wL/0E1jhf48PVG+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dDa3H9j6HBeQW8ck9w7BpHXOwA8CuerT0zWLmwUwLGk8LnPlOMj&#10;PtXRhpqEnd28+xz4mDnBWV/LualhrE+s3S2V7bwyxSAgsqYKcda5uVQkzoDkKxANdej6teW7i3sI&#10;LCJh80h4OK4912uyk5IOM1ti78seZt+bVjDB25pcqSXZO42tfwx/yMNt/wAC/wDQTWRWv4Y/5GG2&#10;/wCBf+gmsML/AB4eqOj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uh0PWbKytTBLEYpiT/pCqGNc9WtFdpJob2UenmSbdkzKucc5/8ArV0YabhNyT1t&#10;6nNioKcFFrS/exfvNOutTUy22qLer12FtpH4VzZBUkHqOKcjPG+ULKw9OCKYTnmprVI1He1n6lUa&#10;cqa5W7rpoFa/hj/kYbb/AIF/6CayK1/DH/Iw23/Av/QTTwv8eHqgxX8Cfoz0eiiivs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b8af8gqL/rqP&#10;5Gukrm/Gn/IKi/66j+Rrlxv+7z9DqwX+8Q9ThaKKK+SPrArprK6vbfQLZtLjDP5jCfCbjnPH6VzN&#10;b+lf29NYiPT/AJYEY/N8oyfqetdeEk1NpX26bnJjIpwTdtH12NGO0lbxBDP9kKxXMGZxt4Ukc1yU&#10;yhJ5FX7qsQPpmunktfFMkTI8pKkc4da5ZlKsVbqDg1eMei91rVvUzwa1b5k9EtBK1/DH/Iw23/Av&#10;/QTWRWv4Y/5GG2/4F/6Cawwv8eHqjo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mtbO81Lw3bJauYzDI2QW2iQE9fwrmaeJpAgQSOFByAGOK3oV&#10;VTb5lo0YV6UqiXK7NO5uHw/rIGfNX/v/AFgsCrMG6g4NO82T/no//fVMpVZwlblTXq7jpQnG/O0/&#10;RWCtjwuM+ILb23f+gmseuo8G2TPdy3jA7I12qfUmtMFBzrxS7kY2ahQk32O2ooor6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m/Gf/ACCov+uo&#10;/ka6SmSRRyqBIiuB2YZrGvT9rTcL7mtCp7Kop22PJKMV6v8AYrX/AJ94v++BR9itf+feL/vgV5H9&#10;jy/n/A9f+2F/J+J5RijFer/YrX/n3i/74FH2K1/594v++BR/Y8v5/wAA/thfyfieUYpVVmOFUkns&#10;BXq32K1/594v++BTkt4Yj8kSL9FAoWTvrP8AAHnC/k/E4HTPDN7fOrSoYIe7MOT9BXeWlpDZWyW8&#10;CbY1HFT0V6WGwdPDr3d+55uJxdTEP3tuwUUUV1n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" stroked="f" strokecolor="#4a7ebb" strokeweight="1.5pt">
              <v:fill r:id="rId2" o:title="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EA" w:rsidRPr="004C4A3E" w:rsidRDefault="005E56EA"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4800" behindDoc="1" locked="1" layoutInCell="1" allowOverlap="1" wp14:anchorId="69F66FF0" wp14:editId="2E314871">
              <wp:simplePos x="0" y="0"/>
              <wp:positionH relativeFrom="page">
                <wp:posOffset>0</wp:posOffset>
              </wp:positionH>
              <wp:positionV relativeFrom="page">
                <wp:posOffset>8533130</wp:posOffset>
              </wp:positionV>
              <wp:extent cx="7380000" cy="2181600"/>
              <wp:effectExtent l="0" t="0" r="0" b="9525"/>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tion: AusAID web address graphic" style="position:absolute;margin-left:0;margin-top:671.9pt;width:581.1pt;height:171.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DcvS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Z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ew3L0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3776" behindDoc="1" locked="0" layoutInCell="1" allowOverlap="1" wp14:anchorId="3FE9083C" wp14:editId="69EDAA47">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Description: 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2752" behindDoc="1" locked="0" layoutInCell="1" allowOverlap="1" wp14:anchorId="5DAA66BE" wp14:editId="6D347803">
              <wp:simplePos x="0" y="0"/>
              <wp:positionH relativeFrom="column">
                <wp:posOffset>0</wp:posOffset>
              </wp:positionH>
              <wp:positionV relativeFrom="paragraph">
                <wp:posOffset>8498840</wp:posOffset>
              </wp:positionV>
              <wp:extent cx="7379970" cy="2181860"/>
              <wp:effectExtent l="0" t="2540" r="1905" b="0"/>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Description: 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fme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U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J9H5n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6EA" w:rsidRDefault="005E56EA" w:rsidP="0050529F">
      <w:r>
        <w:separator/>
      </w:r>
    </w:p>
  </w:footnote>
  <w:footnote w:type="continuationSeparator" w:id="0">
    <w:p w:rsidR="005E56EA" w:rsidRDefault="005E56EA">
      <w:r>
        <w:continuationSeparator/>
      </w:r>
    </w:p>
  </w:footnote>
  <w:footnote w:id="1">
    <w:p w:rsidR="005E56EA" w:rsidRDefault="005E56EA">
      <w:pPr>
        <w:pStyle w:val="FootnoteText"/>
      </w:pPr>
      <w:r>
        <w:rPr>
          <w:rStyle w:val="FootnoteReference"/>
        </w:rPr>
        <w:footnoteRef/>
      </w:r>
      <w:r>
        <w:t xml:space="preserve"> D</w:t>
      </w:r>
      <w:r w:rsidRPr="006E2B9F">
        <w:t>efined by the World Bank as economies with a gross national income</w:t>
      </w:r>
      <w:r w:rsidRPr="005B0586">
        <w:t xml:space="preserve"> </w:t>
      </w:r>
      <w:r w:rsidRPr="006E2B9F">
        <w:t xml:space="preserve">per capita </w:t>
      </w:r>
      <w:r>
        <w:t>between</w:t>
      </w:r>
      <w:r w:rsidRPr="006E2B9F">
        <w:t xml:space="preserve"> </w:t>
      </w:r>
      <w:r>
        <w:t>US$</w:t>
      </w:r>
      <w:r w:rsidRPr="006E2B9F">
        <w:t>1,045</w:t>
      </w:r>
      <w:r>
        <w:t xml:space="preserve"> and US$4,125.</w:t>
      </w:r>
    </w:p>
  </w:footnote>
  <w:footnote w:id="2">
    <w:p w:rsidR="005E56EA" w:rsidRDefault="005E56EA" w:rsidP="00C77B8C">
      <w:pPr>
        <w:pStyle w:val="FootnoteText"/>
        <w:spacing w:line="240" w:lineRule="auto"/>
      </w:pPr>
      <w:r>
        <w:rPr>
          <w:rStyle w:val="FootnoteReference"/>
        </w:rPr>
        <w:footnoteRef/>
      </w:r>
      <w:r>
        <w:t xml:space="preserve"> The figure of 58 per cent is on a 'basic needs' measure. </w:t>
      </w:r>
      <w:r w:rsidRPr="00D442E9">
        <w:t>Source: World Bank 2012 'Well begun, not yet done', p. 1.</w:t>
      </w:r>
    </w:p>
  </w:footnote>
  <w:footnote w:id="3">
    <w:p w:rsidR="005E56EA" w:rsidRDefault="005E56EA" w:rsidP="00DE1C3F">
      <w:pPr>
        <w:pStyle w:val="FootnoteText"/>
        <w:spacing w:line="240" w:lineRule="auto"/>
      </w:pPr>
      <w:r>
        <w:rPr>
          <w:rStyle w:val="FootnoteReference"/>
        </w:rPr>
        <w:footnoteRef/>
      </w:r>
      <w:r>
        <w:t xml:space="preserve"> Vietnam is on track to meet all but two MDGs, namely MDG6 to combat HIV/AIDS and other diseases and MDG7 to ensure environmental sustainability.</w:t>
      </w:r>
    </w:p>
  </w:footnote>
  <w:footnote w:id="4">
    <w:p w:rsidR="005E56EA" w:rsidRDefault="005E56EA" w:rsidP="00A67E2E">
      <w:pPr>
        <w:pStyle w:val="FootnoteText"/>
        <w:spacing w:line="240" w:lineRule="auto"/>
      </w:pPr>
      <w:r>
        <w:rPr>
          <w:rStyle w:val="FootnoteReference"/>
        </w:rPr>
        <w:footnoteRef/>
      </w:r>
      <w:r>
        <w:t xml:space="preserve"> </w:t>
      </w:r>
      <w:r>
        <w:rPr>
          <w:lang w:val="en-US"/>
        </w:rPr>
        <w:t xml:space="preserve">Australia Awards are scholarships and fellowships for study in Australia, that aim to </w:t>
      </w:r>
      <w:r w:rsidRPr="0097474F">
        <w:rPr>
          <w:lang w:val="en-US"/>
        </w:rPr>
        <w:t>build people-to-people link</w:t>
      </w:r>
      <w:r>
        <w:rPr>
          <w:lang w:val="en-US"/>
        </w:rPr>
        <w:t xml:space="preserve">s and </w:t>
      </w:r>
      <w:r w:rsidRPr="0097474F">
        <w:rPr>
          <w:lang w:val="en-US"/>
        </w:rPr>
        <w:t>develop capacity and leadership skills so that individuals can contribute to development in their home country</w:t>
      </w:r>
      <w:r>
        <w:rPr>
          <w:lang w:val="en-US"/>
        </w:rPr>
        <w:t xml:space="preserve">. </w:t>
      </w:r>
      <w:r>
        <w:t>They include the Australia Awards Scholarships and Australia Awards Fellowships administered by DFAT, John Allwright Fellowships administered by Australian Council for International Agricultural Research (ACIAR) and Endeavour Scholarships and Fellowships administered by Department of Education</w:t>
      </w:r>
      <w:r w:rsidR="00EC7057">
        <w:t xml:space="preserve"> and Training</w:t>
      </w:r>
      <w:r>
        <w:t xml:space="preserve"> (DET)</w:t>
      </w:r>
    </w:p>
  </w:footnote>
  <w:footnote w:id="5">
    <w:p w:rsidR="005E56EA" w:rsidRDefault="005E56EA" w:rsidP="00A67E2E">
      <w:pPr>
        <w:pStyle w:val="FootnoteText"/>
        <w:spacing w:line="240" w:lineRule="auto"/>
      </w:pPr>
      <w:r>
        <w:rPr>
          <w:rStyle w:val="FootnoteReference"/>
        </w:rPr>
        <w:footnoteRef/>
      </w:r>
      <w:r>
        <w:t xml:space="preserve"> Target of 150 Scholarships (185 offered) and 50 Fellowships (142 offered)</w:t>
      </w:r>
    </w:p>
  </w:footnote>
  <w:footnote w:id="6">
    <w:p w:rsidR="005E56EA" w:rsidRDefault="005E56EA" w:rsidP="00A67E2E">
      <w:pPr>
        <w:pStyle w:val="FootnoteText"/>
        <w:spacing w:line="240" w:lineRule="auto"/>
      </w:pPr>
      <w:r>
        <w:rPr>
          <w:rStyle w:val="FootnoteReference"/>
        </w:rPr>
        <w:footnoteRef/>
      </w:r>
      <w:r>
        <w:t xml:space="preserve"> The new program will continue to </w:t>
      </w:r>
      <w:r>
        <w:rPr>
          <w:szCs w:val="21"/>
        </w:rPr>
        <w:t>deliver Australia Awards, as well as other targeted HRD activities</w:t>
      </w:r>
    </w:p>
  </w:footnote>
  <w:footnote w:id="7">
    <w:p w:rsidR="005E56EA" w:rsidRDefault="005E56EA" w:rsidP="006820D3">
      <w:pPr>
        <w:pStyle w:val="FootnoteText"/>
        <w:spacing w:line="240" w:lineRule="auto"/>
      </w:pPr>
      <w:r>
        <w:rPr>
          <w:rStyle w:val="FootnoteReference"/>
        </w:rPr>
        <w:footnoteRef/>
      </w:r>
      <w:r>
        <w:t xml:space="preserve"> The Government of Vietnam’s “Human Resource Development Master Plan 2011-20 articulates Vietnam’s plans to improve the quality of its workforce</w:t>
      </w:r>
    </w:p>
  </w:footnote>
  <w:footnote w:id="8">
    <w:p w:rsidR="005E56EA" w:rsidRDefault="005E56EA" w:rsidP="006820D3">
      <w:pPr>
        <w:pStyle w:val="FootnoteText"/>
        <w:spacing w:line="240" w:lineRule="auto"/>
      </w:pPr>
      <w:r>
        <w:rPr>
          <w:rStyle w:val="FootnoteReference"/>
        </w:rPr>
        <w:footnoteRef/>
      </w:r>
      <w:r>
        <w:t xml:space="preserve"> Provided</w:t>
      </w:r>
      <w:r w:rsidRPr="000D45B6">
        <w:t xml:space="preserve"> under the bilateral </w:t>
      </w:r>
      <w:r>
        <w:t>aid program</w:t>
      </w:r>
    </w:p>
  </w:footnote>
  <w:footnote w:id="9">
    <w:p w:rsidR="005E56EA" w:rsidRDefault="005E56EA" w:rsidP="006820D3">
      <w:pPr>
        <w:pStyle w:val="FootnoteText"/>
        <w:spacing w:line="240" w:lineRule="auto"/>
      </w:pPr>
      <w:r>
        <w:rPr>
          <w:rStyle w:val="FootnoteReference"/>
        </w:rPr>
        <w:footnoteRef/>
      </w:r>
      <w:r>
        <w:t xml:space="preserve"> Australia Awards Fellowships is a global program</w:t>
      </w:r>
    </w:p>
  </w:footnote>
  <w:footnote w:id="10">
    <w:p w:rsidR="005E56EA" w:rsidRDefault="005E56EA" w:rsidP="006820D3">
      <w:pPr>
        <w:pStyle w:val="FootnoteText"/>
        <w:spacing w:line="240" w:lineRule="auto"/>
      </w:pPr>
      <w:r>
        <w:rPr>
          <w:rStyle w:val="FootnoteReference"/>
        </w:rPr>
        <w:footnoteRef/>
      </w:r>
      <w:r>
        <w:t xml:space="preserve"> Provided by ACIAR</w:t>
      </w:r>
    </w:p>
  </w:footnote>
  <w:footnote w:id="11">
    <w:p w:rsidR="005E56EA" w:rsidRDefault="005E56EA" w:rsidP="006820D3">
      <w:pPr>
        <w:pStyle w:val="FootnoteText"/>
        <w:spacing w:line="240" w:lineRule="auto"/>
      </w:pPr>
      <w:r>
        <w:rPr>
          <w:rStyle w:val="FootnoteReference"/>
        </w:rPr>
        <w:footnoteRef/>
      </w:r>
      <w:r>
        <w:t xml:space="preserve"> Provided by DET</w:t>
      </w:r>
    </w:p>
  </w:footnote>
  <w:footnote w:id="12">
    <w:p w:rsidR="005E56EA" w:rsidRDefault="005E56EA" w:rsidP="006820D3">
      <w:pPr>
        <w:pStyle w:val="FootnoteText"/>
        <w:spacing w:line="240" w:lineRule="auto"/>
      </w:pPr>
      <w:r>
        <w:rPr>
          <w:rStyle w:val="FootnoteReference"/>
        </w:rPr>
        <w:footnoteRef/>
      </w:r>
      <w:r>
        <w:t xml:space="preserve"> Provided by DET</w:t>
      </w:r>
    </w:p>
  </w:footnote>
  <w:footnote w:id="13">
    <w:p w:rsidR="005E56EA" w:rsidRDefault="005E56EA" w:rsidP="00A67E2E">
      <w:pPr>
        <w:pStyle w:val="FootnoteText"/>
        <w:spacing w:line="240" w:lineRule="auto"/>
      </w:pPr>
      <w:r>
        <w:rPr>
          <w:rStyle w:val="FootnoteReference"/>
        </w:rPr>
        <w:footnoteRef/>
      </w:r>
      <w:r>
        <w:t xml:space="preserve"> The tracer survey was sent to 2,337 alumni for whom current contact details were available, of a total of 2,707 alumni who have returned to Vietnam in these years. There was a </w:t>
      </w:r>
      <w:r w:rsidRPr="002268EA">
        <w:rPr>
          <w:bCs/>
        </w:rPr>
        <w:t>33.6</w:t>
      </w:r>
      <w:r>
        <w:rPr>
          <w:bCs/>
        </w:rPr>
        <w:t>%</w:t>
      </w:r>
      <w:r w:rsidRPr="002268EA">
        <w:rPr>
          <w:bCs/>
        </w:rPr>
        <w:t xml:space="preserve"> </w:t>
      </w:r>
      <w:r>
        <w:rPr>
          <w:bCs/>
        </w:rPr>
        <w:t>response rate to the survey</w:t>
      </w:r>
    </w:p>
  </w:footnote>
  <w:footnote w:id="14">
    <w:p w:rsidR="005E56EA" w:rsidRDefault="005E56EA" w:rsidP="00A67E2E">
      <w:pPr>
        <w:pStyle w:val="FootnoteText"/>
        <w:spacing w:line="240" w:lineRule="auto"/>
      </w:pPr>
      <w:r>
        <w:rPr>
          <w:rStyle w:val="FootnoteReference"/>
        </w:rPr>
        <w:footnoteRef/>
      </w:r>
      <w:r>
        <w:t xml:space="preserve"> </w:t>
      </w:r>
      <w:r>
        <w:rPr>
          <w:rFonts w:cs="FranklinGothic-Book"/>
          <w:szCs w:val="21"/>
        </w:rPr>
        <w:t>2014 Tracer Study</w:t>
      </w:r>
    </w:p>
  </w:footnote>
  <w:footnote w:id="15">
    <w:p w:rsidR="005E56EA" w:rsidRDefault="005E56EA" w:rsidP="00C46054">
      <w:pPr>
        <w:pStyle w:val="FootnoteText"/>
        <w:spacing w:line="240" w:lineRule="auto"/>
      </w:pPr>
      <w:r>
        <w:rPr>
          <w:rStyle w:val="FootnoteReference"/>
        </w:rPr>
        <w:footnoteRef/>
      </w:r>
      <w:r>
        <w:t xml:space="preserve"> Vietnam TVET Management and Leadership Short Course Short Course Completion Report and Short Course Follow-up Workshop Report, 2014</w:t>
      </w:r>
    </w:p>
  </w:footnote>
  <w:footnote w:id="16">
    <w:p w:rsidR="005E56EA" w:rsidRDefault="005E56EA" w:rsidP="00675137">
      <w:pPr>
        <w:pStyle w:val="FootnoteText"/>
      </w:pPr>
      <w:r>
        <w:rPr>
          <w:rStyle w:val="FootnoteReference"/>
        </w:rPr>
        <w:footnoteRef/>
      </w:r>
      <w:r>
        <w:t xml:space="preserve"> Led by DET</w:t>
      </w:r>
    </w:p>
  </w:footnote>
  <w:footnote w:id="17">
    <w:p w:rsidR="005E56EA" w:rsidRDefault="005E56EA" w:rsidP="00675137">
      <w:pPr>
        <w:pStyle w:val="FootnoteText"/>
      </w:pPr>
      <w:r>
        <w:rPr>
          <w:rStyle w:val="FootnoteReference"/>
        </w:rPr>
        <w:footnoteRef/>
      </w:r>
      <w:r>
        <w:t xml:space="preserve"> Through DFAT’s Government Partnerships for Development program</w:t>
      </w:r>
    </w:p>
  </w:footnote>
  <w:footnote w:id="18">
    <w:p w:rsidR="005E56EA" w:rsidRDefault="005E56EA" w:rsidP="00A47563">
      <w:pPr>
        <w:pStyle w:val="FootnoteText"/>
      </w:pPr>
      <w:r>
        <w:rPr>
          <w:rStyle w:val="FootnoteReference"/>
        </w:rPr>
        <w:footnoteRef/>
      </w:r>
      <w:r>
        <w:t xml:space="preserve"> Part of the Central Mekong Delta Connectivity Project</w:t>
      </w:r>
    </w:p>
  </w:footnote>
  <w:footnote w:id="19">
    <w:p w:rsidR="005E56EA" w:rsidRDefault="005E56EA" w:rsidP="00A47563">
      <w:pPr>
        <w:pStyle w:val="FootnoteText"/>
        <w:spacing w:line="240" w:lineRule="auto"/>
      </w:pPr>
      <w:r>
        <w:rPr>
          <w:rStyle w:val="FootnoteReference"/>
        </w:rPr>
        <w:footnoteRef/>
      </w:r>
      <w:r>
        <w:t xml:space="preserve"> 210 affected households have received loans through this program out of a total 1515 households affected by the project in Dong Thap province. The remaining households that have received assistance are poor households around the project site.</w:t>
      </w:r>
    </w:p>
  </w:footnote>
  <w:footnote w:id="20">
    <w:p w:rsidR="005E56EA" w:rsidRDefault="005E56EA" w:rsidP="00F83A18">
      <w:pPr>
        <w:pStyle w:val="FootnoteText"/>
        <w:spacing w:line="240" w:lineRule="auto"/>
      </w:pPr>
      <w:r>
        <w:rPr>
          <w:rStyle w:val="FootnoteReference"/>
        </w:rPr>
        <w:footnoteRef/>
      </w:r>
      <w:r>
        <w:t xml:space="preserve"> For example: workshops and studies by the Central Economic Commission (CEC) on the SEDP and the Master Plan on Economic Restructuring 2013-2020; studies on SOEs and market distortion and institutional reforms by MPI/CIEM.</w:t>
      </w:r>
    </w:p>
  </w:footnote>
  <w:footnote w:id="21">
    <w:p w:rsidR="005E56EA" w:rsidRDefault="005E56EA" w:rsidP="00F1413A">
      <w:pPr>
        <w:pStyle w:val="FootnoteText"/>
        <w:spacing w:line="240" w:lineRule="auto"/>
      </w:pPr>
      <w:r>
        <w:rPr>
          <w:rStyle w:val="FootnoteReference"/>
        </w:rPr>
        <w:footnoteRef/>
      </w:r>
      <w:r>
        <w:t xml:space="preserve"> RWSS Annual Report, Government of Vietnam, 2014</w:t>
      </w:r>
      <w:r w:rsidRPr="007B4B08">
        <w:t xml:space="preserve"> </w:t>
      </w:r>
      <w:r>
        <w:t>(The Government of Vietnam’s RWSS NTP3 reporting is on a calendar year basis)</w:t>
      </w:r>
    </w:p>
  </w:footnote>
  <w:footnote w:id="22">
    <w:p w:rsidR="005E56EA" w:rsidRDefault="005E56EA" w:rsidP="00ED5DC9">
      <w:pPr>
        <w:pStyle w:val="FootnoteText"/>
      </w:pPr>
      <w:r>
        <w:rPr>
          <w:rStyle w:val="FootnoteReference"/>
        </w:rPr>
        <w:footnoteRef/>
      </w:r>
      <w:r>
        <w:t xml:space="preserve"> Australia’s contribution (4.3 per cent of program funding) accounts for 64,500 people)</w:t>
      </w:r>
    </w:p>
  </w:footnote>
  <w:footnote w:id="23">
    <w:p w:rsidR="005E56EA" w:rsidRDefault="005E56EA" w:rsidP="00ED5DC9">
      <w:pPr>
        <w:pStyle w:val="FootnoteText"/>
      </w:pPr>
      <w:r>
        <w:rPr>
          <w:rStyle w:val="FootnoteReference"/>
        </w:rPr>
        <w:footnoteRef/>
      </w:r>
      <w:r>
        <w:t xml:space="preserve"> Australia’s contribution (4.3 per cent of program funding) accounts for 17,200 households or 107,500 people)</w:t>
      </w:r>
    </w:p>
  </w:footnote>
  <w:footnote w:id="24">
    <w:p w:rsidR="005E56EA" w:rsidRDefault="005E56EA" w:rsidP="00ED5DC9">
      <w:pPr>
        <w:pStyle w:val="FootnoteText"/>
      </w:pPr>
      <w:r>
        <w:rPr>
          <w:rStyle w:val="FootnoteReference"/>
        </w:rPr>
        <w:footnoteRef/>
      </w:r>
      <w:r>
        <w:t xml:space="preserve"> RWSS Annual Report, Government of Vietnam, 2014</w:t>
      </w:r>
    </w:p>
  </w:footnote>
  <w:footnote w:id="25">
    <w:p w:rsidR="005E56EA" w:rsidRDefault="005E56EA" w:rsidP="00ED5DC9">
      <w:pPr>
        <w:pStyle w:val="FootnoteText"/>
      </w:pPr>
      <w:r>
        <w:rPr>
          <w:rStyle w:val="FootnoteReference"/>
        </w:rPr>
        <w:footnoteRef/>
      </w:r>
      <w:r>
        <w:t xml:space="preserve"> </w:t>
      </w:r>
      <w:r w:rsidRPr="00E61595">
        <w:t>Government of Vietnam reports on calendar basis</w:t>
      </w:r>
      <w:r>
        <w:t>. In 2013-14 this was 526 households. 2014-15 data is not yet available.</w:t>
      </w:r>
    </w:p>
  </w:footnote>
  <w:footnote w:id="26">
    <w:p w:rsidR="005E56EA" w:rsidRDefault="005E56EA" w:rsidP="00ED5DC9">
      <w:pPr>
        <w:pStyle w:val="FootnoteText"/>
      </w:pPr>
      <w:r>
        <w:rPr>
          <w:rStyle w:val="FootnoteReference"/>
        </w:rPr>
        <w:footnoteRef/>
      </w:r>
      <w:r>
        <w:t xml:space="preserve"> RWSS Annual Report, Government of Vietnam, 2014</w:t>
      </w:r>
    </w:p>
  </w:footnote>
  <w:footnote w:id="27">
    <w:p w:rsidR="005E56EA" w:rsidRDefault="005E56EA" w:rsidP="00A976A9">
      <w:pPr>
        <w:pStyle w:val="FootnoteText"/>
      </w:pPr>
      <w:r>
        <w:rPr>
          <w:rStyle w:val="FootnoteReference"/>
        </w:rPr>
        <w:footnoteRef/>
      </w:r>
      <w:r>
        <w:t xml:space="preserve"> RWSS Annual Report, Government of Vietnam, 2014</w:t>
      </w:r>
    </w:p>
  </w:footnote>
  <w:footnote w:id="28">
    <w:p w:rsidR="005E56EA" w:rsidRDefault="005E56EA" w:rsidP="00ED5DC9">
      <w:pPr>
        <w:pStyle w:val="FootnoteText"/>
      </w:pPr>
      <w:r>
        <w:rPr>
          <w:rStyle w:val="FootnoteReference"/>
        </w:rPr>
        <w:footnoteRef/>
      </w:r>
      <w:r>
        <w:t xml:space="preserve"> </w:t>
      </w:r>
      <w:r>
        <w:rPr>
          <w:lang w:eastAsia="zh-CN"/>
        </w:rPr>
        <w:t>CS WASH Fund Annual Report 2014, East Meets West, Vietnam</w:t>
      </w:r>
    </w:p>
  </w:footnote>
  <w:footnote w:id="29">
    <w:p w:rsidR="005E56EA" w:rsidRDefault="005E56EA" w:rsidP="003F23A5">
      <w:pPr>
        <w:pStyle w:val="FootnoteText"/>
        <w:spacing w:line="240" w:lineRule="auto"/>
      </w:pPr>
      <w:r>
        <w:rPr>
          <w:rStyle w:val="FootnoteReference"/>
        </w:rPr>
        <w:footnoteRef/>
      </w:r>
      <w:r>
        <w:t xml:space="preserve"> ICMP phase 1 final report</w:t>
      </w:r>
    </w:p>
  </w:footnote>
  <w:footnote w:id="30">
    <w:p w:rsidR="005E56EA" w:rsidRPr="00C77B8C" w:rsidRDefault="005E56EA" w:rsidP="003F23A5">
      <w:pPr>
        <w:pStyle w:val="FootnoteText"/>
        <w:spacing w:line="240" w:lineRule="auto"/>
      </w:pPr>
      <w:r w:rsidRPr="00C77B8C">
        <w:rPr>
          <w:rStyle w:val="FootnoteReference"/>
        </w:rPr>
        <w:footnoteRef/>
      </w:r>
      <w:r w:rsidRPr="00C77B8C">
        <w:rPr>
          <w:rStyle w:val="FootnoteReference"/>
        </w:rPr>
        <w:t xml:space="preserve"> </w:t>
      </w:r>
      <w:r w:rsidRPr="00C77B8C">
        <w:t>ICMP phase I closing workshop in August 2015</w:t>
      </w:r>
    </w:p>
  </w:footnote>
  <w:footnote w:id="31">
    <w:p w:rsidR="005E56EA" w:rsidRPr="00D12349" w:rsidRDefault="005E56EA" w:rsidP="00730CE3">
      <w:pPr>
        <w:pStyle w:val="FootnoteText"/>
        <w:spacing w:line="240" w:lineRule="auto"/>
        <w:rPr>
          <w:sz w:val="18"/>
        </w:rPr>
      </w:pPr>
      <w:r w:rsidRPr="00C77B8C">
        <w:rPr>
          <w:rStyle w:val="FootnoteReference"/>
        </w:rPr>
        <w:footnoteRef/>
      </w:r>
      <w:r w:rsidRPr="00C77B8C">
        <w:rPr>
          <w:rStyle w:val="FootnoteReference"/>
        </w:rPr>
        <w:t xml:space="preserve"> </w:t>
      </w:r>
      <w:r w:rsidRPr="00C77B8C">
        <w:t xml:space="preserve">Calculation from </w:t>
      </w:r>
      <w:r>
        <w:t>reports submitted by six NGO partners: Oxfam, SNV, Environment Defense Fund, Care, Australia Red Cross, Save the Children. These are the accumulated results to date of the whole program, not 2014-15 figures.</w:t>
      </w:r>
    </w:p>
  </w:footnote>
  <w:footnote w:id="32">
    <w:p w:rsidR="005E56EA" w:rsidRDefault="005E56EA" w:rsidP="00AF0BD8">
      <w:pPr>
        <w:pStyle w:val="FootnoteText"/>
      </w:pPr>
      <w:r>
        <w:rPr>
          <w:rStyle w:val="FootnoteReference"/>
        </w:rPr>
        <w:footnoteRef/>
      </w:r>
      <w:r>
        <w:t xml:space="preserve"> Prime Minister’s decision on policy matrix of 2015 under the SP-RCC</w:t>
      </w:r>
    </w:p>
  </w:footnote>
  <w:footnote w:id="33">
    <w:p w:rsidR="005E56EA" w:rsidRDefault="005E56EA" w:rsidP="00AF0BD8">
      <w:pPr>
        <w:pStyle w:val="FootnoteText"/>
      </w:pPr>
      <w:r>
        <w:rPr>
          <w:rStyle w:val="FootnoteReference"/>
        </w:rPr>
        <w:footnoteRef/>
      </w:r>
      <w:r>
        <w:t xml:space="preserve"> By way of context, </w:t>
      </w:r>
      <w:r w:rsidRPr="00B82130">
        <w:t>VND 400,000 per person per month is Vietnam’s official rural poverty line</w:t>
      </w:r>
    </w:p>
  </w:footnote>
  <w:footnote w:id="34">
    <w:p w:rsidR="005E56EA" w:rsidRDefault="005E56EA" w:rsidP="00B4494A">
      <w:pPr>
        <w:pStyle w:val="FootnoteText"/>
        <w:spacing w:line="240" w:lineRule="auto"/>
      </w:pPr>
      <w:r>
        <w:rPr>
          <w:rStyle w:val="FootnoteReference"/>
        </w:rPr>
        <w:footnoteRef/>
      </w:r>
      <w:r>
        <w:t xml:space="preserve"> A combined AQC report was prepared for two investments: Vietnam ADS PREP and Australian Awards Scholarship. Thus, there are seventeen investments included in the Annex D but only sixteen AQC reports. Four out of seventeen investments are under $10million. </w:t>
      </w:r>
    </w:p>
  </w:footnote>
  <w:footnote w:id="35">
    <w:p w:rsidR="005E56EA" w:rsidRDefault="005E56EA">
      <w:pPr>
        <w:pStyle w:val="FootnoteText"/>
      </w:pPr>
      <w:r>
        <w:rPr>
          <w:rStyle w:val="FootnoteReference"/>
        </w:rPr>
        <w:footnoteRef/>
      </w:r>
      <w:r>
        <w:t xml:space="preserve"> Further information is provided in the section on Objective 4</w:t>
      </w:r>
    </w:p>
  </w:footnote>
  <w:footnote w:id="36">
    <w:p w:rsidR="005E56EA" w:rsidRDefault="005E56EA" w:rsidP="009F6431">
      <w:pPr>
        <w:pStyle w:val="FootnoteText"/>
      </w:pPr>
      <w:r>
        <w:rPr>
          <w:rStyle w:val="FootnoteReference"/>
        </w:rPr>
        <w:footnoteRef/>
      </w:r>
      <w:r>
        <w:t xml:space="preserve"> </w:t>
      </w:r>
      <w:r>
        <w:rPr>
          <w:color w:val="000000" w:themeColor="text1"/>
        </w:rPr>
        <w:t>Government of Vietnam performance is highlighted under the mutual obligations section of this report.</w:t>
      </w:r>
    </w:p>
  </w:footnote>
  <w:footnote w:id="37">
    <w:p w:rsidR="005E56EA" w:rsidRDefault="005E56EA" w:rsidP="002D1C89">
      <w:pPr>
        <w:pStyle w:val="FootnoteText"/>
        <w:spacing w:line="240" w:lineRule="auto"/>
      </w:pPr>
      <w:r>
        <w:rPr>
          <w:rStyle w:val="FootnoteReference"/>
        </w:rPr>
        <w:footnoteRef/>
      </w:r>
      <w:r>
        <w:t xml:space="preserve"> Four PPAs for multilateral include two for World Bank; one for ADB and one for Climate Innovation Multi-Donor Trust Fund; Two for contractors include one for Coffey International Development PTY LTD and one for Pario Solutions Group PTY LTD; Four for NGOs include CARE Australia; Oxfam Australia; Save the Children Australia and SNV Netherlands Development Organisation.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1FA" w:rsidRDefault="003061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1FA" w:rsidRDefault="003061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1FA" w:rsidRDefault="003061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EA" w:rsidRDefault="005E56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EA" w:rsidRDefault="005E56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EA" w:rsidRDefault="005E56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880751"/>
    <w:multiLevelType w:val="hybridMultilevel"/>
    <w:tmpl w:val="D256AAE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nsid w:val="11B86F8B"/>
    <w:multiLevelType w:val="hybridMultilevel"/>
    <w:tmpl w:val="0D9C83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5">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CA2AAF"/>
    <w:multiLevelType w:val="hybridMultilevel"/>
    <w:tmpl w:val="580C35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A027BC3"/>
    <w:multiLevelType w:val="hybridMultilevel"/>
    <w:tmpl w:val="867E27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0">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1">
    <w:nsid w:val="250567A5"/>
    <w:multiLevelType w:val="hybridMultilevel"/>
    <w:tmpl w:val="DBCE120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nsid w:val="34556170"/>
    <w:multiLevelType w:val="hybridMultilevel"/>
    <w:tmpl w:val="865881E4"/>
    <w:lvl w:ilvl="0" w:tplc="0C090001">
      <w:start w:val="1"/>
      <w:numFmt w:val="bullet"/>
      <w:lvlText w:val=""/>
      <w:lvlJc w:val="left"/>
      <w:pPr>
        <w:tabs>
          <w:tab w:val="num" w:pos="685"/>
        </w:tabs>
        <w:ind w:left="685" w:hanging="360"/>
      </w:pPr>
      <w:rPr>
        <w:rFonts w:ascii="Symbol" w:hAnsi="Symbol" w:hint="default"/>
      </w:rPr>
    </w:lvl>
    <w:lvl w:ilvl="1" w:tplc="0C090003" w:tentative="1">
      <w:start w:val="1"/>
      <w:numFmt w:val="bullet"/>
      <w:lvlText w:val="o"/>
      <w:lvlJc w:val="left"/>
      <w:pPr>
        <w:tabs>
          <w:tab w:val="num" w:pos="1405"/>
        </w:tabs>
        <w:ind w:left="1405" w:hanging="360"/>
      </w:pPr>
      <w:rPr>
        <w:rFonts w:ascii="Courier New" w:hAnsi="Courier New" w:cs="Courier New" w:hint="default"/>
      </w:rPr>
    </w:lvl>
    <w:lvl w:ilvl="2" w:tplc="0C090005" w:tentative="1">
      <w:start w:val="1"/>
      <w:numFmt w:val="bullet"/>
      <w:lvlText w:val=""/>
      <w:lvlJc w:val="left"/>
      <w:pPr>
        <w:tabs>
          <w:tab w:val="num" w:pos="2125"/>
        </w:tabs>
        <w:ind w:left="2125" w:hanging="360"/>
      </w:pPr>
      <w:rPr>
        <w:rFonts w:ascii="Wingdings" w:hAnsi="Wingdings" w:hint="default"/>
      </w:rPr>
    </w:lvl>
    <w:lvl w:ilvl="3" w:tplc="0C090001" w:tentative="1">
      <w:start w:val="1"/>
      <w:numFmt w:val="bullet"/>
      <w:lvlText w:val=""/>
      <w:lvlJc w:val="left"/>
      <w:pPr>
        <w:tabs>
          <w:tab w:val="num" w:pos="2845"/>
        </w:tabs>
        <w:ind w:left="2845" w:hanging="360"/>
      </w:pPr>
      <w:rPr>
        <w:rFonts w:ascii="Symbol" w:hAnsi="Symbol" w:hint="default"/>
      </w:rPr>
    </w:lvl>
    <w:lvl w:ilvl="4" w:tplc="0C090003" w:tentative="1">
      <w:start w:val="1"/>
      <w:numFmt w:val="bullet"/>
      <w:lvlText w:val="o"/>
      <w:lvlJc w:val="left"/>
      <w:pPr>
        <w:tabs>
          <w:tab w:val="num" w:pos="3565"/>
        </w:tabs>
        <w:ind w:left="3565" w:hanging="360"/>
      </w:pPr>
      <w:rPr>
        <w:rFonts w:ascii="Courier New" w:hAnsi="Courier New" w:cs="Courier New" w:hint="default"/>
      </w:rPr>
    </w:lvl>
    <w:lvl w:ilvl="5" w:tplc="0C090005" w:tentative="1">
      <w:start w:val="1"/>
      <w:numFmt w:val="bullet"/>
      <w:lvlText w:val=""/>
      <w:lvlJc w:val="left"/>
      <w:pPr>
        <w:tabs>
          <w:tab w:val="num" w:pos="4285"/>
        </w:tabs>
        <w:ind w:left="4285" w:hanging="360"/>
      </w:pPr>
      <w:rPr>
        <w:rFonts w:ascii="Wingdings" w:hAnsi="Wingdings" w:hint="default"/>
      </w:rPr>
    </w:lvl>
    <w:lvl w:ilvl="6" w:tplc="0C090001" w:tentative="1">
      <w:start w:val="1"/>
      <w:numFmt w:val="bullet"/>
      <w:lvlText w:val=""/>
      <w:lvlJc w:val="left"/>
      <w:pPr>
        <w:tabs>
          <w:tab w:val="num" w:pos="5005"/>
        </w:tabs>
        <w:ind w:left="5005" w:hanging="360"/>
      </w:pPr>
      <w:rPr>
        <w:rFonts w:ascii="Symbol" w:hAnsi="Symbol" w:hint="default"/>
      </w:rPr>
    </w:lvl>
    <w:lvl w:ilvl="7" w:tplc="0C090003" w:tentative="1">
      <w:start w:val="1"/>
      <w:numFmt w:val="bullet"/>
      <w:lvlText w:val="o"/>
      <w:lvlJc w:val="left"/>
      <w:pPr>
        <w:tabs>
          <w:tab w:val="num" w:pos="5725"/>
        </w:tabs>
        <w:ind w:left="5725" w:hanging="360"/>
      </w:pPr>
      <w:rPr>
        <w:rFonts w:ascii="Courier New" w:hAnsi="Courier New" w:cs="Courier New" w:hint="default"/>
      </w:rPr>
    </w:lvl>
    <w:lvl w:ilvl="8" w:tplc="0C090005" w:tentative="1">
      <w:start w:val="1"/>
      <w:numFmt w:val="bullet"/>
      <w:lvlText w:val=""/>
      <w:lvlJc w:val="left"/>
      <w:pPr>
        <w:tabs>
          <w:tab w:val="num" w:pos="6445"/>
        </w:tabs>
        <w:ind w:left="6445" w:hanging="360"/>
      </w:pPr>
      <w:rPr>
        <w:rFonts w:ascii="Wingdings" w:hAnsi="Wingdings" w:hint="default"/>
      </w:rPr>
    </w:lvl>
  </w:abstractNum>
  <w:abstractNum w:abstractNumId="16">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0B0685"/>
    <w:multiLevelType w:val="hybridMultilevel"/>
    <w:tmpl w:val="75E2EF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50E7A18"/>
    <w:multiLevelType w:val="hybridMultilevel"/>
    <w:tmpl w:val="5B180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7"/>
  </w:num>
  <w:num w:numId="4">
    <w:abstractNumId w:val="20"/>
  </w:num>
  <w:num w:numId="5">
    <w:abstractNumId w:val="19"/>
  </w:num>
  <w:num w:numId="6">
    <w:abstractNumId w:val="16"/>
  </w:num>
  <w:num w:numId="7">
    <w:abstractNumId w:val="24"/>
  </w:num>
  <w:num w:numId="8">
    <w:abstractNumId w:val="5"/>
  </w:num>
  <w:num w:numId="9">
    <w:abstractNumId w:val="10"/>
  </w:num>
  <w:num w:numId="10">
    <w:abstractNumId w:val="25"/>
  </w:num>
  <w:num w:numId="11">
    <w:abstractNumId w:val="26"/>
  </w:num>
  <w:num w:numId="12">
    <w:abstractNumId w:val="0"/>
  </w:num>
  <w:num w:numId="13">
    <w:abstractNumId w:val="2"/>
  </w:num>
  <w:num w:numId="14">
    <w:abstractNumId w:val="23"/>
  </w:num>
  <w:num w:numId="15">
    <w:abstractNumId w:val="1"/>
  </w:num>
  <w:num w:numId="16">
    <w:abstractNumId w:val="14"/>
  </w:num>
  <w:num w:numId="17">
    <w:abstractNumId w:val="12"/>
  </w:num>
  <w:num w:numId="18">
    <w:abstractNumId w:val="9"/>
  </w:num>
  <w:num w:numId="19">
    <w:abstractNumId w:val="18"/>
  </w:num>
  <w:num w:numId="20">
    <w:abstractNumId w:val="8"/>
  </w:num>
  <w:num w:numId="21">
    <w:abstractNumId w:val="11"/>
  </w:num>
  <w:num w:numId="22">
    <w:abstractNumId w:val="17"/>
  </w:num>
  <w:num w:numId="23">
    <w:abstractNumId w:val="3"/>
  </w:num>
  <w:num w:numId="24">
    <w:abstractNumId w:val="6"/>
  </w:num>
  <w:num w:numId="25">
    <w:abstractNumId w:val="4"/>
  </w:num>
  <w:num w:numId="26">
    <w:abstractNumId w:val="15"/>
  </w:num>
  <w:num w:numId="2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A92"/>
    <w:rsid w:val="00002E28"/>
    <w:rsid w:val="000039CF"/>
    <w:rsid w:val="00004E18"/>
    <w:rsid w:val="00007E94"/>
    <w:rsid w:val="000142A2"/>
    <w:rsid w:val="000143D9"/>
    <w:rsid w:val="000150AF"/>
    <w:rsid w:val="00020121"/>
    <w:rsid w:val="00021A9E"/>
    <w:rsid w:val="00021B56"/>
    <w:rsid w:val="00027629"/>
    <w:rsid w:val="00030111"/>
    <w:rsid w:val="00030554"/>
    <w:rsid w:val="00031100"/>
    <w:rsid w:val="00031248"/>
    <w:rsid w:val="00031349"/>
    <w:rsid w:val="00031EB5"/>
    <w:rsid w:val="0003231A"/>
    <w:rsid w:val="000341AD"/>
    <w:rsid w:val="00040AF6"/>
    <w:rsid w:val="00040F84"/>
    <w:rsid w:val="000426DF"/>
    <w:rsid w:val="000529AD"/>
    <w:rsid w:val="00054CA4"/>
    <w:rsid w:val="0005506B"/>
    <w:rsid w:val="000550B0"/>
    <w:rsid w:val="00055E78"/>
    <w:rsid w:val="0005637C"/>
    <w:rsid w:val="00057589"/>
    <w:rsid w:val="00057D09"/>
    <w:rsid w:val="00060549"/>
    <w:rsid w:val="00060BE7"/>
    <w:rsid w:val="000628B5"/>
    <w:rsid w:val="0007048D"/>
    <w:rsid w:val="0007149C"/>
    <w:rsid w:val="00071B95"/>
    <w:rsid w:val="0007395B"/>
    <w:rsid w:val="000745E2"/>
    <w:rsid w:val="000747E8"/>
    <w:rsid w:val="00075E62"/>
    <w:rsid w:val="0007703B"/>
    <w:rsid w:val="000774FD"/>
    <w:rsid w:val="000778C1"/>
    <w:rsid w:val="00081875"/>
    <w:rsid w:val="000818C0"/>
    <w:rsid w:val="00081B5B"/>
    <w:rsid w:val="00081F4E"/>
    <w:rsid w:val="0008386B"/>
    <w:rsid w:val="000845DD"/>
    <w:rsid w:val="000865D3"/>
    <w:rsid w:val="000905A8"/>
    <w:rsid w:val="00091878"/>
    <w:rsid w:val="0009492E"/>
    <w:rsid w:val="000957FC"/>
    <w:rsid w:val="00095CF5"/>
    <w:rsid w:val="00096C86"/>
    <w:rsid w:val="000979A0"/>
    <w:rsid w:val="00097B02"/>
    <w:rsid w:val="000A0FD3"/>
    <w:rsid w:val="000A1618"/>
    <w:rsid w:val="000A4247"/>
    <w:rsid w:val="000A5C76"/>
    <w:rsid w:val="000A67C9"/>
    <w:rsid w:val="000A714B"/>
    <w:rsid w:val="000B0391"/>
    <w:rsid w:val="000B307F"/>
    <w:rsid w:val="000B3121"/>
    <w:rsid w:val="000B4988"/>
    <w:rsid w:val="000B68F6"/>
    <w:rsid w:val="000B6BE5"/>
    <w:rsid w:val="000B6FEA"/>
    <w:rsid w:val="000B75E8"/>
    <w:rsid w:val="000C01D3"/>
    <w:rsid w:val="000C258A"/>
    <w:rsid w:val="000C29BF"/>
    <w:rsid w:val="000C4A7A"/>
    <w:rsid w:val="000C6080"/>
    <w:rsid w:val="000C60A8"/>
    <w:rsid w:val="000D151B"/>
    <w:rsid w:val="000D1993"/>
    <w:rsid w:val="000D1BF3"/>
    <w:rsid w:val="000D2CDD"/>
    <w:rsid w:val="000D3A41"/>
    <w:rsid w:val="000D45B6"/>
    <w:rsid w:val="000D6952"/>
    <w:rsid w:val="000D733F"/>
    <w:rsid w:val="000D7605"/>
    <w:rsid w:val="000D7952"/>
    <w:rsid w:val="000E24F8"/>
    <w:rsid w:val="000E42F3"/>
    <w:rsid w:val="000E4573"/>
    <w:rsid w:val="000E7297"/>
    <w:rsid w:val="000E7A8D"/>
    <w:rsid w:val="000F25CD"/>
    <w:rsid w:val="000F2D94"/>
    <w:rsid w:val="00100485"/>
    <w:rsid w:val="001007F4"/>
    <w:rsid w:val="00100AA2"/>
    <w:rsid w:val="001020C1"/>
    <w:rsid w:val="00103BEB"/>
    <w:rsid w:val="00106185"/>
    <w:rsid w:val="00106BDC"/>
    <w:rsid w:val="0010729C"/>
    <w:rsid w:val="00107DC3"/>
    <w:rsid w:val="00112E97"/>
    <w:rsid w:val="001139DE"/>
    <w:rsid w:val="00114751"/>
    <w:rsid w:val="001154CA"/>
    <w:rsid w:val="00115C27"/>
    <w:rsid w:val="001171DE"/>
    <w:rsid w:val="00120FC7"/>
    <w:rsid w:val="00122038"/>
    <w:rsid w:val="00122299"/>
    <w:rsid w:val="001227C3"/>
    <w:rsid w:val="0012429A"/>
    <w:rsid w:val="00125002"/>
    <w:rsid w:val="001258C6"/>
    <w:rsid w:val="0012793C"/>
    <w:rsid w:val="00131FF0"/>
    <w:rsid w:val="00132003"/>
    <w:rsid w:val="00132569"/>
    <w:rsid w:val="00132643"/>
    <w:rsid w:val="00133AAD"/>
    <w:rsid w:val="00135806"/>
    <w:rsid w:val="001366B4"/>
    <w:rsid w:val="00136CC1"/>
    <w:rsid w:val="001375E3"/>
    <w:rsid w:val="001414CF"/>
    <w:rsid w:val="00141A30"/>
    <w:rsid w:val="00143053"/>
    <w:rsid w:val="0014411B"/>
    <w:rsid w:val="001448E7"/>
    <w:rsid w:val="00147846"/>
    <w:rsid w:val="0015043E"/>
    <w:rsid w:val="00152DFD"/>
    <w:rsid w:val="00154EF9"/>
    <w:rsid w:val="0015739C"/>
    <w:rsid w:val="00157858"/>
    <w:rsid w:val="001601A2"/>
    <w:rsid w:val="001612CE"/>
    <w:rsid w:val="001624FB"/>
    <w:rsid w:val="0016544D"/>
    <w:rsid w:val="001657F1"/>
    <w:rsid w:val="00167331"/>
    <w:rsid w:val="0016740F"/>
    <w:rsid w:val="00167841"/>
    <w:rsid w:val="0017082E"/>
    <w:rsid w:val="00171BB2"/>
    <w:rsid w:val="00173C6E"/>
    <w:rsid w:val="00175E4C"/>
    <w:rsid w:val="001772FD"/>
    <w:rsid w:val="00177FF9"/>
    <w:rsid w:val="00180B19"/>
    <w:rsid w:val="00180F3A"/>
    <w:rsid w:val="0018196F"/>
    <w:rsid w:val="001829BB"/>
    <w:rsid w:val="0018305E"/>
    <w:rsid w:val="0018353A"/>
    <w:rsid w:val="001862A2"/>
    <w:rsid w:val="00190821"/>
    <w:rsid w:val="00190B4C"/>
    <w:rsid w:val="00192006"/>
    <w:rsid w:val="00192498"/>
    <w:rsid w:val="001943B6"/>
    <w:rsid w:val="0019451C"/>
    <w:rsid w:val="00194806"/>
    <w:rsid w:val="00194B89"/>
    <w:rsid w:val="001A374B"/>
    <w:rsid w:val="001A4FE3"/>
    <w:rsid w:val="001A6177"/>
    <w:rsid w:val="001A7E90"/>
    <w:rsid w:val="001B1652"/>
    <w:rsid w:val="001B1A0C"/>
    <w:rsid w:val="001B2948"/>
    <w:rsid w:val="001B41CD"/>
    <w:rsid w:val="001B6CD8"/>
    <w:rsid w:val="001B714C"/>
    <w:rsid w:val="001C1EA0"/>
    <w:rsid w:val="001C31B9"/>
    <w:rsid w:val="001C507E"/>
    <w:rsid w:val="001C700E"/>
    <w:rsid w:val="001C7117"/>
    <w:rsid w:val="001C745A"/>
    <w:rsid w:val="001C7DDD"/>
    <w:rsid w:val="001D20FC"/>
    <w:rsid w:val="001D210A"/>
    <w:rsid w:val="001D6059"/>
    <w:rsid w:val="001D6515"/>
    <w:rsid w:val="001D7E98"/>
    <w:rsid w:val="001E4735"/>
    <w:rsid w:val="001E4BDE"/>
    <w:rsid w:val="001E6635"/>
    <w:rsid w:val="001E6C02"/>
    <w:rsid w:val="001E7784"/>
    <w:rsid w:val="001F12A2"/>
    <w:rsid w:val="001F2F5C"/>
    <w:rsid w:val="001F5CB1"/>
    <w:rsid w:val="001F61A8"/>
    <w:rsid w:val="001F7480"/>
    <w:rsid w:val="00201174"/>
    <w:rsid w:val="00202880"/>
    <w:rsid w:val="00202E4E"/>
    <w:rsid w:val="00203BCC"/>
    <w:rsid w:val="00205E0B"/>
    <w:rsid w:val="00205F2B"/>
    <w:rsid w:val="00207EE6"/>
    <w:rsid w:val="002115BD"/>
    <w:rsid w:val="002126BA"/>
    <w:rsid w:val="00212B27"/>
    <w:rsid w:val="00214E38"/>
    <w:rsid w:val="00214EE1"/>
    <w:rsid w:val="0021515C"/>
    <w:rsid w:val="002200D9"/>
    <w:rsid w:val="002227A9"/>
    <w:rsid w:val="00223901"/>
    <w:rsid w:val="00224EF0"/>
    <w:rsid w:val="00226DEE"/>
    <w:rsid w:val="0023035B"/>
    <w:rsid w:val="00231D45"/>
    <w:rsid w:val="002335A9"/>
    <w:rsid w:val="002343CF"/>
    <w:rsid w:val="00235D29"/>
    <w:rsid w:val="002363D9"/>
    <w:rsid w:val="00236B8C"/>
    <w:rsid w:val="002373C6"/>
    <w:rsid w:val="00237C4B"/>
    <w:rsid w:val="0024009A"/>
    <w:rsid w:val="00240D59"/>
    <w:rsid w:val="00242C0A"/>
    <w:rsid w:val="002441D5"/>
    <w:rsid w:val="00246E5F"/>
    <w:rsid w:val="00247FC2"/>
    <w:rsid w:val="00254374"/>
    <w:rsid w:val="00255C91"/>
    <w:rsid w:val="00261E78"/>
    <w:rsid w:val="00262770"/>
    <w:rsid w:val="00263F5F"/>
    <w:rsid w:val="00264F18"/>
    <w:rsid w:val="002660AA"/>
    <w:rsid w:val="00266AA9"/>
    <w:rsid w:val="00270872"/>
    <w:rsid w:val="00270898"/>
    <w:rsid w:val="00272AF0"/>
    <w:rsid w:val="00273C6F"/>
    <w:rsid w:val="00275C42"/>
    <w:rsid w:val="00277C59"/>
    <w:rsid w:val="00281039"/>
    <w:rsid w:val="0028267D"/>
    <w:rsid w:val="00282FEF"/>
    <w:rsid w:val="002849B4"/>
    <w:rsid w:val="00286F0D"/>
    <w:rsid w:val="002911A4"/>
    <w:rsid w:val="00291F1C"/>
    <w:rsid w:val="002944FF"/>
    <w:rsid w:val="002952F7"/>
    <w:rsid w:val="00295892"/>
    <w:rsid w:val="00297BBB"/>
    <w:rsid w:val="00297FA7"/>
    <w:rsid w:val="002A15F4"/>
    <w:rsid w:val="002A1935"/>
    <w:rsid w:val="002A1A79"/>
    <w:rsid w:val="002A21D1"/>
    <w:rsid w:val="002A22F7"/>
    <w:rsid w:val="002A2EE3"/>
    <w:rsid w:val="002A449A"/>
    <w:rsid w:val="002A4D70"/>
    <w:rsid w:val="002A65C3"/>
    <w:rsid w:val="002B1CB1"/>
    <w:rsid w:val="002B1F66"/>
    <w:rsid w:val="002B31B3"/>
    <w:rsid w:val="002B433A"/>
    <w:rsid w:val="002B53AE"/>
    <w:rsid w:val="002B61A8"/>
    <w:rsid w:val="002B6EBE"/>
    <w:rsid w:val="002B79D4"/>
    <w:rsid w:val="002C0DD8"/>
    <w:rsid w:val="002C1E00"/>
    <w:rsid w:val="002C364C"/>
    <w:rsid w:val="002C5722"/>
    <w:rsid w:val="002C639B"/>
    <w:rsid w:val="002D1328"/>
    <w:rsid w:val="002D1C89"/>
    <w:rsid w:val="002D464A"/>
    <w:rsid w:val="002D5D7B"/>
    <w:rsid w:val="002D627E"/>
    <w:rsid w:val="002D6914"/>
    <w:rsid w:val="002D6DF0"/>
    <w:rsid w:val="002D7FFA"/>
    <w:rsid w:val="002E0D92"/>
    <w:rsid w:val="002E3B38"/>
    <w:rsid w:val="002E55EA"/>
    <w:rsid w:val="002E5604"/>
    <w:rsid w:val="002F2E20"/>
    <w:rsid w:val="002F479A"/>
    <w:rsid w:val="002F54F3"/>
    <w:rsid w:val="002F5703"/>
    <w:rsid w:val="002F5A14"/>
    <w:rsid w:val="002F70A9"/>
    <w:rsid w:val="00303038"/>
    <w:rsid w:val="0030318A"/>
    <w:rsid w:val="00305BB0"/>
    <w:rsid w:val="00305FC5"/>
    <w:rsid w:val="003061FA"/>
    <w:rsid w:val="00306734"/>
    <w:rsid w:val="00310426"/>
    <w:rsid w:val="00310974"/>
    <w:rsid w:val="00313E45"/>
    <w:rsid w:val="00315135"/>
    <w:rsid w:val="00315D13"/>
    <w:rsid w:val="003167E5"/>
    <w:rsid w:val="00317BAD"/>
    <w:rsid w:val="00320C8E"/>
    <w:rsid w:val="00320FCE"/>
    <w:rsid w:val="003223F8"/>
    <w:rsid w:val="0032292A"/>
    <w:rsid w:val="00322D92"/>
    <w:rsid w:val="0032486D"/>
    <w:rsid w:val="003260C0"/>
    <w:rsid w:val="003266E1"/>
    <w:rsid w:val="00326B5A"/>
    <w:rsid w:val="003275D0"/>
    <w:rsid w:val="003279FD"/>
    <w:rsid w:val="003305E3"/>
    <w:rsid w:val="003326BE"/>
    <w:rsid w:val="003327F8"/>
    <w:rsid w:val="00335F19"/>
    <w:rsid w:val="0033606A"/>
    <w:rsid w:val="003363C7"/>
    <w:rsid w:val="00341177"/>
    <w:rsid w:val="00341311"/>
    <w:rsid w:val="00342BF7"/>
    <w:rsid w:val="00343B25"/>
    <w:rsid w:val="00345B8E"/>
    <w:rsid w:val="00351ACA"/>
    <w:rsid w:val="00352AE5"/>
    <w:rsid w:val="00354FAF"/>
    <w:rsid w:val="0035550C"/>
    <w:rsid w:val="00356AD8"/>
    <w:rsid w:val="003571F7"/>
    <w:rsid w:val="00357648"/>
    <w:rsid w:val="00357AF7"/>
    <w:rsid w:val="00360662"/>
    <w:rsid w:val="00362B6B"/>
    <w:rsid w:val="0036725B"/>
    <w:rsid w:val="00371F53"/>
    <w:rsid w:val="00372D2E"/>
    <w:rsid w:val="00372E1B"/>
    <w:rsid w:val="003743C8"/>
    <w:rsid w:val="00377218"/>
    <w:rsid w:val="00383294"/>
    <w:rsid w:val="00383F3F"/>
    <w:rsid w:val="00384342"/>
    <w:rsid w:val="003849ED"/>
    <w:rsid w:val="00385A4C"/>
    <w:rsid w:val="00385E6A"/>
    <w:rsid w:val="00392981"/>
    <w:rsid w:val="00395CFA"/>
    <w:rsid w:val="003960E7"/>
    <w:rsid w:val="003A029F"/>
    <w:rsid w:val="003A2059"/>
    <w:rsid w:val="003A27D2"/>
    <w:rsid w:val="003A2D7B"/>
    <w:rsid w:val="003A344F"/>
    <w:rsid w:val="003A69D8"/>
    <w:rsid w:val="003A74BF"/>
    <w:rsid w:val="003B060E"/>
    <w:rsid w:val="003B0BDD"/>
    <w:rsid w:val="003B122C"/>
    <w:rsid w:val="003B260C"/>
    <w:rsid w:val="003B2756"/>
    <w:rsid w:val="003B5F7E"/>
    <w:rsid w:val="003C15AE"/>
    <w:rsid w:val="003C1FF5"/>
    <w:rsid w:val="003C288C"/>
    <w:rsid w:val="003C31EE"/>
    <w:rsid w:val="003C3FE0"/>
    <w:rsid w:val="003C7721"/>
    <w:rsid w:val="003D081D"/>
    <w:rsid w:val="003D1FBB"/>
    <w:rsid w:val="003D2E2F"/>
    <w:rsid w:val="003D44F4"/>
    <w:rsid w:val="003E008B"/>
    <w:rsid w:val="003E06FB"/>
    <w:rsid w:val="003E0E66"/>
    <w:rsid w:val="003E4982"/>
    <w:rsid w:val="003E63B3"/>
    <w:rsid w:val="003E6E05"/>
    <w:rsid w:val="003E7AA9"/>
    <w:rsid w:val="003F0EEA"/>
    <w:rsid w:val="003F23A5"/>
    <w:rsid w:val="003F7D8E"/>
    <w:rsid w:val="00400415"/>
    <w:rsid w:val="00403152"/>
    <w:rsid w:val="00403AAA"/>
    <w:rsid w:val="00405831"/>
    <w:rsid w:val="00406000"/>
    <w:rsid w:val="004060A6"/>
    <w:rsid w:val="00412707"/>
    <w:rsid w:val="00413539"/>
    <w:rsid w:val="0041396D"/>
    <w:rsid w:val="00415A92"/>
    <w:rsid w:val="00416B02"/>
    <w:rsid w:val="0041730D"/>
    <w:rsid w:val="00417746"/>
    <w:rsid w:val="00420E02"/>
    <w:rsid w:val="00421D39"/>
    <w:rsid w:val="004228CD"/>
    <w:rsid w:val="00423BF7"/>
    <w:rsid w:val="0042527A"/>
    <w:rsid w:val="00426354"/>
    <w:rsid w:val="00426452"/>
    <w:rsid w:val="004309E9"/>
    <w:rsid w:val="00436BA1"/>
    <w:rsid w:val="00437C95"/>
    <w:rsid w:val="00437E0B"/>
    <w:rsid w:val="0044186B"/>
    <w:rsid w:val="00441E77"/>
    <w:rsid w:val="00443639"/>
    <w:rsid w:val="004450BD"/>
    <w:rsid w:val="004453CE"/>
    <w:rsid w:val="00445A3B"/>
    <w:rsid w:val="00445C4E"/>
    <w:rsid w:val="00445FE0"/>
    <w:rsid w:val="00446742"/>
    <w:rsid w:val="004508F4"/>
    <w:rsid w:val="0045117A"/>
    <w:rsid w:val="00451A9F"/>
    <w:rsid w:val="0045205E"/>
    <w:rsid w:val="0045475F"/>
    <w:rsid w:val="0045506C"/>
    <w:rsid w:val="0045669C"/>
    <w:rsid w:val="00462000"/>
    <w:rsid w:val="00466C98"/>
    <w:rsid w:val="00467C3F"/>
    <w:rsid w:val="00467CE4"/>
    <w:rsid w:val="00473E29"/>
    <w:rsid w:val="0047710F"/>
    <w:rsid w:val="004814B0"/>
    <w:rsid w:val="00481777"/>
    <w:rsid w:val="00482FE9"/>
    <w:rsid w:val="00490BDE"/>
    <w:rsid w:val="00490D31"/>
    <w:rsid w:val="00494102"/>
    <w:rsid w:val="00494504"/>
    <w:rsid w:val="004957EC"/>
    <w:rsid w:val="00496F8D"/>
    <w:rsid w:val="004A2EC3"/>
    <w:rsid w:val="004A3F38"/>
    <w:rsid w:val="004A4683"/>
    <w:rsid w:val="004A568F"/>
    <w:rsid w:val="004A7400"/>
    <w:rsid w:val="004A7988"/>
    <w:rsid w:val="004B201A"/>
    <w:rsid w:val="004B25E5"/>
    <w:rsid w:val="004B41B9"/>
    <w:rsid w:val="004B43C3"/>
    <w:rsid w:val="004B4A44"/>
    <w:rsid w:val="004B64F3"/>
    <w:rsid w:val="004C2D7C"/>
    <w:rsid w:val="004C3026"/>
    <w:rsid w:val="004C33EA"/>
    <w:rsid w:val="004C36CF"/>
    <w:rsid w:val="004C408E"/>
    <w:rsid w:val="004C4A3E"/>
    <w:rsid w:val="004C59EA"/>
    <w:rsid w:val="004C65C6"/>
    <w:rsid w:val="004C660D"/>
    <w:rsid w:val="004C7E92"/>
    <w:rsid w:val="004D0699"/>
    <w:rsid w:val="004D1529"/>
    <w:rsid w:val="004D18E1"/>
    <w:rsid w:val="004D19CE"/>
    <w:rsid w:val="004D23F6"/>
    <w:rsid w:val="004D2ED0"/>
    <w:rsid w:val="004D4522"/>
    <w:rsid w:val="004D5B48"/>
    <w:rsid w:val="004D740B"/>
    <w:rsid w:val="004E01E9"/>
    <w:rsid w:val="004E3E40"/>
    <w:rsid w:val="004E570D"/>
    <w:rsid w:val="004E6400"/>
    <w:rsid w:val="004E642E"/>
    <w:rsid w:val="004E6924"/>
    <w:rsid w:val="004E6A61"/>
    <w:rsid w:val="004E6E33"/>
    <w:rsid w:val="004E702A"/>
    <w:rsid w:val="004F0C2D"/>
    <w:rsid w:val="004F3D7E"/>
    <w:rsid w:val="004F4630"/>
    <w:rsid w:val="004F521E"/>
    <w:rsid w:val="004F6547"/>
    <w:rsid w:val="004F6FEE"/>
    <w:rsid w:val="004F7AEA"/>
    <w:rsid w:val="00500EB4"/>
    <w:rsid w:val="00501CD2"/>
    <w:rsid w:val="00501F5C"/>
    <w:rsid w:val="00502613"/>
    <w:rsid w:val="00503974"/>
    <w:rsid w:val="0050439B"/>
    <w:rsid w:val="0050529F"/>
    <w:rsid w:val="00506A51"/>
    <w:rsid w:val="005110C3"/>
    <w:rsid w:val="00511A0F"/>
    <w:rsid w:val="00513634"/>
    <w:rsid w:val="00514B5E"/>
    <w:rsid w:val="00515727"/>
    <w:rsid w:val="005157C1"/>
    <w:rsid w:val="00515954"/>
    <w:rsid w:val="00515B83"/>
    <w:rsid w:val="00515E3D"/>
    <w:rsid w:val="00516D93"/>
    <w:rsid w:val="005208AC"/>
    <w:rsid w:val="005226E1"/>
    <w:rsid w:val="0052286C"/>
    <w:rsid w:val="00522AB9"/>
    <w:rsid w:val="0052327A"/>
    <w:rsid w:val="005247DE"/>
    <w:rsid w:val="005265B9"/>
    <w:rsid w:val="005307E8"/>
    <w:rsid w:val="0053175E"/>
    <w:rsid w:val="00533533"/>
    <w:rsid w:val="00533E0A"/>
    <w:rsid w:val="00534AB0"/>
    <w:rsid w:val="00534CCB"/>
    <w:rsid w:val="00535C99"/>
    <w:rsid w:val="00535E24"/>
    <w:rsid w:val="00536C3E"/>
    <w:rsid w:val="00537E02"/>
    <w:rsid w:val="00542718"/>
    <w:rsid w:val="00543224"/>
    <w:rsid w:val="005440F6"/>
    <w:rsid w:val="00544CCD"/>
    <w:rsid w:val="0054557A"/>
    <w:rsid w:val="00546DD6"/>
    <w:rsid w:val="00547869"/>
    <w:rsid w:val="0055172C"/>
    <w:rsid w:val="00554C83"/>
    <w:rsid w:val="0055569F"/>
    <w:rsid w:val="0055771D"/>
    <w:rsid w:val="00557DCA"/>
    <w:rsid w:val="005609B0"/>
    <w:rsid w:val="00560D15"/>
    <w:rsid w:val="00565055"/>
    <w:rsid w:val="00565635"/>
    <w:rsid w:val="00567FCF"/>
    <w:rsid w:val="00570765"/>
    <w:rsid w:val="00570A53"/>
    <w:rsid w:val="00571521"/>
    <w:rsid w:val="00572469"/>
    <w:rsid w:val="005732BD"/>
    <w:rsid w:val="005733F9"/>
    <w:rsid w:val="00573E59"/>
    <w:rsid w:val="0057490F"/>
    <w:rsid w:val="00575295"/>
    <w:rsid w:val="00575A97"/>
    <w:rsid w:val="00581979"/>
    <w:rsid w:val="00581C01"/>
    <w:rsid w:val="00581CA0"/>
    <w:rsid w:val="0058242D"/>
    <w:rsid w:val="00582C22"/>
    <w:rsid w:val="005845CB"/>
    <w:rsid w:val="0058498A"/>
    <w:rsid w:val="00586350"/>
    <w:rsid w:val="00586583"/>
    <w:rsid w:val="00586CDB"/>
    <w:rsid w:val="005901D2"/>
    <w:rsid w:val="005939D7"/>
    <w:rsid w:val="0059461A"/>
    <w:rsid w:val="00596399"/>
    <w:rsid w:val="00597520"/>
    <w:rsid w:val="005A18C5"/>
    <w:rsid w:val="005A2359"/>
    <w:rsid w:val="005A3ED5"/>
    <w:rsid w:val="005A4C22"/>
    <w:rsid w:val="005A511C"/>
    <w:rsid w:val="005A7CF6"/>
    <w:rsid w:val="005B42EE"/>
    <w:rsid w:val="005B4F7A"/>
    <w:rsid w:val="005B537E"/>
    <w:rsid w:val="005B7C71"/>
    <w:rsid w:val="005C310A"/>
    <w:rsid w:val="005C4A6B"/>
    <w:rsid w:val="005C661F"/>
    <w:rsid w:val="005D2A59"/>
    <w:rsid w:val="005D2D64"/>
    <w:rsid w:val="005D4F71"/>
    <w:rsid w:val="005D6C06"/>
    <w:rsid w:val="005E56EA"/>
    <w:rsid w:val="005E690E"/>
    <w:rsid w:val="005F0AEB"/>
    <w:rsid w:val="005F0C00"/>
    <w:rsid w:val="005F15ED"/>
    <w:rsid w:val="005F19C8"/>
    <w:rsid w:val="005F33F2"/>
    <w:rsid w:val="005F3849"/>
    <w:rsid w:val="005F460C"/>
    <w:rsid w:val="005F51F6"/>
    <w:rsid w:val="005F6643"/>
    <w:rsid w:val="005F74D0"/>
    <w:rsid w:val="00600404"/>
    <w:rsid w:val="0060117A"/>
    <w:rsid w:val="00601EF1"/>
    <w:rsid w:val="006024B9"/>
    <w:rsid w:val="00607A9A"/>
    <w:rsid w:val="006111C8"/>
    <w:rsid w:val="00612E14"/>
    <w:rsid w:val="00612E68"/>
    <w:rsid w:val="00617F30"/>
    <w:rsid w:val="006231CF"/>
    <w:rsid w:val="0062598A"/>
    <w:rsid w:val="00625A52"/>
    <w:rsid w:val="0062686B"/>
    <w:rsid w:val="0063235F"/>
    <w:rsid w:val="006339A6"/>
    <w:rsid w:val="00633A74"/>
    <w:rsid w:val="00637549"/>
    <w:rsid w:val="00642A6F"/>
    <w:rsid w:val="00642E50"/>
    <w:rsid w:val="00646049"/>
    <w:rsid w:val="00647FBA"/>
    <w:rsid w:val="0065268F"/>
    <w:rsid w:val="0065391A"/>
    <w:rsid w:val="0065679C"/>
    <w:rsid w:val="00657108"/>
    <w:rsid w:val="00663306"/>
    <w:rsid w:val="00663909"/>
    <w:rsid w:val="00663E95"/>
    <w:rsid w:val="006659FF"/>
    <w:rsid w:val="006671BC"/>
    <w:rsid w:val="0067299B"/>
    <w:rsid w:val="00673287"/>
    <w:rsid w:val="00674A45"/>
    <w:rsid w:val="00675137"/>
    <w:rsid w:val="00680679"/>
    <w:rsid w:val="0068146D"/>
    <w:rsid w:val="006820D3"/>
    <w:rsid w:val="00682DB1"/>
    <w:rsid w:val="00683FFB"/>
    <w:rsid w:val="0068768A"/>
    <w:rsid w:val="00687B2F"/>
    <w:rsid w:val="00690BEA"/>
    <w:rsid w:val="0069307C"/>
    <w:rsid w:val="00695279"/>
    <w:rsid w:val="00697C69"/>
    <w:rsid w:val="006A0A59"/>
    <w:rsid w:val="006A0B6C"/>
    <w:rsid w:val="006A5742"/>
    <w:rsid w:val="006A79B7"/>
    <w:rsid w:val="006B019E"/>
    <w:rsid w:val="006B0F12"/>
    <w:rsid w:val="006B33A7"/>
    <w:rsid w:val="006C1260"/>
    <w:rsid w:val="006C2232"/>
    <w:rsid w:val="006C6800"/>
    <w:rsid w:val="006D0BC5"/>
    <w:rsid w:val="006D12CE"/>
    <w:rsid w:val="006D2239"/>
    <w:rsid w:val="006D2CF2"/>
    <w:rsid w:val="006D2E37"/>
    <w:rsid w:val="006D34C3"/>
    <w:rsid w:val="006D6DCA"/>
    <w:rsid w:val="006E0699"/>
    <w:rsid w:val="006E27E9"/>
    <w:rsid w:val="006E31D9"/>
    <w:rsid w:val="006E327C"/>
    <w:rsid w:val="006E560C"/>
    <w:rsid w:val="006E7795"/>
    <w:rsid w:val="006E7E9F"/>
    <w:rsid w:val="006E7FA8"/>
    <w:rsid w:val="006F00DB"/>
    <w:rsid w:val="006F2095"/>
    <w:rsid w:val="006F4623"/>
    <w:rsid w:val="006F4B40"/>
    <w:rsid w:val="006F7AB4"/>
    <w:rsid w:val="00701FEA"/>
    <w:rsid w:val="007040D1"/>
    <w:rsid w:val="00705A00"/>
    <w:rsid w:val="007069F7"/>
    <w:rsid w:val="00706DE1"/>
    <w:rsid w:val="00707451"/>
    <w:rsid w:val="00707572"/>
    <w:rsid w:val="00710059"/>
    <w:rsid w:val="00710337"/>
    <w:rsid w:val="007110C9"/>
    <w:rsid w:val="00712349"/>
    <w:rsid w:val="00712FCE"/>
    <w:rsid w:val="007131CA"/>
    <w:rsid w:val="00714BA3"/>
    <w:rsid w:val="00715180"/>
    <w:rsid w:val="0071537B"/>
    <w:rsid w:val="007167AE"/>
    <w:rsid w:val="00720485"/>
    <w:rsid w:val="00721098"/>
    <w:rsid w:val="00723E2E"/>
    <w:rsid w:val="0072495B"/>
    <w:rsid w:val="00730CE3"/>
    <w:rsid w:val="007311E0"/>
    <w:rsid w:val="00731647"/>
    <w:rsid w:val="007360D3"/>
    <w:rsid w:val="0073644C"/>
    <w:rsid w:val="00736D2D"/>
    <w:rsid w:val="007375D9"/>
    <w:rsid w:val="00737641"/>
    <w:rsid w:val="00737C72"/>
    <w:rsid w:val="00740189"/>
    <w:rsid w:val="00741DB0"/>
    <w:rsid w:val="007452F9"/>
    <w:rsid w:val="0074660C"/>
    <w:rsid w:val="00747B69"/>
    <w:rsid w:val="00750E77"/>
    <w:rsid w:val="00751449"/>
    <w:rsid w:val="00755D95"/>
    <w:rsid w:val="00756B0E"/>
    <w:rsid w:val="00757BAA"/>
    <w:rsid w:val="00762B9C"/>
    <w:rsid w:val="00763999"/>
    <w:rsid w:val="00766491"/>
    <w:rsid w:val="00766BCF"/>
    <w:rsid w:val="00767F39"/>
    <w:rsid w:val="007705BC"/>
    <w:rsid w:val="007726E1"/>
    <w:rsid w:val="00774F4B"/>
    <w:rsid w:val="00777AA9"/>
    <w:rsid w:val="0078657D"/>
    <w:rsid w:val="00787990"/>
    <w:rsid w:val="00790800"/>
    <w:rsid w:val="00790E14"/>
    <w:rsid w:val="0079256F"/>
    <w:rsid w:val="00792FC9"/>
    <w:rsid w:val="0079307B"/>
    <w:rsid w:val="007941CF"/>
    <w:rsid w:val="00796F48"/>
    <w:rsid w:val="007A2472"/>
    <w:rsid w:val="007A2A5E"/>
    <w:rsid w:val="007A3C6A"/>
    <w:rsid w:val="007A5821"/>
    <w:rsid w:val="007A6B87"/>
    <w:rsid w:val="007B0EBF"/>
    <w:rsid w:val="007B12EF"/>
    <w:rsid w:val="007B4B08"/>
    <w:rsid w:val="007B51E2"/>
    <w:rsid w:val="007B6F81"/>
    <w:rsid w:val="007C08B4"/>
    <w:rsid w:val="007C15F8"/>
    <w:rsid w:val="007D0A64"/>
    <w:rsid w:val="007D37A1"/>
    <w:rsid w:val="007D5D8D"/>
    <w:rsid w:val="007D608D"/>
    <w:rsid w:val="007D7EE0"/>
    <w:rsid w:val="007E10A5"/>
    <w:rsid w:val="007E2A95"/>
    <w:rsid w:val="007E3D71"/>
    <w:rsid w:val="007F0036"/>
    <w:rsid w:val="007F2841"/>
    <w:rsid w:val="007F3E30"/>
    <w:rsid w:val="0080096B"/>
    <w:rsid w:val="00800B90"/>
    <w:rsid w:val="00802A66"/>
    <w:rsid w:val="00805ADD"/>
    <w:rsid w:val="008103A0"/>
    <w:rsid w:val="00810DE3"/>
    <w:rsid w:val="0081281D"/>
    <w:rsid w:val="00815848"/>
    <w:rsid w:val="00821541"/>
    <w:rsid w:val="00821A06"/>
    <w:rsid w:val="008220F3"/>
    <w:rsid w:val="00822273"/>
    <w:rsid w:val="008235DB"/>
    <w:rsid w:val="00823FCA"/>
    <w:rsid w:val="00826FE4"/>
    <w:rsid w:val="00827103"/>
    <w:rsid w:val="00830647"/>
    <w:rsid w:val="00830E80"/>
    <w:rsid w:val="00831588"/>
    <w:rsid w:val="0083217B"/>
    <w:rsid w:val="00832911"/>
    <w:rsid w:val="00833071"/>
    <w:rsid w:val="00833EB7"/>
    <w:rsid w:val="0083433F"/>
    <w:rsid w:val="00835902"/>
    <w:rsid w:val="0084092F"/>
    <w:rsid w:val="00843333"/>
    <w:rsid w:val="00844C87"/>
    <w:rsid w:val="00845092"/>
    <w:rsid w:val="00845E3F"/>
    <w:rsid w:val="00850A87"/>
    <w:rsid w:val="008532FB"/>
    <w:rsid w:val="008540F0"/>
    <w:rsid w:val="008568C0"/>
    <w:rsid w:val="00864874"/>
    <w:rsid w:val="00867A73"/>
    <w:rsid w:val="00871CA1"/>
    <w:rsid w:val="00874F47"/>
    <w:rsid w:val="00877D87"/>
    <w:rsid w:val="00880255"/>
    <w:rsid w:val="008810FA"/>
    <w:rsid w:val="00884878"/>
    <w:rsid w:val="00885B9C"/>
    <w:rsid w:val="00886D18"/>
    <w:rsid w:val="00887B22"/>
    <w:rsid w:val="0089009D"/>
    <w:rsid w:val="00892303"/>
    <w:rsid w:val="008967F1"/>
    <w:rsid w:val="00896927"/>
    <w:rsid w:val="00897E16"/>
    <w:rsid w:val="008A144E"/>
    <w:rsid w:val="008A1F66"/>
    <w:rsid w:val="008A310A"/>
    <w:rsid w:val="008A56C9"/>
    <w:rsid w:val="008A6603"/>
    <w:rsid w:val="008B21AF"/>
    <w:rsid w:val="008B56B7"/>
    <w:rsid w:val="008B5F65"/>
    <w:rsid w:val="008B7A12"/>
    <w:rsid w:val="008B7D09"/>
    <w:rsid w:val="008B7D7A"/>
    <w:rsid w:val="008C0FBD"/>
    <w:rsid w:val="008C1F1C"/>
    <w:rsid w:val="008C4903"/>
    <w:rsid w:val="008C5617"/>
    <w:rsid w:val="008C6687"/>
    <w:rsid w:val="008C70BD"/>
    <w:rsid w:val="008C79C7"/>
    <w:rsid w:val="008C7AC8"/>
    <w:rsid w:val="008D0242"/>
    <w:rsid w:val="008D23EE"/>
    <w:rsid w:val="008D27EF"/>
    <w:rsid w:val="008D280D"/>
    <w:rsid w:val="008D28DF"/>
    <w:rsid w:val="008D2DC8"/>
    <w:rsid w:val="008D34F9"/>
    <w:rsid w:val="008D3D46"/>
    <w:rsid w:val="008D745E"/>
    <w:rsid w:val="008E1A60"/>
    <w:rsid w:val="008E29AB"/>
    <w:rsid w:val="008E43E3"/>
    <w:rsid w:val="008E44A5"/>
    <w:rsid w:val="008E4EF2"/>
    <w:rsid w:val="008F06F2"/>
    <w:rsid w:val="008F1E28"/>
    <w:rsid w:val="008F20FA"/>
    <w:rsid w:val="008F2A77"/>
    <w:rsid w:val="008F4C4B"/>
    <w:rsid w:val="008F5D80"/>
    <w:rsid w:val="008F6E08"/>
    <w:rsid w:val="008F7B8C"/>
    <w:rsid w:val="009006D2"/>
    <w:rsid w:val="00904310"/>
    <w:rsid w:val="00906A81"/>
    <w:rsid w:val="009103F3"/>
    <w:rsid w:val="0091109A"/>
    <w:rsid w:val="00911113"/>
    <w:rsid w:val="009126A4"/>
    <w:rsid w:val="009150A7"/>
    <w:rsid w:val="009163AF"/>
    <w:rsid w:val="00916D52"/>
    <w:rsid w:val="00923D3D"/>
    <w:rsid w:val="0092457E"/>
    <w:rsid w:val="00924CCB"/>
    <w:rsid w:val="0092520A"/>
    <w:rsid w:val="00927978"/>
    <w:rsid w:val="009309ED"/>
    <w:rsid w:val="0093159B"/>
    <w:rsid w:val="00932FAD"/>
    <w:rsid w:val="0093510E"/>
    <w:rsid w:val="00936ECF"/>
    <w:rsid w:val="00937307"/>
    <w:rsid w:val="009375D7"/>
    <w:rsid w:val="00941F92"/>
    <w:rsid w:val="009430D1"/>
    <w:rsid w:val="009445BA"/>
    <w:rsid w:val="00944DE7"/>
    <w:rsid w:val="00945130"/>
    <w:rsid w:val="00945B0A"/>
    <w:rsid w:val="00946F68"/>
    <w:rsid w:val="009475F3"/>
    <w:rsid w:val="00950576"/>
    <w:rsid w:val="00951562"/>
    <w:rsid w:val="00951651"/>
    <w:rsid w:val="00953CAB"/>
    <w:rsid w:val="00954EF3"/>
    <w:rsid w:val="0095603B"/>
    <w:rsid w:val="00957948"/>
    <w:rsid w:val="00960E8D"/>
    <w:rsid w:val="009668EF"/>
    <w:rsid w:val="00970ED5"/>
    <w:rsid w:val="009713CF"/>
    <w:rsid w:val="009729A9"/>
    <w:rsid w:val="0097474F"/>
    <w:rsid w:val="009761F8"/>
    <w:rsid w:val="00976AF1"/>
    <w:rsid w:val="00976FB3"/>
    <w:rsid w:val="0098030D"/>
    <w:rsid w:val="00981B13"/>
    <w:rsid w:val="00981B68"/>
    <w:rsid w:val="00981E62"/>
    <w:rsid w:val="009928E1"/>
    <w:rsid w:val="0099488A"/>
    <w:rsid w:val="00994D57"/>
    <w:rsid w:val="00996460"/>
    <w:rsid w:val="0099677B"/>
    <w:rsid w:val="009A1E07"/>
    <w:rsid w:val="009A25EB"/>
    <w:rsid w:val="009A290D"/>
    <w:rsid w:val="009A5A3F"/>
    <w:rsid w:val="009A6892"/>
    <w:rsid w:val="009A7F0A"/>
    <w:rsid w:val="009B1720"/>
    <w:rsid w:val="009B5190"/>
    <w:rsid w:val="009B5381"/>
    <w:rsid w:val="009B654F"/>
    <w:rsid w:val="009B7045"/>
    <w:rsid w:val="009C16DF"/>
    <w:rsid w:val="009C1FDC"/>
    <w:rsid w:val="009C1FE1"/>
    <w:rsid w:val="009C2407"/>
    <w:rsid w:val="009C4804"/>
    <w:rsid w:val="009C5DBD"/>
    <w:rsid w:val="009D104E"/>
    <w:rsid w:val="009D1FDF"/>
    <w:rsid w:val="009D3524"/>
    <w:rsid w:val="009D5236"/>
    <w:rsid w:val="009E1667"/>
    <w:rsid w:val="009E1CA8"/>
    <w:rsid w:val="009E28E1"/>
    <w:rsid w:val="009E38C1"/>
    <w:rsid w:val="009E3A7A"/>
    <w:rsid w:val="009E6780"/>
    <w:rsid w:val="009E79EC"/>
    <w:rsid w:val="009F3569"/>
    <w:rsid w:val="009F4D99"/>
    <w:rsid w:val="009F5095"/>
    <w:rsid w:val="009F50F0"/>
    <w:rsid w:val="009F59F6"/>
    <w:rsid w:val="009F5A91"/>
    <w:rsid w:val="009F6431"/>
    <w:rsid w:val="00A01327"/>
    <w:rsid w:val="00A014E8"/>
    <w:rsid w:val="00A018E7"/>
    <w:rsid w:val="00A03911"/>
    <w:rsid w:val="00A05140"/>
    <w:rsid w:val="00A05D61"/>
    <w:rsid w:val="00A06FC9"/>
    <w:rsid w:val="00A10DE1"/>
    <w:rsid w:val="00A11D59"/>
    <w:rsid w:val="00A123C7"/>
    <w:rsid w:val="00A13029"/>
    <w:rsid w:val="00A14E44"/>
    <w:rsid w:val="00A14E66"/>
    <w:rsid w:val="00A1506D"/>
    <w:rsid w:val="00A163FE"/>
    <w:rsid w:val="00A20730"/>
    <w:rsid w:val="00A2239A"/>
    <w:rsid w:val="00A22538"/>
    <w:rsid w:val="00A232AC"/>
    <w:rsid w:val="00A27E2B"/>
    <w:rsid w:val="00A3365B"/>
    <w:rsid w:val="00A33B7B"/>
    <w:rsid w:val="00A34039"/>
    <w:rsid w:val="00A3552E"/>
    <w:rsid w:val="00A35E94"/>
    <w:rsid w:val="00A36449"/>
    <w:rsid w:val="00A414EE"/>
    <w:rsid w:val="00A417FA"/>
    <w:rsid w:val="00A4228D"/>
    <w:rsid w:val="00A42760"/>
    <w:rsid w:val="00A43995"/>
    <w:rsid w:val="00A443C7"/>
    <w:rsid w:val="00A458B3"/>
    <w:rsid w:val="00A45B60"/>
    <w:rsid w:val="00A45E73"/>
    <w:rsid w:val="00A45FBC"/>
    <w:rsid w:val="00A47563"/>
    <w:rsid w:val="00A502C8"/>
    <w:rsid w:val="00A5551F"/>
    <w:rsid w:val="00A56CF9"/>
    <w:rsid w:val="00A60E14"/>
    <w:rsid w:val="00A61B0C"/>
    <w:rsid w:val="00A62E17"/>
    <w:rsid w:val="00A65CAA"/>
    <w:rsid w:val="00A662CF"/>
    <w:rsid w:val="00A67E2E"/>
    <w:rsid w:val="00A724E9"/>
    <w:rsid w:val="00A766FD"/>
    <w:rsid w:val="00A80353"/>
    <w:rsid w:val="00A81C29"/>
    <w:rsid w:val="00A820E7"/>
    <w:rsid w:val="00A82DF8"/>
    <w:rsid w:val="00A86AA5"/>
    <w:rsid w:val="00A92DAE"/>
    <w:rsid w:val="00A93217"/>
    <w:rsid w:val="00A9333E"/>
    <w:rsid w:val="00A94EC5"/>
    <w:rsid w:val="00A9554E"/>
    <w:rsid w:val="00A976A9"/>
    <w:rsid w:val="00AA01B3"/>
    <w:rsid w:val="00AA1ADA"/>
    <w:rsid w:val="00AA31F2"/>
    <w:rsid w:val="00AA406C"/>
    <w:rsid w:val="00AA4F9F"/>
    <w:rsid w:val="00AA5E1B"/>
    <w:rsid w:val="00AA6DFB"/>
    <w:rsid w:val="00AA7256"/>
    <w:rsid w:val="00AA7604"/>
    <w:rsid w:val="00AB0987"/>
    <w:rsid w:val="00AB0FD3"/>
    <w:rsid w:val="00AB3900"/>
    <w:rsid w:val="00AB60BD"/>
    <w:rsid w:val="00AB7215"/>
    <w:rsid w:val="00AC005D"/>
    <w:rsid w:val="00AC14DE"/>
    <w:rsid w:val="00AC2E50"/>
    <w:rsid w:val="00AC50AF"/>
    <w:rsid w:val="00AC56C2"/>
    <w:rsid w:val="00AC5E19"/>
    <w:rsid w:val="00AC6F49"/>
    <w:rsid w:val="00AD0D0C"/>
    <w:rsid w:val="00AD2723"/>
    <w:rsid w:val="00AD445D"/>
    <w:rsid w:val="00AD6F47"/>
    <w:rsid w:val="00AE2781"/>
    <w:rsid w:val="00AE525E"/>
    <w:rsid w:val="00AE5C52"/>
    <w:rsid w:val="00AE6D76"/>
    <w:rsid w:val="00AE6E0A"/>
    <w:rsid w:val="00AE6F9B"/>
    <w:rsid w:val="00AE6FD6"/>
    <w:rsid w:val="00AE7A7F"/>
    <w:rsid w:val="00AF045F"/>
    <w:rsid w:val="00AF0BD8"/>
    <w:rsid w:val="00AF0FA2"/>
    <w:rsid w:val="00AF0FDD"/>
    <w:rsid w:val="00AF5A70"/>
    <w:rsid w:val="00AF5C5C"/>
    <w:rsid w:val="00AF5DCA"/>
    <w:rsid w:val="00B03FB1"/>
    <w:rsid w:val="00B059C3"/>
    <w:rsid w:val="00B15829"/>
    <w:rsid w:val="00B16BCA"/>
    <w:rsid w:val="00B17A9D"/>
    <w:rsid w:val="00B206FA"/>
    <w:rsid w:val="00B21030"/>
    <w:rsid w:val="00B21C2F"/>
    <w:rsid w:val="00B245ED"/>
    <w:rsid w:val="00B249B7"/>
    <w:rsid w:val="00B2764E"/>
    <w:rsid w:val="00B27B85"/>
    <w:rsid w:val="00B300DD"/>
    <w:rsid w:val="00B30E77"/>
    <w:rsid w:val="00B327FE"/>
    <w:rsid w:val="00B33F27"/>
    <w:rsid w:val="00B34B88"/>
    <w:rsid w:val="00B35881"/>
    <w:rsid w:val="00B36DAA"/>
    <w:rsid w:val="00B37A25"/>
    <w:rsid w:val="00B43A4F"/>
    <w:rsid w:val="00B44032"/>
    <w:rsid w:val="00B4494A"/>
    <w:rsid w:val="00B456CC"/>
    <w:rsid w:val="00B478EF"/>
    <w:rsid w:val="00B47CB9"/>
    <w:rsid w:val="00B51BAD"/>
    <w:rsid w:val="00B53E4E"/>
    <w:rsid w:val="00B54F54"/>
    <w:rsid w:val="00B55BE4"/>
    <w:rsid w:val="00B564A3"/>
    <w:rsid w:val="00B56514"/>
    <w:rsid w:val="00B56551"/>
    <w:rsid w:val="00B56BE9"/>
    <w:rsid w:val="00B57AE9"/>
    <w:rsid w:val="00B57CA2"/>
    <w:rsid w:val="00B638BD"/>
    <w:rsid w:val="00B65EB5"/>
    <w:rsid w:val="00B66555"/>
    <w:rsid w:val="00B71672"/>
    <w:rsid w:val="00B72CEC"/>
    <w:rsid w:val="00B73156"/>
    <w:rsid w:val="00B73650"/>
    <w:rsid w:val="00B74929"/>
    <w:rsid w:val="00B7716B"/>
    <w:rsid w:val="00B777E6"/>
    <w:rsid w:val="00B80134"/>
    <w:rsid w:val="00B80707"/>
    <w:rsid w:val="00B85135"/>
    <w:rsid w:val="00B861D4"/>
    <w:rsid w:val="00B8737A"/>
    <w:rsid w:val="00B87675"/>
    <w:rsid w:val="00B87EC6"/>
    <w:rsid w:val="00B910DF"/>
    <w:rsid w:val="00B922B9"/>
    <w:rsid w:val="00B92B2F"/>
    <w:rsid w:val="00B95043"/>
    <w:rsid w:val="00B97047"/>
    <w:rsid w:val="00B9749F"/>
    <w:rsid w:val="00BA3026"/>
    <w:rsid w:val="00BA3EFF"/>
    <w:rsid w:val="00BA495F"/>
    <w:rsid w:val="00BA4972"/>
    <w:rsid w:val="00BA58AF"/>
    <w:rsid w:val="00BA5FE7"/>
    <w:rsid w:val="00BB1C24"/>
    <w:rsid w:val="00BB228F"/>
    <w:rsid w:val="00BB2580"/>
    <w:rsid w:val="00BB27EC"/>
    <w:rsid w:val="00BB36D7"/>
    <w:rsid w:val="00BB37EE"/>
    <w:rsid w:val="00BB3D7F"/>
    <w:rsid w:val="00BB530B"/>
    <w:rsid w:val="00BB58D3"/>
    <w:rsid w:val="00BB6CE7"/>
    <w:rsid w:val="00BC179B"/>
    <w:rsid w:val="00BC3BEC"/>
    <w:rsid w:val="00BC432E"/>
    <w:rsid w:val="00BC6774"/>
    <w:rsid w:val="00BC6C8B"/>
    <w:rsid w:val="00BC6EEF"/>
    <w:rsid w:val="00BC7980"/>
    <w:rsid w:val="00BD28C5"/>
    <w:rsid w:val="00BD2FEE"/>
    <w:rsid w:val="00BD4D43"/>
    <w:rsid w:val="00BD618D"/>
    <w:rsid w:val="00BD63CA"/>
    <w:rsid w:val="00BD7695"/>
    <w:rsid w:val="00BE0D5C"/>
    <w:rsid w:val="00BE0EE1"/>
    <w:rsid w:val="00BE3C76"/>
    <w:rsid w:val="00BE4BDF"/>
    <w:rsid w:val="00BE5FED"/>
    <w:rsid w:val="00BE65E4"/>
    <w:rsid w:val="00BE714F"/>
    <w:rsid w:val="00BE7D81"/>
    <w:rsid w:val="00BF0AA7"/>
    <w:rsid w:val="00BF2F97"/>
    <w:rsid w:val="00BF4E7F"/>
    <w:rsid w:val="00BF6337"/>
    <w:rsid w:val="00BF7AE1"/>
    <w:rsid w:val="00C00765"/>
    <w:rsid w:val="00C00E26"/>
    <w:rsid w:val="00C0328E"/>
    <w:rsid w:val="00C03A2E"/>
    <w:rsid w:val="00C06287"/>
    <w:rsid w:val="00C12309"/>
    <w:rsid w:val="00C15256"/>
    <w:rsid w:val="00C16C35"/>
    <w:rsid w:val="00C20D5E"/>
    <w:rsid w:val="00C23583"/>
    <w:rsid w:val="00C244A9"/>
    <w:rsid w:val="00C3104C"/>
    <w:rsid w:val="00C312CC"/>
    <w:rsid w:val="00C318B6"/>
    <w:rsid w:val="00C36C67"/>
    <w:rsid w:val="00C4066A"/>
    <w:rsid w:val="00C40D0E"/>
    <w:rsid w:val="00C46054"/>
    <w:rsid w:val="00C469FC"/>
    <w:rsid w:val="00C46A96"/>
    <w:rsid w:val="00C46B7B"/>
    <w:rsid w:val="00C46E4E"/>
    <w:rsid w:val="00C51DF7"/>
    <w:rsid w:val="00C5255D"/>
    <w:rsid w:val="00C56BAB"/>
    <w:rsid w:val="00C57E14"/>
    <w:rsid w:val="00C602B7"/>
    <w:rsid w:val="00C60D92"/>
    <w:rsid w:val="00C64AC2"/>
    <w:rsid w:val="00C65930"/>
    <w:rsid w:val="00C75AB0"/>
    <w:rsid w:val="00C77569"/>
    <w:rsid w:val="00C77B8C"/>
    <w:rsid w:val="00C81444"/>
    <w:rsid w:val="00C82AA4"/>
    <w:rsid w:val="00C8305C"/>
    <w:rsid w:val="00C844D6"/>
    <w:rsid w:val="00C85FF6"/>
    <w:rsid w:val="00C87AE7"/>
    <w:rsid w:val="00C9100C"/>
    <w:rsid w:val="00C9326B"/>
    <w:rsid w:val="00C94419"/>
    <w:rsid w:val="00C95691"/>
    <w:rsid w:val="00C96A47"/>
    <w:rsid w:val="00C970CE"/>
    <w:rsid w:val="00CA113C"/>
    <w:rsid w:val="00CA15DE"/>
    <w:rsid w:val="00CA1ECD"/>
    <w:rsid w:val="00CA3082"/>
    <w:rsid w:val="00CA4C7F"/>
    <w:rsid w:val="00CA5D6B"/>
    <w:rsid w:val="00CA73B3"/>
    <w:rsid w:val="00CB1255"/>
    <w:rsid w:val="00CB12AA"/>
    <w:rsid w:val="00CB13B7"/>
    <w:rsid w:val="00CB7087"/>
    <w:rsid w:val="00CB723D"/>
    <w:rsid w:val="00CC41EE"/>
    <w:rsid w:val="00CC4C8A"/>
    <w:rsid w:val="00CC68D7"/>
    <w:rsid w:val="00CD01CD"/>
    <w:rsid w:val="00CD061B"/>
    <w:rsid w:val="00CD0BF5"/>
    <w:rsid w:val="00CD0FA4"/>
    <w:rsid w:val="00CD1089"/>
    <w:rsid w:val="00CD1256"/>
    <w:rsid w:val="00CD1BCD"/>
    <w:rsid w:val="00CD41F8"/>
    <w:rsid w:val="00CD6D61"/>
    <w:rsid w:val="00CD7D66"/>
    <w:rsid w:val="00CD7FFC"/>
    <w:rsid w:val="00CE1DFB"/>
    <w:rsid w:val="00CE2C6E"/>
    <w:rsid w:val="00CE2D75"/>
    <w:rsid w:val="00CE6C66"/>
    <w:rsid w:val="00CE799B"/>
    <w:rsid w:val="00CF046A"/>
    <w:rsid w:val="00CF321C"/>
    <w:rsid w:val="00CF4FE6"/>
    <w:rsid w:val="00CF556F"/>
    <w:rsid w:val="00CF5974"/>
    <w:rsid w:val="00D0030F"/>
    <w:rsid w:val="00D0445F"/>
    <w:rsid w:val="00D0608D"/>
    <w:rsid w:val="00D061D5"/>
    <w:rsid w:val="00D06E87"/>
    <w:rsid w:val="00D06EFC"/>
    <w:rsid w:val="00D074BF"/>
    <w:rsid w:val="00D1197E"/>
    <w:rsid w:val="00D122E5"/>
    <w:rsid w:val="00D14ED5"/>
    <w:rsid w:val="00D15A96"/>
    <w:rsid w:val="00D1619E"/>
    <w:rsid w:val="00D206B3"/>
    <w:rsid w:val="00D219C1"/>
    <w:rsid w:val="00D22C33"/>
    <w:rsid w:val="00D27373"/>
    <w:rsid w:val="00D32833"/>
    <w:rsid w:val="00D33DA7"/>
    <w:rsid w:val="00D3507E"/>
    <w:rsid w:val="00D354D0"/>
    <w:rsid w:val="00D36467"/>
    <w:rsid w:val="00D41D9A"/>
    <w:rsid w:val="00D436B3"/>
    <w:rsid w:val="00D442E9"/>
    <w:rsid w:val="00D461E5"/>
    <w:rsid w:val="00D472D8"/>
    <w:rsid w:val="00D5255B"/>
    <w:rsid w:val="00D538F6"/>
    <w:rsid w:val="00D5457D"/>
    <w:rsid w:val="00D54DA8"/>
    <w:rsid w:val="00D54E5C"/>
    <w:rsid w:val="00D54EF5"/>
    <w:rsid w:val="00D551E2"/>
    <w:rsid w:val="00D564B3"/>
    <w:rsid w:val="00D56FF4"/>
    <w:rsid w:val="00D57573"/>
    <w:rsid w:val="00D61E55"/>
    <w:rsid w:val="00D6213A"/>
    <w:rsid w:val="00D70223"/>
    <w:rsid w:val="00D70E8A"/>
    <w:rsid w:val="00D73714"/>
    <w:rsid w:val="00D73760"/>
    <w:rsid w:val="00D74036"/>
    <w:rsid w:val="00D753D8"/>
    <w:rsid w:val="00D763C0"/>
    <w:rsid w:val="00D766C8"/>
    <w:rsid w:val="00D802BD"/>
    <w:rsid w:val="00D808EE"/>
    <w:rsid w:val="00D872D9"/>
    <w:rsid w:val="00D87A84"/>
    <w:rsid w:val="00D87FE7"/>
    <w:rsid w:val="00D91885"/>
    <w:rsid w:val="00D91D17"/>
    <w:rsid w:val="00D93663"/>
    <w:rsid w:val="00D94097"/>
    <w:rsid w:val="00D95DDC"/>
    <w:rsid w:val="00D96B60"/>
    <w:rsid w:val="00DA0634"/>
    <w:rsid w:val="00DA157D"/>
    <w:rsid w:val="00DA3E6F"/>
    <w:rsid w:val="00DA62C5"/>
    <w:rsid w:val="00DA7CB8"/>
    <w:rsid w:val="00DA7DA7"/>
    <w:rsid w:val="00DB0410"/>
    <w:rsid w:val="00DB0871"/>
    <w:rsid w:val="00DB0A05"/>
    <w:rsid w:val="00DB0CB2"/>
    <w:rsid w:val="00DB1636"/>
    <w:rsid w:val="00DB2F1B"/>
    <w:rsid w:val="00DB4242"/>
    <w:rsid w:val="00DC08BC"/>
    <w:rsid w:val="00DC1F63"/>
    <w:rsid w:val="00DC231E"/>
    <w:rsid w:val="00DC30C9"/>
    <w:rsid w:val="00DC6594"/>
    <w:rsid w:val="00DC7AD3"/>
    <w:rsid w:val="00DD1011"/>
    <w:rsid w:val="00DD2FB7"/>
    <w:rsid w:val="00DE1C3F"/>
    <w:rsid w:val="00DE221F"/>
    <w:rsid w:val="00DE278C"/>
    <w:rsid w:val="00DE3A2A"/>
    <w:rsid w:val="00DE55E6"/>
    <w:rsid w:val="00DE5DBB"/>
    <w:rsid w:val="00DF169D"/>
    <w:rsid w:val="00DF64F4"/>
    <w:rsid w:val="00DF7AE1"/>
    <w:rsid w:val="00E0241F"/>
    <w:rsid w:val="00E04482"/>
    <w:rsid w:val="00E04D37"/>
    <w:rsid w:val="00E05840"/>
    <w:rsid w:val="00E05D4F"/>
    <w:rsid w:val="00E07968"/>
    <w:rsid w:val="00E10BA8"/>
    <w:rsid w:val="00E12448"/>
    <w:rsid w:val="00E12874"/>
    <w:rsid w:val="00E14683"/>
    <w:rsid w:val="00E15678"/>
    <w:rsid w:val="00E207DB"/>
    <w:rsid w:val="00E21EFB"/>
    <w:rsid w:val="00E2267F"/>
    <w:rsid w:val="00E235D4"/>
    <w:rsid w:val="00E25FBA"/>
    <w:rsid w:val="00E270B7"/>
    <w:rsid w:val="00E27C9F"/>
    <w:rsid w:val="00E32085"/>
    <w:rsid w:val="00E36A50"/>
    <w:rsid w:val="00E41B22"/>
    <w:rsid w:val="00E43C87"/>
    <w:rsid w:val="00E44BDB"/>
    <w:rsid w:val="00E457BF"/>
    <w:rsid w:val="00E50762"/>
    <w:rsid w:val="00E528EB"/>
    <w:rsid w:val="00E533FE"/>
    <w:rsid w:val="00E5370B"/>
    <w:rsid w:val="00E56811"/>
    <w:rsid w:val="00E56A3E"/>
    <w:rsid w:val="00E57B89"/>
    <w:rsid w:val="00E6139F"/>
    <w:rsid w:val="00E61595"/>
    <w:rsid w:val="00E61709"/>
    <w:rsid w:val="00E61E1E"/>
    <w:rsid w:val="00E62387"/>
    <w:rsid w:val="00E64B3B"/>
    <w:rsid w:val="00E67D97"/>
    <w:rsid w:val="00E70051"/>
    <w:rsid w:val="00E70DFD"/>
    <w:rsid w:val="00E71A05"/>
    <w:rsid w:val="00E742BC"/>
    <w:rsid w:val="00E80052"/>
    <w:rsid w:val="00E80AB0"/>
    <w:rsid w:val="00E83DD7"/>
    <w:rsid w:val="00E8435E"/>
    <w:rsid w:val="00E869F3"/>
    <w:rsid w:val="00E90B9D"/>
    <w:rsid w:val="00E923F1"/>
    <w:rsid w:val="00E92D6C"/>
    <w:rsid w:val="00E93762"/>
    <w:rsid w:val="00E96A6F"/>
    <w:rsid w:val="00EA1B79"/>
    <w:rsid w:val="00EA42B1"/>
    <w:rsid w:val="00EA4BDE"/>
    <w:rsid w:val="00EA6D03"/>
    <w:rsid w:val="00EB0D89"/>
    <w:rsid w:val="00EB1D3D"/>
    <w:rsid w:val="00EB3D8A"/>
    <w:rsid w:val="00EB4AF9"/>
    <w:rsid w:val="00EB6139"/>
    <w:rsid w:val="00EB711D"/>
    <w:rsid w:val="00EC0476"/>
    <w:rsid w:val="00EC30C3"/>
    <w:rsid w:val="00EC57EE"/>
    <w:rsid w:val="00EC7057"/>
    <w:rsid w:val="00EC71ED"/>
    <w:rsid w:val="00EC7486"/>
    <w:rsid w:val="00ED04F4"/>
    <w:rsid w:val="00ED2536"/>
    <w:rsid w:val="00ED27A5"/>
    <w:rsid w:val="00ED2FBD"/>
    <w:rsid w:val="00ED38CE"/>
    <w:rsid w:val="00ED3A71"/>
    <w:rsid w:val="00ED5A66"/>
    <w:rsid w:val="00ED5DC9"/>
    <w:rsid w:val="00ED6790"/>
    <w:rsid w:val="00ED6B0D"/>
    <w:rsid w:val="00ED7B38"/>
    <w:rsid w:val="00EE0057"/>
    <w:rsid w:val="00EE0E84"/>
    <w:rsid w:val="00EE120A"/>
    <w:rsid w:val="00EE208F"/>
    <w:rsid w:val="00EE308D"/>
    <w:rsid w:val="00EE44C9"/>
    <w:rsid w:val="00EE532D"/>
    <w:rsid w:val="00EF087C"/>
    <w:rsid w:val="00EF2769"/>
    <w:rsid w:val="00EF366A"/>
    <w:rsid w:val="00EF4DF3"/>
    <w:rsid w:val="00F02F28"/>
    <w:rsid w:val="00F07992"/>
    <w:rsid w:val="00F0799D"/>
    <w:rsid w:val="00F12744"/>
    <w:rsid w:val="00F13D90"/>
    <w:rsid w:val="00F13F24"/>
    <w:rsid w:val="00F1413A"/>
    <w:rsid w:val="00F1419E"/>
    <w:rsid w:val="00F1472A"/>
    <w:rsid w:val="00F16EEB"/>
    <w:rsid w:val="00F17131"/>
    <w:rsid w:val="00F209D8"/>
    <w:rsid w:val="00F21270"/>
    <w:rsid w:val="00F224F8"/>
    <w:rsid w:val="00F24012"/>
    <w:rsid w:val="00F27ED1"/>
    <w:rsid w:val="00F30CF8"/>
    <w:rsid w:val="00F31315"/>
    <w:rsid w:val="00F36BFC"/>
    <w:rsid w:val="00F37F10"/>
    <w:rsid w:val="00F40408"/>
    <w:rsid w:val="00F42250"/>
    <w:rsid w:val="00F42301"/>
    <w:rsid w:val="00F42F5E"/>
    <w:rsid w:val="00F43B6E"/>
    <w:rsid w:val="00F43BA3"/>
    <w:rsid w:val="00F46297"/>
    <w:rsid w:val="00F46ABC"/>
    <w:rsid w:val="00F47591"/>
    <w:rsid w:val="00F5172B"/>
    <w:rsid w:val="00F51E6F"/>
    <w:rsid w:val="00F52DA5"/>
    <w:rsid w:val="00F53655"/>
    <w:rsid w:val="00F53C1E"/>
    <w:rsid w:val="00F55290"/>
    <w:rsid w:val="00F55956"/>
    <w:rsid w:val="00F55A88"/>
    <w:rsid w:val="00F56CA9"/>
    <w:rsid w:val="00F6071E"/>
    <w:rsid w:val="00F614AD"/>
    <w:rsid w:val="00F616C5"/>
    <w:rsid w:val="00F62CFC"/>
    <w:rsid w:val="00F639E2"/>
    <w:rsid w:val="00F65284"/>
    <w:rsid w:val="00F655DA"/>
    <w:rsid w:val="00F70ADE"/>
    <w:rsid w:val="00F711FF"/>
    <w:rsid w:val="00F71512"/>
    <w:rsid w:val="00F74363"/>
    <w:rsid w:val="00F74FA5"/>
    <w:rsid w:val="00F7658C"/>
    <w:rsid w:val="00F769FF"/>
    <w:rsid w:val="00F77E6A"/>
    <w:rsid w:val="00F81D93"/>
    <w:rsid w:val="00F831FB"/>
    <w:rsid w:val="00F83A18"/>
    <w:rsid w:val="00F85D7D"/>
    <w:rsid w:val="00F86C62"/>
    <w:rsid w:val="00F87B17"/>
    <w:rsid w:val="00F907B5"/>
    <w:rsid w:val="00F93164"/>
    <w:rsid w:val="00F93332"/>
    <w:rsid w:val="00F940A3"/>
    <w:rsid w:val="00F9413F"/>
    <w:rsid w:val="00F944FD"/>
    <w:rsid w:val="00F94A2D"/>
    <w:rsid w:val="00F94D21"/>
    <w:rsid w:val="00F94F18"/>
    <w:rsid w:val="00FA11D0"/>
    <w:rsid w:val="00FA14EB"/>
    <w:rsid w:val="00FA344A"/>
    <w:rsid w:val="00FA39DE"/>
    <w:rsid w:val="00FA406D"/>
    <w:rsid w:val="00FA4450"/>
    <w:rsid w:val="00FA44DE"/>
    <w:rsid w:val="00FA4570"/>
    <w:rsid w:val="00FA690F"/>
    <w:rsid w:val="00FB1BF2"/>
    <w:rsid w:val="00FB1E6B"/>
    <w:rsid w:val="00FB3748"/>
    <w:rsid w:val="00FB5056"/>
    <w:rsid w:val="00FB70A9"/>
    <w:rsid w:val="00FC015B"/>
    <w:rsid w:val="00FC019D"/>
    <w:rsid w:val="00FC19A6"/>
    <w:rsid w:val="00FC3C87"/>
    <w:rsid w:val="00FC3F28"/>
    <w:rsid w:val="00FD0CB0"/>
    <w:rsid w:val="00FD1315"/>
    <w:rsid w:val="00FD19F3"/>
    <w:rsid w:val="00FD4400"/>
    <w:rsid w:val="00FD5382"/>
    <w:rsid w:val="00FD7BD8"/>
    <w:rsid w:val="00FE1536"/>
    <w:rsid w:val="00FE2124"/>
    <w:rsid w:val="00FE25EE"/>
    <w:rsid w:val="00FE4491"/>
    <w:rsid w:val="00FE5718"/>
    <w:rsid w:val="00FE68CD"/>
    <w:rsid w:val="00FF061A"/>
    <w:rsid w:val="00FF18C2"/>
    <w:rsid w:val="00FF2137"/>
    <w:rsid w:val="00FF2D07"/>
    <w:rsid w:val="00FF3DA4"/>
    <w:rsid w:val="00FF4A21"/>
    <w:rsid w:val="00FF513B"/>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qFormat="1"/>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7375D9"/>
    <w:pPr>
      <w:numPr>
        <w:ilvl w:val="2"/>
      </w:numPr>
      <w:spacing w:before="240" w:line="280" w:lineRule="exact"/>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7375D9"/>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ETS,single space"/>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ETS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ootnote,Footnote text,Footnote + Arial,10 pt,Black,ftref,(NECG) Footnote Reference,footnote ref,SUPERS,EN Footnote Reference,16 Point,Superscript 6 Point,Footnote Reference Number,Style 6,Ref,de nota al pie,fr,Footnote Ref in FtNote"/>
    <w:uiPriority w:val="99"/>
    <w:qFormat/>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BodyText"/>
    <w:link w:val="ListParagraphChar"/>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locked/>
    <w:rsid w:val="00BA495F"/>
    <w:rPr>
      <w:rFonts w:ascii="Times New Roman" w:eastAsia="Times New Roman" w:hAnsi="Times New Roman" w:cs="Times New Roman"/>
      <w:szCs w:val="24"/>
    </w:rPr>
  </w:style>
  <w:style w:type="character" w:customStyle="1" w:styleId="st1">
    <w:name w:val="st1"/>
    <w:basedOn w:val="DefaultParagraphFont"/>
    <w:rsid w:val="00A81C29"/>
  </w:style>
  <w:style w:type="paragraph" w:customStyle="1" w:styleId="Default">
    <w:name w:val="Default"/>
    <w:rsid w:val="008E1A60"/>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qFormat="1"/>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7375D9"/>
    <w:pPr>
      <w:numPr>
        <w:ilvl w:val="2"/>
      </w:numPr>
      <w:spacing w:before="240" w:line="280" w:lineRule="exact"/>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7375D9"/>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aliases w:val="ADB,Footnote Text Char1 Char,Footnote Text Char Char Char,Footnote Text Char1 Char1 Char Char,Footnote Text Char Char Char Char Char,Footnote Text Char1 Char Char Char Char,Footnote Text Char Char1 Char Char Char Char,fn,ETS,single space"/>
    <w:basedOn w:val="BodyText"/>
    <w:link w:val="FootnoteTextChar"/>
    <w:unhideWhenUsed/>
    <w:qFormat/>
    <w:rsid w:val="00DA7CB8"/>
    <w:pPr>
      <w:spacing w:after="0"/>
      <w:contextualSpacing/>
    </w:pPr>
    <w:rPr>
      <w:sz w:val="16"/>
      <w:szCs w:val="20"/>
    </w:rPr>
  </w:style>
  <w:style w:type="character" w:customStyle="1" w:styleId="FootnoteTextChar">
    <w:name w:val="Footnote Text Char"/>
    <w:aliases w:val="ADB Char,Footnote Text Char1 Char Char,Footnote Text Char Char Char Char,Footnote Text Char1 Char1 Char Char Char,Footnote Text Char Char Char Char Char Char,Footnote Text Char1 Char Char Char Char Char,fn Char,ETS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aliases w:val="Footnote,Footnote text,Footnote + Arial,10 pt,Black,ftref,(NECG) Footnote Reference,footnote ref,SUPERS,EN Footnote Reference,16 Point,Superscript 6 Point,Footnote Reference Number,Style 6,Ref,de nota al pie,fr,Footnote Ref in FtNote"/>
    <w:uiPriority w:val="99"/>
    <w:qFormat/>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List Paragraph1,List Paragraph11,L,F5 List Paragraph,Dot pt,CV text,Table text,List Paragraph111,Medium Grid 1 - Accent 21,Numbered Paragraph,List Paragraph2,Bulleted Para,NFP GP Bulleted List,FooterText,numbered,列出段落,列出段落1,Recommendation"/>
    <w:basedOn w:val="BodyText"/>
    <w:link w:val="ListParagraphChar"/>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ListParagraphChar">
    <w:name w:val="List Paragraph Char"/>
    <w:aliases w:val="List Paragraph1 Char,List Paragraph11 Char,L Char,F5 List Paragraph Char,Dot pt Char,CV text Char,Table text Char,List Paragraph111 Char,Medium Grid 1 - Accent 21 Char,Numbered Paragraph Char,List Paragraph2 Char,Bulleted Para Char"/>
    <w:basedOn w:val="DefaultParagraphFont"/>
    <w:link w:val="ListParagraph"/>
    <w:uiPriority w:val="34"/>
    <w:qFormat/>
    <w:locked/>
    <w:rsid w:val="00BA495F"/>
    <w:rPr>
      <w:rFonts w:ascii="Times New Roman" w:eastAsia="Times New Roman" w:hAnsi="Times New Roman" w:cs="Times New Roman"/>
      <w:szCs w:val="24"/>
    </w:rPr>
  </w:style>
  <w:style w:type="character" w:customStyle="1" w:styleId="st1">
    <w:name w:val="st1"/>
    <w:basedOn w:val="DefaultParagraphFont"/>
    <w:rsid w:val="00A81C29"/>
  </w:style>
  <w:style w:type="paragraph" w:customStyle="1" w:styleId="Default">
    <w:name w:val="Default"/>
    <w:rsid w:val="008E1A60"/>
    <w:pPr>
      <w:autoSpaceDE w:val="0"/>
      <w:autoSpaceDN w:val="0"/>
      <w:adjustRightInd w:val="0"/>
      <w:spacing w:after="0" w:line="240" w:lineRule="auto"/>
    </w:pPr>
    <w:rPr>
      <w:rFonts w:ascii="Franklin Gothic Book" w:eastAsia="Times New Roman"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322">
      <w:bodyDiv w:val="1"/>
      <w:marLeft w:val="0"/>
      <w:marRight w:val="0"/>
      <w:marTop w:val="0"/>
      <w:marBottom w:val="0"/>
      <w:divBdr>
        <w:top w:val="none" w:sz="0" w:space="0" w:color="auto"/>
        <w:left w:val="none" w:sz="0" w:space="0" w:color="auto"/>
        <w:bottom w:val="none" w:sz="0" w:space="0" w:color="auto"/>
        <w:right w:val="none" w:sz="0" w:space="0" w:color="auto"/>
      </w:divBdr>
    </w:div>
    <w:div w:id="87388609">
      <w:bodyDiv w:val="1"/>
      <w:marLeft w:val="0"/>
      <w:marRight w:val="0"/>
      <w:marTop w:val="0"/>
      <w:marBottom w:val="0"/>
      <w:divBdr>
        <w:top w:val="none" w:sz="0" w:space="0" w:color="auto"/>
        <w:left w:val="none" w:sz="0" w:space="0" w:color="auto"/>
        <w:bottom w:val="none" w:sz="0" w:space="0" w:color="auto"/>
        <w:right w:val="none" w:sz="0" w:space="0" w:color="auto"/>
      </w:divBdr>
      <w:divsChild>
        <w:div w:id="1161315289">
          <w:marLeft w:val="0"/>
          <w:marRight w:val="0"/>
          <w:marTop w:val="0"/>
          <w:marBottom w:val="0"/>
          <w:divBdr>
            <w:top w:val="none" w:sz="0" w:space="0" w:color="auto"/>
            <w:left w:val="none" w:sz="0" w:space="0" w:color="auto"/>
            <w:bottom w:val="none" w:sz="0" w:space="0" w:color="auto"/>
            <w:right w:val="none" w:sz="0" w:space="0" w:color="auto"/>
          </w:divBdr>
          <w:divsChild>
            <w:div w:id="792284824">
              <w:marLeft w:val="0"/>
              <w:marRight w:val="0"/>
              <w:marTop w:val="0"/>
              <w:marBottom w:val="0"/>
              <w:divBdr>
                <w:top w:val="none" w:sz="0" w:space="0" w:color="auto"/>
                <w:left w:val="none" w:sz="0" w:space="0" w:color="auto"/>
                <w:bottom w:val="none" w:sz="0" w:space="0" w:color="auto"/>
                <w:right w:val="none" w:sz="0" w:space="0" w:color="auto"/>
              </w:divBdr>
              <w:divsChild>
                <w:div w:id="1322080260">
                  <w:marLeft w:val="-15"/>
                  <w:marRight w:val="0"/>
                  <w:marTop w:val="0"/>
                  <w:marBottom w:val="0"/>
                  <w:divBdr>
                    <w:top w:val="none" w:sz="0" w:space="0" w:color="auto"/>
                    <w:left w:val="single" w:sz="6" w:space="0" w:color="919B9C"/>
                    <w:bottom w:val="single" w:sz="6" w:space="15" w:color="919B9C"/>
                    <w:right w:val="none" w:sz="0" w:space="0" w:color="auto"/>
                  </w:divBdr>
                  <w:divsChild>
                    <w:div w:id="1990742704">
                      <w:marLeft w:val="0"/>
                      <w:marRight w:val="0"/>
                      <w:marTop w:val="0"/>
                      <w:marBottom w:val="0"/>
                      <w:divBdr>
                        <w:top w:val="none" w:sz="0" w:space="0" w:color="auto"/>
                        <w:left w:val="none" w:sz="0" w:space="0" w:color="auto"/>
                        <w:bottom w:val="none" w:sz="0" w:space="0" w:color="auto"/>
                        <w:right w:val="none" w:sz="0" w:space="0" w:color="auto"/>
                      </w:divBdr>
                      <w:divsChild>
                        <w:div w:id="1861091408">
                          <w:marLeft w:val="0"/>
                          <w:marRight w:val="0"/>
                          <w:marTop w:val="0"/>
                          <w:marBottom w:val="0"/>
                          <w:divBdr>
                            <w:top w:val="none" w:sz="0" w:space="0" w:color="auto"/>
                            <w:left w:val="none" w:sz="0" w:space="0" w:color="auto"/>
                            <w:bottom w:val="none" w:sz="0" w:space="0" w:color="auto"/>
                            <w:right w:val="none" w:sz="0" w:space="0" w:color="auto"/>
                          </w:divBdr>
                          <w:divsChild>
                            <w:div w:id="110873900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138807534">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13155357">
      <w:bodyDiv w:val="1"/>
      <w:marLeft w:val="0"/>
      <w:marRight w:val="0"/>
      <w:marTop w:val="0"/>
      <w:marBottom w:val="0"/>
      <w:divBdr>
        <w:top w:val="none" w:sz="0" w:space="0" w:color="auto"/>
        <w:left w:val="none" w:sz="0" w:space="0" w:color="auto"/>
        <w:bottom w:val="none" w:sz="0" w:space="0" w:color="auto"/>
        <w:right w:val="none" w:sz="0" w:space="0" w:color="auto"/>
      </w:divBdr>
      <w:divsChild>
        <w:div w:id="1316376091">
          <w:marLeft w:val="0"/>
          <w:marRight w:val="0"/>
          <w:marTop w:val="0"/>
          <w:marBottom w:val="0"/>
          <w:divBdr>
            <w:top w:val="none" w:sz="0" w:space="0" w:color="auto"/>
            <w:left w:val="none" w:sz="0" w:space="0" w:color="auto"/>
            <w:bottom w:val="none" w:sz="0" w:space="0" w:color="auto"/>
            <w:right w:val="none" w:sz="0" w:space="0" w:color="auto"/>
          </w:divBdr>
          <w:divsChild>
            <w:div w:id="2056392033">
              <w:marLeft w:val="0"/>
              <w:marRight w:val="0"/>
              <w:marTop w:val="0"/>
              <w:marBottom w:val="0"/>
              <w:divBdr>
                <w:top w:val="none" w:sz="0" w:space="0" w:color="auto"/>
                <w:left w:val="none" w:sz="0" w:space="0" w:color="auto"/>
                <w:bottom w:val="none" w:sz="0" w:space="0" w:color="auto"/>
                <w:right w:val="none" w:sz="0" w:space="0" w:color="auto"/>
              </w:divBdr>
              <w:divsChild>
                <w:div w:id="1127090053">
                  <w:marLeft w:val="0"/>
                  <w:marRight w:val="0"/>
                  <w:marTop w:val="0"/>
                  <w:marBottom w:val="0"/>
                  <w:divBdr>
                    <w:top w:val="none" w:sz="0" w:space="0" w:color="auto"/>
                    <w:left w:val="none" w:sz="0" w:space="0" w:color="auto"/>
                    <w:bottom w:val="none" w:sz="0" w:space="0" w:color="auto"/>
                    <w:right w:val="none" w:sz="0" w:space="0" w:color="auto"/>
                  </w:divBdr>
                  <w:divsChild>
                    <w:div w:id="850989779">
                      <w:marLeft w:val="0"/>
                      <w:marRight w:val="0"/>
                      <w:marTop w:val="0"/>
                      <w:marBottom w:val="0"/>
                      <w:divBdr>
                        <w:top w:val="none" w:sz="0" w:space="0" w:color="auto"/>
                        <w:left w:val="none" w:sz="0" w:space="0" w:color="auto"/>
                        <w:bottom w:val="none" w:sz="0" w:space="0" w:color="auto"/>
                        <w:right w:val="none" w:sz="0" w:space="0" w:color="auto"/>
                      </w:divBdr>
                      <w:divsChild>
                        <w:div w:id="678657688">
                          <w:marLeft w:val="0"/>
                          <w:marRight w:val="0"/>
                          <w:marTop w:val="0"/>
                          <w:marBottom w:val="0"/>
                          <w:divBdr>
                            <w:top w:val="none" w:sz="0" w:space="0" w:color="auto"/>
                            <w:left w:val="none" w:sz="0" w:space="0" w:color="auto"/>
                            <w:bottom w:val="none" w:sz="0" w:space="0" w:color="auto"/>
                            <w:right w:val="none" w:sz="0" w:space="0" w:color="auto"/>
                          </w:divBdr>
                          <w:divsChild>
                            <w:div w:id="656807528">
                              <w:marLeft w:val="0"/>
                              <w:marRight w:val="0"/>
                              <w:marTop w:val="0"/>
                              <w:marBottom w:val="0"/>
                              <w:divBdr>
                                <w:top w:val="none" w:sz="0" w:space="0" w:color="auto"/>
                                <w:left w:val="none" w:sz="0" w:space="0" w:color="auto"/>
                                <w:bottom w:val="none" w:sz="0" w:space="0" w:color="auto"/>
                                <w:right w:val="none" w:sz="0" w:space="0" w:color="auto"/>
                              </w:divBdr>
                              <w:divsChild>
                                <w:div w:id="8722181">
                                  <w:marLeft w:val="0"/>
                                  <w:marRight w:val="0"/>
                                  <w:marTop w:val="0"/>
                                  <w:marBottom w:val="0"/>
                                  <w:divBdr>
                                    <w:top w:val="none" w:sz="0" w:space="0" w:color="auto"/>
                                    <w:left w:val="none" w:sz="0" w:space="0" w:color="auto"/>
                                    <w:bottom w:val="none" w:sz="0" w:space="0" w:color="auto"/>
                                    <w:right w:val="none" w:sz="0" w:space="0" w:color="auto"/>
                                  </w:divBdr>
                                  <w:divsChild>
                                    <w:div w:id="1413354154">
                                      <w:marLeft w:val="0"/>
                                      <w:marRight w:val="0"/>
                                      <w:marTop w:val="0"/>
                                      <w:marBottom w:val="0"/>
                                      <w:divBdr>
                                        <w:top w:val="none" w:sz="0" w:space="0" w:color="auto"/>
                                        <w:left w:val="none" w:sz="0" w:space="0" w:color="auto"/>
                                        <w:bottom w:val="none" w:sz="0" w:space="0" w:color="auto"/>
                                        <w:right w:val="none" w:sz="0" w:space="0" w:color="auto"/>
                                      </w:divBdr>
                                      <w:divsChild>
                                        <w:div w:id="714741307">
                                          <w:marLeft w:val="0"/>
                                          <w:marRight w:val="0"/>
                                          <w:marTop w:val="0"/>
                                          <w:marBottom w:val="0"/>
                                          <w:divBdr>
                                            <w:top w:val="none" w:sz="0" w:space="0" w:color="auto"/>
                                            <w:left w:val="none" w:sz="0" w:space="0" w:color="auto"/>
                                            <w:bottom w:val="none" w:sz="0" w:space="0" w:color="auto"/>
                                            <w:right w:val="none" w:sz="0" w:space="0" w:color="auto"/>
                                          </w:divBdr>
                                          <w:divsChild>
                                            <w:div w:id="15619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4455603">
      <w:bodyDiv w:val="1"/>
      <w:marLeft w:val="0"/>
      <w:marRight w:val="0"/>
      <w:marTop w:val="0"/>
      <w:marBottom w:val="0"/>
      <w:divBdr>
        <w:top w:val="none" w:sz="0" w:space="0" w:color="auto"/>
        <w:left w:val="none" w:sz="0" w:space="0" w:color="auto"/>
        <w:bottom w:val="none" w:sz="0" w:space="0" w:color="auto"/>
        <w:right w:val="none" w:sz="0" w:space="0" w:color="auto"/>
      </w:divBdr>
    </w:div>
    <w:div w:id="260726635">
      <w:bodyDiv w:val="1"/>
      <w:marLeft w:val="0"/>
      <w:marRight w:val="0"/>
      <w:marTop w:val="0"/>
      <w:marBottom w:val="0"/>
      <w:divBdr>
        <w:top w:val="none" w:sz="0" w:space="0" w:color="auto"/>
        <w:left w:val="none" w:sz="0" w:space="0" w:color="auto"/>
        <w:bottom w:val="none" w:sz="0" w:space="0" w:color="auto"/>
        <w:right w:val="none" w:sz="0" w:space="0" w:color="auto"/>
      </w:divBdr>
    </w:div>
    <w:div w:id="336886184">
      <w:bodyDiv w:val="1"/>
      <w:marLeft w:val="0"/>
      <w:marRight w:val="0"/>
      <w:marTop w:val="0"/>
      <w:marBottom w:val="0"/>
      <w:divBdr>
        <w:top w:val="none" w:sz="0" w:space="0" w:color="auto"/>
        <w:left w:val="none" w:sz="0" w:space="0" w:color="auto"/>
        <w:bottom w:val="none" w:sz="0" w:space="0" w:color="auto"/>
        <w:right w:val="none" w:sz="0" w:space="0" w:color="auto"/>
      </w:divBdr>
    </w:div>
    <w:div w:id="378095747">
      <w:bodyDiv w:val="1"/>
      <w:marLeft w:val="0"/>
      <w:marRight w:val="0"/>
      <w:marTop w:val="0"/>
      <w:marBottom w:val="0"/>
      <w:divBdr>
        <w:top w:val="none" w:sz="0" w:space="0" w:color="auto"/>
        <w:left w:val="none" w:sz="0" w:space="0" w:color="auto"/>
        <w:bottom w:val="none" w:sz="0" w:space="0" w:color="auto"/>
        <w:right w:val="none" w:sz="0" w:space="0" w:color="auto"/>
      </w:divBdr>
    </w:div>
    <w:div w:id="386416952">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54063584">
      <w:bodyDiv w:val="1"/>
      <w:marLeft w:val="0"/>
      <w:marRight w:val="0"/>
      <w:marTop w:val="0"/>
      <w:marBottom w:val="0"/>
      <w:divBdr>
        <w:top w:val="none" w:sz="0" w:space="0" w:color="auto"/>
        <w:left w:val="none" w:sz="0" w:space="0" w:color="auto"/>
        <w:bottom w:val="none" w:sz="0" w:space="0" w:color="auto"/>
        <w:right w:val="none" w:sz="0" w:space="0" w:color="auto"/>
      </w:divBdr>
    </w:div>
    <w:div w:id="462234995">
      <w:bodyDiv w:val="1"/>
      <w:marLeft w:val="0"/>
      <w:marRight w:val="0"/>
      <w:marTop w:val="0"/>
      <w:marBottom w:val="0"/>
      <w:divBdr>
        <w:top w:val="none" w:sz="0" w:space="0" w:color="auto"/>
        <w:left w:val="none" w:sz="0" w:space="0" w:color="auto"/>
        <w:bottom w:val="none" w:sz="0" w:space="0" w:color="auto"/>
        <w:right w:val="none" w:sz="0" w:space="0" w:color="auto"/>
      </w:divBdr>
    </w:div>
    <w:div w:id="616327787">
      <w:bodyDiv w:val="1"/>
      <w:marLeft w:val="0"/>
      <w:marRight w:val="0"/>
      <w:marTop w:val="0"/>
      <w:marBottom w:val="0"/>
      <w:divBdr>
        <w:top w:val="none" w:sz="0" w:space="0" w:color="auto"/>
        <w:left w:val="none" w:sz="0" w:space="0" w:color="auto"/>
        <w:bottom w:val="none" w:sz="0" w:space="0" w:color="auto"/>
        <w:right w:val="none" w:sz="0" w:space="0" w:color="auto"/>
      </w:divBdr>
    </w:div>
    <w:div w:id="659817277">
      <w:bodyDiv w:val="1"/>
      <w:marLeft w:val="0"/>
      <w:marRight w:val="0"/>
      <w:marTop w:val="0"/>
      <w:marBottom w:val="0"/>
      <w:divBdr>
        <w:top w:val="none" w:sz="0" w:space="0" w:color="auto"/>
        <w:left w:val="none" w:sz="0" w:space="0" w:color="auto"/>
        <w:bottom w:val="none" w:sz="0" w:space="0" w:color="auto"/>
        <w:right w:val="none" w:sz="0" w:space="0" w:color="auto"/>
      </w:divBdr>
    </w:div>
    <w:div w:id="716928332">
      <w:bodyDiv w:val="1"/>
      <w:marLeft w:val="0"/>
      <w:marRight w:val="0"/>
      <w:marTop w:val="0"/>
      <w:marBottom w:val="0"/>
      <w:divBdr>
        <w:top w:val="none" w:sz="0" w:space="0" w:color="auto"/>
        <w:left w:val="none" w:sz="0" w:space="0" w:color="auto"/>
        <w:bottom w:val="none" w:sz="0" w:space="0" w:color="auto"/>
        <w:right w:val="none" w:sz="0" w:space="0" w:color="auto"/>
      </w:divBdr>
    </w:div>
    <w:div w:id="758332347">
      <w:bodyDiv w:val="1"/>
      <w:marLeft w:val="0"/>
      <w:marRight w:val="0"/>
      <w:marTop w:val="0"/>
      <w:marBottom w:val="0"/>
      <w:divBdr>
        <w:top w:val="none" w:sz="0" w:space="0" w:color="auto"/>
        <w:left w:val="none" w:sz="0" w:space="0" w:color="auto"/>
        <w:bottom w:val="none" w:sz="0" w:space="0" w:color="auto"/>
        <w:right w:val="none" w:sz="0" w:space="0" w:color="auto"/>
      </w:divBdr>
    </w:div>
    <w:div w:id="772357344">
      <w:bodyDiv w:val="1"/>
      <w:marLeft w:val="0"/>
      <w:marRight w:val="0"/>
      <w:marTop w:val="0"/>
      <w:marBottom w:val="0"/>
      <w:divBdr>
        <w:top w:val="none" w:sz="0" w:space="0" w:color="auto"/>
        <w:left w:val="none" w:sz="0" w:space="0" w:color="auto"/>
        <w:bottom w:val="none" w:sz="0" w:space="0" w:color="auto"/>
        <w:right w:val="none" w:sz="0" w:space="0" w:color="auto"/>
      </w:divBdr>
    </w:div>
    <w:div w:id="776368062">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05927615">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431822">
      <w:bodyDiv w:val="1"/>
      <w:marLeft w:val="0"/>
      <w:marRight w:val="0"/>
      <w:marTop w:val="0"/>
      <w:marBottom w:val="0"/>
      <w:divBdr>
        <w:top w:val="none" w:sz="0" w:space="0" w:color="auto"/>
        <w:left w:val="none" w:sz="0" w:space="0" w:color="auto"/>
        <w:bottom w:val="none" w:sz="0" w:space="0" w:color="auto"/>
        <w:right w:val="none" w:sz="0" w:space="0" w:color="auto"/>
      </w:divBdr>
    </w:div>
    <w:div w:id="1069767499">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092747681">
      <w:bodyDiv w:val="1"/>
      <w:marLeft w:val="0"/>
      <w:marRight w:val="0"/>
      <w:marTop w:val="0"/>
      <w:marBottom w:val="0"/>
      <w:divBdr>
        <w:top w:val="none" w:sz="0" w:space="0" w:color="auto"/>
        <w:left w:val="none" w:sz="0" w:space="0" w:color="auto"/>
        <w:bottom w:val="none" w:sz="0" w:space="0" w:color="auto"/>
        <w:right w:val="none" w:sz="0" w:space="0" w:color="auto"/>
      </w:divBdr>
    </w:div>
    <w:div w:id="1111052684">
      <w:bodyDiv w:val="1"/>
      <w:marLeft w:val="0"/>
      <w:marRight w:val="0"/>
      <w:marTop w:val="0"/>
      <w:marBottom w:val="0"/>
      <w:divBdr>
        <w:top w:val="none" w:sz="0" w:space="0" w:color="auto"/>
        <w:left w:val="none" w:sz="0" w:space="0" w:color="auto"/>
        <w:bottom w:val="none" w:sz="0" w:space="0" w:color="auto"/>
        <w:right w:val="none" w:sz="0" w:space="0" w:color="auto"/>
      </w:divBdr>
    </w:div>
    <w:div w:id="1173300003">
      <w:bodyDiv w:val="1"/>
      <w:marLeft w:val="0"/>
      <w:marRight w:val="0"/>
      <w:marTop w:val="0"/>
      <w:marBottom w:val="0"/>
      <w:divBdr>
        <w:top w:val="none" w:sz="0" w:space="0" w:color="auto"/>
        <w:left w:val="none" w:sz="0" w:space="0" w:color="auto"/>
        <w:bottom w:val="none" w:sz="0" w:space="0" w:color="auto"/>
        <w:right w:val="none" w:sz="0" w:space="0" w:color="auto"/>
      </w:divBdr>
    </w:div>
    <w:div w:id="1180705661">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287128586">
      <w:bodyDiv w:val="1"/>
      <w:marLeft w:val="0"/>
      <w:marRight w:val="0"/>
      <w:marTop w:val="0"/>
      <w:marBottom w:val="0"/>
      <w:divBdr>
        <w:top w:val="none" w:sz="0" w:space="0" w:color="auto"/>
        <w:left w:val="none" w:sz="0" w:space="0" w:color="auto"/>
        <w:bottom w:val="none" w:sz="0" w:space="0" w:color="auto"/>
        <w:right w:val="none" w:sz="0" w:space="0" w:color="auto"/>
      </w:divBdr>
    </w:div>
    <w:div w:id="1310015660">
      <w:bodyDiv w:val="1"/>
      <w:marLeft w:val="0"/>
      <w:marRight w:val="0"/>
      <w:marTop w:val="0"/>
      <w:marBottom w:val="0"/>
      <w:divBdr>
        <w:top w:val="none" w:sz="0" w:space="0" w:color="auto"/>
        <w:left w:val="none" w:sz="0" w:space="0" w:color="auto"/>
        <w:bottom w:val="none" w:sz="0" w:space="0" w:color="auto"/>
        <w:right w:val="none" w:sz="0" w:space="0" w:color="auto"/>
      </w:divBdr>
    </w:div>
    <w:div w:id="1316648539">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37004038">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64019944">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32698576">
      <w:bodyDiv w:val="1"/>
      <w:marLeft w:val="0"/>
      <w:marRight w:val="0"/>
      <w:marTop w:val="0"/>
      <w:marBottom w:val="0"/>
      <w:divBdr>
        <w:top w:val="none" w:sz="0" w:space="0" w:color="auto"/>
        <w:left w:val="none" w:sz="0" w:space="0" w:color="auto"/>
        <w:bottom w:val="none" w:sz="0" w:space="0" w:color="auto"/>
        <w:right w:val="none" w:sz="0" w:space="0" w:color="auto"/>
      </w:divBdr>
    </w:div>
    <w:div w:id="1436484489">
      <w:bodyDiv w:val="1"/>
      <w:marLeft w:val="0"/>
      <w:marRight w:val="0"/>
      <w:marTop w:val="0"/>
      <w:marBottom w:val="0"/>
      <w:divBdr>
        <w:top w:val="none" w:sz="0" w:space="0" w:color="auto"/>
        <w:left w:val="none" w:sz="0" w:space="0" w:color="auto"/>
        <w:bottom w:val="none" w:sz="0" w:space="0" w:color="auto"/>
        <w:right w:val="none" w:sz="0" w:space="0" w:color="auto"/>
      </w:divBdr>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39657341">
      <w:bodyDiv w:val="1"/>
      <w:marLeft w:val="0"/>
      <w:marRight w:val="0"/>
      <w:marTop w:val="0"/>
      <w:marBottom w:val="0"/>
      <w:divBdr>
        <w:top w:val="none" w:sz="0" w:space="0" w:color="auto"/>
        <w:left w:val="none" w:sz="0" w:space="0" w:color="auto"/>
        <w:bottom w:val="none" w:sz="0" w:space="0" w:color="auto"/>
        <w:right w:val="none" w:sz="0" w:space="0" w:color="auto"/>
      </w:divBdr>
    </w:div>
    <w:div w:id="1546874229">
      <w:bodyDiv w:val="1"/>
      <w:marLeft w:val="0"/>
      <w:marRight w:val="0"/>
      <w:marTop w:val="0"/>
      <w:marBottom w:val="0"/>
      <w:divBdr>
        <w:top w:val="none" w:sz="0" w:space="0" w:color="auto"/>
        <w:left w:val="none" w:sz="0" w:space="0" w:color="auto"/>
        <w:bottom w:val="none" w:sz="0" w:space="0" w:color="auto"/>
        <w:right w:val="none" w:sz="0" w:space="0" w:color="auto"/>
      </w:divBdr>
    </w:div>
    <w:div w:id="1641422065">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2950242">
      <w:bodyDiv w:val="1"/>
      <w:marLeft w:val="0"/>
      <w:marRight w:val="0"/>
      <w:marTop w:val="0"/>
      <w:marBottom w:val="0"/>
      <w:divBdr>
        <w:top w:val="none" w:sz="0" w:space="0" w:color="auto"/>
        <w:left w:val="none" w:sz="0" w:space="0" w:color="auto"/>
        <w:bottom w:val="none" w:sz="0" w:space="0" w:color="auto"/>
        <w:right w:val="none" w:sz="0" w:space="0" w:color="auto"/>
      </w:divBdr>
    </w:div>
    <w:div w:id="1717465754">
      <w:bodyDiv w:val="1"/>
      <w:marLeft w:val="0"/>
      <w:marRight w:val="0"/>
      <w:marTop w:val="0"/>
      <w:marBottom w:val="0"/>
      <w:divBdr>
        <w:top w:val="none" w:sz="0" w:space="0" w:color="auto"/>
        <w:left w:val="none" w:sz="0" w:space="0" w:color="auto"/>
        <w:bottom w:val="none" w:sz="0" w:space="0" w:color="auto"/>
        <w:right w:val="none" w:sz="0" w:space="0" w:color="auto"/>
      </w:divBdr>
    </w:div>
    <w:div w:id="1801994513">
      <w:bodyDiv w:val="1"/>
      <w:marLeft w:val="0"/>
      <w:marRight w:val="0"/>
      <w:marTop w:val="0"/>
      <w:marBottom w:val="0"/>
      <w:divBdr>
        <w:top w:val="none" w:sz="0" w:space="0" w:color="auto"/>
        <w:left w:val="none" w:sz="0" w:space="0" w:color="auto"/>
        <w:bottom w:val="none" w:sz="0" w:space="0" w:color="auto"/>
        <w:right w:val="none" w:sz="0" w:space="0" w:color="auto"/>
      </w:divBdr>
    </w:div>
    <w:div w:id="1821531707">
      <w:bodyDiv w:val="1"/>
      <w:marLeft w:val="0"/>
      <w:marRight w:val="0"/>
      <w:marTop w:val="0"/>
      <w:marBottom w:val="0"/>
      <w:divBdr>
        <w:top w:val="none" w:sz="0" w:space="0" w:color="auto"/>
        <w:left w:val="none" w:sz="0" w:space="0" w:color="auto"/>
        <w:bottom w:val="none" w:sz="0" w:space="0" w:color="auto"/>
        <w:right w:val="none" w:sz="0" w:space="0" w:color="auto"/>
      </w:divBdr>
    </w:div>
    <w:div w:id="1825002830">
      <w:bodyDiv w:val="1"/>
      <w:marLeft w:val="0"/>
      <w:marRight w:val="0"/>
      <w:marTop w:val="0"/>
      <w:marBottom w:val="0"/>
      <w:divBdr>
        <w:top w:val="none" w:sz="0" w:space="0" w:color="auto"/>
        <w:left w:val="none" w:sz="0" w:space="0" w:color="auto"/>
        <w:bottom w:val="none" w:sz="0" w:space="0" w:color="auto"/>
        <w:right w:val="none" w:sz="0" w:space="0" w:color="auto"/>
      </w:divBdr>
    </w:div>
    <w:div w:id="1901163345">
      <w:bodyDiv w:val="1"/>
      <w:marLeft w:val="0"/>
      <w:marRight w:val="0"/>
      <w:marTop w:val="0"/>
      <w:marBottom w:val="0"/>
      <w:divBdr>
        <w:top w:val="none" w:sz="0" w:space="0" w:color="auto"/>
        <w:left w:val="none" w:sz="0" w:space="0" w:color="auto"/>
        <w:bottom w:val="none" w:sz="0" w:space="0" w:color="auto"/>
        <w:right w:val="none" w:sz="0" w:space="0" w:color="auto"/>
      </w:divBdr>
    </w:div>
    <w:div w:id="1927033288">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1977564305">
      <w:bodyDiv w:val="1"/>
      <w:marLeft w:val="0"/>
      <w:marRight w:val="0"/>
      <w:marTop w:val="0"/>
      <w:marBottom w:val="0"/>
      <w:divBdr>
        <w:top w:val="none" w:sz="0" w:space="0" w:color="auto"/>
        <w:left w:val="none" w:sz="0" w:space="0" w:color="auto"/>
        <w:bottom w:val="none" w:sz="0" w:space="0" w:color="auto"/>
        <w:right w:val="none" w:sz="0" w:space="0" w:color="auto"/>
      </w:divBdr>
    </w:div>
    <w:div w:id="2010211037">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 w:id="213104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fat.gov.au/about-us/publications/Pages/aid-investment-plan-aip-vietnam-2015-16-to-2019-20.aspx"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chinhphu.vn/portal/page/portal/English/strategies/strategiesdetails?categoryId=30&amp;articleId=10052505" TargetMode="External"/><Relationship Id="rId17" Type="http://schemas.openxmlformats.org/officeDocument/2006/relationships/hyperlink" Target="http://dfat.gov.au/geo/vietnam/Pages/a-declaration-on-enhancing-the-australia-viet-nam-comprehensive-partnership.aspx" TargetMode="External"/><Relationship Id="rId25" Type="http://schemas.openxmlformats.org/officeDocument/2006/relationships/footer" Target="footer4.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dfat.gov.au/about-us/grants-tenders-funding/tenders/business-notifications/Pages/australia-vietnam-human-resource-development-program-2016-2020.aspx"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fat.gov.au/about-us/publications/Pages/australia-vietnam-joint-aid-program-strategy-2010-2015.aspx" TargetMode="External"/><Relationship Id="rId24" Type="http://schemas.openxmlformats.org/officeDocument/2006/relationships/header" Target="header4.xm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dfat.gov.au/about-us/grants-tenders-funding/tenders/business-notifications/Pages/australia-vietnam-human-resource-development-program-2016-2020.aspx"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http://dfat.gov.au/about-us/publications/Pages/australia-vietnam-joint-aid-program-strategy-2010-2015.aspx" TargetMode="External"/><Relationship Id="rId19" Type="http://schemas.openxmlformats.org/officeDocument/2006/relationships/header" Target="head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2.wmf"/><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 Id="rId8" Type="http://schemas.openxmlformats.org/officeDocument/2006/relationships/endnotes" Target="endnotes.xml"/></Relationships>
</file>

<file path=word/_rels/footer4.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BBE0C1-5157-4BF0-9750-1D2A5E9024D8}"/>
</file>

<file path=customXml/itemProps2.xml><?xml version="1.0" encoding="utf-8"?>
<ds:datastoreItem xmlns:ds="http://schemas.openxmlformats.org/officeDocument/2006/customXml" ds:itemID="{513E5C5A-175C-45E1-9421-B3B717B4904E}"/>
</file>

<file path=customXml/itemProps3.xml><?xml version="1.0" encoding="utf-8"?>
<ds:datastoreItem xmlns:ds="http://schemas.openxmlformats.org/officeDocument/2006/customXml" ds:itemID="{693BF4B7-38A0-4CA3-9376-EB8F8FF5B9A0}"/>
</file>

<file path=customXml/itemProps4.xml><?xml version="1.0" encoding="utf-8"?>
<ds:datastoreItem xmlns:ds="http://schemas.openxmlformats.org/officeDocument/2006/customXml" ds:itemID="{657A4A6D-425C-442C-9783-97A9062E3DAB}"/>
</file>

<file path=docProps/app.xml><?xml version="1.0" encoding="utf-8"?>
<Properties xmlns="http://schemas.openxmlformats.org/officeDocument/2006/extended-properties" xmlns:vt="http://schemas.openxmlformats.org/officeDocument/2006/docPropsVTypes">
  <Template>61EBE3C5</Template>
  <TotalTime>0</TotalTime>
  <Pages>27</Pages>
  <Words>11389</Words>
  <Characters>64919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2015-10-27T03:08:00Z</dcterms:created>
  <dcterms:modified xsi:type="dcterms:W3CDTF">2015-10-27T03:08:00Z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982200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