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rsidP="00D50F29">
      <w:pPr>
        <w:spacing w:line="280" w:lineRule="atLeast"/>
      </w:pPr>
      <w:bookmarkStart w:id="0" w:name="_GoBack"/>
      <w:bookmarkEnd w:id="0"/>
    </w:p>
    <w:p w:rsidR="000D733F" w:rsidRDefault="000D733F" w:rsidP="00D50F29">
      <w:pPr>
        <w:spacing w:line="280" w:lineRule="atLeast"/>
      </w:pPr>
    </w:p>
    <w:p w:rsidR="000D733F" w:rsidRDefault="000D733F" w:rsidP="00D50F29">
      <w:pPr>
        <w:spacing w:line="280" w:lineRule="atLeast"/>
      </w:pPr>
    </w:p>
    <w:p w:rsidR="000D733F" w:rsidRDefault="000D733F" w:rsidP="00D50F29">
      <w:pPr>
        <w:spacing w:line="280" w:lineRule="atLeast"/>
      </w:pPr>
    </w:p>
    <w:p w:rsidR="001227C3" w:rsidRDefault="001227C3" w:rsidP="00D50F29">
      <w:pPr>
        <w:pStyle w:val="Title"/>
        <w:spacing w:before="0" w:after="0" w:line="280" w:lineRule="atLeast"/>
        <w:ind w:left="2694" w:right="-624"/>
        <w:rPr>
          <w:noProof/>
          <w:color w:val="FFFFFF"/>
          <w:spacing w:val="0"/>
          <w:sz w:val="50"/>
          <w:szCs w:val="50"/>
          <w:lang w:val="en-US" w:eastAsia="en-US"/>
        </w:rPr>
      </w:pPr>
    </w:p>
    <w:p w:rsidR="001227C3" w:rsidRDefault="001227C3" w:rsidP="00D50F29">
      <w:pPr>
        <w:pStyle w:val="Title"/>
        <w:spacing w:before="0" w:after="0" w:line="280" w:lineRule="atLeast"/>
        <w:ind w:left="2694" w:right="-624"/>
        <w:rPr>
          <w:noProof/>
          <w:color w:val="FFFFFF"/>
          <w:spacing w:val="0"/>
          <w:sz w:val="50"/>
          <w:szCs w:val="50"/>
          <w:lang w:val="en-US" w:eastAsia="en-US"/>
        </w:rPr>
      </w:pPr>
    </w:p>
    <w:p w:rsidR="001227C3" w:rsidRDefault="001227C3" w:rsidP="00D50F29">
      <w:pPr>
        <w:pStyle w:val="Title"/>
        <w:spacing w:before="0" w:after="0" w:line="280" w:lineRule="atLeast"/>
        <w:ind w:left="2694" w:right="-624"/>
        <w:rPr>
          <w:noProof/>
          <w:color w:val="FFFFFF"/>
          <w:spacing w:val="0"/>
          <w:sz w:val="50"/>
          <w:szCs w:val="50"/>
          <w:lang w:val="en-US" w:eastAsia="en-US"/>
        </w:rPr>
      </w:pPr>
    </w:p>
    <w:p w:rsidR="001227C3" w:rsidRDefault="001227C3" w:rsidP="00D50F29">
      <w:pPr>
        <w:pStyle w:val="Title"/>
        <w:spacing w:before="0" w:after="0" w:line="280" w:lineRule="atLeast"/>
        <w:ind w:left="2694" w:right="-624"/>
        <w:rPr>
          <w:noProof/>
          <w:color w:val="FFFFFF"/>
          <w:spacing w:val="0"/>
          <w:sz w:val="50"/>
          <w:szCs w:val="50"/>
          <w:lang w:val="en-US" w:eastAsia="en-US"/>
        </w:rPr>
      </w:pPr>
    </w:p>
    <w:p w:rsidR="001227C3" w:rsidRDefault="001227C3" w:rsidP="00D50F29">
      <w:pPr>
        <w:pStyle w:val="Title"/>
        <w:spacing w:before="0" w:after="0" w:line="280" w:lineRule="atLeast"/>
        <w:ind w:left="2694" w:right="-624"/>
        <w:rPr>
          <w:noProof/>
          <w:color w:val="FFFFFF"/>
          <w:spacing w:val="0"/>
          <w:sz w:val="50"/>
          <w:szCs w:val="50"/>
          <w:lang w:val="en-US" w:eastAsia="en-US"/>
        </w:rPr>
      </w:pPr>
    </w:p>
    <w:p w:rsidR="001227C3" w:rsidRDefault="001227C3" w:rsidP="00D50F29">
      <w:pPr>
        <w:pStyle w:val="Title"/>
        <w:spacing w:before="0" w:after="0" w:line="280" w:lineRule="atLeast"/>
        <w:ind w:left="2694" w:right="-624"/>
        <w:rPr>
          <w:noProof/>
          <w:color w:val="FFFFFF"/>
          <w:spacing w:val="0"/>
          <w:sz w:val="50"/>
          <w:szCs w:val="50"/>
          <w:lang w:val="en-US" w:eastAsia="en-US"/>
        </w:rPr>
      </w:pPr>
    </w:p>
    <w:p w:rsidR="001227C3" w:rsidRDefault="001227C3" w:rsidP="00D50F29">
      <w:pPr>
        <w:pStyle w:val="Title"/>
        <w:spacing w:before="0" w:after="0" w:line="280" w:lineRule="atLeast"/>
        <w:ind w:left="2694" w:right="-624"/>
        <w:rPr>
          <w:noProof/>
          <w:color w:val="FFFFFF"/>
          <w:spacing w:val="0"/>
          <w:sz w:val="50"/>
          <w:szCs w:val="50"/>
          <w:lang w:val="en-US" w:eastAsia="en-US"/>
        </w:rPr>
      </w:pPr>
    </w:p>
    <w:p w:rsidR="001227C3" w:rsidRDefault="001227C3" w:rsidP="00D50F29">
      <w:pPr>
        <w:pStyle w:val="Title"/>
        <w:spacing w:before="0" w:after="0" w:line="280" w:lineRule="atLeast"/>
        <w:ind w:left="2694" w:right="-624"/>
        <w:rPr>
          <w:noProof/>
          <w:color w:val="FFFFFF"/>
          <w:spacing w:val="0"/>
          <w:sz w:val="50"/>
          <w:szCs w:val="50"/>
          <w:lang w:val="en-US" w:eastAsia="en-US"/>
        </w:rPr>
      </w:pPr>
    </w:p>
    <w:p w:rsidR="001227C3" w:rsidRDefault="001227C3" w:rsidP="00D50F29">
      <w:pPr>
        <w:pStyle w:val="Title"/>
        <w:spacing w:before="0" w:after="0" w:line="280" w:lineRule="atLeast"/>
        <w:ind w:left="2694" w:right="-624"/>
        <w:rPr>
          <w:noProof/>
          <w:color w:val="FFFFFF"/>
          <w:spacing w:val="0"/>
          <w:sz w:val="50"/>
          <w:szCs w:val="50"/>
          <w:lang w:val="en-US" w:eastAsia="en-US"/>
        </w:rPr>
      </w:pPr>
    </w:p>
    <w:p w:rsidR="001227C3" w:rsidRDefault="001227C3" w:rsidP="00D50F29">
      <w:pPr>
        <w:pStyle w:val="Title"/>
        <w:spacing w:before="0" w:after="0" w:line="280" w:lineRule="atLeast"/>
        <w:ind w:left="2694" w:right="-624"/>
        <w:rPr>
          <w:noProof/>
          <w:color w:val="FFFFFF"/>
          <w:spacing w:val="0"/>
          <w:sz w:val="50"/>
          <w:szCs w:val="50"/>
          <w:lang w:val="en-US" w:eastAsia="en-US"/>
        </w:rPr>
      </w:pPr>
    </w:p>
    <w:p w:rsidR="000D733F" w:rsidRPr="001227C3" w:rsidRDefault="000D733F" w:rsidP="00D50F29">
      <w:pPr>
        <w:pStyle w:val="Title"/>
        <w:spacing w:before="0" w:after="0" w:line="280" w:lineRule="atLeast"/>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3F42617E" wp14:editId="70A2F610">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ED6BF1" w:rsidP="00D50F29">
      <w:pPr>
        <w:pStyle w:val="Subtitle"/>
        <w:spacing w:before="0" w:after="0" w:line="280" w:lineRule="atLeast"/>
        <w:ind w:left="2694" w:right="-624"/>
        <w:rPr>
          <w:noProof/>
          <w:color w:val="FFFFFF"/>
          <w:spacing w:val="0"/>
          <w:sz w:val="32"/>
          <w:szCs w:val="32"/>
          <w:lang w:val="en-US" w:eastAsia="en-US"/>
        </w:rPr>
      </w:pPr>
      <w:r>
        <w:rPr>
          <w:noProof/>
          <w:color w:val="FFFFFF"/>
          <w:spacing w:val="0"/>
          <w:sz w:val="32"/>
          <w:szCs w:val="32"/>
          <w:lang w:val="en-US" w:eastAsia="en-US"/>
        </w:rPr>
        <w:t>Vietnam</w:t>
      </w:r>
      <w:r w:rsidR="000D733F" w:rsidRPr="001227C3">
        <w:rPr>
          <w:noProof/>
          <w:color w:val="FFFFFF"/>
          <w:spacing w:val="0"/>
          <w:sz w:val="32"/>
          <w:szCs w:val="32"/>
          <w:lang w:val="en-US" w:eastAsia="en-US"/>
        </w:rPr>
        <w:t xml:space="preserve"> </w:t>
      </w:r>
    </w:p>
    <w:p w:rsidR="000D733F" w:rsidRDefault="000D733F" w:rsidP="00D50F29">
      <w:pPr>
        <w:pStyle w:val="Date"/>
        <w:spacing w:line="2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D50F29">
      <w:pPr>
        <w:spacing w:line="280" w:lineRule="atLeast"/>
        <w:rPr>
          <w:lang w:val="en-US" w:eastAsia="en-US"/>
        </w:rPr>
      </w:pPr>
    </w:p>
    <w:p w:rsidR="00AC6F49" w:rsidRDefault="00AC6F49" w:rsidP="00D50F29">
      <w:pPr>
        <w:spacing w:line="280" w:lineRule="atLeast"/>
        <w:rPr>
          <w:lang w:val="en-US" w:eastAsia="en-US"/>
        </w:rPr>
      </w:pPr>
      <w:r>
        <w:rPr>
          <w:lang w:val="en-US" w:eastAsia="en-US"/>
        </w:rPr>
        <w:br w:type="page"/>
      </w:r>
    </w:p>
    <w:p w:rsidR="005B42EE" w:rsidRPr="00CD061B" w:rsidRDefault="005B42EE" w:rsidP="00D50F29">
      <w:pPr>
        <w:spacing w:line="280" w:lineRule="atLeast"/>
        <w:rPr>
          <w:lang w:val="en-US" w:eastAsia="en-US"/>
        </w:rPr>
        <w:sectPr w:rsidR="005B42EE" w:rsidRPr="00CD061B" w:rsidSect="00FA6757">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16203E" w:rsidRDefault="000D733F" w:rsidP="00FE4DBB">
      <w:pPr>
        <w:pStyle w:val="Heading2"/>
        <w:spacing w:before="0" w:after="0" w:line="280" w:lineRule="atLeast"/>
        <w:rPr>
          <w:sz w:val="28"/>
        </w:rPr>
      </w:pPr>
      <w:bookmarkStart w:id="1" w:name="_Toc373853205"/>
      <w:r w:rsidRPr="009E38C1">
        <w:rPr>
          <w:sz w:val="28"/>
        </w:rPr>
        <w:lastRenderedPageBreak/>
        <w:t>Key Messages</w:t>
      </w:r>
      <w:bookmarkEnd w:id="1"/>
      <w:r w:rsidRPr="009E38C1">
        <w:rPr>
          <w:sz w:val="28"/>
        </w:rPr>
        <w:tab/>
      </w:r>
    </w:p>
    <w:p w:rsidR="003513EC" w:rsidRDefault="00F569B9" w:rsidP="00047841">
      <w:pPr>
        <w:pStyle w:val="ListBullet"/>
        <w:numPr>
          <w:ilvl w:val="0"/>
          <w:numId w:val="0"/>
        </w:numPr>
        <w:tabs>
          <w:tab w:val="clear" w:pos="284"/>
          <w:tab w:val="left" w:pos="0"/>
        </w:tabs>
        <w:spacing w:line="280" w:lineRule="atLeast"/>
        <w:rPr>
          <w:lang w:val="en"/>
        </w:rPr>
      </w:pPr>
      <w:r w:rsidRPr="0003250D">
        <w:rPr>
          <w:lang w:val="en"/>
        </w:rPr>
        <w:t>Th</w:t>
      </w:r>
      <w:r w:rsidR="00D63847">
        <w:rPr>
          <w:lang w:val="en"/>
        </w:rPr>
        <w:t xml:space="preserve">is </w:t>
      </w:r>
      <w:r w:rsidR="003513EC">
        <w:rPr>
          <w:lang w:val="en"/>
        </w:rPr>
        <w:t xml:space="preserve">report </w:t>
      </w:r>
      <w:r w:rsidR="00D63847">
        <w:rPr>
          <w:lang w:val="en"/>
        </w:rPr>
        <w:t xml:space="preserve">summarises the aid program’s </w:t>
      </w:r>
      <w:r w:rsidR="003513EC">
        <w:rPr>
          <w:lang w:val="en"/>
        </w:rPr>
        <w:t xml:space="preserve">progress and performance in Vietnam </w:t>
      </w:r>
      <w:r w:rsidR="00D63847">
        <w:rPr>
          <w:lang w:val="en"/>
        </w:rPr>
        <w:t xml:space="preserve">during </w:t>
      </w:r>
      <w:r w:rsidR="003513EC">
        <w:rPr>
          <w:lang w:val="en"/>
        </w:rPr>
        <w:t>2013-14.</w:t>
      </w:r>
      <w:r w:rsidR="004F22F6">
        <w:rPr>
          <w:lang w:val="en"/>
        </w:rPr>
        <w:t xml:space="preserve"> </w:t>
      </w:r>
    </w:p>
    <w:p w:rsidR="00D50F29" w:rsidRDefault="003513EC" w:rsidP="00047841">
      <w:pPr>
        <w:pStyle w:val="ListBullet"/>
        <w:numPr>
          <w:ilvl w:val="0"/>
          <w:numId w:val="0"/>
        </w:numPr>
        <w:tabs>
          <w:tab w:val="clear" w:pos="284"/>
          <w:tab w:val="left" w:pos="0"/>
        </w:tabs>
        <w:spacing w:line="280" w:lineRule="atLeast"/>
      </w:pPr>
      <w:r>
        <w:rPr>
          <w:lang w:val="en"/>
        </w:rPr>
        <w:t xml:space="preserve">Australian </w:t>
      </w:r>
      <w:r w:rsidR="00D63847">
        <w:rPr>
          <w:lang w:val="en"/>
        </w:rPr>
        <w:t xml:space="preserve">official development assistance (ODA) </w:t>
      </w:r>
      <w:r>
        <w:rPr>
          <w:lang w:val="en"/>
        </w:rPr>
        <w:t xml:space="preserve">to Vietnam </w:t>
      </w:r>
      <w:r w:rsidRPr="009F5781">
        <w:rPr>
          <w:lang w:val="en"/>
        </w:rPr>
        <w:t xml:space="preserve">is </w:t>
      </w:r>
      <w:r w:rsidR="00D63847">
        <w:rPr>
          <w:lang w:val="en"/>
        </w:rPr>
        <w:t xml:space="preserve">estimated to be </w:t>
      </w:r>
      <w:r w:rsidR="00A62288">
        <w:rPr>
          <w:lang w:val="en"/>
        </w:rPr>
        <w:t>$</w:t>
      </w:r>
      <w:r w:rsidR="00362B28" w:rsidRPr="009F5781">
        <w:rPr>
          <w:lang w:val="en"/>
        </w:rPr>
        <w:t>1</w:t>
      </w:r>
      <w:r w:rsidR="009F5781" w:rsidRPr="009F5781">
        <w:rPr>
          <w:lang w:val="en"/>
        </w:rPr>
        <w:t>38.</w:t>
      </w:r>
      <w:r w:rsidR="00362B28" w:rsidRPr="009F5781">
        <w:rPr>
          <w:lang w:val="en"/>
        </w:rPr>
        <w:t>9</w:t>
      </w:r>
      <w:r w:rsidR="00362B28">
        <w:rPr>
          <w:lang w:val="en"/>
        </w:rPr>
        <w:t xml:space="preserve"> million in 2013-14</w:t>
      </w:r>
      <w:r w:rsidR="00163DFF">
        <w:rPr>
          <w:lang w:val="en"/>
        </w:rPr>
        <w:t>, $95 million of which is delivered under DFAT’s bilateral program</w:t>
      </w:r>
      <w:r>
        <w:rPr>
          <w:lang w:val="en"/>
        </w:rPr>
        <w:t>.</w:t>
      </w:r>
      <w:r w:rsidR="00D63847" w:rsidRPr="00D63847">
        <w:rPr>
          <w:lang w:val="en"/>
        </w:rPr>
        <w:t xml:space="preserve"> </w:t>
      </w:r>
      <w:r w:rsidR="00D63847">
        <w:rPr>
          <w:lang w:val="en"/>
        </w:rPr>
        <w:t xml:space="preserve">Australia is the largest grant donor to Vietnam and ranks sixth among all donors in </w:t>
      </w:r>
      <w:r w:rsidR="004F22F6">
        <w:rPr>
          <w:lang w:val="en"/>
        </w:rPr>
        <w:t xml:space="preserve">total </w:t>
      </w:r>
      <w:r w:rsidR="00D63847">
        <w:rPr>
          <w:lang w:val="en"/>
        </w:rPr>
        <w:t>ODA expenditure</w:t>
      </w:r>
      <w:r w:rsidR="00BA604F">
        <w:t>.</w:t>
      </w:r>
      <w:r w:rsidR="00362B28">
        <w:t xml:space="preserve"> </w:t>
      </w:r>
    </w:p>
    <w:p w:rsidR="00D202A4" w:rsidRDefault="00D202A4" w:rsidP="00047841">
      <w:pPr>
        <w:pStyle w:val="ListBullet"/>
        <w:numPr>
          <w:ilvl w:val="0"/>
          <w:numId w:val="0"/>
        </w:numPr>
        <w:tabs>
          <w:tab w:val="clear" w:pos="284"/>
          <w:tab w:val="left" w:pos="0"/>
        </w:tabs>
        <w:spacing w:line="280" w:lineRule="atLeast"/>
        <w:ind w:left="357" w:hanging="357"/>
      </w:pPr>
      <w:r>
        <w:t xml:space="preserve">Key achievements </w:t>
      </w:r>
      <w:r w:rsidR="00047841">
        <w:t xml:space="preserve">for the Australian aid program </w:t>
      </w:r>
      <w:r>
        <w:t xml:space="preserve">in </w:t>
      </w:r>
      <w:r w:rsidR="00047841">
        <w:t xml:space="preserve">Vietnam in </w:t>
      </w:r>
      <w:r>
        <w:t>2013-14 include:</w:t>
      </w:r>
    </w:p>
    <w:p w:rsidR="003B71CC" w:rsidRDefault="004F22F6" w:rsidP="006F226B">
      <w:pPr>
        <w:pStyle w:val="ListBullet"/>
        <w:numPr>
          <w:ilvl w:val="0"/>
          <w:numId w:val="40"/>
        </w:numPr>
        <w:tabs>
          <w:tab w:val="clear" w:pos="284"/>
          <w:tab w:val="left" w:pos="0"/>
        </w:tabs>
        <w:spacing w:after="0" w:line="280" w:lineRule="atLeast"/>
        <w:ind w:left="426"/>
      </w:pPr>
      <w:r>
        <w:t>h</w:t>
      </w:r>
      <w:r w:rsidR="00D202A4">
        <w:t>elping an additional 10</w:t>
      </w:r>
      <w:r w:rsidR="00910EEF">
        <w:t>9</w:t>
      </w:r>
      <w:r w:rsidR="00D202A4">
        <w:t>,0</w:t>
      </w:r>
      <w:r w:rsidR="00910EEF">
        <w:t>31</w:t>
      </w:r>
      <w:r w:rsidR="00D202A4">
        <w:t xml:space="preserve"> people access </w:t>
      </w:r>
      <w:r w:rsidR="00910EEF">
        <w:t xml:space="preserve">hygienic </w:t>
      </w:r>
      <w:r w:rsidR="00D202A4">
        <w:t xml:space="preserve">water and providing an additional 177,000 people with increased access to basic sanitation </w:t>
      </w:r>
    </w:p>
    <w:p w:rsidR="00566BDD" w:rsidRDefault="00047841" w:rsidP="00047841">
      <w:pPr>
        <w:pStyle w:val="ListBullet"/>
        <w:numPr>
          <w:ilvl w:val="0"/>
          <w:numId w:val="40"/>
        </w:numPr>
        <w:tabs>
          <w:tab w:val="clear" w:pos="284"/>
          <w:tab w:val="left" w:pos="0"/>
        </w:tabs>
        <w:spacing w:after="0" w:line="280" w:lineRule="atLeast"/>
        <w:ind w:left="426"/>
      </w:pPr>
      <w:r>
        <w:t>beginning construction of</w:t>
      </w:r>
      <w:r w:rsidR="00E66309">
        <w:t xml:space="preserve"> the Cao Lanh bridge and </w:t>
      </w:r>
      <w:r w:rsidR="004F22F6">
        <w:t xml:space="preserve">rehabilitating </w:t>
      </w:r>
      <w:r w:rsidR="003B71CC" w:rsidRPr="004A2D5E">
        <w:t>27</w:t>
      </w:r>
      <w:r>
        <w:t xml:space="preserve"> kilometres </w:t>
      </w:r>
      <w:r w:rsidR="003B71CC" w:rsidRPr="004A2D5E">
        <w:t>of road</w:t>
      </w:r>
      <w:r w:rsidR="00B2299F">
        <w:t>s</w:t>
      </w:r>
      <w:r w:rsidR="003B71CC" w:rsidRPr="004A2D5E">
        <w:t xml:space="preserve"> and major bridges </w:t>
      </w:r>
      <w:r w:rsidR="004F22F6">
        <w:t xml:space="preserve">in the </w:t>
      </w:r>
      <w:r w:rsidR="003B71CC">
        <w:t>Mekong Delta</w:t>
      </w:r>
      <w:r w:rsidR="00BA604F">
        <w:t xml:space="preserve"> </w:t>
      </w:r>
    </w:p>
    <w:p w:rsidR="00566BDD" w:rsidRDefault="00047841" w:rsidP="00047841">
      <w:pPr>
        <w:pStyle w:val="ListBullet"/>
        <w:numPr>
          <w:ilvl w:val="0"/>
          <w:numId w:val="40"/>
        </w:numPr>
        <w:tabs>
          <w:tab w:val="clear" w:pos="284"/>
          <w:tab w:val="left" w:pos="0"/>
        </w:tabs>
        <w:spacing w:after="0" w:line="280" w:lineRule="atLeast"/>
        <w:ind w:left="425" w:hanging="357"/>
      </w:pPr>
      <w:r>
        <w:t xml:space="preserve">helping </w:t>
      </w:r>
      <w:r w:rsidR="00566BDD">
        <w:t>over 115,000 people (including 32,000 children and 52,000 women) prepare for and live with natural disaster impacts</w:t>
      </w:r>
      <w:r w:rsidR="00163DFF">
        <w:t>.</w:t>
      </w:r>
    </w:p>
    <w:p w:rsidR="000D733F" w:rsidRPr="00047841" w:rsidRDefault="000D733F" w:rsidP="00FE4DBB">
      <w:pPr>
        <w:pStyle w:val="Heading2"/>
        <w:spacing w:before="0" w:after="0" w:line="280" w:lineRule="atLeast"/>
        <w:rPr>
          <w:sz w:val="28"/>
        </w:rPr>
      </w:pPr>
      <w:r w:rsidRPr="009E38C1">
        <w:rPr>
          <w:sz w:val="28"/>
        </w:rPr>
        <w:t xml:space="preserve">Context </w:t>
      </w:r>
    </w:p>
    <w:p w:rsidR="005A2437" w:rsidRDefault="005A2437" w:rsidP="00047841">
      <w:pPr>
        <w:pStyle w:val="BodyText1"/>
        <w:spacing w:before="0" w:line="280" w:lineRule="atLeast"/>
        <w:ind w:firstLine="0"/>
        <w:jc w:val="left"/>
        <w:rPr>
          <w:rFonts w:ascii="Franklin Gothic Book" w:eastAsia="Times New Roman" w:hAnsi="Franklin Gothic Book"/>
          <w:sz w:val="21"/>
          <w:szCs w:val="21"/>
          <w:lang w:val="en-AU" w:eastAsia="en-AU"/>
        </w:rPr>
      </w:pPr>
      <w:r w:rsidRPr="00895BF2">
        <w:rPr>
          <w:rFonts w:ascii="Franklin Gothic Book" w:eastAsia="Times New Roman" w:hAnsi="Franklin Gothic Book"/>
          <w:sz w:val="21"/>
          <w:szCs w:val="21"/>
          <w:lang w:val="en-AU" w:eastAsia="en-AU"/>
        </w:rPr>
        <w:t xml:space="preserve">Since political and economic reforms </w:t>
      </w:r>
      <w:r w:rsidR="00163DFF">
        <w:rPr>
          <w:rFonts w:ascii="Franklin Gothic Book" w:eastAsia="Times New Roman" w:hAnsi="Franklin Gothic Book"/>
          <w:sz w:val="21"/>
          <w:szCs w:val="21"/>
          <w:lang w:val="en-AU" w:eastAsia="en-AU"/>
        </w:rPr>
        <w:t xml:space="preserve">began </w:t>
      </w:r>
      <w:r w:rsidRPr="00895BF2">
        <w:rPr>
          <w:rFonts w:ascii="Franklin Gothic Book" w:eastAsia="Times New Roman" w:hAnsi="Franklin Gothic Book"/>
          <w:sz w:val="21"/>
          <w:szCs w:val="21"/>
          <w:lang w:val="en-AU" w:eastAsia="en-AU"/>
        </w:rPr>
        <w:t>in 1986, Viet</w:t>
      </w:r>
      <w:r w:rsidR="00573D4D">
        <w:rPr>
          <w:rFonts w:ascii="Franklin Gothic Book" w:eastAsia="Times New Roman" w:hAnsi="Franklin Gothic Book"/>
          <w:sz w:val="21"/>
          <w:szCs w:val="21"/>
          <w:lang w:val="en-AU" w:eastAsia="en-AU"/>
        </w:rPr>
        <w:t xml:space="preserve">nam </w:t>
      </w:r>
      <w:r w:rsidRPr="00895BF2">
        <w:rPr>
          <w:rFonts w:ascii="Franklin Gothic Book" w:eastAsia="Times New Roman" w:hAnsi="Franklin Gothic Book"/>
          <w:sz w:val="21"/>
          <w:szCs w:val="21"/>
          <w:lang w:val="en-AU" w:eastAsia="en-AU"/>
        </w:rPr>
        <w:t>has experienced rapid economic growth and significant poverty</w:t>
      </w:r>
      <w:r w:rsidR="00CC3333">
        <w:rPr>
          <w:rFonts w:ascii="Franklin Gothic Book" w:eastAsia="Times New Roman" w:hAnsi="Franklin Gothic Book"/>
          <w:sz w:val="21"/>
          <w:szCs w:val="21"/>
          <w:lang w:val="en-AU" w:eastAsia="en-AU"/>
        </w:rPr>
        <w:t xml:space="preserve"> reduction</w:t>
      </w:r>
      <w:r w:rsidRPr="00895BF2">
        <w:rPr>
          <w:rFonts w:ascii="Franklin Gothic Book" w:eastAsia="Times New Roman" w:hAnsi="Franklin Gothic Book"/>
          <w:sz w:val="21"/>
          <w:szCs w:val="21"/>
          <w:lang w:val="en-AU" w:eastAsia="en-AU"/>
        </w:rPr>
        <w:t xml:space="preserve">. Between 1992 and 2007 growth averaged </w:t>
      </w:r>
      <w:r w:rsidR="00CC3333">
        <w:rPr>
          <w:rFonts w:ascii="Franklin Gothic Book" w:eastAsia="Times New Roman" w:hAnsi="Franklin Gothic Book"/>
          <w:sz w:val="21"/>
          <w:szCs w:val="21"/>
          <w:lang w:val="en-AU" w:eastAsia="en-AU"/>
        </w:rPr>
        <w:t>over</w:t>
      </w:r>
      <w:r w:rsidRPr="00895BF2">
        <w:rPr>
          <w:rFonts w:ascii="Franklin Gothic Book" w:eastAsia="Times New Roman" w:hAnsi="Franklin Gothic Book"/>
          <w:sz w:val="21"/>
          <w:szCs w:val="21"/>
          <w:lang w:val="en-AU" w:eastAsia="en-AU"/>
        </w:rPr>
        <w:t xml:space="preserve"> 7.</w:t>
      </w:r>
      <w:r w:rsidR="00CC3333" w:rsidRPr="00895BF2">
        <w:rPr>
          <w:rFonts w:ascii="Franklin Gothic Book" w:eastAsia="Times New Roman" w:hAnsi="Franklin Gothic Book"/>
          <w:sz w:val="21"/>
          <w:szCs w:val="21"/>
          <w:lang w:val="en-AU" w:eastAsia="en-AU"/>
        </w:rPr>
        <w:t>5</w:t>
      </w:r>
      <w:r w:rsidR="00CC3333">
        <w:rPr>
          <w:rFonts w:ascii="Franklin Gothic Book" w:eastAsia="Times New Roman" w:hAnsi="Franklin Gothic Book"/>
          <w:sz w:val="21"/>
          <w:szCs w:val="21"/>
          <w:lang w:val="en-AU" w:eastAsia="en-AU"/>
        </w:rPr>
        <w:t> </w:t>
      </w:r>
      <w:r w:rsidRPr="00895BF2">
        <w:rPr>
          <w:rFonts w:ascii="Franklin Gothic Book" w:eastAsia="Times New Roman" w:hAnsi="Franklin Gothic Book"/>
          <w:sz w:val="21"/>
          <w:szCs w:val="21"/>
          <w:lang w:val="en-AU" w:eastAsia="en-AU"/>
        </w:rPr>
        <w:t xml:space="preserve">per cent, quadrupling the size of its economy and </w:t>
      </w:r>
      <w:r>
        <w:rPr>
          <w:rFonts w:ascii="Franklin Gothic Book" w:eastAsia="Times New Roman" w:hAnsi="Franklin Gothic Book"/>
          <w:sz w:val="21"/>
          <w:szCs w:val="21"/>
          <w:lang w:val="en-AU" w:eastAsia="en-AU"/>
        </w:rPr>
        <w:t xml:space="preserve">helping </w:t>
      </w:r>
      <w:r w:rsidR="00163DFF">
        <w:rPr>
          <w:rFonts w:ascii="Franklin Gothic Book" w:eastAsia="Times New Roman" w:hAnsi="Franklin Gothic Book"/>
          <w:sz w:val="21"/>
          <w:szCs w:val="21"/>
          <w:lang w:val="en-AU" w:eastAsia="en-AU"/>
        </w:rPr>
        <w:t xml:space="preserve">reduce </w:t>
      </w:r>
      <w:r w:rsidRPr="00895BF2">
        <w:rPr>
          <w:rFonts w:ascii="Franklin Gothic Book" w:eastAsia="Times New Roman" w:hAnsi="Franklin Gothic Book"/>
          <w:sz w:val="21"/>
          <w:szCs w:val="21"/>
          <w:lang w:val="en-AU" w:eastAsia="en-AU"/>
        </w:rPr>
        <w:t xml:space="preserve">poverty </w:t>
      </w:r>
      <w:r>
        <w:rPr>
          <w:rFonts w:ascii="Franklin Gothic Book" w:eastAsia="Times New Roman" w:hAnsi="Franklin Gothic Book"/>
          <w:sz w:val="21"/>
          <w:szCs w:val="21"/>
          <w:lang w:val="en-AU" w:eastAsia="en-AU"/>
        </w:rPr>
        <w:t xml:space="preserve">from </w:t>
      </w:r>
      <w:r w:rsidRPr="00895BF2">
        <w:rPr>
          <w:rFonts w:ascii="Franklin Gothic Book" w:eastAsia="Times New Roman" w:hAnsi="Franklin Gothic Book"/>
          <w:sz w:val="21"/>
          <w:szCs w:val="21"/>
          <w:lang w:val="en-AU" w:eastAsia="en-AU"/>
        </w:rPr>
        <w:t xml:space="preserve">58 per cent </w:t>
      </w:r>
      <w:r w:rsidR="00163DFF">
        <w:rPr>
          <w:rFonts w:ascii="Franklin Gothic Book" w:eastAsia="Times New Roman" w:hAnsi="Franklin Gothic Book"/>
          <w:sz w:val="21"/>
          <w:szCs w:val="21"/>
          <w:lang w:val="en-AU" w:eastAsia="en-AU"/>
        </w:rPr>
        <w:t xml:space="preserve">in 1993 </w:t>
      </w:r>
      <w:r w:rsidRPr="00895BF2">
        <w:rPr>
          <w:rFonts w:ascii="Franklin Gothic Book" w:eastAsia="Times New Roman" w:hAnsi="Franklin Gothic Book"/>
          <w:sz w:val="21"/>
          <w:szCs w:val="21"/>
          <w:lang w:val="en-AU" w:eastAsia="en-AU"/>
        </w:rPr>
        <w:t>to less than 15 per cent in 2010</w:t>
      </w:r>
      <w:r w:rsidRPr="00895BF2">
        <w:rPr>
          <w:rFonts w:ascii="Franklin Gothic Book" w:eastAsia="Times New Roman" w:hAnsi="Franklin Gothic Book"/>
          <w:sz w:val="21"/>
          <w:szCs w:val="21"/>
          <w:vertAlign w:val="superscript"/>
          <w:lang w:val="en-AU" w:eastAsia="en-AU"/>
        </w:rPr>
        <w:footnoteReference w:id="1"/>
      </w:r>
      <w:r w:rsidRPr="00895BF2">
        <w:rPr>
          <w:rFonts w:ascii="Franklin Gothic Book" w:eastAsia="Times New Roman" w:hAnsi="Franklin Gothic Book"/>
          <w:sz w:val="21"/>
          <w:szCs w:val="21"/>
          <w:lang w:val="en-AU" w:eastAsia="en-AU"/>
        </w:rPr>
        <w:t xml:space="preserve">. Vietnam’s development </w:t>
      </w:r>
      <w:r w:rsidR="004754C0">
        <w:rPr>
          <w:rFonts w:ascii="Franklin Gothic Book" w:eastAsia="Times New Roman" w:hAnsi="Franklin Gothic Book"/>
          <w:sz w:val="21"/>
          <w:szCs w:val="21"/>
          <w:lang w:val="en-AU" w:eastAsia="en-AU"/>
        </w:rPr>
        <w:t>progr</w:t>
      </w:r>
      <w:r w:rsidRPr="00895BF2">
        <w:rPr>
          <w:rFonts w:ascii="Franklin Gothic Book" w:eastAsia="Times New Roman" w:hAnsi="Franklin Gothic Book"/>
          <w:sz w:val="21"/>
          <w:szCs w:val="21"/>
          <w:lang w:val="en-AU" w:eastAsia="en-AU"/>
        </w:rPr>
        <w:t xml:space="preserve">ess has </w:t>
      </w:r>
      <w:r w:rsidR="004754C0">
        <w:rPr>
          <w:rFonts w:ascii="Franklin Gothic Book" w:eastAsia="Times New Roman" w:hAnsi="Franklin Gothic Book"/>
          <w:sz w:val="21"/>
          <w:szCs w:val="21"/>
          <w:lang w:val="en-AU" w:eastAsia="en-AU"/>
        </w:rPr>
        <w:t>slow</w:t>
      </w:r>
      <w:r w:rsidRPr="00895BF2">
        <w:rPr>
          <w:rFonts w:ascii="Franklin Gothic Book" w:eastAsia="Times New Roman" w:hAnsi="Franklin Gothic Book"/>
          <w:sz w:val="21"/>
          <w:szCs w:val="21"/>
          <w:lang w:val="en-AU" w:eastAsia="en-AU"/>
        </w:rPr>
        <w:t xml:space="preserve">ed in recent years. </w:t>
      </w:r>
      <w:r w:rsidR="009212E9">
        <w:rPr>
          <w:rFonts w:ascii="Franklin Gothic Book" w:eastAsia="Times New Roman" w:hAnsi="Franklin Gothic Book"/>
          <w:sz w:val="21"/>
          <w:szCs w:val="21"/>
          <w:lang w:val="en-AU" w:eastAsia="en-AU"/>
        </w:rPr>
        <w:t>Since</w:t>
      </w:r>
      <w:r w:rsidRPr="00895BF2">
        <w:rPr>
          <w:rFonts w:ascii="Franklin Gothic Book" w:eastAsia="Times New Roman" w:hAnsi="Franklin Gothic Book"/>
          <w:sz w:val="21"/>
          <w:szCs w:val="21"/>
          <w:lang w:val="en-AU" w:eastAsia="en-AU"/>
        </w:rPr>
        <w:t xml:space="preserve"> 2007</w:t>
      </w:r>
      <w:r w:rsidR="009212E9">
        <w:rPr>
          <w:rFonts w:ascii="Franklin Gothic Book" w:eastAsia="Times New Roman" w:hAnsi="Franklin Gothic Book"/>
          <w:sz w:val="21"/>
          <w:szCs w:val="21"/>
          <w:lang w:val="en-AU" w:eastAsia="en-AU"/>
        </w:rPr>
        <w:t>,</w:t>
      </w:r>
      <w:r w:rsidRPr="00895BF2">
        <w:rPr>
          <w:rFonts w:ascii="Franklin Gothic Book" w:eastAsia="Times New Roman" w:hAnsi="Franklin Gothic Book"/>
          <w:sz w:val="21"/>
          <w:szCs w:val="21"/>
          <w:lang w:val="en-AU" w:eastAsia="en-AU"/>
        </w:rPr>
        <w:t xml:space="preserve"> annual average growth</w:t>
      </w:r>
      <w:r w:rsidR="00113EC8">
        <w:rPr>
          <w:rFonts w:ascii="Franklin Gothic Book" w:eastAsia="Times New Roman" w:hAnsi="Franklin Gothic Book"/>
          <w:sz w:val="21"/>
          <w:szCs w:val="21"/>
          <w:lang w:val="en-AU" w:eastAsia="en-AU"/>
        </w:rPr>
        <w:t xml:space="preserve"> </w:t>
      </w:r>
      <w:r w:rsidR="009212E9">
        <w:rPr>
          <w:rFonts w:ascii="Franklin Gothic Book" w:eastAsia="Times New Roman" w:hAnsi="Franklin Gothic Book"/>
          <w:sz w:val="21"/>
          <w:szCs w:val="21"/>
          <w:lang w:val="en-AU" w:eastAsia="en-AU"/>
        </w:rPr>
        <w:t xml:space="preserve">has slowed to </w:t>
      </w:r>
      <w:r w:rsidRPr="00895BF2">
        <w:rPr>
          <w:rFonts w:ascii="Franklin Gothic Book" w:eastAsia="Times New Roman" w:hAnsi="Franklin Gothic Book"/>
          <w:sz w:val="21"/>
          <w:szCs w:val="21"/>
          <w:lang w:val="en-AU" w:eastAsia="en-AU"/>
        </w:rPr>
        <w:t>5.7 per cent – a stronger performance than most other ASEAN economies but slower than in its recent past and slower than Indonesia, Cambodia and China</w:t>
      </w:r>
      <w:r w:rsidR="00211589">
        <w:rPr>
          <w:rFonts w:ascii="Franklin Gothic Book" w:eastAsia="Times New Roman" w:hAnsi="Franklin Gothic Book"/>
          <w:sz w:val="21"/>
          <w:szCs w:val="21"/>
          <w:lang w:val="en-AU" w:eastAsia="en-AU"/>
        </w:rPr>
        <w:t xml:space="preserve"> – and p</w:t>
      </w:r>
      <w:r w:rsidR="00781332">
        <w:rPr>
          <w:rFonts w:ascii="Franklin Gothic Book" w:eastAsia="Times New Roman" w:hAnsi="Franklin Gothic Book"/>
          <w:sz w:val="21"/>
          <w:szCs w:val="21"/>
          <w:lang w:val="en-AU" w:eastAsia="en-AU"/>
        </w:rPr>
        <w:t>overty reduction has begun to plateau</w:t>
      </w:r>
      <w:r w:rsidR="00CC3333">
        <w:rPr>
          <w:rFonts w:ascii="Franklin Gothic Book" w:eastAsia="Times New Roman" w:hAnsi="Franklin Gothic Book"/>
          <w:sz w:val="21"/>
          <w:szCs w:val="21"/>
          <w:lang w:val="en-AU" w:eastAsia="en-AU"/>
        </w:rPr>
        <w:t>.</w:t>
      </w:r>
    </w:p>
    <w:p w:rsidR="005A2437" w:rsidRPr="00895BF2" w:rsidRDefault="004754C0" w:rsidP="00047841">
      <w:pPr>
        <w:pStyle w:val="BodyText1"/>
        <w:spacing w:before="0" w:line="280" w:lineRule="atLeast"/>
        <w:ind w:firstLine="0"/>
        <w:jc w:val="left"/>
        <w:rPr>
          <w:rFonts w:ascii="Franklin Gothic Book" w:eastAsia="Times New Roman" w:hAnsi="Franklin Gothic Book"/>
          <w:sz w:val="21"/>
          <w:szCs w:val="21"/>
          <w:lang w:val="en-AU" w:eastAsia="en-AU"/>
        </w:rPr>
      </w:pPr>
      <w:r>
        <w:rPr>
          <w:rFonts w:ascii="Franklin Gothic Book" w:eastAsia="Times New Roman" w:hAnsi="Franklin Gothic Book"/>
          <w:sz w:val="21"/>
          <w:szCs w:val="21"/>
          <w:lang w:val="en-AU" w:eastAsia="en-AU"/>
        </w:rPr>
        <w:t>A number of constraints remain on</w:t>
      </w:r>
      <w:r w:rsidR="005A2437" w:rsidRPr="00895BF2">
        <w:rPr>
          <w:rFonts w:ascii="Franklin Gothic Book" w:eastAsia="Times New Roman" w:hAnsi="Franklin Gothic Book"/>
          <w:sz w:val="21"/>
          <w:szCs w:val="21"/>
          <w:lang w:val="en-AU" w:eastAsia="en-AU"/>
        </w:rPr>
        <w:t xml:space="preserve"> </w:t>
      </w:r>
      <w:r w:rsidR="00CC3333">
        <w:rPr>
          <w:rFonts w:ascii="Franklin Gothic Book" w:eastAsia="Times New Roman" w:hAnsi="Franklin Gothic Book"/>
          <w:sz w:val="21"/>
          <w:szCs w:val="21"/>
          <w:lang w:val="en-AU" w:eastAsia="en-AU"/>
        </w:rPr>
        <w:t>Vietnam’s</w:t>
      </w:r>
      <w:r w:rsidR="00CC3333" w:rsidRPr="00895BF2">
        <w:rPr>
          <w:rFonts w:ascii="Franklin Gothic Book" w:eastAsia="Times New Roman" w:hAnsi="Franklin Gothic Book"/>
          <w:sz w:val="21"/>
          <w:szCs w:val="21"/>
          <w:lang w:val="en-AU" w:eastAsia="en-AU"/>
        </w:rPr>
        <w:t xml:space="preserve"> </w:t>
      </w:r>
      <w:r w:rsidR="005A2437" w:rsidRPr="00895BF2">
        <w:rPr>
          <w:rFonts w:ascii="Franklin Gothic Book" w:eastAsia="Times New Roman" w:hAnsi="Franklin Gothic Book"/>
          <w:sz w:val="21"/>
          <w:szCs w:val="21"/>
          <w:lang w:val="en-AU" w:eastAsia="en-AU"/>
        </w:rPr>
        <w:t xml:space="preserve">medium-term growth potential. </w:t>
      </w:r>
      <w:r w:rsidR="00CC3333">
        <w:rPr>
          <w:rFonts w:ascii="Franklin Gothic Book" w:eastAsia="Times New Roman" w:hAnsi="Franklin Gothic Book"/>
          <w:sz w:val="21"/>
          <w:szCs w:val="21"/>
          <w:lang w:val="en-AU" w:eastAsia="en-AU"/>
        </w:rPr>
        <w:t>As</w:t>
      </w:r>
      <w:r w:rsidR="005A2437" w:rsidRPr="00895BF2">
        <w:rPr>
          <w:rFonts w:ascii="Franklin Gothic Book" w:eastAsia="Times New Roman" w:hAnsi="Franklin Gothic Book"/>
          <w:sz w:val="21"/>
          <w:szCs w:val="21"/>
          <w:lang w:val="en-AU" w:eastAsia="en-AU"/>
        </w:rPr>
        <w:t xml:space="preserve"> a recent graduate to </w:t>
      </w:r>
      <w:r w:rsidR="009212E9">
        <w:rPr>
          <w:rFonts w:ascii="Franklin Gothic Book" w:eastAsia="Times New Roman" w:hAnsi="Franklin Gothic Book"/>
          <w:sz w:val="21"/>
          <w:szCs w:val="21"/>
          <w:lang w:val="en-AU" w:eastAsia="en-AU"/>
        </w:rPr>
        <w:t>l</w:t>
      </w:r>
      <w:r w:rsidR="005A2437" w:rsidRPr="00895BF2">
        <w:rPr>
          <w:rFonts w:ascii="Franklin Gothic Book" w:eastAsia="Times New Roman" w:hAnsi="Franklin Gothic Book"/>
          <w:sz w:val="21"/>
          <w:szCs w:val="21"/>
          <w:lang w:val="en-AU" w:eastAsia="en-AU"/>
        </w:rPr>
        <w:t>ower-</w:t>
      </w:r>
      <w:r w:rsidR="009212E9">
        <w:rPr>
          <w:rFonts w:ascii="Franklin Gothic Book" w:eastAsia="Times New Roman" w:hAnsi="Franklin Gothic Book"/>
          <w:sz w:val="21"/>
          <w:szCs w:val="21"/>
          <w:lang w:val="en-AU" w:eastAsia="en-AU"/>
        </w:rPr>
        <w:t>m</w:t>
      </w:r>
      <w:r w:rsidR="005A2437" w:rsidRPr="00895BF2">
        <w:rPr>
          <w:rFonts w:ascii="Franklin Gothic Book" w:eastAsia="Times New Roman" w:hAnsi="Franklin Gothic Book"/>
          <w:sz w:val="21"/>
          <w:szCs w:val="21"/>
          <w:lang w:val="en-AU" w:eastAsia="en-AU"/>
        </w:rPr>
        <w:t xml:space="preserve">iddle </w:t>
      </w:r>
      <w:r w:rsidR="009212E9">
        <w:rPr>
          <w:rFonts w:ascii="Franklin Gothic Book" w:eastAsia="Times New Roman" w:hAnsi="Franklin Gothic Book"/>
          <w:sz w:val="21"/>
          <w:szCs w:val="21"/>
          <w:lang w:val="en-AU" w:eastAsia="en-AU"/>
        </w:rPr>
        <w:t>i</w:t>
      </w:r>
      <w:r w:rsidR="005A2437" w:rsidRPr="00895BF2">
        <w:rPr>
          <w:rFonts w:ascii="Franklin Gothic Book" w:eastAsia="Times New Roman" w:hAnsi="Franklin Gothic Book"/>
          <w:sz w:val="21"/>
          <w:szCs w:val="21"/>
          <w:lang w:val="en-AU" w:eastAsia="en-AU"/>
        </w:rPr>
        <w:t xml:space="preserve">ncome status (2010), </w:t>
      </w:r>
      <w:r w:rsidR="00CC3333">
        <w:rPr>
          <w:rFonts w:ascii="Franklin Gothic Book" w:eastAsia="Times New Roman" w:hAnsi="Franklin Gothic Book"/>
          <w:sz w:val="21"/>
          <w:szCs w:val="21"/>
          <w:lang w:val="en-AU" w:eastAsia="en-AU"/>
        </w:rPr>
        <w:t>it</w:t>
      </w:r>
      <w:r w:rsidR="00CC3333" w:rsidRPr="00895BF2">
        <w:rPr>
          <w:rFonts w:ascii="Franklin Gothic Book" w:eastAsia="Times New Roman" w:hAnsi="Franklin Gothic Book"/>
          <w:sz w:val="21"/>
          <w:szCs w:val="21"/>
          <w:lang w:val="en-AU" w:eastAsia="en-AU"/>
        </w:rPr>
        <w:t xml:space="preserve"> </w:t>
      </w:r>
      <w:r w:rsidR="000C3CDE">
        <w:rPr>
          <w:rFonts w:ascii="Franklin Gothic Book" w:eastAsia="Times New Roman" w:hAnsi="Franklin Gothic Book"/>
          <w:sz w:val="21"/>
          <w:szCs w:val="21"/>
          <w:lang w:val="en-AU" w:eastAsia="en-AU"/>
        </w:rPr>
        <w:t xml:space="preserve">is </w:t>
      </w:r>
      <w:r w:rsidR="005A2437" w:rsidRPr="00895BF2">
        <w:rPr>
          <w:rFonts w:ascii="Franklin Gothic Book" w:eastAsia="Times New Roman" w:hAnsi="Franklin Gothic Book"/>
          <w:sz w:val="21"/>
          <w:szCs w:val="21"/>
          <w:lang w:val="en-AU" w:eastAsia="en-AU"/>
        </w:rPr>
        <w:t xml:space="preserve">underdeveloped compared with </w:t>
      </w:r>
      <w:r>
        <w:rPr>
          <w:rFonts w:ascii="Franklin Gothic Book" w:eastAsia="Times New Roman" w:hAnsi="Franklin Gothic Book"/>
          <w:sz w:val="21"/>
          <w:szCs w:val="21"/>
          <w:lang w:val="en-AU" w:eastAsia="en-AU"/>
        </w:rPr>
        <w:t>regional neighbours</w:t>
      </w:r>
      <w:r w:rsidR="005A2437" w:rsidRPr="00895BF2">
        <w:rPr>
          <w:rFonts w:ascii="Franklin Gothic Book" w:eastAsia="Times New Roman" w:hAnsi="Franklin Gothic Book"/>
          <w:sz w:val="21"/>
          <w:szCs w:val="21"/>
          <w:lang w:val="en-AU" w:eastAsia="en-AU"/>
        </w:rPr>
        <w:t xml:space="preserve"> </w:t>
      </w:r>
      <w:r w:rsidR="00CC3333">
        <w:rPr>
          <w:rFonts w:ascii="Franklin Gothic Book" w:eastAsia="Times New Roman" w:hAnsi="Franklin Gothic Book"/>
          <w:sz w:val="21"/>
          <w:szCs w:val="21"/>
          <w:lang w:val="en-AU" w:eastAsia="en-AU"/>
        </w:rPr>
        <w:t>like</w:t>
      </w:r>
      <w:r w:rsidR="005A2437" w:rsidRPr="00895BF2">
        <w:rPr>
          <w:rFonts w:ascii="Franklin Gothic Book" w:eastAsia="Times New Roman" w:hAnsi="Franklin Gothic Book"/>
          <w:sz w:val="21"/>
          <w:szCs w:val="21"/>
          <w:lang w:val="en-AU" w:eastAsia="en-AU"/>
        </w:rPr>
        <w:t xml:space="preserve"> China and Thailand. Infrastructure defic</w:t>
      </w:r>
      <w:r>
        <w:rPr>
          <w:rFonts w:ascii="Franklin Gothic Book" w:eastAsia="Times New Roman" w:hAnsi="Franklin Gothic Book"/>
          <w:sz w:val="21"/>
          <w:szCs w:val="21"/>
          <w:lang w:val="en-AU" w:eastAsia="en-AU"/>
        </w:rPr>
        <w:t>its, a fragile financial sector and</w:t>
      </w:r>
      <w:r w:rsidR="005A2437" w:rsidRPr="00895BF2">
        <w:rPr>
          <w:rFonts w:ascii="Franklin Gothic Book" w:eastAsia="Times New Roman" w:hAnsi="Franklin Gothic Book"/>
          <w:sz w:val="21"/>
          <w:szCs w:val="21"/>
          <w:lang w:val="en-AU" w:eastAsia="en-AU"/>
        </w:rPr>
        <w:t xml:space="preserve"> inefficient public investment contribute to the high cost</w:t>
      </w:r>
      <w:r w:rsidR="009212E9">
        <w:rPr>
          <w:rFonts w:ascii="Franklin Gothic Book" w:eastAsia="Times New Roman" w:hAnsi="Franklin Gothic Book"/>
          <w:sz w:val="21"/>
          <w:szCs w:val="21"/>
          <w:lang w:val="en-AU" w:eastAsia="en-AU"/>
        </w:rPr>
        <w:t>s of doing business in Vietnam.</w:t>
      </w:r>
      <w:r w:rsidR="005A2437" w:rsidRPr="00895BF2">
        <w:rPr>
          <w:rFonts w:ascii="Franklin Gothic Book" w:eastAsia="Times New Roman" w:hAnsi="Franklin Gothic Book"/>
          <w:sz w:val="21"/>
          <w:szCs w:val="21"/>
          <w:lang w:val="en-AU" w:eastAsia="en-AU"/>
        </w:rPr>
        <w:t xml:space="preserve"> </w:t>
      </w:r>
      <w:r w:rsidR="004C4A43">
        <w:rPr>
          <w:rFonts w:ascii="Franklin Gothic Book" w:eastAsia="Times New Roman" w:hAnsi="Franklin Gothic Book"/>
          <w:sz w:val="21"/>
          <w:szCs w:val="21"/>
          <w:lang w:val="en-AU" w:eastAsia="en-AU"/>
        </w:rPr>
        <w:t>Its</w:t>
      </w:r>
      <w:r w:rsidR="005A2437" w:rsidRPr="00895BF2">
        <w:rPr>
          <w:rFonts w:ascii="Franklin Gothic Book" w:eastAsia="Times New Roman" w:hAnsi="Franklin Gothic Book"/>
          <w:sz w:val="21"/>
          <w:szCs w:val="21"/>
          <w:lang w:val="en-AU" w:eastAsia="en-AU"/>
        </w:rPr>
        <w:t xml:space="preserve"> economy is frequently exposed to natural disasters and poor governance systems</w:t>
      </w:r>
      <w:r w:rsidR="005629E6">
        <w:rPr>
          <w:rFonts w:ascii="Franklin Gothic Book" w:eastAsia="Times New Roman" w:hAnsi="Franklin Gothic Book"/>
          <w:sz w:val="21"/>
          <w:szCs w:val="21"/>
          <w:lang w:val="en-AU" w:eastAsia="en-AU"/>
        </w:rPr>
        <w:t xml:space="preserve"> </w:t>
      </w:r>
      <w:r w:rsidR="005A2437" w:rsidRPr="00895BF2">
        <w:rPr>
          <w:rFonts w:ascii="Franklin Gothic Book" w:eastAsia="Times New Roman" w:hAnsi="Franklin Gothic Book"/>
          <w:sz w:val="21"/>
          <w:szCs w:val="21"/>
          <w:lang w:val="en-AU" w:eastAsia="en-AU"/>
        </w:rPr>
        <w:t>exacerbate these weaknesses.</w:t>
      </w:r>
      <w:r w:rsidR="005A2437">
        <w:rPr>
          <w:rFonts w:ascii="Franklin Gothic Book" w:eastAsia="Times New Roman" w:hAnsi="Franklin Gothic Book"/>
          <w:sz w:val="21"/>
          <w:szCs w:val="21"/>
          <w:lang w:val="en-AU" w:eastAsia="en-AU"/>
        </w:rPr>
        <w:t xml:space="preserve"> </w:t>
      </w:r>
      <w:r w:rsidR="005A2437" w:rsidRPr="00895BF2">
        <w:rPr>
          <w:rFonts w:ascii="Franklin Gothic Book" w:eastAsia="Times New Roman" w:hAnsi="Franklin Gothic Book"/>
          <w:sz w:val="21"/>
          <w:szCs w:val="21"/>
          <w:lang w:val="en-AU" w:eastAsia="en-AU"/>
        </w:rPr>
        <w:t xml:space="preserve">Policy stability and flat, moderate annual </w:t>
      </w:r>
      <w:r w:rsidR="00C306F1" w:rsidRPr="00895BF2">
        <w:rPr>
          <w:rFonts w:ascii="Franklin Gothic Book" w:eastAsia="Times New Roman" w:hAnsi="Franklin Gothic Book"/>
          <w:sz w:val="21"/>
          <w:szCs w:val="21"/>
          <w:lang w:val="en-AU" w:eastAsia="en-AU"/>
        </w:rPr>
        <w:t>growth (5-6 per cent) is</w:t>
      </w:r>
      <w:r w:rsidR="005A2437" w:rsidRPr="00895BF2">
        <w:rPr>
          <w:rFonts w:ascii="Franklin Gothic Book" w:eastAsia="Times New Roman" w:hAnsi="Franklin Gothic Book"/>
          <w:sz w:val="21"/>
          <w:szCs w:val="21"/>
          <w:lang w:val="en-AU" w:eastAsia="en-AU"/>
        </w:rPr>
        <w:t xml:space="preserve"> expected to continue at least until the next National Party Congress in 2016.</w:t>
      </w:r>
    </w:p>
    <w:p w:rsidR="005A2437" w:rsidRDefault="005A2437" w:rsidP="00047841">
      <w:pPr>
        <w:spacing w:after="120" w:line="280" w:lineRule="atLeast"/>
        <w:rPr>
          <w:rFonts w:ascii="Franklin Gothic Book" w:eastAsia="Times New Roman" w:hAnsi="Franklin Gothic Book"/>
          <w:sz w:val="21"/>
          <w:szCs w:val="21"/>
        </w:rPr>
      </w:pPr>
      <w:r w:rsidRPr="00895BF2">
        <w:rPr>
          <w:rFonts w:ascii="Franklin Gothic Book" w:eastAsia="Times New Roman" w:hAnsi="Franklin Gothic Book"/>
          <w:sz w:val="21"/>
          <w:szCs w:val="21"/>
        </w:rPr>
        <w:t xml:space="preserve">Vietnam’s macroeconomic conditions have </w:t>
      </w:r>
      <w:r w:rsidR="004C4A43">
        <w:rPr>
          <w:rFonts w:ascii="Franklin Gothic Book" w:eastAsia="Times New Roman" w:hAnsi="Franklin Gothic Book"/>
          <w:sz w:val="21"/>
          <w:szCs w:val="21"/>
        </w:rPr>
        <w:t xml:space="preserve">recently </w:t>
      </w:r>
      <w:r w:rsidRPr="00895BF2">
        <w:rPr>
          <w:rFonts w:ascii="Franklin Gothic Book" w:eastAsia="Times New Roman" w:hAnsi="Franklin Gothic Book"/>
          <w:sz w:val="21"/>
          <w:szCs w:val="21"/>
        </w:rPr>
        <w:t>improved</w:t>
      </w:r>
      <w:r w:rsidR="000C3CDE">
        <w:rPr>
          <w:rFonts w:ascii="Franklin Gothic Book" w:eastAsia="Times New Roman" w:hAnsi="Franklin Gothic Book"/>
          <w:sz w:val="21"/>
          <w:szCs w:val="21"/>
        </w:rPr>
        <w:t>.</w:t>
      </w:r>
      <w:r w:rsidR="009212E9">
        <w:rPr>
          <w:rFonts w:ascii="Franklin Gothic Book" w:eastAsia="Times New Roman" w:hAnsi="Franklin Gothic Book"/>
          <w:sz w:val="21"/>
          <w:szCs w:val="21"/>
        </w:rPr>
        <w:t xml:space="preserve"> </w:t>
      </w:r>
      <w:r w:rsidR="000C3CDE">
        <w:rPr>
          <w:rFonts w:ascii="Franklin Gothic Book" w:eastAsia="Times New Roman" w:hAnsi="Franklin Gothic Book"/>
          <w:sz w:val="21"/>
          <w:szCs w:val="21"/>
        </w:rPr>
        <w:t>I</w:t>
      </w:r>
      <w:r w:rsidR="00113EC8" w:rsidRPr="00047841">
        <w:rPr>
          <w:rFonts w:ascii="Franklin Gothic Book" w:eastAsia="Times New Roman" w:hAnsi="Franklin Gothic Book"/>
          <w:sz w:val="21"/>
          <w:szCs w:val="21"/>
        </w:rPr>
        <w:t>nflation</w:t>
      </w:r>
      <w:r w:rsidR="009212E9">
        <w:rPr>
          <w:rFonts w:ascii="Franklin Gothic Book" w:eastAsia="Times New Roman" w:hAnsi="Franklin Gothic Book"/>
          <w:sz w:val="21"/>
          <w:szCs w:val="21"/>
        </w:rPr>
        <w:t xml:space="preserve"> </w:t>
      </w:r>
      <w:r w:rsidR="00113EC8">
        <w:rPr>
          <w:rFonts w:ascii="Franklin Gothic Book" w:eastAsia="Times New Roman" w:hAnsi="Franklin Gothic Book"/>
          <w:sz w:val="21"/>
          <w:szCs w:val="21"/>
        </w:rPr>
        <w:t>f</w:t>
      </w:r>
      <w:r w:rsidR="000C3CDE">
        <w:rPr>
          <w:rFonts w:ascii="Franklin Gothic Book" w:eastAsia="Times New Roman" w:hAnsi="Franklin Gothic Book"/>
          <w:sz w:val="21"/>
          <w:szCs w:val="21"/>
        </w:rPr>
        <w:t>ell</w:t>
      </w:r>
      <w:r w:rsidR="00113EC8">
        <w:rPr>
          <w:rFonts w:ascii="Franklin Gothic Book" w:eastAsia="Times New Roman" w:hAnsi="Franklin Gothic Book"/>
          <w:sz w:val="21"/>
          <w:szCs w:val="21"/>
        </w:rPr>
        <w:t xml:space="preserve"> </w:t>
      </w:r>
      <w:r w:rsidR="00113EC8" w:rsidRPr="00047841">
        <w:rPr>
          <w:rFonts w:ascii="Franklin Gothic Book" w:eastAsia="Times New Roman" w:hAnsi="Franklin Gothic Book"/>
          <w:sz w:val="21"/>
          <w:szCs w:val="21"/>
        </w:rPr>
        <w:t>from 23 per cent in 2011 to 5 per cent in 2014</w:t>
      </w:r>
      <w:r w:rsidR="004C4A43">
        <w:rPr>
          <w:rFonts w:ascii="Franklin Gothic Book" w:eastAsia="Times New Roman" w:hAnsi="Franklin Gothic Book"/>
          <w:sz w:val="21"/>
          <w:szCs w:val="21"/>
        </w:rPr>
        <w:t>, but</w:t>
      </w:r>
      <w:r w:rsidR="00113EC8" w:rsidRPr="00047841">
        <w:rPr>
          <w:rFonts w:ascii="Franklin Gothic Book" w:eastAsia="Times New Roman" w:hAnsi="Franklin Gothic Book"/>
          <w:sz w:val="21"/>
          <w:szCs w:val="21"/>
        </w:rPr>
        <w:t xml:space="preserve"> </w:t>
      </w:r>
      <w:r w:rsidRPr="00895BF2">
        <w:rPr>
          <w:rFonts w:ascii="Franklin Gothic Book" w:eastAsia="Times New Roman" w:hAnsi="Franklin Gothic Book"/>
          <w:sz w:val="21"/>
          <w:szCs w:val="21"/>
        </w:rPr>
        <w:t xml:space="preserve">Vietnam </w:t>
      </w:r>
      <w:r w:rsidR="004754C0">
        <w:rPr>
          <w:rFonts w:ascii="Franklin Gothic Book" w:eastAsia="Times New Roman" w:hAnsi="Franklin Gothic Book"/>
          <w:sz w:val="21"/>
          <w:szCs w:val="21"/>
        </w:rPr>
        <w:t xml:space="preserve">is </w:t>
      </w:r>
      <w:r w:rsidR="009212E9">
        <w:rPr>
          <w:rFonts w:ascii="Franklin Gothic Book" w:eastAsia="Times New Roman" w:hAnsi="Franklin Gothic Book"/>
          <w:sz w:val="21"/>
          <w:szCs w:val="21"/>
        </w:rPr>
        <w:t xml:space="preserve">still </w:t>
      </w:r>
      <w:r w:rsidRPr="00895BF2">
        <w:rPr>
          <w:rFonts w:ascii="Franklin Gothic Book" w:eastAsia="Times New Roman" w:hAnsi="Franklin Gothic Book"/>
          <w:sz w:val="21"/>
          <w:szCs w:val="21"/>
        </w:rPr>
        <w:t xml:space="preserve">to implement </w:t>
      </w:r>
      <w:r w:rsidR="004C4A43">
        <w:rPr>
          <w:rFonts w:ascii="Franklin Gothic Book" w:eastAsia="Times New Roman" w:hAnsi="Franklin Gothic Book"/>
          <w:sz w:val="21"/>
          <w:szCs w:val="21"/>
        </w:rPr>
        <w:t xml:space="preserve">the </w:t>
      </w:r>
      <w:r w:rsidRPr="00895BF2">
        <w:rPr>
          <w:rFonts w:ascii="Franklin Gothic Book" w:eastAsia="Times New Roman" w:hAnsi="Franklin Gothic Book"/>
          <w:sz w:val="21"/>
          <w:szCs w:val="21"/>
        </w:rPr>
        <w:t>structural reforms</w:t>
      </w:r>
      <w:r w:rsidR="00113EC8">
        <w:rPr>
          <w:rFonts w:ascii="Franklin Gothic Book" w:eastAsia="Times New Roman" w:hAnsi="Franklin Gothic Book"/>
          <w:sz w:val="21"/>
          <w:szCs w:val="21"/>
        </w:rPr>
        <w:t xml:space="preserve"> it committed to in 2011</w:t>
      </w:r>
      <w:r w:rsidR="009212E9">
        <w:rPr>
          <w:rFonts w:ascii="Franklin Gothic Book" w:eastAsia="Times New Roman" w:hAnsi="Franklin Gothic Book"/>
          <w:sz w:val="21"/>
          <w:szCs w:val="21"/>
        </w:rPr>
        <w:t xml:space="preserve"> to ensure global competitive</w:t>
      </w:r>
      <w:r w:rsidR="000C3CDE">
        <w:rPr>
          <w:rFonts w:ascii="Franklin Gothic Book" w:eastAsia="Times New Roman" w:hAnsi="Franklin Gothic Book"/>
          <w:sz w:val="21"/>
          <w:szCs w:val="21"/>
        </w:rPr>
        <w:t>ness</w:t>
      </w:r>
      <w:r w:rsidRPr="00895BF2">
        <w:rPr>
          <w:rFonts w:ascii="Franklin Gothic Book" w:eastAsia="Times New Roman" w:hAnsi="Franklin Gothic Book"/>
          <w:sz w:val="21"/>
          <w:szCs w:val="21"/>
        </w:rPr>
        <w:t>. Vietnam ranks 99</w:t>
      </w:r>
      <w:r w:rsidRPr="00047841">
        <w:rPr>
          <w:rFonts w:ascii="Franklin Gothic Book" w:eastAsia="Times New Roman" w:hAnsi="Franklin Gothic Book"/>
          <w:sz w:val="21"/>
          <w:szCs w:val="21"/>
        </w:rPr>
        <w:t>th</w:t>
      </w:r>
      <w:r w:rsidRPr="00895BF2">
        <w:rPr>
          <w:rFonts w:ascii="Franklin Gothic Book" w:eastAsia="Times New Roman" w:hAnsi="Franklin Gothic Book"/>
          <w:sz w:val="21"/>
          <w:szCs w:val="21"/>
        </w:rPr>
        <w:t xml:space="preserve"> (out of 189 countries) in the World Bank’s </w:t>
      </w:r>
      <w:r>
        <w:rPr>
          <w:rFonts w:ascii="Franklin Gothic Book" w:eastAsia="Times New Roman" w:hAnsi="Franklin Gothic Book"/>
          <w:sz w:val="21"/>
          <w:szCs w:val="21"/>
        </w:rPr>
        <w:t xml:space="preserve">2013 </w:t>
      </w:r>
      <w:r w:rsidRPr="00895BF2">
        <w:rPr>
          <w:rFonts w:ascii="Franklin Gothic Book" w:eastAsia="Times New Roman" w:hAnsi="Franklin Gothic Book"/>
          <w:sz w:val="21"/>
          <w:szCs w:val="21"/>
        </w:rPr>
        <w:t>Ease of Doing Business report, and the World Economic Forum’s Global Competitiveness index shows Vietnam trailing in institutional quality, higher education and training, financial market development</w:t>
      </w:r>
      <w:r w:rsidR="009212E9">
        <w:rPr>
          <w:rFonts w:ascii="Franklin Gothic Book" w:eastAsia="Times New Roman" w:hAnsi="Franklin Gothic Book"/>
          <w:sz w:val="21"/>
          <w:szCs w:val="21"/>
        </w:rPr>
        <w:t>,</w:t>
      </w:r>
      <w:r w:rsidRPr="00895BF2">
        <w:rPr>
          <w:rFonts w:ascii="Franklin Gothic Book" w:eastAsia="Times New Roman" w:hAnsi="Franklin Gothic Book"/>
          <w:sz w:val="21"/>
          <w:szCs w:val="21"/>
        </w:rPr>
        <w:t xml:space="preserve"> and business sophistication. </w:t>
      </w:r>
      <w:r w:rsidR="005629E6">
        <w:rPr>
          <w:rFonts w:ascii="Franklin Gothic Book" w:eastAsia="Times New Roman" w:hAnsi="Franklin Gothic Book"/>
          <w:sz w:val="21"/>
          <w:szCs w:val="21"/>
        </w:rPr>
        <w:t xml:space="preserve">Human resource capacity is constrained, with a shortage of skilled workers likely to </w:t>
      </w:r>
      <w:r w:rsidR="004754C0">
        <w:rPr>
          <w:rFonts w:ascii="Franklin Gothic Book" w:eastAsia="Times New Roman" w:hAnsi="Franklin Gothic Book"/>
          <w:sz w:val="21"/>
          <w:szCs w:val="21"/>
        </w:rPr>
        <w:t xml:space="preserve">affect </w:t>
      </w:r>
      <w:r w:rsidR="005629E6">
        <w:rPr>
          <w:rFonts w:ascii="Franklin Gothic Book" w:eastAsia="Times New Roman" w:hAnsi="Franklin Gothic Book"/>
          <w:sz w:val="21"/>
          <w:szCs w:val="21"/>
        </w:rPr>
        <w:t>the country’s goal of becoming an industrialised country by 2020.</w:t>
      </w:r>
    </w:p>
    <w:p w:rsidR="00211589" w:rsidRDefault="00F72ECE" w:rsidP="00781332">
      <w:pPr>
        <w:autoSpaceDE w:val="0"/>
        <w:autoSpaceDN w:val="0"/>
        <w:adjustRightInd w:val="0"/>
        <w:spacing w:after="120" w:line="280" w:lineRule="atLeast"/>
        <w:rPr>
          <w:rFonts w:ascii="Franklin Gothic Book" w:eastAsia="Times New Roman" w:hAnsi="Franklin Gothic Book"/>
          <w:sz w:val="21"/>
          <w:szCs w:val="21"/>
          <w:lang w:val="en-US" w:eastAsia="en-US"/>
        </w:rPr>
      </w:pPr>
      <w:r>
        <w:rPr>
          <w:rFonts w:ascii="Arial" w:hAnsi="Arial" w:cs="Arial"/>
          <w:szCs w:val="20"/>
        </w:rPr>
        <w:t xml:space="preserve">China </w:t>
      </w:r>
      <w:r w:rsidR="004754C0">
        <w:rPr>
          <w:rFonts w:ascii="Arial" w:hAnsi="Arial" w:cs="Arial"/>
          <w:szCs w:val="20"/>
        </w:rPr>
        <w:t>i</w:t>
      </w:r>
      <w:r>
        <w:rPr>
          <w:rFonts w:ascii="Arial" w:hAnsi="Arial" w:cs="Arial"/>
          <w:szCs w:val="20"/>
        </w:rPr>
        <w:t xml:space="preserve">s Vietnam’s largest trading partner, </w:t>
      </w:r>
      <w:r w:rsidR="000C3CDE">
        <w:rPr>
          <w:rFonts w:ascii="Arial" w:hAnsi="Arial" w:cs="Arial"/>
          <w:szCs w:val="20"/>
        </w:rPr>
        <w:t>with</w:t>
      </w:r>
      <w:r>
        <w:rPr>
          <w:rFonts w:ascii="Arial" w:hAnsi="Arial" w:cs="Arial"/>
          <w:szCs w:val="20"/>
        </w:rPr>
        <w:t xml:space="preserve"> nearly $50 billion in bilateral trade in 2013. That amount is climbing each year as Vietnam becomes more integrated into China's supply chain. Some 10 per cent of Vietnam's exports go to China, mainly food and natural resources. </w:t>
      </w:r>
      <w:r w:rsidR="004754C0">
        <w:rPr>
          <w:rFonts w:ascii="Arial" w:hAnsi="Arial" w:cs="Arial"/>
          <w:szCs w:val="20"/>
        </w:rPr>
        <w:t>T</w:t>
      </w:r>
      <w:r>
        <w:rPr>
          <w:rFonts w:ascii="Franklin Gothic Book" w:hAnsi="Franklin Gothic Book"/>
          <w:sz w:val="21"/>
          <w:szCs w:val="21"/>
        </w:rPr>
        <w:t xml:space="preserve">he </w:t>
      </w:r>
      <w:r w:rsidR="000431B6">
        <w:rPr>
          <w:rFonts w:ascii="Franklin Gothic Book" w:hAnsi="Franklin Gothic Book"/>
          <w:sz w:val="21"/>
          <w:szCs w:val="21"/>
        </w:rPr>
        <w:t xml:space="preserve">Vietnam </w:t>
      </w:r>
      <w:r>
        <w:rPr>
          <w:rFonts w:ascii="Franklin Gothic Book" w:hAnsi="Franklin Gothic Book"/>
          <w:sz w:val="21"/>
          <w:szCs w:val="21"/>
        </w:rPr>
        <w:t xml:space="preserve">Government </w:t>
      </w:r>
      <w:r w:rsidR="004754C0">
        <w:rPr>
          <w:rFonts w:ascii="Franklin Gothic Book" w:hAnsi="Franklin Gothic Book"/>
          <w:sz w:val="21"/>
          <w:szCs w:val="21"/>
        </w:rPr>
        <w:t xml:space="preserve">has been working in recent years to </w:t>
      </w:r>
      <w:r w:rsidR="000C3CDE">
        <w:rPr>
          <w:rFonts w:ascii="Franklin Gothic Book" w:hAnsi="Franklin Gothic Book"/>
          <w:sz w:val="21"/>
          <w:szCs w:val="21"/>
        </w:rPr>
        <w:t>consider ways to diversify its trade relationships</w:t>
      </w:r>
      <w:r>
        <w:rPr>
          <w:rFonts w:ascii="Franklin Gothic Book" w:hAnsi="Franklin Gothic Book"/>
          <w:sz w:val="21"/>
          <w:szCs w:val="21"/>
        </w:rPr>
        <w:t>, putting further pressure on the need for business reform.</w:t>
      </w:r>
      <w:r w:rsidR="00236F82">
        <w:rPr>
          <w:rFonts w:ascii="Franklin Gothic Book" w:hAnsi="Franklin Gothic Book"/>
          <w:sz w:val="21"/>
          <w:szCs w:val="21"/>
        </w:rPr>
        <w:t xml:space="preserve"> </w:t>
      </w:r>
      <w:r w:rsidR="00CC3333">
        <w:rPr>
          <w:rFonts w:ascii="Franklin Gothic Book" w:eastAsia="Times New Roman" w:hAnsi="Franklin Gothic Book"/>
          <w:sz w:val="21"/>
          <w:szCs w:val="21"/>
        </w:rPr>
        <w:t xml:space="preserve">There are also </w:t>
      </w:r>
      <w:r w:rsidR="004754C0">
        <w:rPr>
          <w:rFonts w:ascii="Franklin Gothic Book" w:eastAsia="Times New Roman" w:hAnsi="Franklin Gothic Book"/>
          <w:sz w:val="21"/>
          <w:szCs w:val="21"/>
        </w:rPr>
        <w:t>issues with</w:t>
      </w:r>
      <w:r w:rsidR="00CC3333">
        <w:rPr>
          <w:rFonts w:ascii="Franklin Gothic Book" w:eastAsia="Times New Roman" w:hAnsi="Franklin Gothic Book"/>
          <w:sz w:val="21"/>
          <w:szCs w:val="21"/>
        </w:rPr>
        <w:t xml:space="preserve"> </w:t>
      </w:r>
      <w:r w:rsidR="00CC3333" w:rsidRPr="00895BF2">
        <w:rPr>
          <w:rFonts w:ascii="Franklin Gothic Book" w:eastAsia="Times New Roman" w:hAnsi="Franklin Gothic Book"/>
          <w:sz w:val="21"/>
          <w:szCs w:val="21"/>
        </w:rPr>
        <w:t xml:space="preserve">the inclusiveness of </w:t>
      </w:r>
      <w:r w:rsidR="00CC3333">
        <w:rPr>
          <w:rFonts w:ascii="Franklin Gothic Book" w:eastAsia="Times New Roman" w:hAnsi="Franklin Gothic Book"/>
          <w:sz w:val="21"/>
          <w:szCs w:val="21"/>
        </w:rPr>
        <w:t>Vietnam’s</w:t>
      </w:r>
      <w:r w:rsidR="00CC3333" w:rsidRPr="00895BF2">
        <w:rPr>
          <w:rFonts w:ascii="Franklin Gothic Book" w:eastAsia="Times New Roman" w:hAnsi="Franklin Gothic Book"/>
          <w:sz w:val="21"/>
          <w:szCs w:val="21"/>
        </w:rPr>
        <w:t xml:space="preserve"> </w:t>
      </w:r>
      <w:r w:rsidR="00CC3333" w:rsidRPr="00895BF2">
        <w:rPr>
          <w:rFonts w:ascii="Franklin Gothic Book" w:eastAsia="Times New Roman" w:hAnsi="Franklin Gothic Book"/>
          <w:sz w:val="21"/>
          <w:szCs w:val="21"/>
        </w:rPr>
        <w:lastRenderedPageBreak/>
        <w:t>development</w:t>
      </w:r>
      <w:r w:rsidR="00CC3333">
        <w:rPr>
          <w:rFonts w:ascii="Franklin Gothic Book" w:eastAsia="Times New Roman" w:hAnsi="Franklin Gothic Book"/>
          <w:sz w:val="21"/>
          <w:szCs w:val="21"/>
        </w:rPr>
        <w:t xml:space="preserve">. </w:t>
      </w:r>
      <w:r w:rsidR="004754C0">
        <w:rPr>
          <w:rFonts w:ascii="Franklin Gothic Book" w:eastAsia="Times New Roman" w:hAnsi="Franklin Gothic Book"/>
          <w:sz w:val="21"/>
          <w:szCs w:val="21"/>
        </w:rPr>
        <w:t>Some</w:t>
      </w:r>
      <w:r w:rsidR="00211589">
        <w:rPr>
          <w:rFonts w:ascii="Franklin Gothic Book" w:eastAsia="Times New Roman" w:hAnsi="Franklin Gothic Book"/>
          <w:sz w:val="21"/>
          <w:szCs w:val="21"/>
        </w:rPr>
        <w:t xml:space="preserve"> have missed out on the economic opportunities of Vietnam’s recent rapid growth and a quarter of the population remains just above the poverty line, vulnerable to shocks. </w:t>
      </w:r>
      <w:r w:rsidR="004754C0">
        <w:rPr>
          <w:rFonts w:ascii="Franklin Gothic Book" w:eastAsia="Times New Roman" w:hAnsi="Franklin Gothic Book"/>
          <w:sz w:val="21"/>
          <w:szCs w:val="21"/>
        </w:rPr>
        <w:t>Uneven</w:t>
      </w:r>
      <w:r w:rsidR="00034EF8">
        <w:rPr>
          <w:rFonts w:ascii="Franklin Gothic Book" w:eastAsia="Times New Roman" w:hAnsi="Franklin Gothic Book"/>
          <w:sz w:val="21"/>
          <w:szCs w:val="21"/>
        </w:rPr>
        <w:t xml:space="preserve"> </w:t>
      </w:r>
      <w:r w:rsidR="000C3CDE">
        <w:rPr>
          <w:rFonts w:ascii="Franklin Gothic Book" w:eastAsia="Times New Roman" w:hAnsi="Franklin Gothic Book"/>
          <w:sz w:val="21"/>
          <w:szCs w:val="21"/>
        </w:rPr>
        <w:t xml:space="preserve">wealth </w:t>
      </w:r>
      <w:r w:rsidR="00034EF8">
        <w:rPr>
          <w:rFonts w:ascii="Franklin Gothic Book" w:eastAsia="Times New Roman" w:hAnsi="Franklin Gothic Book"/>
          <w:sz w:val="21"/>
          <w:szCs w:val="21"/>
        </w:rPr>
        <w:t xml:space="preserve">distribution has also impacted on workforce participation, with </w:t>
      </w:r>
      <w:r w:rsidR="007F6BD9">
        <w:rPr>
          <w:rFonts w:ascii="Franklin Gothic Book" w:eastAsia="Times New Roman" w:hAnsi="Franklin Gothic Book"/>
          <w:sz w:val="21"/>
          <w:szCs w:val="21"/>
        </w:rPr>
        <w:t>greater</w:t>
      </w:r>
      <w:r w:rsidR="00034EF8">
        <w:rPr>
          <w:rFonts w:ascii="Franklin Gothic Book" w:eastAsia="Times New Roman" w:hAnsi="Franklin Gothic Book"/>
          <w:sz w:val="21"/>
          <w:szCs w:val="21"/>
        </w:rPr>
        <w:t xml:space="preserve"> opportunities for those who can afford foreign qualifications</w:t>
      </w:r>
      <w:r w:rsidR="00CE03A1">
        <w:rPr>
          <w:rFonts w:ascii="Franklin Gothic Book" w:eastAsia="Times New Roman" w:hAnsi="Franklin Gothic Book"/>
          <w:sz w:val="21"/>
          <w:szCs w:val="21"/>
        </w:rPr>
        <w:t xml:space="preserve"> and limited technical and vocational training</w:t>
      </w:r>
      <w:r w:rsidR="00944B7A">
        <w:rPr>
          <w:rFonts w:ascii="Franklin Gothic Book" w:eastAsia="Times New Roman" w:hAnsi="Franklin Gothic Book"/>
          <w:sz w:val="21"/>
          <w:szCs w:val="21"/>
        </w:rPr>
        <w:t xml:space="preserve"> </w:t>
      </w:r>
      <w:r w:rsidR="00851053">
        <w:rPr>
          <w:rFonts w:ascii="Franklin Gothic Book" w:eastAsia="Times New Roman" w:hAnsi="Franklin Gothic Book"/>
          <w:sz w:val="21"/>
          <w:szCs w:val="21"/>
        </w:rPr>
        <w:t>or alternative employment pathways.</w:t>
      </w:r>
      <w:r w:rsidR="00034EF8">
        <w:rPr>
          <w:rFonts w:ascii="Franklin Gothic Book" w:eastAsia="Times New Roman" w:hAnsi="Franklin Gothic Book"/>
          <w:sz w:val="21"/>
          <w:szCs w:val="21"/>
        </w:rPr>
        <w:t xml:space="preserve"> </w:t>
      </w:r>
      <w:r w:rsidR="00591838" w:rsidRPr="00895BF2">
        <w:rPr>
          <w:rFonts w:ascii="Franklin Gothic Book" w:eastAsia="Times New Roman" w:hAnsi="Franklin Gothic Book"/>
          <w:sz w:val="21"/>
          <w:szCs w:val="21"/>
        </w:rPr>
        <w:t xml:space="preserve">Poverty rates are persistently highest in rural </w:t>
      </w:r>
      <w:r w:rsidR="00591838">
        <w:rPr>
          <w:rFonts w:ascii="Franklin Gothic Book" w:eastAsia="Times New Roman" w:hAnsi="Franklin Gothic Book"/>
          <w:sz w:val="21"/>
          <w:szCs w:val="21"/>
        </w:rPr>
        <w:t xml:space="preserve">and remote </w:t>
      </w:r>
      <w:r w:rsidR="00591838" w:rsidRPr="00895BF2">
        <w:rPr>
          <w:rFonts w:ascii="Franklin Gothic Book" w:eastAsia="Times New Roman" w:hAnsi="Franklin Gothic Book"/>
          <w:sz w:val="21"/>
          <w:szCs w:val="21"/>
        </w:rPr>
        <w:t xml:space="preserve">areas, which are disconnected from growth </w:t>
      </w:r>
      <w:r w:rsidR="00591838">
        <w:rPr>
          <w:rFonts w:ascii="Franklin Gothic Book" w:eastAsia="Times New Roman" w:hAnsi="Franklin Gothic Book"/>
          <w:sz w:val="21"/>
          <w:szCs w:val="21"/>
        </w:rPr>
        <w:t xml:space="preserve">centres </w:t>
      </w:r>
      <w:r w:rsidR="00591838" w:rsidRPr="00895BF2">
        <w:rPr>
          <w:rFonts w:ascii="Franklin Gothic Book" w:eastAsia="Times New Roman" w:hAnsi="Franklin Gothic Book"/>
          <w:sz w:val="21"/>
          <w:szCs w:val="21"/>
        </w:rPr>
        <w:t xml:space="preserve">and lack access to clean water and sanitation. </w:t>
      </w:r>
      <w:r w:rsidR="00591838">
        <w:rPr>
          <w:rFonts w:ascii="Franklin Gothic Book" w:eastAsia="Times New Roman" w:hAnsi="Franklin Gothic Book"/>
          <w:sz w:val="21"/>
          <w:szCs w:val="21"/>
        </w:rPr>
        <w:t xml:space="preserve">Poverty is increasing </w:t>
      </w:r>
      <w:r w:rsidR="004C4A43">
        <w:rPr>
          <w:rFonts w:ascii="Franklin Gothic Book" w:eastAsia="Times New Roman" w:hAnsi="Franklin Gothic Book"/>
          <w:sz w:val="21"/>
          <w:szCs w:val="21"/>
        </w:rPr>
        <w:t>among</w:t>
      </w:r>
      <w:r w:rsidR="00591838">
        <w:rPr>
          <w:rFonts w:ascii="Franklin Gothic Book" w:eastAsia="Times New Roman" w:hAnsi="Franklin Gothic Book"/>
          <w:sz w:val="21"/>
          <w:szCs w:val="21"/>
        </w:rPr>
        <w:t xml:space="preserve"> ethnic minorities</w:t>
      </w:r>
      <w:r w:rsidR="004C4A43">
        <w:rPr>
          <w:rFonts w:ascii="Franklin Gothic Book" w:eastAsia="Times New Roman" w:hAnsi="Franklin Gothic Book"/>
          <w:sz w:val="21"/>
          <w:szCs w:val="21"/>
        </w:rPr>
        <w:t>,</w:t>
      </w:r>
      <w:r w:rsidR="00591838">
        <w:rPr>
          <w:rFonts w:ascii="Franklin Gothic Book" w:eastAsia="Times New Roman" w:hAnsi="Franklin Gothic Book"/>
          <w:sz w:val="21"/>
          <w:szCs w:val="21"/>
        </w:rPr>
        <w:t xml:space="preserve"> who now comprise </w:t>
      </w:r>
      <w:r w:rsidR="00F77702">
        <w:rPr>
          <w:rFonts w:ascii="Franklin Gothic Book" w:eastAsia="Times New Roman" w:hAnsi="Franklin Gothic Book"/>
          <w:sz w:val="21"/>
          <w:szCs w:val="21"/>
        </w:rPr>
        <w:t xml:space="preserve">68 </w:t>
      </w:r>
      <w:r w:rsidR="00591838">
        <w:rPr>
          <w:rFonts w:ascii="Franklin Gothic Book" w:eastAsia="Times New Roman" w:hAnsi="Franklin Gothic Book"/>
          <w:sz w:val="21"/>
          <w:szCs w:val="21"/>
        </w:rPr>
        <w:t>per cent of the</w:t>
      </w:r>
      <w:r w:rsidR="00F77702">
        <w:rPr>
          <w:rFonts w:ascii="Franklin Gothic Book" w:eastAsia="Times New Roman" w:hAnsi="Franklin Gothic Book"/>
          <w:sz w:val="21"/>
          <w:szCs w:val="21"/>
        </w:rPr>
        <w:t xml:space="preserve"> extreme</w:t>
      </w:r>
      <w:r w:rsidR="00591838">
        <w:rPr>
          <w:rFonts w:ascii="Franklin Gothic Book" w:eastAsia="Times New Roman" w:hAnsi="Franklin Gothic Book"/>
          <w:sz w:val="21"/>
          <w:szCs w:val="21"/>
        </w:rPr>
        <w:t xml:space="preserve"> poor. </w:t>
      </w:r>
      <w:r w:rsidR="005A2437" w:rsidRPr="00895BF2">
        <w:rPr>
          <w:rFonts w:ascii="Franklin Gothic Book" w:eastAsia="Times New Roman" w:hAnsi="Franklin Gothic Book"/>
          <w:sz w:val="21"/>
          <w:szCs w:val="21"/>
          <w:lang w:val="en-US" w:eastAsia="en-US"/>
        </w:rPr>
        <w:t xml:space="preserve">Vietnam has made good progress on </w:t>
      </w:r>
      <w:r w:rsidR="00591838">
        <w:rPr>
          <w:rFonts w:ascii="Franklin Gothic Book" w:eastAsia="Times New Roman" w:hAnsi="Franklin Gothic Book"/>
          <w:sz w:val="21"/>
          <w:szCs w:val="21"/>
          <w:lang w:val="en-US" w:eastAsia="en-US"/>
        </w:rPr>
        <w:t xml:space="preserve">overarching </w:t>
      </w:r>
      <w:r w:rsidR="005A2437" w:rsidRPr="00895BF2">
        <w:rPr>
          <w:rFonts w:ascii="Franklin Gothic Book" w:eastAsia="Times New Roman" w:hAnsi="Franklin Gothic Book"/>
          <w:sz w:val="21"/>
          <w:szCs w:val="21"/>
          <w:lang w:val="en-US" w:eastAsia="en-US"/>
        </w:rPr>
        <w:t>millennium development goals (MDGs)</w:t>
      </w:r>
      <w:r w:rsidR="00CC3333">
        <w:rPr>
          <w:rStyle w:val="FootnoteReference"/>
          <w:rFonts w:eastAsia="Times New Roman"/>
          <w:lang w:val="en-US" w:eastAsia="en-US"/>
        </w:rPr>
        <w:footnoteReference w:id="2"/>
      </w:r>
      <w:r w:rsidR="00211589">
        <w:rPr>
          <w:rFonts w:ascii="Franklin Gothic Book" w:eastAsia="Times New Roman" w:hAnsi="Franklin Gothic Book"/>
          <w:sz w:val="21"/>
          <w:szCs w:val="21"/>
          <w:lang w:val="en-US" w:eastAsia="en-US"/>
        </w:rPr>
        <w:t xml:space="preserve">, </w:t>
      </w:r>
      <w:r w:rsidR="00591838">
        <w:rPr>
          <w:rFonts w:ascii="Franklin Gothic Book" w:eastAsia="Times New Roman" w:hAnsi="Franklin Gothic Book"/>
          <w:sz w:val="21"/>
          <w:szCs w:val="21"/>
          <w:lang w:val="en-US" w:eastAsia="en-US"/>
        </w:rPr>
        <w:t xml:space="preserve">but </w:t>
      </w:r>
      <w:r w:rsidR="004754C0">
        <w:rPr>
          <w:rFonts w:ascii="Franklin Gothic Book" w:eastAsia="Times New Roman" w:hAnsi="Franklin Gothic Book"/>
          <w:sz w:val="21"/>
          <w:szCs w:val="21"/>
          <w:lang w:val="en-US" w:eastAsia="en-US"/>
        </w:rPr>
        <w:t>gaps remain around</w:t>
      </w:r>
      <w:r w:rsidR="005A2437" w:rsidRPr="00895BF2">
        <w:rPr>
          <w:rFonts w:ascii="Franklin Gothic Book" w:eastAsia="Times New Roman" w:hAnsi="Franklin Gothic Book"/>
          <w:sz w:val="21"/>
          <w:szCs w:val="21"/>
          <w:lang w:val="en-US" w:eastAsia="en-US"/>
        </w:rPr>
        <w:t xml:space="preserve"> </w:t>
      </w:r>
      <w:r w:rsidR="00591838">
        <w:rPr>
          <w:rFonts w:ascii="Franklin Gothic Book" w:eastAsia="Times New Roman" w:hAnsi="Franklin Gothic Book"/>
          <w:sz w:val="21"/>
          <w:szCs w:val="21"/>
          <w:lang w:val="en-US" w:eastAsia="en-US"/>
        </w:rPr>
        <w:t xml:space="preserve">issues such as </w:t>
      </w:r>
      <w:r w:rsidR="005A2437" w:rsidRPr="00895BF2">
        <w:rPr>
          <w:rFonts w:ascii="Franklin Gothic Book" w:eastAsia="Times New Roman" w:hAnsi="Franklin Gothic Book"/>
          <w:sz w:val="21"/>
          <w:szCs w:val="21"/>
          <w:lang w:val="en-US" w:eastAsia="en-US"/>
        </w:rPr>
        <w:t>gender</w:t>
      </w:r>
      <w:r w:rsidR="00E03A3D">
        <w:rPr>
          <w:rFonts w:ascii="Franklin Gothic Book" w:eastAsia="Times New Roman" w:hAnsi="Franklin Gothic Book"/>
          <w:sz w:val="21"/>
          <w:szCs w:val="21"/>
          <w:lang w:val="en-US" w:eastAsia="en-US"/>
        </w:rPr>
        <w:t xml:space="preserve">-based </w:t>
      </w:r>
      <w:r w:rsidR="005A2437" w:rsidRPr="00895BF2">
        <w:rPr>
          <w:rFonts w:ascii="Franklin Gothic Book" w:eastAsia="Times New Roman" w:hAnsi="Franklin Gothic Book"/>
          <w:sz w:val="21"/>
          <w:szCs w:val="21"/>
          <w:lang w:val="en-US" w:eastAsia="en-US"/>
        </w:rPr>
        <w:t>violence</w:t>
      </w:r>
      <w:r w:rsidR="004C448D">
        <w:rPr>
          <w:rFonts w:ascii="Franklin Gothic Book" w:eastAsia="Times New Roman" w:hAnsi="Franklin Gothic Book"/>
          <w:sz w:val="21"/>
          <w:szCs w:val="21"/>
          <w:lang w:val="en-US" w:eastAsia="en-US"/>
        </w:rPr>
        <w:t xml:space="preserve"> and</w:t>
      </w:r>
      <w:r w:rsidR="005A2437" w:rsidRPr="00895BF2">
        <w:rPr>
          <w:rFonts w:ascii="Franklin Gothic Book" w:eastAsia="Times New Roman" w:hAnsi="Franklin Gothic Book"/>
          <w:sz w:val="21"/>
          <w:szCs w:val="21"/>
          <w:lang w:val="en-US" w:eastAsia="en-US"/>
        </w:rPr>
        <w:t xml:space="preserve"> </w:t>
      </w:r>
      <w:r w:rsidR="00591838">
        <w:rPr>
          <w:rFonts w:ascii="Franklin Gothic Book" w:eastAsia="Times New Roman" w:hAnsi="Franklin Gothic Book"/>
          <w:sz w:val="21"/>
          <w:szCs w:val="21"/>
          <w:lang w:val="en-US" w:eastAsia="en-US"/>
        </w:rPr>
        <w:t xml:space="preserve">low </w:t>
      </w:r>
      <w:r w:rsidR="005A2437" w:rsidRPr="00895BF2">
        <w:rPr>
          <w:rFonts w:ascii="Franklin Gothic Book" w:eastAsia="Times New Roman" w:hAnsi="Franklin Gothic Book"/>
          <w:sz w:val="21"/>
          <w:szCs w:val="21"/>
          <w:lang w:val="en-US" w:eastAsia="en-US"/>
        </w:rPr>
        <w:t xml:space="preserve">primary education enrolment among ethnic </w:t>
      </w:r>
      <w:r w:rsidR="004C4A43">
        <w:rPr>
          <w:rFonts w:ascii="Franklin Gothic Book" w:eastAsia="Times New Roman" w:hAnsi="Franklin Gothic Book"/>
          <w:sz w:val="21"/>
          <w:szCs w:val="21"/>
          <w:lang w:val="en-US" w:eastAsia="en-US"/>
        </w:rPr>
        <w:t>minorities</w:t>
      </w:r>
      <w:r w:rsidR="005A2437" w:rsidRPr="00895BF2">
        <w:rPr>
          <w:rFonts w:ascii="Franklin Gothic Book" w:eastAsia="Times New Roman" w:hAnsi="Franklin Gothic Book"/>
          <w:sz w:val="21"/>
          <w:szCs w:val="21"/>
          <w:lang w:val="en-US" w:eastAsia="en-US"/>
        </w:rPr>
        <w:t xml:space="preserve">. </w:t>
      </w:r>
      <w:r w:rsidR="00591838">
        <w:rPr>
          <w:rFonts w:ascii="Franklin Gothic Book" w:eastAsia="Times New Roman" w:hAnsi="Franklin Gothic Book"/>
          <w:sz w:val="21"/>
          <w:szCs w:val="21"/>
          <w:lang w:val="en-US" w:eastAsia="en-US"/>
        </w:rPr>
        <w:t>R</w:t>
      </w:r>
      <w:r w:rsidR="00211589" w:rsidRPr="003C171D">
        <w:rPr>
          <w:rFonts w:ascii="Franklin Gothic Book" w:eastAsia="Times New Roman" w:hAnsi="Franklin Gothic Book"/>
          <w:sz w:val="21"/>
          <w:szCs w:val="21"/>
          <w:lang w:val="en-US" w:eastAsia="en-US"/>
        </w:rPr>
        <w:t xml:space="preserve">apid industrialisation </w:t>
      </w:r>
      <w:r w:rsidR="004754C0">
        <w:rPr>
          <w:rFonts w:ascii="Franklin Gothic Book" w:eastAsia="Times New Roman" w:hAnsi="Franklin Gothic Book"/>
          <w:sz w:val="21"/>
          <w:szCs w:val="21"/>
          <w:lang w:val="en-US" w:eastAsia="en-US"/>
        </w:rPr>
        <w:t>also throws up real issues for</w:t>
      </w:r>
      <w:r w:rsidR="00211589" w:rsidRPr="003C171D">
        <w:rPr>
          <w:rFonts w:ascii="Franklin Gothic Book" w:eastAsia="Times New Roman" w:hAnsi="Franklin Gothic Book"/>
          <w:sz w:val="21"/>
          <w:szCs w:val="21"/>
          <w:lang w:val="en-US" w:eastAsia="en-US"/>
        </w:rPr>
        <w:t xml:space="preserve"> environmental sustainability</w:t>
      </w:r>
      <w:r w:rsidR="00211589">
        <w:rPr>
          <w:sz w:val="21"/>
          <w:szCs w:val="21"/>
          <w:lang w:val="en-US" w:eastAsia="en-US"/>
        </w:rPr>
        <w:t>.</w:t>
      </w:r>
      <w:r w:rsidR="004C4A43" w:rsidRPr="004C4A43">
        <w:rPr>
          <w:rFonts w:ascii="Franklin Gothic Book" w:eastAsia="Times New Roman" w:hAnsi="Franklin Gothic Book"/>
          <w:sz w:val="21"/>
          <w:szCs w:val="21"/>
          <w:lang w:val="en-US" w:eastAsia="en-US"/>
        </w:rPr>
        <w:t xml:space="preserve"> </w:t>
      </w:r>
      <w:r w:rsidR="004C4A43" w:rsidRPr="00895BF2">
        <w:rPr>
          <w:rFonts w:ascii="Franklin Gothic Book" w:eastAsia="Times New Roman" w:hAnsi="Franklin Gothic Book"/>
          <w:sz w:val="21"/>
          <w:szCs w:val="21"/>
          <w:lang w:val="en-US" w:eastAsia="en-US"/>
        </w:rPr>
        <w:t>A lack of reliable data on people with disability in Vietnam continues to be a challenge for comprehensive reporting.</w:t>
      </w:r>
    </w:p>
    <w:p w:rsidR="005A2437" w:rsidRPr="00895BF2" w:rsidRDefault="00D74167" w:rsidP="00B2299F">
      <w:pPr>
        <w:autoSpaceDE w:val="0"/>
        <w:autoSpaceDN w:val="0"/>
        <w:adjustRightInd w:val="0"/>
        <w:spacing w:after="120" w:line="280" w:lineRule="atLeast"/>
        <w:rPr>
          <w:rFonts w:ascii="Franklin Gothic Book" w:eastAsia="Times New Roman" w:hAnsi="Franklin Gothic Book"/>
          <w:sz w:val="21"/>
          <w:szCs w:val="21"/>
        </w:rPr>
      </w:pPr>
      <w:r>
        <w:rPr>
          <w:rFonts w:ascii="Franklin Gothic Book" w:eastAsia="Times New Roman" w:hAnsi="Franklin Gothic Book"/>
          <w:sz w:val="21"/>
          <w:szCs w:val="21"/>
        </w:rPr>
        <w:t>ODA</w:t>
      </w:r>
      <w:r w:rsidR="00264A6B">
        <w:rPr>
          <w:rFonts w:ascii="Franklin Gothic Book" w:eastAsia="Times New Roman" w:hAnsi="Franklin Gothic Book"/>
          <w:sz w:val="21"/>
          <w:szCs w:val="21"/>
        </w:rPr>
        <w:t xml:space="preserve"> to Vietnam</w:t>
      </w:r>
      <w:r>
        <w:rPr>
          <w:rFonts w:ascii="Franklin Gothic Book" w:eastAsia="Times New Roman" w:hAnsi="Franklin Gothic Book"/>
          <w:sz w:val="21"/>
          <w:szCs w:val="21"/>
        </w:rPr>
        <w:t xml:space="preserve"> compris</w:t>
      </w:r>
      <w:r w:rsidR="00320166">
        <w:rPr>
          <w:rFonts w:ascii="Franklin Gothic Book" w:eastAsia="Times New Roman" w:hAnsi="Franklin Gothic Book"/>
          <w:sz w:val="21"/>
          <w:szCs w:val="21"/>
        </w:rPr>
        <w:t>es</w:t>
      </w:r>
      <w:r>
        <w:rPr>
          <w:rFonts w:ascii="Franklin Gothic Book" w:eastAsia="Times New Roman" w:hAnsi="Franklin Gothic Book"/>
          <w:sz w:val="21"/>
          <w:szCs w:val="21"/>
        </w:rPr>
        <w:t xml:space="preserve"> </w:t>
      </w:r>
      <w:r w:rsidRPr="00A902C6">
        <w:rPr>
          <w:rFonts w:ascii="Franklin Gothic Book" w:eastAsia="Times New Roman" w:hAnsi="Franklin Gothic Book"/>
          <w:sz w:val="21"/>
          <w:szCs w:val="21"/>
        </w:rPr>
        <w:t>2.8</w:t>
      </w:r>
      <w:r w:rsidRPr="00F77702">
        <w:rPr>
          <w:rFonts w:ascii="Franklin Gothic Book" w:eastAsia="Times New Roman" w:hAnsi="Franklin Gothic Book"/>
          <w:sz w:val="21"/>
          <w:szCs w:val="21"/>
        </w:rPr>
        <w:t> per</w:t>
      </w:r>
      <w:r>
        <w:rPr>
          <w:rFonts w:ascii="Franklin Gothic Book" w:eastAsia="Times New Roman" w:hAnsi="Franklin Gothic Book"/>
          <w:sz w:val="21"/>
          <w:szCs w:val="21"/>
        </w:rPr>
        <w:t xml:space="preserve"> cent of </w:t>
      </w:r>
      <w:r w:rsidR="00320166">
        <w:rPr>
          <w:rFonts w:ascii="Franklin Gothic Book" w:eastAsia="Times New Roman" w:hAnsi="Franklin Gothic Book"/>
          <w:sz w:val="21"/>
          <w:szCs w:val="21"/>
        </w:rPr>
        <w:t>GNI</w:t>
      </w:r>
      <w:r w:rsidR="00264A6B">
        <w:rPr>
          <w:rFonts w:ascii="Franklin Gothic Book" w:eastAsia="Times New Roman" w:hAnsi="Franklin Gothic Book"/>
          <w:sz w:val="21"/>
          <w:szCs w:val="21"/>
        </w:rPr>
        <w:t xml:space="preserve"> </w:t>
      </w:r>
      <w:r>
        <w:rPr>
          <w:rFonts w:ascii="Franklin Gothic Book" w:eastAsia="Times New Roman" w:hAnsi="Franklin Gothic Book"/>
          <w:sz w:val="21"/>
          <w:szCs w:val="21"/>
        </w:rPr>
        <w:t xml:space="preserve">and </w:t>
      </w:r>
      <w:r w:rsidR="004C4A43">
        <w:rPr>
          <w:rFonts w:ascii="Franklin Gothic Book" w:eastAsia="Times New Roman" w:hAnsi="Franklin Gothic Book"/>
          <w:sz w:val="21"/>
          <w:szCs w:val="21"/>
          <w:lang w:val="en-US" w:eastAsia="en-US"/>
        </w:rPr>
        <w:t>its</w:t>
      </w:r>
      <w:r w:rsidR="00591838">
        <w:rPr>
          <w:rFonts w:ascii="Franklin Gothic Book" w:eastAsia="Times New Roman" w:hAnsi="Franklin Gothic Book"/>
          <w:sz w:val="21"/>
          <w:szCs w:val="21"/>
          <w:lang w:val="en-US" w:eastAsia="en-US"/>
        </w:rPr>
        <w:t xml:space="preserve"> </w:t>
      </w:r>
      <w:r w:rsidR="004C448D">
        <w:rPr>
          <w:rFonts w:ascii="Franklin Gothic Book" w:eastAsia="Times New Roman" w:hAnsi="Franklin Gothic Book"/>
          <w:sz w:val="21"/>
          <w:szCs w:val="21"/>
          <w:lang w:val="en-US" w:eastAsia="en-US"/>
        </w:rPr>
        <w:t>development finance landscape is changing</w:t>
      </w:r>
      <w:r w:rsidR="004C448D" w:rsidRPr="000C3CDE">
        <w:rPr>
          <w:rFonts w:ascii="Franklin Gothic Book" w:eastAsia="Times New Roman" w:hAnsi="Franklin Gothic Book"/>
          <w:sz w:val="21"/>
          <w:szCs w:val="21"/>
        </w:rPr>
        <w:t xml:space="preserve">. </w:t>
      </w:r>
      <w:r w:rsidR="00264A6B" w:rsidRPr="000C3CDE">
        <w:rPr>
          <w:rFonts w:ascii="Franklin Gothic Book" w:eastAsia="Times New Roman" w:hAnsi="Franklin Gothic Book"/>
          <w:sz w:val="21"/>
          <w:szCs w:val="21"/>
        </w:rPr>
        <w:t>ODA is primarily in the form of concessional loans. Australia remains the largest grant donor, ranking sixth among all donors</w:t>
      </w:r>
      <w:r w:rsidR="00264A6B">
        <w:rPr>
          <w:rStyle w:val="FootnoteReference"/>
          <w:rFonts w:eastAsia="Times New Roman"/>
        </w:rPr>
        <w:footnoteReference w:id="3"/>
      </w:r>
      <w:r w:rsidR="00264A6B" w:rsidRPr="000C3CDE">
        <w:rPr>
          <w:rFonts w:ascii="Franklin Gothic Book" w:eastAsia="Times New Roman" w:hAnsi="Franklin Gothic Book"/>
          <w:sz w:val="21"/>
          <w:szCs w:val="21"/>
        </w:rPr>
        <w:t xml:space="preserve">. </w:t>
      </w:r>
      <w:r w:rsidR="00B2299F">
        <w:rPr>
          <w:rFonts w:ascii="Franklin Gothic Book" w:eastAsia="Times New Roman" w:hAnsi="Franklin Gothic Book"/>
          <w:sz w:val="21"/>
          <w:szCs w:val="21"/>
        </w:rPr>
        <w:t>M</w:t>
      </w:r>
      <w:r w:rsidR="005A2437" w:rsidRPr="00895BF2">
        <w:rPr>
          <w:rFonts w:ascii="Franklin Gothic Book" w:eastAsia="Times New Roman" w:hAnsi="Franklin Gothic Book"/>
          <w:sz w:val="21"/>
          <w:szCs w:val="21"/>
        </w:rPr>
        <w:t xml:space="preserve">any traditional European donors are phasing out </w:t>
      </w:r>
      <w:r w:rsidR="00113EC8">
        <w:rPr>
          <w:rFonts w:ascii="Franklin Gothic Book" w:eastAsia="Times New Roman" w:hAnsi="Franklin Gothic Book"/>
          <w:sz w:val="21"/>
          <w:szCs w:val="21"/>
        </w:rPr>
        <w:t>development assistance</w:t>
      </w:r>
      <w:r w:rsidR="004C4A43">
        <w:rPr>
          <w:rFonts w:ascii="Franklin Gothic Book" w:eastAsia="Times New Roman" w:hAnsi="Franklin Gothic Book"/>
          <w:sz w:val="21"/>
          <w:szCs w:val="21"/>
        </w:rPr>
        <w:t>, while</w:t>
      </w:r>
      <w:r w:rsidR="00113EC8">
        <w:rPr>
          <w:rFonts w:ascii="Franklin Gothic Book" w:eastAsia="Times New Roman" w:hAnsi="Franklin Gothic Book"/>
          <w:sz w:val="21"/>
          <w:szCs w:val="21"/>
        </w:rPr>
        <w:t xml:space="preserve"> </w:t>
      </w:r>
      <w:r w:rsidR="004C4A43">
        <w:rPr>
          <w:rFonts w:ascii="Franklin Gothic Book" w:eastAsia="Times New Roman" w:hAnsi="Franklin Gothic Book"/>
          <w:sz w:val="21"/>
          <w:szCs w:val="21"/>
        </w:rPr>
        <w:t>n</w:t>
      </w:r>
      <w:r w:rsidRPr="00895BF2">
        <w:rPr>
          <w:rFonts w:ascii="Franklin Gothic Book" w:eastAsia="Times New Roman" w:hAnsi="Franklin Gothic Book"/>
          <w:sz w:val="21"/>
          <w:szCs w:val="21"/>
        </w:rPr>
        <w:t xml:space="preserve">on-traditional </w:t>
      </w:r>
      <w:r w:rsidRPr="009A561A">
        <w:rPr>
          <w:rFonts w:ascii="Franklin Gothic Book" w:eastAsia="Times New Roman" w:hAnsi="Franklin Gothic Book"/>
          <w:sz w:val="21"/>
          <w:szCs w:val="21"/>
        </w:rPr>
        <w:t>donors</w:t>
      </w:r>
      <w:r w:rsidR="00264A6B" w:rsidRPr="009A561A">
        <w:rPr>
          <w:rFonts w:ascii="Franklin Gothic Book" w:eastAsia="Times New Roman" w:hAnsi="Franklin Gothic Book"/>
          <w:sz w:val="21"/>
          <w:szCs w:val="21"/>
        </w:rPr>
        <w:t xml:space="preserve">, such as China </w:t>
      </w:r>
      <w:r w:rsidRPr="009A561A">
        <w:rPr>
          <w:rFonts w:ascii="Franklin Gothic Book" w:eastAsia="Times New Roman" w:hAnsi="Franklin Gothic Book"/>
          <w:sz w:val="21"/>
          <w:szCs w:val="21"/>
        </w:rPr>
        <w:t>are increasing aid to enhance</w:t>
      </w:r>
      <w:r w:rsidRPr="00895BF2">
        <w:rPr>
          <w:rFonts w:ascii="Franklin Gothic Book" w:eastAsia="Times New Roman" w:hAnsi="Franklin Gothic Book"/>
          <w:sz w:val="21"/>
          <w:szCs w:val="21"/>
        </w:rPr>
        <w:t xml:space="preserve"> engagement in </w:t>
      </w:r>
      <w:r>
        <w:rPr>
          <w:rFonts w:ascii="Franklin Gothic Book" w:eastAsia="Times New Roman" w:hAnsi="Franklin Gothic Book"/>
          <w:sz w:val="21"/>
          <w:szCs w:val="21"/>
        </w:rPr>
        <w:t xml:space="preserve">the region. Foreign direct investment, remittances and domestic revenue are growing rapidly. </w:t>
      </w:r>
    </w:p>
    <w:p w:rsidR="000D733F" w:rsidRPr="009E38C1" w:rsidRDefault="000D733F" w:rsidP="00FE4DBB">
      <w:pPr>
        <w:pStyle w:val="Heading2"/>
        <w:spacing w:before="0" w:after="0" w:line="280" w:lineRule="atLeast"/>
        <w:rPr>
          <w:sz w:val="28"/>
        </w:rPr>
      </w:pPr>
      <w:r w:rsidRPr="009E38C1">
        <w:rPr>
          <w:sz w:val="28"/>
        </w:rPr>
        <w:t>Expenditure</w:t>
      </w:r>
    </w:p>
    <w:p w:rsidR="00D502F9" w:rsidRDefault="00D502F9" w:rsidP="00D502F9">
      <w:pPr>
        <w:spacing w:line="280" w:lineRule="atLeast"/>
        <w:rPr>
          <w:rFonts w:ascii="Franklin Gothic Book" w:hAnsi="Franklin Gothic Book"/>
          <w:sz w:val="21"/>
          <w:szCs w:val="21"/>
        </w:rPr>
      </w:pPr>
      <w:bookmarkStart w:id="2" w:name="_Toc373853206"/>
      <w:r>
        <w:rPr>
          <w:rFonts w:ascii="Franklin Gothic Book" w:eastAsia="Times New Roman" w:hAnsi="Franklin Gothic Book"/>
          <w:sz w:val="21"/>
          <w:szCs w:val="21"/>
        </w:rPr>
        <w:t xml:space="preserve">Australia implements its aid program in Vietnam in </w:t>
      </w:r>
      <w:r w:rsidRPr="00895BF2">
        <w:rPr>
          <w:rFonts w:ascii="Franklin Gothic Book" w:eastAsia="Times New Roman" w:hAnsi="Franklin Gothic Book"/>
          <w:sz w:val="21"/>
          <w:szCs w:val="21"/>
        </w:rPr>
        <w:t xml:space="preserve">close </w:t>
      </w:r>
      <w:r>
        <w:rPr>
          <w:rFonts w:ascii="Franklin Gothic Book" w:eastAsia="Times New Roman" w:hAnsi="Franklin Gothic Book"/>
          <w:sz w:val="21"/>
          <w:szCs w:val="21"/>
        </w:rPr>
        <w:t xml:space="preserve">cooperation </w:t>
      </w:r>
      <w:r w:rsidRPr="00895BF2">
        <w:rPr>
          <w:rFonts w:ascii="Franklin Gothic Book" w:eastAsia="Times New Roman" w:hAnsi="Franklin Gothic Book"/>
          <w:sz w:val="21"/>
          <w:szCs w:val="21"/>
        </w:rPr>
        <w:t xml:space="preserve">with </w:t>
      </w:r>
      <w:r>
        <w:rPr>
          <w:rFonts w:ascii="Franklin Gothic Book" w:eastAsia="Times New Roman" w:hAnsi="Franklin Gothic Book"/>
          <w:sz w:val="21"/>
          <w:szCs w:val="21"/>
        </w:rPr>
        <w:t xml:space="preserve">the </w:t>
      </w:r>
      <w:r w:rsidRPr="00895BF2">
        <w:rPr>
          <w:rFonts w:ascii="Franklin Gothic Book" w:eastAsia="Times New Roman" w:hAnsi="Franklin Gothic Book"/>
          <w:sz w:val="21"/>
          <w:szCs w:val="21"/>
        </w:rPr>
        <w:t xml:space="preserve">Government of Vietnam, multilateral and bilateral donors, and non-government organisations. </w:t>
      </w:r>
      <w:r>
        <w:rPr>
          <w:rFonts w:ascii="Franklin Gothic Book" w:eastAsia="Times New Roman" w:hAnsi="Franklin Gothic Book"/>
          <w:sz w:val="21"/>
          <w:szCs w:val="21"/>
        </w:rPr>
        <w:t xml:space="preserve">The </w:t>
      </w:r>
      <w:r w:rsidRPr="00895BF2">
        <w:rPr>
          <w:rFonts w:ascii="Franklin Gothic Book" w:eastAsia="Times New Roman" w:hAnsi="Franklin Gothic Book"/>
          <w:sz w:val="21"/>
          <w:szCs w:val="21"/>
        </w:rPr>
        <w:t xml:space="preserve">current </w:t>
      </w:r>
      <w:r>
        <w:rPr>
          <w:rFonts w:ascii="Franklin Gothic Book" w:eastAsia="Times New Roman" w:hAnsi="Franklin Gothic Book"/>
          <w:i/>
          <w:sz w:val="21"/>
          <w:szCs w:val="21"/>
        </w:rPr>
        <w:t>Australia</w:t>
      </w:r>
      <w:r>
        <w:rPr>
          <w:rFonts w:ascii="Franklin Gothic Book" w:eastAsia="Times New Roman" w:hAnsi="Franklin Gothic Book"/>
          <w:i/>
          <w:sz w:val="21"/>
          <w:szCs w:val="21"/>
        </w:rPr>
        <w:noBreakHyphen/>
        <w:t>Vietnam Joint Aid Program Strategy 2010</w:t>
      </w:r>
      <w:r>
        <w:rPr>
          <w:rFonts w:ascii="Franklin Gothic Book" w:eastAsia="Times New Roman" w:hAnsi="Franklin Gothic Book"/>
          <w:i/>
          <w:sz w:val="21"/>
          <w:szCs w:val="21"/>
        </w:rPr>
        <w:noBreakHyphen/>
        <w:t>15</w:t>
      </w:r>
      <w:r>
        <w:rPr>
          <w:rFonts w:ascii="Franklin Gothic Book" w:eastAsia="Times New Roman" w:hAnsi="Franklin Gothic Book"/>
          <w:sz w:val="21"/>
          <w:szCs w:val="21"/>
        </w:rPr>
        <w:t xml:space="preserve"> supports the Government of Vietnam’s </w:t>
      </w:r>
      <w:r w:rsidRPr="00895BF2">
        <w:rPr>
          <w:rFonts w:ascii="Franklin Gothic Book" w:eastAsia="Times New Roman" w:hAnsi="Franklin Gothic Book"/>
          <w:sz w:val="21"/>
          <w:szCs w:val="21"/>
        </w:rPr>
        <w:t>Socio-</w:t>
      </w:r>
      <w:r>
        <w:rPr>
          <w:rFonts w:ascii="Franklin Gothic Book" w:eastAsia="Times New Roman" w:hAnsi="Franklin Gothic Book"/>
          <w:sz w:val="21"/>
          <w:szCs w:val="21"/>
        </w:rPr>
        <w:t>E</w:t>
      </w:r>
      <w:r w:rsidRPr="00895BF2">
        <w:rPr>
          <w:rFonts w:ascii="Franklin Gothic Book" w:eastAsia="Times New Roman" w:hAnsi="Franklin Gothic Book"/>
          <w:sz w:val="21"/>
          <w:szCs w:val="21"/>
        </w:rPr>
        <w:t>conomic Development Plan (SEDP)</w:t>
      </w:r>
      <w:r>
        <w:rPr>
          <w:rFonts w:ascii="Franklin Gothic Book" w:eastAsia="Times New Roman" w:hAnsi="Franklin Gothic Book"/>
          <w:sz w:val="21"/>
          <w:szCs w:val="21"/>
        </w:rPr>
        <w:t xml:space="preserve"> 2011</w:t>
      </w:r>
      <w:r>
        <w:rPr>
          <w:rFonts w:ascii="Franklin Gothic Book" w:eastAsia="Times New Roman" w:hAnsi="Franklin Gothic Book"/>
          <w:sz w:val="21"/>
          <w:szCs w:val="21"/>
        </w:rPr>
        <w:noBreakHyphen/>
      </w:r>
      <w:r w:rsidRPr="00895BF2">
        <w:rPr>
          <w:rFonts w:ascii="Franklin Gothic Book" w:eastAsia="Times New Roman" w:hAnsi="Franklin Gothic Book"/>
          <w:sz w:val="21"/>
          <w:szCs w:val="21"/>
        </w:rPr>
        <w:t>15</w:t>
      </w:r>
      <w:r>
        <w:rPr>
          <w:rFonts w:ascii="Franklin Gothic Book" w:eastAsia="Times New Roman" w:hAnsi="Franklin Gothic Book"/>
          <w:sz w:val="21"/>
          <w:szCs w:val="21"/>
        </w:rPr>
        <w:t xml:space="preserve"> </w:t>
      </w:r>
      <w:r w:rsidR="00D448F4">
        <w:rPr>
          <w:rFonts w:ascii="Franklin Gothic Book" w:eastAsia="Times New Roman" w:hAnsi="Franklin Gothic Book"/>
          <w:sz w:val="21"/>
          <w:szCs w:val="21"/>
        </w:rPr>
        <w:t>and fo</w:t>
      </w:r>
      <w:r>
        <w:rPr>
          <w:rFonts w:ascii="Franklin Gothic Book" w:eastAsia="Times New Roman" w:hAnsi="Franklin Gothic Book"/>
          <w:sz w:val="21"/>
          <w:szCs w:val="21"/>
        </w:rPr>
        <w:t xml:space="preserve">cuses on three </w:t>
      </w:r>
      <w:r w:rsidRPr="00895BF2">
        <w:rPr>
          <w:rFonts w:ascii="Franklin Gothic Book" w:eastAsia="Times New Roman" w:hAnsi="Franklin Gothic Book"/>
          <w:sz w:val="21"/>
          <w:szCs w:val="21"/>
        </w:rPr>
        <w:t>priority areas</w:t>
      </w:r>
      <w:r>
        <w:rPr>
          <w:rFonts w:ascii="Franklin Gothic Book" w:eastAsia="Times New Roman" w:hAnsi="Franklin Gothic Book"/>
          <w:sz w:val="21"/>
          <w:szCs w:val="21"/>
        </w:rPr>
        <w:t xml:space="preserve"> </w:t>
      </w:r>
      <w:r>
        <w:rPr>
          <w:rFonts w:ascii="Franklin Gothic Book" w:eastAsia="Times New Roman" w:hAnsi="Franklin Gothic Book"/>
          <w:sz w:val="21"/>
          <w:szCs w:val="21"/>
        </w:rPr>
        <w:noBreakHyphen/>
      </w:r>
      <w:r w:rsidRPr="00895BF2">
        <w:rPr>
          <w:rFonts w:ascii="Franklin Gothic Book" w:eastAsia="Times New Roman" w:hAnsi="Franklin Gothic Book"/>
          <w:sz w:val="21"/>
          <w:szCs w:val="21"/>
        </w:rPr>
        <w:t xml:space="preserve"> infrastructure and economic </w:t>
      </w:r>
      <w:r>
        <w:rPr>
          <w:rFonts w:ascii="Franklin Gothic Book" w:eastAsia="Times New Roman" w:hAnsi="Franklin Gothic Book"/>
          <w:sz w:val="21"/>
          <w:szCs w:val="21"/>
        </w:rPr>
        <w:t>integration</w:t>
      </w:r>
      <w:r w:rsidRPr="00895BF2">
        <w:rPr>
          <w:rFonts w:ascii="Franklin Gothic Book" w:eastAsia="Times New Roman" w:hAnsi="Franklin Gothic Book"/>
          <w:sz w:val="21"/>
          <w:szCs w:val="21"/>
        </w:rPr>
        <w:t xml:space="preserve">; human resource development; and environmental sustainability (including </w:t>
      </w:r>
      <w:r w:rsidR="00EF39F4">
        <w:rPr>
          <w:rFonts w:ascii="Franklin Gothic Book" w:eastAsia="Times New Roman" w:hAnsi="Franklin Gothic Book"/>
          <w:sz w:val="21"/>
          <w:szCs w:val="21"/>
        </w:rPr>
        <w:t>resilience and disaster risk reduction,</w:t>
      </w:r>
      <w:r w:rsidRPr="00895BF2">
        <w:rPr>
          <w:rFonts w:ascii="Franklin Gothic Book" w:eastAsia="Times New Roman" w:hAnsi="Franklin Gothic Book"/>
          <w:sz w:val="21"/>
          <w:szCs w:val="21"/>
        </w:rPr>
        <w:t xml:space="preserve"> and water supply and sanitation)</w:t>
      </w:r>
      <w:r w:rsidRPr="00895BF2">
        <w:rPr>
          <w:rFonts w:ascii="Franklin Gothic Book" w:hAnsi="Franklin Gothic Book"/>
          <w:sz w:val="21"/>
          <w:szCs w:val="21"/>
        </w:rPr>
        <w:t>.</w:t>
      </w:r>
      <w:r>
        <w:rPr>
          <w:rFonts w:ascii="Franklin Gothic Book" w:hAnsi="Franklin Gothic Book"/>
          <w:sz w:val="21"/>
          <w:szCs w:val="21"/>
        </w:rPr>
        <w:t xml:space="preserve"> </w:t>
      </w:r>
    </w:p>
    <w:p w:rsidR="00EE0FDA" w:rsidRPr="00047841" w:rsidRDefault="00EE0FDA" w:rsidP="00047841">
      <w:pPr>
        <w:pStyle w:val="Caption"/>
        <w:spacing w:after="120"/>
        <w:rPr>
          <w:b w:val="0"/>
          <w:sz w:val="21"/>
          <w:szCs w:val="21"/>
        </w:rPr>
      </w:pPr>
      <w:r w:rsidRPr="00047841">
        <w:rPr>
          <w:b w:val="0"/>
          <w:sz w:val="21"/>
          <w:szCs w:val="21"/>
        </w:rPr>
        <w:t xml:space="preserve">The bilateral program for the financial year 2013-14 </w:t>
      </w:r>
      <w:r w:rsidR="00113EC8">
        <w:rPr>
          <w:b w:val="0"/>
          <w:sz w:val="21"/>
          <w:szCs w:val="21"/>
        </w:rPr>
        <w:t>was</w:t>
      </w:r>
      <w:r w:rsidR="00113EC8" w:rsidRPr="00047841">
        <w:rPr>
          <w:b w:val="0"/>
          <w:sz w:val="21"/>
          <w:szCs w:val="21"/>
        </w:rPr>
        <w:t xml:space="preserve"> </w:t>
      </w:r>
      <w:r w:rsidR="00236636">
        <w:rPr>
          <w:b w:val="0"/>
          <w:sz w:val="21"/>
          <w:szCs w:val="21"/>
        </w:rPr>
        <w:t>$</w:t>
      </w:r>
      <w:r w:rsidRPr="00047841">
        <w:rPr>
          <w:b w:val="0"/>
          <w:sz w:val="21"/>
          <w:szCs w:val="21"/>
        </w:rPr>
        <w:t>95 million</w:t>
      </w:r>
      <w:r w:rsidR="00FC60DB">
        <w:rPr>
          <w:b w:val="0"/>
          <w:sz w:val="21"/>
          <w:szCs w:val="21"/>
        </w:rPr>
        <w:t>, following a reduction of $17 million due to mid-year reduction</w:t>
      </w:r>
      <w:r w:rsidR="00F77702">
        <w:rPr>
          <w:b w:val="0"/>
          <w:sz w:val="21"/>
          <w:szCs w:val="21"/>
        </w:rPr>
        <w:t>s</w:t>
      </w:r>
      <w:r w:rsidR="00FC60DB">
        <w:rPr>
          <w:b w:val="0"/>
          <w:sz w:val="21"/>
          <w:szCs w:val="21"/>
        </w:rPr>
        <w:t xml:space="preserve"> of the aid budget. T</w:t>
      </w:r>
      <w:r w:rsidR="00B51221">
        <w:rPr>
          <w:b w:val="0"/>
          <w:sz w:val="21"/>
          <w:szCs w:val="21"/>
        </w:rPr>
        <w:t>his represents a</w:t>
      </w:r>
      <w:r w:rsidR="00113EC8">
        <w:rPr>
          <w:b w:val="0"/>
          <w:sz w:val="21"/>
          <w:szCs w:val="21"/>
        </w:rPr>
        <w:t xml:space="preserve"> decrease of</w:t>
      </w:r>
      <w:r w:rsidRPr="00047841">
        <w:rPr>
          <w:b w:val="0"/>
          <w:sz w:val="21"/>
          <w:szCs w:val="21"/>
        </w:rPr>
        <w:t xml:space="preserve"> </w:t>
      </w:r>
      <w:r w:rsidR="00ED1917" w:rsidRPr="00047841">
        <w:rPr>
          <w:b w:val="0"/>
          <w:sz w:val="21"/>
          <w:szCs w:val="21"/>
        </w:rPr>
        <w:t>$</w:t>
      </w:r>
      <w:r w:rsidRPr="00047841">
        <w:rPr>
          <w:b w:val="0"/>
          <w:sz w:val="21"/>
          <w:szCs w:val="21"/>
        </w:rPr>
        <w:t>8.9 million compar</w:t>
      </w:r>
      <w:r w:rsidR="00ED1917" w:rsidRPr="00047841">
        <w:rPr>
          <w:b w:val="0"/>
          <w:sz w:val="21"/>
          <w:szCs w:val="21"/>
        </w:rPr>
        <w:t>ed</w:t>
      </w:r>
      <w:r w:rsidRPr="00047841">
        <w:rPr>
          <w:b w:val="0"/>
          <w:sz w:val="21"/>
          <w:szCs w:val="21"/>
        </w:rPr>
        <w:t xml:space="preserve"> with </w:t>
      </w:r>
      <w:r w:rsidR="00ED1917" w:rsidRPr="00047841">
        <w:rPr>
          <w:b w:val="0"/>
          <w:sz w:val="21"/>
          <w:szCs w:val="21"/>
        </w:rPr>
        <w:t>2</w:t>
      </w:r>
      <w:r w:rsidRPr="00047841">
        <w:rPr>
          <w:b w:val="0"/>
          <w:sz w:val="21"/>
          <w:szCs w:val="21"/>
        </w:rPr>
        <w:t>012- 13</w:t>
      </w:r>
      <w:r w:rsidR="00B51221">
        <w:rPr>
          <w:b w:val="0"/>
          <w:sz w:val="21"/>
          <w:szCs w:val="21"/>
        </w:rPr>
        <w:t xml:space="preserve">. </w:t>
      </w:r>
      <w:r w:rsidR="000768C7" w:rsidRPr="00047841">
        <w:rPr>
          <w:b w:val="0"/>
          <w:sz w:val="21"/>
          <w:szCs w:val="21"/>
        </w:rPr>
        <w:t xml:space="preserve">Table 1 below outlines </w:t>
      </w:r>
      <w:r w:rsidR="00426A33" w:rsidRPr="00047841">
        <w:rPr>
          <w:b w:val="0"/>
          <w:sz w:val="21"/>
          <w:szCs w:val="21"/>
        </w:rPr>
        <w:t>expenditure by country strategy objective</w:t>
      </w:r>
      <w:r w:rsidR="000768C7" w:rsidRPr="00047841">
        <w:rPr>
          <w:b w:val="0"/>
          <w:sz w:val="21"/>
          <w:szCs w:val="21"/>
        </w:rPr>
        <w:t>.</w:t>
      </w:r>
    </w:p>
    <w:p w:rsidR="000D733F" w:rsidRPr="003513EC" w:rsidRDefault="000D733F" w:rsidP="006F226B">
      <w:pPr>
        <w:pStyle w:val="Caption"/>
      </w:pPr>
      <w:r w:rsidRPr="003513EC">
        <w:t xml:space="preserve">Table </w:t>
      </w:r>
      <w:fldSimple w:instr=" SEQ Table \* ARABIC ">
        <w:r w:rsidR="008E3D1D">
          <w:rPr>
            <w:noProof/>
          </w:rPr>
          <w:t>1</w:t>
        </w:r>
      </w:fldSimple>
      <w:r w:rsidR="003513EC" w:rsidRPr="003513EC">
        <w:rPr>
          <w:noProof/>
        </w:rPr>
        <w:t>-</w:t>
      </w:r>
      <w:r w:rsidRPr="003513EC">
        <w:t xml:space="preserve"> Expenditure in 2013-14</w:t>
      </w:r>
    </w:p>
    <w:tbl>
      <w:tblPr>
        <w:tblStyle w:val="APPR"/>
        <w:tblpPr w:leftFromText="180" w:rightFromText="180" w:vertAnchor="text" w:tblpY="1"/>
        <w:tblW w:w="9492" w:type="dxa"/>
        <w:tblLayout w:type="fixed"/>
        <w:tblLook w:val="0000" w:firstRow="0" w:lastRow="0" w:firstColumn="0" w:lastColumn="0" w:noHBand="0" w:noVBand="0"/>
      </w:tblPr>
      <w:tblGrid>
        <w:gridCol w:w="7224"/>
        <w:gridCol w:w="1134"/>
        <w:gridCol w:w="1134"/>
      </w:tblGrid>
      <w:tr w:rsidR="00320166" w:rsidRPr="00180B19" w:rsidTr="00837906">
        <w:trPr>
          <w:cnfStyle w:val="000000010000" w:firstRow="0" w:lastRow="0" w:firstColumn="0" w:lastColumn="0" w:oddVBand="0" w:evenVBand="0" w:oddHBand="0" w:evenHBand="1" w:firstRowFirstColumn="0" w:firstRowLastColumn="0" w:lastRowFirstColumn="0" w:lastRowLastColumn="0"/>
          <w:trHeight w:val="526"/>
        </w:trPr>
        <w:tc>
          <w:tcPr>
            <w:tcW w:w="7182" w:type="dxa"/>
          </w:tcPr>
          <w:p w:rsidR="000D733F" w:rsidRPr="00180B19" w:rsidRDefault="000D733F" w:rsidP="006F226B">
            <w:pPr>
              <w:pStyle w:val="TableHeading1"/>
              <w:spacing w:before="0" w:after="0" w:line="280" w:lineRule="atLeast"/>
            </w:pPr>
            <w:r w:rsidRPr="00180B19">
              <w:t>Objective</w:t>
            </w:r>
          </w:p>
        </w:tc>
        <w:tc>
          <w:tcPr>
            <w:tcW w:w="1106" w:type="dxa"/>
          </w:tcPr>
          <w:p w:rsidR="000D733F" w:rsidRPr="00180B19" w:rsidRDefault="000D733F" w:rsidP="006F226B">
            <w:pPr>
              <w:pStyle w:val="TableHeading1"/>
              <w:spacing w:before="0" w:after="0" w:line="280" w:lineRule="atLeast"/>
            </w:pPr>
            <w:r w:rsidRPr="00180B19">
              <w:t>A$ million</w:t>
            </w:r>
          </w:p>
        </w:tc>
        <w:tc>
          <w:tcPr>
            <w:tcW w:w="1092" w:type="dxa"/>
          </w:tcPr>
          <w:p w:rsidR="000D733F" w:rsidRPr="00180B19" w:rsidRDefault="00495541" w:rsidP="00047841">
            <w:pPr>
              <w:pStyle w:val="TableHeading1"/>
              <w:spacing w:before="0" w:after="0" w:line="280" w:lineRule="atLeast"/>
              <w:ind w:right="-136"/>
            </w:pPr>
            <w:r>
              <w:t xml:space="preserve">% </w:t>
            </w:r>
            <w:r w:rsidR="000D733F" w:rsidRPr="00180B19">
              <w:t>of bilateral program</w:t>
            </w:r>
          </w:p>
        </w:tc>
      </w:tr>
      <w:tr w:rsidR="00320166" w:rsidRPr="00DD264C" w:rsidTr="00837906">
        <w:trPr>
          <w:cnfStyle w:val="000000010000" w:firstRow="0" w:lastRow="0" w:firstColumn="0" w:lastColumn="0" w:oddVBand="0" w:evenVBand="0" w:oddHBand="0" w:evenHBand="1" w:firstRowFirstColumn="0" w:firstRowLastColumn="0" w:lastRowFirstColumn="0" w:lastRowLastColumn="0"/>
          <w:trHeight w:val="258"/>
        </w:trPr>
        <w:tc>
          <w:tcPr>
            <w:tcW w:w="7182" w:type="dxa"/>
            <w:vAlign w:val="center"/>
          </w:tcPr>
          <w:p w:rsidR="00DD264C" w:rsidRPr="00DD264C" w:rsidRDefault="00DD264C" w:rsidP="00680CBE">
            <w:pPr>
              <w:spacing w:line="280" w:lineRule="atLeast"/>
              <w:rPr>
                <w:rFonts w:ascii="Franklin Gothic Book" w:hAnsi="Franklin Gothic Book" w:cs="Arial"/>
                <w:sz w:val="17"/>
                <w:szCs w:val="17"/>
              </w:rPr>
            </w:pPr>
            <w:r w:rsidRPr="00DD264C">
              <w:rPr>
                <w:rFonts w:ascii="Franklin Gothic Book" w:hAnsi="Franklin Gothic Book" w:cs="Arial"/>
                <w:sz w:val="17"/>
                <w:szCs w:val="17"/>
              </w:rPr>
              <w:t>Objective 1: Improve the quality of Vietnam's human resource</w:t>
            </w:r>
            <w:r w:rsidR="003A6AFA">
              <w:rPr>
                <w:rFonts w:ascii="Franklin Gothic Book" w:hAnsi="Franklin Gothic Book" w:cs="Arial"/>
                <w:sz w:val="17"/>
                <w:szCs w:val="17"/>
              </w:rPr>
              <w:t>s</w:t>
            </w:r>
          </w:p>
        </w:tc>
        <w:tc>
          <w:tcPr>
            <w:tcW w:w="1106" w:type="dxa"/>
          </w:tcPr>
          <w:p w:rsidR="00DD264C" w:rsidRPr="00DD264C" w:rsidRDefault="00EE0FDA" w:rsidP="006F226B">
            <w:pPr>
              <w:spacing w:line="280" w:lineRule="atLeast"/>
              <w:rPr>
                <w:rFonts w:ascii="Franklin Gothic Book" w:hAnsi="Franklin Gothic Book" w:cs="Arial"/>
                <w:sz w:val="17"/>
                <w:szCs w:val="17"/>
              </w:rPr>
            </w:pPr>
            <w:r>
              <w:rPr>
                <w:rFonts w:ascii="Franklin Gothic Book" w:hAnsi="Franklin Gothic Book" w:cs="Arial"/>
                <w:sz w:val="17"/>
                <w:szCs w:val="17"/>
              </w:rPr>
              <w:t>3</w:t>
            </w:r>
            <w:r w:rsidR="00FC60DB">
              <w:rPr>
                <w:rFonts w:ascii="Franklin Gothic Book" w:hAnsi="Franklin Gothic Book" w:cs="Arial"/>
                <w:sz w:val="17"/>
                <w:szCs w:val="17"/>
              </w:rPr>
              <w:t>3.0</w:t>
            </w:r>
            <w:r w:rsidR="00DD264C" w:rsidRPr="00DD264C">
              <w:rPr>
                <w:rFonts w:ascii="Franklin Gothic Book" w:hAnsi="Franklin Gothic Book" w:cs="Arial"/>
                <w:sz w:val="17"/>
                <w:szCs w:val="17"/>
              </w:rPr>
              <w:t xml:space="preserve"> </w:t>
            </w:r>
          </w:p>
        </w:tc>
        <w:tc>
          <w:tcPr>
            <w:tcW w:w="1092" w:type="dxa"/>
          </w:tcPr>
          <w:p w:rsidR="00DD264C" w:rsidRPr="00DD264C" w:rsidRDefault="00DD264C" w:rsidP="006F226B">
            <w:pPr>
              <w:spacing w:line="280" w:lineRule="atLeast"/>
              <w:rPr>
                <w:rFonts w:ascii="Franklin Gothic Book" w:hAnsi="Franklin Gothic Book" w:cs="Arial"/>
                <w:sz w:val="17"/>
                <w:szCs w:val="17"/>
              </w:rPr>
            </w:pPr>
            <w:r w:rsidRPr="00DD264C">
              <w:rPr>
                <w:rFonts w:ascii="Franklin Gothic Book" w:hAnsi="Franklin Gothic Book" w:cs="Arial"/>
                <w:sz w:val="17"/>
                <w:szCs w:val="17"/>
              </w:rPr>
              <w:t>3</w:t>
            </w:r>
            <w:r w:rsidR="00FC60DB">
              <w:rPr>
                <w:rFonts w:ascii="Franklin Gothic Book" w:hAnsi="Franklin Gothic Book" w:cs="Arial"/>
                <w:sz w:val="17"/>
                <w:szCs w:val="17"/>
              </w:rPr>
              <w:t>5%</w:t>
            </w:r>
          </w:p>
        </w:tc>
      </w:tr>
      <w:tr w:rsidR="00320166" w:rsidRPr="00DD264C" w:rsidTr="00837906">
        <w:trPr>
          <w:cnfStyle w:val="000000010000" w:firstRow="0" w:lastRow="0" w:firstColumn="0" w:lastColumn="0" w:oddVBand="0" w:evenVBand="0" w:oddHBand="0" w:evenHBand="1" w:firstRowFirstColumn="0" w:firstRowLastColumn="0" w:lastRowFirstColumn="0" w:lastRowLastColumn="0"/>
          <w:trHeight w:val="268"/>
        </w:trPr>
        <w:tc>
          <w:tcPr>
            <w:tcW w:w="7182" w:type="dxa"/>
            <w:vAlign w:val="center"/>
          </w:tcPr>
          <w:p w:rsidR="00DD264C" w:rsidRPr="00DD264C" w:rsidRDefault="00DD264C" w:rsidP="00680CBE">
            <w:pPr>
              <w:spacing w:line="280" w:lineRule="atLeast"/>
              <w:rPr>
                <w:rFonts w:ascii="Franklin Gothic Book" w:hAnsi="Franklin Gothic Book" w:cs="Arial"/>
                <w:sz w:val="17"/>
                <w:szCs w:val="17"/>
              </w:rPr>
            </w:pPr>
            <w:r w:rsidRPr="00DD264C">
              <w:rPr>
                <w:rFonts w:ascii="Franklin Gothic Book" w:hAnsi="Franklin Gothic Book" w:cs="Arial"/>
                <w:sz w:val="17"/>
                <w:szCs w:val="17"/>
              </w:rPr>
              <w:t xml:space="preserve">Objective 2: </w:t>
            </w:r>
            <w:r w:rsidR="00680CBE">
              <w:rPr>
                <w:rFonts w:ascii="Franklin Gothic Book" w:hAnsi="Franklin Gothic Book" w:cs="Arial"/>
                <w:sz w:val="17"/>
                <w:szCs w:val="17"/>
              </w:rPr>
              <w:t>Develop b</w:t>
            </w:r>
            <w:r w:rsidRPr="00DD264C">
              <w:rPr>
                <w:rFonts w:ascii="Franklin Gothic Book" w:hAnsi="Franklin Gothic Book" w:cs="Arial"/>
                <w:sz w:val="17"/>
                <w:szCs w:val="17"/>
              </w:rPr>
              <w:t>etter transport infrastructure and policy to support economic integration</w:t>
            </w:r>
          </w:p>
        </w:tc>
        <w:tc>
          <w:tcPr>
            <w:tcW w:w="1106" w:type="dxa"/>
          </w:tcPr>
          <w:p w:rsidR="00DD264C" w:rsidRPr="00DD264C" w:rsidRDefault="00EE79F1" w:rsidP="006F226B">
            <w:pPr>
              <w:spacing w:line="280" w:lineRule="atLeast"/>
              <w:rPr>
                <w:rFonts w:ascii="Franklin Gothic Book" w:hAnsi="Franklin Gothic Book" w:cs="Arial"/>
                <w:sz w:val="17"/>
                <w:szCs w:val="17"/>
              </w:rPr>
            </w:pPr>
            <w:r>
              <w:rPr>
                <w:rFonts w:ascii="Franklin Gothic Book" w:hAnsi="Franklin Gothic Book" w:cs="Arial"/>
                <w:sz w:val="17"/>
                <w:szCs w:val="17"/>
              </w:rPr>
              <w:t>28.</w:t>
            </w:r>
            <w:r w:rsidR="00FC60DB">
              <w:rPr>
                <w:rFonts w:ascii="Franklin Gothic Book" w:hAnsi="Franklin Gothic Book" w:cs="Arial"/>
                <w:sz w:val="17"/>
                <w:szCs w:val="17"/>
              </w:rPr>
              <w:t>7</w:t>
            </w:r>
          </w:p>
        </w:tc>
        <w:tc>
          <w:tcPr>
            <w:tcW w:w="1092" w:type="dxa"/>
          </w:tcPr>
          <w:p w:rsidR="00DD264C" w:rsidRPr="00DD264C" w:rsidRDefault="00DD264C" w:rsidP="006F226B">
            <w:pPr>
              <w:spacing w:line="280" w:lineRule="atLeast"/>
              <w:rPr>
                <w:rFonts w:ascii="Franklin Gothic Book" w:hAnsi="Franklin Gothic Book" w:cs="Arial"/>
                <w:sz w:val="17"/>
                <w:szCs w:val="17"/>
              </w:rPr>
            </w:pPr>
            <w:r w:rsidRPr="00DD264C">
              <w:rPr>
                <w:rFonts w:ascii="Franklin Gothic Book" w:hAnsi="Franklin Gothic Book" w:cs="Arial"/>
                <w:sz w:val="17"/>
                <w:szCs w:val="17"/>
              </w:rPr>
              <w:t>30</w:t>
            </w:r>
            <w:r w:rsidR="00FC60DB">
              <w:rPr>
                <w:rFonts w:ascii="Franklin Gothic Book" w:hAnsi="Franklin Gothic Book" w:cs="Arial"/>
                <w:sz w:val="17"/>
                <w:szCs w:val="17"/>
              </w:rPr>
              <w:t>%</w:t>
            </w:r>
          </w:p>
        </w:tc>
      </w:tr>
      <w:tr w:rsidR="00320166" w:rsidRPr="00DD264C" w:rsidTr="00837906">
        <w:trPr>
          <w:cnfStyle w:val="000000010000" w:firstRow="0" w:lastRow="0" w:firstColumn="0" w:lastColumn="0" w:oddVBand="0" w:evenVBand="0" w:oddHBand="0" w:evenHBand="1" w:firstRowFirstColumn="0" w:firstRowLastColumn="0" w:lastRowFirstColumn="0" w:lastRowLastColumn="0"/>
          <w:trHeight w:val="274"/>
        </w:trPr>
        <w:tc>
          <w:tcPr>
            <w:tcW w:w="7182" w:type="dxa"/>
            <w:vAlign w:val="center"/>
          </w:tcPr>
          <w:p w:rsidR="00DE63E6" w:rsidRPr="00DD264C" w:rsidRDefault="00DE63E6" w:rsidP="006F226B">
            <w:pPr>
              <w:spacing w:line="280" w:lineRule="atLeast"/>
              <w:rPr>
                <w:rFonts w:ascii="Franklin Gothic Book" w:hAnsi="Franklin Gothic Book" w:cs="Arial"/>
                <w:sz w:val="17"/>
                <w:szCs w:val="17"/>
              </w:rPr>
            </w:pPr>
            <w:r w:rsidRPr="00DD264C">
              <w:rPr>
                <w:rFonts w:ascii="Franklin Gothic Book" w:hAnsi="Franklin Gothic Book" w:cs="Arial"/>
                <w:sz w:val="17"/>
                <w:szCs w:val="17"/>
              </w:rPr>
              <w:t>Objective 3: Increase rural access to clean water and hygienic sanitation</w:t>
            </w:r>
          </w:p>
        </w:tc>
        <w:tc>
          <w:tcPr>
            <w:tcW w:w="1106" w:type="dxa"/>
          </w:tcPr>
          <w:p w:rsidR="00DE63E6" w:rsidRPr="00DD264C" w:rsidRDefault="00DE63E6" w:rsidP="006F226B">
            <w:pPr>
              <w:spacing w:line="280" w:lineRule="atLeast"/>
              <w:rPr>
                <w:rFonts w:ascii="Franklin Gothic Book" w:hAnsi="Franklin Gothic Book" w:cs="Arial"/>
                <w:sz w:val="17"/>
                <w:szCs w:val="17"/>
              </w:rPr>
            </w:pPr>
            <w:r>
              <w:rPr>
                <w:rFonts w:ascii="Franklin Gothic Book" w:hAnsi="Franklin Gothic Book" w:cs="Arial"/>
                <w:sz w:val="17"/>
                <w:szCs w:val="17"/>
              </w:rPr>
              <w:t>17.4</w:t>
            </w:r>
            <w:r w:rsidRPr="00DD264C">
              <w:rPr>
                <w:rFonts w:ascii="Franklin Gothic Book" w:hAnsi="Franklin Gothic Book" w:cs="Arial"/>
                <w:sz w:val="17"/>
                <w:szCs w:val="17"/>
              </w:rPr>
              <w:t xml:space="preserve"> </w:t>
            </w:r>
          </w:p>
        </w:tc>
        <w:tc>
          <w:tcPr>
            <w:tcW w:w="1092" w:type="dxa"/>
          </w:tcPr>
          <w:p w:rsidR="00DE63E6" w:rsidRPr="00DD264C" w:rsidRDefault="00DE63E6" w:rsidP="00FC60DB">
            <w:pPr>
              <w:spacing w:line="280" w:lineRule="atLeast"/>
              <w:rPr>
                <w:rFonts w:ascii="Franklin Gothic Book" w:hAnsi="Franklin Gothic Book" w:cs="Arial"/>
                <w:sz w:val="17"/>
                <w:szCs w:val="17"/>
              </w:rPr>
            </w:pPr>
            <w:r w:rsidRPr="00DD264C">
              <w:rPr>
                <w:rFonts w:ascii="Franklin Gothic Book" w:hAnsi="Franklin Gothic Book" w:cs="Arial"/>
                <w:sz w:val="17"/>
                <w:szCs w:val="17"/>
              </w:rPr>
              <w:t>18</w:t>
            </w:r>
            <w:r w:rsidR="00FC60DB">
              <w:rPr>
                <w:rFonts w:ascii="Franklin Gothic Book" w:hAnsi="Franklin Gothic Book" w:cs="Arial"/>
                <w:sz w:val="17"/>
                <w:szCs w:val="17"/>
              </w:rPr>
              <w:t>%</w:t>
            </w:r>
          </w:p>
        </w:tc>
      </w:tr>
      <w:tr w:rsidR="00320166" w:rsidRPr="00DD264C" w:rsidTr="00837906">
        <w:trPr>
          <w:cnfStyle w:val="000000010000" w:firstRow="0" w:lastRow="0" w:firstColumn="0" w:lastColumn="0" w:oddVBand="0" w:evenVBand="0" w:oddHBand="0" w:evenHBand="1" w:firstRowFirstColumn="0" w:firstRowLastColumn="0" w:lastRowFirstColumn="0" w:lastRowLastColumn="0"/>
          <w:trHeight w:val="274"/>
        </w:trPr>
        <w:tc>
          <w:tcPr>
            <w:tcW w:w="7182" w:type="dxa"/>
            <w:vAlign w:val="center"/>
          </w:tcPr>
          <w:p w:rsidR="00FC60DB" w:rsidRPr="00DD264C" w:rsidRDefault="00FC60DB" w:rsidP="006F226B">
            <w:pPr>
              <w:spacing w:line="280" w:lineRule="atLeast"/>
              <w:rPr>
                <w:rFonts w:ascii="Franklin Gothic Book" w:hAnsi="Franklin Gothic Book" w:cs="Arial"/>
                <w:sz w:val="17"/>
                <w:szCs w:val="17"/>
              </w:rPr>
            </w:pPr>
            <w:r>
              <w:rPr>
                <w:rFonts w:ascii="Franklin Gothic Book" w:hAnsi="Franklin Gothic Book" w:cs="Arial"/>
                <w:sz w:val="17"/>
                <w:szCs w:val="17"/>
              </w:rPr>
              <w:t>O</w:t>
            </w:r>
            <w:r w:rsidRPr="00DD264C">
              <w:rPr>
                <w:rFonts w:ascii="Franklin Gothic Book" w:hAnsi="Franklin Gothic Book" w:cs="Arial"/>
                <w:sz w:val="17"/>
                <w:szCs w:val="17"/>
              </w:rPr>
              <w:t>bjective 4: Advance climate change adaptation and mitigation</w:t>
            </w:r>
            <w:r w:rsidR="00680CBE">
              <w:rPr>
                <w:rFonts w:ascii="Franklin Gothic Book" w:hAnsi="Franklin Gothic Book" w:cs="Arial"/>
                <w:sz w:val="17"/>
                <w:szCs w:val="17"/>
              </w:rPr>
              <w:t>,</w:t>
            </w:r>
            <w:r w:rsidRPr="00DD264C">
              <w:rPr>
                <w:rFonts w:ascii="Franklin Gothic Book" w:hAnsi="Franklin Gothic Book" w:cs="Arial"/>
                <w:sz w:val="17"/>
                <w:szCs w:val="17"/>
              </w:rPr>
              <w:t xml:space="preserve"> focusing on </w:t>
            </w:r>
            <w:r w:rsidR="00680CBE">
              <w:rPr>
                <w:rFonts w:ascii="Franklin Gothic Book" w:hAnsi="Franklin Gothic Book" w:cs="Arial"/>
                <w:sz w:val="17"/>
                <w:szCs w:val="17"/>
              </w:rPr>
              <w:t xml:space="preserve">the </w:t>
            </w:r>
            <w:r w:rsidRPr="00DD264C">
              <w:rPr>
                <w:rFonts w:ascii="Franklin Gothic Book" w:hAnsi="Franklin Gothic Book" w:cs="Arial"/>
                <w:sz w:val="17"/>
                <w:szCs w:val="17"/>
              </w:rPr>
              <w:t>Mekong Delta</w:t>
            </w:r>
          </w:p>
        </w:tc>
        <w:tc>
          <w:tcPr>
            <w:tcW w:w="1106" w:type="dxa"/>
          </w:tcPr>
          <w:p w:rsidR="00FC60DB" w:rsidRDefault="00FC60DB" w:rsidP="00FC60DB">
            <w:pPr>
              <w:spacing w:line="280" w:lineRule="atLeast"/>
              <w:rPr>
                <w:rFonts w:ascii="Franklin Gothic Book" w:hAnsi="Franklin Gothic Book" w:cs="Arial"/>
                <w:sz w:val="17"/>
                <w:szCs w:val="17"/>
              </w:rPr>
            </w:pPr>
            <w:r>
              <w:rPr>
                <w:rFonts w:ascii="Franklin Gothic Book" w:hAnsi="Franklin Gothic Book" w:cs="Arial"/>
                <w:sz w:val="17"/>
                <w:szCs w:val="17"/>
              </w:rPr>
              <w:t>10.9</w:t>
            </w:r>
          </w:p>
        </w:tc>
        <w:tc>
          <w:tcPr>
            <w:tcW w:w="1092" w:type="dxa"/>
          </w:tcPr>
          <w:p w:rsidR="00FC60DB" w:rsidRPr="00DD264C" w:rsidRDefault="00FC60DB" w:rsidP="00320166">
            <w:pPr>
              <w:spacing w:line="280" w:lineRule="atLeast"/>
              <w:rPr>
                <w:rFonts w:ascii="Franklin Gothic Book" w:hAnsi="Franklin Gothic Book" w:cs="Arial"/>
                <w:sz w:val="17"/>
                <w:szCs w:val="17"/>
              </w:rPr>
            </w:pPr>
            <w:r w:rsidRPr="00DD264C">
              <w:rPr>
                <w:rFonts w:ascii="Franklin Gothic Book" w:hAnsi="Franklin Gothic Book" w:cs="Arial"/>
                <w:sz w:val="17"/>
                <w:szCs w:val="17"/>
              </w:rPr>
              <w:t>1</w:t>
            </w:r>
            <w:r w:rsidR="00320166">
              <w:rPr>
                <w:rFonts w:ascii="Franklin Gothic Book" w:hAnsi="Franklin Gothic Book" w:cs="Arial"/>
                <w:sz w:val="17"/>
                <w:szCs w:val="17"/>
              </w:rPr>
              <w:t>2</w:t>
            </w:r>
            <w:r>
              <w:rPr>
                <w:rFonts w:ascii="Franklin Gothic Book" w:hAnsi="Franklin Gothic Book" w:cs="Arial"/>
                <w:sz w:val="17"/>
                <w:szCs w:val="17"/>
              </w:rPr>
              <w:t>%</w:t>
            </w:r>
          </w:p>
        </w:tc>
      </w:tr>
      <w:tr w:rsidR="00320166" w:rsidRPr="00DD264C" w:rsidTr="00837906">
        <w:trPr>
          <w:cnfStyle w:val="000000010000" w:firstRow="0" w:lastRow="0" w:firstColumn="0" w:lastColumn="0" w:oddVBand="0" w:evenVBand="0" w:oddHBand="0" w:evenHBand="1" w:firstRowFirstColumn="0" w:firstRowLastColumn="0" w:lastRowFirstColumn="0" w:lastRowLastColumn="0"/>
          <w:trHeight w:val="274"/>
        </w:trPr>
        <w:tc>
          <w:tcPr>
            <w:tcW w:w="7182" w:type="dxa"/>
            <w:vAlign w:val="center"/>
          </w:tcPr>
          <w:p w:rsidR="007623E9" w:rsidRPr="007623E9" w:rsidRDefault="007623E9" w:rsidP="007623E9">
            <w:pPr>
              <w:spacing w:line="280" w:lineRule="atLeast"/>
              <w:rPr>
                <w:rFonts w:ascii="Franklin Gothic Book" w:hAnsi="Franklin Gothic Book" w:cs="Arial"/>
                <w:sz w:val="17"/>
                <w:szCs w:val="17"/>
              </w:rPr>
            </w:pPr>
            <w:r>
              <w:rPr>
                <w:rFonts w:ascii="Franklin Gothic Book" w:hAnsi="Franklin Gothic Book" w:cs="Arial"/>
                <w:sz w:val="17"/>
                <w:szCs w:val="17"/>
              </w:rPr>
              <w:t>Other crosscutting investments</w:t>
            </w:r>
          </w:p>
        </w:tc>
        <w:tc>
          <w:tcPr>
            <w:tcW w:w="1106" w:type="dxa"/>
          </w:tcPr>
          <w:p w:rsidR="007623E9" w:rsidRDefault="007623E9" w:rsidP="007623E9">
            <w:pPr>
              <w:spacing w:line="280" w:lineRule="atLeast"/>
              <w:rPr>
                <w:rFonts w:ascii="Franklin Gothic Book" w:hAnsi="Franklin Gothic Book" w:cs="Arial"/>
                <w:sz w:val="17"/>
                <w:szCs w:val="17"/>
              </w:rPr>
            </w:pPr>
            <w:r>
              <w:rPr>
                <w:rFonts w:ascii="Franklin Gothic Book" w:hAnsi="Franklin Gothic Book" w:cs="Arial"/>
                <w:sz w:val="17"/>
                <w:szCs w:val="17"/>
              </w:rPr>
              <w:t>5.0</w:t>
            </w:r>
          </w:p>
        </w:tc>
        <w:tc>
          <w:tcPr>
            <w:tcW w:w="1092" w:type="dxa"/>
          </w:tcPr>
          <w:p w:rsidR="007623E9" w:rsidRPr="00DD264C" w:rsidRDefault="007623E9" w:rsidP="007623E9">
            <w:pPr>
              <w:spacing w:line="280" w:lineRule="atLeast"/>
              <w:rPr>
                <w:rFonts w:ascii="Franklin Gothic Book" w:hAnsi="Franklin Gothic Book" w:cs="Arial"/>
                <w:sz w:val="17"/>
                <w:szCs w:val="17"/>
              </w:rPr>
            </w:pPr>
            <w:r>
              <w:rPr>
                <w:rFonts w:ascii="Franklin Gothic Book" w:hAnsi="Franklin Gothic Book" w:cs="Arial"/>
                <w:sz w:val="17"/>
                <w:szCs w:val="17"/>
              </w:rPr>
              <w:t>5%</w:t>
            </w:r>
          </w:p>
        </w:tc>
      </w:tr>
      <w:tr w:rsidR="00320166" w:rsidRPr="00320166" w:rsidTr="00837906">
        <w:trPr>
          <w:cnfStyle w:val="000000010000" w:firstRow="0" w:lastRow="0" w:firstColumn="0" w:lastColumn="0" w:oddVBand="0" w:evenVBand="0" w:oddHBand="0" w:evenHBand="1" w:firstRowFirstColumn="0" w:firstRowLastColumn="0" w:lastRowFirstColumn="0" w:lastRowLastColumn="0"/>
          <w:trHeight w:val="501"/>
        </w:trPr>
        <w:tc>
          <w:tcPr>
            <w:tcW w:w="7182" w:type="dxa"/>
            <w:tcBorders>
              <w:bottom w:val="single" w:sz="12" w:space="0" w:color="000000" w:themeColor="text1"/>
            </w:tcBorders>
          </w:tcPr>
          <w:p w:rsidR="007623E9" w:rsidRPr="00837906" w:rsidRDefault="007623E9" w:rsidP="007623E9">
            <w:pPr>
              <w:spacing w:line="280" w:lineRule="atLeast"/>
              <w:rPr>
                <w:rFonts w:ascii="Franklin Gothic Book" w:hAnsi="Franklin Gothic Book" w:cs="Arial"/>
                <w:b/>
                <w:i/>
                <w:sz w:val="17"/>
                <w:szCs w:val="17"/>
              </w:rPr>
            </w:pPr>
            <w:r w:rsidRPr="00837906">
              <w:rPr>
                <w:rFonts w:ascii="Franklin Gothic Book" w:hAnsi="Franklin Gothic Book" w:cs="Arial"/>
                <w:b/>
                <w:i/>
                <w:sz w:val="17"/>
                <w:szCs w:val="17"/>
              </w:rPr>
              <w:t xml:space="preserve">Total </w:t>
            </w:r>
          </w:p>
        </w:tc>
        <w:tc>
          <w:tcPr>
            <w:tcW w:w="1106" w:type="dxa"/>
            <w:tcBorders>
              <w:bottom w:val="single" w:sz="12" w:space="0" w:color="000000" w:themeColor="text1"/>
            </w:tcBorders>
          </w:tcPr>
          <w:p w:rsidR="007623E9" w:rsidRPr="00837906" w:rsidRDefault="007623E9" w:rsidP="007623E9">
            <w:pPr>
              <w:spacing w:line="280" w:lineRule="atLeast"/>
              <w:rPr>
                <w:rFonts w:ascii="Franklin Gothic Book" w:hAnsi="Franklin Gothic Book" w:cs="Arial"/>
                <w:b/>
                <w:i/>
                <w:sz w:val="17"/>
                <w:szCs w:val="17"/>
              </w:rPr>
            </w:pPr>
            <w:r w:rsidRPr="00837906">
              <w:rPr>
                <w:rFonts w:ascii="Franklin Gothic Book" w:hAnsi="Franklin Gothic Book" w:cs="Arial"/>
                <w:b/>
                <w:i/>
                <w:sz w:val="17"/>
                <w:szCs w:val="17"/>
              </w:rPr>
              <w:t>95.0</w:t>
            </w:r>
          </w:p>
        </w:tc>
        <w:tc>
          <w:tcPr>
            <w:tcW w:w="1092" w:type="dxa"/>
            <w:tcBorders>
              <w:bottom w:val="single" w:sz="12" w:space="0" w:color="000000" w:themeColor="text1"/>
            </w:tcBorders>
          </w:tcPr>
          <w:p w:rsidR="007623E9" w:rsidRPr="00837906" w:rsidRDefault="00320166" w:rsidP="007623E9">
            <w:pPr>
              <w:spacing w:line="280" w:lineRule="atLeast"/>
              <w:rPr>
                <w:rFonts w:ascii="Franklin Gothic Book" w:hAnsi="Franklin Gothic Book" w:cs="Arial"/>
                <w:b/>
                <w:i/>
                <w:sz w:val="17"/>
                <w:szCs w:val="17"/>
              </w:rPr>
            </w:pPr>
            <w:r w:rsidRPr="00837906">
              <w:rPr>
                <w:rFonts w:ascii="Franklin Gothic Book" w:hAnsi="Franklin Gothic Book" w:cs="Arial"/>
                <w:b/>
                <w:i/>
                <w:sz w:val="17"/>
                <w:szCs w:val="17"/>
              </w:rPr>
              <w:t>100%</w:t>
            </w:r>
          </w:p>
        </w:tc>
      </w:tr>
    </w:tbl>
    <w:p w:rsidR="000D733F" w:rsidRDefault="000D733F" w:rsidP="00F832B6">
      <w:pPr>
        <w:pStyle w:val="Note"/>
      </w:pPr>
      <w:r w:rsidRPr="00180B19">
        <w:t>Source:</w:t>
      </w:r>
      <w:r w:rsidR="00DD264C">
        <w:t xml:space="preserve"> Aidworks Program Fund Plan Report</w:t>
      </w:r>
    </w:p>
    <w:p w:rsidR="000D733F" w:rsidRPr="00EE79F1" w:rsidRDefault="000D733F" w:rsidP="00047841">
      <w:pPr>
        <w:pStyle w:val="Heading2"/>
        <w:spacing w:before="120" w:line="280" w:lineRule="atLeast"/>
        <w:rPr>
          <w:sz w:val="28"/>
        </w:rPr>
      </w:pPr>
      <w:r w:rsidRPr="006F226B">
        <w:rPr>
          <w:sz w:val="28"/>
        </w:rPr>
        <w:lastRenderedPageBreak/>
        <w:t>Progress towards objectives</w:t>
      </w:r>
    </w:p>
    <w:p w:rsidR="00495541" w:rsidRPr="006F226B" w:rsidRDefault="00495541" w:rsidP="00047841">
      <w:pPr>
        <w:pStyle w:val="BodyText"/>
        <w:ind w:right="-284"/>
      </w:pPr>
      <w:r>
        <w:t xml:space="preserve">The Vietnam program uses a </w:t>
      </w:r>
      <w:r w:rsidR="00837906">
        <w:t>P</w:t>
      </w:r>
      <w:r>
        <w:t xml:space="preserve">erformance </w:t>
      </w:r>
      <w:r w:rsidR="00837906">
        <w:t>A</w:t>
      </w:r>
      <w:r>
        <w:t xml:space="preserve">ssessment </w:t>
      </w:r>
      <w:r w:rsidR="00837906">
        <w:t>F</w:t>
      </w:r>
      <w:r>
        <w:t xml:space="preserve">ramework </w:t>
      </w:r>
      <w:r w:rsidR="00FA6757">
        <w:t>(</w:t>
      </w:r>
      <w:r w:rsidR="00837906">
        <w:t xml:space="preserve">PAF; </w:t>
      </w:r>
      <w:r w:rsidR="00FA6757">
        <w:t xml:space="preserve">Annex </w:t>
      </w:r>
      <w:r w:rsidR="00320166">
        <w:t>E</w:t>
      </w:r>
      <w:r w:rsidR="00FA6757">
        <w:t xml:space="preserve">) that provides milestones against which performance is assessed each year. </w:t>
      </w:r>
      <w:r w:rsidR="00680CBE">
        <w:t xml:space="preserve">Table 2 presents ratings against each bilateral program objective, with further detail below. </w:t>
      </w:r>
    </w:p>
    <w:p w:rsidR="000D733F" w:rsidRDefault="000D733F" w:rsidP="006F226B">
      <w:pPr>
        <w:pStyle w:val="Caption"/>
      </w:pPr>
      <w:r>
        <w:t xml:space="preserve">Table </w:t>
      </w:r>
      <w:fldSimple w:instr=" SEQ Table \* ARABIC ">
        <w:r w:rsidR="008E3D1D">
          <w:rPr>
            <w:noProof/>
          </w:rPr>
          <w:t>2</w:t>
        </w:r>
      </w:fldSimple>
      <w:r w:rsidR="003513EC">
        <w:rPr>
          <w:noProof/>
        </w:rPr>
        <w:t xml:space="preserve"> -</w:t>
      </w:r>
      <w:r>
        <w:t xml:space="preserve"> Rating of the program's progress towards Australia’s </w:t>
      </w:r>
      <w:r w:rsidR="00D206B3">
        <w:t xml:space="preserve">aid </w:t>
      </w:r>
      <w:r>
        <w:t>objectives</w:t>
      </w:r>
    </w:p>
    <w:tbl>
      <w:tblPr>
        <w:tblStyle w:val="APPR"/>
        <w:tblW w:w="4982" w:type="pct"/>
        <w:tblLook w:val="0000" w:firstRow="0" w:lastRow="0" w:firstColumn="0" w:lastColumn="0" w:noHBand="0" w:noVBand="0"/>
      </w:tblPr>
      <w:tblGrid>
        <w:gridCol w:w="7367"/>
        <w:gridCol w:w="1056"/>
        <w:gridCol w:w="1056"/>
      </w:tblGrid>
      <w:tr w:rsidR="00495541" w:rsidRPr="003A1EB4" w:rsidTr="00837906">
        <w:trPr>
          <w:cantSplit/>
          <w:tblHeader w:val="0"/>
        </w:trPr>
        <w:tc>
          <w:tcPr>
            <w:tcW w:w="7324" w:type="dxa"/>
          </w:tcPr>
          <w:p w:rsidR="00495541" w:rsidRPr="006757F4" w:rsidRDefault="00495541" w:rsidP="00837906">
            <w:pPr>
              <w:pStyle w:val="TableHeading1"/>
              <w:spacing w:before="0" w:after="0" w:line="280" w:lineRule="atLeast"/>
            </w:pPr>
            <w:r w:rsidRPr="006757F4">
              <w:rPr>
                <w:noProof/>
                <w:lang w:eastAsia="en-AU"/>
              </w:rPr>
              <w:drawing>
                <wp:anchor distT="0" distB="0" distL="114300" distR="114300" simplePos="0" relativeHeight="251676672" behindDoc="0" locked="0" layoutInCell="1" allowOverlap="1" wp14:anchorId="55DB61D6" wp14:editId="5C4539AA">
                  <wp:simplePos x="0" y="0"/>
                  <wp:positionH relativeFrom="column">
                    <wp:posOffset>0</wp:posOffset>
                  </wp:positionH>
                  <wp:positionV relativeFrom="paragraph">
                    <wp:posOffset>0</wp:posOffset>
                  </wp:positionV>
                  <wp:extent cx="1857375" cy="228600"/>
                  <wp:effectExtent l="0" t="0" r="9525"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AFA">
              <w:t>Objective</w:t>
            </w:r>
          </w:p>
        </w:tc>
        <w:tc>
          <w:tcPr>
            <w:tcW w:w="1028" w:type="dxa"/>
          </w:tcPr>
          <w:p w:rsidR="00495541" w:rsidRPr="00625052" w:rsidRDefault="00495541" w:rsidP="00625052">
            <w:pPr>
              <w:pStyle w:val="TableTextColumnHeading"/>
            </w:pPr>
            <w:r w:rsidRPr="00625052">
              <w:t>Previous rating</w:t>
            </w:r>
          </w:p>
        </w:tc>
        <w:tc>
          <w:tcPr>
            <w:tcW w:w="1014" w:type="dxa"/>
          </w:tcPr>
          <w:p w:rsidR="00495541" w:rsidRPr="00625052" w:rsidRDefault="00495541" w:rsidP="00625052">
            <w:pPr>
              <w:pStyle w:val="TableTextColumnHeading"/>
            </w:pPr>
            <w:r w:rsidRPr="00625052">
              <w:t>Current rating</w:t>
            </w:r>
          </w:p>
        </w:tc>
      </w:tr>
      <w:tr w:rsidR="00495541" w:rsidRPr="009D53C4" w:rsidTr="00837906">
        <w:trPr>
          <w:cnfStyle w:val="000000010000" w:firstRow="0" w:lastRow="0" w:firstColumn="0" w:lastColumn="0" w:oddVBand="0" w:evenVBand="0" w:oddHBand="0" w:evenHBand="1" w:firstRowFirstColumn="0" w:firstRowLastColumn="0" w:lastRowFirstColumn="0" w:lastRowLastColumn="0"/>
          <w:cantSplit/>
          <w:tblHeader w:val="0"/>
        </w:trPr>
        <w:tc>
          <w:tcPr>
            <w:tcW w:w="7324" w:type="dxa"/>
          </w:tcPr>
          <w:p w:rsidR="00495541" w:rsidRPr="00083CB0" w:rsidRDefault="00495541" w:rsidP="00680CBE">
            <w:pPr>
              <w:pStyle w:val="TableTextEntries"/>
              <w:spacing w:before="0" w:after="0" w:line="280" w:lineRule="atLeast"/>
            </w:pPr>
            <w:r w:rsidRPr="00083CB0">
              <w:t xml:space="preserve">Objective 1: </w:t>
            </w:r>
            <w:r>
              <w:t>Improve the quality of Vietnam</w:t>
            </w:r>
            <w:r w:rsidR="00392B08">
              <w:t>’s</w:t>
            </w:r>
            <w:r>
              <w:t xml:space="preserve"> </w:t>
            </w:r>
            <w:r w:rsidR="00680CBE">
              <w:t>h</w:t>
            </w:r>
            <w:r>
              <w:t>uman resource</w:t>
            </w:r>
            <w:r w:rsidR="003A6AFA">
              <w:t>s</w:t>
            </w:r>
          </w:p>
        </w:tc>
        <w:tc>
          <w:tcPr>
            <w:tcW w:w="1028" w:type="dxa"/>
            <w:shd w:val="clear" w:color="auto" w:fill="92D050"/>
            <w:noWrap/>
          </w:tcPr>
          <w:p w:rsidR="00495541" w:rsidRPr="00083CB0" w:rsidRDefault="00495541" w:rsidP="006F226B">
            <w:pPr>
              <w:pStyle w:val="TableTextEntries"/>
              <w:spacing w:before="0" w:after="0" w:line="280" w:lineRule="atLeast"/>
            </w:pPr>
            <w:r>
              <w:t>Green</w:t>
            </w:r>
          </w:p>
        </w:tc>
        <w:tc>
          <w:tcPr>
            <w:tcW w:w="1014" w:type="dxa"/>
            <w:shd w:val="clear" w:color="auto" w:fill="92D050"/>
          </w:tcPr>
          <w:p w:rsidR="00495541" w:rsidRDefault="00495541" w:rsidP="00D50F29">
            <w:pPr>
              <w:pStyle w:val="TableTextEntries"/>
              <w:spacing w:before="0" w:after="0" w:line="280" w:lineRule="atLeast"/>
            </w:pPr>
            <w:r>
              <w:t>Green</w:t>
            </w:r>
          </w:p>
        </w:tc>
      </w:tr>
      <w:tr w:rsidR="00495541" w:rsidRPr="009D53C4" w:rsidTr="00837906">
        <w:trPr>
          <w:cantSplit/>
          <w:tblHeader w:val="0"/>
        </w:trPr>
        <w:tc>
          <w:tcPr>
            <w:tcW w:w="7324" w:type="dxa"/>
          </w:tcPr>
          <w:p w:rsidR="00495541" w:rsidRPr="00083CB0" w:rsidRDefault="00495541" w:rsidP="006F226B">
            <w:pPr>
              <w:pStyle w:val="TableTextEntries"/>
              <w:spacing w:before="0" w:after="0" w:line="280" w:lineRule="atLeast"/>
            </w:pPr>
            <w:r w:rsidRPr="00083CB0">
              <w:t xml:space="preserve">Objective </w:t>
            </w:r>
            <w:r>
              <w:t>2</w:t>
            </w:r>
            <w:r w:rsidRPr="00083CB0">
              <w:t xml:space="preserve">: </w:t>
            </w:r>
            <w:r>
              <w:t>Develop better transport infrastructure and policy to support economic integration</w:t>
            </w:r>
          </w:p>
        </w:tc>
        <w:tc>
          <w:tcPr>
            <w:tcW w:w="1028" w:type="dxa"/>
            <w:shd w:val="clear" w:color="auto" w:fill="FFC000"/>
            <w:noWrap/>
          </w:tcPr>
          <w:p w:rsidR="00495541" w:rsidRPr="00083CB0" w:rsidRDefault="00495541" w:rsidP="006F226B">
            <w:pPr>
              <w:pStyle w:val="TableTextEntries"/>
              <w:spacing w:before="0" w:after="0" w:line="280" w:lineRule="atLeast"/>
            </w:pPr>
            <w:r>
              <w:t>Amber</w:t>
            </w:r>
          </w:p>
        </w:tc>
        <w:tc>
          <w:tcPr>
            <w:tcW w:w="1014" w:type="dxa"/>
            <w:tcBorders>
              <w:top w:val="nil"/>
              <w:bottom w:val="nil"/>
            </w:tcBorders>
            <w:shd w:val="clear" w:color="auto" w:fill="92D050"/>
          </w:tcPr>
          <w:p w:rsidR="00495541" w:rsidRDefault="00495541" w:rsidP="00D50F29">
            <w:pPr>
              <w:pStyle w:val="TableTextEntries"/>
              <w:spacing w:before="0" w:after="0" w:line="280" w:lineRule="atLeast"/>
            </w:pPr>
            <w:r w:rsidRPr="00045B35">
              <w:t>Green</w:t>
            </w:r>
          </w:p>
        </w:tc>
      </w:tr>
      <w:tr w:rsidR="00495541" w:rsidRPr="009D53C4" w:rsidTr="00837906">
        <w:trPr>
          <w:cnfStyle w:val="000000010000" w:firstRow="0" w:lastRow="0" w:firstColumn="0" w:lastColumn="0" w:oddVBand="0" w:evenVBand="0" w:oddHBand="0" w:evenHBand="1" w:firstRowFirstColumn="0" w:firstRowLastColumn="0" w:lastRowFirstColumn="0" w:lastRowLastColumn="0"/>
          <w:cantSplit/>
          <w:tblHeader w:val="0"/>
        </w:trPr>
        <w:tc>
          <w:tcPr>
            <w:tcW w:w="7324" w:type="dxa"/>
          </w:tcPr>
          <w:p w:rsidR="00495541" w:rsidRPr="00083CB0" w:rsidRDefault="00495541" w:rsidP="006F226B">
            <w:pPr>
              <w:pStyle w:val="TableTextEntries"/>
              <w:spacing w:before="0" w:after="0" w:line="280" w:lineRule="atLeast"/>
            </w:pPr>
            <w:r w:rsidRPr="00083CB0">
              <w:t xml:space="preserve">Objective </w:t>
            </w:r>
            <w:r>
              <w:t>3</w:t>
            </w:r>
            <w:r w:rsidRPr="00083CB0">
              <w:t xml:space="preserve">: </w:t>
            </w:r>
            <w:r>
              <w:t>Increase rural access to clean water and hygienic sanitation</w:t>
            </w:r>
          </w:p>
        </w:tc>
        <w:tc>
          <w:tcPr>
            <w:tcW w:w="1028" w:type="dxa"/>
            <w:shd w:val="clear" w:color="auto" w:fill="92D050"/>
            <w:noWrap/>
          </w:tcPr>
          <w:p w:rsidR="00495541" w:rsidRPr="00083CB0" w:rsidRDefault="00495541" w:rsidP="006F226B">
            <w:pPr>
              <w:pStyle w:val="TableTextEntries"/>
              <w:spacing w:before="0" w:after="0" w:line="280" w:lineRule="atLeast"/>
            </w:pPr>
            <w:r w:rsidRPr="00083CB0">
              <w:t>Green</w:t>
            </w:r>
          </w:p>
        </w:tc>
        <w:tc>
          <w:tcPr>
            <w:tcW w:w="1014" w:type="dxa"/>
            <w:shd w:val="clear" w:color="auto" w:fill="92D050"/>
          </w:tcPr>
          <w:p w:rsidR="00495541" w:rsidRPr="00083CB0" w:rsidRDefault="00495541" w:rsidP="00D50F29">
            <w:pPr>
              <w:pStyle w:val="TableTextEntries"/>
              <w:spacing w:before="0" w:after="0" w:line="280" w:lineRule="atLeast"/>
            </w:pPr>
            <w:r w:rsidRPr="00045B35">
              <w:t>Green</w:t>
            </w:r>
          </w:p>
        </w:tc>
      </w:tr>
      <w:tr w:rsidR="00495541" w:rsidRPr="009D53C4" w:rsidTr="00837906">
        <w:trPr>
          <w:cantSplit/>
          <w:tblHeader w:val="0"/>
        </w:trPr>
        <w:tc>
          <w:tcPr>
            <w:tcW w:w="7324" w:type="dxa"/>
          </w:tcPr>
          <w:p w:rsidR="00495541" w:rsidRPr="00083CB0" w:rsidRDefault="00495541" w:rsidP="00680CBE">
            <w:pPr>
              <w:pStyle w:val="TableTextEntries"/>
              <w:spacing w:before="0" w:after="0" w:line="280" w:lineRule="atLeast"/>
            </w:pPr>
            <w:r w:rsidRPr="00083CB0">
              <w:t xml:space="preserve">Objective </w:t>
            </w:r>
            <w:r>
              <w:t>4</w:t>
            </w:r>
            <w:r w:rsidRPr="00083CB0">
              <w:t xml:space="preserve">: </w:t>
            </w:r>
            <w:r>
              <w:t>Advance climate change adaptation and mitigation</w:t>
            </w:r>
            <w:r w:rsidR="00680CBE">
              <w:t>,</w:t>
            </w:r>
            <w:r>
              <w:t xml:space="preserve"> focusing on </w:t>
            </w:r>
            <w:r w:rsidR="00680CBE">
              <w:t xml:space="preserve">the </w:t>
            </w:r>
            <w:r>
              <w:t>Mekong Delta</w:t>
            </w:r>
          </w:p>
        </w:tc>
        <w:tc>
          <w:tcPr>
            <w:tcW w:w="1028" w:type="dxa"/>
            <w:shd w:val="clear" w:color="auto" w:fill="92D050"/>
            <w:noWrap/>
          </w:tcPr>
          <w:p w:rsidR="00495541" w:rsidRPr="00083CB0" w:rsidRDefault="00495541" w:rsidP="006F226B">
            <w:pPr>
              <w:pStyle w:val="TableTextEntries"/>
              <w:spacing w:before="0" w:after="0" w:line="280" w:lineRule="atLeast"/>
            </w:pPr>
            <w:r w:rsidRPr="00083CB0">
              <w:t>Green</w:t>
            </w:r>
          </w:p>
        </w:tc>
        <w:tc>
          <w:tcPr>
            <w:tcW w:w="1014" w:type="dxa"/>
            <w:tcBorders>
              <w:top w:val="nil"/>
              <w:bottom w:val="nil"/>
            </w:tcBorders>
            <w:shd w:val="clear" w:color="auto" w:fill="FFC000"/>
          </w:tcPr>
          <w:p w:rsidR="00495541" w:rsidRPr="00083CB0" w:rsidRDefault="00495541" w:rsidP="00D50F29">
            <w:pPr>
              <w:pStyle w:val="TableTextEntries"/>
              <w:spacing w:before="0" w:after="0" w:line="280" w:lineRule="atLeast"/>
            </w:pPr>
            <w:r>
              <w:t>Amber</w:t>
            </w:r>
          </w:p>
        </w:tc>
      </w:tr>
    </w:tbl>
    <w:p w:rsidR="000D733F" w:rsidRPr="00180B19" w:rsidRDefault="000D733F" w:rsidP="00F832B6">
      <w:pPr>
        <w:pStyle w:val="Note"/>
      </w:pPr>
      <w:r w:rsidRPr="00180B19">
        <w:t xml:space="preserve">Note: </w:t>
      </w:r>
    </w:p>
    <w:p w:rsidR="000D733F" w:rsidRPr="00180B19" w:rsidRDefault="000D733F" w:rsidP="00F832B6">
      <w:pPr>
        <w:pStyle w:val="Note"/>
      </w:pPr>
      <w:r w:rsidRPr="00E74404">
        <w:rPr>
          <w:color w:val="72AF2F"/>
        </w:rPr>
        <w:sym w:font="Webdings" w:char="F067"/>
      </w:r>
      <w:r w:rsidRPr="00180B19">
        <w:t> </w:t>
      </w:r>
      <w:r w:rsidRPr="00180B19">
        <w:t xml:space="preserve"> </w:t>
      </w:r>
      <w:r w:rsidR="00FA6757">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F832B6">
      <w:pPr>
        <w:pStyle w:val="Note"/>
      </w:pPr>
      <w:r w:rsidRPr="00E74404">
        <w:rPr>
          <w:color w:val="E36C0A"/>
        </w:rPr>
        <w:sym w:font="Webdings" w:char="F067"/>
      </w:r>
      <w:r w:rsidRPr="00180B19">
        <w:t> </w:t>
      </w:r>
      <w:r w:rsidRPr="00180B19">
        <w:t xml:space="preserve"> </w:t>
      </w:r>
      <w:r w:rsidR="00FA6757">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F832B6">
      <w:pPr>
        <w:pStyle w:val="Note"/>
      </w:pPr>
      <w:r w:rsidRPr="004C4A3E">
        <w:rPr>
          <w:color w:val="FF0000"/>
        </w:rPr>
        <w:sym w:font="Webdings" w:char="F067"/>
      </w:r>
      <w:r w:rsidRPr="00180B19">
        <w:t> </w:t>
      </w:r>
      <w:r w:rsidRPr="00180B19">
        <w:t xml:space="preserve"> </w:t>
      </w:r>
      <w:r w:rsidR="00FA6757">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0D733F" w:rsidRDefault="000D733F" w:rsidP="00F832B6">
      <w:pPr>
        <w:pStyle w:val="Note"/>
      </w:pPr>
      <w:r>
        <w:t xml:space="preserve">Reporting period: </w:t>
      </w:r>
      <w:r w:rsidRPr="00180B19">
        <w:t xml:space="preserve"> </w:t>
      </w:r>
      <w:r w:rsidR="00FA6757">
        <w:t>FY 2013-14</w:t>
      </w:r>
    </w:p>
    <w:p w:rsidR="00EE0FDA" w:rsidRDefault="00EE0FDA" w:rsidP="00C70934">
      <w:pPr>
        <w:pStyle w:val="Heading3"/>
      </w:pPr>
      <w:r w:rsidRPr="00C57923">
        <w:t xml:space="preserve">Objective </w:t>
      </w:r>
      <w:r>
        <w:t xml:space="preserve">1: Improve the quality of Vietnam’s </w:t>
      </w:r>
      <w:r w:rsidR="003A6AFA">
        <w:t>h</w:t>
      </w:r>
      <w:r>
        <w:t xml:space="preserve">uman </w:t>
      </w:r>
      <w:r w:rsidR="003A6AFA">
        <w:t>r</w:t>
      </w:r>
      <w:r>
        <w:t>esources</w:t>
      </w:r>
    </w:p>
    <w:tbl>
      <w:tblPr>
        <w:tblStyle w:val="APPR"/>
        <w:tblW w:w="5000" w:type="pct"/>
        <w:tblLook w:val="01E0" w:firstRow="1" w:lastRow="1" w:firstColumn="1" w:lastColumn="1" w:noHBand="0" w:noVBand="0"/>
      </w:tblPr>
      <w:tblGrid>
        <w:gridCol w:w="7623"/>
        <w:gridCol w:w="1890"/>
      </w:tblGrid>
      <w:tr w:rsidR="00481142" w:rsidRPr="00745FE3" w:rsidTr="00292D96">
        <w:trPr>
          <w:cnfStyle w:val="100000000000" w:firstRow="1" w:lastRow="0" w:firstColumn="0" w:lastColumn="0" w:oddVBand="0" w:evenVBand="0" w:oddHBand="0" w:evenHBand="0" w:firstRowFirstColumn="0" w:firstRowLastColumn="0" w:lastRowFirstColumn="0" w:lastRowLastColumn="0"/>
        </w:trPr>
        <w:tc>
          <w:tcPr>
            <w:tcW w:w="3985" w:type="pct"/>
          </w:tcPr>
          <w:p w:rsidR="00481142" w:rsidRPr="00481142" w:rsidRDefault="00481142" w:rsidP="006F696C">
            <w:pPr>
              <w:pStyle w:val="TableTextEntries"/>
              <w:rPr>
                <w:rFonts w:eastAsia="Calibri"/>
              </w:rPr>
            </w:pPr>
            <w:r w:rsidRPr="00481142">
              <w:rPr>
                <w:rFonts w:eastAsia="Calibri"/>
              </w:rPr>
              <w:t xml:space="preserve">Development outcome: </w:t>
            </w:r>
            <w:r w:rsidR="006F696C">
              <w:rPr>
                <w:rFonts w:eastAsia="Calibri"/>
              </w:rPr>
              <w:t>All Performance Assessment Framework (PAF) milestones to i</w:t>
            </w:r>
            <w:r w:rsidR="006F696C" w:rsidRPr="00481142">
              <w:rPr>
                <w:rFonts w:eastAsia="Calibri"/>
              </w:rPr>
              <w:t>mprove quality of Vietnam’s human resources</w:t>
            </w:r>
            <w:r w:rsidR="006F696C">
              <w:rPr>
                <w:rFonts w:eastAsia="Calibri"/>
              </w:rPr>
              <w:t xml:space="preserve"> were met in 2013-14.</w:t>
            </w:r>
          </w:p>
        </w:tc>
        <w:tc>
          <w:tcPr>
            <w:tcW w:w="971" w:type="pct"/>
            <w:shd w:val="clear" w:color="auto" w:fill="92D050"/>
          </w:tcPr>
          <w:p w:rsidR="00481142" w:rsidRPr="00481142" w:rsidRDefault="00481142" w:rsidP="00481142">
            <w:pPr>
              <w:pStyle w:val="TableTextEntries"/>
              <w:jc w:val="center"/>
              <w:rPr>
                <w:rFonts w:eastAsia="Calibri"/>
              </w:rPr>
            </w:pPr>
            <w:r w:rsidRPr="00481142">
              <w:rPr>
                <w:rFonts w:eastAsia="Calibri"/>
              </w:rPr>
              <w:t>Green</w:t>
            </w:r>
          </w:p>
        </w:tc>
      </w:tr>
    </w:tbl>
    <w:p w:rsidR="00481142" w:rsidRPr="00180B19" w:rsidRDefault="00481142" w:rsidP="00F832B6">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6B5CE6" w:rsidRDefault="009C4796" w:rsidP="00047841">
      <w:pPr>
        <w:pStyle w:val="ListParagraph"/>
        <w:numPr>
          <w:ilvl w:val="0"/>
          <w:numId w:val="0"/>
        </w:numPr>
        <w:spacing w:line="280" w:lineRule="atLeast"/>
        <w:rPr>
          <w:rFonts w:ascii="Franklin Gothic Book" w:hAnsi="Franklin Gothic Book"/>
          <w:sz w:val="21"/>
          <w:szCs w:val="21"/>
        </w:rPr>
      </w:pPr>
      <w:r>
        <w:rPr>
          <w:rFonts w:ascii="Franklin Gothic Book" w:hAnsi="Franklin Gothic Book"/>
          <w:sz w:val="21"/>
          <w:szCs w:val="21"/>
        </w:rPr>
        <w:t xml:space="preserve">This </w:t>
      </w:r>
      <w:r w:rsidR="000874DF">
        <w:rPr>
          <w:rFonts w:ascii="Franklin Gothic Book" w:hAnsi="Franklin Gothic Book"/>
          <w:sz w:val="21"/>
          <w:szCs w:val="21"/>
        </w:rPr>
        <w:t xml:space="preserve">objective supports </w:t>
      </w:r>
      <w:r w:rsidR="006B5CE6">
        <w:rPr>
          <w:rFonts w:ascii="Franklin Gothic Book" w:hAnsi="Franklin Gothic Book"/>
          <w:sz w:val="21"/>
          <w:szCs w:val="21"/>
        </w:rPr>
        <w:t xml:space="preserve">Vietnam’s </w:t>
      </w:r>
      <w:r w:rsidR="003A6AFA">
        <w:rPr>
          <w:rFonts w:ascii="Franklin Gothic Book" w:hAnsi="Franklin Gothic Book"/>
          <w:sz w:val="21"/>
          <w:szCs w:val="21"/>
        </w:rPr>
        <w:t xml:space="preserve">SEDP </w:t>
      </w:r>
      <w:r w:rsidR="000874DF">
        <w:rPr>
          <w:rFonts w:ascii="Franklin Gothic Book" w:hAnsi="Franklin Gothic Book"/>
          <w:sz w:val="21"/>
          <w:szCs w:val="21"/>
        </w:rPr>
        <w:t>2011</w:t>
      </w:r>
      <w:r w:rsidR="003A6AFA">
        <w:rPr>
          <w:rFonts w:ascii="Franklin Gothic Book" w:hAnsi="Franklin Gothic Book"/>
          <w:sz w:val="21"/>
          <w:szCs w:val="21"/>
        </w:rPr>
        <w:noBreakHyphen/>
      </w:r>
      <w:r w:rsidR="000874DF">
        <w:rPr>
          <w:rFonts w:ascii="Franklin Gothic Book" w:hAnsi="Franklin Gothic Book"/>
          <w:sz w:val="21"/>
          <w:szCs w:val="21"/>
        </w:rPr>
        <w:t>15</w:t>
      </w:r>
      <w:r w:rsidR="000874DF">
        <w:rPr>
          <w:rFonts w:ascii="Franklin Gothic Book" w:hAnsi="Franklin Gothic Book"/>
          <w:sz w:val="21"/>
        </w:rPr>
        <w:t xml:space="preserve">. </w:t>
      </w:r>
      <w:r w:rsidR="006B5CE6">
        <w:rPr>
          <w:rFonts w:ascii="Franklin Gothic Book" w:hAnsi="Franklin Gothic Book"/>
          <w:sz w:val="21"/>
        </w:rPr>
        <w:t xml:space="preserve">Having a skilled workforce </w:t>
      </w:r>
      <w:r>
        <w:rPr>
          <w:rFonts w:ascii="Franklin Gothic Book" w:hAnsi="Franklin Gothic Book"/>
          <w:sz w:val="21"/>
        </w:rPr>
        <w:t xml:space="preserve">is </w:t>
      </w:r>
      <w:r w:rsidR="000874DF">
        <w:rPr>
          <w:rFonts w:ascii="Franklin Gothic Book" w:hAnsi="Franklin Gothic Book"/>
          <w:sz w:val="21"/>
        </w:rPr>
        <w:t xml:space="preserve">essential </w:t>
      </w:r>
      <w:r w:rsidR="006B5CE6">
        <w:rPr>
          <w:rFonts w:ascii="Franklin Gothic Book" w:hAnsi="Franklin Gothic Book"/>
          <w:sz w:val="21"/>
        </w:rPr>
        <w:t xml:space="preserve">for </w:t>
      </w:r>
      <w:r w:rsidR="00EE0FDA">
        <w:rPr>
          <w:rFonts w:ascii="Franklin Gothic Book" w:hAnsi="Franklin Gothic Book"/>
          <w:sz w:val="21"/>
          <w:szCs w:val="21"/>
        </w:rPr>
        <w:t xml:space="preserve">Vietnam </w:t>
      </w:r>
      <w:r w:rsidR="00AF63B6">
        <w:rPr>
          <w:rFonts w:ascii="Franklin Gothic Book" w:hAnsi="Franklin Gothic Book"/>
          <w:sz w:val="21"/>
          <w:szCs w:val="21"/>
        </w:rPr>
        <w:t xml:space="preserve">to </w:t>
      </w:r>
      <w:r w:rsidR="006B5CE6">
        <w:rPr>
          <w:rFonts w:ascii="Franklin Gothic Book" w:hAnsi="Franklin Gothic Book"/>
          <w:sz w:val="21"/>
          <w:szCs w:val="21"/>
        </w:rPr>
        <w:t xml:space="preserve">meet its objective of </w:t>
      </w:r>
      <w:r w:rsidR="00EE0FDA">
        <w:rPr>
          <w:rFonts w:ascii="Franklin Gothic Book" w:hAnsi="Franklin Gothic Book"/>
          <w:sz w:val="21"/>
          <w:szCs w:val="21"/>
        </w:rPr>
        <w:t>becom</w:t>
      </w:r>
      <w:r w:rsidR="006B5CE6">
        <w:rPr>
          <w:rFonts w:ascii="Franklin Gothic Book" w:hAnsi="Franklin Gothic Book"/>
          <w:sz w:val="21"/>
          <w:szCs w:val="21"/>
        </w:rPr>
        <w:t>ing</w:t>
      </w:r>
      <w:r w:rsidR="00EE0FDA">
        <w:rPr>
          <w:rFonts w:ascii="Franklin Gothic Book" w:hAnsi="Franklin Gothic Book"/>
          <w:sz w:val="21"/>
          <w:szCs w:val="21"/>
        </w:rPr>
        <w:t xml:space="preserve"> an industrialised country by 2020.</w:t>
      </w:r>
      <w:r w:rsidR="006B5CE6">
        <w:rPr>
          <w:rFonts w:ascii="Franklin Gothic Book" w:hAnsi="Franklin Gothic Book"/>
          <w:sz w:val="21"/>
          <w:szCs w:val="21"/>
        </w:rPr>
        <w:t xml:space="preserve"> </w:t>
      </w:r>
      <w:r w:rsidR="006B5CE6" w:rsidRPr="006B5CE6">
        <w:rPr>
          <w:rFonts w:ascii="Franklin Gothic Book" w:hAnsi="Franklin Gothic Book"/>
          <w:sz w:val="21"/>
          <w:szCs w:val="21"/>
        </w:rPr>
        <w:t xml:space="preserve">Vietnam’s </w:t>
      </w:r>
      <w:r w:rsidR="006B5CE6" w:rsidRPr="00837906">
        <w:rPr>
          <w:rFonts w:ascii="Franklin Gothic Book" w:hAnsi="Franklin Gothic Book"/>
          <w:i/>
          <w:sz w:val="21"/>
          <w:szCs w:val="21"/>
        </w:rPr>
        <w:t>Human Resource Development Master Plan 2011-20</w:t>
      </w:r>
      <w:r w:rsidR="006B5CE6">
        <w:rPr>
          <w:rFonts w:ascii="Franklin Gothic Book" w:hAnsi="Franklin Gothic Book"/>
          <w:sz w:val="21"/>
          <w:szCs w:val="21"/>
        </w:rPr>
        <w:t xml:space="preserve"> articulates its </w:t>
      </w:r>
      <w:r w:rsidR="008205C0" w:rsidRPr="004A2D5E">
        <w:rPr>
          <w:rFonts w:ascii="Franklin Gothic Book" w:hAnsi="Franklin Gothic Book"/>
          <w:sz w:val="21"/>
          <w:szCs w:val="21"/>
        </w:rPr>
        <w:t xml:space="preserve">plans to improve the quality of its workforce through demand-based training and enhancing capacity of policy makers, entrepreneurs and skilled workers. </w:t>
      </w:r>
      <w:r w:rsidR="008205C0">
        <w:rPr>
          <w:rFonts w:ascii="Franklin Gothic Book" w:hAnsi="Franklin Gothic Book"/>
          <w:sz w:val="21"/>
          <w:szCs w:val="21"/>
        </w:rPr>
        <w:t>Australia</w:t>
      </w:r>
      <w:r w:rsidR="006B5CE6">
        <w:rPr>
          <w:rFonts w:ascii="Franklin Gothic Book" w:hAnsi="Franklin Gothic Book"/>
          <w:sz w:val="21"/>
          <w:szCs w:val="21"/>
        </w:rPr>
        <w:t xml:space="preserve">’s support focuses on three areas: improving individuals’ skills and impact; strengthening public institutions; and promoting Australia-Vietnam linkages. This support is delivered </w:t>
      </w:r>
      <w:r w:rsidR="004974BC">
        <w:rPr>
          <w:rFonts w:ascii="Franklin Gothic Book" w:hAnsi="Franklin Gothic Book"/>
          <w:sz w:val="21"/>
          <w:szCs w:val="21"/>
        </w:rPr>
        <w:t>by</w:t>
      </w:r>
      <w:r w:rsidR="008205C0">
        <w:rPr>
          <w:rFonts w:ascii="Franklin Gothic Book" w:hAnsi="Franklin Gothic Book"/>
          <w:sz w:val="21"/>
          <w:szCs w:val="21"/>
        </w:rPr>
        <w:t xml:space="preserve"> </w:t>
      </w:r>
      <w:r w:rsidR="006B5CE6">
        <w:rPr>
          <w:rFonts w:ascii="Franklin Gothic Book" w:hAnsi="Franklin Gothic Book"/>
          <w:sz w:val="21"/>
          <w:szCs w:val="21"/>
        </w:rPr>
        <w:t xml:space="preserve">DFAT, </w:t>
      </w:r>
      <w:r w:rsidR="00F204A4">
        <w:rPr>
          <w:rFonts w:ascii="Franklin Gothic Book" w:hAnsi="Franklin Gothic Book"/>
          <w:sz w:val="21"/>
          <w:szCs w:val="21"/>
        </w:rPr>
        <w:t xml:space="preserve">The </w:t>
      </w:r>
      <w:r w:rsidR="00373CF9">
        <w:rPr>
          <w:rFonts w:ascii="Franklin Gothic Book" w:hAnsi="Franklin Gothic Book"/>
          <w:sz w:val="21"/>
          <w:szCs w:val="21"/>
        </w:rPr>
        <w:t xml:space="preserve">Department of Education </w:t>
      </w:r>
      <w:r w:rsidR="006B5CE6">
        <w:rPr>
          <w:rFonts w:ascii="Franklin Gothic Book" w:hAnsi="Franklin Gothic Book"/>
          <w:sz w:val="21"/>
          <w:szCs w:val="21"/>
        </w:rPr>
        <w:t>and</w:t>
      </w:r>
      <w:r w:rsidR="008205C0">
        <w:rPr>
          <w:rFonts w:ascii="Franklin Gothic Book" w:hAnsi="Franklin Gothic Book"/>
          <w:sz w:val="21"/>
          <w:szCs w:val="21"/>
        </w:rPr>
        <w:t xml:space="preserve"> Austrade</w:t>
      </w:r>
      <w:r w:rsidR="006B5CE6">
        <w:rPr>
          <w:rFonts w:ascii="Franklin Gothic Book" w:hAnsi="Franklin Gothic Book"/>
          <w:sz w:val="21"/>
          <w:szCs w:val="21"/>
        </w:rPr>
        <w:t xml:space="preserve">. </w:t>
      </w:r>
    </w:p>
    <w:p w:rsidR="006B5CE6" w:rsidRPr="004A2D5E" w:rsidRDefault="006B5CE6" w:rsidP="006B5CE6">
      <w:pPr>
        <w:pStyle w:val="Default"/>
        <w:spacing w:after="120" w:line="280" w:lineRule="atLeast"/>
        <w:rPr>
          <w:rFonts w:ascii="Franklin Gothic Book" w:hAnsi="Franklin Gothic Book"/>
          <w:sz w:val="21"/>
          <w:szCs w:val="21"/>
        </w:rPr>
      </w:pPr>
      <w:r>
        <w:rPr>
          <w:rFonts w:ascii="Franklin Gothic Book" w:hAnsi="Franklin Gothic Book"/>
          <w:sz w:val="21"/>
          <w:szCs w:val="21"/>
        </w:rPr>
        <w:t xml:space="preserve">During 2013-14, DFAT </w:t>
      </w:r>
      <w:r w:rsidR="00C90719">
        <w:rPr>
          <w:rFonts w:ascii="Franklin Gothic Book" w:hAnsi="Franklin Gothic Book"/>
          <w:sz w:val="21"/>
          <w:szCs w:val="21"/>
        </w:rPr>
        <w:t>developed</w:t>
      </w:r>
      <w:r>
        <w:rPr>
          <w:rFonts w:ascii="Franklin Gothic Book" w:hAnsi="Franklin Gothic Book"/>
          <w:sz w:val="21"/>
          <w:szCs w:val="21"/>
        </w:rPr>
        <w:t xml:space="preserve"> a human resource development </w:t>
      </w:r>
      <w:r w:rsidRPr="00837906">
        <w:rPr>
          <w:rFonts w:ascii="Franklin Gothic Book" w:hAnsi="Franklin Gothic Book"/>
          <w:sz w:val="21"/>
          <w:szCs w:val="21"/>
        </w:rPr>
        <w:t xml:space="preserve">strategy to </w:t>
      </w:r>
      <w:r>
        <w:rPr>
          <w:rFonts w:ascii="Franklin Gothic Book" w:hAnsi="Franklin Gothic Book"/>
          <w:sz w:val="21"/>
          <w:szCs w:val="21"/>
        </w:rPr>
        <w:t xml:space="preserve">guide Australia’s </w:t>
      </w:r>
      <w:r w:rsidRPr="00837906">
        <w:rPr>
          <w:rFonts w:ascii="Franklin Gothic Book" w:hAnsi="Franklin Gothic Book"/>
          <w:sz w:val="21"/>
          <w:szCs w:val="21"/>
        </w:rPr>
        <w:t xml:space="preserve">next phase of </w:t>
      </w:r>
      <w:r>
        <w:rPr>
          <w:rFonts w:ascii="Franklin Gothic Book" w:hAnsi="Franklin Gothic Book"/>
          <w:sz w:val="21"/>
          <w:szCs w:val="21"/>
        </w:rPr>
        <w:t>development assistance in this area</w:t>
      </w:r>
      <w:r w:rsidRPr="00837906">
        <w:rPr>
          <w:rFonts w:ascii="Franklin Gothic Book" w:hAnsi="Franklin Gothic Book"/>
          <w:sz w:val="21"/>
          <w:szCs w:val="21"/>
        </w:rPr>
        <w:t xml:space="preserve">. </w:t>
      </w:r>
      <w:r w:rsidRPr="006B5CE6">
        <w:rPr>
          <w:rFonts w:ascii="Franklin Gothic Book" w:hAnsi="Franklin Gothic Book"/>
          <w:sz w:val="21"/>
          <w:szCs w:val="21"/>
        </w:rPr>
        <w:t>Th</w:t>
      </w:r>
      <w:r>
        <w:rPr>
          <w:rFonts w:ascii="Franklin Gothic Book" w:hAnsi="Franklin Gothic Book"/>
          <w:sz w:val="21"/>
          <w:szCs w:val="21"/>
        </w:rPr>
        <w:t>e strategy</w:t>
      </w:r>
      <w:r w:rsidRPr="00837906">
        <w:rPr>
          <w:rFonts w:ascii="Franklin Gothic Book" w:hAnsi="Franklin Gothic Book"/>
          <w:sz w:val="21"/>
          <w:szCs w:val="21"/>
        </w:rPr>
        <w:t xml:space="preserve"> will be finalised in 2014-15 </w:t>
      </w:r>
      <w:r w:rsidR="00AB7126">
        <w:rPr>
          <w:rFonts w:ascii="Franklin Gothic Book" w:hAnsi="Franklin Gothic Book"/>
          <w:sz w:val="21"/>
          <w:szCs w:val="21"/>
        </w:rPr>
        <w:t xml:space="preserve">to ensure alignment </w:t>
      </w:r>
      <w:r w:rsidRPr="00837906">
        <w:rPr>
          <w:rFonts w:ascii="Franklin Gothic Book" w:hAnsi="Franklin Gothic Book"/>
          <w:sz w:val="21"/>
          <w:szCs w:val="21"/>
        </w:rPr>
        <w:t xml:space="preserve">with the new Aid Policy. The </w:t>
      </w:r>
      <w:r w:rsidR="00AB7126">
        <w:rPr>
          <w:rFonts w:ascii="Franklin Gothic Book" w:hAnsi="Franklin Gothic Book"/>
          <w:sz w:val="21"/>
          <w:szCs w:val="21"/>
        </w:rPr>
        <w:t xml:space="preserve">existing </w:t>
      </w:r>
      <w:r w:rsidRPr="00837906">
        <w:rPr>
          <w:rFonts w:ascii="Franklin Gothic Book" w:hAnsi="Franklin Gothic Book"/>
          <w:sz w:val="21"/>
          <w:szCs w:val="21"/>
        </w:rPr>
        <w:t xml:space="preserve">target of 1380 scholarships by 2015 </w:t>
      </w:r>
      <w:r w:rsidR="00AB7126">
        <w:rPr>
          <w:rFonts w:ascii="Franklin Gothic Book" w:hAnsi="Franklin Gothic Book"/>
          <w:sz w:val="21"/>
          <w:szCs w:val="21"/>
        </w:rPr>
        <w:t xml:space="preserve">(refer Annex E) </w:t>
      </w:r>
      <w:r w:rsidRPr="00837906">
        <w:rPr>
          <w:rFonts w:ascii="Franklin Gothic Book" w:hAnsi="Franklin Gothic Book"/>
          <w:sz w:val="21"/>
          <w:szCs w:val="21"/>
        </w:rPr>
        <w:t xml:space="preserve">will be </w:t>
      </w:r>
      <w:r w:rsidR="00AB7126">
        <w:rPr>
          <w:rFonts w:ascii="Franklin Gothic Book" w:hAnsi="Franklin Gothic Book"/>
          <w:sz w:val="21"/>
          <w:szCs w:val="21"/>
        </w:rPr>
        <w:t>reduced</w:t>
      </w:r>
      <w:r w:rsidR="003C18AA">
        <w:rPr>
          <w:rFonts w:ascii="Franklin Gothic Book" w:hAnsi="Franklin Gothic Book"/>
          <w:sz w:val="21"/>
          <w:szCs w:val="21"/>
        </w:rPr>
        <w:t>.</w:t>
      </w:r>
      <w:r w:rsidR="00AB7126">
        <w:rPr>
          <w:rFonts w:ascii="Franklin Gothic Book" w:hAnsi="Franklin Gothic Book"/>
          <w:sz w:val="21"/>
          <w:szCs w:val="21"/>
        </w:rPr>
        <w:t xml:space="preserve"> F</w:t>
      </w:r>
      <w:r w:rsidR="00AB7126" w:rsidRPr="00AB7126">
        <w:rPr>
          <w:rFonts w:ascii="Franklin Gothic Book" w:hAnsi="Franklin Gothic Book"/>
          <w:sz w:val="21"/>
          <w:szCs w:val="21"/>
        </w:rPr>
        <w:t>ewer long</w:t>
      </w:r>
      <w:r w:rsidR="00AB7126">
        <w:rPr>
          <w:rFonts w:ascii="Franklin Gothic Book" w:hAnsi="Franklin Gothic Book"/>
          <w:sz w:val="21"/>
          <w:szCs w:val="21"/>
        </w:rPr>
        <w:t>-</w:t>
      </w:r>
      <w:r w:rsidRPr="00837906">
        <w:rPr>
          <w:rFonts w:ascii="Franklin Gothic Book" w:hAnsi="Franklin Gothic Book"/>
          <w:sz w:val="21"/>
          <w:szCs w:val="21"/>
        </w:rPr>
        <w:t xml:space="preserve">term scholarships </w:t>
      </w:r>
      <w:r w:rsidR="00AB7126">
        <w:rPr>
          <w:rFonts w:ascii="Franklin Gothic Book" w:hAnsi="Franklin Gothic Book"/>
          <w:sz w:val="21"/>
          <w:szCs w:val="21"/>
        </w:rPr>
        <w:t xml:space="preserve">will allow additional </w:t>
      </w:r>
      <w:r w:rsidR="00AB7126" w:rsidRPr="00AB7126">
        <w:rPr>
          <w:rFonts w:ascii="Franklin Gothic Book" w:hAnsi="Franklin Gothic Book"/>
          <w:sz w:val="21"/>
          <w:szCs w:val="21"/>
        </w:rPr>
        <w:t>short</w:t>
      </w:r>
      <w:r w:rsidR="00AB7126">
        <w:rPr>
          <w:rFonts w:ascii="Franklin Gothic Book" w:hAnsi="Franklin Gothic Book"/>
          <w:sz w:val="21"/>
          <w:szCs w:val="21"/>
        </w:rPr>
        <w:t>-</w:t>
      </w:r>
      <w:r w:rsidRPr="00837906">
        <w:rPr>
          <w:rFonts w:ascii="Franklin Gothic Book" w:hAnsi="Franklin Gothic Book"/>
          <w:sz w:val="21"/>
          <w:szCs w:val="21"/>
        </w:rPr>
        <w:t xml:space="preserve">course training, support for women’s leadership and increased </w:t>
      </w:r>
      <w:r w:rsidR="00373CF9">
        <w:rPr>
          <w:rFonts w:ascii="Franklin Gothic Book" w:hAnsi="Franklin Gothic Book"/>
          <w:sz w:val="21"/>
          <w:szCs w:val="21"/>
        </w:rPr>
        <w:t>support for</w:t>
      </w:r>
      <w:r w:rsidRPr="00837906">
        <w:rPr>
          <w:rFonts w:ascii="Franklin Gothic Book" w:hAnsi="Franklin Gothic Book"/>
          <w:sz w:val="21"/>
          <w:szCs w:val="21"/>
        </w:rPr>
        <w:t xml:space="preserve"> </w:t>
      </w:r>
      <w:r w:rsidRPr="00837906">
        <w:rPr>
          <w:rFonts w:ascii="Franklin Gothic Book" w:hAnsi="Franklin Gothic Book"/>
          <w:color w:val="auto"/>
          <w:sz w:val="21"/>
          <w:szCs w:val="21"/>
        </w:rPr>
        <w:t xml:space="preserve">Technical Vocational Education and Training </w:t>
      </w:r>
      <w:r w:rsidRPr="00837906">
        <w:rPr>
          <w:rFonts w:ascii="Franklin Gothic Book" w:hAnsi="Franklin Gothic Book"/>
          <w:sz w:val="21"/>
          <w:szCs w:val="21"/>
        </w:rPr>
        <w:t>(TVET)</w:t>
      </w:r>
      <w:r w:rsidR="00AB7126">
        <w:rPr>
          <w:rFonts w:ascii="Franklin Gothic Book" w:hAnsi="Franklin Gothic Book"/>
          <w:sz w:val="21"/>
          <w:szCs w:val="21"/>
        </w:rPr>
        <w:t xml:space="preserve"> </w:t>
      </w:r>
      <w:r w:rsidR="00373CF9">
        <w:rPr>
          <w:rFonts w:ascii="Franklin Gothic Book" w:hAnsi="Franklin Gothic Book"/>
          <w:sz w:val="21"/>
          <w:szCs w:val="21"/>
        </w:rPr>
        <w:t xml:space="preserve">reforms </w:t>
      </w:r>
      <w:r w:rsidR="00C70934">
        <w:rPr>
          <w:rFonts w:ascii="Franklin Gothic Book" w:hAnsi="Franklin Gothic Book"/>
          <w:sz w:val="21"/>
          <w:szCs w:val="21"/>
        </w:rPr>
        <w:t>to</w:t>
      </w:r>
      <w:r w:rsidR="00AB7126">
        <w:rPr>
          <w:rFonts w:ascii="Franklin Gothic Book" w:hAnsi="Franklin Gothic Book"/>
          <w:sz w:val="21"/>
          <w:szCs w:val="21"/>
        </w:rPr>
        <w:t xml:space="preserve"> better meet Vietnam’s emerging needs</w:t>
      </w:r>
      <w:r w:rsidRPr="00837906">
        <w:rPr>
          <w:rFonts w:ascii="Franklin Gothic Book" w:hAnsi="Franklin Gothic Book"/>
          <w:sz w:val="21"/>
          <w:szCs w:val="21"/>
        </w:rPr>
        <w:t>.</w:t>
      </w:r>
      <w:r w:rsidR="00C70934">
        <w:rPr>
          <w:rFonts w:ascii="Franklin Gothic Book" w:hAnsi="Franklin Gothic Book"/>
          <w:sz w:val="21"/>
          <w:szCs w:val="21"/>
        </w:rPr>
        <w:t xml:space="preserve"> </w:t>
      </w:r>
      <w:r w:rsidR="00AF4B01">
        <w:rPr>
          <w:rFonts w:ascii="Franklin Gothic Book" w:hAnsi="Franklin Gothic Book"/>
          <w:sz w:val="21"/>
          <w:szCs w:val="21"/>
        </w:rPr>
        <w:t>Given the</w:t>
      </w:r>
      <w:r w:rsidR="00AF4B01" w:rsidRPr="003C18AA">
        <w:rPr>
          <w:rFonts w:ascii="Franklin Gothic Book" w:hAnsi="Franklin Gothic Book"/>
          <w:sz w:val="21"/>
          <w:szCs w:val="21"/>
        </w:rPr>
        <w:t xml:space="preserve"> limitations of Vietnam’s education </w:t>
      </w:r>
      <w:r w:rsidR="00AF4B01">
        <w:rPr>
          <w:rFonts w:ascii="Franklin Gothic Book" w:hAnsi="Franklin Gothic Book"/>
          <w:sz w:val="21"/>
          <w:szCs w:val="21"/>
        </w:rPr>
        <w:t xml:space="preserve">system </w:t>
      </w:r>
      <w:r w:rsidR="00AF4B01" w:rsidRPr="003C18AA">
        <w:rPr>
          <w:rFonts w:ascii="Franklin Gothic Book" w:hAnsi="Franklin Gothic Book"/>
          <w:sz w:val="21"/>
          <w:szCs w:val="21"/>
        </w:rPr>
        <w:t>in preparing graduates for employment</w:t>
      </w:r>
      <w:r w:rsidR="00AF4B01">
        <w:rPr>
          <w:rFonts w:ascii="Franklin Gothic Book" w:hAnsi="Franklin Gothic Book"/>
          <w:sz w:val="21"/>
          <w:szCs w:val="21"/>
        </w:rPr>
        <w:t>,</w:t>
      </w:r>
      <w:r w:rsidR="00AF4B01" w:rsidRPr="000008B3">
        <w:rPr>
          <w:rFonts w:ascii="Franklin Gothic Book" w:hAnsi="Franklin Gothic Book"/>
          <w:sz w:val="21"/>
          <w:szCs w:val="21"/>
        </w:rPr>
        <w:t xml:space="preserve"> </w:t>
      </w:r>
      <w:r w:rsidR="00AF4B01">
        <w:rPr>
          <w:rFonts w:ascii="Franklin Gothic Book" w:hAnsi="Franklin Gothic Book"/>
          <w:sz w:val="21"/>
          <w:szCs w:val="21"/>
        </w:rPr>
        <w:t>shorter-term personal professional development</w:t>
      </w:r>
      <w:r w:rsidR="00AF4B01" w:rsidRPr="000008B3">
        <w:rPr>
          <w:rFonts w:ascii="Franklin Gothic Book" w:hAnsi="Franklin Gothic Book"/>
          <w:sz w:val="21"/>
          <w:szCs w:val="21"/>
        </w:rPr>
        <w:t xml:space="preserve"> opportunities </w:t>
      </w:r>
      <w:r w:rsidR="00AF4B01">
        <w:rPr>
          <w:rFonts w:ascii="Franklin Gothic Book" w:hAnsi="Franklin Gothic Book"/>
          <w:sz w:val="21"/>
          <w:szCs w:val="21"/>
        </w:rPr>
        <w:t xml:space="preserve">are a cost-effective means </w:t>
      </w:r>
      <w:r w:rsidR="005A41CC">
        <w:rPr>
          <w:rFonts w:ascii="Franklin Gothic Book" w:hAnsi="Franklin Gothic Book"/>
          <w:sz w:val="21"/>
          <w:szCs w:val="21"/>
        </w:rPr>
        <w:t xml:space="preserve">of </w:t>
      </w:r>
      <w:r w:rsidR="00AF4B01">
        <w:rPr>
          <w:rFonts w:ascii="Franklin Gothic Book" w:hAnsi="Franklin Gothic Book"/>
          <w:sz w:val="21"/>
          <w:szCs w:val="21"/>
        </w:rPr>
        <w:t>improving the skills of</w:t>
      </w:r>
      <w:r w:rsidR="00AF4B01" w:rsidRPr="000008B3">
        <w:rPr>
          <w:rFonts w:ascii="Franklin Gothic Book" w:hAnsi="Franklin Gothic Book"/>
          <w:sz w:val="21"/>
          <w:szCs w:val="21"/>
        </w:rPr>
        <w:t xml:space="preserve"> existing workers</w:t>
      </w:r>
      <w:r w:rsidR="00AF4B01">
        <w:rPr>
          <w:rFonts w:ascii="Franklin Gothic Book" w:hAnsi="Franklin Gothic Book"/>
          <w:sz w:val="21"/>
          <w:szCs w:val="21"/>
        </w:rPr>
        <w:t xml:space="preserve"> and providing</w:t>
      </w:r>
      <w:r w:rsidR="00AF4B01" w:rsidRPr="000008B3">
        <w:rPr>
          <w:rFonts w:ascii="Franklin Gothic Book" w:hAnsi="Franklin Gothic Book"/>
          <w:sz w:val="21"/>
          <w:szCs w:val="21"/>
        </w:rPr>
        <w:t xml:space="preserve"> exposure to Australian training and organisations</w:t>
      </w:r>
      <w:r w:rsidR="00AF4B01">
        <w:rPr>
          <w:rFonts w:ascii="Franklin Gothic Book" w:hAnsi="Franklin Gothic Book"/>
          <w:sz w:val="21"/>
          <w:szCs w:val="21"/>
        </w:rPr>
        <w:t xml:space="preserve">.  </w:t>
      </w:r>
    </w:p>
    <w:p w:rsidR="00EE0FDA" w:rsidRDefault="00EE0FDA" w:rsidP="00047841">
      <w:pPr>
        <w:pStyle w:val="Default"/>
        <w:spacing w:after="120" w:line="280" w:lineRule="atLeast"/>
        <w:rPr>
          <w:rFonts w:ascii="Franklin Gothic Book" w:hAnsi="Franklin Gothic Book"/>
          <w:sz w:val="21"/>
          <w:szCs w:val="21"/>
        </w:rPr>
      </w:pPr>
      <w:r w:rsidRPr="00047841">
        <w:rPr>
          <w:rFonts w:ascii="Franklin Gothic Book" w:hAnsi="Franklin Gothic Book"/>
          <w:sz w:val="21"/>
          <w:szCs w:val="21"/>
        </w:rPr>
        <w:t>Australia increased the number of high quality tertiary graduates and skilled technicians in selected priority areas</w:t>
      </w:r>
      <w:r w:rsidRPr="00C306F1">
        <w:rPr>
          <w:rFonts w:ascii="Franklin Gothic Book" w:hAnsi="Franklin Gothic Book"/>
          <w:sz w:val="21"/>
          <w:szCs w:val="21"/>
        </w:rPr>
        <w:t xml:space="preserve">. In 2013, 248 </w:t>
      </w:r>
      <w:r w:rsidR="003965C8">
        <w:rPr>
          <w:rFonts w:ascii="Franklin Gothic Book" w:hAnsi="Franklin Gothic Book"/>
          <w:sz w:val="21"/>
          <w:szCs w:val="21"/>
        </w:rPr>
        <w:t>Australia Awards Scholarship</w:t>
      </w:r>
      <w:r w:rsidR="003965C8" w:rsidRPr="00C306F1">
        <w:rPr>
          <w:rFonts w:ascii="Franklin Gothic Book" w:hAnsi="Franklin Gothic Book"/>
          <w:sz w:val="21"/>
          <w:szCs w:val="21"/>
        </w:rPr>
        <w:t xml:space="preserve"> </w:t>
      </w:r>
      <w:r w:rsidRPr="00C306F1">
        <w:rPr>
          <w:rFonts w:ascii="Franklin Gothic Book" w:hAnsi="Franklin Gothic Book"/>
          <w:sz w:val="21"/>
          <w:szCs w:val="21"/>
        </w:rPr>
        <w:t xml:space="preserve">awardees graduated from Masters and PhD </w:t>
      </w:r>
      <w:r w:rsidRPr="00C306F1">
        <w:rPr>
          <w:rFonts w:ascii="Franklin Gothic Book" w:hAnsi="Franklin Gothic Book"/>
          <w:sz w:val="21"/>
          <w:szCs w:val="21"/>
        </w:rPr>
        <w:lastRenderedPageBreak/>
        <w:t>studies in Australia</w:t>
      </w:r>
      <w:r w:rsidR="003965C8">
        <w:rPr>
          <w:rFonts w:ascii="Franklin Gothic Book" w:hAnsi="Franklin Gothic Book"/>
          <w:sz w:val="21"/>
          <w:szCs w:val="21"/>
        </w:rPr>
        <w:t xml:space="preserve"> (including </w:t>
      </w:r>
      <w:r w:rsidRPr="00C306F1">
        <w:rPr>
          <w:rFonts w:ascii="Franklin Gothic Book" w:hAnsi="Franklin Gothic Book"/>
          <w:sz w:val="21"/>
          <w:szCs w:val="21"/>
        </w:rPr>
        <w:t>168 women</w:t>
      </w:r>
      <w:r w:rsidR="003965C8">
        <w:rPr>
          <w:rFonts w:ascii="Franklin Gothic Book" w:hAnsi="Franklin Gothic Book"/>
          <w:sz w:val="21"/>
          <w:szCs w:val="21"/>
        </w:rPr>
        <w:t>)</w:t>
      </w:r>
      <w:r w:rsidRPr="00C306F1">
        <w:rPr>
          <w:rFonts w:ascii="Franklin Gothic Book" w:hAnsi="Franklin Gothic Book"/>
          <w:sz w:val="21"/>
          <w:szCs w:val="21"/>
        </w:rPr>
        <w:t>.</w:t>
      </w:r>
      <w:r w:rsidR="008F7FCB">
        <w:rPr>
          <w:rFonts w:ascii="Franklin Gothic Book" w:hAnsi="Franklin Gothic Book"/>
          <w:sz w:val="21"/>
          <w:szCs w:val="21"/>
        </w:rPr>
        <w:t xml:space="preserve"> </w:t>
      </w:r>
      <w:r>
        <w:rPr>
          <w:rFonts w:ascii="Franklin Gothic Book" w:hAnsi="Franklin Gothic Book"/>
          <w:sz w:val="21"/>
          <w:szCs w:val="21"/>
        </w:rPr>
        <w:t>In 2013, Australia</w:t>
      </w:r>
      <w:r w:rsidRPr="004A2D5E">
        <w:rPr>
          <w:rFonts w:ascii="Franklin Gothic Book" w:hAnsi="Franklin Gothic Book"/>
          <w:sz w:val="21"/>
          <w:szCs w:val="21"/>
        </w:rPr>
        <w:t xml:space="preserve"> provided </w:t>
      </w:r>
      <w:r>
        <w:rPr>
          <w:rFonts w:ascii="Franklin Gothic Book" w:hAnsi="Franklin Gothic Book"/>
          <w:sz w:val="21"/>
          <w:szCs w:val="21"/>
        </w:rPr>
        <w:t>443</w:t>
      </w:r>
      <w:r w:rsidRPr="004A2D5E">
        <w:rPr>
          <w:rFonts w:ascii="Franklin Gothic Book" w:hAnsi="Franklin Gothic Book"/>
          <w:sz w:val="21"/>
          <w:szCs w:val="21"/>
        </w:rPr>
        <w:t xml:space="preserve"> new Australia Awards to Vietnam</w:t>
      </w:r>
      <w:r w:rsidR="00392B08">
        <w:rPr>
          <w:rFonts w:ascii="Franklin Gothic Book" w:hAnsi="Franklin Gothic Book"/>
          <w:sz w:val="21"/>
          <w:szCs w:val="21"/>
        </w:rPr>
        <w:t xml:space="preserve"> </w:t>
      </w:r>
      <w:r>
        <w:rPr>
          <w:rFonts w:ascii="Franklin Gothic Book" w:hAnsi="Franklin Gothic Book"/>
          <w:sz w:val="21"/>
          <w:szCs w:val="21"/>
        </w:rPr>
        <w:t>for long</w:t>
      </w:r>
      <w:r w:rsidR="00392B08">
        <w:rPr>
          <w:rFonts w:ascii="Franklin Gothic Book" w:hAnsi="Franklin Gothic Book"/>
          <w:sz w:val="21"/>
          <w:szCs w:val="21"/>
        </w:rPr>
        <w:t>-</w:t>
      </w:r>
      <w:r>
        <w:rPr>
          <w:rFonts w:ascii="Franklin Gothic Book" w:hAnsi="Franklin Gothic Book"/>
          <w:sz w:val="21"/>
          <w:szCs w:val="21"/>
        </w:rPr>
        <w:t>term scholarships and short</w:t>
      </w:r>
      <w:r w:rsidR="00392B08">
        <w:rPr>
          <w:rFonts w:ascii="Franklin Gothic Book" w:hAnsi="Franklin Gothic Book"/>
          <w:sz w:val="21"/>
          <w:szCs w:val="21"/>
        </w:rPr>
        <w:t>-</w:t>
      </w:r>
      <w:r>
        <w:rPr>
          <w:rFonts w:ascii="Franklin Gothic Book" w:hAnsi="Franklin Gothic Book"/>
          <w:sz w:val="21"/>
          <w:szCs w:val="21"/>
        </w:rPr>
        <w:t>term fellowships</w:t>
      </w:r>
      <w:r w:rsidRPr="004A2D5E">
        <w:rPr>
          <w:rFonts w:ascii="Franklin Gothic Book" w:hAnsi="Franklin Gothic Book"/>
          <w:sz w:val="21"/>
          <w:szCs w:val="21"/>
        </w:rPr>
        <w:t xml:space="preserve">, of which </w:t>
      </w:r>
      <w:r w:rsidRPr="00456737">
        <w:rPr>
          <w:rFonts w:ascii="Franklin Gothic Book" w:hAnsi="Franklin Gothic Book"/>
          <w:sz w:val="21"/>
          <w:szCs w:val="21"/>
        </w:rPr>
        <w:t>54</w:t>
      </w:r>
      <w:r>
        <w:rPr>
          <w:rFonts w:ascii="Franklin Gothic Book" w:hAnsi="Franklin Gothic Book"/>
          <w:sz w:val="21"/>
          <w:szCs w:val="21"/>
        </w:rPr>
        <w:t xml:space="preserve"> per cent</w:t>
      </w:r>
      <w:r w:rsidRPr="004A2D5E">
        <w:rPr>
          <w:rFonts w:ascii="Franklin Gothic Book" w:hAnsi="Franklin Gothic Book"/>
          <w:sz w:val="21"/>
          <w:szCs w:val="21"/>
        </w:rPr>
        <w:t xml:space="preserve"> went to women</w:t>
      </w:r>
      <w:r>
        <w:rPr>
          <w:rStyle w:val="FootnoteReference"/>
        </w:rPr>
        <w:footnoteReference w:id="4"/>
      </w:r>
      <w:r w:rsidRPr="004A2D5E">
        <w:rPr>
          <w:rFonts w:ascii="Franklin Gothic Book" w:hAnsi="Franklin Gothic Book"/>
          <w:sz w:val="21"/>
          <w:szCs w:val="21"/>
        </w:rPr>
        <w:t xml:space="preserve">. </w:t>
      </w:r>
      <w:r w:rsidR="00392B08">
        <w:rPr>
          <w:rFonts w:ascii="Franklin Gothic Book" w:hAnsi="Franklin Gothic Book"/>
          <w:sz w:val="21"/>
          <w:szCs w:val="21"/>
        </w:rPr>
        <w:t xml:space="preserve">Through the fellowships program, </w:t>
      </w:r>
      <w:r w:rsidR="00491346">
        <w:rPr>
          <w:rFonts w:ascii="Franklin Gothic Book" w:hAnsi="Franklin Gothic Book"/>
          <w:sz w:val="21"/>
          <w:szCs w:val="21"/>
        </w:rPr>
        <w:t>Australian organisations partnered with 54</w:t>
      </w:r>
      <w:r>
        <w:rPr>
          <w:rFonts w:ascii="Franklin Gothic Book" w:hAnsi="Franklin Gothic Book"/>
          <w:sz w:val="21"/>
          <w:szCs w:val="21"/>
        </w:rPr>
        <w:t xml:space="preserve"> </w:t>
      </w:r>
      <w:r w:rsidR="00491346" w:rsidRPr="00414FE5">
        <w:rPr>
          <w:rFonts w:ascii="Franklin Gothic Book" w:hAnsi="Franklin Gothic Book" w:cs="Franklin Gothic Medium"/>
          <w:color w:val="auto"/>
          <w:sz w:val="21"/>
          <w:szCs w:val="21"/>
        </w:rPr>
        <w:t>Vietnamese universities, NGOs, government and private sector organisations</w:t>
      </w:r>
      <w:r w:rsidR="00491346">
        <w:rPr>
          <w:rFonts w:ascii="Franklin Gothic Book" w:hAnsi="Franklin Gothic Book" w:cs="Franklin Gothic Medium"/>
          <w:color w:val="auto"/>
          <w:sz w:val="21"/>
          <w:szCs w:val="21"/>
        </w:rPr>
        <w:t>.</w:t>
      </w:r>
      <w:r w:rsidR="00491346">
        <w:rPr>
          <w:rFonts w:ascii="Franklin Gothic Book" w:hAnsi="Franklin Gothic Book"/>
          <w:sz w:val="21"/>
          <w:szCs w:val="21"/>
        </w:rPr>
        <w:t xml:space="preserve"> </w:t>
      </w:r>
      <w:r>
        <w:rPr>
          <w:rFonts w:ascii="Franklin Gothic Book" w:hAnsi="Franklin Gothic Book" w:cs="Franklin Gothic Medium"/>
          <w:color w:val="auto"/>
          <w:sz w:val="21"/>
          <w:szCs w:val="21"/>
        </w:rPr>
        <w:t>The</w:t>
      </w:r>
      <w:r w:rsidR="00392B08">
        <w:rPr>
          <w:rFonts w:ascii="Franklin Gothic Book" w:hAnsi="Franklin Gothic Book" w:cs="Franklin Gothic Medium"/>
          <w:color w:val="auto"/>
          <w:sz w:val="21"/>
          <w:szCs w:val="21"/>
        </w:rPr>
        <w:t>se</w:t>
      </w:r>
      <w:r>
        <w:rPr>
          <w:rFonts w:ascii="Franklin Gothic Book" w:hAnsi="Franklin Gothic Book" w:cs="Franklin Gothic Medium"/>
          <w:color w:val="auto"/>
          <w:sz w:val="21"/>
          <w:szCs w:val="21"/>
        </w:rPr>
        <w:t xml:space="preserve"> have improve</w:t>
      </w:r>
      <w:r w:rsidR="00392B08">
        <w:rPr>
          <w:rFonts w:ascii="Franklin Gothic Book" w:hAnsi="Franklin Gothic Book" w:cs="Franklin Gothic Medium"/>
          <w:color w:val="auto"/>
          <w:sz w:val="21"/>
          <w:szCs w:val="21"/>
        </w:rPr>
        <w:t>d</w:t>
      </w:r>
      <w:r>
        <w:rPr>
          <w:rFonts w:ascii="Franklin Gothic Book" w:hAnsi="Franklin Gothic Book" w:cs="Franklin Gothic Medium"/>
          <w:color w:val="auto"/>
          <w:sz w:val="21"/>
          <w:szCs w:val="21"/>
        </w:rPr>
        <w:t xml:space="preserve"> </w:t>
      </w:r>
      <w:r w:rsidR="005A41CC">
        <w:rPr>
          <w:rFonts w:ascii="Franklin Gothic Book" w:hAnsi="Franklin Gothic Book" w:cs="Franklin Gothic Medium"/>
          <w:color w:val="auto"/>
          <w:sz w:val="21"/>
          <w:szCs w:val="21"/>
        </w:rPr>
        <w:t xml:space="preserve">institutional and individual linkages, as well as </w:t>
      </w:r>
      <w:r>
        <w:rPr>
          <w:rFonts w:ascii="Franklin Gothic Book" w:hAnsi="Franklin Gothic Book" w:cs="Franklin Gothic Medium"/>
          <w:color w:val="auto"/>
          <w:sz w:val="21"/>
          <w:szCs w:val="21"/>
        </w:rPr>
        <w:t xml:space="preserve">leadership in key areas such as: education testing and accreditation; protection of women and children; rehabilitation services; land management; and Indigenous education. </w:t>
      </w:r>
    </w:p>
    <w:p w:rsidR="003A6AFA" w:rsidRDefault="00EE0FDA" w:rsidP="00047841">
      <w:pPr>
        <w:pStyle w:val="Default"/>
        <w:spacing w:after="120" w:line="280" w:lineRule="atLeast"/>
        <w:rPr>
          <w:rFonts w:ascii="Franklin Gothic Book" w:hAnsi="Franklin Gothic Book"/>
          <w:sz w:val="21"/>
          <w:szCs w:val="21"/>
        </w:rPr>
      </w:pPr>
      <w:r>
        <w:rPr>
          <w:rFonts w:ascii="Franklin Gothic Book" w:hAnsi="Franklin Gothic Book"/>
          <w:sz w:val="21"/>
          <w:szCs w:val="21"/>
        </w:rPr>
        <w:t>DFAT</w:t>
      </w:r>
      <w:r w:rsidRPr="004A2D5E">
        <w:rPr>
          <w:rFonts w:ascii="Franklin Gothic Book" w:hAnsi="Franklin Gothic Book"/>
          <w:sz w:val="21"/>
          <w:szCs w:val="21"/>
        </w:rPr>
        <w:t xml:space="preserve"> </w:t>
      </w:r>
      <w:r>
        <w:rPr>
          <w:rFonts w:ascii="Franklin Gothic Book" w:hAnsi="Franklin Gothic Book"/>
          <w:sz w:val="21"/>
          <w:szCs w:val="21"/>
        </w:rPr>
        <w:t>aimed to provide 40 per cent of its long</w:t>
      </w:r>
      <w:r w:rsidR="00392B08">
        <w:rPr>
          <w:rFonts w:ascii="Franklin Gothic Book" w:hAnsi="Franklin Gothic Book"/>
          <w:sz w:val="21"/>
          <w:szCs w:val="21"/>
        </w:rPr>
        <w:t>-</w:t>
      </w:r>
      <w:r>
        <w:rPr>
          <w:rFonts w:ascii="Franklin Gothic Book" w:hAnsi="Franklin Gothic Book"/>
          <w:sz w:val="21"/>
          <w:szCs w:val="21"/>
        </w:rPr>
        <w:t>term scholarships to central government agenc</w:t>
      </w:r>
      <w:r w:rsidR="00392B08">
        <w:rPr>
          <w:rFonts w:ascii="Franklin Gothic Book" w:hAnsi="Franklin Gothic Book"/>
          <w:sz w:val="21"/>
          <w:szCs w:val="21"/>
        </w:rPr>
        <w:t>ies</w:t>
      </w:r>
      <w:r>
        <w:rPr>
          <w:rFonts w:ascii="Franklin Gothic Book" w:hAnsi="Franklin Gothic Book"/>
          <w:sz w:val="21"/>
          <w:szCs w:val="21"/>
        </w:rPr>
        <w:t xml:space="preserve">. </w:t>
      </w:r>
      <w:r w:rsidR="00392B08">
        <w:rPr>
          <w:rFonts w:ascii="Franklin Gothic Book" w:hAnsi="Franklin Gothic Book"/>
          <w:sz w:val="21"/>
          <w:szCs w:val="21"/>
        </w:rPr>
        <w:t>D</w:t>
      </w:r>
      <w:r w:rsidR="00392B08" w:rsidRPr="004A2D5E">
        <w:rPr>
          <w:rFonts w:ascii="Franklin Gothic Book" w:hAnsi="Franklin Gothic Book"/>
          <w:sz w:val="21"/>
          <w:szCs w:val="21"/>
        </w:rPr>
        <w:t>espite increased promotion</w:t>
      </w:r>
      <w:r w:rsidR="00392B08">
        <w:rPr>
          <w:rFonts w:ascii="Franklin Gothic Book" w:hAnsi="Franklin Gothic Book"/>
          <w:sz w:val="21"/>
          <w:szCs w:val="21"/>
        </w:rPr>
        <w:t xml:space="preserve">, only </w:t>
      </w:r>
      <w:r w:rsidR="00392B08" w:rsidRPr="004A2D5E">
        <w:rPr>
          <w:rFonts w:ascii="Franklin Gothic Book" w:hAnsi="Franklin Gothic Book"/>
          <w:sz w:val="21"/>
          <w:szCs w:val="21"/>
        </w:rPr>
        <w:t>29</w:t>
      </w:r>
      <w:r w:rsidR="00392B08">
        <w:rPr>
          <w:rFonts w:ascii="Franklin Gothic Book" w:hAnsi="Franklin Gothic Book"/>
          <w:sz w:val="21"/>
          <w:szCs w:val="21"/>
        </w:rPr>
        <w:t xml:space="preserve"> per cent</w:t>
      </w:r>
      <w:r w:rsidR="00392B08" w:rsidRPr="004A2D5E">
        <w:rPr>
          <w:rFonts w:ascii="Franklin Gothic Book" w:hAnsi="Franklin Gothic Book"/>
          <w:sz w:val="21"/>
          <w:szCs w:val="21"/>
        </w:rPr>
        <w:t xml:space="preserve"> </w:t>
      </w:r>
      <w:r w:rsidR="00392B08">
        <w:rPr>
          <w:rFonts w:ascii="Franklin Gothic Book" w:hAnsi="Franklin Gothic Book"/>
          <w:sz w:val="21"/>
          <w:szCs w:val="21"/>
        </w:rPr>
        <w:t xml:space="preserve">of awards went to these recipients in 2013-14 </w:t>
      </w:r>
      <w:r w:rsidR="004754C0">
        <w:rPr>
          <w:rFonts w:ascii="Franklin Gothic Book" w:hAnsi="Franklin Gothic Book"/>
          <w:sz w:val="21"/>
          <w:szCs w:val="21"/>
        </w:rPr>
        <w:t>owing</w:t>
      </w:r>
      <w:r w:rsidR="00392B08">
        <w:rPr>
          <w:rFonts w:ascii="Franklin Gothic Book" w:hAnsi="Franklin Gothic Book"/>
          <w:sz w:val="21"/>
          <w:szCs w:val="21"/>
        </w:rPr>
        <w:t xml:space="preserve"> to </w:t>
      </w:r>
      <w:r>
        <w:rPr>
          <w:rFonts w:ascii="Franklin Gothic Book" w:hAnsi="Franklin Gothic Book"/>
          <w:sz w:val="21"/>
          <w:szCs w:val="21"/>
        </w:rPr>
        <w:t>change</w:t>
      </w:r>
      <w:r w:rsidR="00392B08">
        <w:rPr>
          <w:rFonts w:ascii="Franklin Gothic Book" w:hAnsi="Franklin Gothic Book"/>
          <w:sz w:val="21"/>
          <w:szCs w:val="21"/>
        </w:rPr>
        <w:t>s</w:t>
      </w:r>
      <w:r>
        <w:rPr>
          <w:rFonts w:ascii="Franklin Gothic Book" w:hAnsi="Franklin Gothic Book"/>
          <w:sz w:val="21"/>
          <w:szCs w:val="21"/>
        </w:rPr>
        <w:t xml:space="preserve"> to </w:t>
      </w:r>
      <w:r w:rsidR="003A6AFA">
        <w:rPr>
          <w:rFonts w:ascii="Franklin Gothic Book" w:hAnsi="Franklin Gothic Book"/>
          <w:sz w:val="21"/>
          <w:szCs w:val="21"/>
        </w:rPr>
        <w:t xml:space="preserve">our </w:t>
      </w:r>
      <w:r>
        <w:rPr>
          <w:rFonts w:ascii="Franklin Gothic Book" w:hAnsi="Franklin Gothic Book"/>
          <w:sz w:val="21"/>
          <w:szCs w:val="21"/>
        </w:rPr>
        <w:t xml:space="preserve">definition of </w:t>
      </w:r>
      <w:r w:rsidR="003A6AFA">
        <w:rPr>
          <w:rFonts w:ascii="Franklin Gothic Book" w:hAnsi="Franklin Gothic Book"/>
          <w:sz w:val="21"/>
          <w:szCs w:val="21"/>
        </w:rPr>
        <w:t>central government agency employees</w:t>
      </w:r>
      <w:r>
        <w:rPr>
          <w:rFonts w:ascii="Franklin Gothic Book" w:hAnsi="Franklin Gothic Book"/>
          <w:sz w:val="21"/>
          <w:szCs w:val="21"/>
        </w:rPr>
        <w:t xml:space="preserve">. DFAT and Vietnam’s Ministry of Education and Training </w:t>
      </w:r>
      <w:r w:rsidR="00392B08">
        <w:rPr>
          <w:rFonts w:ascii="Franklin Gothic Book" w:hAnsi="Franklin Gothic Book"/>
          <w:sz w:val="21"/>
          <w:szCs w:val="21"/>
        </w:rPr>
        <w:t xml:space="preserve">have now </w:t>
      </w:r>
      <w:r>
        <w:rPr>
          <w:rFonts w:ascii="Franklin Gothic Book" w:hAnsi="Franklin Gothic Book"/>
          <w:sz w:val="21"/>
          <w:szCs w:val="21"/>
        </w:rPr>
        <w:t>agreed a more appropriate 30 per cent</w:t>
      </w:r>
      <w:r w:rsidR="009C4796">
        <w:rPr>
          <w:rFonts w:ascii="Franklin Gothic Book" w:hAnsi="Franklin Gothic Book"/>
          <w:sz w:val="21"/>
          <w:szCs w:val="21"/>
        </w:rPr>
        <w:t xml:space="preserve"> target</w:t>
      </w:r>
      <w:r w:rsidR="003A6AFA" w:rsidRPr="003A6AFA">
        <w:rPr>
          <w:rFonts w:ascii="Franklin Gothic Book" w:hAnsi="Franklin Gothic Book"/>
          <w:sz w:val="21"/>
          <w:szCs w:val="21"/>
        </w:rPr>
        <w:t xml:space="preserve"> </w:t>
      </w:r>
      <w:r w:rsidR="003A6AFA">
        <w:rPr>
          <w:rFonts w:ascii="Franklin Gothic Book" w:hAnsi="Franklin Gothic Book"/>
          <w:sz w:val="21"/>
          <w:szCs w:val="21"/>
        </w:rPr>
        <w:t>for 2014-15</w:t>
      </w:r>
      <w:r>
        <w:rPr>
          <w:rFonts w:ascii="Franklin Gothic Book" w:hAnsi="Franklin Gothic Book"/>
          <w:sz w:val="21"/>
          <w:szCs w:val="21"/>
        </w:rPr>
        <w:t>.</w:t>
      </w:r>
    </w:p>
    <w:p w:rsidR="00EE0FDA" w:rsidRPr="004A2D5E" w:rsidRDefault="003A6AFA" w:rsidP="00047841">
      <w:pPr>
        <w:pStyle w:val="Default"/>
        <w:spacing w:after="120" w:line="280" w:lineRule="atLeast"/>
        <w:rPr>
          <w:rFonts w:ascii="Franklin Gothic Book" w:hAnsi="Franklin Gothic Book"/>
          <w:sz w:val="21"/>
          <w:szCs w:val="21"/>
        </w:rPr>
      </w:pPr>
      <w:r>
        <w:rPr>
          <w:rFonts w:ascii="Franklin Gothic Book" w:hAnsi="Franklin Gothic Book"/>
          <w:sz w:val="21"/>
          <w:szCs w:val="21"/>
        </w:rPr>
        <w:t xml:space="preserve">In 2013-14, Australia </w:t>
      </w:r>
      <w:r w:rsidR="008904E8">
        <w:rPr>
          <w:rFonts w:ascii="Franklin Gothic Book" w:hAnsi="Franklin Gothic Book"/>
          <w:sz w:val="21"/>
          <w:szCs w:val="21"/>
        </w:rPr>
        <w:t xml:space="preserve">improved the inclusion of its Australia Awards, with eight scholarships awarded to people </w:t>
      </w:r>
      <w:r>
        <w:rPr>
          <w:rFonts w:ascii="Franklin Gothic Book" w:hAnsi="Franklin Gothic Book"/>
          <w:sz w:val="21"/>
          <w:szCs w:val="21"/>
        </w:rPr>
        <w:t xml:space="preserve">with disability </w:t>
      </w:r>
      <w:r w:rsidR="00EE0FDA" w:rsidRPr="004A2D5E">
        <w:rPr>
          <w:rFonts w:ascii="Franklin Gothic Book" w:hAnsi="Franklin Gothic Book"/>
          <w:sz w:val="21"/>
          <w:szCs w:val="21"/>
        </w:rPr>
        <w:t xml:space="preserve">and 25 </w:t>
      </w:r>
      <w:r w:rsidR="008904E8">
        <w:rPr>
          <w:rFonts w:ascii="Franklin Gothic Book" w:hAnsi="Franklin Gothic Book"/>
          <w:sz w:val="21"/>
          <w:szCs w:val="21"/>
        </w:rPr>
        <w:t xml:space="preserve">to people </w:t>
      </w:r>
      <w:r>
        <w:rPr>
          <w:rFonts w:ascii="Franklin Gothic Book" w:hAnsi="Franklin Gothic Book"/>
          <w:sz w:val="21"/>
          <w:szCs w:val="21"/>
        </w:rPr>
        <w:t>from rural disadvantaged areas</w:t>
      </w:r>
      <w:r w:rsidR="008904E8">
        <w:rPr>
          <w:rFonts w:ascii="Franklin Gothic Book" w:hAnsi="Franklin Gothic Book"/>
          <w:sz w:val="21"/>
          <w:szCs w:val="21"/>
        </w:rPr>
        <w:t xml:space="preserve">. This total of 33 is </w:t>
      </w:r>
      <w:r>
        <w:rPr>
          <w:rFonts w:ascii="Franklin Gothic Book" w:hAnsi="Franklin Gothic Book"/>
          <w:sz w:val="21"/>
          <w:szCs w:val="21"/>
        </w:rPr>
        <w:t>an increase from 14 in 2012-13</w:t>
      </w:r>
      <w:r w:rsidR="00EE0FDA" w:rsidRPr="004A2D5E">
        <w:rPr>
          <w:rFonts w:ascii="Franklin Gothic Book" w:hAnsi="Franklin Gothic Book"/>
          <w:sz w:val="21"/>
          <w:szCs w:val="21"/>
        </w:rPr>
        <w:t xml:space="preserve">. </w:t>
      </w:r>
      <w:r w:rsidR="009C4796">
        <w:rPr>
          <w:rFonts w:ascii="Franklin Gothic Book" w:hAnsi="Franklin Gothic Book"/>
          <w:sz w:val="21"/>
          <w:szCs w:val="21"/>
        </w:rPr>
        <w:t xml:space="preserve">An </w:t>
      </w:r>
      <w:r w:rsidR="00EE0FDA" w:rsidRPr="004A2D5E">
        <w:rPr>
          <w:rFonts w:ascii="Franklin Gothic Book" w:hAnsi="Franklin Gothic Book"/>
          <w:sz w:val="21"/>
          <w:szCs w:val="21"/>
        </w:rPr>
        <w:t xml:space="preserve">Equity of Access Fund </w:t>
      </w:r>
      <w:r w:rsidR="009C4796">
        <w:rPr>
          <w:rFonts w:ascii="Franklin Gothic Book" w:hAnsi="Franklin Gothic Book"/>
          <w:sz w:val="21"/>
          <w:szCs w:val="21"/>
        </w:rPr>
        <w:t xml:space="preserve">was </w:t>
      </w:r>
      <w:r w:rsidR="008904E8">
        <w:rPr>
          <w:rFonts w:ascii="Franklin Gothic Book" w:hAnsi="Franklin Gothic Book"/>
          <w:sz w:val="21"/>
          <w:szCs w:val="21"/>
        </w:rPr>
        <w:t xml:space="preserve">also </w:t>
      </w:r>
      <w:r w:rsidR="009C4796">
        <w:rPr>
          <w:rFonts w:ascii="Franklin Gothic Book" w:hAnsi="Franklin Gothic Book"/>
          <w:sz w:val="21"/>
          <w:szCs w:val="21"/>
        </w:rPr>
        <w:t xml:space="preserve">established </w:t>
      </w:r>
      <w:r w:rsidR="00EE0FDA" w:rsidRPr="004A2D5E">
        <w:rPr>
          <w:rFonts w:ascii="Franklin Gothic Book" w:hAnsi="Franklin Gothic Book"/>
          <w:sz w:val="21"/>
          <w:szCs w:val="21"/>
        </w:rPr>
        <w:t xml:space="preserve">in 2013-14 to </w:t>
      </w:r>
      <w:r w:rsidR="008904E8">
        <w:rPr>
          <w:rFonts w:ascii="Franklin Gothic Book" w:hAnsi="Franklin Gothic Book"/>
          <w:sz w:val="21"/>
          <w:szCs w:val="21"/>
        </w:rPr>
        <w:t xml:space="preserve">help </w:t>
      </w:r>
      <w:r w:rsidR="00EE0FDA" w:rsidRPr="004A2D5E">
        <w:rPr>
          <w:rFonts w:ascii="Franklin Gothic Book" w:hAnsi="Franklin Gothic Book"/>
          <w:sz w:val="21"/>
          <w:szCs w:val="21"/>
        </w:rPr>
        <w:t>people with disability and those from rural disadvantaged areas through the pre-scholarship to alumni stage</w:t>
      </w:r>
      <w:r w:rsidR="00EE0FDA">
        <w:rPr>
          <w:rFonts w:ascii="Franklin Gothic Book" w:hAnsi="Franklin Gothic Book"/>
          <w:sz w:val="21"/>
          <w:szCs w:val="21"/>
        </w:rPr>
        <w:t xml:space="preserve">s of the scholarships program. </w:t>
      </w:r>
      <w:r w:rsidR="00EE0FDA" w:rsidRPr="004A2D5E">
        <w:rPr>
          <w:rFonts w:ascii="Franklin Gothic Book" w:hAnsi="Franklin Gothic Book"/>
          <w:sz w:val="21"/>
          <w:szCs w:val="21"/>
        </w:rPr>
        <w:t>Five people with disability received support from the Fund in 2014.</w:t>
      </w:r>
    </w:p>
    <w:p w:rsidR="00EE0FDA" w:rsidRDefault="00B45E3D" w:rsidP="00047841">
      <w:pPr>
        <w:pStyle w:val="Default"/>
        <w:spacing w:after="120" w:line="280" w:lineRule="atLeast"/>
        <w:rPr>
          <w:rFonts w:ascii="Franklin Gothic Book" w:hAnsi="Franklin Gothic Book" w:cs="Franklin Gothic Medium"/>
          <w:sz w:val="21"/>
          <w:szCs w:val="21"/>
        </w:rPr>
      </w:pPr>
      <w:r>
        <w:rPr>
          <w:rFonts w:ascii="Franklin Gothic Book" w:hAnsi="Franklin Gothic Book"/>
          <w:color w:val="auto"/>
          <w:sz w:val="21"/>
          <w:szCs w:val="21"/>
        </w:rPr>
        <w:t xml:space="preserve">By 2013-14, </w:t>
      </w:r>
      <w:r w:rsidR="00EE0FDA">
        <w:rPr>
          <w:rFonts w:ascii="Franklin Gothic Book" w:hAnsi="Franklin Gothic Book"/>
          <w:color w:val="auto"/>
          <w:sz w:val="21"/>
          <w:szCs w:val="21"/>
        </w:rPr>
        <w:t xml:space="preserve">Australia Awards alumni </w:t>
      </w:r>
      <w:r>
        <w:rPr>
          <w:rFonts w:ascii="Franklin Gothic Book" w:hAnsi="Franklin Gothic Book"/>
          <w:color w:val="auto"/>
          <w:sz w:val="21"/>
          <w:szCs w:val="21"/>
        </w:rPr>
        <w:t xml:space="preserve">totalled </w:t>
      </w:r>
      <w:r w:rsidR="00EE0FDA">
        <w:rPr>
          <w:rFonts w:ascii="Franklin Gothic Book" w:hAnsi="Franklin Gothic Book"/>
          <w:color w:val="auto"/>
          <w:sz w:val="21"/>
          <w:szCs w:val="21"/>
        </w:rPr>
        <w:t>4,419. In 2013</w:t>
      </w:r>
      <w:r w:rsidR="008904E8">
        <w:rPr>
          <w:rFonts w:ascii="Franklin Gothic Book" w:hAnsi="Franklin Gothic Book"/>
          <w:color w:val="auto"/>
          <w:sz w:val="21"/>
          <w:szCs w:val="21"/>
        </w:rPr>
        <w:t>,</w:t>
      </w:r>
      <w:r w:rsidR="00EE0FDA">
        <w:rPr>
          <w:rFonts w:ascii="Franklin Gothic Book" w:hAnsi="Franklin Gothic Book"/>
          <w:color w:val="auto"/>
          <w:sz w:val="21"/>
          <w:szCs w:val="21"/>
        </w:rPr>
        <w:t xml:space="preserve"> Australia surveyed alumni in the education management and environment sectors</w:t>
      </w:r>
      <w:r w:rsidR="008904E8">
        <w:rPr>
          <w:rFonts w:ascii="Franklin Gothic Book" w:hAnsi="Franklin Gothic Book"/>
          <w:color w:val="auto"/>
          <w:sz w:val="21"/>
          <w:szCs w:val="21"/>
        </w:rPr>
        <w:t xml:space="preserve">, </w:t>
      </w:r>
      <w:r w:rsidR="00EE0FDA" w:rsidRPr="006850CF">
        <w:rPr>
          <w:rFonts w:ascii="Franklin Gothic Book" w:hAnsi="Franklin Gothic Book"/>
          <w:color w:val="auto"/>
          <w:sz w:val="21"/>
          <w:szCs w:val="21"/>
        </w:rPr>
        <w:t>f</w:t>
      </w:r>
      <w:r w:rsidR="008904E8">
        <w:rPr>
          <w:rFonts w:ascii="Franklin Gothic Book" w:hAnsi="Franklin Gothic Book"/>
          <w:color w:val="auto"/>
          <w:sz w:val="21"/>
          <w:szCs w:val="21"/>
        </w:rPr>
        <w:t>inding</w:t>
      </w:r>
      <w:r w:rsidR="00EE0FDA" w:rsidRPr="006850CF">
        <w:rPr>
          <w:rFonts w:ascii="Franklin Gothic Book" w:hAnsi="Franklin Gothic Book"/>
          <w:color w:val="auto"/>
          <w:sz w:val="21"/>
          <w:szCs w:val="21"/>
        </w:rPr>
        <w:t xml:space="preserve"> that 62 per cent of education alumni </w:t>
      </w:r>
      <w:r w:rsidR="008904E8">
        <w:rPr>
          <w:rFonts w:ascii="Franklin Gothic Book" w:hAnsi="Franklin Gothic Book"/>
          <w:color w:val="auto"/>
          <w:sz w:val="21"/>
          <w:szCs w:val="21"/>
        </w:rPr>
        <w:t>felt</w:t>
      </w:r>
      <w:r w:rsidR="008904E8" w:rsidRPr="006850CF">
        <w:rPr>
          <w:rFonts w:ascii="Franklin Gothic Book" w:hAnsi="Franklin Gothic Book"/>
          <w:color w:val="auto"/>
          <w:sz w:val="21"/>
          <w:szCs w:val="21"/>
        </w:rPr>
        <w:t xml:space="preserve"> </w:t>
      </w:r>
      <w:r w:rsidR="00EE0FDA" w:rsidRPr="006850CF">
        <w:rPr>
          <w:rFonts w:ascii="Franklin Gothic Book" w:hAnsi="Franklin Gothic Book"/>
          <w:color w:val="auto"/>
          <w:sz w:val="21"/>
          <w:szCs w:val="21"/>
        </w:rPr>
        <w:t xml:space="preserve">they had contributed to education policy development and 57 per cent of our environment alumni </w:t>
      </w:r>
      <w:r w:rsidR="008904E8">
        <w:rPr>
          <w:rFonts w:ascii="Franklin Gothic Book" w:hAnsi="Franklin Gothic Book"/>
          <w:color w:val="auto"/>
          <w:sz w:val="21"/>
          <w:szCs w:val="21"/>
        </w:rPr>
        <w:t>felt</w:t>
      </w:r>
      <w:r w:rsidR="008904E8" w:rsidRPr="006850CF">
        <w:rPr>
          <w:rFonts w:ascii="Franklin Gothic Book" w:hAnsi="Franklin Gothic Book"/>
          <w:color w:val="auto"/>
          <w:sz w:val="21"/>
          <w:szCs w:val="21"/>
        </w:rPr>
        <w:t xml:space="preserve"> </w:t>
      </w:r>
      <w:r w:rsidR="00EE0FDA" w:rsidRPr="006850CF">
        <w:rPr>
          <w:rFonts w:ascii="Franklin Gothic Book" w:hAnsi="Franklin Gothic Book"/>
          <w:color w:val="auto"/>
          <w:sz w:val="21"/>
          <w:szCs w:val="21"/>
        </w:rPr>
        <w:t>they had contri</w:t>
      </w:r>
      <w:r w:rsidR="00EE0FDA">
        <w:rPr>
          <w:rFonts w:ascii="Franklin Gothic Book" w:hAnsi="Franklin Gothic Book"/>
          <w:color w:val="auto"/>
          <w:sz w:val="21"/>
          <w:szCs w:val="21"/>
        </w:rPr>
        <w:t>buted to research development.</w:t>
      </w:r>
      <w:r w:rsidR="008904E8">
        <w:rPr>
          <w:rFonts w:ascii="Franklin Gothic Book" w:hAnsi="Franklin Gothic Book"/>
          <w:color w:val="auto"/>
          <w:sz w:val="21"/>
          <w:szCs w:val="21"/>
        </w:rPr>
        <w:t xml:space="preserve"> </w:t>
      </w:r>
      <w:r w:rsidR="00EE0FDA" w:rsidRPr="004A2D5E">
        <w:rPr>
          <w:rFonts w:ascii="Franklin Gothic Book" w:hAnsi="Franklin Gothic Book" w:cs="Franklin Gothic Medium"/>
          <w:sz w:val="21"/>
          <w:szCs w:val="21"/>
        </w:rPr>
        <w:t xml:space="preserve">Despite positive results on </w:t>
      </w:r>
      <w:r w:rsidR="008904E8" w:rsidRPr="004A2D5E">
        <w:rPr>
          <w:rFonts w:ascii="Franklin Gothic Book" w:hAnsi="Franklin Gothic Book" w:cs="Franklin Gothic Medium"/>
          <w:sz w:val="21"/>
          <w:szCs w:val="21"/>
        </w:rPr>
        <w:t xml:space="preserve">alumni </w:t>
      </w:r>
      <w:r w:rsidR="00EE0FDA" w:rsidRPr="004A2D5E">
        <w:rPr>
          <w:rFonts w:ascii="Franklin Gothic Book" w:hAnsi="Franklin Gothic Book" w:cs="Franklin Gothic Medium"/>
          <w:sz w:val="21"/>
          <w:szCs w:val="21"/>
        </w:rPr>
        <w:t xml:space="preserve">contribution to their workplaces, barriers </w:t>
      </w:r>
      <w:r w:rsidR="008904E8">
        <w:rPr>
          <w:rFonts w:ascii="Franklin Gothic Book" w:hAnsi="Franklin Gothic Book" w:cs="Franklin Gothic Medium"/>
          <w:sz w:val="21"/>
          <w:szCs w:val="21"/>
        </w:rPr>
        <w:t xml:space="preserve">remain </w:t>
      </w:r>
      <w:r w:rsidR="00EE0FDA" w:rsidRPr="004A2D5E">
        <w:rPr>
          <w:rFonts w:ascii="Franklin Gothic Book" w:hAnsi="Franklin Gothic Book" w:cs="Franklin Gothic Medium"/>
          <w:sz w:val="21"/>
          <w:szCs w:val="21"/>
        </w:rPr>
        <w:t xml:space="preserve">that can limit </w:t>
      </w:r>
      <w:r w:rsidR="008904E8">
        <w:rPr>
          <w:rFonts w:ascii="Franklin Gothic Book" w:hAnsi="Franklin Gothic Book" w:cs="Franklin Gothic Medium"/>
          <w:sz w:val="21"/>
          <w:szCs w:val="21"/>
        </w:rPr>
        <w:t xml:space="preserve">their </w:t>
      </w:r>
      <w:r w:rsidR="00EE0FDA" w:rsidRPr="004A2D5E">
        <w:rPr>
          <w:rFonts w:ascii="Franklin Gothic Book" w:hAnsi="Franklin Gothic Book" w:cs="Franklin Gothic Medium"/>
          <w:sz w:val="21"/>
          <w:szCs w:val="21"/>
        </w:rPr>
        <w:t xml:space="preserve">contribution (and Australia’s investment) at the </w:t>
      </w:r>
      <w:r w:rsidR="00EE0FDA" w:rsidRPr="004A2D5E">
        <w:rPr>
          <w:rFonts w:ascii="Franklin Gothic Book" w:hAnsi="Franklin Gothic Book" w:cs="Franklin Gothic Medium"/>
          <w:i/>
          <w:sz w:val="21"/>
          <w:szCs w:val="21"/>
        </w:rPr>
        <w:t xml:space="preserve">organisational </w:t>
      </w:r>
      <w:r w:rsidR="00EE0FDA" w:rsidRPr="004A2D5E">
        <w:rPr>
          <w:rFonts w:ascii="Franklin Gothic Book" w:hAnsi="Franklin Gothic Book" w:cs="Franklin Gothic Medium"/>
          <w:sz w:val="21"/>
          <w:szCs w:val="21"/>
        </w:rPr>
        <w:t xml:space="preserve">level. </w:t>
      </w:r>
      <w:r w:rsidR="008904E8">
        <w:rPr>
          <w:rFonts w:ascii="Franklin Gothic Book" w:hAnsi="Franklin Gothic Book" w:cs="Franklin Gothic Medium"/>
          <w:sz w:val="21"/>
          <w:szCs w:val="21"/>
        </w:rPr>
        <w:t xml:space="preserve">Through </w:t>
      </w:r>
      <w:r w:rsidR="00EE0FDA">
        <w:rPr>
          <w:rFonts w:ascii="Franklin Gothic Book" w:hAnsi="Franklin Gothic Book" w:cs="Franklin Gothic Medium"/>
          <w:sz w:val="21"/>
          <w:szCs w:val="21"/>
        </w:rPr>
        <w:t xml:space="preserve">a </w:t>
      </w:r>
      <w:r w:rsidR="008904E8">
        <w:rPr>
          <w:rFonts w:ascii="Franklin Gothic Book" w:hAnsi="Franklin Gothic Book" w:cs="Franklin Gothic Medium"/>
          <w:sz w:val="21"/>
          <w:szCs w:val="21"/>
        </w:rPr>
        <w:t>‘</w:t>
      </w:r>
      <w:r w:rsidR="00EE0FDA">
        <w:rPr>
          <w:rFonts w:ascii="Franklin Gothic Book" w:hAnsi="Franklin Gothic Book" w:cs="Franklin Gothic Medium"/>
          <w:sz w:val="21"/>
          <w:szCs w:val="21"/>
        </w:rPr>
        <w:t>lessons learnt</w:t>
      </w:r>
      <w:r w:rsidR="008904E8">
        <w:rPr>
          <w:rFonts w:ascii="Franklin Gothic Book" w:hAnsi="Franklin Gothic Book" w:cs="Franklin Gothic Medium"/>
          <w:sz w:val="21"/>
          <w:szCs w:val="21"/>
        </w:rPr>
        <w:t>’</w:t>
      </w:r>
      <w:r w:rsidR="00EE0FDA">
        <w:rPr>
          <w:rFonts w:ascii="Franklin Gothic Book" w:hAnsi="Franklin Gothic Book" w:cs="Franklin Gothic Medium"/>
          <w:sz w:val="21"/>
          <w:szCs w:val="21"/>
        </w:rPr>
        <w:t xml:space="preserve"> study in 2013, we </w:t>
      </w:r>
      <w:r w:rsidR="008904E8">
        <w:rPr>
          <w:rFonts w:ascii="Franklin Gothic Book" w:hAnsi="Franklin Gothic Book" w:cs="Franklin Gothic Medium"/>
          <w:sz w:val="21"/>
          <w:szCs w:val="21"/>
        </w:rPr>
        <w:t xml:space="preserve">also </w:t>
      </w:r>
      <w:r w:rsidR="00EE0FDA">
        <w:rPr>
          <w:rFonts w:ascii="Franklin Gothic Book" w:hAnsi="Franklin Gothic Book" w:cs="Franklin Gothic Medium"/>
          <w:sz w:val="21"/>
          <w:szCs w:val="21"/>
        </w:rPr>
        <w:t xml:space="preserve">know that scholarships alone are not enough to improve organisational development.  </w:t>
      </w:r>
    </w:p>
    <w:p w:rsidR="00EE0FDA" w:rsidRPr="0087491F" w:rsidRDefault="00EE0FDA" w:rsidP="00047841">
      <w:pPr>
        <w:pStyle w:val="Default"/>
        <w:spacing w:after="120" w:line="280" w:lineRule="atLeast"/>
        <w:rPr>
          <w:rFonts w:ascii="Franklin Gothic Book" w:hAnsi="Franklin Gothic Book" w:cs="Franklin Gothic Medium"/>
          <w:color w:val="auto"/>
          <w:sz w:val="21"/>
          <w:szCs w:val="21"/>
        </w:rPr>
      </w:pPr>
      <w:r w:rsidRPr="00C32B76">
        <w:rPr>
          <w:rFonts w:ascii="Franklin Gothic Book" w:hAnsi="Franklin Gothic Book" w:cs="Franklin Gothic Medium"/>
          <w:sz w:val="21"/>
          <w:szCs w:val="21"/>
        </w:rPr>
        <w:t>In 2014-15</w:t>
      </w:r>
      <w:r w:rsidR="008904E8">
        <w:rPr>
          <w:rFonts w:ascii="Franklin Gothic Book" w:hAnsi="Franklin Gothic Book" w:cs="Franklin Gothic Medium"/>
          <w:sz w:val="21"/>
          <w:szCs w:val="21"/>
        </w:rPr>
        <w:t>,</w:t>
      </w:r>
      <w:r w:rsidRPr="00C32B76">
        <w:rPr>
          <w:rFonts w:ascii="Franklin Gothic Book" w:hAnsi="Franklin Gothic Book" w:cs="Franklin Gothic Medium"/>
          <w:sz w:val="21"/>
          <w:szCs w:val="21"/>
        </w:rPr>
        <w:t xml:space="preserve"> Australia will </w:t>
      </w:r>
      <w:r w:rsidR="008904E8">
        <w:rPr>
          <w:rFonts w:ascii="Franklin Gothic Book" w:hAnsi="Franklin Gothic Book" w:cs="Franklin Gothic Medium"/>
          <w:sz w:val="21"/>
          <w:szCs w:val="21"/>
        </w:rPr>
        <w:t>further investigate</w:t>
      </w:r>
      <w:r w:rsidRPr="00621591">
        <w:rPr>
          <w:rFonts w:ascii="Franklin Gothic Book" w:hAnsi="Franklin Gothic Book" w:cs="Franklin Gothic Medium"/>
          <w:sz w:val="21"/>
          <w:szCs w:val="21"/>
        </w:rPr>
        <w:t xml:space="preserve"> these </w:t>
      </w:r>
      <w:r>
        <w:rPr>
          <w:rFonts w:ascii="Franklin Gothic Book" w:hAnsi="Franklin Gothic Book" w:cs="Franklin Gothic Medium"/>
          <w:sz w:val="21"/>
          <w:szCs w:val="21"/>
        </w:rPr>
        <w:t xml:space="preserve">alumni </w:t>
      </w:r>
      <w:r w:rsidRPr="00621591">
        <w:rPr>
          <w:rFonts w:ascii="Franklin Gothic Book" w:hAnsi="Franklin Gothic Book" w:cs="Franklin Gothic Medium"/>
          <w:sz w:val="21"/>
          <w:szCs w:val="21"/>
        </w:rPr>
        <w:t xml:space="preserve">barriers </w:t>
      </w:r>
      <w:r w:rsidRPr="00C32B76">
        <w:rPr>
          <w:rFonts w:ascii="Franklin Gothic Book" w:hAnsi="Franklin Gothic Book" w:cs="Franklin Gothic Medium"/>
          <w:sz w:val="21"/>
          <w:szCs w:val="21"/>
        </w:rPr>
        <w:t xml:space="preserve">and design a new </w:t>
      </w:r>
      <w:r w:rsidR="008904E8">
        <w:rPr>
          <w:rFonts w:ascii="Franklin Gothic Book" w:hAnsi="Franklin Gothic Book" w:cs="Franklin Gothic Medium"/>
          <w:sz w:val="21"/>
          <w:szCs w:val="21"/>
        </w:rPr>
        <w:t xml:space="preserve">human resource development </w:t>
      </w:r>
      <w:r w:rsidRPr="00C32B76">
        <w:rPr>
          <w:rFonts w:ascii="Franklin Gothic Book" w:hAnsi="Franklin Gothic Book" w:cs="Franklin Gothic Medium"/>
          <w:sz w:val="21"/>
          <w:szCs w:val="21"/>
        </w:rPr>
        <w:t>investment</w:t>
      </w:r>
      <w:r w:rsidR="008904E8">
        <w:rPr>
          <w:rFonts w:ascii="Franklin Gothic Book" w:hAnsi="Franklin Gothic Book" w:cs="Franklin Gothic Medium"/>
          <w:sz w:val="21"/>
          <w:szCs w:val="21"/>
        </w:rPr>
        <w:t>,</w:t>
      </w:r>
      <w:r w:rsidRPr="00C32B76">
        <w:rPr>
          <w:rFonts w:ascii="Franklin Gothic Book" w:hAnsi="Franklin Gothic Book" w:cs="Franklin Gothic Medium"/>
          <w:sz w:val="21"/>
          <w:szCs w:val="21"/>
        </w:rPr>
        <w:t xml:space="preserve"> including scholarships and other complementary activities</w:t>
      </w:r>
      <w:r>
        <w:rPr>
          <w:rFonts w:ascii="Franklin Gothic Book" w:hAnsi="Franklin Gothic Book" w:cs="Franklin Gothic Medium"/>
          <w:sz w:val="21"/>
          <w:szCs w:val="21"/>
        </w:rPr>
        <w:t>.</w:t>
      </w:r>
      <w:r w:rsidRPr="00621591">
        <w:rPr>
          <w:rFonts w:ascii="Franklin Gothic Book" w:hAnsi="Franklin Gothic Book" w:cs="Franklin Gothic Medium"/>
          <w:sz w:val="21"/>
          <w:szCs w:val="21"/>
        </w:rPr>
        <w:t xml:space="preserve"> </w:t>
      </w:r>
      <w:r w:rsidR="00B45E3D">
        <w:rPr>
          <w:rFonts w:ascii="Franklin Gothic Book" w:hAnsi="Franklin Gothic Book" w:cs="Times New Roman"/>
          <w:sz w:val="21"/>
          <w:szCs w:val="21"/>
        </w:rPr>
        <w:t>Given w</w:t>
      </w:r>
      <w:r w:rsidR="003A6AFA">
        <w:rPr>
          <w:rFonts w:ascii="Franklin Gothic Book" w:hAnsi="Franklin Gothic Book" w:cs="Times New Roman"/>
          <w:sz w:val="21"/>
          <w:szCs w:val="21"/>
        </w:rPr>
        <w:t>omen are still underrepresented in leadership positions in Vietnam</w:t>
      </w:r>
      <w:r w:rsidR="00B45E3D">
        <w:rPr>
          <w:rFonts w:ascii="Franklin Gothic Book" w:hAnsi="Franklin Gothic Book" w:cs="Times New Roman"/>
          <w:sz w:val="21"/>
          <w:szCs w:val="21"/>
        </w:rPr>
        <w:t>,</w:t>
      </w:r>
      <w:r w:rsidR="003A6AFA">
        <w:rPr>
          <w:rFonts w:ascii="Franklin Gothic Book" w:hAnsi="Franklin Gothic Book" w:cs="Times New Roman"/>
          <w:sz w:val="21"/>
          <w:szCs w:val="21"/>
        </w:rPr>
        <w:t xml:space="preserve"> </w:t>
      </w:r>
      <w:r w:rsidRPr="0087491F">
        <w:rPr>
          <w:rFonts w:ascii="Franklin Gothic Book" w:hAnsi="Franklin Gothic Book" w:cs="Times New Roman"/>
          <w:sz w:val="21"/>
          <w:szCs w:val="21"/>
        </w:rPr>
        <w:t xml:space="preserve">Australia will also assess barriers affecting </w:t>
      </w:r>
      <w:r w:rsidR="00B45E3D">
        <w:rPr>
          <w:rFonts w:ascii="Franklin Gothic Book" w:hAnsi="Franklin Gothic Book" w:cs="Times New Roman"/>
          <w:sz w:val="21"/>
          <w:szCs w:val="21"/>
        </w:rPr>
        <w:t xml:space="preserve">promotion of </w:t>
      </w:r>
      <w:r w:rsidRPr="0087491F">
        <w:rPr>
          <w:rFonts w:ascii="Franklin Gothic Book" w:hAnsi="Franklin Gothic Book" w:cs="Times New Roman"/>
          <w:sz w:val="21"/>
          <w:szCs w:val="21"/>
        </w:rPr>
        <w:t xml:space="preserve">female middle-managers </w:t>
      </w:r>
      <w:r w:rsidR="00B45E3D">
        <w:rPr>
          <w:rFonts w:ascii="Franklin Gothic Book" w:hAnsi="Franklin Gothic Book" w:cs="Times New Roman"/>
          <w:sz w:val="21"/>
          <w:szCs w:val="21"/>
        </w:rPr>
        <w:t>in</w:t>
      </w:r>
      <w:r w:rsidRPr="0087491F">
        <w:rPr>
          <w:rFonts w:ascii="Franklin Gothic Book" w:hAnsi="Franklin Gothic Book" w:cs="Times New Roman"/>
          <w:sz w:val="21"/>
          <w:szCs w:val="21"/>
        </w:rPr>
        <w:t>t</w:t>
      </w:r>
      <w:r>
        <w:rPr>
          <w:rFonts w:ascii="Franklin Gothic Book" w:hAnsi="Franklin Gothic Book" w:cs="Times New Roman"/>
          <w:sz w:val="21"/>
          <w:szCs w:val="21"/>
        </w:rPr>
        <w:t>o senior</w:t>
      </w:r>
      <w:r w:rsidR="00B45E3D">
        <w:rPr>
          <w:rFonts w:ascii="Franklin Gothic Book" w:hAnsi="Franklin Gothic Book" w:cs="Times New Roman"/>
          <w:sz w:val="21"/>
          <w:szCs w:val="21"/>
        </w:rPr>
        <w:t xml:space="preserve"> </w:t>
      </w:r>
      <w:r>
        <w:rPr>
          <w:rFonts w:ascii="Franklin Gothic Book" w:hAnsi="Franklin Gothic Book" w:cs="Times New Roman"/>
          <w:sz w:val="21"/>
          <w:szCs w:val="21"/>
        </w:rPr>
        <w:t xml:space="preserve">leadership positions. </w:t>
      </w:r>
    </w:p>
    <w:p w:rsidR="006757F4" w:rsidRPr="00414FE5" w:rsidRDefault="00E6157E" w:rsidP="006757F4">
      <w:pPr>
        <w:pStyle w:val="Default"/>
        <w:spacing w:after="120" w:line="280" w:lineRule="atLeast"/>
        <w:rPr>
          <w:rFonts w:ascii="Franklin Gothic Book" w:hAnsi="Franklin Gothic Book" w:cs="Franklin Gothic Medium"/>
          <w:color w:val="auto"/>
          <w:sz w:val="21"/>
          <w:szCs w:val="21"/>
        </w:rPr>
      </w:pPr>
      <w:r>
        <w:rPr>
          <w:rFonts w:ascii="Franklin Gothic Book" w:hAnsi="Franklin Gothic Book" w:cs="Franklin Gothic Medium"/>
          <w:color w:val="auto"/>
          <w:sz w:val="21"/>
          <w:szCs w:val="21"/>
        </w:rPr>
        <w:t>We held the first alumni conference i</w:t>
      </w:r>
      <w:r w:rsidR="006757F4" w:rsidRPr="00C306F1">
        <w:rPr>
          <w:rFonts w:ascii="Franklin Gothic Book" w:hAnsi="Franklin Gothic Book" w:cs="Franklin Gothic Medium"/>
          <w:color w:val="auto"/>
          <w:sz w:val="21"/>
          <w:szCs w:val="21"/>
        </w:rPr>
        <w:t xml:space="preserve">n </w:t>
      </w:r>
      <w:r>
        <w:rPr>
          <w:rFonts w:ascii="Franklin Gothic Book" w:hAnsi="Franklin Gothic Book" w:cs="Franklin Gothic Medium"/>
          <w:color w:val="auto"/>
          <w:sz w:val="21"/>
          <w:szCs w:val="21"/>
        </w:rPr>
        <w:t xml:space="preserve">Vietnam in </w:t>
      </w:r>
      <w:r w:rsidR="006757F4" w:rsidRPr="00C306F1">
        <w:rPr>
          <w:rFonts w:ascii="Franklin Gothic Book" w:hAnsi="Franklin Gothic Book" w:cs="Franklin Gothic Medium"/>
          <w:color w:val="auto"/>
          <w:sz w:val="21"/>
          <w:szCs w:val="21"/>
        </w:rPr>
        <w:t>December 2013, br</w:t>
      </w:r>
      <w:r>
        <w:rPr>
          <w:rFonts w:ascii="Franklin Gothic Book" w:hAnsi="Franklin Gothic Book" w:cs="Franklin Gothic Medium"/>
          <w:color w:val="auto"/>
          <w:sz w:val="21"/>
          <w:szCs w:val="21"/>
        </w:rPr>
        <w:t xml:space="preserve">inging </w:t>
      </w:r>
      <w:r w:rsidR="006757F4" w:rsidRPr="00C306F1">
        <w:rPr>
          <w:rFonts w:ascii="Franklin Gothic Book" w:hAnsi="Franklin Gothic Book" w:cs="Franklin Gothic Medium"/>
          <w:color w:val="auto"/>
          <w:sz w:val="21"/>
          <w:szCs w:val="21"/>
        </w:rPr>
        <w:t>together over 300 alumni</w:t>
      </w:r>
      <w:r>
        <w:rPr>
          <w:rFonts w:ascii="Franklin Gothic Book" w:hAnsi="Franklin Gothic Book" w:cs="Franklin Gothic Medium"/>
          <w:color w:val="auto"/>
          <w:sz w:val="21"/>
          <w:szCs w:val="21"/>
        </w:rPr>
        <w:t xml:space="preserve"> and </w:t>
      </w:r>
      <w:r w:rsidR="006757F4" w:rsidRPr="00C306F1">
        <w:rPr>
          <w:rFonts w:ascii="Franklin Gothic Book" w:hAnsi="Franklin Gothic Book" w:cs="Franklin Gothic Medium"/>
          <w:color w:val="auto"/>
          <w:sz w:val="21"/>
          <w:szCs w:val="21"/>
        </w:rPr>
        <w:t>senior Australian academics</w:t>
      </w:r>
      <w:r w:rsidR="006757F4" w:rsidRPr="00C306F1">
        <w:rPr>
          <w:rFonts w:ascii="Franklin Gothic Book" w:hAnsi="Franklin Gothic Book"/>
          <w:sz w:val="21"/>
          <w:szCs w:val="21"/>
        </w:rPr>
        <w:t xml:space="preserve"> to </w:t>
      </w:r>
      <w:r w:rsidR="006757F4" w:rsidRPr="00414FE5">
        <w:rPr>
          <w:rFonts w:ascii="Franklin Gothic Book" w:hAnsi="Franklin Gothic Book"/>
          <w:sz w:val="21"/>
          <w:szCs w:val="21"/>
        </w:rPr>
        <w:t>strengthen individual and institutional linkages, provide policy advocacy opportunities, and enhance professional networking and sh</w:t>
      </w:r>
      <w:r w:rsidR="006757F4">
        <w:rPr>
          <w:rFonts w:ascii="Franklin Gothic Book" w:hAnsi="Franklin Gothic Book"/>
          <w:sz w:val="21"/>
          <w:szCs w:val="21"/>
        </w:rPr>
        <w:t xml:space="preserve">aring of research experiences. </w:t>
      </w:r>
      <w:r w:rsidR="00082817">
        <w:rPr>
          <w:rFonts w:ascii="Franklin Gothic Book" w:hAnsi="Franklin Gothic Book"/>
          <w:sz w:val="21"/>
          <w:szCs w:val="21"/>
        </w:rPr>
        <w:t>It is expected that alumni will also be engaged with the New Colombo Plan in the future.</w:t>
      </w:r>
      <w:r w:rsidR="006757F4" w:rsidRPr="00414FE5">
        <w:rPr>
          <w:rFonts w:ascii="Franklin Gothic Book" w:hAnsi="Franklin Gothic Book"/>
          <w:sz w:val="21"/>
          <w:szCs w:val="21"/>
        </w:rPr>
        <w:t xml:space="preserve"> </w:t>
      </w:r>
    </w:p>
    <w:p w:rsidR="006757F4" w:rsidRDefault="00550F83" w:rsidP="006757F4">
      <w:pPr>
        <w:pStyle w:val="Default"/>
        <w:spacing w:after="120" w:line="280" w:lineRule="atLeast"/>
        <w:rPr>
          <w:rFonts w:ascii="Franklin Gothic Book" w:hAnsi="Franklin Gothic Book" w:cs="Franklin Gothic Medium"/>
          <w:color w:val="auto"/>
          <w:sz w:val="21"/>
          <w:szCs w:val="21"/>
        </w:rPr>
      </w:pPr>
      <w:r>
        <w:rPr>
          <w:rFonts w:ascii="Franklin Gothic Book" w:hAnsi="Franklin Gothic Book" w:cs="Franklin Gothic Medium"/>
          <w:color w:val="auto"/>
          <w:sz w:val="21"/>
          <w:szCs w:val="21"/>
        </w:rPr>
        <w:t xml:space="preserve">A total of </w:t>
      </w:r>
      <w:r w:rsidR="006757F4" w:rsidRPr="00414FE5">
        <w:rPr>
          <w:rFonts w:ascii="Franklin Gothic Book" w:hAnsi="Franklin Gothic Book" w:cs="Franklin Gothic Medium"/>
          <w:color w:val="auto"/>
          <w:sz w:val="21"/>
          <w:szCs w:val="21"/>
        </w:rPr>
        <w:t xml:space="preserve">67 new </w:t>
      </w:r>
      <w:r w:rsidRPr="00414FE5">
        <w:rPr>
          <w:rFonts w:ascii="Franklin Gothic Book" w:hAnsi="Franklin Gothic Book" w:cs="Franklin Gothic Medium"/>
          <w:color w:val="auto"/>
          <w:sz w:val="21"/>
          <w:szCs w:val="21"/>
        </w:rPr>
        <w:t>Australian Volunteers for International Development</w:t>
      </w:r>
      <w:r>
        <w:rPr>
          <w:rFonts w:ascii="Franklin Gothic Book" w:hAnsi="Franklin Gothic Book" w:cs="Franklin Gothic Medium"/>
          <w:color w:val="auto"/>
          <w:sz w:val="21"/>
          <w:szCs w:val="21"/>
        </w:rPr>
        <w:t xml:space="preserve"> </w:t>
      </w:r>
      <w:r w:rsidR="006757F4" w:rsidRPr="00414FE5">
        <w:rPr>
          <w:rFonts w:ascii="Franklin Gothic Book" w:hAnsi="Franklin Gothic Book" w:cs="Franklin Gothic Medium"/>
          <w:color w:val="auto"/>
          <w:sz w:val="21"/>
          <w:szCs w:val="21"/>
        </w:rPr>
        <w:t>(</w:t>
      </w:r>
      <w:r w:rsidR="00E6157E">
        <w:rPr>
          <w:rFonts w:ascii="Franklin Gothic Book" w:hAnsi="Franklin Gothic Book" w:cs="Franklin Gothic Medium"/>
          <w:color w:val="auto"/>
          <w:sz w:val="21"/>
          <w:szCs w:val="21"/>
        </w:rPr>
        <w:t xml:space="preserve">including </w:t>
      </w:r>
      <w:r w:rsidR="006757F4" w:rsidRPr="00414FE5">
        <w:rPr>
          <w:rFonts w:ascii="Franklin Gothic Book" w:hAnsi="Franklin Gothic Book" w:cs="Franklin Gothic Medium"/>
          <w:color w:val="auto"/>
          <w:sz w:val="21"/>
          <w:szCs w:val="21"/>
        </w:rPr>
        <w:t xml:space="preserve">47 women) were placed </w:t>
      </w:r>
      <w:r w:rsidR="00E6157E">
        <w:rPr>
          <w:rFonts w:ascii="Franklin Gothic Book" w:hAnsi="Franklin Gothic Book" w:cs="Franklin Gothic Medium"/>
          <w:color w:val="auto"/>
          <w:sz w:val="21"/>
          <w:szCs w:val="21"/>
        </w:rPr>
        <w:t xml:space="preserve">in </w:t>
      </w:r>
      <w:r w:rsidR="006757F4" w:rsidRPr="00F77702">
        <w:rPr>
          <w:rFonts w:ascii="Franklin Gothic Book" w:hAnsi="Franklin Gothic Book" w:cs="Franklin Gothic Medium"/>
          <w:color w:val="auto"/>
          <w:sz w:val="21"/>
          <w:szCs w:val="21"/>
        </w:rPr>
        <w:t xml:space="preserve">organisations </w:t>
      </w:r>
      <w:r w:rsidR="008F7FCB">
        <w:rPr>
          <w:rFonts w:ascii="Franklin Gothic Book" w:hAnsi="Franklin Gothic Book" w:cs="Franklin Gothic Medium"/>
          <w:color w:val="auto"/>
          <w:sz w:val="21"/>
          <w:szCs w:val="21"/>
        </w:rPr>
        <w:t xml:space="preserve">in Vietnam </w:t>
      </w:r>
      <w:r w:rsidR="00C70934" w:rsidRPr="00A902C6">
        <w:rPr>
          <w:rFonts w:ascii="Franklin Gothic Book" w:hAnsi="Franklin Gothic Book" w:cs="Franklin Gothic Medium"/>
          <w:color w:val="auto"/>
          <w:sz w:val="21"/>
          <w:szCs w:val="21"/>
        </w:rPr>
        <w:t>in 2013-14</w:t>
      </w:r>
      <w:r w:rsidR="00C70934" w:rsidRPr="00F77702">
        <w:rPr>
          <w:rFonts w:ascii="Franklin Gothic Book" w:hAnsi="Franklin Gothic Book" w:cs="Franklin Gothic Medium"/>
          <w:color w:val="auto"/>
          <w:sz w:val="21"/>
          <w:szCs w:val="21"/>
        </w:rPr>
        <w:t xml:space="preserve"> </w:t>
      </w:r>
      <w:r w:rsidR="006757F4" w:rsidRPr="0067683C">
        <w:rPr>
          <w:rFonts w:ascii="Franklin Gothic Book" w:hAnsi="Franklin Gothic Book" w:cs="Franklin Gothic Medium"/>
          <w:color w:val="auto"/>
          <w:sz w:val="21"/>
          <w:szCs w:val="21"/>
        </w:rPr>
        <w:t>to build</w:t>
      </w:r>
      <w:r w:rsidR="006757F4" w:rsidRPr="00414FE5">
        <w:rPr>
          <w:rFonts w:ascii="Franklin Gothic Book" w:hAnsi="Franklin Gothic Book" w:cs="Franklin Gothic Medium"/>
          <w:color w:val="auto"/>
          <w:sz w:val="21"/>
          <w:szCs w:val="21"/>
        </w:rPr>
        <w:t xml:space="preserve"> their cap</w:t>
      </w:r>
      <w:r w:rsidR="006757F4">
        <w:rPr>
          <w:rFonts w:ascii="Franklin Gothic Book" w:hAnsi="Franklin Gothic Book" w:cs="Franklin Gothic Medium"/>
          <w:color w:val="auto"/>
          <w:sz w:val="21"/>
          <w:szCs w:val="21"/>
        </w:rPr>
        <w:t>acity and people-</w:t>
      </w:r>
      <w:r w:rsidR="00E6157E">
        <w:rPr>
          <w:rFonts w:ascii="Franklin Gothic Book" w:hAnsi="Franklin Gothic Book" w:cs="Franklin Gothic Medium"/>
          <w:color w:val="auto"/>
          <w:sz w:val="21"/>
          <w:szCs w:val="21"/>
        </w:rPr>
        <w:t>to-</w:t>
      </w:r>
      <w:r w:rsidR="006757F4">
        <w:rPr>
          <w:rFonts w:ascii="Franklin Gothic Book" w:hAnsi="Franklin Gothic Book" w:cs="Franklin Gothic Medium"/>
          <w:color w:val="auto"/>
          <w:sz w:val="21"/>
          <w:szCs w:val="21"/>
        </w:rPr>
        <w:t>people links.</w:t>
      </w:r>
    </w:p>
    <w:p w:rsidR="006757F4" w:rsidRPr="00082817" w:rsidRDefault="006757F4" w:rsidP="006757F4">
      <w:pPr>
        <w:pStyle w:val="Default"/>
        <w:spacing w:after="120" w:line="280" w:lineRule="atLeast"/>
        <w:rPr>
          <w:rFonts w:ascii="Franklin Gothic Book" w:hAnsi="Franklin Gothic Book" w:cs="Franklin Gothic Book"/>
          <w:sz w:val="21"/>
          <w:szCs w:val="21"/>
        </w:rPr>
      </w:pPr>
      <w:r w:rsidRPr="00047841">
        <w:rPr>
          <w:rFonts w:ascii="Franklin Gothic Book" w:hAnsi="Franklin Gothic Book" w:cs="Franklin Gothic Book"/>
          <w:color w:val="auto"/>
          <w:sz w:val="21"/>
          <w:szCs w:val="21"/>
        </w:rPr>
        <w:t>Australia</w:t>
      </w:r>
      <w:r>
        <w:rPr>
          <w:rFonts w:ascii="Franklin Gothic Book" w:hAnsi="Franklin Gothic Book" w:cs="Franklin Gothic Book"/>
          <w:color w:val="auto"/>
          <w:sz w:val="21"/>
          <w:szCs w:val="21"/>
        </w:rPr>
        <w:t xml:space="preserve"> is increasing its</w:t>
      </w:r>
      <w:r w:rsidRPr="00047841">
        <w:rPr>
          <w:rFonts w:ascii="Franklin Gothic Book" w:hAnsi="Franklin Gothic Book" w:cs="Franklin Gothic Book"/>
          <w:color w:val="auto"/>
          <w:sz w:val="21"/>
          <w:szCs w:val="21"/>
        </w:rPr>
        <w:t xml:space="preserve"> policy dialogue </w:t>
      </w:r>
      <w:r>
        <w:rPr>
          <w:rFonts w:ascii="Franklin Gothic Book" w:hAnsi="Franklin Gothic Book" w:cs="Franklin Gothic Book"/>
          <w:color w:val="auto"/>
          <w:sz w:val="21"/>
          <w:szCs w:val="21"/>
        </w:rPr>
        <w:t xml:space="preserve">and influence in Vietnam </w:t>
      </w:r>
      <w:r w:rsidRPr="00C306F1">
        <w:rPr>
          <w:rFonts w:ascii="Franklin Gothic Book" w:hAnsi="Franklin Gothic Book" w:cs="Franklin Gothic Book"/>
          <w:color w:val="auto"/>
          <w:sz w:val="21"/>
          <w:szCs w:val="21"/>
        </w:rPr>
        <w:t>through the Australia-Vietnam</w:t>
      </w:r>
      <w:r w:rsidRPr="00047841">
        <w:rPr>
          <w:rFonts w:ascii="Franklin Gothic Book" w:hAnsi="Franklin Gothic Book" w:cs="Franklin Gothic Book"/>
          <w:color w:val="auto"/>
          <w:sz w:val="21"/>
          <w:szCs w:val="21"/>
        </w:rPr>
        <w:t xml:space="preserve"> </w:t>
      </w:r>
      <w:r w:rsidRPr="00C306F1">
        <w:rPr>
          <w:rFonts w:ascii="Franklin Gothic Book" w:eastAsia="Times New Roman" w:hAnsi="Franklin Gothic Book"/>
          <w:color w:val="auto"/>
          <w:sz w:val="21"/>
          <w:szCs w:val="21"/>
        </w:rPr>
        <w:t xml:space="preserve">Joint Working Group on Education and Training, </w:t>
      </w:r>
      <w:r w:rsidRPr="00C306F1">
        <w:rPr>
          <w:rFonts w:ascii="Franklin Gothic Book" w:hAnsi="Franklin Gothic Book" w:cs="Franklin Gothic Book"/>
          <w:color w:val="auto"/>
          <w:sz w:val="21"/>
          <w:szCs w:val="21"/>
        </w:rPr>
        <w:t>the Vietnam Development Partnersh</w:t>
      </w:r>
      <w:r w:rsidRPr="00025E3B">
        <w:rPr>
          <w:rFonts w:ascii="Franklin Gothic Book" w:hAnsi="Franklin Gothic Book" w:cs="Franklin Gothic Book"/>
          <w:color w:val="auto"/>
          <w:sz w:val="21"/>
          <w:szCs w:val="21"/>
        </w:rPr>
        <w:t>ips Forum TVET Network</w:t>
      </w:r>
      <w:r w:rsidRPr="00025E3B">
        <w:rPr>
          <w:rFonts w:ascii="Franklin Gothic Book" w:eastAsia="Times New Roman" w:hAnsi="Franklin Gothic Book"/>
          <w:color w:val="auto"/>
          <w:sz w:val="21"/>
          <w:szCs w:val="21"/>
        </w:rPr>
        <w:t xml:space="preserve"> and multi-lateral forums such as APEC and the East Asia Summit</w:t>
      </w:r>
      <w:r>
        <w:rPr>
          <w:rFonts w:ascii="Franklin Gothic Book" w:eastAsia="Times New Roman" w:hAnsi="Franklin Gothic Book"/>
          <w:color w:val="auto"/>
          <w:sz w:val="21"/>
          <w:szCs w:val="21"/>
        </w:rPr>
        <w:t xml:space="preserve">. These forums inform </w:t>
      </w:r>
      <w:r w:rsidRPr="00025E3B">
        <w:rPr>
          <w:rFonts w:ascii="Franklin Gothic Book" w:eastAsia="Times New Roman" w:hAnsi="Franklin Gothic Book"/>
          <w:color w:val="auto"/>
          <w:sz w:val="21"/>
          <w:szCs w:val="21"/>
        </w:rPr>
        <w:t>education reforms related to human resource developmen</w:t>
      </w:r>
      <w:r>
        <w:rPr>
          <w:rFonts w:ascii="Franklin Gothic Book" w:eastAsia="Times New Roman" w:hAnsi="Franklin Gothic Book"/>
          <w:color w:val="auto"/>
          <w:sz w:val="21"/>
          <w:szCs w:val="21"/>
        </w:rPr>
        <w:t>t</w:t>
      </w:r>
      <w:r w:rsidR="00944B7A">
        <w:rPr>
          <w:rFonts w:ascii="Franklin Gothic Book" w:eastAsia="Times New Roman" w:hAnsi="Franklin Gothic Book"/>
          <w:sz w:val="21"/>
          <w:szCs w:val="21"/>
        </w:rPr>
        <w:t>, quality assurance and qualifications recognition</w:t>
      </w:r>
      <w:r>
        <w:rPr>
          <w:rFonts w:ascii="Franklin Gothic Book" w:eastAsia="Times New Roman" w:hAnsi="Franklin Gothic Book"/>
          <w:color w:val="auto"/>
          <w:sz w:val="21"/>
          <w:szCs w:val="21"/>
        </w:rPr>
        <w:t xml:space="preserve">. </w:t>
      </w:r>
      <w:r w:rsidRPr="00025E3B">
        <w:rPr>
          <w:rFonts w:ascii="Franklin Gothic Book" w:eastAsia="Times New Roman" w:hAnsi="Franklin Gothic Book"/>
          <w:color w:val="auto"/>
          <w:sz w:val="21"/>
          <w:szCs w:val="21"/>
        </w:rPr>
        <w:t xml:space="preserve">Key achievements in 2013-14 include </w:t>
      </w:r>
      <w:r w:rsidR="000A2D76">
        <w:rPr>
          <w:rFonts w:ascii="Franklin Gothic Book" w:eastAsia="Times New Roman" w:hAnsi="Franklin Gothic Book"/>
          <w:color w:val="auto"/>
          <w:sz w:val="21"/>
          <w:szCs w:val="21"/>
        </w:rPr>
        <w:t xml:space="preserve">providing </w:t>
      </w:r>
      <w:r w:rsidRPr="00025E3B">
        <w:rPr>
          <w:rFonts w:ascii="Franklin Gothic Book" w:eastAsia="Times New Roman" w:hAnsi="Franklin Gothic Book"/>
          <w:color w:val="auto"/>
          <w:sz w:val="21"/>
          <w:szCs w:val="21"/>
        </w:rPr>
        <w:t xml:space="preserve">policy advice to assist </w:t>
      </w:r>
      <w:r w:rsidR="000A2D76">
        <w:rPr>
          <w:rFonts w:ascii="Franklin Gothic Book" w:eastAsia="Times New Roman" w:hAnsi="Franklin Gothic Book"/>
          <w:color w:val="auto"/>
          <w:sz w:val="21"/>
          <w:szCs w:val="21"/>
        </w:rPr>
        <w:t xml:space="preserve">a Government of </w:t>
      </w:r>
      <w:r w:rsidRPr="00025E3B">
        <w:rPr>
          <w:rFonts w:ascii="Franklin Gothic Book" w:eastAsia="Times New Roman" w:hAnsi="Franklin Gothic Book"/>
          <w:color w:val="auto"/>
          <w:sz w:val="21"/>
          <w:szCs w:val="21"/>
        </w:rPr>
        <w:t xml:space="preserve">Vietnam funded project </w:t>
      </w:r>
      <w:r w:rsidR="000A2D76">
        <w:rPr>
          <w:rFonts w:ascii="Franklin Gothic Book" w:eastAsia="Times New Roman" w:hAnsi="Franklin Gothic Book"/>
          <w:color w:val="auto"/>
          <w:sz w:val="21"/>
          <w:szCs w:val="21"/>
        </w:rPr>
        <w:t xml:space="preserve">to </w:t>
      </w:r>
      <w:r w:rsidRPr="00025E3B">
        <w:rPr>
          <w:rFonts w:ascii="Franklin Gothic Book" w:eastAsia="Times New Roman" w:hAnsi="Franklin Gothic Book"/>
          <w:color w:val="auto"/>
          <w:sz w:val="21"/>
          <w:szCs w:val="21"/>
        </w:rPr>
        <w:t xml:space="preserve">train </w:t>
      </w:r>
      <w:r w:rsidR="000A2D76">
        <w:rPr>
          <w:rFonts w:ascii="Franklin Gothic Book" w:eastAsia="Times New Roman" w:hAnsi="Franklin Gothic Book"/>
          <w:color w:val="auto"/>
          <w:sz w:val="21"/>
          <w:szCs w:val="21"/>
        </w:rPr>
        <w:t>T</w:t>
      </w:r>
      <w:r w:rsidRPr="00025E3B">
        <w:rPr>
          <w:rFonts w:ascii="Franklin Gothic Book" w:eastAsia="Times New Roman" w:hAnsi="Franklin Gothic Book"/>
          <w:color w:val="auto"/>
          <w:sz w:val="21"/>
          <w:szCs w:val="21"/>
        </w:rPr>
        <w:t>VET teachers in Australia</w:t>
      </w:r>
      <w:r w:rsidR="000A2D76">
        <w:rPr>
          <w:rFonts w:ascii="Franklin Gothic Book" w:eastAsia="Times New Roman" w:hAnsi="Franklin Gothic Book"/>
          <w:color w:val="auto"/>
          <w:sz w:val="21"/>
          <w:szCs w:val="21"/>
        </w:rPr>
        <w:t>,</w:t>
      </w:r>
      <w:r w:rsidRPr="00025E3B">
        <w:rPr>
          <w:rFonts w:ascii="Franklin Gothic Book" w:eastAsia="Times New Roman" w:hAnsi="Franklin Gothic Book"/>
          <w:color w:val="auto"/>
          <w:sz w:val="21"/>
          <w:szCs w:val="21"/>
        </w:rPr>
        <w:t xml:space="preserve"> </w:t>
      </w:r>
      <w:r>
        <w:rPr>
          <w:rFonts w:ascii="Franklin Gothic Book" w:eastAsia="Times New Roman" w:hAnsi="Franklin Gothic Book"/>
          <w:color w:val="auto"/>
          <w:sz w:val="21"/>
          <w:szCs w:val="21"/>
        </w:rPr>
        <w:t xml:space="preserve">and </w:t>
      </w:r>
      <w:r w:rsidR="000A2D76">
        <w:rPr>
          <w:rFonts w:ascii="Franklin Gothic Book" w:eastAsia="Times New Roman" w:hAnsi="Franklin Gothic Book"/>
          <w:color w:val="auto"/>
          <w:sz w:val="21"/>
          <w:szCs w:val="21"/>
        </w:rPr>
        <w:t xml:space="preserve">workshops to </w:t>
      </w:r>
      <w:r w:rsidRPr="00025E3B">
        <w:rPr>
          <w:rFonts w:ascii="Franklin Gothic Book" w:eastAsia="Times New Roman" w:hAnsi="Franklin Gothic Book"/>
          <w:color w:val="auto"/>
          <w:sz w:val="21"/>
          <w:szCs w:val="21"/>
        </w:rPr>
        <w:t>enhanc</w:t>
      </w:r>
      <w:r w:rsidR="000A2D76">
        <w:rPr>
          <w:rFonts w:ascii="Franklin Gothic Book" w:eastAsia="Times New Roman" w:hAnsi="Franklin Gothic Book"/>
          <w:color w:val="auto"/>
          <w:sz w:val="21"/>
          <w:szCs w:val="21"/>
        </w:rPr>
        <w:t>e</w:t>
      </w:r>
      <w:r w:rsidRPr="00025E3B">
        <w:rPr>
          <w:rFonts w:ascii="Franklin Gothic Book" w:eastAsia="Times New Roman" w:hAnsi="Franklin Gothic Book"/>
          <w:color w:val="auto"/>
          <w:sz w:val="21"/>
          <w:szCs w:val="21"/>
        </w:rPr>
        <w:t xml:space="preserve"> institutional cooperation between </w:t>
      </w:r>
      <w:r w:rsidR="000A2D76">
        <w:rPr>
          <w:rFonts w:ascii="Franklin Gothic Book" w:eastAsia="Times New Roman" w:hAnsi="Franklin Gothic Book"/>
          <w:color w:val="auto"/>
          <w:sz w:val="21"/>
          <w:szCs w:val="21"/>
        </w:rPr>
        <w:t xml:space="preserve">Vietnam’s </w:t>
      </w:r>
      <w:r w:rsidRPr="00025E3B">
        <w:rPr>
          <w:rFonts w:ascii="Franklin Gothic Book" w:eastAsia="Times New Roman" w:hAnsi="Franklin Gothic Book"/>
          <w:color w:val="auto"/>
          <w:sz w:val="21"/>
          <w:szCs w:val="21"/>
        </w:rPr>
        <w:t>M</w:t>
      </w:r>
      <w:r w:rsidR="000A2D76">
        <w:rPr>
          <w:rFonts w:ascii="Franklin Gothic Book" w:eastAsia="Times New Roman" w:hAnsi="Franklin Gothic Book"/>
          <w:color w:val="auto"/>
          <w:sz w:val="21"/>
          <w:szCs w:val="21"/>
        </w:rPr>
        <w:t xml:space="preserve">inistry of </w:t>
      </w:r>
      <w:r w:rsidRPr="00025E3B">
        <w:rPr>
          <w:rFonts w:ascii="Franklin Gothic Book" w:eastAsia="Times New Roman" w:hAnsi="Franklin Gothic Book"/>
          <w:color w:val="auto"/>
          <w:sz w:val="21"/>
          <w:szCs w:val="21"/>
        </w:rPr>
        <w:t>E</w:t>
      </w:r>
      <w:r w:rsidR="000A2D76">
        <w:rPr>
          <w:rFonts w:ascii="Franklin Gothic Book" w:eastAsia="Times New Roman" w:hAnsi="Franklin Gothic Book"/>
          <w:color w:val="auto"/>
          <w:sz w:val="21"/>
          <w:szCs w:val="21"/>
        </w:rPr>
        <w:t xml:space="preserve">ducation and </w:t>
      </w:r>
      <w:r w:rsidRPr="00025E3B">
        <w:rPr>
          <w:rFonts w:ascii="Franklin Gothic Book" w:eastAsia="Times New Roman" w:hAnsi="Franklin Gothic Book"/>
          <w:color w:val="auto"/>
          <w:sz w:val="21"/>
          <w:szCs w:val="21"/>
        </w:rPr>
        <w:t>T</w:t>
      </w:r>
      <w:r w:rsidR="000A2D76">
        <w:rPr>
          <w:rFonts w:ascii="Franklin Gothic Book" w:eastAsia="Times New Roman" w:hAnsi="Franklin Gothic Book"/>
          <w:color w:val="auto"/>
          <w:sz w:val="21"/>
          <w:szCs w:val="21"/>
        </w:rPr>
        <w:t>raining</w:t>
      </w:r>
      <w:r w:rsidRPr="00025E3B">
        <w:rPr>
          <w:rFonts w:ascii="Franklin Gothic Book" w:eastAsia="Times New Roman" w:hAnsi="Franklin Gothic Book"/>
          <w:color w:val="auto"/>
          <w:sz w:val="21"/>
          <w:szCs w:val="21"/>
        </w:rPr>
        <w:t xml:space="preserve"> and the Australian Tertiary Education Quality Standards </w:t>
      </w:r>
      <w:r w:rsidRPr="00025E3B">
        <w:rPr>
          <w:rFonts w:ascii="Franklin Gothic Book" w:eastAsia="Times New Roman" w:hAnsi="Franklin Gothic Book"/>
          <w:color w:val="auto"/>
          <w:sz w:val="21"/>
          <w:szCs w:val="21"/>
        </w:rPr>
        <w:lastRenderedPageBreak/>
        <w:t>Agency</w:t>
      </w:r>
      <w:r w:rsidR="00944B7A">
        <w:rPr>
          <w:rFonts w:ascii="Franklin Gothic Book" w:eastAsia="Times New Roman" w:hAnsi="Franklin Gothic Book"/>
          <w:color w:val="auto"/>
          <w:sz w:val="21"/>
          <w:szCs w:val="21"/>
        </w:rPr>
        <w:t xml:space="preserve">, </w:t>
      </w:r>
      <w:r w:rsidR="00082817">
        <w:rPr>
          <w:rFonts w:ascii="Franklin Gothic Book" w:hAnsi="Franklin Gothic Book" w:cs="Franklin Gothic Book"/>
          <w:sz w:val="21"/>
          <w:szCs w:val="21"/>
        </w:rPr>
        <w:t xml:space="preserve">Australia has committed </w:t>
      </w:r>
      <w:r w:rsidR="00082817" w:rsidRPr="00CF4AE6">
        <w:rPr>
          <w:rFonts w:ascii="Franklin Gothic Book" w:hAnsi="Franklin Gothic Book" w:cs="Franklin Gothic Book"/>
          <w:sz w:val="21"/>
          <w:szCs w:val="21"/>
        </w:rPr>
        <w:t>to provide funding for leadership and management training of approximately 45 rectors of Vietnamese VET colleges in Australia.</w:t>
      </w:r>
      <w:r w:rsidR="00082817">
        <w:rPr>
          <w:rFonts w:ascii="Franklin Gothic Book" w:hAnsi="Franklin Gothic Book" w:cs="Franklin Gothic Book"/>
          <w:sz w:val="21"/>
          <w:szCs w:val="21"/>
        </w:rPr>
        <w:t xml:space="preserve"> </w:t>
      </w:r>
    </w:p>
    <w:p w:rsidR="00481142" w:rsidRPr="00661ADA" w:rsidRDefault="0018128A" w:rsidP="00481142">
      <w:pPr>
        <w:pStyle w:val="Heading3"/>
      </w:pPr>
      <w:r w:rsidRPr="00C57923">
        <w:t xml:space="preserve">Objective </w:t>
      </w:r>
      <w:r>
        <w:t xml:space="preserve">2: Develop better transport infrastructure and policy to support economic integration </w:t>
      </w:r>
    </w:p>
    <w:tbl>
      <w:tblPr>
        <w:tblStyle w:val="APPR"/>
        <w:tblW w:w="5000" w:type="pct"/>
        <w:tblLook w:val="01E0" w:firstRow="1" w:lastRow="1" w:firstColumn="1" w:lastColumn="1" w:noHBand="0" w:noVBand="0"/>
      </w:tblPr>
      <w:tblGrid>
        <w:gridCol w:w="7623"/>
        <w:gridCol w:w="1890"/>
      </w:tblGrid>
      <w:tr w:rsidR="00481142" w:rsidRPr="00745FE3" w:rsidTr="00292D96">
        <w:trPr>
          <w:cnfStyle w:val="100000000000" w:firstRow="1" w:lastRow="0" w:firstColumn="0" w:lastColumn="0" w:oddVBand="0" w:evenVBand="0" w:oddHBand="0" w:evenHBand="0" w:firstRowFirstColumn="0" w:firstRowLastColumn="0" w:lastRowFirstColumn="0" w:lastRowLastColumn="0"/>
        </w:trPr>
        <w:tc>
          <w:tcPr>
            <w:tcW w:w="3981" w:type="pct"/>
          </w:tcPr>
          <w:p w:rsidR="00481142" w:rsidRPr="00A51634" w:rsidRDefault="00481142" w:rsidP="006F696C">
            <w:pPr>
              <w:pStyle w:val="TableTextEntries"/>
              <w:rPr>
                <w:rFonts w:eastAsia="Calibri"/>
              </w:rPr>
            </w:pPr>
            <w:r w:rsidRPr="00A51634">
              <w:rPr>
                <w:rFonts w:eastAsia="Calibri"/>
              </w:rPr>
              <w:t xml:space="preserve">Development outcome: </w:t>
            </w:r>
            <w:r w:rsidR="006F696C">
              <w:rPr>
                <w:rFonts w:eastAsia="Calibri"/>
              </w:rPr>
              <w:t>All PAF milestones to improve</w:t>
            </w:r>
            <w:r w:rsidRPr="00481142">
              <w:rPr>
                <w:rFonts w:eastAsia="Calibri"/>
              </w:rPr>
              <w:t xml:space="preserve"> transport infrastructure and policy to support economic integration </w:t>
            </w:r>
            <w:r w:rsidR="006F696C">
              <w:rPr>
                <w:rFonts w:eastAsia="Calibri"/>
              </w:rPr>
              <w:t>were met in 2013-14.</w:t>
            </w:r>
          </w:p>
        </w:tc>
        <w:tc>
          <w:tcPr>
            <w:tcW w:w="971" w:type="pct"/>
            <w:shd w:val="clear" w:color="auto" w:fill="92D050"/>
          </w:tcPr>
          <w:p w:rsidR="00481142" w:rsidRPr="00A51634" w:rsidRDefault="00481142" w:rsidP="00292D96">
            <w:pPr>
              <w:pStyle w:val="TableTextEntries"/>
              <w:jc w:val="center"/>
              <w:rPr>
                <w:rFonts w:eastAsia="Calibri"/>
              </w:rPr>
            </w:pPr>
            <w:r w:rsidRPr="00A51634">
              <w:rPr>
                <w:rFonts w:eastAsia="Calibri"/>
              </w:rPr>
              <w:t>Green</w:t>
            </w:r>
          </w:p>
        </w:tc>
      </w:tr>
    </w:tbl>
    <w:p w:rsidR="00481142" w:rsidRPr="00180B19" w:rsidRDefault="00481142" w:rsidP="00F832B6">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C168EC" w:rsidRDefault="000874DF" w:rsidP="00047841">
      <w:pPr>
        <w:pStyle w:val="ListParagraph"/>
        <w:numPr>
          <w:ilvl w:val="0"/>
          <w:numId w:val="0"/>
        </w:numPr>
        <w:spacing w:line="280" w:lineRule="atLeast"/>
        <w:rPr>
          <w:rFonts w:ascii="Franklin Gothic Book" w:hAnsi="Franklin Gothic Book"/>
          <w:sz w:val="21"/>
        </w:rPr>
      </w:pPr>
      <w:r>
        <w:rPr>
          <w:rFonts w:ascii="Franklin Gothic Book" w:hAnsi="Franklin Gothic Book"/>
          <w:sz w:val="21"/>
        </w:rPr>
        <w:t xml:space="preserve">This </w:t>
      </w:r>
      <w:r w:rsidR="000808C3" w:rsidRPr="004A2D5E">
        <w:rPr>
          <w:rFonts w:ascii="Franklin Gothic Book" w:hAnsi="Franklin Gothic Book"/>
          <w:sz w:val="21"/>
        </w:rPr>
        <w:t xml:space="preserve">objective supports </w:t>
      </w:r>
      <w:r w:rsidR="00C168EC">
        <w:rPr>
          <w:rFonts w:ascii="Franklin Gothic Book" w:hAnsi="Franklin Gothic Book"/>
          <w:sz w:val="21"/>
        </w:rPr>
        <w:t xml:space="preserve">Vietnam’s </w:t>
      </w:r>
      <w:r w:rsidR="00BB7F3E">
        <w:rPr>
          <w:rFonts w:ascii="Franklin Gothic Book" w:hAnsi="Franklin Gothic Book"/>
          <w:sz w:val="21"/>
        </w:rPr>
        <w:t xml:space="preserve">SEDP </w:t>
      </w:r>
      <w:r w:rsidR="000F53F9">
        <w:rPr>
          <w:rFonts w:ascii="Franklin Gothic Book" w:hAnsi="Franklin Gothic Book"/>
          <w:sz w:val="21"/>
        </w:rPr>
        <w:t>2011-15</w:t>
      </w:r>
      <w:r w:rsidR="00C168EC">
        <w:rPr>
          <w:rFonts w:ascii="Franklin Gothic Book" w:hAnsi="Franklin Gothic Book"/>
          <w:sz w:val="21"/>
        </w:rPr>
        <w:t xml:space="preserve">, namely </w:t>
      </w:r>
      <w:r w:rsidR="000808C3" w:rsidRPr="004A2D5E">
        <w:rPr>
          <w:rFonts w:ascii="Franklin Gothic Book" w:hAnsi="Franklin Gothic Book"/>
          <w:sz w:val="21"/>
        </w:rPr>
        <w:t>infrastructure</w:t>
      </w:r>
      <w:r w:rsidR="00ED1917">
        <w:rPr>
          <w:rFonts w:ascii="Franklin Gothic Book" w:hAnsi="Franklin Gothic Book"/>
          <w:sz w:val="21"/>
        </w:rPr>
        <w:t xml:space="preserve"> development</w:t>
      </w:r>
      <w:r w:rsidR="00C168EC">
        <w:rPr>
          <w:rFonts w:ascii="Franklin Gothic Book" w:hAnsi="Franklin Gothic Book"/>
          <w:sz w:val="21"/>
        </w:rPr>
        <w:t xml:space="preserve"> </w:t>
      </w:r>
      <w:r w:rsidR="000808C3" w:rsidRPr="004A2D5E">
        <w:rPr>
          <w:rFonts w:ascii="Franklin Gothic Book" w:hAnsi="Franklin Gothic Book"/>
          <w:sz w:val="21"/>
        </w:rPr>
        <w:t xml:space="preserve">and </w:t>
      </w:r>
      <w:r w:rsidR="00BB718C">
        <w:rPr>
          <w:rFonts w:ascii="Franklin Gothic Book" w:hAnsi="Franklin Gothic Book"/>
          <w:sz w:val="21"/>
        </w:rPr>
        <w:t>improv</w:t>
      </w:r>
      <w:r w:rsidR="00ED1917">
        <w:rPr>
          <w:rFonts w:ascii="Franklin Gothic Book" w:hAnsi="Franklin Gothic Book"/>
          <w:sz w:val="21"/>
        </w:rPr>
        <w:t>ing</w:t>
      </w:r>
      <w:r w:rsidR="00BB718C">
        <w:rPr>
          <w:rFonts w:ascii="Franklin Gothic Book" w:hAnsi="Franklin Gothic Book"/>
          <w:sz w:val="21"/>
        </w:rPr>
        <w:t xml:space="preserve"> market institutions</w:t>
      </w:r>
      <w:r w:rsidR="006F226B">
        <w:rPr>
          <w:rFonts w:ascii="Franklin Gothic Book" w:hAnsi="Franklin Gothic Book"/>
          <w:sz w:val="21"/>
        </w:rPr>
        <w:t xml:space="preserve"> </w:t>
      </w:r>
      <w:r w:rsidR="00770229">
        <w:rPr>
          <w:rFonts w:ascii="Franklin Gothic Book" w:hAnsi="Franklin Gothic Book"/>
          <w:sz w:val="21"/>
        </w:rPr>
        <w:t xml:space="preserve">that </w:t>
      </w:r>
      <w:r w:rsidR="006F226B">
        <w:rPr>
          <w:rFonts w:ascii="Franklin Gothic Book" w:hAnsi="Franklin Gothic Book"/>
          <w:sz w:val="21"/>
        </w:rPr>
        <w:t xml:space="preserve">are essential </w:t>
      </w:r>
      <w:r w:rsidR="006F226B">
        <w:rPr>
          <w:rFonts w:ascii="Franklin Gothic Book" w:hAnsi="Franklin Gothic Book"/>
          <w:sz w:val="21"/>
          <w:szCs w:val="21"/>
        </w:rPr>
        <w:t xml:space="preserve">for </w:t>
      </w:r>
      <w:r w:rsidR="00C168EC">
        <w:rPr>
          <w:rFonts w:ascii="Franklin Gothic Book" w:hAnsi="Franklin Gothic Book"/>
          <w:sz w:val="21"/>
          <w:szCs w:val="21"/>
        </w:rPr>
        <w:t xml:space="preserve">Vietnam </w:t>
      </w:r>
      <w:r w:rsidR="006F226B">
        <w:rPr>
          <w:rFonts w:ascii="Franklin Gothic Book" w:hAnsi="Franklin Gothic Book"/>
          <w:sz w:val="21"/>
          <w:szCs w:val="21"/>
        </w:rPr>
        <w:t>to become an industrialised country by 2020</w:t>
      </w:r>
      <w:r w:rsidR="00C168EC">
        <w:rPr>
          <w:rFonts w:ascii="Franklin Gothic Book" w:hAnsi="Franklin Gothic Book"/>
          <w:sz w:val="21"/>
          <w:szCs w:val="21"/>
        </w:rPr>
        <w:t>.</w:t>
      </w:r>
      <w:r w:rsidR="006F226B" w:rsidRPr="00837906">
        <w:rPr>
          <w:rFonts w:ascii="Franklin Gothic Book" w:hAnsi="Franklin Gothic Book"/>
          <w:sz w:val="21"/>
          <w:szCs w:val="21"/>
        </w:rPr>
        <w:t xml:space="preserve"> </w:t>
      </w:r>
      <w:r w:rsidR="00770229">
        <w:rPr>
          <w:rFonts w:ascii="Franklin Gothic Book" w:hAnsi="Franklin Gothic Book"/>
          <w:sz w:val="21"/>
          <w:szCs w:val="21"/>
        </w:rPr>
        <w:t xml:space="preserve">Complementing the SEDP 2011-15 is </w:t>
      </w:r>
      <w:r w:rsidR="00C168EC">
        <w:rPr>
          <w:rFonts w:ascii="Franklin Gothic Book" w:hAnsi="Franklin Gothic Book"/>
          <w:sz w:val="21"/>
          <w:szCs w:val="21"/>
        </w:rPr>
        <w:t xml:space="preserve">Vietnam’s </w:t>
      </w:r>
      <w:r w:rsidR="000808C3" w:rsidRPr="00837906">
        <w:rPr>
          <w:rFonts w:ascii="Franklin Gothic Book" w:hAnsi="Franklin Gothic Book"/>
          <w:i/>
          <w:sz w:val="21"/>
          <w:szCs w:val="21"/>
        </w:rPr>
        <w:t>Master Plan for Economic</w:t>
      </w:r>
      <w:r w:rsidR="000808C3" w:rsidRPr="00837906">
        <w:rPr>
          <w:rFonts w:ascii="Franklin Gothic Book" w:hAnsi="Franklin Gothic Book"/>
          <w:i/>
          <w:sz w:val="21"/>
        </w:rPr>
        <w:t xml:space="preserve"> </w:t>
      </w:r>
      <w:r w:rsidR="006757F4" w:rsidRPr="00837906">
        <w:rPr>
          <w:rFonts w:ascii="Franklin Gothic Book" w:hAnsi="Franklin Gothic Book"/>
          <w:i/>
          <w:sz w:val="21"/>
        </w:rPr>
        <w:t>Restructuring 2013-20</w:t>
      </w:r>
      <w:r w:rsidR="006757F4" w:rsidRPr="004A2D5E">
        <w:rPr>
          <w:rFonts w:ascii="Franklin Gothic Book" w:hAnsi="Franklin Gothic Book"/>
          <w:sz w:val="21"/>
        </w:rPr>
        <w:t xml:space="preserve"> </w:t>
      </w:r>
      <w:r w:rsidR="00770229">
        <w:rPr>
          <w:rFonts w:ascii="Franklin Gothic Book" w:hAnsi="Franklin Gothic Book"/>
          <w:sz w:val="21"/>
        </w:rPr>
        <w:t xml:space="preserve"> that </w:t>
      </w:r>
      <w:r w:rsidR="000808C3" w:rsidRPr="004A2D5E">
        <w:rPr>
          <w:rFonts w:ascii="Franklin Gothic Book" w:hAnsi="Franklin Gothic Book"/>
          <w:sz w:val="21"/>
        </w:rPr>
        <w:t xml:space="preserve">includes three </w:t>
      </w:r>
      <w:r w:rsidR="00C168EC">
        <w:rPr>
          <w:rFonts w:ascii="Franklin Gothic Book" w:hAnsi="Franklin Gothic Book"/>
          <w:sz w:val="21"/>
        </w:rPr>
        <w:t>key focus areas</w:t>
      </w:r>
      <w:r w:rsidR="000808C3" w:rsidRPr="004A2D5E">
        <w:rPr>
          <w:rFonts w:ascii="Franklin Gothic Book" w:hAnsi="Franklin Gothic Book"/>
          <w:sz w:val="21"/>
        </w:rPr>
        <w:t xml:space="preserve">: investment, especially public investment; financial markets; and enterprises, including state-owned corporations. </w:t>
      </w:r>
    </w:p>
    <w:p w:rsidR="000808C3" w:rsidRDefault="00C168EC" w:rsidP="00047841">
      <w:pPr>
        <w:pStyle w:val="ListParagraph"/>
        <w:numPr>
          <w:ilvl w:val="0"/>
          <w:numId w:val="0"/>
        </w:numPr>
        <w:spacing w:line="280" w:lineRule="atLeast"/>
        <w:rPr>
          <w:rFonts w:ascii="Franklin Gothic Book" w:hAnsi="Franklin Gothic Book"/>
          <w:sz w:val="21"/>
        </w:rPr>
      </w:pPr>
      <w:r>
        <w:rPr>
          <w:rFonts w:ascii="Franklin Gothic Book" w:hAnsi="Franklin Gothic Book"/>
          <w:sz w:val="21"/>
        </w:rPr>
        <w:t xml:space="preserve">Australia’s support </w:t>
      </w:r>
      <w:r w:rsidR="00583E8B">
        <w:rPr>
          <w:rFonts w:ascii="Franklin Gothic Book" w:hAnsi="Franklin Gothic Book"/>
          <w:sz w:val="21"/>
        </w:rPr>
        <w:t xml:space="preserve">is helping </w:t>
      </w:r>
      <w:r w:rsidRPr="004A2D5E">
        <w:rPr>
          <w:rFonts w:ascii="Franklin Gothic Book" w:hAnsi="Franklin Gothic Book"/>
          <w:sz w:val="21"/>
        </w:rPr>
        <w:t xml:space="preserve">the </w:t>
      </w:r>
      <w:r>
        <w:rPr>
          <w:rFonts w:ascii="Franklin Gothic Book" w:hAnsi="Franklin Gothic Book"/>
          <w:sz w:val="21"/>
        </w:rPr>
        <w:t xml:space="preserve">Government of </w:t>
      </w:r>
      <w:r w:rsidRPr="004A2D5E">
        <w:rPr>
          <w:rFonts w:ascii="Franklin Gothic Book" w:hAnsi="Franklin Gothic Book"/>
          <w:sz w:val="21"/>
        </w:rPr>
        <w:t>V</w:t>
      </w:r>
      <w:r>
        <w:rPr>
          <w:rFonts w:ascii="Franklin Gothic Book" w:hAnsi="Franklin Gothic Book"/>
          <w:sz w:val="21"/>
        </w:rPr>
        <w:t>ietnam</w:t>
      </w:r>
      <w:r w:rsidRPr="004A2D5E">
        <w:rPr>
          <w:rFonts w:ascii="Franklin Gothic Book" w:hAnsi="Franklin Gothic Book"/>
          <w:sz w:val="21"/>
        </w:rPr>
        <w:t xml:space="preserve"> evaluate, prioritise and fund major transport infrastructure development projects, particularly in key economic zones. </w:t>
      </w:r>
      <w:r w:rsidR="00583E8B">
        <w:rPr>
          <w:rFonts w:ascii="Franklin Gothic Book" w:hAnsi="Franklin Gothic Book"/>
          <w:sz w:val="21"/>
        </w:rPr>
        <w:t xml:space="preserve">Our </w:t>
      </w:r>
      <w:r w:rsidRPr="00F44AC6">
        <w:rPr>
          <w:rFonts w:ascii="Franklin Gothic Book" w:hAnsi="Franklin Gothic Book"/>
          <w:sz w:val="21"/>
        </w:rPr>
        <w:t xml:space="preserve">assistance </w:t>
      </w:r>
      <w:r w:rsidR="00583E8B">
        <w:rPr>
          <w:rFonts w:ascii="Franklin Gothic Book" w:hAnsi="Franklin Gothic Book"/>
          <w:sz w:val="21"/>
        </w:rPr>
        <w:t xml:space="preserve">is both in </w:t>
      </w:r>
      <w:r w:rsidRPr="00F44AC6">
        <w:rPr>
          <w:rFonts w:ascii="Franklin Gothic Book" w:hAnsi="Franklin Gothic Book"/>
          <w:sz w:val="21"/>
        </w:rPr>
        <w:t>hard infrastructure</w:t>
      </w:r>
      <w:r w:rsidR="00236F82">
        <w:rPr>
          <w:rFonts w:ascii="Franklin Gothic Book" w:hAnsi="Franklin Gothic Book"/>
          <w:sz w:val="21"/>
        </w:rPr>
        <w:t>,</w:t>
      </w:r>
      <w:r w:rsidRPr="00F44AC6">
        <w:rPr>
          <w:rFonts w:ascii="Franklin Gothic Book" w:hAnsi="Franklin Gothic Book"/>
          <w:sz w:val="21"/>
        </w:rPr>
        <w:t xml:space="preserve"> through direct investments to improve local and regional connectivity</w:t>
      </w:r>
      <w:r w:rsidR="00583E8B">
        <w:rPr>
          <w:rFonts w:ascii="Franklin Gothic Book" w:hAnsi="Franklin Gothic Book"/>
          <w:sz w:val="21"/>
        </w:rPr>
        <w:t>,</w:t>
      </w:r>
      <w:r w:rsidRPr="00F44AC6">
        <w:rPr>
          <w:rFonts w:ascii="Franklin Gothic Book" w:hAnsi="Franklin Gothic Book"/>
          <w:sz w:val="21"/>
        </w:rPr>
        <w:t xml:space="preserve"> and </w:t>
      </w:r>
      <w:r w:rsidR="00583E8B">
        <w:rPr>
          <w:rFonts w:ascii="Franklin Gothic Book" w:hAnsi="Franklin Gothic Book"/>
          <w:sz w:val="21"/>
        </w:rPr>
        <w:t xml:space="preserve">via </w:t>
      </w:r>
      <w:r w:rsidRPr="00F44AC6">
        <w:rPr>
          <w:rFonts w:ascii="Franklin Gothic Book" w:hAnsi="Franklin Gothic Book"/>
          <w:sz w:val="21"/>
        </w:rPr>
        <w:t>analytical and advisory assistance such as development of Public-Private Partnerships in the road</w:t>
      </w:r>
      <w:r w:rsidR="00583E8B">
        <w:rPr>
          <w:rFonts w:ascii="Franklin Gothic Book" w:hAnsi="Franklin Gothic Book"/>
          <w:sz w:val="21"/>
        </w:rPr>
        <w:t>s</w:t>
      </w:r>
      <w:r w:rsidRPr="00F44AC6">
        <w:rPr>
          <w:rFonts w:ascii="Franklin Gothic Book" w:hAnsi="Franklin Gothic Book"/>
          <w:sz w:val="21"/>
        </w:rPr>
        <w:t xml:space="preserve"> sector.</w:t>
      </w:r>
      <w:r w:rsidR="00583E8B">
        <w:rPr>
          <w:rFonts w:ascii="Franklin Gothic Book" w:hAnsi="Franklin Gothic Book"/>
          <w:sz w:val="21"/>
        </w:rPr>
        <w:t xml:space="preserve"> </w:t>
      </w:r>
      <w:r w:rsidR="000808C3" w:rsidRPr="00C85F2E">
        <w:rPr>
          <w:rFonts w:ascii="Franklin Gothic Book" w:hAnsi="Franklin Gothic Book"/>
          <w:sz w:val="21"/>
        </w:rPr>
        <w:t xml:space="preserve">Our new phase of support </w:t>
      </w:r>
      <w:r w:rsidR="00583E8B" w:rsidRPr="00C85F2E">
        <w:rPr>
          <w:rFonts w:ascii="Franklin Gothic Book" w:hAnsi="Franklin Gothic Book"/>
          <w:sz w:val="21"/>
        </w:rPr>
        <w:t xml:space="preserve">for economic </w:t>
      </w:r>
      <w:r w:rsidR="00583E8B" w:rsidRPr="00837906">
        <w:rPr>
          <w:rFonts w:ascii="Franklin Gothic Book" w:hAnsi="Franklin Gothic Book"/>
          <w:sz w:val="21"/>
        </w:rPr>
        <w:t>integration</w:t>
      </w:r>
      <w:r w:rsidR="00583E8B" w:rsidRPr="00C85F2E">
        <w:rPr>
          <w:rFonts w:ascii="Franklin Gothic Book" w:hAnsi="Franklin Gothic Book"/>
          <w:sz w:val="21"/>
        </w:rPr>
        <w:t xml:space="preserve"> </w:t>
      </w:r>
      <w:r w:rsidR="000808C3" w:rsidRPr="00C85F2E">
        <w:rPr>
          <w:rFonts w:ascii="Franklin Gothic Book" w:hAnsi="Franklin Gothic Book"/>
          <w:sz w:val="21"/>
        </w:rPr>
        <w:t xml:space="preserve">is </w:t>
      </w:r>
      <w:r w:rsidR="00C747EB" w:rsidRPr="00837906">
        <w:rPr>
          <w:rFonts w:ascii="Franklin Gothic Book" w:hAnsi="Franklin Gothic Book"/>
          <w:sz w:val="21"/>
        </w:rPr>
        <w:t xml:space="preserve">facilitating </w:t>
      </w:r>
      <w:r w:rsidR="00C747EB" w:rsidRPr="00C85F2E">
        <w:rPr>
          <w:rFonts w:ascii="Franklin Gothic Book" w:hAnsi="Franklin Gothic Book"/>
          <w:sz w:val="21"/>
        </w:rPr>
        <w:t>evidence-based economic restructuring</w:t>
      </w:r>
      <w:r w:rsidR="002E3D26">
        <w:rPr>
          <w:rFonts w:ascii="Franklin Gothic Book" w:hAnsi="Franklin Gothic Book"/>
          <w:sz w:val="21"/>
        </w:rPr>
        <w:t>.</w:t>
      </w:r>
    </w:p>
    <w:p w:rsidR="00200BE9" w:rsidRPr="004A2D5E" w:rsidRDefault="00200BE9" w:rsidP="00047841">
      <w:pPr>
        <w:pStyle w:val="ListParagraph"/>
        <w:numPr>
          <w:ilvl w:val="0"/>
          <w:numId w:val="0"/>
        </w:numPr>
        <w:spacing w:line="280" w:lineRule="atLeast"/>
        <w:rPr>
          <w:rFonts w:ascii="Franklin Gothic Book" w:hAnsi="Franklin Gothic Book"/>
          <w:sz w:val="21"/>
        </w:rPr>
      </w:pPr>
      <w:r w:rsidRPr="00200BE9">
        <w:rPr>
          <w:rFonts w:ascii="Franklin Gothic Book" w:hAnsi="Franklin Gothic Book"/>
          <w:sz w:val="21"/>
        </w:rPr>
        <w:t>Support for Objective 2 in 2013-14 has the Vietnam program achieving aid-for-trade investments of approximately 30 per cent, exceeding the Australian Government’s strategic target of 20 per cent of the aid budget by 2020.</w:t>
      </w:r>
    </w:p>
    <w:p w:rsidR="00583E8B" w:rsidRPr="00837906" w:rsidRDefault="00583E8B" w:rsidP="00837906">
      <w:pPr>
        <w:pStyle w:val="ListParagraph"/>
        <w:keepNext/>
        <w:numPr>
          <w:ilvl w:val="0"/>
          <w:numId w:val="0"/>
        </w:numPr>
        <w:spacing w:line="280" w:lineRule="atLeast"/>
        <w:rPr>
          <w:rFonts w:ascii="Franklin Gothic Book" w:hAnsi="Franklin Gothic Book"/>
          <w:i/>
          <w:sz w:val="21"/>
        </w:rPr>
      </w:pPr>
      <w:r>
        <w:rPr>
          <w:rFonts w:ascii="Franklin Gothic Book" w:hAnsi="Franklin Gothic Book"/>
          <w:i/>
          <w:sz w:val="21"/>
        </w:rPr>
        <w:t>Transport infrastructure</w:t>
      </w:r>
    </w:p>
    <w:p w:rsidR="00B34059" w:rsidRDefault="00583E8B" w:rsidP="00B34059">
      <w:pPr>
        <w:pStyle w:val="ListParagraph"/>
        <w:numPr>
          <w:ilvl w:val="0"/>
          <w:numId w:val="0"/>
        </w:numPr>
        <w:spacing w:line="280" w:lineRule="atLeast"/>
        <w:rPr>
          <w:rFonts w:ascii="Franklin Gothic Book" w:hAnsi="Franklin Gothic Book"/>
          <w:sz w:val="21"/>
        </w:rPr>
      </w:pPr>
      <w:r>
        <w:rPr>
          <w:rFonts w:ascii="Franklin Gothic Book" w:hAnsi="Franklin Gothic Book"/>
          <w:sz w:val="21"/>
        </w:rPr>
        <w:t>T</w:t>
      </w:r>
      <w:r w:rsidR="000808C3" w:rsidRPr="004A2D5E">
        <w:rPr>
          <w:rFonts w:ascii="Franklin Gothic Book" w:hAnsi="Franklin Gothic Book"/>
          <w:sz w:val="21"/>
        </w:rPr>
        <w:t>he Cao Lanh bridge project</w:t>
      </w:r>
      <w:r w:rsidR="00C85F2E">
        <w:rPr>
          <w:rStyle w:val="FootnoteReference"/>
        </w:rPr>
        <w:footnoteReference w:id="5"/>
      </w:r>
      <w:r w:rsidR="000808C3" w:rsidRPr="004A2D5E">
        <w:rPr>
          <w:rFonts w:ascii="Franklin Gothic Book" w:hAnsi="Franklin Gothic Book"/>
          <w:sz w:val="21"/>
        </w:rPr>
        <w:t xml:space="preserve"> </w:t>
      </w:r>
      <w:r w:rsidR="00C85F2E">
        <w:rPr>
          <w:rFonts w:ascii="Franklin Gothic Book" w:hAnsi="Franklin Gothic Book"/>
          <w:sz w:val="21"/>
        </w:rPr>
        <w:t xml:space="preserve">with ADB </w:t>
      </w:r>
      <w:r w:rsidR="000808C3" w:rsidRPr="004A2D5E">
        <w:rPr>
          <w:rFonts w:ascii="Franklin Gothic Book" w:hAnsi="Franklin Gothic Book"/>
          <w:sz w:val="21"/>
        </w:rPr>
        <w:t>continued to make good progress</w:t>
      </w:r>
      <w:r w:rsidR="00DA0FBC">
        <w:rPr>
          <w:rFonts w:ascii="Franklin Gothic Book" w:hAnsi="Franklin Gothic Book"/>
          <w:sz w:val="21"/>
        </w:rPr>
        <w:t xml:space="preserve"> in 2013-14</w:t>
      </w:r>
      <w:r w:rsidR="00C85F2E">
        <w:rPr>
          <w:rFonts w:ascii="Franklin Gothic Book" w:hAnsi="Franklin Gothic Book"/>
          <w:sz w:val="21"/>
        </w:rPr>
        <w:t xml:space="preserve">, with a </w:t>
      </w:r>
      <w:r w:rsidR="000808C3" w:rsidRPr="004A2D5E">
        <w:rPr>
          <w:rFonts w:ascii="Franklin Gothic Book" w:hAnsi="Franklin Gothic Book"/>
          <w:sz w:val="21"/>
        </w:rPr>
        <w:t>ground</w:t>
      </w:r>
      <w:r w:rsidR="00C85F2E">
        <w:rPr>
          <w:rFonts w:ascii="Franklin Gothic Book" w:hAnsi="Franklin Gothic Book"/>
          <w:sz w:val="21"/>
        </w:rPr>
        <w:t>-</w:t>
      </w:r>
      <w:r w:rsidR="000808C3" w:rsidRPr="004A2D5E">
        <w:rPr>
          <w:rFonts w:ascii="Franklin Gothic Book" w:hAnsi="Franklin Gothic Book"/>
          <w:sz w:val="21"/>
        </w:rPr>
        <w:t xml:space="preserve">breaking ceremony in November 2013 and the contractor mobilised in March 2014. </w:t>
      </w:r>
      <w:r w:rsidR="00C85F2E">
        <w:rPr>
          <w:rFonts w:ascii="Franklin Gothic Book" w:hAnsi="Franklin Gothic Book"/>
          <w:sz w:val="21"/>
        </w:rPr>
        <w:t>C</w:t>
      </w:r>
      <w:r w:rsidR="000808C3" w:rsidRPr="004A2D5E">
        <w:rPr>
          <w:rFonts w:ascii="Franklin Gothic Book" w:hAnsi="Franklin Gothic Book"/>
          <w:sz w:val="21"/>
        </w:rPr>
        <w:t>onstruction is running slightly ahead of schedule. 95</w:t>
      </w:r>
      <w:r w:rsidR="000808C3">
        <w:rPr>
          <w:rFonts w:ascii="Franklin Gothic Book" w:hAnsi="Franklin Gothic Book"/>
          <w:sz w:val="21"/>
        </w:rPr>
        <w:t xml:space="preserve"> per cent</w:t>
      </w:r>
      <w:r w:rsidR="000808C3" w:rsidRPr="004A2D5E">
        <w:rPr>
          <w:rFonts w:ascii="Franklin Gothic Book" w:hAnsi="Franklin Gothic Book"/>
          <w:sz w:val="21"/>
        </w:rPr>
        <w:t xml:space="preserve"> of affected households </w:t>
      </w:r>
      <w:r w:rsidR="000808C3">
        <w:rPr>
          <w:rFonts w:ascii="Franklin Gothic Book" w:hAnsi="Franklin Gothic Book"/>
          <w:sz w:val="21"/>
        </w:rPr>
        <w:t xml:space="preserve">at the bridge site </w:t>
      </w:r>
      <w:r w:rsidR="000808C3" w:rsidRPr="004A2D5E">
        <w:rPr>
          <w:rFonts w:ascii="Franklin Gothic Book" w:hAnsi="Franklin Gothic Book"/>
          <w:sz w:val="21"/>
        </w:rPr>
        <w:t xml:space="preserve">have received compensation and vulnerable households (including poor and landless) </w:t>
      </w:r>
      <w:r w:rsidR="00C85F2E">
        <w:rPr>
          <w:rFonts w:ascii="Franklin Gothic Book" w:hAnsi="Franklin Gothic Book"/>
          <w:sz w:val="21"/>
        </w:rPr>
        <w:t>are</w:t>
      </w:r>
      <w:r w:rsidR="000808C3" w:rsidRPr="004A2D5E">
        <w:rPr>
          <w:rFonts w:ascii="Franklin Gothic Book" w:hAnsi="Franklin Gothic Book"/>
          <w:sz w:val="21"/>
        </w:rPr>
        <w:t xml:space="preserve"> receiving loans from our microfinance program to </w:t>
      </w:r>
      <w:r w:rsidR="00C85F2E">
        <w:rPr>
          <w:rFonts w:ascii="Franklin Gothic Book" w:hAnsi="Franklin Gothic Book"/>
          <w:sz w:val="21"/>
        </w:rPr>
        <w:t xml:space="preserve">help </w:t>
      </w:r>
      <w:r w:rsidR="000808C3" w:rsidRPr="004A2D5E">
        <w:rPr>
          <w:rFonts w:ascii="Franklin Gothic Book" w:hAnsi="Franklin Gothic Book"/>
          <w:sz w:val="21"/>
        </w:rPr>
        <w:t xml:space="preserve">upgrade houses and support income generation activities. </w:t>
      </w:r>
      <w:r w:rsidR="00C85F2E">
        <w:rPr>
          <w:rFonts w:ascii="Franklin Gothic Book" w:hAnsi="Franklin Gothic Book"/>
          <w:sz w:val="21"/>
        </w:rPr>
        <w:t xml:space="preserve">Engaging the Vietnam Women’s Union has ensured women actively </w:t>
      </w:r>
      <w:r w:rsidR="000808C3" w:rsidRPr="004A2D5E">
        <w:rPr>
          <w:rFonts w:ascii="Franklin Gothic Book" w:hAnsi="Franklin Gothic Book"/>
          <w:sz w:val="21"/>
        </w:rPr>
        <w:t>participat</w:t>
      </w:r>
      <w:r w:rsidR="00C85F2E">
        <w:rPr>
          <w:rFonts w:ascii="Franklin Gothic Book" w:hAnsi="Franklin Gothic Book"/>
          <w:sz w:val="21"/>
        </w:rPr>
        <w:t>e</w:t>
      </w:r>
      <w:r w:rsidR="000808C3" w:rsidRPr="004A2D5E">
        <w:rPr>
          <w:rFonts w:ascii="Franklin Gothic Book" w:hAnsi="Franklin Gothic Book"/>
          <w:sz w:val="21"/>
        </w:rPr>
        <w:t xml:space="preserve"> in </w:t>
      </w:r>
      <w:r w:rsidR="000808C3">
        <w:rPr>
          <w:rFonts w:ascii="Franklin Gothic Book" w:hAnsi="Franklin Gothic Book"/>
          <w:sz w:val="21"/>
        </w:rPr>
        <w:t xml:space="preserve">resettlement and income restoration programs. </w:t>
      </w:r>
      <w:r w:rsidR="00B34059">
        <w:rPr>
          <w:rFonts w:ascii="Franklin Gothic Book" w:hAnsi="Franklin Gothic Book"/>
          <w:sz w:val="21"/>
        </w:rPr>
        <w:t>C</w:t>
      </w:r>
      <w:r w:rsidR="00B34059" w:rsidRPr="00CF4AE6">
        <w:rPr>
          <w:rFonts w:ascii="Franklin Gothic Book" w:hAnsi="Franklin Gothic Book"/>
          <w:sz w:val="21"/>
        </w:rPr>
        <w:t xml:space="preserve">limate and disaster risks were factored into the design to make the bridge resilient to </w:t>
      </w:r>
      <w:r w:rsidR="004754C0">
        <w:rPr>
          <w:rFonts w:ascii="Franklin Gothic Book" w:hAnsi="Franklin Gothic Book"/>
          <w:sz w:val="21"/>
        </w:rPr>
        <w:t>natural</w:t>
      </w:r>
      <w:r w:rsidR="00B34059" w:rsidRPr="00CF4AE6">
        <w:rPr>
          <w:rFonts w:ascii="Franklin Gothic Book" w:hAnsi="Franklin Gothic Book"/>
          <w:sz w:val="21"/>
        </w:rPr>
        <w:t xml:space="preserve"> disasters and damage, particularly downstream floods and sea level rise</w:t>
      </w:r>
      <w:r w:rsidR="00B34059">
        <w:rPr>
          <w:rFonts w:ascii="Franklin Gothic Book" w:hAnsi="Franklin Gothic Book"/>
          <w:sz w:val="21"/>
        </w:rPr>
        <w:t>.</w:t>
      </w:r>
    </w:p>
    <w:p w:rsidR="00E50E1A" w:rsidRDefault="0056154A" w:rsidP="00047841">
      <w:pPr>
        <w:pStyle w:val="ListParagraph"/>
        <w:numPr>
          <w:ilvl w:val="0"/>
          <w:numId w:val="0"/>
        </w:numPr>
        <w:spacing w:line="280" w:lineRule="atLeast"/>
        <w:rPr>
          <w:rFonts w:ascii="Franklin Gothic Book" w:hAnsi="Franklin Gothic Book"/>
          <w:sz w:val="21"/>
        </w:rPr>
      </w:pPr>
      <w:r>
        <w:rPr>
          <w:rFonts w:ascii="Franklin Gothic Book" w:hAnsi="Franklin Gothic Book"/>
          <w:sz w:val="21"/>
        </w:rPr>
        <w:t xml:space="preserve">DFAT works closely with the Government of Vietnam’s </w:t>
      </w:r>
      <w:r w:rsidRPr="004A2D5E">
        <w:rPr>
          <w:rFonts w:ascii="Franklin Gothic Book" w:hAnsi="Franklin Gothic Book"/>
          <w:sz w:val="21"/>
        </w:rPr>
        <w:t xml:space="preserve">lead implementing agency, </w:t>
      </w:r>
      <w:r>
        <w:rPr>
          <w:rFonts w:ascii="Franklin Gothic Book" w:hAnsi="Franklin Gothic Book"/>
          <w:sz w:val="21"/>
        </w:rPr>
        <w:t xml:space="preserve">the </w:t>
      </w:r>
      <w:r w:rsidRPr="004A2D5E">
        <w:rPr>
          <w:rFonts w:ascii="Franklin Gothic Book" w:hAnsi="Franklin Gothic Book"/>
          <w:sz w:val="21"/>
        </w:rPr>
        <w:t>Cuu Long C</w:t>
      </w:r>
      <w:r>
        <w:rPr>
          <w:rFonts w:ascii="Franklin Gothic Book" w:hAnsi="Franklin Gothic Book"/>
          <w:sz w:val="21"/>
        </w:rPr>
        <w:t xml:space="preserve">orporation for Investment, Development and Project Management of Infrastructure, </w:t>
      </w:r>
      <w:r w:rsidRPr="004A2D5E">
        <w:rPr>
          <w:rFonts w:ascii="Franklin Gothic Book" w:hAnsi="Franklin Gothic Book"/>
          <w:sz w:val="21"/>
        </w:rPr>
        <w:t>strengthen</w:t>
      </w:r>
      <w:r>
        <w:rPr>
          <w:rFonts w:ascii="Franklin Gothic Book" w:hAnsi="Franklin Gothic Book"/>
          <w:sz w:val="21"/>
        </w:rPr>
        <w:t>ing</w:t>
      </w:r>
      <w:r w:rsidRPr="004A2D5E">
        <w:rPr>
          <w:rFonts w:ascii="Franklin Gothic Book" w:hAnsi="Franklin Gothic Book"/>
          <w:sz w:val="21"/>
        </w:rPr>
        <w:t xml:space="preserve"> </w:t>
      </w:r>
      <w:r>
        <w:rPr>
          <w:rFonts w:ascii="Franklin Gothic Book" w:hAnsi="Franklin Gothic Book"/>
          <w:sz w:val="21"/>
        </w:rPr>
        <w:t>its</w:t>
      </w:r>
      <w:r w:rsidRPr="004A2D5E">
        <w:rPr>
          <w:rFonts w:ascii="Franklin Gothic Book" w:hAnsi="Franklin Gothic Book"/>
          <w:sz w:val="21"/>
        </w:rPr>
        <w:t xml:space="preserve"> management </w:t>
      </w:r>
      <w:r>
        <w:rPr>
          <w:rFonts w:ascii="Franklin Gothic Book" w:hAnsi="Franklin Gothic Book"/>
          <w:sz w:val="21"/>
        </w:rPr>
        <w:t xml:space="preserve">of </w:t>
      </w:r>
      <w:r w:rsidRPr="004A2D5E">
        <w:rPr>
          <w:rFonts w:ascii="Franklin Gothic Book" w:hAnsi="Franklin Gothic Book"/>
          <w:sz w:val="21"/>
        </w:rPr>
        <w:t>donor co-financed projects</w:t>
      </w:r>
      <w:r>
        <w:rPr>
          <w:rFonts w:ascii="Franklin Gothic Book" w:hAnsi="Franklin Gothic Book"/>
          <w:sz w:val="21"/>
        </w:rPr>
        <w:t xml:space="preserve"> (for example by introducing</w:t>
      </w:r>
      <w:r w:rsidRPr="004A2D5E">
        <w:rPr>
          <w:rFonts w:ascii="Franklin Gothic Book" w:hAnsi="Franklin Gothic Book"/>
          <w:sz w:val="21"/>
        </w:rPr>
        <w:t xml:space="preserve"> a project coordination committee</w:t>
      </w:r>
      <w:r>
        <w:rPr>
          <w:rFonts w:ascii="Franklin Gothic Book" w:hAnsi="Franklin Gothic Book"/>
          <w:sz w:val="21"/>
        </w:rPr>
        <w:t>),</w:t>
      </w:r>
      <w:r w:rsidRPr="004A2D5E">
        <w:rPr>
          <w:rFonts w:ascii="Franklin Gothic Book" w:hAnsi="Franklin Gothic Book"/>
          <w:sz w:val="21"/>
        </w:rPr>
        <w:t xml:space="preserve"> which </w:t>
      </w:r>
      <w:r>
        <w:rPr>
          <w:rFonts w:ascii="Franklin Gothic Book" w:hAnsi="Franklin Gothic Book"/>
          <w:sz w:val="21"/>
        </w:rPr>
        <w:t>it</w:t>
      </w:r>
      <w:r w:rsidRPr="004A2D5E">
        <w:rPr>
          <w:rFonts w:ascii="Franklin Gothic Book" w:hAnsi="Franklin Gothic Book"/>
          <w:sz w:val="21"/>
        </w:rPr>
        <w:t xml:space="preserve"> can apply across </w:t>
      </w:r>
      <w:r>
        <w:rPr>
          <w:rFonts w:ascii="Franklin Gothic Book" w:hAnsi="Franklin Gothic Book"/>
          <w:sz w:val="21"/>
        </w:rPr>
        <w:t xml:space="preserve">its </w:t>
      </w:r>
      <w:r w:rsidRPr="004A2D5E">
        <w:rPr>
          <w:rFonts w:ascii="Franklin Gothic Book" w:hAnsi="Franklin Gothic Book"/>
          <w:sz w:val="21"/>
        </w:rPr>
        <w:t>project portfolio.</w:t>
      </w:r>
      <w:r w:rsidR="00B34059">
        <w:rPr>
          <w:rFonts w:ascii="Franklin Gothic Book" w:hAnsi="Franklin Gothic Book"/>
          <w:sz w:val="21"/>
        </w:rPr>
        <w:t xml:space="preserve"> </w:t>
      </w:r>
      <w:r w:rsidR="00C85F2E">
        <w:rPr>
          <w:rFonts w:ascii="Franklin Gothic Book" w:hAnsi="Franklin Gothic Book"/>
          <w:sz w:val="21"/>
        </w:rPr>
        <w:t xml:space="preserve">Progress of the </w:t>
      </w:r>
      <w:r w:rsidR="00F44AC6" w:rsidRPr="00F44AC6">
        <w:rPr>
          <w:rFonts w:ascii="Franklin Gothic Book" w:hAnsi="Franklin Gothic Book"/>
          <w:sz w:val="21"/>
        </w:rPr>
        <w:t xml:space="preserve">Mekong Delta Transport Infrastructure Development Project </w:t>
      </w:r>
      <w:r w:rsidR="00C85F2E">
        <w:rPr>
          <w:rFonts w:ascii="Franklin Gothic Book" w:hAnsi="Franklin Gothic Book"/>
          <w:sz w:val="21"/>
        </w:rPr>
        <w:t xml:space="preserve">with the World Bank met </w:t>
      </w:r>
      <w:r w:rsidR="000808C3" w:rsidRPr="004A2D5E">
        <w:rPr>
          <w:rFonts w:ascii="Franklin Gothic Book" w:hAnsi="Franklin Gothic Book"/>
          <w:sz w:val="21"/>
        </w:rPr>
        <w:t>expectations (27</w:t>
      </w:r>
      <w:r w:rsidR="00C85F2E">
        <w:rPr>
          <w:rFonts w:ascii="Franklin Gothic Book" w:hAnsi="Franklin Gothic Book"/>
          <w:sz w:val="21"/>
        </w:rPr>
        <w:t xml:space="preserve"> kilometres </w:t>
      </w:r>
      <w:r w:rsidR="000808C3" w:rsidRPr="004A2D5E">
        <w:rPr>
          <w:rFonts w:ascii="Franklin Gothic Book" w:hAnsi="Franklin Gothic Book"/>
          <w:sz w:val="21"/>
        </w:rPr>
        <w:t>of road rehabilitated and major bridges reaching completion)</w:t>
      </w:r>
      <w:r w:rsidR="007E34AE">
        <w:rPr>
          <w:rFonts w:ascii="Franklin Gothic Book" w:hAnsi="Franklin Gothic Book"/>
          <w:sz w:val="21"/>
        </w:rPr>
        <w:t>,</w:t>
      </w:r>
      <w:r w:rsidR="000808C3" w:rsidRPr="004A2D5E">
        <w:rPr>
          <w:rFonts w:ascii="Franklin Gothic Book" w:hAnsi="Franklin Gothic Book"/>
          <w:sz w:val="21"/>
        </w:rPr>
        <w:t xml:space="preserve"> with works </w:t>
      </w:r>
      <w:r w:rsidR="007E34AE">
        <w:rPr>
          <w:rFonts w:ascii="Franklin Gothic Book" w:hAnsi="Franklin Gothic Book"/>
          <w:sz w:val="21"/>
        </w:rPr>
        <w:t xml:space="preserve">scheduled for </w:t>
      </w:r>
      <w:r w:rsidR="000808C3" w:rsidRPr="004A2D5E">
        <w:rPr>
          <w:rFonts w:ascii="Franklin Gothic Book" w:hAnsi="Franklin Gothic Book"/>
          <w:sz w:val="21"/>
        </w:rPr>
        <w:t>complet</w:t>
      </w:r>
      <w:r w:rsidR="007E34AE">
        <w:rPr>
          <w:rFonts w:ascii="Franklin Gothic Book" w:hAnsi="Franklin Gothic Book"/>
          <w:sz w:val="21"/>
        </w:rPr>
        <w:t>ion</w:t>
      </w:r>
      <w:r w:rsidR="000808C3" w:rsidRPr="004A2D5E">
        <w:rPr>
          <w:rFonts w:ascii="Franklin Gothic Book" w:hAnsi="Franklin Gothic Book"/>
          <w:sz w:val="21"/>
        </w:rPr>
        <w:t xml:space="preserve"> </w:t>
      </w:r>
      <w:r w:rsidR="007E34AE">
        <w:rPr>
          <w:rFonts w:ascii="Franklin Gothic Book" w:hAnsi="Franklin Gothic Book"/>
          <w:sz w:val="21"/>
        </w:rPr>
        <w:t xml:space="preserve">by </w:t>
      </w:r>
      <w:r w:rsidR="000808C3" w:rsidRPr="004A2D5E">
        <w:rPr>
          <w:rFonts w:ascii="Franklin Gothic Book" w:hAnsi="Franklin Gothic Book"/>
          <w:sz w:val="21"/>
        </w:rPr>
        <w:t xml:space="preserve">the revised </w:t>
      </w:r>
      <w:r w:rsidR="007E34AE" w:rsidRPr="004A2D5E">
        <w:rPr>
          <w:rFonts w:ascii="Franklin Gothic Book" w:hAnsi="Franklin Gothic Book"/>
          <w:sz w:val="21"/>
        </w:rPr>
        <w:t>December 2015</w:t>
      </w:r>
      <w:r w:rsidR="007E34AE">
        <w:rPr>
          <w:rFonts w:ascii="Franklin Gothic Book" w:hAnsi="Franklin Gothic Book"/>
          <w:sz w:val="21"/>
        </w:rPr>
        <w:t xml:space="preserve"> </w:t>
      </w:r>
      <w:r w:rsidR="000808C3" w:rsidRPr="004A2D5E">
        <w:rPr>
          <w:rFonts w:ascii="Franklin Gothic Book" w:hAnsi="Franklin Gothic Book"/>
          <w:sz w:val="21"/>
        </w:rPr>
        <w:t xml:space="preserve">project end date. </w:t>
      </w:r>
      <w:r w:rsidR="007E34AE">
        <w:rPr>
          <w:rFonts w:ascii="Franklin Gothic Book" w:hAnsi="Franklin Gothic Book"/>
          <w:sz w:val="21"/>
        </w:rPr>
        <w:t>T</w:t>
      </w:r>
      <w:r w:rsidR="000808C3" w:rsidRPr="004A2D5E">
        <w:rPr>
          <w:rFonts w:ascii="Franklin Gothic Book" w:hAnsi="Franklin Gothic Book"/>
          <w:sz w:val="21"/>
        </w:rPr>
        <w:t xml:space="preserve">he Southern Coastal Corridor Project </w:t>
      </w:r>
      <w:r w:rsidR="007E34AE">
        <w:rPr>
          <w:rFonts w:ascii="Franklin Gothic Book" w:hAnsi="Franklin Gothic Book"/>
          <w:sz w:val="21"/>
        </w:rPr>
        <w:t>with the ADB</w:t>
      </w:r>
      <w:r w:rsidR="000808C3" w:rsidRPr="004A2D5E">
        <w:rPr>
          <w:rFonts w:ascii="Franklin Gothic Book" w:hAnsi="Franklin Gothic Book"/>
          <w:sz w:val="21"/>
        </w:rPr>
        <w:t xml:space="preserve"> is </w:t>
      </w:r>
      <w:r w:rsidR="007E34AE">
        <w:rPr>
          <w:rFonts w:ascii="Franklin Gothic Book" w:hAnsi="Franklin Gothic Book"/>
          <w:sz w:val="21"/>
        </w:rPr>
        <w:t xml:space="preserve">also </w:t>
      </w:r>
      <w:r w:rsidR="000808C3" w:rsidRPr="004A2D5E">
        <w:rPr>
          <w:rFonts w:ascii="Franklin Gothic Book" w:hAnsi="Franklin Gothic Book"/>
          <w:sz w:val="21"/>
        </w:rPr>
        <w:t>on track</w:t>
      </w:r>
      <w:r w:rsidR="007E34AE">
        <w:rPr>
          <w:rFonts w:ascii="Franklin Gothic Book" w:hAnsi="Franklin Gothic Book"/>
          <w:sz w:val="21"/>
        </w:rPr>
        <w:t>, with</w:t>
      </w:r>
      <w:r w:rsidR="00F10DA4">
        <w:rPr>
          <w:rFonts w:ascii="Franklin Gothic Book" w:hAnsi="Franklin Gothic Book"/>
          <w:sz w:val="21"/>
        </w:rPr>
        <w:t xml:space="preserve"> </w:t>
      </w:r>
      <w:r w:rsidR="007E34AE">
        <w:rPr>
          <w:rFonts w:ascii="Franklin Gothic Book" w:hAnsi="Franklin Gothic Book"/>
          <w:sz w:val="21"/>
        </w:rPr>
        <w:t>m</w:t>
      </w:r>
      <w:r w:rsidR="00F10DA4" w:rsidRPr="00F10DA4">
        <w:rPr>
          <w:rFonts w:ascii="Franklin Gothic Book" w:hAnsi="Franklin Gothic Book"/>
          <w:sz w:val="21"/>
        </w:rPr>
        <w:t xml:space="preserve">ore than 70 per cent of civil works </w:t>
      </w:r>
      <w:r w:rsidR="00F10DA4">
        <w:rPr>
          <w:rFonts w:ascii="Franklin Gothic Book" w:hAnsi="Franklin Gothic Book"/>
          <w:sz w:val="21"/>
        </w:rPr>
        <w:t xml:space="preserve">now </w:t>
      </w:r>
      <w:r w:rsidR="00F10DA4" w:rsidRPr="00F10DA4">
        <w:rPr>
          <w:rFonts w:ascii="Franklin Gothic Book" w:hAnsi="Franklin Gothic Book"/>
          <w:sz w:val="21"/>
        </w:rPr>
        <w:t>complet</w:t>
      </w:r>
      <w:r w:rsidR="00F10DA4">
        <w:rPr>
          <w:rFonts w:ascii="Franklin Gothic Book" w:hAnsi="Franklin Gothic Book"/>
          <w:sz w:val="21"/>
        </w:rPr>
        <w:t>e</w:t>
      </w:r>
      <w:r w:rsidR="00F77702">
        <w:rPr>
          <w:rFonts w:ascii="Franklin Gothic Book" w:hAnsi="Franklin Gothic Book"/>
          <w:sz w:val="21"/>
        </w:rPr>
        <w:t xml:space="preserve">. This followed </w:t>
      </w:r>
      <w:r w:rsidR="00E50E1A">
        <w:rPr>
          <w:rFonts w:ascii="Franklin Gothic Book" w:hAnsi="Franklin Gothic Book"/>
          <w:sz w:val="21"/>
        </w:rPr>
        <w:t>e</w:t>
      </w:r>
      <w:r w:rsidR="007E34AE">
        <w:rPr>
          <w:rFonts w:ascii="Franklin Gothic Book" w:hAnsi="Franklin Gothic Book"/>
          <w:sz w:val="21"/>
        </w:rPr>
        <w:t xml:space="preserve">arlier delays </w:t>
      </w:r>
      <w:r w:rsidR="00E50E1A">
        <w:rPr>
          <w:rFonts w:ascii="Franklin Gothic Book" w:hAnsi="Franklin Gothic Book"/>
          <w:sz w:val="21"/>
        </w:rPr>
        <w:t xml:space="preserve">to </w:t>
      </w:r>
      <w:r w:rsidR="00F77702">
        <w:rPr>
          <w:rFonts w:ascii="Franklin Gothic Book" w:hAnsi="Franklin Gothic Book"/>
          <w:sz w:val="21"/>
        </w:rPr>
        <w:t xml:space="preserve">ensure </w:t>
      </w:r>
      <w:r w:rsidR="000808C3" w:rsidRPr="004A2D5E">
        <w:rPr>
          <w:rFonts w:ascii="Franklin Gothic Book" w:hAnsi="Franklin Gothic Book"/>
          <w:sz w:val="21"/>
        </w:rPr>
        <w:t>soft soils</w:t>
      </w:r>
      <w:r w:rsidR="000808C3">
        <w:rPr>
          <w:rFonts w:ascii="Franklin Gothic Book" w:hAnsi="Franklin Gothic Book"/>
          <w:sz w:val="21"/>
        </w:rPr>
        <w:t xml:space="preserve"> </w:t>
      </w:r>
      <w:r w:rsidR="00E50E1A">
        <w:rPr>
          <w:rFonts w:ascii="Franklin Gothic Book" w:hAnsi="Franklin Gothic Book"/>
          <w:sz w:val="21"/>
        </w:rPr>
        <w:t xml:space="preserve">to be properly treated to </w:t>
      </w:r>
      <w:r w:rsidR="00F77702">
        <w:rPr>
          <w:rFonts w:ascii="Franklin Gothic Book" w:hAnsi="Franklin Gothic Book"/>
          <w:sz w:val="21"/>
        </w:rPr>
        <w:t>safeguard</w:t>
      </w:r>
      <w:r w:rsidR="00E50E1A">
        <w:rPr>
          <w:rFonts w:ascii="Franklin Gothic Book" w:hAnsi="Franklin Gothic Book"/>
          <w:sz w:val="21"/>
        </w:rPr>
        <w:t xml:space="preserve"> </w:t>
      </w:r>
      <w:r w:rsidR="000808C3" w:rsidRPr="004A2D5E">
        <w:rPr>
          <w:rFonts w:ascii="Franklin Gothic Book" w:hAnsi="Franklin Gothic Book"/>
          <w:sz w:val="21"/>
        </w:rPr>
        <w:t xml:space="preserve">ongoing </w:t>
      </w:r>
      <w:r w:rsidR="00E50E1A" w:rsidRPr="004A2D5E">
        <w:rPr>
          <w:rFonts w:ascii="Franklin Gothic Book" w:hAnsi="Franklin Gothic Book"/>
          <w:sz w:val="21"/>
        </w:rPr>
        <w:t xml:space="preserve">infrastructure </w:t>
      </w:r>
      <w:r w:rsidR="000808C3" w:rsidRPr="004A2D5E">
        <w:rPr>
          <w:rFonts w:ascii="Franklin Gothic Book" w:hAnsi="Franklin Gothic Book"/>
          <w:sz w:val="21"/>
        </w:rPr>
        <w:t xml:space="preserve">sustainability and reduce the need for </w:t>
      </w:r>
      <w:r w:rsidR="00E50E1A" w:rsidRPr="004A2D5E">
        <w:rPr>
          <w:rFonts w:ascii="Franklin Gothic Book" w:hAnsi="Franklin Gothic Book"/>
          <w:sz w:val="21"/>
        </w:rPr>
        <w:t xml:space="preserve">future </w:t>
      </w:r>
      <w:r w:rsidR="000808C3" w:rsidRPr="004A2D5E">
        <w:rPr>
          <w:rFonts w:ascii="Franklin Gothic Book" w:hAnsi="Franklin Gothic Book"/>
          <w:sz w:val="21"/>
        </w:rPr>
        <w:t xml:space="preserve">costly remediation. </w:t>
      </w:r>
    </w:p>
    <w:p w:rsidR="000808C3" w:rsidRDefault="00E50E1A" w:rsidP="00047841">
      <w:pPr>
        <w:pStyle w:val="ListParagraph"/>
        <w:numPr>
          <w:ilvl w:val="0"/>
          <w:numId w:val="0"/>
        </w:numPr>
        <w:spacing w:line="280" w:lineRule="atLeast"/>
        <w:rPr>
          <w:rFonts w:ascii="Franklin Gothic Book" w:hAnsi="Franklin Gothic Book"/>
          <w:sz w:val="21"/>
        </w:rPr>
      </w:pPr>
      <w:r>
        <w:rPr>
          <w:rFonts w:ascii="Franklin Gothic Book" w:hAnsi="Franklin Gothic Book"/>
          <w:sz w:val="21"/>
        </w:rPr>
        <w:lastRenderedPageBreak/>
        <w:t>T</w:t>
      </w:r>
      <w:r w:rsidR="000808C3">
        <w:rPr>
          <w:rFonts w:ascii="Franklin Gothic Book" w:hAnsi="Franklin Gothic Book"/>
          <w:sz w:val="21"/>
        </w:rPr>
        <w:t>he i</w:t>
      </w:r>
      <w:r w:rsidR="000808C3" w:rsidRPr="004A2D5E">
        <w:rPr>
          <w:rFonts w:ascii="Franklin Gothic Book" w:hAnsi="Franklin Gothic Book"/>
          <w:sz w:val="21"/>
        </w:rPr>
        <w:t>mpact</w:t>
      </w:r>
      <w:r w:rsidR="000808C3">
        <w:rPr>
          <w:rFonts w:ascii="Franklin Gothic Book" w:hAnsi="Franklin Gothic Book"/>
          <w:sz w:val="21"/>
        </w:rPr>
        <w:t>s</w:t>
      </w:r>
      <w:r w:rsidR="000808C3" w:rsidRPr="004A2D5E">
        <w:rPr>
          <w:rFonts w:ascii="Franklin Gothic Book" w:hAnsi="Franklin Gothic Book"/>
          <w:sz w:val="21"/>
        </w:rPr>
        <w:t xml:space="preserve"> of </w:t>
      </w:r>
      <w:r w:rsidR="000808C3">
        <w:rPr>
          <w:rFonts w:ascii="Franklin Gothic Book" w:hAnsi="Franklin Gothic Book"/>
          <w:sz w:val="21"/>
        </w:rPr>
        <w:t>improved infrastructure</w:t>
      </w:r>
      <w:r w:rsidR="000808C3" w:rsidRPr="004A2D5E">
        <w:rPr>
          <w:rFonts w:ascii="Franklin Gothic Book" w:hAnsi="Franklin Gothic Book"/>
          <w:sz w:val="21"/>
        </w:rPr>
        <w:t xml:space="preserve"> </w:t>
      </w:r>
      <w:r w:rsidR="000808C3">
        <w:rPr>
          <w:rFonts w:ascii="Franklin Gothic Book" w:hAnsi="Franklin Gothic Book"/>
          <w:sz w:val="21"/>
        </w:rPr>
        <w:t xml:space="preserve">on incomes and livelihoods will only be fully realised once </w:t>
      </w:r>
      <w:r w:rsidR="000808C3" w:rsidRPr="004A2D5E">
        <w:rPr>
          <w:rFonts w:ascii="Franklin Gothic Book" w:hAnsi="Franklin Gothic Book"/>
          <w:sz w:val="21"/>
        </w:rPr>
        <w:t xml:space="preserve">construction </w:t>
      </w:r>
      <w:r w:rsidR="009519C2">
        <w:rPr>
          <w:rFonts w:ascii="Franklin Gothic Book" w:hAnsi="Franklin Gothic Book"/>
          <w:sz w:val="21"/>
        </w:rPr>
        <w:t xml:space="preserve">is </w:t>
      </w:r>
      <w:r w:rsidR="000808C3" w:rsidRPr="004A2D5E">
        <w:rPr>
          <w:rFonts w:ascii="Franklin Gothic Book" w:hAnsi="Franklin Gothic Book"/>
          <w:sz w:val="21"/>
        </w:rPr>
        <w:t>complete</w:t>
      </w:r>
      <w:r w:rsidR="009519C2">
        <w:rPr>
          <w:rFonts w:ascii="Franklin Gothic Book" w:hAnsi="Franklin Gothic Book"/>
          <w:sz w:val="21"/>
        </w:rPr>
        <w:t>d</w:t>
      </w:r>
      <w:r w:rsidR="000808C3" w:rsidRPr="004A2D5E">
        <w:rPr>
          <w:rFonts w:ascii="Franklin Gothic Book" w:hAnsi="Franklin Gothic Book"/>
          <w:sz w:val="21"/>
        </w:rPr>
        <w:t xml:space="preserve">. </w:t>
      </w:r>
      <w:r w:rsidR="000808C3">
        <w:rPr>
          <w:rFonts w:ascii="Franklin Gothic Book" w:hAnsi="Franklin Gothic Book"/>
          <w:sz w:val="21"/>
        </w:rPr>
        <w:t xml:space="preserve">We will undertake impact evaluation studies </w:t>
      </w:r>
      <w:r w:rsidR="009519C2">
        <w:rPr>
          <w:rFonts w:ascii="Franklin Gothic Book" w:hAnsi="Franklin Gothic Book"/>
          <w:sz w:val="21"/>
        </w:rPr>
        <w:t xml:space="preserve">after project completion, </w:t>
      </w:r>
      <w:r w:rsidR="000808C3">
        <w:rPr>
          <w:rFonts w:ascii="Franklin Gothic Book" w:hAnsi="Franklin Gothic Book"/>
          <w:sz w:val="21"/>
        </w:rPr>
        <w:t xml:space="preserve">to understand </w:t>
      </w:r>
      <w:r w:rsidR="009519C2">
        <w:rPr>
          <w:rFonts w:ascii="Franklin Gothic Book" w:hAnsi="Franklin Gothic Book"/>
          <w:sz w:val="21"/>
        </w:rPr>
        <w:t xml:space="preserve">project </w:t>
      </w:r>
      <w:r w:rsidR="000808C3">
        <w:rPr>
          <w:rFonts w:ascii="Franklin Gothic Book" w:hAnsi="Franklin Gothic Book"/>
          <w:sz w:val="21"/>
        </w:rPr>
        <w:t xml:space="preserve">impacts and how they compare to </w:t>
      </w:r>
      <w:r w:rsidR="009519C2">
        <w:rPr>
          <w:rFonts w:ascii="Franklin Gothic Book" w:hAnsi="Franklin Gothic Book"/>
          <w:sz w:val="21"/>
        </w:rPr>
        <w:t xml:space="preserve">design </w:t>
      </w:r>
      <w:r w:rsidR="000808C3">
        <w:rPr>
          <w:rFonts w:ascii="Franklin Gothic Book" w:hAnsi="Franklin Gothic Book"/>
          <w:sz w:val="21"/>
        </w:rPr>
        <w:t xml:space="preserve">estimates. For Cao Lanh </w:t>
      </w:r>
      <w:r w:rsidR="00562F7C">
        <w:rPr>
          <w:rFonts w:ascii="Franklin Gothic Book" w:hAnsi="Franklin Gothic Book"/>
          <w:sz w:val="21"/>
        </w:rPr>
        <w:t>Bridge</w:t>
      </w:r>
      <w:r w:rsidR="000808C3">
        <w:rPr>
          <w:rFonts w:ascii="Franklin Gothic Book" w:hAnsi="Franklin Gothic Book"/>
          <w:sz w:val="21"/>
        </w:rPr>
        <w:t xml:space="preserve">, we are paying </w:t>
      </w:r>
      <w:r w:rsidR="009519C2">
        <w:rPr>
          <w:rFonts w:ascii="Franklin Gothic Book" w:hAnsi="Franklin Gothic Book"/>
          <w:sz w:val="21"/>
        </w:rPr>
        <w:t xml:space="preserve">close </w:t>
      </w:r>
      <w:r w:rsidR="000808C3">
        <w:rPr>
          <w:rFonts w:ascii="Franklin Gothic Book" w:hAnsi="Franklin Gothic Book"/>
          <w:sz w:val="21"/>
        </w:rPr>
        <w:t>attention</w:t>
      </w:r>
      <w:r w:rsidR="000808C3" w:rsidRPr="004A2D5E">
        <w:rPr>
          <w:rFonts w:ascii="Franklin Gothic Book" w:hAnsi="Franklin Gothic Book"/>
          <w:sz w:val="21"/>
        </w:rPr>
        <w:t xml:space="preserve"> </w:t>
      </w:r>
      <w:r w:rsidR="000808C3">
        <w:rPr>
          <w:rFonts w:ascii="Franklin Gothic Book" w:hAnsi="Franklin Gothic Book"/>
          <w:sz w:val="21"/>
        </w:rPr>
        <w:t xml:space="preserve">to evaluating </w:t>
      </w:r>
      <w:r w:rsidR="000808C3" w:rsidRPr="004A2D5E">
        <w:rPr>
          <w:rFonts w:ascii="Franklin Gothic Book" w:hAnsi="Franklin Gothic Book"/>
          <w:sz w:val="21"/>
        </w:rPr>
        <w:t>gender impacts</w:t>
      </w:r>
      <w:r w:rsidR="009519C2">
        <w:rPr>
          <w:rFonts w:ascii="Franklin Gothic Book" w:hAnsi="Franklin Gothic Book"/>
          <w:sz w:val="21"/>
        </w:rPr>
        <w:t xml:space="preserve">, </w:t>
      </w:r>
      <w:r w:rsidR="000808C3">
        <w:rPr>
          <w:rFonts w:ascii="Franklin Gothic Book" w:hAnsi="Franklin Gothic Book"/>
          <w:sz w:val="21"/>
        </w:rPr>
        <w:t>and indicators have already been incorporated into baseline studies.</w:t>
      </w:r>
    </w:p>
    <w:p w:rsidR="000E5B4B" w:rsidRDefault="00F77702" w:rsidP="00047841">
      <w:pPr>
        <w:pStyle w:val="ListParagraph"/>
        <w:numPr>
          <w:ilvl w:val="0"/>
          <w:numId w:val="0"/>
        </w:numPr>
        <w:spacing w:line="280" w:lineRule="atLeast"/>
        <w:rPr>
          <w:rFonts w:ascii="Franklin Gothic Book" w:hAnsi="Franklin Gothic Book"/>
          <w:sz w:val="21"/>
        </w:rPr>
      </w:pPr>
      <w:r>
        <w:rPr>
          <w:rFonts w:ascii="Franklin Gothic Book" w:hAnsi="Franklin Gothic Book"/>
          <w:sz w:val="21"/>
        </w:rPr>
        <w:t xml:space="preserve">Australia is supporting </w:t>
      </w:r>
      <w:r w:rsidR="000808C3" w:rsidRPr="004A2D5E">
        <w:rPr>
          <w:rFonts w:ascii="Franklin Gothic Book" w:hAnsi="Franklin Gothic Book"/>
          <w:sz w:val="21"/>
        </w:rPr>
        <w:t>advisory and analytical support in the infrastructure sector</w:t>
      </w:r>
      <w:r>
        <w:rPr>
          <w:rFonts w:ascii="Franklin Gothic Book" w:hAnsi="Franklin Gothic Book"/>
          <w:sz w:val="21"/>
        </w:rPr>
        <w:t xml:space="preserve">. This helps to </w:t>
      </w:r>
      <w:r w:rsidR="000808C3" w:rsidRPr="004A2D5E">
        <w:rPr>
          <w:rFonts w:ascii="Franklin Gothic Book" w:hAnsi="Franklin Gothic Book"/>
          <w:sz w:val="21"/>
        </w:rPr>
        <w:t xml:space="preserve">meet a gap in funding for project prioritisation and preparation as </w:t>
      </w:r>
      <w:r w:rsidR="001B4041">
        <w:rPr>
          <w:rFonts w:ascii="Franklin Gothic Book" w:hAnsi="Franklin Gothic Book"/>
          <w:sz w:val="21"/>
        </w:rPr>
        <w:t>development b</w:t>
      </w:r>
      <w:r w:rsidR="00ED1917">
        <w:rPr>
          <w:rFonts w:ascii="Franklin Gothic Book" w:hAnsi="Franklin Gothic Book"/>
          <w:sz w:val="21"/>
        </w:rPr>
        <w:t>ank</w:t>
      </w:r>
      <w:r w:rsidR="000808C3" w:rsidRPr="004A2D5E">
        <w:rPr>
          <w:rFonts w:ascii="Franklin Gothic Book" w:hAnsi="Franklin Gothic Book"/>
          <w:sz w:val="21"/>
        </w:rPr>
        <w:t xml:space="preserve">s and other donors </w:t>
      </w:r>
      <w:r w:rsidR="001B4041">
        <w:rPr>
          <w:rFonts w:ascii="Franklin Gothic Book" w:hAnsi="Franklin Gothic Book"/>
          <w:sz w:val="21"/>
        </w:rPr>
        <w:t>offer</w:t>
      </w:r>
      <w:r w:rsidR="001B4041" w:rsidRPr="004A2D5E">
        <w:rPr>
          <w:rFonts w:ascii="Franklin Gothic Book" w:hAnsi="Franklin Gothic Book"/>
          <w:sz w:val="21"/>
        </w:rPr>
        <w:t xml:space="preserve"> </w:t>
      </w:r>
      <w:r w:rsidR="000808C3" w:rsidRPr="004A2D5E">
        <w:rPr>
          <w:rFonts w:ascii="Franklin Gothic Book" w:hAnsi="Franklin Gothic Book"/>
          <w:sz w:val="21"/>
        </w:rPr>
        <w:t>limited grant funds relative to project implementation loans. Financing upfront project preparation help</w:t>
      </w:r>
      <w:r w:rsidR="001B4041">
        <w:rPr>
          <w:rFonts w:ascii="Franklin Gothic Book" w:hAnsi="Franklin Gothic Book"/>
          <w:sz w:val="21"/>
        </w:rPr>
        <w:t>s</w:t>
      </w:r>
      <w:r w:rsidR="000808C3" w:rsidRPr="004A2D5E">
        <w:rPr>
          <w:rFonts w:ascii="Franklin Gothic Book" w:hAnsi="Franklin Gothic Book"/>
          <w:sz w:val="21"/>
        </w:rPr>
        <w:t xml:space="preserve"> </w:t>
      </w:r>
      <w:r w:rsidR="001B4041">
        <w:rPr>
          <w:rFonts w:ascii="Franklin Gothic Book" w:hAnsi="Franklin Gothic Book"/>
          <w:sz w:val="21"/>
        </w:rPr>
        <w:t xml:space="preserve">us </w:t>
      </w:r>
      <w:r w:rsidR="000808C3" w:rsidRPr="004A2D5E">
        <w:rPr>
          <w:rFonts w:ascii="Franklin Gothic Book" w:hAnsi="Franklin Gothic Book"/>
          <w:sz w:val="21"/>
        </w:rPr>
        <w:t xml:space="preserve">leverage </w:t>
      </w:r>
      <w:r w:rsidR="001B4041">
        <w:rPr>
          <w:rFonts w:ascii="Franklin Gothic Book" w:hAnsi="Franklin Gothic Book"/>
          <w:sz w:val="21"/>
        </w:rPr>
        <w:t xml:space="preserve">better </w:t>
      </w:r>
      <w:r w:rsidR="000808C3" w:rsidRPr="004A2D5E">
        <w:rPr>
          <w:rFonts w:ascii="Franklin Gothic Book" w:hAnsi="Franklin Gothic Book"/>
          <w:sz w:val="21"/>
        </w:rPr>
        <w:t>development outcomes</w:t>
      </w:r>
      <w:r w:rsidR="00A902C6">
        <w:rPr>
          <w:rFonts w:ascii="Franklin Gothic Book" w:hAnsi="Franklin Gothic Book"/>
          <w:sz w:val="21"/>
        </w:rPr>
        <w:t>,</w:t>
      </w:r>
      <w:r w:rsidR="000808C3" w:rsidRPr="004A2D5E">
        <w:rPr>
          <w:rFonts w:ascii="Franklin Gothic Book" w:hAnsi="Franklin Gothic Book"/>
          <w:sz w:val="21"/>
        </w:rPr>
        <w:t xml:space="preserve"> </w:t>
      </w:r>
      <w:r w:rsidR="001B4041">
        <w:rPr>
          <w:rFonts w:ascii="Franklin Gothic Book" w:hAnsi="Franklin Gothic Book"/>
          <w:sz w:val="21"/>
        </w:rPr>
        <w:t xml:space="preserve">much </w:t>
      </w:r>
      <w:r w:rsidR="000808C3" w:rsidRPr="004A2D5E">
        <w:rPr>
          <w:rFonts w:ascii="Franklin Gothic Book" w:hAnsi="Franklin Gothic Book"/>
          <w:sz w:val="21"/>
        </w:rPr>
        <w:t xml:space="preserve">larger than our initial investment by helping to attract new sources of finance. </w:t>
      </w:r>
      <w:r w:rsidR="001B4041">
        <w:rPr>
          <w:rFonts w:ascii="Franklin Gothic Book" w:hAnsi="Franklin Gothic Book"/>
          <w:sz w:val="21"/>
        </w:rPr>
        <w:t>It</w:t>
      </w:r>
      <w:r w:rsidR="000808C3" w:rsidRPr="004A2D5E">
        <w:rPr>
          <w:rFonts w:ascii="Franklin Gothic Book" w:hAnsi="Franklin Gothic Book"/>
          <w:sz w:val="21"/>
        </w:rPr>
        <w:t xml:space="preserve"> also ensures projects are delivered on time and to </w:t>
      </w:r>
      <w:r w:rsidR="000808C3">
        <w:rPr>
          <w:rFonts w:ascii="Franklin Gothic Book" w:hAnsi="Franklin Gothic Book"/>
          <w:sz w:val="21"/>
        </w:rPr>
        <w:t>international standards</w:t>
      </w:r>
      <w:r w:rsidR="000808C3" w:rsidRPr="004A2D5E">
        <w:rPr>
          <w:rFonts w:ascii="Franklin Gothic Book" w:hAnsi="Franklin Gothic Book"/>
          <w:sz w:val="21"/>
        </w:rPr>
        <w:t xml:space="preserve">. This support </w:t>
      </w:r>
      <w:r w:rsidR="001B4041">
        <w:rPr>
          <w:rFonts w:ascii="Franklin Gothic Book" w:hAnsi="Franklin Gothic Book"/>
          <w:sz w:val="21"/>
        </w:rPr>
        <w:t xml:space="preserve">creates </w:t>
      </w:r>
      <w:r w:rsidR="000808C3" w:rsidRPr="004A2D5E">
        <w:rPr>
          <w:rFonts w:ascii="Franklin Gothic Book" w:hAnsi="Franklin Gothic Book"/>
          <w:sz w:val="21"/>
        </w:rPr>
        <w:t xml:space="preserve">opportunities for </w:t>
      </w:r>
      <w:r w:rsidR="001B4041">
        <w:rPr>
          <w:rFonts w:ascii="Franklin Gothic Book" w:hAnsi="Franklin Gothic Book"/>
          <w:sz w:val="21"/>
        </w:rPr>
        <w:t xml:space="preserve">us to </w:t>
      </w:r>
      <w:r w:rsidR="000808C3" w:rsidRPr="004A2D5E">
        <w:rPr>
          <w:rFonts w:ascii="Franklin Gothic Book" w:hAnsi="Franklin Gothic Book"/>
          <w:sz w:val="21"/>
        </w:rPr>
        <w:t xml:space="preserve">engage the </w:t>
      </w:r>
      <w:r w:rsidR="000808C3">
        <w:rPr>
          <w:rFonts w:ascii="Franklin Gothic Book" w:hAnsi="Franklin Gothic Book"/>
          <w:sz w:val="21"/>
        </w:rPr>
        <w:t xml:space="preserve">Government of </w:t>
      </w:r>
      <w:r w:rsidR="000808C3" w:rsidRPr="004A2D5E">
        <w:rPr>
          <w:rFonts w:ascii="Franklin Gothic Book" w:hAnsi="Franklin Gothic Book"/>
          <w:sz w:val="21"/>
        </w:rPr>
        <w:t>Vietnam in policy dialogue</w:t>
      </w:r>
      <w:r w:rsidR="001B4041">
        <w:rPr>
          <w:rFonts w:ascii="Franklin Gothic Book" w:hAnsi="Franklin Gothic Book"/>
          <w:sz w:val="21"/>
        </w:rPr>
        <w:t xml:space="preserve"> on key </w:t>
      </w:r>
      <w:r w:rsidR="000808C3" w:rsidRPr="004A2D5E">
        <w:rPr>
          <w:rFonts w:ascii="Franklin Gothic Book" w:hAnsi="Franklin Gothic Book"/>
          <w:sz w:val="21"/>
        </w:rPr>
        <w:t>reforms such as public private partnerships (PPPs), maintenance budgeting and sequenc</w:t>
      </w:r>
      <w:r w:rsidR="00DF681B">
        <w:rPr>
          <w:rFonts w:ascii="Franklin Gothic Book" w:hAnsi="Franklin Gothic Book"/>
          <w:sz w:val="21"/>
        </w:rPr>
        <w:t>ing of</w:t>
      </w:r>
      <w:r w:rsidR="000808C3" w:rsidRPr="004A2D5E">
        <w:rPr>
          <w:rFonts w:ascii="Franklin Gothic Book" w:hAnsi="Franklin Gothic Book"/>
          <w:sz w:val="21"/>
        </w:rPr>
        <w:t xml:space="preserve"> infrastructure investments. </w:t>
      </w:r>
    </w:p>
    <w:p w:rsidR="000808C3" w:rsidRPr="004A2D5E" w:rsidRDefault="00F10DA4" w:rsidP="00047841">
      <w:pPr>
        <w:pStyle w:val="ListParagraph"/>
        <w:numPr>
          <w:ilvl w:val="0"/>
          <w:numId w:val="0"/>
        </w:numPr>
        <w:spacing w:line="280" w:lineRule="atLeast"/>
        <w:rPr>
          <w:rFonts w:ascii="Franklin Gothic Book" w:hAnsi="Franklin Gothic Book"/>
          <w:sz w:val="21"/>
        </w:rPr>
      </w:pPr>
      <w:r w:rsidRPr="00F10DA4">
        <w:rPr>
          <w:rFonts w:ascii="Franklin Gothic Book" w:hAnsi="Franklin Gothic Book"/>
          <w:sz w:val="21"/>
        </w:rPr>
        <w:t>In 2013-14</w:t>
      </w:r>
      <w:r w:rsidR="00DF681B">
        <w:rPr>
          <w:rFonts w:ascii="Franklin Gothic Book" w:hAnsi="Franklin Gothic Book"/>
          <w:sz w:val="21"/>
        </w:rPr>
        <w:t>,</w:t>
      </w:r>
      <w:r w:rsidRPr="00F10DA4">
        <w:rPr>
          <w:rFonts w:ascii="Franklin Gothic Book" w:hAnsi="Franklin Gothic Book"/>
          <w:sz w:val="21"/>
        </w:rPr>
        <w:t xml:space="preserve"> </w:t>
      </w:r>
      <w:r w:rsidR="00DF681B">
        <w:rPr>
          <w:rFonts w:ascii="Franklin Gothic Book" w:hAnsi="Franklin Gothic Book"/>
          <w:sz w:val="21"/>
        </w:rPr>
        <w:t xml:space="preserve">we </w:t>
      </w:r>
      <w:r w:rsidR="000E5B4B">
        <w:rPr>
          <w:rFonts w:ascii="Franklin Gothic Book" w:hAnsi="Franklin Gothic Book"/>
          <w:sz w:val="21"/>
        </w:rPr>
        <w:t xml:space="preserve">successfully </w:t>
      </w:r>
      <w:r w:rsidR="00DF681B">
        <w:rPr>
          <w:rFonts w:ascii="Franklin Gothic Book" w:hAnsi="Franklin Gothic Book"/>
          <w:sz w:val="21"/>
        </w:rPr>
        <w:t xml:space="preserve">began </w:t>
      </w:r>
      <w:r w:rsidRPr="00F10DA4">
        <w:rPr>
          <w:rFonts w:ascii="Franklin Gothic Book" w:hAnsi="Franklin Gothic Book"/>
          <w:sz w:val="21"/>
        </w:rPr>
        <w:t xml:space="preserve">a new project </w:t>
      </w:r>
      <w:r w:rsidR="00DF681B">
        <w:rPr>
          <w:rFonts w:ascii="Franklin Gothic Book" w:hAnsi="Franklin Gothic Book"/>
          <w:sz w:val="21"/>
        </w:rPr>
        <w:t xml:space="preserve">to </w:t>
      </w:r>
      <w:r w:rsidRPr="00F10DA4">
        <w:rPr>
          <w:rFonts w:ascii="Franklin Gothic Book" w:hAnsi="Franklin Gothic Book"/>
          <w:sz w:val="21"/>
        </w:rPr>
        <w:t xml:space="preserve">help </w:t>
      </w:r>
      <w:r w:rsidR="00DF681B">
        <w:rPr>
          <w:rFonts w:ascii="Franklin Gothic Book" w:hAnsi="Franklin Gothic Book"/>
          <w:sz w:val="21"/>
        </w:rPr>
        <w:t xml:space="preserve">Vietnam’s </w:t>
      </w:r>
      <w:r w:rsidR="00DF681B" w:rsidRPr="00F10DA4">
        <w:rPr>
          <w:rFonts w:ascii="Franklin Gothic Book" w:hAnsi="Franklin Gothic Book"/>
          <w:sz w:val="21"/>
        </w:rPr>
        <w:t xml:space="preserve">Roads </w:t>
      </w:r>
      <w:r w:rsidRPr="00F10DA4">
        <w:rPr>
          <w:rFonts w:ascii="Franklin Gothic Book" w:hAnsi="Franklin Gothic Book"/>
          <w:sz w:val="21"/>
        </w:rPr>
        <w:t xml:space="preserve">Directorate establish an asset maintenance system to better prioritise road maintenance funding for national roads. </w:t>
      </w:r>
      <w:r w:rsidR="000808C3" w:rsidRPr="004A2D5E">
        <w:rPr>
          <w:rFonts w:ascii="Franklin Gothic Book" w:hAnsi="Franklin Gothic Book"/>
          <w:sz w:val="21"/>
        </w:rPr>
        <w:t>However</w:t>
      </w:r>
      <w:r w:rsidR="000E5B4B">
        <w:rPr>
          <w:rFonts w:ascii="Franklin Gothic Book" w:hAnsi="Franklin Gothic Book"/>
          <w:sz w:val="21"/>
        </w:rPr>
        <w:t>,</w:t>
      </w:r>
      <w:r w:rsidR="000808C3" w:rsidRPr="004A2D5E">
        <w:rPr>
          <w:rFonts w:ascii="Franklin Gothic Book" w:hAnsi="Franklin Gothic Book"/>
          <w:sz w:val="21"/>
        </w:rPr>
        <w:t xml:space="preserve"> </w:t>
      </w:r>
      <w:r w:rsidR="000E5B4B" w:rsidRPr="004A2D5E">
        <w:rPr>
          <w:rFonts w:ascii="Franklin Gothic Book" w:hAnsi="Franklin Gothic Book"/>
          <w:sz w:val="21"/>
        </w:rPr>
        <w:t xml:space="preserve">performance </w:t>
      </w:r>
      <w:r w:rsidR="000E5B4B">
        <w:rPr>
          <w:rFonts w:ascii="Franklin Gothic Book" w:hAnsi="Franklin Gothic Book"/>
          <w:sz w:val="21"/>
        </w:rPr>
        <w:t>of other</w:t>
      </w:r>
      <w:r w:rsidRPr="00F10DA4">
        <w:rPr>
          <w:rFonts w:ascii="Franklin Gothic Book" w:hAnsi="Franklin Gothic Book"/>
          <w:sz w:val="21"/>
        </w:rPr>
        <w:t xml:space="preserve"> analytical and advisory support </w:t>
      </w:r>
      <w:r w:rsidR="000808C3" w:rsidRPr="004A2D5E">
        <w:rPr>
          <w:rFonts w:ascii="Franklin Gothic Book" w:hAnsi="Franklin Gothic Book"/>
          <w:sz w:val="21"/>
        </w:rPr>
        <w:t xml:space="preserve">has been mixed and there have been delays in </w:t>
      </w:r>
      <w:r w:rsidR="000E5B4B">
        <w:rPr>
          <w:rFonts w:ascii="Franklin Gothic Book" w:hAnsi="Franklin Gothic Book"/>
          <w:sz w:val="21"/>
        </w:rPr>
        <w:t>several</w:t>
      </w:r>
      <w:r w:rsidR="000808C3" w:rsidRPr="004A2D5E">
        <w:rPr>
          <w:rFonts w:ascii="Franklin Gothic Book" w:hAnsi="Franklin Gothic Book"/>
          <w:sz w:val="21"/>
        </w:rPr>
        <w:t xml:space="preserve"> activities, most notably </w:t>
      </w:r>
      <w:r w:rsidR="000E5B4B">
        <w:rPr>
          <w:rFonts w:ascii="Franklin Gothic Book" w:hAnsi="Franklin Gothic Book"/>
          <w:sz w:val="21"/>
        </w:rPr>
        <w:t>our support for</w:t>
      </w:r>
      <w:r w:rsidR="000E5B4B" w:rsidRPr="004A2D5E">
        <w:rPr>
          <w:rFonts w:ascii="Franklin Gothic Book" w:hAnsi="Franklin Gothic Book"/>
          <w:sz w:val="21"/>
        </w:rPr>
        <w:t xml:space="preserve"> </w:t>
      </w:r>
      <w:r w:rsidR="000808C3" w:rsidRPr="004A2D5E">
        <w:rPr>
          <w:rFonts w:ascii="Franklin Gothic Book" w:hAnsi="Franklin Gothic Book"/>
          <w:sz w:val="21"/>
        </w:rPr>
        <w:t>PPPs. This largely reflects the complex</w:t>
      </w:r>
      <w:r w:rsidR="000E5B4B">
        <w:rPr>
          <w:rFonts w:ascii="Franklin Gothic Book" w:hAnsi="Franklin Gothic Book"/>
          <w:sz w:val="21"/>
        </w:rPr>
        <w:t>ity</w:t>
      </w:r>
      <w:r w:rsidR="000808C3" w:rsidRPr="004A2D5E">
        <w:rPr>
          <w:rFonts w:ascii="Franklin Gothic Book" w:hAnsi="Franklin Gothic Book"/>
          <w:sz w:val="21"/>
        </w:rPr>
        <w:t xml:space="preserve"> of PPP policy and transactions and Vietnam’s limited experience with these arrangements. </w:t>
      </w:r>
      <w:r w:rsidR="000E5B4B">
        <w:rPr>
          <w:rFonts w:ascii="Franklin Gothic Book" w:hAnsi="Franklin Gothic Book"/>
          <w:sz w:val="21"/>
        </w:rPr>
        <w:t>C</w:t>
      </w:r>
      <w:r w:rsidR="000808C3" w:rsidRPr="004A2D5E">
        <w:rPr>
          <w:rFonts w:ascii="Franklin Gothic Book" w:hAnsi="Franklin Gothic Book"/>
          <w:sz w:val="21"/>
        </w:rPr>
        <w:t>hallenge</w:t>
      </w:r>
      <w:r w:rsidR="000E5B4B">
        <w:rPr>
          <w:rFonts w:ascii="Franklin Gothic Book" w:hAnsi="Franklin Gothic Book"/>
          <w:sz w:val="21"/>
        </w:rPr>
        <w:t>s remain</w:t>
      </w:r>
      <w:r w:rsidR="000808C3" w:rsidRPr="004A2D5E">
        <w:rPr>
          <w:rFonts w:ascii="Franklin Gothic Book" w:hAnsi="Franklin Gothic Book"/>
          <w:sz w:val="21"/>
        </w:rPr>
        <w:t xml:space="preserve"> </w:t>
      </w:r>
      <w:r w:rsidR="000E5B4B">
        <w:rPr>
          <w:rFonts w:ascii="Franklin Gothic Book" w:hAnsi="Franklin Gothic Book"/>
          <w:sz w:val="21"/>
        </w:rPr>
        <w:t xml:space="preserve">in </w:t>
      </w:r>
      <w:r w:rsidR="000808C3" w:rsidRPr="004A2D5E">
        <w:rPr>
          <w:rFonts w:ascii="Franklin Gothic Book" w:hAnsi="Franklin Gothic Book"/>
          <w:sz w:val="21"/>
        </w:rPr>
        <w:t>ensur</w:t>
      </w:r>
      <w:r w:rsidR="000E5B4B">
        <w:rPr>
          <w:rFonts w:ascii="Franklin Gothic Book" w:hAnsi="Franklin Gothic Book"/>
          <w:sz w:val="21"/>
        </w:rPr>
        <w:t>ing</w:t>
      </w:r>
      <w:r w:rsidR="000808C3" w:rsidRPr="004A2D5E">
        <w:rPr>
          <w:rFonts w:ascii="Franklin Gothic Book" w:hAnsi="Franklin Gothic Book"/>
          <w:sz w:val="21"/>
        </w:rPr>
        <w:t xml:space="preserve"> PPPs follow a sufficiently rigorous process to </w:t>
      </w:r>
      <w:r w:rsidR="000E5B4B">
        <w:rPr>
          <w:rFonts w:ascii="Franklin Gothic Book" w:hAnsi="Franklin Gothic Book"/>
          <w:sz w:val="21"/>
        </w:rPr>
        <w:t xml:space="preserve">give international </w:t>
      </w:r>
      <w:r w:rsidR="000E5B4B" w:rsidRPr="004A2D5E">
        <w:rPr>
          <w:rFonts w:ascii="Franklin Gothic Book" w:hAnsi="Franklin Gothic Book"/>
          <w:sz w:val="21"/>
        </w:rPr>
        <w:t xml:space="preserve">private sector </w:t>
      </w:r>
      <w:r w:rsidR="00562F7C" w:rsidRPr="004A2D5E">
        <w:rPr>
          <w:rFonts w:ascii="Franklin Gothic Book" w:hAnsi="Franklin Gothic Book"/>
          <w:sz w:val="21"/>
        </w:rPr>
        <w:t>investors’</w:t>
      </w:r>
      <w:r w:rsidR="000E5B4B" w:rsidRPr="004A2D5E" w:rsidDel="000E5B4B">
        <w:rPr>
          <w:rFonts w:ascii="Franklin Gothic Book" w:hAnsi="Franklin Gothic Book"/>
          <w:sz w:val="21"/>
        </w:rPr>
        <w:t xml:space="preserve"> </w:t>
      </w:r>
      <w:r w:rsidR="000808C3" w:rsidRPr="004A2D5E">
        <w:rPr>
          <w:rFonts w:ascii="Franklin Gothic Book" w:hAnsi="Franklin Gothic Book"/>
          <w:sz w:val="21"/>
        </w:rPr>
        <w:t xml:space="preserve">confidence </w:t>
      </w:r>
      <w:r w:rsidR="000E5B4B">
        <w:rPr>
          <w:rFonts w:ascii="Franklin Gothic Book" w:hAnsi="Franklin Gothic Book"/>
          <w:sz w:val="21"/>
        </w:rPr>
        <w:t>whilst</w:t>
      </w:r>
      <w:r w:rsidR="000808C3" w:rsidRPr="004A2D5E">
        <w:rPr>
          <w:rFonts w:ascii="Franklin Gothic Book" w:hAnsi="Franklin Gothic Book"/>
          <w:sz w:val="21"/>
        </w:rPr>
        <w:t xml:space="preserve"> demonstrat</w:t>
      </w:r>
      <w:r w:rsidR="000E5B4B">
        <w:rPr>
          <w:rFonts w:ascii="Franklin Gothic Book" w:hAnsi="Franklin Gothic Book"/>
          <w:sz w:val="21"/>
        </w:rPr>
        <w:t>ing</w:t>
      </w:r>
      <w:r w:rsidR="000808C3" w:rsidRPr="004A2D5E">
        <w:rPr>
          <w:rFonts w:ascii="Franklin Gothic Book" w:hAnsi="Franklin Gothic Book"/>
          <w:sz w:val="21"/>
        </w:rPr>
        <w:t xml:space="preserve"> progress on these projects in acceptable timeframes.</w:t>
      </w:r>
    </w:p>
    <w:p w:rsidR="000E5B4B" w:rsidRDefault="000E5B4B" w:rsidP="00837906">
      <w:pPr>
        <w:pStyle w:val="ListParagraph"/>
        <w:keepNext/>
        <w:numPr>
          <w:ilvl w:val="0"/>
          <w:numId w:val="0"/>
        </w:numPr>
        <w:spacing w:line="280" w:lineRule="atLeast"/>
        <w:rPr>
          <w:rFonts w:ascii="Franklin Gothic Book" w:hAnsi="Franklin Gothic Book"/>
          <w:i/>
          <w:sz w:val="21"/>
        </w:rPr>
      </w:pPr>
      <w:r>
        <w:rPr>
          <w:rFonts w:ascii="Franklin Gothic Book" w:hAnsi="Franklin Gothic Book"/>
          <w:i/>
          <w:sz w:val="21"/>
        </w:rPr>
        <w:t>Economic integration</w:t>
      </w:r>
    </w:p>
    <w:p w:rsidR="002E3D26" w:rsidRDefault="000E5B4B" w:rsidP="00047841">
      <w:pPr>
        <w:pStyle w:val="ListParagraph"/>
        <w:numPr>
          <w:ilvl w:val="0"/>
          <w:numId w:val="0"/>
        </w:numPr>
        <w:spacing w:line="280" w:lineRule="atLeast"/>
        <w:rPr>
          <w:rFonts w:ascii="Franklin Gothic Book" w:hAnsi="Franklin Gothic Book"/>
          <w:sz w:val="21"/>
        </w:rPr>
      </w:pPr>
      <w:r>
        <w:rPr>
          <w:rFonts w:ascii="Franklin Gothic Book" w:hAnsi="Franklin Gothic Book"/>
          <w:sz w:val="21"/>
        </w:rPr>
        <w:t xml:space="preserve">Our </w:t>
      </w:r>
      <w:r w:rsidRPr="004A2D5E">
        <w:rPr>
          <w:rFonts w:ascii="Franklin Gothic Book" w:hAnsi="Franklin Gothic Book"/>
          <w:sz w:val="21"/>
        </w:rPr>
        <w:t xml:space="preserve">Beyond WTO </w:t>
      </w:r>
      <w:r>
        <w:rPr>
          <w:rFonts w:ascii="Franklin Gothic Book" w:hAnsi="Franklin Gothic Book"/>
          <w:sz w:val="21"/>
        </w:rPr>
        <w:t>P</w:t>
      </w:r>
      <w:r w:rsidRPr="004A2D5E">
        <w:rPr>
          <w:rFonts w:ascii="Franklin Gothic Book" w:hAnsi="Franklin Gothic Book"/>
          <w:sz w:val="21"/>
        </w:rPr>
        <w:t>rogram</w:t>
      </w:r>
      <w:r>
        <w:rPr>
          <w:rFonts w:ascii="Franklin Gothic Book" w:hAnsi="Franklin Gothic Book"/>
          <w:sz w:val="21"/>
        </w:rPr>
        <w:t xml:space="preserve"> delivered several significant outcomes in 2013-14, such as </w:t>
      </w:r>
      <w:r w:rsidRPr="004A2D5E">
        <w:rPr>
          <w:rFonts w:ascii="Franklin Gothic Book" w:hAnsi="Franklin Gothic Book"/>
          <w:sz w:val="21"/>
        </w:rPr>
        <w:t>facilitati</w:t>
      </w:r>
      <w:r>
        <w:rPr>
          <w:rFonts w:ascii="Franklin Gothic Book" w:hAnsi="Franklin Gothic Book"/>
          <w:sz w:val="21"/>
        </w:rPr>
        <w:t>ng consultations on the revised</w:t>
      </w:r>
      <w:r w:rsidRPr="004A2D5E">
        <w:rPr>
          <w:rFonts w:ascii="Franklin Gothic Book" w:hAnsi="Franklin Gothic Book"/>
          <w:sz w:val="21"/>
        </w:rPr>
        <w:t xml:space="preserve"> </w:t>
      </w:r>
      <w:r>
        <w:rPr>
          <w:rFonts w:ascii="Franklin Gothic Book" w:hAnsi="Franklin Gothic Book"/>
          <w:sz w:val="21"/>
        </w:rPr>
        <w:t>L</w:t>
      </w:r>
      <w:r w:rsidRPr="004A2D5E">
        <w:rPr>
          <w:rFonts w:ascii="Franklin Gothic Book" w:hAnsi="Franklin Gothic Book"/>
          <w:sz w:val="21"/>
        </w:rPr>
        <w:t xml:space="preserve">and </w:t>
      </w:r>
      <w:r>
        <w:rPr>
          <w:rFonts w:ascii="Franklin Gothic Book" w:hAnsi="Franklin Gothic Book"/>
          <w:sz w:val="21"/>
        </w:rPr>
        <w:t>L</w:t>
      </w:r>
      <w:r w:rsidRPr="004A2D5E">
        <w:rPr>
          <w:rFonts w:ascii="Franklin Gothic Book" w:hAnsi="Franklin Gothic Book"/>
          <w:sz w:val="21"/>
        </w:rPr>
        <w:t xml:space="preserve">aw </w:t>
      </w:r>
      <w:r w:rsidR="002E3D26">
        <w:rPr>
          <w:rFonts w:ascii="Franklin Gothic Book" w:hAnsi="Franklin Gothic Book"/>
          <w:sz w:val="21"/>
        </w:rPr>
        <w:t xml:space="preserve">which led to </w:t>
      </w:r>
      <w:r w:rsidRPr="004A2D5E">
        <w:rPr>
          <w:rFonts w:ascii="Franklin Gothic Book" w:hAnsi="Franklin Gothic Book"/>
          <w:sz w:val="21"/>
        </w:rPr>
        <w:t xml:space="preserve">improvements </w:t>
      </w:r>
      <w:r w:rsidR="00770229">
        <w:rPr>
          <w:rFonts w:ascii="Franklin Gothic Book" w:hAnsi="Franklin Gothic Book"/>
          <w:sz w:val="21"/>
        </w:rPr>
        <w:t>in</w:t>
      </w:r>
      <w:r w:rsidRPr="004A2D5E">
        <w:rPr>
          <w:rFonts w:ascii="Franklin Gothic Book" w:hAnsi="Franklin Gothic Book"/>
          <w:sz w:val="21"/>
        </w:rPr>
        <w:t xml:space="preserve"> reducing scope for state compulsory acquisition</w:t>
      </w:r>
      <w:r w:rsidR="002E3D26">
        <w:rPr>
          <w:rFonts w:ascii="Franklin Gothic Book" w:hAnsi="Franklin Gothic Book"/>
          <w:sz w:val="21"/>
        </w:rPr>
        <w:t xml:space="preserve">. However, </w:t>
      </w:r>
      <w:r w:rsidRPr="004A2D5E">
        <w:rPr>
          <w:rFonts w:ascii="Franklin Gothic Book" w:hAnsi="Franklin Gothic Book"/>
          <w:sz w:val="21"/>
        </w:rPr>
        <w:t xml:space="preserve">the </w:t>
      </w:r>
      <w:r>
        <w:rPr>
          <w:rFonts w:ascii="Franklin Gothic Book" w:hAnsi="Franklin Gothic Book"/>
          <w:sz w:val="21"/>
        </w:rPr>
        <w:t>P</w:t>
      </w:r>
      <w:r w:rsidRPr="004A2D5E">
        <w:rPr>
          <w:rFonts w:ascii="Franklin Gothic Book" w:hAnsi="Franklin Gothic Book"/>
          <w:sz w:val="21"/>
        </w:rPr>
        <w:t xml:space="preserve">rogram </w:t>
      </w:r>
      <w:r w:rsidR="004754C0">
        <w:rPr>
          <w:rFonts w:ascii="Franklin Gothic Book" w:hAnsi="Franklin Gothic Book"/>
          <w:sz w:val="21"/>
        </w:rPr>
        <w:t>did not reach its potential</w:t>
      </w:r>
      <w:r w:rsidRPr="004A2D5E">
        <w:rPr>
          <w:rFonts w:ascii="Franklin Gothic Book" w:hAnsi="Franklin Gothic Book"/>
          <w:sz w:val="21"/>
        </w:rPr>
        <w:t xml:space="preserve"> due to fragmented activities </w:t>
      </w:r>
      <w:r>
        <w:rPr>
          <w:rFonts w:ascii="Franklin Gothic Book" w:hAnsi="Franklin Gothic Book"/>
          <w:sz w:val="21"/>
        </w:rPr>
        <w:t xml:space="preserve">and </w:t>
      </w:r>
      <w:r w:rsidR="004754C0">
        <w:rPr>
          <w:rFonts w:ascii="Franklin Gothic Book" w:hAnsi="Franklin Gothic Book"/>
          <w:sz w:val="21"/>
        </w:rPr>
        <w:t>a sub-optimal</w:t>
      </w:r>
      <w:r>
        <w:rPr>
          <w:rFonts w:ascii="Franklin Gothic Book" w:hAnsi="Franklin Gothic Book"/>
          <w:sz w:val="21"/>
        </w:rPr>
        <w:t xml:space="preserve"> management structure</w:t>
      </w:r>
      <w:r w:rsidRPr="004A2D5E">
        <w:rPr>
          <w:rFonts w:ascii="Franklin Gothic Book" w:hAnsi="Franklin Gothic Book"/>
          <w:sz w:val="21"/>
        </w:rPr>
        <w:t xml:space="preserve">. An independent review </w:t>
      </w:r>
      <w:r w:rsidR="002E3D26">
        <w:rPr>
          <w:rFonts w:ascii="Franklin Gothic Book" w:hAnsi="Franklin Gothic Book"/>
          <w:sz w:val="21"/>
        </w:rPr>
        <w:t>in 2013</w:t>
      </w:r>
      <w:r w:rsidRPr="004A2D5E">
        <w:rPr>
          <w:rFonts w:ascii="Franklin Gothic Book" w:hAnsi="Franklin Gothic Book"/>
          <w:sz w:val="21"/>
        </w:rPr>
        <w:t xml:space="preserve">-14 made </w:t>
      </w:r>
      <w:r w:rsidR="002E3D26">
        <w:rPr>
          <w:rFonts w:ascii="Franklin Gothic Book" w:hAnsi="Franklin Gothic Book"/>
          <w:sz w:val="21"/>
        </w:rPr>
        <w:t>several</w:t>
      </w:r>
      <w:r w:rsidRPr="004A2D5E">
        <w:rPr>
          <w:rFonts w:ascii="Franklin Gothic Book" w:hAnsi="Franklin Gothic Book"/>
          <w:sz w:val="21"/>
        </w:rPr>
        <w:t xml:space="preserve"> recommendations, including </w:t>
      </w:r>
      <w:r w:rsidR="002E3D26">
        <w:rPr>
          <w:rFonts w:ascii="Franklin Gothic Book" w:hAnsi="Franklin Gothic Book"/>
          <w:sz w:val="21"/>
        </w:rPr>
        <w:t xml:space="preserve">giving </w:t>
      </w:r>
      <w:r w:rsidRPr="004A2D5E">
        <w:rPr>
          <w:rFonts w:ascii="Franklin Gothic Book" w:hAnsi="Franklin Gothic Book"/>
          <w:sz w:val="21"/>
        </w:rPr>
        <w:t xml:space="preserve">the Senior Advisory Group (a panel of eminent Vietnamese economists) </w:t>
      </w:r>
      <w:r w:rsidR="002E3D26">
        <w:rPr>
          <w:rFonts w:ascii="Franklin Gothic Book" w:hAnsi="Franklin Gothic Book"/>
          <w:sz w:val="21"/>
        </w:rPr>
        <w:t xml:space="preserve">a stronger role </w:t>
      </w:r>
      <w:r w:rsidRPr="004A2D5E">
        <w:rPr>
          <w:rFonts w:ascii="Franklin Gothic Book" w:hAnsi="Franklin Gothic Book"/>
          <w:sz w:val="21"/>
        </w:rPr>
        <w:t xml:space="preserve">in </w:t>
      </w:r>
      <w:r w:rsidR="002E3D26">
        <w:rPr>
          <w:rFonts w:ascii="Franklin Gothic Book" w:hAnsi="Franklin Gothic Book"/>
          <w:sz w:val="21"/>
        </w:rPr>
        <w:t>selecting future</w:t>
      </w:r>
      <w:r w:rsidRPr="004A2D5E">
        <w:rPr>
          <w:rFonts w:ascii="Franklin Gothic Book" w:hAnsi="Franklin Gothic Book"/>
          <w:sz w:val="21"/>
        </w:rPr>
        <w:t xml:space="preserve"> activities. </w:t>
      </w:r>
      <w:r w:rsidR="002E3D26">
        <w:rPr>
          <w:rFonts w:ascii="Franklin Gothic Book" w:hAnsi="Franklin Gothic Book"/>
          <w:sz w:val="21"/>
        </w:rPr>
        <w:t xml:space="preserve">The Program was closed in early 2014, and </w:t>
      </w:r>
      <w:r w:rsidR="000808C3" w:rsidRPr="004A2D5E">
        <w:rPr>
          <w:rFonts w:ascii="Franklin Gothic Book" w:hAnsi="Franklin Gothic Book"/>
          <w:sz w:val="21"/>
        </w:rPr>
        <w:t xml:space="preserve">lessons </w:t>
      </w:r>
      <w:r w:rsidR="002E3D26">
        <w:rPr>
          <w:rFonts w:ascii="Franklin Gothic Book" w:hAnsi="Franklin Gothic Book"/>
          <w:sz w:val="21"/>
        </w:rPr>
        <w:t>used to</w:t>
      </w:r>
      <w:r w:rsidR="000808C3" w:rsidRPr="004A2D5E">
        <w:rPr>
          <w:rFonts w:ascii="Franklin Gothic Book" w:hAnsi="Franklin Gothic Book"/>
          <w:sz w:val="21"/>
        </w:rPr>
        <w:t xml:space="preserve"> design </w:t>
      </w:r>
      <w:r w:rsidR="002E3D26">
        <w:rPr>
          <w:rFonts w:ascii="Franklin Gothic Book" w:hAnsi="Franklin Gothic Book"/>
          <w:sz w:val="21"/>
        </w:rPr>
        <w:t xml:space="preserve">the </w:t>
      </w:r>
      <w:r w:rsidR="000808C3" w:rsidRPr="004A2D5E">
        <w:rPr>
          <w:rFonts w:ascii="Franklin Gothic Book" w:hAnsi="Franklin Gothic Book"/>
          <w:sz w:val="21"/>
        </w:rPr>
        <w:t xml:space="preserve">new </w:t>
      </w:r>
      <w:r w:rsidR="00424069">
        <w:rPr>
          <w:rFonts w:ascii="Franklin Gothic Book" w:hAnsi="Franklin Gothic Book"/>
          <w:sz w:val="21"/>
        </w:rPr>
        <w:t>Restructuring for a M</w:t>
      </w:r>
      <w:r w:rsidR="002E3D26" w:rsidRPr="004A2D5E">
        <w:rPr>
          <w:rFonts w:ascii="Franklin Gothic Book" w:hAnsi="Franklin Gothic Book"/>
          <w:sz w:val="21"/>
        </w:rPr>
        <w:t>ore Competitive Vietnam project</w:t>
      </w:r>
      <w:r w:rsidR="002E3D26">
        <w:rPr>
          <w:rFonts w:ascii="Franklin Gothic Book" w:hAnsi="Franklin Gothic Book"/>
          <w:sz w:val="21"/>
        </w:rPr>
        <w:t>, with a tighter focus and improved management arrangements</w:t>
      </w:r>
      <w:r w:rsidR="00A902C6">
        <w:rPr>
          <w:rFonts w:ascii="Franklin Gothic Book" w:hAnsi="Franklin Gothic Book"/>
          <w:sz w:val="21"/>
        </w:rPr>
        <w:t xml:space="preserve">. </w:t>
      </w:r>
      <w:r w:rsidR="00414021">
        <w:rPr>
          <w:rFonts w:ascii="Franklin Gothic Book" w:hAnsi="Franklin Gothic Book"/>
          <w:sz w:val="21"/>
        </w:rPr>
        <w:t>In line with Australia’s new aid policy, t</w:t>
      </w:r>
      <w:r w:rsidR="00A902C6">
        <w:rPr>
          <w:rFonts w:ascii="Franklin Gothic Book" w:hAnsi="Franklin Gothic Book"/>
          <w:sz w:val="21"/>
        </w:rPr>
        <w:t>he new program</w:t>
      </w:r>
      <w:r w:rsidR="002E3D26">
        <w:rPr>
          <w:rFonts w:ascii="Franklin Gothic Book" w:hAnsi="Franklin Gothic Book"/>
          <w:sz w:val="21"/>
        </w:rPr>
        <w:t xml:space="preserve"> target</w:t>
      </w:r>
      <w:r w:rsidR="00A902C6">
        <w:rPr>
          <w:rFonts w:ascii="Franklin Gothic Book" w:hAnsi="Franklin Gothic Book"/>
          <w:sz w:val="21"/>
        </w:rPr>
        <w:t>s</w:t>
      </w:r>
      <w:r w:rsidR="002E3D26">
        <w:rPr>
          <w:rFonts w:ascii="Franklin Gothic Book" w:hAnsi="Franklin Gothic Book"/>
          <w:sz w:val="21"/>
        </w:rPr>
        <w:t xml:space="preserve"> </w:t>
      </w:r>
      <w:r w:rsidR="000808C3" w:rsidRPr="004A2D5E">
        <w:rPr>
          <w:rFonts w:ascii="Franklin Gothic Book" w:hAnsi="Franklin Gothic Book"/>
          <w:sz w:val="21"/>
        </w:rPr>
        <w:t xml:space="preserve">three priority areas: promoting economic restructuring; strengthening Vietnam’s competition institutions; and improving rural productivity. The </w:t>
      </w:r>
      <w:r w:rsidR="002E3D26">
        <w:rPr>
          <w:rFonts w:ascii="Franklin Gothic Book" w:hAnsi="Franklin Gothic Book"/>
          <w:sz w:val="21"/>
        </w:rPr>
        <w:t>project</w:t>
      </w:r>
      <w:r w:rsidR="002E3D26" w:rsidRPr="004A2D5E">
        <w:rPr>
          <w:rFonts w:ascii="Franklin Gothic Book" w:hAnsi="Franklin Gothic Book"/>
          <w:sz w:val="21"/>
        </w:rPr>
        <w:t xml:space="preserve"> </w:t>
      </w:r>
      <w:r w:rsidR="000808C3" w:rsidRPr="004A2D5E">
        <w:rPr>
          <w:rFonts w:ascii="Franklin Gothic Book" w:hAnsi="Franklin Gothic Book"/>
          <w:sz w:val="21"/>
        </w:rPr>
        <w:t xml:space="preserve">will </w:t>
      </w:r>
      <w:r w:rsidR="0056154A">
        <w:rPr>
          <w:rFonts w:ascii="Franklin Gothic Book" w:hAnsi="Franklin Gothic Book"/>
          <w:sz w:val="21"/>
        </w:rPr>
        <w:t xml:space="preserve">support Vietnam’s own reform agenda, </w:t>
      </w:r>
      <w:r w:rsidR="002E3D26">
        <w:rPr>
          <w:rFonts w:ascii="Franklin Gothic Book" w:hAnsi="Franklin Gothic Book"/>
          <w:sz w:val="21"/>
        </w:rPr>
        <w:t>allow</w:t>
      </w:r>
      <w:r w:rsidR="0056154A">
        <w:rPr>
          <w:rFonts w:ascii="Franklin Gothic Book" w:hAnsi="Franklin Gothic Book"/>
          <w:sz w:val="21"/>
        </w:rPr>
        <w:t>ing</w:t>
      </w:r>
      <w:r w:rsidR="002E3D26">
        <w:rPr>
          <w:rFonts w:ascii="Franklin Gothic Book" w:hAnsi="Franklin Gothic Book"/>
          <w:sz w:val="21"/>
        </w:rPr>
        <w:t xml:space="preserve"> </w:t>
      </w:r>
      <w:r w:rsidR="000808C3" w:rsidRPr="004A2D5E">
        <w:rPr>
          <w:rFonts w:ascii="Franklin Gothic Book" w:hAnsi="Franklin Gothic Book"/>
          <w:sz w:val="21"/>
        </w:rPr>
        <w:t xml:space="preserve">Australia </w:t>
      </w:r>
      <w:r w:rsidR="002E3D26">
        <w:rPr>
          <w:rFonts w:ascii="Franklin Gothic Book" w:hAnsi="Franklin Gothic Book"/>
          <w:sz w:val="21"/>
        </w:rPr>
        <w:t xml:space="preserve">to </w:t>
      </w:r>
      <w:r w:rsidR="000808C3" w:rsidRPr="004A2D5E">
        <w:rPr>
          <w:rFonts w:ascii="Franklin Gothic Book" w:hAnsi="Franklin Gothic Book"/>
          <w:sz w:val="21"/>
        </w:rPr>
        <w:t xml:space="preserve">positively </w:t>
      </w:r>
      <w:r w:rsidR="002E3D26">
        <w:rPr>
          <w:rFonts w:ascii="Franklin Gothic Book" w:hAnsi="Franklin Gothic Book"/>
          <w:sz w:val="21"/>
        </w:rPr>
        <w:t xml:space="preserve">influence Vietnam’s </w:t>
      </w:r>
      <w:r w:rsidR="000808C3" w:rsidRPr="004A2D5E">
        <w:rPr>
          <w:rFonts w:ascii="Franklin Gothic Book" w:hAnsi="Franklin Gothic Book"/>
          <w:sz w:val="21"/>
        </w:rPr>
        <w:t xml:space="preserve">SEDP </w:t>
      </w:r>
      <w:r w:rsidR="002E3D26">
        <w:rPr>
          <w:rFonts w:ascii="Franklin Gothic Book" w:hAnsi="Franklin Gothic Book"/>
          <w:sz w:val="21"/>
        </w:rPr>
        <w:t xml:space="preserve">2016-20 </w:t>
      </w:r>
      <w:r w:rsidR="000808C3" w:rsidRPr="004A2D5E">
        <w:rPr>
          <w:rFonts w:ascii="Franklin Gothic Book" w:hAnsi="Franklin Gothic Book"/>
          <w:sz w:val="21"/>
        </w:rPr>
        <w:t xml:space="preserve">development process. </w:t>
      </w:r>
    </w:p>
    <w:p w:rsidR="000808C3" w:rsidRPr="004A2D5E" w:rsidRDefault="000522DE" w:rsidP="00047841">
      <w:pPr>
        <w:pStyle w:val="ListParagraph"/>
        <w:numPr>
          <w:ilvl w:val="0"/>
          <w:numId w:val="0"/>
        </w:numPr>
        <w:spacing w:line="280" w:lineRule="atLeast"/>
        <w:rPr>
          <w:rFonts w:ascii="Franklin Gothic Book" w:hAnsi="Franklin Gothic Book"/>
          <w:sz w:val="21"/>
        </w:rPr>
      </w:pPr>
      <w:r>
        <w:rPr>
          <w:rFonts w:ascii="Franklin Gothic Book" w:hAnsi="Franklin Gothic Book"/>
          <w:sz w:val="21"/>
        </w:rPr>
        <w:t xml:space="preserve">Gender </w:t>
      </w:r>
      <w:r w:rsidR="00E03A3D">
        <w:rPr>
          <w:rFonts w:ascii="Franklin Gothic Book" w:hAnsi="Franklin Gothic Book"/>
          <w:sz w:val="21"/>
        </w:rPr>
        <w:t xml:space="preserve">equality </w:t>
      </w:r>
      <w:r>
        <w:rPr>
          <w:rFonts w:ascii="Franklin Gothic Book" w:hAnsi="Franklin Gothic Book"/>
          <w:sz w:val="21"/>
        </w:rPr>
        <w:t xml:space="preserve">considerations could be strengthened across our support for economic integration, </w:t>
      </w:r>
      <w:r w:rsidR="000808C3">
        <w:rPr>
          <w:rFonts w:ascii="Franklin Gothic Book" w:hAnsi="Franklin Gothic Book"/>
          <w:sz w:val="21"/>
        </w:rPr>
        <w:t>particular</w:t>
      </w:r>
      <w:r w:rsidR="00C35485">
        <w:rPr>
          <w:rFonts w:ascii="Franklin Gothic Book" w:hAnsi="Franklin Gothic Book"/>
          <w:sz w:val="21"/>
        </w:rPr>
        <w:t>ly</w:t>
      </w:r>
      <w:r w:rsidR="000808C3" w:rsidRPr="004A2D5E">
        <w:rPr>
          <w:rFonts w:ascii="Franklin Gothic Book" w:hAnsi="Franklin Gothic Book"/>
          <w:sz w:val="21"/>
        </w:rPr>
        <w:t xml:space="preserve"> </w:t>
      </w:r>
      <w:r w:rsidR="000808C3">
        <w:rPr>
          <w:rFonts w:ascii="Franklin Gothic Book" w:hAnsi="Franklin Gothic Book"/>
          <w:sz w:val="21"/>
        </w:rPr>
        <w:t xml:space="preserve">the </w:t>
      </w:r>
      <w:r w:rsidRPr="004A2D5E">
        <w:rPr>
          <w:rFonts w:ascii="Franklin Gothic Book" w:hAnsi="Franklin Gothic Book"/>
          <w:sz w:val="21"/>
        </w:rPr>
        <w:t>Restructuring for a more Competitive Vietnam project</w:t>
      </w:r>
      <w:r>
        <w:rPr>
          <w:rFonts w:ascii="Franklin Gothic Book" w:hAnsi="Franklin Gothic Book"/>
          <w:sz w:val="21"/>
        </w:rPr>
        <w:t xml:space="preserve">, which </w:t>
      </w:r>
      <w:r w:rsidR="000808C3" w:rsidRPr="004A2D5E">
        <w:rPr>
          <w:rFonts w:ascii="Franklin Gothic Book" w:hAnsi="Franklin Gothic Book"/>
          <w:sz w:val="21"/>
        </w:rPr>
        <w:t>does</w:t>
      </w:r>
      <w:r>
        <w:rPr>
          <w:rFonts w:ascii="Franklin Gothic Book" w:hAnsi="Franklin Gothic Book"/>
          <w:sz w:val="21"/>
        </w:rPr>
        <w:t xml:space="preserve"> not yet </w:t>
      </w:r>
      <w:r w:rsidR="000808C3" w:rsidRPr="004A2D5E">
        <w:rPr>
          <w:rFonts w:ascii="Franklin Gothic Book" w:hAnsi="Franklin Gothic Book"/>
          <w:sz w:val="21"/>
        </w:rPr>
        <w:t xml:space="preserve">include specific </w:t>
      </w:r>
      <w:r w:rsidRPr="004A2D5E">
        <w:rPr>
          <w:rFonts w:ascii="Franklin Gothic Book" w:hAnsi="Franklin Gothic Book"/>
          <w:sz w:val="21"/>
        </w:rPr>
        <w:t xml:space="preserve">gender </w:t>
      </w:r>
      <w:r w:rsidR="00E03A3D">
        <w:rPr>
          <w:rFonts w:ascii="Franklin Gothic Book" w:hAnsi="Franklin Gothic Book"/>
          <w:sz w:val="21"/>
        </w:rPr>
        <w:t xml:space="preserve">equality </w:t>
      </w:r>
      <w:r w:rsidRPr="004A2D5E">
        <w:rPr>
          <w:rFonts w:ascii="Franklin Gothic Book" w:hAnsi="Franklin Gothic Book"/>
          <w:sz w:val="21"/>
        </w:rPr>
        <w:t xml:space="preserve">related </w:t>
      </w:r>
      <w:r w:rsidR="000808C3" w:rsidRPr="004A2D5E">
        <w:rPr>
          <w:rFonts w:ascii="Franklin Gothic Book" w:hAnsi="Franklin Gothic Book"/>
          <w:sz w:val="21"/>
        </w:rPr>
        <w:t>targets.</w:t>
      </w:r>
      <w:r w:rsidR="00F10DA4">
        <w:rPr>
          <w:rFonts w:ascii="Franklin Gothic Book" w:hAnsi="Franklin Gothic Book"/>
          <w:sz w:val="21"/>
        </w:rPr>
        <w:t xml:space="preserve"> </w:t>
      </w:r>
      <w:r w:rsidR="00F10DA4" w:rsidRPr="00F10DA4">
        <w:rPr>
          <w:rFonts w:ascii="Franklin Gothic Book" w:hAnsi="Franklin Gothic Book"/>
          <w:sz w:val="21"/>
        </w:rPr>
        <w:t xml:space="preserve">We </w:t>
      </w:r>
      <w:r>
        <w:rPr>
          <w:rFonts w:ascii="Franklin Gothic Book" w:hAnsi="Franklin Gothic Book"/>
          <w:sz w:val="21"/>
        </w:rPr>
        <w:t xml:space="preserve">will </w:t>
      </w:r>
      <w:r w:rsidR="00F10DA4" w:rsidRPr="00F10DA4">
        <w:rPr>
          <w:rFonts w:ascii="Franklin Gothic Book" w:hAnsi="Franklin Gothic Book"/>
          <w:sz w:val="21"/>
        </w:rPr>
        <w:t xml:space="preserve">address this by </w:t>
      </w:r>
      <w:r>
        <w:rPr>
          <w:rFonts w:ascii="Franklin Gothic Book" w:hAnsi="Franklin Gothic Book"/>
          <w:sz w:val="21"/>
        </w:rPr>
        <w:t xml:space="preserve">ensuring </w:t>
      </w:r>
      <w:r w:rsidRPr="00F10DA4">
        <w:rPr>
          <w:rFonts w:ascii="Franklin Gothic Book" w:hAnsi="Franklin Gothic Book"/>
          <w:sz w:val="21"/>
        </w:rPr>
        <w:t xml:space="preserve">project proposals </w:t>
      </w:r>
      <w:r w:rsidR="00F10DA4" w:rsidRPr="00F10DA4">
        <w:rPr>
          <w:rFonts w:ascii="Franklin Gothic Book" w:hAnsi="Franklin Gothic Book"/>
          <w:sz w:val="21"/>
        </w:rPr>
        <w:t>includ</w:t>
      </w:r>
      <w:r>
        <w:rPr>
          <w:rFonts w:ascii="Franklin Gothic Book" w:hAnsi="Franklin Gothic Book"/>
          <w:sz w:val="21"/>
        </w:rPr>
        <w:t>e</w:t>
      </w:r>
      <w:r w:rsidR="00F10DA4" w:rsidRPr="00F10DA4">
        <w:rPr>
          <w:rFonts w:ascii="Franklin Gothic Book" w:hAnsi="Franklin Gothic Book"/>
          <w:sz w:val="21"/>
        </w:rPr>
        <w:t xml:space="preserve"> specific reporting on gender </w:t>
      </w:r>
      <w:r w:rsidR="00E03A3D">
        <w:rPr>
          <w:rFonts w:ascii="Franklin Gothic Book" w:hAnsi="Franklin Gothic Book"/>
          <w:sz w:val="21"/>
        </w:rPr>
        <w:t xml:space="preserve">equality </w:t>
      </w:r>
      <w:r w:rsidR="00F10DA4" w:rsidRPr="00F10DA4">
        <w:rPr>
          <w:rFonts w:ascii="Franklin Gothic Book" w:hAnsi="Franklin Gothic Book"/>
          <w:sz w:val="21"/>
        </w:rPr>
        <w:t>impacts.</w:t>
      </w:r>
    </w:p>
    <w:p w:rsidR="00AC02A3" w:rsidRDefault="00AC02A3" w:rsidP="00C70934">
      <w:pPr>
        <w:pStyle w:val="Heading3"/>
      </w:pPr>
      <w:r w:rsidRPr="008908EB">
        <w:t>Objective 3: Increase rural access to clean water and hygienic sanitation</w:t>
      </w:r>
    </w:p>
    <w:tbl>
      <w:tblPr>
        <w:tblStyle w:val="APPR"/>
        <w:tblW w:w="5000" w:type="pct"/>
        <w:tblLook w:val="01E0" w:firstRow="1" w:lastRow="1" w:firstColumn="1" w:lastColumn="1" w:noHBand="0" w:noVBand="0"/>
      </w:tblPr>
      <w:tblGrid>
        <w:gridCol w:w="7623"/>
        <w:gridCol w:w="1890"/>
      </w:tblGrid>
      <w:tr w:rsidR="00481142" w:rsidRPr="00745FE3" w:rsidTr="00292D96">
        <w:trPr>
          <w:cnfStyle w:val="100000000000" w:firstRow="1" w:lastRow="0" w:firstColumn="0" w:lastColumn="0" w:oddVBand="0" w:evenVBand="0" w:oddHBand="0" w:evenHBand="0" w:firstRowFirstColumn="0" w:firstRowLastColumn="0" w:lastRowFirstColumn="0" w:lastRowLastColumn="0"/>
        </w:trPr>
        <w:tc>
          <w:tcPr>
            <w:tcW w:w="3985" w:type="pct"/>
          </w:tcPr>
          <w:p w:rsidR="00481142" w:rsidRPr="00A51634" w:rsidRDefault="00481142" w:rsidP="006F696C">
            <w:pPr>
              <w:pStyle w:val="TableTextEntries"/>
              <w:rPr>
                <w:rFonts w:eastAsia="Calibri"/>
              </w:rPr>
            </w:pPr>
            <w:r w:rsidRPr="00A51634">
              <w:rPr>
                <w:rFonts w:eastAsia="Calibri"/>
              </w:rPr>
              <w:t xml:space="preserve">Development outcome: </w:t>
            </w:r>
            <w:r w:rsidR="006F696C">
              <w:rPr>
                <w:rFonts w:eastAsia="Calibri"/>
              </w:rPr>
              <w:t>All PAF milestones to i</w:t>
            </w:r>
            <w:r w:rsidRPr="00A51634">
              <w:rPr>
                <w:rFonts w:eastAsia="Calibri"/>
              </w:rPr>
              <w:t xml:space="preserve">ncrease </w:t>
            </w:r>
            <w:r>
              <w:rPr>
                <w:rFonts w:eastAsia="Calibri"/>
              </w:rPr>
              <w:t>rural access to clean water and sanitation</w:t>
            </w:r>
            <w:r w:rsidR="006F696C">
              <w:rPr>
                <w:rFonts w:eastAsia="Calibri"/>
              </w:rPr>
              <w:t xml:space="preserve"> were met in 2013-14</w:t>
            </w:r>
            <w:r>
              <w:rPr>
                <w:rFonts w:eastAsia="Calibri"/>
              </w:rPr>
              <w:t>.</w:t>
            </w:r>
          </w:p>
        </w:tc>
        <w:tc>
          <w:tcPr>
            <w:tcW w:w="971" w:type="pct"/>
            <w:shd w:val="clear" w:color="auto" w:fill="92D050"/>
          </w:tcPr>
          <w:p w:rsidR="00481142" w:rsidRPr="00A51634" w:rsidRDefault="00481142" w:rsidP="00481142">
            <w:pPr>
              <w:pStyle w:val="TableTextEntries"/>
              <w:jc w:val="center"/>
              <w:rPr>
                <w:rFonts w:eastAsia="Calibri"/>
              </w:rPr>
            </w:pPr>
            <w:r w:rsidRPr="00A51634">
              <w:rPr>
                <w:rFonts w:eastAsia="Calibri"/>
              </w:rPr>
              <w:t>Green</w:t>
            </w:r>
          </w:p>
        </w:tc>
      </w:tr>
    </w:tbl>
    <w:p w:rsidR="00481142" w:rsidRPr="00180B19" w:rsidRDefault="00481142" w:rsidP="00F832B6">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4A6C04" w:rsidRDefault="00A73EE0" w:rsidP="006D0E7A">
      <w:pPr>
        <w:pStyle w:val="ListBullet"/>
        <w:numPr>
          <w:ilvl w:val="0"/>
          <w:numId w:val="0"/>
        </w:numPr>
        <w:spacing w:line="280" w:lineRule="atLeast"/>
        <w:rPr>
          <w:szCs w:val="21"/>
        </w:rPr>
      </w:pPr>
      <w:r w:rsidRPr="00A233EC">
        <w:rPr>
          <w:szCs w:val="21"/>
        </w:rPr>
        <w:t>By the end of 2013, 18</w:t>
      </w:r>
      <w:r w:rsidR="00827146">
        <w:rPr>
          <w:szCs w:val="21"/>
        </w:rPr>
        <w:t xml:space="preserve"> </w:t>
      </w:r>
      <w:r w:rsidRPr="00A233EC">
        <w:rPr>
          <w:szCs w:val="21"/>
        </w:rPr>
        <w:t>per</w:t>
      </w:r>
      <w:r w:rsidR="00B11BE4">
        <w:rPr>
          <w:szCs w:val="21"/>
        </w:rPr>
        <w:t xml:space="preserve"> </w:t>
      </w:r>
      <w:r w:rsidRPr="00A233EC">
        <w:rPr>
          <w:szCs w:val="21"/>
        </w:rPr>
        <w:t>cent of rural population still ha</w:t>
      </w:r>
      <w:r w:rsidR="00837906">
        <w:rPr>
          <w:szCs w:val="21"/>
        </w:rPr>
        <w:t>d</w:t>
      </w:r>
      <w:r w:rsidRPr="00A233EC">
        <w:rPr>
          <w:szCs w:val="21"/>
        </w:rPr>
        <w:t xml:space="preserve"> </w:t>
      </w:r>
      <w:r w:rsidR="00837906">
        <w:rPr>
          <w:szCs w:val="21"/>
        </w:rPr>
        <w:t xml:space="preserve">no </w:t>
      </w:r>
      <w:r w:rsidRPr="00A233EC">
        <w:rPr>
          <w:szCs w:val="21"/>
        </w:rPr>
        <w:t>access to hygienic water and 40</w:t>
      </w:r>
      <w:r w:rsidR="00827146">
        <w:rPr>
          <w:szCs w:val="21"/>
        </w:rPr>
        <w:t xml:space="preserve"> </w:t>
      </w:r>
      <w:r w:rsidRPr="00A233EC">
        <w:rPr>
          <w:szCs w:val="21"/>
        </w:rPr>
        <w:t>per</w:t>
      </w:r>
      <w:r w:rsidR="00B11BE4">
        <w:rPr>
          <w:szCs w:val="21"/>
        </w:rPr>
        <w:t xml:space="preserve"> </w:t>
      </w:r>
      <w:r w:rsidRPr="00A233EC">
        <w:rPr>
          <w:szCs w:val="21"/>
        </w:rPr>
        <w:t>cent rural households lack</w:t>
      </w:r>
      <w:r w:rsidR="00837906">
        <w:rPr>
          <w:szCs w:val="21"/>
        </w:rPr>
        <w:t>ed</w:t>
      </w:r>
      <w:r w:rsidRPr="00A233EC">
        <w:rPr>
          <w:szCs w:val="21"/>
        </w:rPr>
        <w:t xml:space="preserve"> hygienic latrines. </w:t>
      </w:r>
      <w:r w:rsidR="00837906">
        <w:rPr>
          <w:szCs w:val="21"/>
        </w:rPr>
        <w:t>C</w:t>
      </w:r>
      <w:r w:rsidRPr="00A233EC">
        <w:rPr>
          <w:szCs w:val="21"/>
        </w:rPr>
        <w:t xml:space="preserve">ombined with </w:t>
      </w:r>
      <w:r w:rsidR="00837906">
        <w:rPr>
          <w:szCs w:val="21"/>
        </w:rPr>
        <w:t xml:space="preserve">poor </w:t>
      </w:r>
      <w:r w:rsidRPr="00A233EC">
        <w:rPr>
          <w:szCs w:val="21"/>
        </w:rPr>
        <w:t xml:space="preserve">hygiene </w:t>
      </w:r>
      <w:r w:rsidR="00837906">
        <w:rPr>
          <w:szCs w:val="21"/>
        </w:rPr>
        <w:t xml:space="preserve">awareness, this </w:t>
      </w:r>
      <w:r w:rsidRPr="00A233EC">
        <w:rPr>
          <w:szCs w:val="21"/>
        </w:rPr>
        <w:t xml:space="preserve">means water borne diseases </w:t>
      </w:r>
      <w:r w:rsidR="00837906">
        <w:rPr>
          <w:szCs w:val="21"/>
        </w:rPr>
        <w:t>continue to</w:t>
      </w:r>
      <w:r w:rsidRPr="00A233EC">
        <w:rPr>
          <w:szCs w:val="21"/>
        </w:rPr>
        <w:t xml:space="preserve"> affect people’s health in Vietnam</w:t>
      </w:r>
      <w:r w:rsidR="00837906">
        <w:rPr>
          <w:szCs w:val="21"/>
        </w:rPr>
        <w:t>,</w:t>
      </w:r>
      <w:r w:rsidRPr="00A233EC">
        <w:rPr>
          <w:szCs w:val="21"/>
        </w:rPr>
        <w:t xml:space="preserve"> </w:t>
      </w:r>
      <w:r w:rsidR="00837906">
        <w:rPr>
          <w:szCs w:val="21"/>
        </w:rPr>
        <w:t xml:space="preserve">in turn limiting </w:t>
      </w:r>
      <w:r w:rsidRPr="00A233EC">
        <w:rPr>
          <w:szCs w:val="21"/>
        </w:rPr>
        <w:t xml:space="preserve">education outcomes and rural economic growth. </w:t>
      </w:r>
      <w:r w:rsidR="004A6C04">
        <w:rPr>
          <w:szCs w:val="21"/>
        </w:rPr>
        <w:t xml:space="preserve">The </w:t>
      </w:r>
      <w:r w:rsidR="004A6C04" w:rsidRPr="00A233EC">
        <w:rPr>
          <w:szCs w:val="21"/>
        </w:rPr>
        <w:t>Rural Water Supply and Sanitation National Target Program (</w:t>
      </w:r>
      <w:r w:rsidR="004A6C04">
        <w:rPr>
          <w:szCs w:val="21"/>
        </w:rPr>
        <w:t xml:space="preserve">RWSS </w:t>
      </w:r>
      <w:r w:rsidR="004A6C04" w:rsidRPr="00A233EC">
        <w:rPr>
          <w:szCs w:val="21"/>
        </w:rPr>
        <w:t>NTP</w:t>
      </w:r>
      <w:r w:rsidR="004A6C04">
        <w:rPr>
          <w:szCs w:val="21"/>
        </w:rPr>
        <w:t>) is</w:t>
      </w:r>
      <w:r w:rsidR="003A1EB4">
        <w:rPr>
          <w:szCs w:val="21"/>
        </w:rPr>
        <w:t xml:space="preserve"> Vietnam</w:t>
      </w:r>
      <w:r w:rsidR="00837906">
        <w:rPr>
          <w:szCs w:val="21"/>
        </w:rPr>
        <w:t xml:space="preserve">’s primary vehicle </w:t>
      </w:r>
      <w:r w:rsidR="006D0E7A">
        <w:rPr>
          <w:szCs w:val="21"/>
        </w:rPr>
        <w:t>for</w:t>
      </w:r>
      <w:r w:rsidR="00837906">
        <w:rPr>
          <w:szCs w:val="21"/>
        </w:rPr>
        <w:t xml:space="preserve"> address</w:t>
      </w:r>
      <w:r w:rsidR="006D0E7A">
        <w:rPr>
          <w:szCs w:val="21"/>
        </w:rPr>
        <w:t>ing</w:t>
      </w:r>
      <w:r w:rsidR="00837906">
        <w:rPr>
          <w:szCs w:val="21"/>
        </w:rPr>
        <w:t xml:space="preserve"> these issues</w:t>
      </w:r>
      <w:r w:rsidR="004A6C04">
        <w:rPr>
          <w:szCs w:val="21"/>
        </w:rPr>
        <w:t xml:space="preserve">, </w:t>
      </w:r>
      <w:r w:rsidR="004A6C04" w:rsidRPr="00A233EC">
        <w:rPr>
          <w:szCs w:val="21"/>
        </w:rPr>
        <w:t>achiev</w:t>
      </w:r>
      <w:r w:rsidR="006D0E7A">
        <w:rPr>
          <w:szCs w:val="21"/>
        </w:rPr>
        <w:t>ing</w:t>
      </w:r>
      <w:r w:rsidR="004A6C04" w:rsidRPr="00A233EC">
        <w:rPr>
          <w:szCs w:val="21"/>
        </w:rPr>
        <w:t xml:space="preserve"> MDG7 on environmental sustainability</w:t>
      </w:r>
      <w:r w:rsidR="004A6C04">
        <w:rPr>
          <w:szCs w:val="21"/>
        </w:rPr>
        <w:t>, and mee</w:t>
      </w:r>
      <w:r w:rsidR="006D0E7A">
        <w:rPr>
          <w:szCs w:val="21"/>
        </w:rPr>
        <w:t>ting</w:t>
      </w:r>
      <w:r w:rsidR="004A6C04">
        <w:rPr>
          <w:szCs w:val="21"/>
        </w:rPr>
        <w:t xml:space="preserve"> </w:t>
      </w:r>
      <w:r w:rsidR="004A6C04" w:rsidRPr="00A233EC">
        <w:rPr>
          <w:szCs w:val="21"/>
        </w:rPr>
        <w:t xml:space="preserve">targets </w:t>
      </w:r>
      <w:r w:rsidR="004A6C04">
        <w:rPr>
          <w:szCs w:val="21"/>
        </w:rPr>
        <w:t xml:space="preserve">under its </w:t>
      </w:r>
      <w:r w:rsidR="004A6C04" w:rsidRPr="00D208D0">
        <w:rPr>
          <w:i/>
          <w:szCs w:val="21"/>
        </w:rPr>
        <w:t>RWSS Strategy 2020</w:t>
      </w:r>
      <w:r w:rsidR="004A6C04">
        <w:rPr>
          <w:i/>
          <w:szCs w:val="21"/>
        </w:rPr>
        <w:t xml:space="preserve">. </w:t>
      </w:r>
      <w:r w:rsidR="006D0E7A">
        <w:rPr>
          <w:szCs w:val="21"/>
        </w:rPr>
        <w:t>It</w:t>
      </w:r>
      <w:r w:rsidR="004A6C04">
        <w:rPr>
          <w:szCs w:val="21"/>
        </w:rPr>
        <w:t xml:space="preserve"> is now in its third p</w:t>
      </w:r>
      <w:r w:rsidR="00837906">
        <w:rPr>
          <w:szCs w:val="21"/>
        </w:rPr>
        <w:t>hase (</w:t>
      </w:r>
      <w:r w:rsidR="004A6C04">
        <w:rPr>
          <w:szCs w:val="21"/>
        </w:rPr>
        <w:t>RWSS NTP3; 2012-15</w:t>
      </w:r>
      <w:r w:rsidR="00837906">
        <w:rPr>
          <w:szCs w:val="21"/>
        </w:rPr>
        <w:t>)</w:t>
      </w:r>
      <w:r w:rsidR="004A6C04">
        <w:rPr>
          <w:szCs w:val="21"/>
        </w:rPr>
        <w:t>.</w:t>
      </w:r>
      <w:r w:rsidR="00837906">
        <w:rPr>
          <w:szCs w:val="21"/>
        </w:rPr>
        <w:t xml:space="preserve"> </w:t>
      </w:r>
    </w:p>
    <w:p w:rsidR="0043202F" w:rsidRPr="000008B3" w:rsidRDefault="00B030CA" w:rsidP="000008B3">
      <w:pPr>
        <w:pStyle w:val="ListBullet"/>
        <w:numPr>
          <w:ilvl w:val="0"/>
          <w:numId w:val="0"/>
        </w:numPr>
        <w:spacing w:line="280" w:lineRule="atLeast"/>
        <w:rPr>
          <w:szCs w:val="21"/>
        </w:rPr>
      </w:pPr>
      <w:r w:rsidRPr="00F334F6">
        <w:rPr>
          <w:szCs w:val="21"/>
        </w:rPr>
        <w:lastRenderedPageBreak/>
        <w:t xml:space="preserve">Australia plays a lead role in the sector, </w:t>
      </w:r>
      <w:r w:rsidRPr="00AF552D">
        <w:rPr>
          <w:szCs w:val="21"/>
        </w:rPr>
        <w:t>co-</w:t>
      </w:r>
      <w:r w:rsidRPr="007147A6">
        <w:rPr>
          <w:szCs w:val="21"/>
        </w:rPr>
        <w:t xml:space="preserve">chairing the RWSS Partnership </w:t>
      </w:r>
      <w:r w:rsidRPr="003525DE">
        <w:rPr>
          <w:szCs w:val="21"/>
        </w:rPr>
        <w:t>G</w:t>
      </w:r>
      <w:r w:rsidRPr="00E03A3D">
        <w:rPr>
          <w:szCs w:val="21"/>
        </w:rPr>
        <w:t>roup with Vietnam’s Minis</w:t>
      </w:r>
      <w:r w:rsidR="00D4354A" w:rsidRPr="00E03A3D">
        <w:rPr>
          <w:szCs w:val="21"/>
        </w:rPr>
        <w:t>ter</w:t>
      </w:r>
      <w:r w:rsidRPr="00E03A3D">
        <w:rPr>
          <w:szCs w:val="21"/>
        </w:rPr>
        <w:t xml:space="preserve"> for Agriculture and Rural Development</w:t>
      </w:r>
      <w:r w:rsidR="00D4354A" w:rsidRPr="00E03A3D">
        <w:rPr>
          <w:szCs w:val="21"/>
        </w:rPr>
        <w:t>,</w:t>
      </w:r>
      <w:r w:rsidRPr="00E03A3D">
        <w:rPr>
          <w:szCs w:val="21"/>
        </w:rPr>
        <w:t xml:space="preserve"> promoting new and low cost technologies and innovation</w:t>
      </w:r>
      <w:r w:rsidR="00BE2746">
        <w:rPr>
          <w:szCs w:val="21"/>
        </w:rPr>
        <w:t>.</w:t>
      </w:r>
      <w:r w:rsidR="0043202F" w:rsidRPr="000008B3">
        <w:rPr>
          <w:szCs w:val="21"/>
        </w:rPr>
        <w:t xml:space="preserve"> In recent years </w:t>
      </w:r>
      <w:r w:rsidR="00F334F6">
        <w:rPr>
          <w:szCs w:val="21"/>
        </w:rPr>
        <w:t>Australian support</w:t>
      </w:r>
      <w:r w:rsidR="0043202F" w:rsidRPr="000008B3">
        <w:rPr>
          <w:szCs w:val="21"/>
        </w:rPr>
        <w:t xml:space="preserve"> has focused on geographic areas most in need of assistance, and importantly has been able to leverage the </w:t>
      </w:r>
      <w:r w:rsidR="00F334F6">
        <w:rPr>
          <w:szCs w:val="21"/>
        </w:rPr>
        <w:t>Government of Vietnam’s</w:t>
      </w:r>
      <w:r w:rsidR="0043202F" w:rsidRPr="000008B3">
        <w:rPr>
          <w:szCs w:val="21"/>
        </w:rPr>
        <w:t xml:space="preserve"> own significant investment</w:t>
      </w:r>
      <w:r w:rsidR="00F334F6">
        <w:rPr>
          <w:szCs w:val="21"/>
        </w:rPr>
        <w:t>s</w:t>
      </w:r>
      <w:r w:rsidR="0043202F" w:rsidRPr="000008B3">
        <w:rPr>
          <w:szCs w:val="21"/>
        </w:rPr>
        <w:t xml:space="preserve"> to improve poverty targeting, focus on hygiene and sustainability </w:t>
      </w:r>
      <w:r w:rsidR="00F334F6">
        <w:rPr>
          <w:szCs w:val="21"/>
        </w:rPr>
        <w:t xml:space="preserve">and provide </w:t>
      </w:r>
      <w:r w:rsidR="0043202F" w:rsidRPr="000008B3">
        <w:rPr>
          <w:szCs w:val="21"/>
        </w:rPr>
        <w:t xml:space="preserve">an entry point for gender </w:t>
      </w:r>
      <w:r w:rsidR="00E03A3D">
        <w:rPr>
          <w:szCs w:val="21"/>
        </w:rPr>
        <w:t xml:space="preserve">equality </w:t>
      </w:r>
      <w:r w:rsidR="0043202F" w:rsidRPr="000008B3">
        <w:rPr>
          <w:szCs w:val="21"/>
        </w:rPr>
        <w:t>and disability</w:t>
      </w:r>
      <w:r w:rsidR="00F334F6">
        <w:rPr>
          <w:szCs w:val="21"/>
        </w:rPr>
        <w:t xml:space="preserve"> discussions,</w:t>
      </w:r>
      <w:r w:rsidR="0043202F" w:rsidRPr="000008B3">
        <w:rPr>
          <w:szCs w:val="21"/>
        </w:rPr>
        <w:t xml:space="preserve"> particularly in schools.  </w:t>
      </w:r>
    </w:p>
    <w:p w:rsidR="00A73EE0" w:rsidRDefault="004A6C04" w:rsidP="00047841">
      <w:pPr>
        <w:pStyle w:val="ListBullet"/>
        <w:numPr>
          <w:ilvl w:val="0"/>
          <w:numId w:val="0"/>
        </w:numPr>
        <w:spacing w:line="280" w:lineRule="atLeast"/>
        <w:rPr>
          <w:szCs w:val="21"/>
        </w:rPr>
      </w:pPr>
      <w:r>
        <w:rPr>
          <w:szCs w:val="21"/>
        </w:rPr>
        <w:t xml:space="preserve">Our largest investment is providing up </w:t>
      </w:r>
      <w:r w:rsidRPr="00A233EC">
        <w:rPr>
          <w:szCs w:val="21"/>
        </w:rPr>
        <w:t xml:space="preserve">to </w:t>
      </w:r>
      <w:r>
        <w:rPr>
          <w:szCs w:val="21"/>
        </w:rPr>
        <w:t>$</w:t>
      </w:r>
      <w:r w:rsidRPr="00A233EC">
        <w:rPr>
          <w:szCs w:val="21"/>
        </w:rPr>
        <w:t xml:space="preserve">74 million to the Government of Vietnam </w:t>
      </w:r>
      <w:r>
        <w:rPr>
          <w:szCs w:val="21"/>
        </w:rPr>
        <w:t xml:space="preserve">for RWSS </w:t>
      </w:r>
      <w:r w:rsidRPr="00A233EC">
        <w:rPr>
          <w:szCs w:val="21"/>
        </w:rPr>
        <w:t>NTP3</w:t>
      </w:r>
      <w:r>
        <w:rPr>
          <w:szCs w:val="21"/>
        </w:rPr>
        <w:t xml:space="preserve"> via</w:t>
      </w:r>
      <w:r w:rsidRPr="00A233EC">
        <w:rPr>
          <w:szCs w:val="21"/>
        </w:rPr>
        <w:t xml:space="preserve"> a combination of targeted budget support and technical assistance</w:t>
      </w:r>
      <w:r w:rsidR="009B4415">
        <w:rPr>
          <w:szCs w:val="21"/>
        </w:rPr>
        <w:t xml:space="preserve">. </w:t>
      </w:r>
      <w:r w:rsidR="00B030CA">
        <w:rPr>
          <w:szCs w:val="21"/>
        </w:rPr>
        <w:t>As</w:t>
      </w:r>
      <w:r w:rsidR="009B4415">
        <w:rPr>
          <w:szCs w:val="21"/>
        </w:rPr>
        <w:t xml:space="preserve"> lead donor, </w:t>
      </w:r>
      <w:r w:rsidR="00B030CA">
        <w:rPr>
          <w:szCs w:val="21"/>
        </w:rPr>
        <w:t xml:space="preserve">we </w:t>
      </w:r>
      <w:r w:rsidR="009B4415">
        <w:rPr>
          <w:szCs w:val="21"/>
        </w:rPr>
        <w:t>contribut</w:t>
      </w:r>
      <w:r w:rsidR="00B030CA">
        <w:rPr>
          <w:szCs w:val="21"/>
        </w:rPr>
        <w:t>e</w:t>
      </w:r>
      <w:r w:rsidR="009B4415">
        <w:rPr>
          <w:szCs w:val="21"/>
        </w:rPr>
        <w:t xml:space="preserve"> the majority of the estimated US$110 million in </w:t>
      </w:r>
      <w:r w:rsidR="00A73EE0" w:rsidRPr="00A233EC">
        <w:rPr>
          <w:szCs w:val="21"/>
        </w:rPr>
        <w:t>bilateral donor support</w:t>
      </w:r>
      <w:r w:rsidR="009B4415">
        <w:rPr>
          <w:rStyle w:val="FootnoteReference"/>
        </w:rPr>
        <w:footnoteReference w:id="6"/>
      </w:r>
      <w:r w:rsidR="009B4415">
        <w:rPr>
          <w:szCs w:val="21"/>
        </w:rPr>
        <w:t>.</w:t>
      </w:r>
      <w:r w:rsidR="00A73EE0" w:rsidRPr="00A233EC">
        <w:rPr>
          <w:szCs w:val="21"/>
        </w:rPr>
        <w:t xml:space="preserve"> Donor funding is combined with the state budget and allocated to individual provinces to implement water and sanitation programs.  </w:t>
      </w:r>
    </w:p>
    <w:p w:rsidR="00A73EE0" w:rsidRDefault="009B4415" w:rsidP="00047841">
      <w:pPr>
        <w:pStyle w:val="ListBullet"/>
        <w:numPr>
          <w:ilvl w:val="0"/>
          <w:numId w:val="0"/>
        </w:numPr>
        <w:spacing w:line="280" w:lineRule="atLeast"/>
        <w:rPr>
          <w:szCs w:val="21"/>
        </w:rPr>
      </w:pPr>
      <w:r>
        <w:rPr>
          <w:szCs w:val="21"/>
        </w:rPr>
        <w:t xml:space="preserve">RWSS </w:t>
      </w:r>
      <w:r w:rsidR="00A73EE0" w:rsidRPr="00A233EC">
        <w:rPr>
          <w:szCs w:val="21"/>
        </w:rPr>
        <w:t xml:space="preserve">NTP3 </w:t>
      </w:r>
      <w:r>
        <w:rPr>
          <w:szCs w:val="21"/>
        </w:rPr>
        <w:t xml:space="preserve">results </w:t>
      </w:r>
      <w:r w:rsidR="00C066D5">
        <w:rPr>
          <w:szCs w:val="21"/>
        </w:rPr>
        <w:t xml:space="preserve">are </w:t>
      </w:r>
      <w:r w:rsidR="00A73EE0" w:rsidRPr="00A233EC">
        <w:rPr>
          <w:szCs w:val="21"/>
        </w:rPr>
        <w:t xml:space="preserve">on track </w:t>
      </w:r>
      <w:r w:rsidR="00C066D5">
        <w:rPr>
          <w:szCs w:val="21"/>
        </w:rPr>
        <w:t xml:space="preserve">to meet </w:t>
      </w:r>
      <w:r w:rsidR="00A902C6">
        <w:rPr>
          <w:szCs w:val="21"/>
        </w:rPr>
        <w:t xml:space="preserve">most of </w:t>
      </w:r>
      <w:r>
        <w:rPr>
          <w:szCs w:val="21"/>
        </w:rPr>
        <w:t xml:space="preserve">the </w:t>
      </w:r>
      <w:r w:rsidR="003A1EB4">
        <w:rPr>
          <w:szCs w:val="21"/>
        </w:rPr>
        <w:t>Government of Vietnam</w:t>
      </w:r>
      <w:r>
        <w:rPr>
          <w:szCs w:val="21"/>
        </w:rPr>
        <w:t>’s targets.</w:t>
      </w:r>
      <w:r w:rsidR="003A1EB4" w:rsidRPr="00A233EC">
        <w:rPr>
          <w:szCs w:val="21"/>
        </w:rPr>
        <w:t xml:space="preserve"> </w:t>
      </w:r>
      <w:r>
        <w:rPr>
          <w:szCs w:val="21"/>
        </w:rPr>
        <w:t xml:space="preserve">By </w:t>
      </w:r>
      <w:r w:rsidRPr="00A233EC">
        <w:rPr>
          <w:szCs w:val="21"/>
        </w:rPr>
        <w:t>31 December 2013</w:t>
      </w:r>
      <w:r>
        <w:rPr>
          <w:rStyle w:val="FootnoteReference"/>
        </w:rPr>
        <w:footnoteReference w:id="7"/>
      </w:r>
      <w:r>
        <w:rPr>
          <w:szCs w:val="21"/>
        </w:rPr>
        <w:t xml:space="preserve">: </w:t>
      </w:r>
      <w:r w:rsidR="00A73EE0" w:rsidRPr="00A233EC">
        <w:rPr>
          <w:szCs w:val="21"/>
        </w:rPr>
        <w:t>82</w:t>
      </w:r>
      <w:r>
        <w:rPr>
          <w:szCs w:val="21"/>
        </w:rPr>
        <w:t> </w:t>
      </w:r>
      <w:r w:rsidR="00A73EE0" w:rsidRPr="00A233EC">
        <w:rPr>
          <w:szCs w:val="21"/>
        </w:rPr>
        <w:t>per</w:t>
      </w:r>
      <w:r>
        <w:rPr>
          <w:szCs w:val="21"/>
        </w:rPr>
        <w:t xml:space="preserve"> </w:t>
      </w:r>
      <w:r w:rsidR="00A73EE0" w:rsidRPr="00A233EC">
        <w:rPr>
          <w:szCs w:val="21"/>
        </w:rPr>
        <w:t xml:space="preserve">cent of </w:t>
      </w:r>
      <w:r>
        <w:rPr>
          <w:szCs w:val="21"/>
        </w:rPr>
        <w:t xml:space="preserve">the </w:t>
      </w:r>
      <w:r w:rsidR="00A73EE0" w:rsidRPr="00A233EC">
        <w:rPr>
          <w:szCs w:val="21"/>
        </w:rPr>
        <w:t xml:space="preserve">rural population </w:t>
      </w:r>
      <w:r>
        <w:rPr>
          <w:szCs w:val="21"/>
        </w:rPr>
        <w:t xml:space="preserve">had </w:t>
      </w:r>
      <w:r w:rsidR="00A73EE0" w:rsidRPr="00A233EC">
        <w:rPr>
          <w:szCs w:val="21"/>
        </w:rPr>
        <w:t>access to hygienic water (</w:t>
      </w:r>
      <w:r>
        <w:rPr>
          <w:szCs w:val="21"/>
        </w:rPr>
        <w:t xml:space="preserve">an </w:t>
      </w:r>
      <w:r w:rsidR="00A73EE0" w:rsidRPr="00A233EC">
        <w:rPr>
          <w:szCs w:val="21"/>
        </w:rPr>
        <w:t>additional 1</w:t>
      </w:r>
      <w:r>
        <w:rPr>
          <w:szCs w:val="21"/>
        </w:rPr>
        <w:t> </w:t>
      </w:r>
      <w:r w:rsidR="00A73EE0" w:rsidRPr="00A233EC">
        <w:rPr>
          <w:szCs w:val="21"/>
        </w:rPr>
        <w:t>453</w:t>
      </w:r>
      <w:r>
        <w:rPr>
          <w:szCs w:val="21"/>
        </w:rPr>
        <w:t> </w:t>
      </w:r>
      <w:r w:rsidR="00A73EE0" w:rsidRPr="00A233EC">
        <w:rPr>
          <w:szCs w:val="21"/>
        </w:rPr>
        <w:t>750 people in 2013); 60</w:t>
      </w:r>
      <w:r w:rsidR="00827146">
        <w:rPr>
          <w:szCs w:val="21"/>
        </w:rPr>
        <w:t xml:space="preserve"> </w:t>
      </w:r>
      <w:r w:rsidR="00A73EE0" w:rsidRPr="00A233EC">
        <w:rPr>
          <w:szCs w:val="21"/>
        </w:rPr>
        <w:t>per</w:t>
      </w:r>
      <w:r>
        <w:rPr>
          <w:szCs w:val="21"/>
        </w:rPr>
        <w:t xml:space="preserve"> </w:t>
      </w:r>
      <w:r w:rsidR="00A73EE0" w:rsidRPr="00A233EC">
        <w:rPr>
          <w:szCs w:val="21"/>
        </w:rPr>
        <w:t xml:space="preserve">cent of </w:t>
      </w:r>
      <w:r w:rsidR="00A73EE0" w:rsidRPr="00A902C6">
        <w:rPr>
          <w:szCs w:val="21"/>
        </w:rPr>
        <w:t xml:space="preserve">rural households </w:t>
      </w:r>
      <w:r w:rsidRPr="00A902C6">
        <w:rPr>
          <w:szCs w:val="21"/>
        </w:rPr>
        <w:t xml:space="preserve">had </w:t>
      </w:r>
      <w:r w:rsidR="00A73EE0" w:rsidRPr="00A902C6">
        <w:rPr>
          <w:szCs w:val="21"/>
        </w:rPr>
        <w:t>hygienic latrines (</w:t>
      </w:r>
      <w:r w:rsidRPr="00A902C6">
        <w:rPr>
          <w:szCs w:val="21"/>
        </w:rPr>
        <w:t xml:space="preserve">an </w:t>
      </w:r>
      <w:r w:rsidR="00A73EE0" w:rsidRPr="00A902C6">
        <w:rPr>
          <w:szCs w:val="21"/>
        </w:rPr>
        <w:t>additional 524</w:t>
      </w:r>
      <w:r w:rsidRPr="00A902C6">
        <w:rPr>
          <w:szCs w:val="21"/>
        </w:rPr>
        <w:t> </w:t>
      </w:r>
      <w:r w:rsidR="00A73EE0" w:rsidRPr="00A902C6">
        <w:rPr>
          <w:szCs w:val="21"/>
        </w:rPr>
        <w:t>200 households</w:t>
      </w:r>
      <w:r w:rsidR="00A73EE0" w:rsidRPr="00A233EC">
        <w:rPr>
          <w:szCs w:val="21"/>
        </w:rPr>
        <w:t xml:space="preserve"> in 2013); </w:t>
      </w:r>
      <w:r>
        <w:rPr>
          <w:szCs w:val="21"/>
        </w:rPr>
        <w:t xml:space="preserve">and </w:t>
      </w:r>
      <w:r w:rsidR="00A73EE0" w:rsidRPr="00A233EC">
        <w:rPr>
          <w:szCs w:val="21"/>
        </w:rPr>
        <w:t>90</w:t>
      </w:r>
      <w:r w:rsidR="00827146">
        <w:rPr>
          <w:szCs w:val="21"/>
        </w:rPr>
        <w:t xml:space="preserve"> </w:t>
      </w:r>
      <w:r w:rsidR="00A73EE0" w:rsidRPr="00A233EC">
        <w:rPr>
          <w:szCs w:val="21"/>
        </w:rPr>
        <w:t xml:space="preserve">percent </w:t>
      </w:r>
      <w:r>
        <w:rPr>
          <w:szCs w:val="21"/>
        </w:rPr>
        <w:t xml:space="preserve">of rural </w:t>
      </w:r>
      <w:r w:rsidR="00A73EE0" w:rsidRPr="00A233EC">
        <w:rPr>
          <w:szCs w:val="21"/>
        </w:rPr>
        <w:t xml:space="preserve">schools </w:t>
      </w:r>
      <w:r w:rsidRPr="00A233EC">
        <w:rPr>
          <w:szCs w:val="21"/>
        </w:rPr>
        <w:t>and 92</w:t>
      </w:r>
      <w:r>
        <w:rPr>
          <w:szCs w:val="21"/>
        </w:rPr>
        <w:t> </w:t>
      </w:r>
      <w:r w:rsidRPr="00A233EC">
        <w:rPr>
          <w:szCs w:val="21"/>
        </w:rPr>
        <w:t>per</w:t>
      </w:r>
      <w:r>
        <w:rPr>
          <w:szCs w:val="21"/>
        </w:rPr>
        <w:t xml:space="preserve"> </w:t>
      </w:r>
      <w:r w:rsidRPr="00A233EC">
        <w:rPr>
          <w:szCs w:val="21"/>
        </w:rPr>
        <w:t xml:space="preserve">cent </w:t>
      </w:r>
      <w:r>
        <w:rPr>
          <w:szCs w:val="21"/>
        </w:rPr>
        <w:t xml:space="preserve">of rural health </w:t>
      </w:r>
      <w:r w:rsidRPr="00A233EC">
        <w:rPr>
          <w:szCs w:val="21"/>
        </w:rPr>
        <w:t>clinics</w:t>
      </w:r>
      <w:r>
        <w:rPr>
          <w:szCs w:val="21"/>
        </w:rPr>
        <w:t xml:space="preserve"> were </w:t>
      </w:r>
      <w:r w:rsidR="00A73EE0" w:rsidRPr="00A233EC">
        <w:rPr>
          <w:szCs w:val="21"/>
        </w:rPr>
        <w:t>equipped with water supply and sanitation facilities.</w:t>
      </w:r>
      <w:r w:rsidR="00DD5613">
        <w:rPr>
          <w:szCs w:val="21"/>
        </w:rPr>
        <w:t xml:space="preserve"> </w:t>
      </w:r>
      <w:r w:rsidR="00A73EE0" w:rsidRPr="00A233EC">
        <w:rPr>
          <w:szCs w:val="21"/>
        </w:rPr>
        <w:t>Australia funded 7.5 p</w:t>
      </w:r>
      <w:r w:rsidR="000768C7">
        <w:rPr>
          <w:szCs w:val="21"/>
        </w:rPr>
        <w:t>e</w:t>
      </w:r>
      <w:r w:rsidR="00A73EE0" w:rsidRPr="00A233EC">
        <w:rPr>
          <w:szCs w:val="21"/>
        </w:rPr>
        <w:t>r</w:t>
      </w:r>
      <w:r w:rsidR="00DD5613">
        <w:rPr>
          <w:szCs w:val="21"/>
        </w:rPr>
        <w:t xml:space="preserve"> </w:t>
      </w:r>
      <w:r w:rsidR="00A73EE0" w:rsidRPr="00A233EC">
        <w:rPr>
          <w:szCs w:val="21"/>
        </w:rPr>
        <w:t xml:space="preserve">cent of the 2013 </w:t>
      </w:r>
      <w:r w:rsidR="00DD5613">
        <w:rPr>
          <w:szCs w:val="21"/>
        </w:rPr>
        <w:t xml:space="preserve">RWSS </w:t>
      </w:r>
      <w:r w:rsidR="00A73EE0" w:rsidRPr="00A233EC">
        <w:rPr>
          <w:szCs w:val="21"/>
        </w:rPr>
        <w:t>NTP3 budget</w:t>
      </w:r>
      <w:r w:rsidR="00DD5613">
        <w:rPr>
          <w:szCs w:val="21"/>
        </w:rPr>
        <w:t xml:space="preserve">, </w:t>
      </w:r>
      <w:r w:rsidR="00A73EE0" w:rsidRPr="00A233EC">
        <w:rPr>
          <w:szCs w:val="21"/>
        </w:rPr>
        <w:t>enabl</w:t>
      </w:r>
      <w:r w:rsidR="00DD5613">
        <w:rPr>
          <w:szCs w:val="21"/>
        </w:rPr>
        <w:t>ing</w:t>
      </w:r>
      <w:r w:rsidR="00A73EE0" w:rsidRPr="00A233EC">
        <w:rPr>
          <w:szCs w:val="21"/>
        </w:rPr>
        <w:t xml:space="preserve"> an additional 1</w:t>
      </w:r>
      <w:r w:rsidR="00910EEF">
        <w:rPr>
          <w:szCs w:val="21"/>
        </w:rPr>
        <w:t>09</w:t>
      </w:r>
      <w:r w:rsidR="00DD5613">
        <w:rPr>
          <w:szCs w:val="21"/>
        </w:rPr>
        <w:t> </w:t>
      </w:r>
      <w:r w:rsidR="00A73EE0" w:rsidRPr="00A233EC">
        <w:rPr>
          <w:szCs w:val="21"/>
        </w:rPr>
        <w:t>0</w:t>
      </w:r>
      <w:r w:rsidR="00910EEF">
        <w:rPr>
          <w:szCs w:val="21"/>
        </w:rPr>
        <w:t>31</w:t>
      </w:r>
      <w:r w:rsidR="00A73EE0" w:rsidRPr="00A233EC">
        <w:rPr>
          <w:szCs w:val="21"/>
        </w:rPr>
        <w:t xml:space="preserve"> people to access clean water and provi</w:t>
      </w:r>
      <w:r w:rsidR="00DD5613">
        <w:rPr>
          <w:szCs w:val="21"/>
        </w:rPr>
        <w:t>ding</w:t>
      </w:r>
      <w:r w:rsidR="00A73EE0" w:rsidRPr="00A233EC">
        <w:rPr>
          <w:szCs w:val="21"/>
        </w:rPr>
        <w:t xml:space="preserve"> an additional 177</w:t>
      </w:r>
      <w:r w:rsidR="00DD5613">
        <w:rPr>
          <w:szCs w:val="21"/>
        </w:rPr>
        <w:t> </w:t>
      </w:r>
      <w:r w:rsidR="00A73EE0" w:rsidRPr="00A233EC">
        <w:rPr>
          <w:szCs w:val="21"/>
        </w:rPr>
        <w:t>000 people with increased access to basic sanitation.</w:t>
      </w:r>
    </w:p>
    <w:p w:rsidR="00DD5613" w:rsidRPr="0046402B" w:rsidRDefault="00DD5613" w:rsidP="008908EB">
      <w:pPr>
        <w:pStyle w:val="ListParagraph"/>
        <w:numPr>
          <w:ilvl w:val="0"/>
          <w:numId w:val="0"/>
        </w:numPr>
        <w:spacing w:line="280" w:lineRule="atLeast"/>
        <w:rPr>
          <w:rFonts w:ascii="Franklin Gothic Book" w:hAnsi="Franklin Gothic Book"/>
          <w:sz w:val="21"/>
          <w:szCs w:val="21"/>
        </w:rPr>
      </w:pPr>
      <w:r>
        <w:rPr>
          <w:rFonts w:ascii="Franklin Gothic Book" w:hAnsi="Franklin Gothic Book"/>
          <w:sz w:val="21"/>
          <w:szCs w:val="21"/>
        </w:rPr>
        <w:t xml:space="preserve">Australia’s </w:t>
      </w:r>
      <w:r w:rsidR="00A73EE0" w:rsidRPr="00A233EC">
        <w:rPr>
          <w:rFonts w:ascii="Franklin Gothic Book" w:hAnsi="Franklin Gothic Book"/>
          <w:sz w:val="21"/>
          <w:szCs w:val="21"/>
        </w:rPr>
        <w:t xml:space="preserve">technical assistance </w:t>
      </w:r>
      <w:r w:rsidR="00AB6F59">
        <w:rPr>
          <w:rFonts w:ascii="Franklin Gothic Book" w:hAnsi="Franklin Gothic Book"/>
          <w:sz w:val="21"/>
          <w:szCs w:val="21"/>
        </w:rPr>
        <w:t>has</w:t>
      </w:r>
      <w:r w:rsidR="00A73EE0" w:rsidRPr="00A233EC">
        <w:rPr>
          <w:rFonts w:ascii="Franklin Gothic Book" w:hAnsi="Franklin Gothic Book"/>
          <w:sz w:val="21"/>
          <w:szCs w:val="21"/>
        </w:rPr>
        <w:t xml:space="preserve"> </w:t>
      </w:r>
      <w:r w:rsidR="00C066D5">
        <w:rPr>
          <w:rFonts w:ascii="Franklin Gothic Book" w:hAnsi="Franklin Gothic Book"/>
          <w:sz w:val="21"/>
          <w:szCs w:val="21"/>
        </w:rPr>
        <w:t>led to</w:t>
      </w:r>
      <w:r>
        <w:rPr>
          <w:rFonts w:ascii="Franklin Gothic Book" w:hAnsi="Franklin Gothic Book"/>
          <w:sz w:val="21"/>
          <w:szCs w:val="21"/>
        </w:rPr>
        <w:t xml:space="preserve"> significant sector-wide improvements</w:t>
      </w:r>
      <w:r w:rsidR="0046402B">
        <w:rPr>
          <w:rFonts w:ascii="Franklin Gothic Book" w:hAnsi="Franklin Gothic Book"/>
          <w:sz w:val="21"/>
          <w:szCs w:val="21"/>
        </w:rPr>
        <w:t xml:space="preserve"> in 2013</w:t>
      </w:r>
      <w:r>
        <w:rPr>
          <w:rFonts w:ascii="Franklin Gothic Book" w:hAnsi="Franklin Gothic Book"/>
          <w:sz w:val="21"/>
          <w:szCs w:val="21"/>
        </w:rPr>
        <w:t>. We helped Vietnam’s central and provincial agencies engage the private sector in RWSS, by facilitating private sector involvement in new</w:t>
      </w:r>
      <w:r w:rsidRPr="00A233EC">
        <w:rPr>
          <w:rFonts w:ascii="Franklin Gothic Book" w:hAnsi="Franklin Gothic Book"/>
          <w:sz w:val="21"/>
          <w:szCs w:val="21"/>
        </w:rPr>
        <w:t xml:space="preserve"> scheme</w:t>
      </w:r>
      <w:r>
        <w:rPr>
          <w:rFonts w:ascii="Franklin Gothic Book" w:hAnsi="Franklin Gothic Book"/>
          <w:sz w:val="21"/>
          <w:szCs w:val="21"/>
        </w:rPr>
        <w:t xml:space="preserve">s and </w:t>
      </w:r>
      <w:r w:rsidRPr="00A233EC">
        <w:rPr>
          <w:rFonts w:ascii="Franklin Gothic Book" w:hAnsi="Franklin Gothic Book"/>
          <w:sz w:val="21"/>
          <w:szCs w:val="21"/>
        </w:rPr>
        <w:t>operation</w:t>
      </w:r>
      <w:r>
        <w:rPr>
          <w:rFonts w:ascii="Franklin Gothic Book" w:hAnsi="Franklin Gothic Book"/>
          <w:sz w:val="21"/>
          <w:szCs w:val="21"/>
        </w:rPr>
        <w:t>s</w:t>
      </w:r>
      <w:r w:rsidRPr="00A233EC">
        <w:rPr>
          <w:rFonts w:ascii="Franklin Gothic Book" w:hAnsi="Franklin Gothic Book"/>
          <w:sz w:val="21"/>
          <w:szCs w:val="21"/>
        </w:rPr>
        <w:t xml:space="preserve"> and maintenance</w:t>
      </w:r>
      <w:r>
        <w:rPr>
          <w:rFonts w:ascii="Franklin Gothic Book" w:hAnsi="Franklin Gothic Book"/>
          <w:sz w:val="21"/>
          <w:szCs w:val="21"/>
        </w:rPr>
        <w:t xml:space="preserve"> services. Through a series of training activities and support missions, we enhanced provincial agencies’ capacity to manage and implement RWSS schemes. </w:t>
      </w:r>
      <w:r w:rsidR="0046402B">
        <w:rPr>
          <w:rFonts w:ascii="Franklin Gothic Book" w:hAnsi="Franklin Gothic Book"/>
          <w:sz w:val="21"/>
          <w:szCs w:val="21"/>
        </w:rPr>
        <w:t xml:space="preserve">Our support for development of an </w:t>
      </w:r>
      <w:r w:rsidR="0046402B" w:rsidRPr="00A233EC">
        <w:rPr>
          <w:rFonts w:ascii="Franklin Gothic Book" w:hAnsi="Franklin Gothic Book" w:cs="Arial"/>
          <w:sz w:val="21"/>
          <w:szCs w:val="21"/>
        </w:rPr>
        <w:t>operational manual</w:t>
      </w:r>
      <w:r w:rsidR="0046402B">
        <w:rPr>
          <w:rFonts w:ascii="Franklin Gothic Book" w:hAnsi="Franklin Gothic Book" w:cs="Arial"/>
          <w:sz w:val="21"/>
          <w:szCs w:val="21"/>
        </w:rPr>
        <w:t xml:space="preserve"> for </w:t>
      </w:r>
      <w:r w:rsidR="0046402B" w:rsidRPr="00A233EC">
        <w:rPr>
          <w:rFonts w:ascii="Franklin Gothic Book" w:hAnsi="Franklin Gothic Book" w:cs="Arial"/>
          <w:sz w:val="21"/>
          <w:szCs w:val="21"/>
        </w:rPr>
        <w:t xml:space="preserve">water </w:t>
      </w:r>
      <w:r w:rsidR="0046402B">
        <w:rPr>
          <w:rFonts w:ascii="Franklin Gothic Book" w:hAnsi="Franklin Gothic Book" w:cs="Arial"/>
          <w:sz w:val="21"/>
          <w:szCs w:val="21"/>
        </w:rPr>
        <w:t xml:space="preserve">testing </w:t>
      </w:r>
      <w:r w:rsidR="0046402B" w:rsidRPr="00A233EC">
        <w:rPr>
          <w:rFonts w:ascii="Franklin Gothic Book" w:hAnsi="Franklin Gothic Book" w:cs="Arial"/>
          <w:sz w:val="21"/>
          <w:szCs w:val="21"/>
        </w:rPr>
        <w:t>lab</w:t>
      </w:r>
      <w:r w:rsidR="0046402B">
        <w:rPr>
          <w:rFonts w:ascii="Franklin Gothic Book" w:hAnsi="Franklin Gothic Book" w:cs="Arial"/>
          <w:sz w:val="21"/>
          <w:szCs w:val="21"/>
        </w:rPr>
        <w:t xml:space="preserve">oratories has </w:t>
      </w:r>
      <w:r w:rsidR="0046402B">
        <w:rPr>
          <w:rFonts w:ascii="Franklin Gothic Book" w:hAnsi="Franklin Gothic Book"/>
          <w:sz w:val="21"/>
          <w:szCs w:val="21"/>
        </w:rPr>
        <w:t>strengthened overall w</w:t>
      </w:r>
      <w:r w:rsidR="0046402B" w:rsidRPr="00A233EC">
        <w:rPr>
          <w:rFonts w:ascii="Franklin Gothic Book" w:hAnsi="Franklin Gothic Book"/>
          <w:sz w:val="21"/>
          <w:szCs w:val="21"/>
        </w:rPr>
        <w:t>ater quality management and testing</w:t>
      </w:r>
      <w:r w:rsidR="0046402B">
        <w:rPr>
          <w:rFonts w:ascii="Franklin Gothic Book" w:hAnsi="Franklin Gothic Book"/>
          <w:sz w:val="21"/>
          <w:szCs w:val="21"/>
        </w:rPr>
        <w:t xml:space="preserve"> procedures, and </w:t>
      </w:r>
      <w:r w:rsidR="0046402B" w:rsidRPr="00A233EC">
        <w:rPr>
          <w:rFonts w:ascii="Franklin Gothic Book" w:hAnsi="Franklin Gothic Book" w:cs="Arial"/>
          <w:sz w:val="21"/>
          <w:szCs w:val="21"/>
        </w:rPr>
        <w:t xml:space="preserve">water </w:t>
      </w:r>
      <w:r w:rsidR="0046402B">
        <w:rPr>
          <w:rFonts w:ascii="Franklin Gothic Book" w:hAnsi="Franklin Gothic Book" w:cs="Arial"/>
          <w:sz w:val="21"/>
          <w:szCs w:val="21"/>
        </w:rPr>
        <w:t>laboratory equipment was upgraded in s</w:t>
      </w:r>
      <w:r w:rsidR="0046402B" w:rsidRPr="00A233EC">
        <w:rPr>
          <w:rFonts w:ascii="Franklin Gothic Book" w:hAnsi="Franklin Gothic Book" w:cs="Arial"/>
          <w:sz w:val="21"/>
          <w:szCs w:val="21"/>
        </w:rPr>
        <w:t>ix provinces</w:t>
      </w:r>
      <w:r w:rsidR="0046402B">
        <w:rPr>
          <w:rFonts w:ascii="Franklin Gothic Book" w:hAnsi="Franklin Gothic Book"/>
          <w:sz w:val="21"/>
          <w:szCs w:val="21"/>
        </w:rPr>
        <w:t xml:space="preserve">. Our support to the Vietnam Women’s Union has enhanced its capacity to run </w:t>
      </w:r>
      <w:r w:rsidR="0046402B" w:rsidRPr="00A233EC">
        <w:rPr>
          <w:rFonts w:ascii="Franklin Gothic Book" w:hAnsi="Franklin Gothic Book"/>
          <w:sz w:val="21"/>
          <w:szCs w:val="21"/>
        </w:rPr>
        <w:t>infor</w:t>
      </w:r>
      <w:r w:rsidR="0046402B">
        <w:rPr>
          <w:rFonts w:ascii="Franklin Gothic Book" w:hAnsi="Franklin Gothic Book"/>
          <w:sz w:val="21"/>
          <w:szCs w:val="21"/>
        </w:rPr>
        <w:t>mation, education and awareness-</w:t>
      </w:r>
      <w:r w:rsidR="0046402B" w:rsidRPr="00A233EC">
        <w:rPr>
          <w:rFonts w:ascii="Franklin Gothic Book" w:hAnsi="Franklin Gothic Book"/>
          <w:sz w:val="21"/>
          <w:szCs w:val="21"/>
        </w:rPr>
        <w:t>raising activities to promote sanitation and hygiene at grass root levels</w:t>
      </w:r>
      <w:r w:rsidR="0046402B">
        <w:rPr>
          <w:rFonts w:ascii="Franklin Gothic Book" w:hAnsi="Franklin Gothic Book"/>
          <w:sz w:val="21"/>
          <w:szCs w:val="21"/>
        </w:rPr>
        <w:t>.</w:t>
      </w:r>
    </w:p>
    <w:p w:rsidR="00A73EE0" w:rsidRDefault="006301DD" w:rsidP="00047841">
      <w:pPr>
        <w:pStyle w:val="ListBullet"/>
        <w:numPr>
          <w:ilvl w:val="0"/>
          <w:numId w:val="0"/>
        </w:numPr>
        <w:spacing w:line="280" w:lineRule="atLeast"/>
        <w:rPr>
          <w:szCs w:val="21"/>
        </w:rPr>
      </w:pPr>
      <w:r>
        <w:rPr>
          <w:szCs w:val="21"/>
        </w:rPr>
        <w:t xml:space="preserve">To manage the inherent risks of providing sector budget support, </w:t>
      </w:r>
      <w:r w:rsidR="00D82AA1">
        <w:rPr>
          <w:szCs w:val="21"/>
        </w:rPr>
        <w:t>a</w:t>
      </w:r>
      <w:r w:rsidR="00A73EE0" w:rsidRPr="00A233EC">
        <w:rPr>
          <w:szCs w:val="21"/>
        </w:rPr>
        <w:t xml:space="preserve"> comprehensive fiduciary risk assessment for </w:t>
      </w:r>
      <w:r w:rsidR="00B030CA">
        <w:rPr>
          <w:szCs w:val="21"/>
        </w:rPr>
        <w:t xml:space="preserve">the </w:t>
      </w:r>
      <w:r w:rsidR="00A73EE0" w:rsidRPr="00A233EC">
        <w:rPr>
          <w:szCs w:val="21"/>
        </w:rPr>
        <w:t xml:space="preserve">RWSS sector </w:t>
      </w:r>
      <w:r w:rsidR="00B030CA">
        <w:rPr>
          <w:szCs w:val="21"/>
        </w:rPr>
        <w:t>was finalised</w:t>
      </w:r>
      <w:r w:rsidR="00A73EE0" w:rsidRPr="00A233EC">
        <w:rPr>
          <w:szCs w:val="21"/>
        </w:rPr>
        <w:t xml:space="preserve"> </w:t>
      </w:r>
      <w:r w:rsidR="00B030CA">
        <w:rPr>
          <w:szCs w:val="21"/>
        </w:rPr>
        <w:t>in 2013</w:t>
      </w:r>
      <w:r w:rsidR="00C35485">
        <w:rPr>
          <w:szCs w:val="21"/>
        </w:rPr>
        <w:t>.</w:t>
      </w:r>
      <w:r w:rsidR="00BD17DA">
        <w:rPr>
          <w:szCs w:val="21"/>
        </w:rPr>
        <w:t xml:space="preserve"> </w:t>
      </w:r>
      <w:r w:rsidR="00B030CA">
        <w:rPr>
          <w:szCs w:val="21"/>
        </w:rPr>
        <w:t>R</w:t>
      </w:r>
      <w:r w:rsidR="00A73EE0" w:rsidRPr="00A233EC">
        <w:rPr>
          <w:szCs w:val="21"/>
        </w:rPr>
        <w:t xml:space="preserve">ecommendations and risk mitigation measures </w:t>
      </w:r>
      <w:r w:rsidR="00B030CA">
        <w:rPr>
          <w:szCs w:val="21"/>
        </w:rPr>
        <w:t xml:space="preserve">have been </w:t>
      </w:r>
      <w:r w:rsidR="00A73EE0" w:rsidRPr="00A233EC">
        <w:rPr>
          <w:szCs w:val="21"/>
        </w:rPr>
        <w:t>well</w:t>
      </w:r>
      <w:r w:rsidR="0035130E">
        <w:rPr>
          <w:szCs w:val="21"/>
        </w:rPr>
        <w:t xml:space="preserve"> </w:t>
      </w:r>
      <w:r w:rsidR="00A73EE0" w:rsidRPr="00A233EC">
        <w:rPr>
          <w:szCs w:val="21"/>
        </w:rPr>
        <w:t xml:space="preserve">received and adopted by </w:t>
      </w:r>
      <w:r w:rsidR="00B030CA">
        <w:rPr>
          <w:szCs w:val="21"/>
        </w:rPr>
        <w:t xml:space="preserve">the </w:t>
      </w:r>
      <w:r w:rsidR="00A73EE0" w:rsidRPr="00A233EC">
        <w:rPr>
          <w:szCs w:val="21"/>
        </w:rPr>
        <w:t>Government of Vietnam.</w:t>
      </w:r>
    </w:p>
    <w:p w:rsidR="00A73EE0" w:rsidRDefault="00A73EE0" w:rsidP="00047841">
      <w:pPr>
        <w:pStyle w:val="ListBullet"/>
        <w:numPr>
          <w:ilvl w:val="0"/>
          <w:numId w:val="0"/>
        </w:numPr>
        <w:spacing w:line="280" w:lineRule="atLeast"/>
        <w:rPr>
          <w:szCs w:val="21"/>
        </w:rPr>
      </w:pPr>
      <w:r w:rsidRPr="00A233EC">
        <w:rPr>
          <w:szCs w:val="21"/>
        </w:rPr>
        <w:t xml:space="preserve">The RWSS </w:t>
      </w:r>
      <w:r w:rsidR="00B030CA">
        <w:rPr>
          <w:szCs w:val="21"/>
        </w:rPr>
        <w:t xml:space="preserve">NTP3 </w:t>
      </w:r>
      <w:r w:rsidRPr="00A233EC">
        <w:rPr>
          <w:szCs w:val="21"/>
        </w:rPr>
        <w:t>recogni</w:t>
      </w:r>
      <w:r w:rsidR="00D82AA1">
        <w:rPr>
          <w:szCs w:val="21"/>
        </w:rPr>
        <w:t>s</w:t>
      </w:r>
      <w:r w:rsidRPr="00A233EC">
        <w:rPr>
          <w:szCs w:val="21"/>
        </w:rPr>
        <w:t xml:space="preserve">es that equitable access to water and sanitation </w:t>
      </w:r>
      <w:r w:rsidR="00B030CA">
        <w:rPr>
          <w:szCs w:val="21"/>
        </w:rPr>
        <w:t xml:space="preserve">directly benefits women, as </w:t>
      </w:r>
      <w:r w:rsidRPr="00A233EC">
        <w:rPr>
          <w:szCs w:val="21"/>
        </w:rPr>
        <w:t xml:space="preserve">women </w:t>
      </w:r>
      <w:r w:rsidR="00B030CA">
        <w:rPr>
          <w:szCs w:val="21"/>
        </w:rPr>
        <w:t xml:space="preserve">in Vietnam have primary </w:t>
      </w:r>
      <w:r w:rsidRPr="00A233EC">
        <w:rPr>
          <w:szCs w:val="21"/>
        </w:rPr>
        <w:t>responsibility for household water use management and family health. Gender mainstreaming issues in planning, budgeting</w:t>
      </w:r>
      <w:r w:rsidR="00B030CA">
        <w:rPr>
          <w:szCs w:val="21"/>
        </w:rPr>
        <w:t xml:space="preserve"> and</w:t>
      </w:r>
      <w:r w:rsidRPr="00A233EC">
        <w:rPr>
          <w:szCs w:val="21"/>
        </w:rPr>
        <w:t xml:space="preserve"> implementation processes have been </w:t>
      </w:r>
      <w:r w:rsidR="00B030CA">
        <w:rPr>
          <w:szCs w:val="21"/>
        </w:rPr>
        <w:t xml:space="preserve">discussed and </w:t>
      </w:r>
      <w:r w:rsidRPr="00A233EC">
        <w:rPr>
          <w:szCs w:val="21"/>
        </w:rPr>
        <w:t xml:space="preserve">introduced to </w:t>
      </w:r>
      <w:r w:rsidR="00B030CA">
        <w:rPr>
          <w:szCs w:val="21"/>
        </w:rPr>
        <w:t xml:space="preserve">the </w:t>
      </w:r>
      <w:r w:rsidR="003A1EB4" w:rsidRPr="00A233EC">
        <w:rPr>
          <w:szCs w:val="21"/>
        </w:rPr>
        <w:t>Government of Vietnam</w:t>
      </w:r>
      <w:r w:rsidR="003A1EB4" w:rsidRPr="00A233EC" w:rsidDel="003A1EB4">
        <w:rPr>
          <w:szCs w:val="21"/>
        </w:rPr>
        <w:t xml:space="preserve"> </w:t>
      </w:r>
      <w:r w:rsidRPr="00A233EC">
        <w:rPr>
          <w:szCs w:val="21"/>
        </w:rPr>
        <w:t>at central levels</w:t>
      </w:r>
      <w:r w:rsidR="00B030CA">
        <w:rPr>
          <w:szCs w:val="21"/>
        </w:rPr>
        <w:t>, and n</w:t>
      </w:r>
      <w:r w:rsidRPr="00A233EC">
        <w:rPr>
          <w:szCs w:val="21"/>
        </w:rPr>
        <w:t xml:space="preserve">ew </w:t>
      </w:r>
      <w:r w:rsidR="00B030CA">
        <w:rPr>
          <w:szCs w:val="21"/>
        </w:rPr>
        <w:t xml:space="preserve">gender-specific </w:t>
      </w:r>
      <w:r w:rsidRPr="00A233EC">
        <w:rPr>
          <w:szCs w:val="21"/>
        </w:rPr>
        <w:t xml:space="preserve">indicators </w:t>
      </w:r>
      <w:r w:rsidR="00B030CA">
        <w:rPr>
          <w:szCs w:val="21"/>
        </w:rPr>
        <w:t>have been</w:t>
      </w:r>
      <w:r w:rsidR="00B030CA" w:rsidRPr="00A233EC">
        <w:rPr>
          <w:szCs w:val="21"/>
        </w:rPr>
        <w:t xml:space="preserve"> </w:t>
      </w:r>
      <w:r w:rsidRPr="00A233EC">
        <w:rPr>
          <w:szCs w:val="21"/>
        </w:rPr>
        <w:t xml:space="preserve">added </w:t>
      </w:r>
      <w:r>
        <w:rPr>
          <w:szCs w:val="21"/>
        </w:rPr>
        <w:t xml:space="preserve">to the </w:t>
      </w:r>
      <w:r w:rsidR="00B030CA">
        <w:rPr>
          <w:szCs w:val="21"/>
        </w:rPr>
        <w:t xml:space="preserve">monitoring and evaluation </w:t>
      </w:r>
      <w:r>
        <w:rPr>
          <w:szCs w:val="21"/>
        </w:rPr>
        <w:t>system</w:t>
      </w:r>
      <w:r w:rsidRPr="00A233EC">
        <w:rPr>
          <w:szCs w:val="21"/>
        </w:rPr>
        <w:t xml:space="preserve">. DFAT </w:t>
      </w:r>
      <w:r w:rsidR="00B030CA">
        <w:rPr>
          <w:szCs w:val="21"/>
        </w:rPr>
        <w:t>will</w:t>
      </w:r>
      <w:r w:rsidRPr="00A233EC">
        <w:rPr>
          <w:szCs w:val="21"/>
        </w:rPr>
        <w:t xml:space="preserve"> provide technical assistance </w:t>
      </w:r>
      <w:r w:rsidR="00B030CA">
        <w:rPr>
          <w:szCs w:val="21"/>
        </w:rPr>
        <w:t xml:space="preserve">in 2014-15 </w:t>
      </w:r>
      <w:r w:rsidRPr="00A233EC">
        <w:rPr>
          <w:szCs w:val="21"/>
        </w:rPr>
        <w:t xml:space="preserve">to </w:t>
      </w:r>
      <w:r w:rsidR="00B030CA">
        <w:rPr>
          <w:szCs w:val="21"/>
        </w:rPr>
        <w:t xml:space="preserve">further </w:t>
      </w:r>
      <w:r w:rsidRPr="00A233EC">
        <w:rPr>
          <w:szCs w:val="21"/>
        </w:rPr>
        <w:t>roll</w:t>
      </w:r>
      <w:r w:rsidR="00B030CA">
        <w:rPr>
          <w:szCs w:val="21"/>
        </w:rPr>
        <w:t>-</w:t>
      </w:r>
      <w:r w:rsidRPr="00A233EC">
        <w:rPr>
          <w:szCs w:val="21"/>
        </w:rPr>
        <w:t xml:space="preserve">out these </w:t>
      </w:r>
      <w:r w:rsidR="00B030CA">
        <w:rPr>
          <w:szCs w:val="21"/>
        </w:rPr>
        <w:t>measures</w:t>
      </w:r>
      <w:r w:rsidRPr="00A233EC">
        <w:rPr>
          <w:szCs w:val="21"/>
        </w:rPr>
        <w:t>.</w:t>
      </w:r>
    </w:p>
    <w:p w:rsidR="00080162" w:rsidRDefault="00080162" w:rsidP="00047841">
      <w:pPr>
        <w:pStyle w:val="ListBullet"/>
        <w:numPr>
          <w:ilvl w:val="0"/>
          <w:numId w:val="0"/>
        </w:numPr>
        <w:spacing w:line="280" w:lineRule="atLeast"/>
        <w:rPr>
          <w:rFonts w:cs="Arial"/>
          <w:szCs w:val="21"/>
        </w:rPr>
      </w:pPr>
      <w:r>
        <w:rPr>
          <w:rFonts w:cs="Arial"/>
          <w:szCs w:val="21"/>
        </w:rPr>
        <w:t>Our direct support for RWSS NTP3 is complemented by our work with the World Bank and civil society. T</w:t>
      </w:r>
      <w:r w:rsidRPr="00A233EC">
        <w:rPr>
          <w:szCs w:val="21"/>
        </w:rPr>
        <w:t>he World Bank</w:t>
      </w:r>
      <w:r>
        <w:rPr>
          <w:szCs w:val="21"/>
        </w:rPr>
        <w:t>’s</w:t>
      </w:r>
      <w:r w:rsidRPr="00A233EC">
        <w:rPr>
          <w:szCs w:val="21"/>
        </w:rPr>
        <w:t xml:space="preserve"> US</w:t>
      </w:r>
      <w:r>
        <w:rPr>
          <w:szCs w:val="21"/>
        </w:rPr>
        <w:t>$</w:t>
      </w:r>
      <w:r w:rsidRPr="00A233EC">
        <w:rPr>
          <w:szCs w:val="21"/>
        </w:rPr>
        <w:t>200 million Program for Result</w:t>
      </w:r>
      <w:r>
        <w:rPr>
          <w:szCs w:val="21"/>
        </w:rPr>
        <w:t>s is increasing</w:t>
      </w:r>
      <w:r w:rsidRPr="00A233EC">
        <w:rPr>
          <w:szCs w:val="21"/>
        </w:rPr>
        <w:t xml:space="preserve"> access to improved water supply and sanitation in the Red River Delta </w:t>
      </w:r>
      <w:r>
        <w:rPr>
          <w:szCs w:val="21"/>
        </w:rPr>
        <w:t xml:space="preserve">and </w:t>
      </w:r>
      <w:r w:rsidRPr="00A233EC">
        <w:rPr>
          <w:szCs w:val="21"/>
        </w:rPr>
        <w:t>support</w:t>
      </w:r>
      <w:r>
        <w:rPr>
          <w:szCs w:val="21"/>
        </w:rPr>
        <w:t>ing</w:t>
      </w:r>
      <w:r w:rsidRPr="00A233EC">
        <w:rPr>
          <w:szCs w:val="21"/>
        </w:rPr>
        <w:t xml:space="preserve"> implementation of </w:t>
      </w:r>
      <w:r>
        <w:rPr>
          <w:szCs w:val="21"/>
        </w:rPr>
        <w:t xml:space="preserve">the RWSS </w:t>
      </w:r>
      <w:r w:rsidRPr="00A233EC">
        <w:rPr>
          <w:szCs w:val="21"/>
        </w:rPr>
        <w:t xml:space="preserve">NTP3 in these </w:t>
      </w:r>
      <w:r w:rsidRPr="00A233EC">
        <w:rPr>
          <w:szCs w:val="21"/>
        </w:rPr>
        <w:lastRenderedPageBreak/>
        <w:t>provinces</w:t>
      </w:r>
      <w:r>
        <w:rPr>
          <w:szCs w:val="21"/>
        </w:rPr>
        <w:t>.</w:t>
      </w:r>
      <w:r w:rsidRPr="00A233EC">
        <w:rPr>
          <w:szCs w:val="21"/>
        </w:rPr>
        <w:t xml:space="preserve"> </w:t>
      </w:r>
      <w:r>
        <w:rPr>
          <w:rFonts w:cs="Arial"/>
          <w:szCs w:val="21"/>
        </w:rPr>
        <w:t xml:space="preserve">Australia is working with the World Bank and the Ministry of Agriculture and Rural Development </w:t>
      </w:r>
      <w:r>
        <w:rPr>
          <w:szCs w:val="21"/>
        </w:rPr>
        <w:t>to ensure</w:t>
      </w:r>
      <w:r w:rsidRPr="00A233EC">
        <w:rPr>
          <w:szCs w:val="21"/>
        </w:rPr>
        <w:t xml:space="preserve"> </w:t>
      </w:r>
      <w:r>
        <w:rPr>
          <w:szCs w:val="21"/>
        </w:rPr>
        <w:t>Australian</w:t>
      </w:r>
      <w:r w:rsidRPr="00A233EC">
        <w:rPr>
          <w:szCs w:val="21"/>
        </w:rPr>
        <w:t xml:space="preserve"> technical assistance </w:t>
      </w:r>
      <w:r>
        <w:rPr>
          <w:szCs w:val="21"/>
        </w:rPr>
        <w:t>is well-</w:t>
      </w:r>
      <w:r w:rsidRPr="00A233EC">
        <w:rPr>
          <w:szCs w:val="21"/>
        </w:rPr>
        <w:t>developed</w:t>
      </w:r>
      <w:r>
        <w:rPr>
          <w:szCs w:val="21"/>
        </w:rPr>
        <w:t xml:space="preserve"> and</w:t>
      </w:r>
      <w:r w:rsidRPr="00A233EC">
        <w:rPr>
          <w:szCs w:val="21"/>
        </w:rPr>
        <w:t xml:space="preserve"> coordinated with other assistance </w:t>
      </w:r>
      <w:r>
        <w:rPr>
          <w:szCs w:val="21"/>
        </w:rPr>
        <w:t xml:space="preserve">for RWSS </w:t>
      </w:r>
      <w:r w:rsidRPr="00A233EC">
        <w:rPr>
          <w:szCs w:val="21"/>
        </w:rPr>
        <w:t>NTP3</w:t>
      </w:r>
      <w:r>
        <w:rPr>
          <w:szCs w:val="21"/>
        </w:rPr>
        <w:t xml:space="preserve">, </w:t>
      </w:r>
      <w:r w:rsidRPr="00A233EC">
        <w:rPr>
          <w:szCs w:val="21"/>
        </w:rPr>
        <w:t xml:space="preserve">and that lessons </w:t>
      </w:r>
      <w:r w:rsidR="00CA3759">
        <w:rPr>
          <w:szCs w:val="21"/>
        </w:rPr>
        <w:t>are shared.</w:t>
      </w:r>
    </w:p>
    <w:p w:rsidR="00A73EE0" w:rsidRDefault="00CA3759" w:rsidP="00047841">
      <w:pPr>
        <w:pStyle w:val="ListBullet"/>
        <w:numPr>
          <w:ilvl w:val="0"/>
          <w:numId w:val="0"/>
        </w:numPr>
        <w:spacing w:line="280" w:lineRule="atLeast"/>
        <w:rPr>
          <w:szCs w:val="21"/>
        </w:rPr>
      </w:pPr>
      <w:r>
        <w:rPr>
          <w:szCs w:val="21"/>
        </w:rPr>
        <w:t xml:space="preserve">In 2013, </w:t>
      </w:r>
      <w:r w:rsidRPr="00A233EC">
        <w:rPr>
          <w:szCs w:val="21"/>
        </w:rPr>
        <w:t xml:space="preserve">Australia provided assistance to </w:t>
      </w:r>
      <w:r>
        <w:rPr>
          <w:szCs w:val="21"/>
        </w:rPr>
        <w:t xml:space="preserve">Vietnam’s </w:t>
      </w:r>
      <w:r w:rsidRPr="00A233EC">
        <w:rPr>
          <w:szCs w:val="21"/>
        </w:rPr>
        <w:t xml:space="preserve">Ministry of Health and the </w:t>
      </w:r>
      <w:r>
        <w:rPr>
          <w:szCs w:val="21"/>
        </w:rPr>
        <w:t xml:space="preserve">Vietnam </w:t>
      </w:r>
      <w:r w:rsidRPr="00A233EC">
        <w:rPr>
          <w:szCs w:val="21"/>
        </w:rPr>
        <w:t>Women</w:t>
      </w:r>
      <w:r>
        <w:rPr>
          <w:szCs w:val="21"/>
        </w:rPr>
        <w:t>’s</w:t>
      </w:r>
      <w:r w:rsidRPr="00A233EC">
        <w:rPr>
          <w:szCs w:val="21"/>
        </w:rPr>
        <w:t xml:space="preserve"> Union to roll out </w:t>
      </w:r>
      <w:r>
        <w:rPr>
          <w:szCs w:val="21"/>
        </w:rPr>
        <w:t>a</w:t>
      </w:r>
      <w:r w:rsidR="0021276D">
        <w:rPr>
          <w:szCs w:val="21"/>
        </w:rPr>
        <w:t>n output-b</w:t>
      </w:r>
      <w:r w:rsidR="0021276D" w:rsidRPr="00A233EC">
        <w:rPr>
          <w:szCs w:val="21"/>
        </w:rPr>
        <w:t>ased</w:t>
      </w:r>
      <w:r>
        <w:rPr>
          <w:szCs w:val="21"/>
        </w:rPr>
        <w:t xml:space="preserve"> c</w:t>
      </w:r>
      <w:r w:rsidRPr="00A233EC">
        <w:rPr>
          <w:szCs w:val="21"/>
        </w:rPr>
        <w:t xml:space="preserve">ommunity </w:t>
      </w:r>
      <w:r>
        <w:rPr>
          <w:szCs w:val="21"/>
        </w:rPr>
        <w:t>h</w:t>
      </w:r>
      <w:r w:rsidRPr="00A233EC">
        <w:rPr>
          <w:szCs w:val="21"/>
        </w:rPr>
        <w:t xml:space="preserve">ygiene </w:t>
      </w:r>
      <w:r>
        <w:rPr>
          <w:szCs w:val="21"/>
        </w:rPr>
        <w:t>i</w:t>
      </w:r>
      <w:r w:rsidRPr="00A233EC">
        <w:rPr>
          <w:szCs w:val="21"/>
        </w:rPr>
        <w:t xml:space="preserve">mprovement </w:t>
      </w:r>
      <w:r>
        <w:rPr>
          <w:szCs w:val="21"/>
        </w:rPr>
        <w:t xml:space="preserve">scheme </w:t>
      </w:r>
      <w:r w:rsidR="0021276D">
        <w:rPr>
          <w:szCs w:val="21"/>
        </w:rPr>
        <w:t>in 12 provinces</w:t>
      </w:r>
      <w:r>
        <w:rPr>
          <w:szCs w:val="21"/>
        </w:rPr>
        <w:t xml:space="preserve">. This builds on a $1.6 million </w:t>
      </w:r>
      <w:r w:rsidRPr="00A233EC">
        <w:rPr>
          <w:szCs w:val="21"/>
        </w:rPr>
        <w:t xml:space="preserve">pilot program implemented by </w:t>
      </w:r>
      <w:r>
        <w:rPr>
          <w:szCs w:val="21"/>
        </w:rPr>
        <w:t xml:space="preserve">the NGO </w:t>
      </w:r>
      <w:r w:rsidRPr="00A233EC">
        <w:rPr>
          <w:szCs w:val="21"/>
        </w:rPr>
        <w:t>East Meets West</w:t>
      </w:r>
      <w:r>
        <w:rPr>
          <w:szCs w:val="21"/>
        </w:rPr>
        <w:t xml:space="preserve">, </w:t>
      </w:r>
      <w:r w:rsidRPr="00A233EC">
        <w:rPr>
          <w:szCs w:val="21"/>
        </w:rPr>
        <w:t xml:space="preserve">funded by </w:t>
      </w:r>
      <w:r>
        <w:rPr>
          <w:szCs w:val="21"/>
        </w:rPr>
        <w:t xml:space="preserve">the first phase of </w:t>
      </w:r>
      <w:r w:rsidRPr="00A233EC">
        <w:rPr>
          <w:szCs w:val="21"/>
        </w:rPr>
        <w:t>Australia’s Civil Society</w:t>
      </w:r>
      <w:r>
        <w:rPr>
          <w:szCs w:val="21"/>
        </w:rPr>
        <w:t>,</w:t>
      </w:r>
      <w:r w:rsidRPr="00A233EC">
        <w:rPr>
          <w:szCs w:val="21"/>
        </w:rPr>
        <w:t xml:space="preserve"> W</w:t>
      </w:r>
      <w:r>
        <w:rPr>
          <w:szCs w:val="21"/>
        </w:rPr>
        <w:t>ater Sanitation and Hygiene</w:t>
      </w:r>
      <w:r w:rsidRPr="00A233EC">
        <w:rPr>
          <w:szCs w:val="21"/>
        </w:rPr>
        <w:t xml:space="preserve"> Fund</w:t>
      </w:r>
      <w:r>
        <w:rPr>
          <w:szCs w:val="21"/>
        </w:rPr>
        <w:t xml:space="preserve"> (CSO WASH Fund). The additional support from the bilateral aid program will help </w:t>
      </w:r>
      <w:r w:rsidRPr="00A233EC">
        <w:rPr>
          <w:szCs w:val="21"/>
        </w:rPr>
        <w:t xml:space="preserve">scale up sanitation </w:t>
      </w:r>
      <w:r>
        <w:rPr>
          <w:szCs w:val="21"/>
        </w:rPr>
        <w:t xml:space="preserve">activities </w:t>
      </w:r>
      <w:r w:rsidRPr="00A233EC">
        <w:rPr>
          <w:szCs w:val="21"/>
        </w:rPr>
        <w:t>with East Meets West</w:t>
      </w:r>
      <w:r>
        <w:rPr>
          <w:szCs w:val="21"/>
        </w:rPr>
        <w:t xml:space="preserve"> to ensure </w:t>
      </w:r>
      <w:r w:rsidR="0021276D">
        <w:rPr>
          <w:szCs w:val="21"/>
        </w:rPr>
        <w:t xml:space="preserve">the </w:t>
      </w:r>
      <w:r>
        <w:rPr>
          <w:szCs w:val="21"/>
        </w:rPr>
        <w:t xml:space="preserve">scheme supports </w:t>
      </w:r>
      <w:r w:rsidRPr="00A233EC">
        <w:rPr>
          <w:szCs w:val="21"/>
        </w:rPr>
        <w:t>implement</w:t>
      </w:r>
      <w:r w:rsidR="0021276D">
        <w:rPr>
          <w:szCs w:val="21"/>
        </w:rPr>
        <w:t>ation</w:t>
      </w:r>
      <w:r w:rsidRPr="00A233EC">
        <w:rPr>
          <w:szCs w:val="21"/>
        </w:rPr>
        <w:t xml:space="preserve"> </w:t>
      </w:r>
      <w:r>
        <w:rPr>
          <w:szCs w:val="21"/>
        </w:rPr>
        <w:t xml:space="preserve">of the </w:t>
      </w:r>
      <w:r w:rsidRPr="00A233EC">
        <w:rPr>
          <w:szCs w:val="21"/>
        </w:rPr>
        <w:t xml:space="preserve">sanitation component of </w:t>
      </w:r>
      <w:r>
        <w:rPr>
          <w:szCs w:val="21"/>
        </w:rPr>
        <w:t>RWSS NTP</w:t>
      </w:r>
      <w:r w:rsidRPr="00A233EC">
        <w:rPr>
          <w:szCs w:val="21"/>
        </w:rPr>
        <w:t>3</w:t>
      </w:r>
      <w:r>
        <w:rPr>
          <w:szCs w:val="21"/>
        </w:rPr>
        <w:t xml:space="preserve">. </w:t>
      </w:r>
    </w:p>
    <w:p w:rsidR="00481142" w:rsidRPr="00481142" w:rsidRDefault="00137EC6" w:rsidP="00481142">
      <w:pPr>
        <w:numPr>
          <w:ilvl w:val="2"/>
          <w:numId w:val="0"/>
        </w:numPr>
        <w:spacing w:before="120" w:after="120" w:line="280" w:lineRule="atLeast"/>
        <w:outlineLvl w:val="2"/>
        <w:rPr>
          <w:rFonts w:ascii="Helvetica" w:eastAsia="Times New Roman" w:hAnsi="Helvetica" w:cs="Arial"/>
          <w:b/>
          <w:color w:val="124486"/>
          <w:kern w:val="28"/>
          <w:sz w:val="22"/>
          <w:szCs w:val="22"/>
          <w:lang w:eastAsia="zh-CN"/>
        </w:rPr>
      </w:pPr>
      <w:r w:rsidRPr="000008B3">
        <w:rPr>
          <w:rFonts w:ascii="Helvetica" w:eastAsia="Times New Roman" w:hAnsi="Helvetica" w:cs="Arial"/>
          <w:b/>
          <w:color w:val="124486"/>
          <w:kern w:val="28"/>
          <w:sz w:val="22"/>
          <w:szCs w:val="22"/>
          <w:lang w:eastAsia="zh-CN"/>
        </w:rPr>
        <w:t>Objective 4: Advance climate change ada</w:t>
      </w:r>
      <w:r w:rsidR="0021276D">
        <w:rPr>
          <w:rFonts w:ascii="Helvetica" w:eastAsia="Times New Roman" w:hAnsi="Helvetica" w:cs="Arial"/>
          <w:b/>
          <w:color w:val="124486"/>
          <w:kern w:val="28"/>
          <w:sz w:val="22"/>
          <w:szCs w:val="22"/>
          <w:lang w:eastAsia="zh-CN"/>
        </w:rPr>
        <w:t>ptation and mitigation (focus</w:t>
      </w:r>
      <w:r w:rsidRPr="000008B3">
        <w:rPr>
          <w:rFonts w:ascii="Helvetica" w:eastAsia="Times New Roman" w:hAnsi="Helvetica" w:cs="Arial"/>
          <w:b/>
          <w:color w:val="124486"/>
          <w:kern w:val="28"/>
          <w:sz w:val="22"/>
          <w:szCs w:val="22"/>
          <w:lang w:eastAsia="zh-CN"/>
        </w:rPr>
        <w:t xml:space="preserve"> on Mekong Delta)</w:t>
      </w:r>
    </w:p>
    <w:tbl>
      <w:tblPr>
        <w:tblStyle w:val="APPR"/>
        <w:tblW w:w="5000" w:type="pct"/>
        <w:tblLook w:val="01E0" w:firstRow="1" w:lastRow="1" w:firstColumn="1" w:lastColumn="1" w:noHBand="0" w:noVBand="0"/>
      </w:tblPr>
      <w:tblGrid>
        <w:gridCol w:w="7623"/>
        <w:gridCol w:w="1890"/>
      </w:tblGrid>
      <w:tr w:rsidR="00481142" w:rsidRPr="00BF2045" w:rsidTr="00B34E22">
        <w:trPr>
          <w:cnfStyle w:val="100000000000" w:firstRow="1" w:lastRow="0" w:firstColumn="0" w:lastColumn="0" w:oddVBand="0" w:evenVBand="0" w:oddHBand="0" w:evenHBand="0" w:firstRowFirstColumn="0" w:firstRowLastColumn="0" w:lastRowFirstColumn="0" w:lastRowLastColumn="0"/>
        </w:trPr>
        <w:tc>
          <w:tcPr>
            <w:tcW w:w="3981" w:type="pct"/>
          </w:tcPr>
          <w:p w:rsidR="00481142" w:rsidRPr="00A51634" w:rsidRDefault="00481142" w:rsidP="006F696C">
            <w:pPr>
              <w:pStyle w:val="TableTextEntries"/>
              <w:rPr>
                <w:rFonts w:eastAsia="Calibri"/>
              </w:rPr>
            </w:pPr>
            <w:r w:rsidRPr="00A51634">
              <w:rPr>
                <w:rFonts w:eastAsia="Calibri"/>
              </w:rPr>
              <w:t xml:space="preserve">Development outcome: </w:t>
            </w:r>
            <w:r w:rsidR="006F696C">
              <w:rPr>
                <w:rFonts w:eastAsia="Calibri"/>
              </w:rPr>
              <w:t xml:space="preserve">Implementation largely on track, with all but one PAF milestone met or partially met in 2013-14. Amber rating reflects delayed mobilisation of new ADB and World Bank investments. </w:t>
            </w:r>
          </w:p>
        </w:tc>
        <w:tc>
          <w:tcPr>
            <w:tcW w:w="971" w:type="pct"/>
            <w:shd w:val="clear" w:color="auto" w:fill="F79646" w:themeFill="accent6"/>
          </w:tcPr>
          <w:p w:rsidR="00481142" w:rsidRPr="00A51634" w:rsidRDefault="00481142" w:rsidP="00B34E22">
            <w:pPr>
              <w:pStyle w:val="TableTextEntries"/>
              <w:tabs>
                <w:tab w:val="left" w:pos="899"/>
              </w:tabs>
              <w:rPr>
                <w:rFonts w:eastAsia="Calibri"/>
              </w:rPr>
            </w:pPr>
            <w:r w:rsidRPr="00A51634">
              <w:rPr>
                <w:rFonts w:eastAsia="Calibri"/>
              </w:rPr>
              <w:t>Amber</w:t>
            </w:r>
            <w:r w:rsidR="00B34E22">
              <w:rPr>
                <w:rFonts w:eastAsia="Calibri"/>
              </w:rPr>
              <w:tab/>
            </w:r>
          </w:p>
        </w:tc>
      </w:tr>
    </w:tbl>
    <w:p w:rsidR="00481142" w:rsidRPr="00180B19" w:rsidRDefault="00481142" w:rsidP="00F832B6">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137EC6" w:rsidRPr="00AC5D82" w:rsidRDefault="00137EC6" w:rsidP="00137EC6">
      <w:pPr>
        <w:spacing w:after="120" w:line="280" w:lineRule="atLeast"/>
        <w:rPr>
          <w:rFonts w:ascii="Franklin Gothic Book" w:hAnsi="Franklin Gothic Book"/>
          <w:sz w:val="21"/>
          <w:szCs w:val="21"/>
        </w:rPr>
      </w:pPr>
      <w:r>
        <w:rPr>
          <w:rFonts w:ascii="Franklin Gothic Book" w:hAnsi="Franklin Gothic Book"/>
          <w:sz w:val="21"/>
          <w:szCs w:val="21"/>
        </w:rPr>
        <w:t xml:space="preserve">This </w:t>
      </w:r>
      <w:r w:rsidRPr="00AC5D82">
        <w:rPr>
          <w:rFonts w:ascii="Franklin Gothic Book" w:hAnsi="Franklin Gothic Book"/>
          <w:sz w:val="21"/>
          <w:szCs w:val="21"/>
        </w:rPr>
        <w:t xml:space="preserve">objective </w:t>
      </w:r>
      <w:r w:rsidRPr="00AC5D82">
        <w:rPr>
          <w:rFonts w:ascii="Franklin Gothic Book" w:hAnsi="Franklin Gothic Book"/>
          <w:sz w:val="21"/>
          <w:szCs w:val="21"/>
          <w:lang w:val="en-GB" w:eastAsia="en-US"/>
        </w:rPr>
        <w:t>directly sup</w:t>
      </w:r>
      <w:r w:rsidRPr="00AC5D82">
        <w:rPr>
          <w:rFonts w:ascii="Franklin Gothic Book" w:hAnsi="Franklin Gothic Book"/>
          <w:sz w:val="21"/>
        </w:rPr>
        <w:t>ports Vietnam</w:t>
      </w:r>
      <w:r>
        <w:rPr>
          <w:rFonts w:ascii="Franklin Gothic Book" w:hAnsi="Franklin Gothic Book"/>
          <w:sz w:val="21"/>
        </w:rPr>
        <w:t>’s</w:t>
      </w:r>
      <w:r w:rsidRPr="00AC5D82">
        <w:rPr>
          <w:rFonts w:ascii="Franklin Gothic Book" w:hAnsi="Franklin Gothic Book"/>
          <w:sz w:val="21"/>
        </w:rPr>
        <w:t xml:space="preserve"> </w:t>
      </w:r>
      <w:r>
        <w:rPr>
          <w:rFonts w:ascii="Franklin Gothic Book" w:hAnsi="Franklin Gothic Book"/>
          <w:sz w:val="21"/>
        </w:rPr>
        <w:t xml:space="preserve">own </w:t>
      </w:r>
      <w:r w:rsidRPr="00AC5D82">
        <w:rPr>
          <w:rFonts w:ascii="Franklin Gothic Book" w:hAnsi="Franklin Gothic Book"/>
          <w:sz w:val="21"/>
        </w:rPr>
        <w:t xml:space="preserve">objectives to restructure </w:t>
      </w:r>
      <w:r>
        <w:rPr>
          <w:rFonts w:ascii="Franklin Gothic Book" w:hAnsi="Franklin Gothic Book"/>
          <w:sz w:val="21"/>
        </w:rPr>
        <w:t xml:space="preserve">its </w:t>
      </w:r>
      <w:r w:rsidRPr="00AC5D82">
        <w:rPr>
          <w:rFonts w:ascii="Franklin Gothic Book" w:hAnsi="Franklin Gothic Book"/>
          <w:sz w:val="21"/>
        </w:rPr>
        <w:t>economy</w:t>
      </w:r>
      <w:r>
        <w:rPr>
          <w:rFonts w:ascii="Franklin Gothic Book" w:hAnsi="Franklin Gothic Book"/>
          <w:sz w:val="21"/>
        </w:rPr>
        <w:t>, improve energy security and better manage natural resources,</w:t>
      </w:r>
      <w:r w:rsidRPr="00AC5D82">
        <w:rPr>
          <w:rFonts w:ascii="Franklin Gothic Book" w:hAnsi="Franklin Gothic Book"/>
          <w:sz w:val="21"/>
        </w:rPr>
        <w:t xml:space="preserve"> as </w:t>
      </w:r>
      <w:r>
        <w:rPr>
          <w:rFonts w:ascii="Franklin Gothic Book" w:hAnsi="Franklin Gothic Book"/>
          <w:sz w:val="21"/>
        </w:rPr>
        <w:t>per</w:t>
      </w:r>
      <w:r w:rsidRPr="00AC5D82">
        <w:rPr>
          <w:rFonts w:ascii="Franklin Gothic Book" w:hAnsi="Franklin Gothic Book"/>
          <w:sz w:val="21"/>
        </w:rPr>
        <w:t xml:space="preserve"> </w:t>
      </w:r>
      <w:r>
        <w:rPr>
          <w:rFonts w:ascii="Franklin Gothic Book" w:hAnsi="Franklin Gothic Book"/>
          <w:sz w:val="21"/>
        </w:rPr>
        <w:t>its</w:t>
      </w:r>
      <w:r w:rsidRPr="00AC5D82">
        <w:rPr>
          <w:rFonts w:ascii="Franklin Gothic Book" w:hAnsi="Franklin Gothic Book"/>
          <w:sz w:val="21"/>
        </w:rPr>
        <w:t xml:space="preserve"> 2011-15 </w:t>
      </w:r>
      <w:r>
        <w:rPr>
          <w:rFonts w:ascii="Franklin Gothic Book" w:hAnsi="Franklin Gothic Book"/>
          <w:sz w:val="21"/>
        </w:rPr>
        <w:t>SEDP</w:t>
      </w:r>
      <w:r w:rsidRPr="00047841">
        <w:rPr>
          <w:rStyle w:val="FootnoteReference"/>
          <w:rFonts w:ascii="Franklin Gothic Book" w:hAnsi="Franklin Gothic Book"/>
        </w:rPr>
        <w:footnoteReference w:id="8"/>
      </w:r>
      <w:r w:rsidRPr="00AC5D82">
        <w:rPr>
          <w:rFonts w:ascii="Franklin Gothic Book" w:hAnsi="Franklin Gothic Book"/>
          <w:sz w:val="21"/>
        </w:rPr>
        <w:t>, Green Growth Strategy</w:t>
      </w:r>
      <w:r w:rsidRPr="00047841">
        <w:rPr>
          <w:rStyle w:val="FootnoteReference"/>
          <w:rFonts w:ascii="Franklin Gothic Book" w:hAnsi="Franklin Gothic Book"/>
        </w:rPr>
        <w:footnoteReference w:id="9"/>
      </w:r>
      <w:r w:rsidRPr="00AC5D82">
        <w:rPr>
          <w:rFonts w:ascii="Franklin Gothic Book" w:hAnsi="Franklin Gothic Book"/>
          <w:sz w:val="21"/>
        </w:rPr>
        <w:t>,</w:t>
      </w:r>
      <w:r w:rsidRPr="00AC5D82">
        <w:rPr>
          <w:rFonts w:ascii="Franklin Gothic Book" w:hAnsi="Franklin Gothic Book"/>
          <w:sz w:val="16"/>
          <w:szCs w:val="16"/>
        </w:rPr>
        <w:t xml:space="preserve"> </w:t>
      </w:r>
      <w:r w:rsidRPr="00AC5D82">
        <w:rPr>
          <w:rFonts w:ascii="Franklin Gothic Book" w:hAnsi="Franklin Gothic Book"/>
          <w:sz w:val="21"/>
        </w:rPr>
        <w:t xml:space="preserve">and National Target Program to Respond to Climate Change. </w:t>
      </w:r>
      <w:r w:rsidR="001D320E">
        <w:rPr>
          <w:rFonts w:ascii="Franklin Gothic Book" w:hAnsi="Franklin Gothic Book"/>
          <w:sz w:val="21"/>
        </w:rPr>
        <w:t>A</w:t>
      </w:r>
      <w:r w:rsidRPr="00AC5D82">
        <w:rPr>
          <w:rFonts w:ascii="Franklin Gothic Book" w:hAnsi="Franklin Gothic Book"/>
          <w:sz w:val="21"/>
        </w:rPr>
        <w:t xml:space="preserve"> disaster management framework </w:t>
      </w:r>
      <w:r>
        <w:rPr>
          <w:rFonts w:ascii="Franklin Gothic Book" w:hAnsi="Franklin Gothic Book"/>
          <w:sz w:val="21"/>
        </w:rPr>
        <w:t>was</w:t>
      </w:r>
      <w:r w:rsidRPr="00AC5D82">
        <w:rPr>
          <w:rFonts w:ascii="Franklin Gothic Book" w:hAnsi="Franklin Gothic Book"/>
          <w:sz w:val="21"/>
        </w:rPr>
        <w:t xml:space="preserve"> enacted </w:t>
      </w:r>
      <w:r w:rsidR="001D320E">
        <w:rPr>
          <w:rFonts w:ascii="Franklin Gothic Book" w:hAnsi="Franklin Gothic Book"/>
          <w:sz w:val="21"/>
        </w:rPr>
        <w:t>in 2014</w:t>
      </w:r>
      <w:r w:rsidRPr="00AC5D82">
        <w:rPr>
          <w:rFonts w:ascii="Franklin Gothic Book" w:hAnsi="Franklin Gothic Book"/>
          <w:sz w:val="21"/>
        </w:rPr>
        <w:t xml:space="preserve"> to </w:t>
      </w:r>
      <w:r>
        <w:rPr>
          <w:rFonts w:ascii="Franklin Gothic Book" w:hAnsi="Franklin Gothic Book"/>
          <w:sz w:val="21"/>
        </w:rPr>
        <w:t xml:space="preserve">help </w:t>
      </w:r>
      <w:r w:rsidRPr="00AC5D82">
        <w:rPr>
          <w:rFonts w:ascii="Franklin Gothic Book" w:hAnsi="Franklin Gothic Book"/>
          <w:sz w:val="21"/>
        </w:rPr>
        <w:t xml:space="preserve">mitigate typhoon damage </w:t>
      </w:r>
      <w:r w:rsidR="001D320E">
        <w:rPr>
          <w:rFonts w:ascii="Franklin Gothic Book" w:hAnsi="Franklin Gothic Book"/>
          <w:sz w:val="21"/>
          <w:szCs w:val="21"/>
        </w:rPr>
        <w:t>costing</w:t>
      </w:r>
      <w:r w:rsidRPr="00AC5D82">
        <w:rPr>
          <w:rFonts w:ascii="Franklin Gothic Book" w:hAnsi="Franklin Gothic Book"/>
          <w:sz w:val="21"/>
          <w:szCs w:val="21"/>
        </w:rPr>
        <w:t xml:space="preserve"> </w:t>
      </w:r>
      <w:r>
        <w:rPr>
          <w:rFonts w:ascii="Franklin Gothic Book" w:hAnsi="Franklin Gothic Book"/>
          <w:sz w:val="21"/>
          <w:szCs w:val="21"/>
        </w:rPr>
        <w:t xml:space="preserve">Vietnam around </w:t>
      </w:r>
      <w:r w:rsidRPr="00AC5D82">
        <w:rPr>
          <w:rFonts w:ascii="Franklin Gothic Book" w:hAnsi="Franklin Gothic Book"/>
          <w:sz w:val="21"/>
          <w:szCs w:val="21"/>
        </w:rPr>
        <w:t>1.5 per</w:t>
      </w:r>
      <w:r>
        <w:rPr>
          <w:rFonts w:ascii="Franklin Gothic Book" w:hAnsi="Franklin Gothic Book"/>
          <w:sz w:val="21"/>
          <w:szCs w:val="21"/>
        </w:rPr>
        <w:t xml:space="preserve"> </w:t>
      </w:r>
      <w:r w:rsidRPr="00AC5D82">
        <w:rPr>
          <w:rFonts w:ascii="Franklin Gothic Book" w:hAnsi="Franklin Gothic Book"/>
          <w:sz w:val="21"/>
          <w:szCs w:val="21"/>
        </w:rPr>
        <w:t xml:space="preserve">cent of GDP </w:t>
      </w:r>
      <w:r w:rsidR="001D320E">
        <w:rPr>
          <w:rFonts w:ascii="Franklin Gothic Book" w:hAnsi="Franklin Gothic Book"/>
          <w:sz w:val="21"/>
          <w:szCs w:val="21"/>
        </w:rPr>
        <w:t>per</w:t>
      </w:r>
      <w:r>
        <w:rPr>
          <w:rFonts w:ascii="Franklin Gothic Book" w:hAnsi="Franklin Gothic Book"/>
          <w:sz w:val="21"/>
          <w:szCs w:val="21"/>
        </w:rPr>
        <w:t xml:space="preserve"> </w:t>
      </w:r>
      <w:r w:rsidRPr="00AC5D82">
        <w:rPr>
          <w:rFonts w:ascii="Franklin Gothic Book" w:hAnsi="Franklin Gothic Book"/>
          <w:sz w:val="21"/>
          <w:szCs w:val="21"/>
        </w:rPr>
        <w:t xml:space="preserve">year. </w:t>
      </w:r>
      <w:r w:rsidRPr="00AC5D82">
        <w:rPr>
          <w:rFonts w:ascii="Franklin Gothic Book" w:hAnsi="Franklin Gothic Book"/>
          <w:sz w:val="21"/>
        </w:rPr>
        <w:t xml:space="preserve">Political commitment </w:t>
      </w:r>
      <w:r>
        <w:rPr>
          <w:rFonts w:ascii="Franklin Gothic Book" w:hAnsi="Franklin Gothic Book"/>
          <w:sz w:val="21"/>
        </w:rPr>
        <w:t>was</w:t>
      </w:r>
      <w:r w:rsidRPr="00AC5D82">
        <w:rPr>
          <w:rFonts w:ascii="Franklin Gothic Book" w:hAnsi="Franklin Gothic Book"/>
          <w:sz w:val="21"/>
        </w:rPr>
        <w:t xml:space="preserve"> reinforced by </w:t>
      </w:r>
      <w:r>
        <w:rPr>
          <w:rFonts w:ascii="Franklin Gothic Book" w:hAnsi="Franklin Gothic Book"/>
          <w:sz w:val="21"/>
          <w:szCs w:val="21"/>
        </w:rPr>
        <w:t xml:space="preserve">Communist Party </w:t>
      </w:r>
      <w:r w:rsidRPr="00AC5D82">
        <w:rPr>
          <w:rFonts w:ascii="Franklin Gothic Book" w:hAnsi="Franklin Gothic Book"/>
          <w:sz w:val="21"/>
          <w:szCs w:val="21"/>
        </w:rPr>
        <w:t>Resolution 24</w:t>
      </w:r>
      <w:r w:rsidRPr="00AC5D82">
        <w:rPr>
          <w:rFonts w:ascii="Franklin Gothic Book" w:hAnsi="Franklin Gothic Book"/>
          <w:position w:val="6"/>
          <w:sz w:val="12"/>
          <w:szCs w:val="12"/>
        </w:rPr>
        <w:footnoteReference w:id="10"/>
      </w:r>
      <w:r w:rsidRPr="00AC5D82">
        <w:rPr>
          <w:rFonts w:ascii="Franklin Gothic Book" w:hAnsi="Franklin Gothic Book"/>
          <w:sz w:val="21"/>
          <w:szCs w:val="21"/>
        </w:rPr>
        <w:t xml:space="preserve"> </w:t>
      </w:r>
      <w:r w:rsidR="001D320E">
        <w:rPr>
          <w:rFonts w:ascii="Franklin Gothic Book" w:hAnsi="Franklin Gothic Book"/>
          <w:sz w:val="21"/>
          <w:szCs w:val="21"/>
        </w:rPr>
        <w:t>in</w:t>
      </w:r>
      <w:r w:rsidRPr="00AC5D82">
        <w:rPr>
          <w:rFonts w:ascii="Franklin Gothic Book" w:hAnsi="Franklin Gothic Book"/>
          <w:sz w:val="21"/>
          <w:szCs w:val="21"/>
        </w:rPr>
        <w:t xml:space="preserve"> June 2013, </w:t>
      </w:r>
      <w:r>
        <w:rPr>
          <w:rFonts w:ascii="Franklin Gothic Book" w:hAnsi="Franklin Gothic Book"/>
          <w:sz w:val="21"/>
          <w:szCs w:val="21"/>
        </w:rPr>
        <w:t>but lack of</w:t>
      </w:r>
      <w:r w:rsidR="001D320E">
        <w:rPr>
          <w:rFonts w:ascii="Franklin Gothic Book" w:hAnsi="Franklin Gothic Book"/>
          <w:sz w:val="21"/>
          <w:szCs w:val="21"/>
        </w:rPr>
        <w:t xml:space="preserve"> skills and budget at province</w:t>
      </w:r>
      <w:r>
        <w:rPr>
          <w:rFonts w:ascii="Franklin Gothic Book" w:hAnsi="Franklin Gothic Book"/>
          <w:sz w:val="21"/>
          <w:szCs w:val="21"/>
        </w:rPr>
        <w:t xml:space="preserve"> level means </w:t>
      </w:r>
      <w:r w:rsidRPr="00AC5D82">
        <w:rPr>
          <w:rFonts w:ascii="Franklin Gothic Book" w:hAnsi="Franklin Gothic Book"/>
          <w:sz w:val="21"/>
          <w:szCs w:val="21"/>
        </w:rPr>
        <w:t xml:space="preserve">on-ground implementation of national plans </w:t>
      </w:r>
      <w:r w:rsidR="001D320E">
        <w:rPr>
          <w:rFonts w:ascii="Franklin Gothic Book" w:hAnsi="Franklin Gothic Book"/>
          <w:sz w:val="21"/>
          <w:szCs w:val="21"/>
        </w:rPr>
        <w:t>remains challenging</w:t>
      </w:r>
      <w:r w:rsidRPr="00AC5D82">
        <w:rPr>
          <w:rFonts w:ascii="Franklin Gothic Book" w:hAnsi="Franklin Gothic Book"/>
          <w:sz w:val="21"/>
          <w:szCs w:val="21"/>
        </w:rPr>
        <w:t>.</w:t>
      </w:r>
      <w:r>
        <w:rPr>
          <w:rFonts w:ascii="Franklin Gothic Book" w:hAnsi="Franklin Gothic Book"/>
          <w:sz w:val="21"/>
          <w:szCs w:val="21"/>
        </w:rPr>
        <w:t xml:space="preserve"> </w:t>
      </w:r>
      <w:r w:rsidRPr="00AC5D82">
        <w:rPr>
          <w:rFonts w:ascii="Franklin Gothic Book" w:hAnsi="Franklin Gothic Book"/>
          <w:sz w:val="21"/>
          <w:szCs w:val="21"/>
        </w:rPr>
        <w:t xml:space="preserve"> </w:t>
      </w:r>
    </w:p>
    <w:p w:rsidR="00137EC6" w:rsidRPr="00837906" w:rsidRDefault="00137EC6" w:rsidP="00137EC6">
      <w:pPr>
        <w:keepNext/>
        <w:spacing w:after="120" w:line="280" w:lineRule="atLeast"/>
        <w:rPr>
          <w:rFonts w:ascii="Franklin Gothic Book" w:hAnsi="Franklin Gothic Book"/>
          <w:i/>
          <w:sz w:val="21"/>
          <w:szCs w:val="21"/>
        </w:rPr>
      </w:pPr>
      <w:r>
        <w:rPr>
          <w:rFonts w:ascii="Franklin Gothic Book" w:hAnsi="Franklin Gothic Book"/>
          <w:i/>
          <w:color w:val="000000" w:themeColor="text1"/>
          <w:sz w:val="21"/>
          <w:szCs w:val="21"/>
        </w:rPr>
        <w:t>B</w:t>
      </w:r>
      <w:r w:rsidRPr="00837906">
        <w:rPr>
          <w:rFonts w:ascii="Franklin Gothic Book" w:hAnsi="Franklin Gothic Book"/>
          <w:i/>
          <w:color w:val="000000" w:themeColor="text1"/>
          <w:sz w:val="21"/>
          <w:szCs w:val="21"/>
        </w:rPr>
        <w:t>uilding community resilience in the Mekong Delta</w:t>
      </w:r>
      <w:r>
        <w:rPr>
          <w:rFonts w:ascii="Franklin Gothic Book" w:hAnsi="Franklin Gothic Book"/>
          <w:i/>
          <w:color w:val="000000" w:themeColor="text1"/>
          <w:sz w:val="21"/>
          <w:szCs w:val="21"/>
        </w:rPr>
        <w:t xml:space="preserve"> </w:t>
      </w:r>
    </w:p>
    <w:p w:rsidR="00137EC6" w:rsidRDefault="00137EC6" w:rsidP="00137EC6">
      <w:pPr>
        <w:spacing w:after="120" w:line="280" w:lineRule="atLeast"/>
        <w:rPr>
          <w:rFonts w:ascii="Franklin Gothic Book" w:hAnsi="Franklin Gothic Book"/>
          <w:sz w:val="21"/>
          <w:szCs w:val="21"/>
        </w:rPr>
      </w:pPr>
      <w:r>
        <w:rPr>
          <w:rFonts w:ascii="Franklin Gothic Book" w:hAnsi="Franklin Gothic Book"/>
          <w:sz w:val="21"/>
          <w:szCs w:val="21"/>
        </w:rPr>
        <w:t>During</w:t>
      </w:r>
      <w:r w:rsidRPr="00047841">
        <w:rPr>
          <w:rFonts w:ascii="Franklin Gothic Book" w:hAnsi="Franklin Gothic Book"/>
          <w:sz w:val="21"/>
          <w:szCs w:val="21"/>
        </w:rPr>
        <w:t xml:space="preserve"> 2013-14</w:t>
      </w:r>
      <w:r>
        <w:rPr>
          <w:rFonts w:ascii="Franklin Gothic Book" w:hAnsi="Franklin Gothic Book"/>
          <w:sz w:val="21"/>
          <w:szCs w:val="21"/>
        </w:rPr>
        <w:t xml:space="preserve">, </w:t>
      </w:r>
      <w:r w:rsidRPr="00A902C6">
        <w:rPr>
          <w:rFonts w:ascii="Franklin Gothic Book" w:hAnsi="Franklin Gothic Book"/>
          <w:sz w:val="21"/>
          <w:szCs w:val="21"/>
        </w:rPr>
        <w:t>our six NGO</w:t>
      </w:r>
      <w:r w:rsidRPr="00047841">
        <w:rPr>
          <w:rFonts w:ascii="Franklin Gothic Book" w:hAnsi="Franklin Gothic Book"/>
          <w:sz w:val="21"/>
          <w:szCs w:val="21"/>
        </w:rPr>
        <w:t xml:space="preserve"> partners</w:t>
      </w:r>
      <w:r w:rsidRPr="00047841">
        <w:rPr>
          <w:rStyle w:val="FootnoteReference"/>
          <w:rFonts w:ascii="Franklin Gothic Book" w:hAnsi="Franklin Gothic Book"/>
        </w:rPr>
        <w:footnoteReference w:id="11"/>
      </w:r>
      <w:r w:rsidRPr="00047841">
        <w:rPr>
          <w:rFonts w:ascii="Franklin Gothic Book" w:hAnsi="Franklin Gothic Book"/>
          <w:sz w:val="21"/>
          <w:szCs w:val="21"/>
        </w:rPr>
        <w:t xml:space="preserve"> built </w:t>
      </w:r>
      <w:r>
        <w:rPr>
          <w:rFonts w:ascii="Franklin Gothic Book" w:hAnsi="Franklin Gothic Book"/>
          <w:sz w:val="21"/>
          <w:szCs w:val="21"/>
        </w:rPr>
        <w:t>the resilience</w:t>
      </w:r>
      <w:r w:rsidRPr="00047841">
        <w:rPr>
          <w:rFonts w:ascii="Franklin Gothic Book" w:hAnsi="Franklin Gothic Book"/>
          <w:sz w:val="21"/>
          <w:szCs w:val="21"/>
        </w:rPr>
        <w:t xml:space="preserve"> of over 115 000 people (including 32</w:t>
      </w:r>
      <w:r>
        <w:rPr>
          <w:rFonts w:ascii="Franklin Gothic Book" w:hAnsi="Franklin Gothic Book"/>
          <w:sz w:val="21"/>
          <w:szCs w:val="21"/>
        </w:rPr>
        <w:t> </w:t>
      </w:r>
      <w:r w:rsidRPr="00047841">
        <w:rPr>
          <w:rFonts w:ascii="Franklin Gothic Book" w:hAnsi="Franklin Gothic Book"/>
          <w:sz w:val="21"/>
          <w:szCs w:val="21"/>
        </w:rPr>
        <w:t>000 children and 52</w:t>
      </w:r>
      <w:r>
        <w:rPr>
          <w:rFonts w:ascii="Franklin Gothic Book" w:hAnsi="Franklin Gothic Book"/>
          <w:sz w:val="21"/>
          <w:szCs w:val="21"/>
        </w:rPr>
        <w:t> </w:t>
      </w:r>
      <w:r w:rsidRPr="00047841">
        <w:rPr>
          <w:rFonts w:ascii="Franklin Gothic Book" w:hAnsi="Franklin Gothic Book"/>
          <w:sz w:val="21"/>
          <w:szCs w:val="21"/>
        </w:rPr>
        <w:t xml:space="preserve">000 women) to </w:t>
      </w:r>
      <w:r>
        <w:rPr>
          <w:rFonts w:ascii="Franklin Gothic Book" w:hAnsi="Franklin Gothic Book"/>
          <w:sz w:val="21"/>
          <w:szCs w:val="21"/>
        </w:rPr>
        <w:t>the impacts of</w:t>
      </w:r>
      <w:r w:rsidRPr="00047841">
        <w:rPr>
          <w:rFonts w:ascii="Franklin Gothic Book" w:hAnsi="Franklin Gothic Book"/>
          <w:sz w:val="21"/>
          <w:szCs w:val="21"/>
        </w:rPr>
        <w:t xml:space="preserve"> climate change and natural disaster</w:t>
      </w:r>
      <w:r>
        <w:rPr>
          <w:rFonts w:ascii="Franklin Gothic Book" w:hAnsi="Franklin Gothic Book"/>
          <w:sz w:val="21"/>
          <w:szCs w:val="21"/>
        </w:rPr>
        <w:t>s, through</w:t>
      </w:r>
      <w:r>
        <w:rPr>
          <w:rFonts w:ascii="Franklin Gothic Book" w:hAnsi="Franklin Gothic Book"/>
          <w:color w:val="000000" w:themeColor="text1"/>
          <w:sz w:val="21"/>
          <w:szCs w:val="21"/>
        </w:rPr>
        <w:t xml:space="preserve"> adaptive</w:t>
      </w:r>
      <w:r w:rsidRPr="00047841">
        <w:rPr>
          <w:rFonts w:ascii="Franklin Gothic Book" w:hAnsi="Franklin Gothic Book"/>
          <w:color w:val="000000" w:themeColor="text1"/>
          <w:sz w:val="21"/>
          <w:szCs w:val="21"/>
        </w:rPr>
        <w:t xml:space="preserve"> farming methods</w:t>
      </w:r>
      <w:r>
        <w:rPr>
          <w:rFonts w:ascii="Franklin Gothic Book" w:hAnsi="Franklin Gothic Book"/>
          <w:color w:val="000000" w:themeColor="text1"/>
          <w:sz w:val="21"/>
          <w:szCs w:val="21"/>
        </w:rPr>
        <w:t xml:space="preserve"> and</w:t>
      </w:r>
      <w:r w:rsidRPr="00047841">
        <w:rPr>
          <w:rFonts w:ascii="Franklin Gothic Book" w:hAnsi="Franklin Gothic Book"/>
          <w:color w:val="000000" w:themeColor="text1"/>
          <w:sz w:val="21"/>
          <w:szCs w:val="21"/>
        </w:rPr>
        <w:t xml:space="preserve"> disaster management</w:t>
      </w:r>
      <w:r w:rsidRPr="00047841">
        <w:rPr>
          <w:rFonts w:ascii="Franklin Gothic Book" w:hAnsi="Franklin Gothic Book"/>
          <w:sz w:val="21"/>
          <w:szCs w:val="21"/>
        </w:rPr>
        <w:t>.</w:t>
      </w:r>
      <w:r w:rsidRPr="0032501C">
        <w:rPr>
          <w:rFonts w:ascii="Franklin Gothic Book" w:hAnsi="Franklin Gothic Book"/>
          <w:sz w:val="21"/>
          <w:szCs w:val="21"/>
        </w:rPr>
        <w:t xml:space="preserve"> </w:t>
      </w:r>
      <w:r>
        <w:rPr>
          <w:rFonts w:ascii="Franklin Gothic Book" w:hAnsi="Franklin Gothic Book"/>
          <w:sz w:val="21"/>
          <w:szCs w:val="21"/>
        </w:rPr>
        <w:t>This</w:t>
      </w:r>
      <w:r w:rsidRPr="0032501C">
        <w:rPr>
          <w:rFonts w:ascii="Franklin Gothic Book" w:hAnsi="Franklin Gothic Book"/>
          <w:sz w:val="21"/>
          <w:szCs w:val="21"/>
        </w:rPr>
        <w:t xml:space="preserve"> </w:t>
      </w:r>
      <w:r>
        <w:rPr>
          <w:rFonts w:ascii="Franklin Gothic Book" w:hAnsi="Franklin Gothic Book"/>
          <w:sz w:val="21"/>
          <w:szCs w:val="21"/>
        </w:rPr>
        <w:t xml:space="preserve">is </w:t>
      </w:r>
      <w:r w:rsidRPr="0032501C">
        <w:rPr>
          <w:rFonts w:ascii="Franklin Gothic Book" w:hAnsi="Franklin Gothic Book"/>
          <w:sz w:val="21"/>
          <w:szCs w:val="21"/>
        </w:rPr>
        <w:t>substantial progress towards a target of 247</w:t>
      </w:r>
      <w:r>
        <w:rPr>
          <w:rFonts w:ascii="Franklin Gothic Book" w:hAnsi="Franklin Gothic Book"/>
          <w:sz w:val="21"/>
          <w:szCs w:val="21"/>
        </w:rPr>
        <w:t> </w:t>
      </w:r>
      <w:r w:rsidRPr="0032501C">
        <w:rPr>
          <w:rFonts w:ascii="Franklin Gothic Book" w:hAnsi="Franklin Gothic Book"/>
          <w:sz w:val="21"/>
          <w:szCs w:val="21"/>
        </w:rPr>
        <w:t>000 beneficiaries</w:t>
      </w:r>
      <w:r w:rsidRPr="00AC5D82">
        <w:rPr>
          <w:rFonts w:ascii="Franklin Gothic Book" w:hAnsi="Franklin Gothic Book"/>
          <w:position w:val="6"/>
          <w:sz w:val="16"/>
          <w:szCs w:val="16"/>
        </w:rPr>
        <w:footnoteReference w:id="12"/>
      </w:r>
      <w:r w:rsidRPr="00AC5D82">
        <w:rPr>
          <w:rFonts w:ascii="Franklin Gothic Book" w:hAnsi="Franklin Gothic Book"/>
          <w:sz w:val="21"/>
          <w:szCs w:val="21"/>
        </w:rPr>
        <w:t xml:space="preserve">. </w:t>
      </w:r>
      <w:r>
        <w:rPr>
          <w:rFonts w:ascii="Franklin Gothic Book" w:hAnsi="Franklin Gothic Book"/>
          <w:sz w:val="21"/>
          <w:szCs w:val="21"/>
        </w:rPr>
        <w:t xml:space="preserve">Following recommendations from an </w:t>
      </w:r>
      <w:r w:rsidRPr="00AC5D82">
        <w:rPr>
          <w:rFonts w:ascii="Franklin Gothic Book" w:hAnsi="Franklin Gothic Book"/>
          <w:sz w:val="21"/>
          <w:szCs w:val="21"/>
        </w:rPr>
        <w:t>independent review</w:t>
      </w:r>
      <w:r>
        <w:rPr>
          <w:rFonts w:ascii="Franklin Gothic Book" w:hAnsi="Franklin Gothic Book"/>
          <w:sz w:val="21"/>
          <w:szCs w:val="21"/>
        </w:rPr>
        <w:t>, n</w:t>
      </w:r>
      <w:r w:rsidRPr="00AC5D82">
        <w:rPr>
          <w:rFonts w:ascii="Franklin Gothic Book" w:hAnsi="Franklin Gothic Book"/>
          <w:sz w:val="21"/>
          <w:szCs w:val="21"/>
        </w:rPr>
        <w:t>o</w:t>
      </w:r>
      <w:r>
        <w:rPr>
          <w:rFonts w:ascii="Franklin Gothic Book" w:hAnsi="Franklin Gothic Book"/>
          <w:sz w:val="21"/>
          <w:szCs w:val="21"/>
        </w:rPr>
        <w:t>-</w:t>
      </w:r>
      <w:r w:rsidRPr="00AC5D82">
        <w:rPr>
          <w:rFonts w:ascii="Franklin Gothic Book" w:hAnsi="Franklin Gothic Book"/>
          <w:sz w:val="21"/>
          <w:szCs w:val="21"/>
        </w:rPr>
        <w:t xml:space="preserve">cost extensions </w:t>
      </w:r>
      <w:r>
        <w:rPr>
          <w:rFonts w:ascii="Franklin Gothic Book" w:hAnsi="Franklin Gothic Book"/>
          <w:sz w:val="21"/>
          <w:szCs w:val="21"/>
        </w:rPr>
        <w:t xml:space="preserve">to June 2015 </w:t>
      </w:r>
      <w:r w:rsidRPr="00AC5D82">
        <w:rPr>
          <w:rFonts w:ascii="Franklin Gothic Book" w:hAnsi="Franklin Gothic Book"/>
          <w:sz w:val="21"/>
          <w:szCs w:val="21"/>
        </w:rPr>
        <w:t xml:space="preserve">were approved to maximise potential for building sustainable livelihoods in poor communities. </w:t>
      </w:r>
    </w:p>
    <w:p w:rsidR="00137EC6" w:rsidRPr="00AC5D82" w:rsidRDefault="00137EC6" w:rsidP="00137EC6">
      <w:pPr>
        <w:spacing w:after="120" w:line="280" w:lineRule="atLeast"/>
        <w:rPr>
          <w:rFonts w:ascii="Franklin Gothic Book" w:hAnsi="Franklin Gothic Book"/>
          <w:sz w:val="21"/>
          <w:szCs w:val="21"/>
        </w:rPr>
      </w:pPr>
      <w:r w:rsidRPr="00AC5D82">
        <w:rPr>
          <w:rFonts w:ascii="Franklin Gothic Book" w:hAnsi="Franklin Gothic Book"/>
          <w:sz w:val="21"/>
          <w:szCs w:val="21"/>
        </w:rPr>
        <w:t>In</w:t>
      </w:r>
      <w:r>
        <w:rPr>
          <w:rFonts w:ascii="Franklin Gothic Book" w:hAnsi="Franklin Gothic Book"/>
          <w:sz w:val="21"/>
          <w:szCs w:val="21"/>
        </w:rPr>
        <w:t xml:space="preserve"> 2013-14</w:t>
      </w:r>
      <w:r w:rsidRPr="00AC5D82">
        <w:rPr>
          <w:rFonts w:ascii="Franklin Gothic Book" w:hAnsi="Franklin Gothic Book"/>
          <w:sz w:val="21"/>
          <w:szCs w:val="21"/>
        </w:rPr>
        <w:t xml:space="preserve">, </w:t>
      </w:r>
      <w:r>
        <w:rPr>
          <w:rFonts w:ascii="Franklin Gothic Book" w:hAnsi="Franklin Gothic Book"/>
          <w:sz w:val="21"/>
          <w:szCs w:val="21"/>
        </w:rPr>
        <w:t>our</w:t>
      </w:r>
      <w:r w:rsidRPr="00AC5D82">
        <w:rPr>
          <w:rFonts w:ascii="Franklin Gothic Book" w:hAnsi="Franklin Gothic Book"/>
          <w:sz w:val="21"/>
          <w:szCs w:val="21"/>
        </w:rPr>
        <w:t xml:space="preserve"> Integrated Coastal Management Program</w:t>
      </w:r>
      <w:r>
        <w:rPr>
          <w:rFonts w:ascii="Franklin Gothic Book" w:hAnsi="Franklin Gothic Book"/>
          <w:sz w:val="21"/>
          <w:szCs w:val="21"/>
        </w:rPr>
        <w:t xml:space="preserve"> (ICMP)</w:t>
      </w:r>
      <w:r>
        <w:rPr>
          <w:rStyle w:val="FootnoteReference"/>
        </w:rPr>
        <w:footnoteReference w:id="13"/>
      </w:r>
      <w:r w:rsidRPr="00AC5D82">
        <w:rPr>
          <w:rFonts w:ascii="Franklin Gothic Book" w:hAnsi="Franklin Gothic Book"/>
          <w:sz w:val="21"/>
          <w:szCs w:val="21"/>
        </w:rPr>
        <w:t xml:space="preserve"> </w:t>
      </w:r>
      <w:r>
        <w:rPr>
          <w:rFonts w:ascii="Franklin Gothic Book" w:hAnsi="Franklin Gothic Book"/>
          <w:sz w:val="21"/>
          <w:szCs w:val="21"/>
        </w:rPr>
        <w:t xml:space="preserve">in </w:t>
      </w:r>
      <w:r w:rsidRPr="00AC5D82">
        <w:rPr>
          <w:rFonts w:ascii="Franklin Gothic Book" w:hAnsi="Franklin Gothic Book"/>
          <w:sz w:val="21"/>
          <w:szCs w:val="21"/>
        </w:rPr>
        <w:t xml:space="preserve">partnership with </w:t>
      </w:r>
      <w:r>
        <w:rPr>
          <w:rFonts w:ascii="Franklin Gothic Book" w:hAnsi="Franklin Gothic Book"/>
          <w:sz w:val="21"/>
          <w:szCs w:val="21"/>
        </w:rPr>
        <w:t>GIZ</w:t>
      </w:r>
      <w:r w:rsidRPr="00AC5D82" w:rsidDel="00835046">
        <w:rPr>
          <w:rFonts w:ascii="Franklin Gothic Book" w:hAnsi="Franklin Gothic Book"/>
          <w:sz w:val="21"/>
          <w:szCs w:val="21"/>
        </w:rPr>
        <w:t xml:space="preserve"> </w:t>
      </w:r>
      <w:r>
        <w:rPr>
          <w:rFonts w:ascii="Franklin Gothic Book" w:hAnsi="Franklin Gothic Book"/>
          <w:sz w:val="21"/>
          <w:szCs w:val="21"/>
        </w:rPr>
        <w:t>constructed</w:t>
      </w:r>
      <w:r w:rsidRPr="00AC5D82">
        <w:rPr>
          <w:rFonts w:ascii="Franklin Gothic Book" w:hAnsi="Franklin Gothic Book"/>
          <w:sz w:val="21"/>
          <w:szCs w:val="21"/>
        </w:rPr>
        <w:t xml:space="preserve"> 10.85</w:t>
      </w:r>
      <w:r>
        <w:rPr>
          <w:rFonts w:ascii="Franklin Gothic Book" w:hAnsi="Franklin Gothic Book"/>
          <w:sz w:val="21"/>
          <w:szCs w:val="21"/>
        </w:rPr>
        <w:t> kilometres</w:t>
      </w:r>
      <w:r w:rsidRPr="00AC5D82">
        <w:rPr>
          <w:rFonts w:ascii="Franklin Gothic Book" w:hAnsi="Franklin Gothic Book"/>
          <w:sz w:val="21"/>
          <w:szCs w:val="21"/>
        </w:rPr>
        <w:t xml:space="preserve"> of cost</w:t>
      </w:r>
      <w:r>
        <w:rPr>
          <w:rFonts w:ascii="Franklin Gothic Book" w:hAnsi="Franklin Gothic Book"/>
          <w:sz w:val="21"/>
          <w:szCs w:val="21"/>
        </w:rPr>
        <w:t>-</w:t>
      </w:r>
      <w:r w:rsidRPr="00AC5D82">
        <w:rPr>
          <w:rFonts w:ascii="Franklin Gothic Book" w:hAnsi="Franklin Gothic Book"/>
          <w:sz w:val="21"/>
          <w:szCs w:val="21"/>
        </w:rPr>
        <w:t>effective dyke protection and mangrove rehabilitation structures, trained over 11</w:t>
      </w:r>
      <w:r>
        <w:rPr>
          <w:rFonts w:ascii="Franklin Gothic Book" w:hAnsi="Franklin Gothic Book"/>
          <w:sz w:val="21"/>
          <w:szCs w:val="21"/>
        </w:rPr>
        <w:t> </w:t>
      </w:r>
      <w:r w:rsidRPr="00AC5D82">
        <w:rPr>
          <w:rFonts w:ascii="Franklin Gothic Book" w:hAnsi="Franklin Gothic Book"/>
          <w:sz w:val="21"/>
          <w:szCs w:val="21"/>
        </w:rPr>
        <w:t>000 teachers in environmental education</w:t>
      </w:r>
      <w:r>
        <w:rPr>
          <w:rFonts w:ascii="Franklin Gothic Book" w:hAnsi="Franklin Gothic Book"/>
          <w:sz w:val="21"/>
          <w:szCs w:val="21"/>
        </w:rPr>
        <w:t>,</w:t>
      </w:r>
      <w:r w:rsidRPr="00AC5D82">
        <w:rPr>
          <w:rFonts w:ascii="Franklin Gothic Book" w:hAnsi="Franklin Gothic Book"/>
          <w:sz w:val="21"/>
          <w:szCs w:val="21"/>
        </w:rPr>
        <w:t xml:space="preserve"> and strengthened women’s groups </w:t>
      </w:r>
      <w:r>
        <w:rPr>
          <w:rFonts w:ascii="Franklin Gothic Book" w:hAnsi="Franklin Gothic Book"/>
          <w:sz w:val="21"/>
          <w:szCs w:val="21"/>
        </w:rPr>
        <w:t>by</w:t>
      </w:r>
      <w:r w:rsidRPr="00AC5D82">
        <w:rPr>
          <w:rFonts w:ascii="Franklin Gothic Book" w:hAnsi="Franklin Gothic Book"/>
          <w:sz w:val="21"/>
          <w:szCs w:val="21"/>
        </w:rPr>
        <w:t xml:space="preserve"> introduc</w:t>
      </w:r>
      <w:r>
        <w:rPr>
          <w:rFonts w:ascii="Franklin Gothic Book" w:hAnsi="Franklin Gothic Book"/>
          <w:sz w:val="21"/>
          <w:szCs w:val="21"/>
        </w:rPr>
        <w:t>ing</w:t>
      </w:r>
      <w:r w:rsidRPr="00AC5D82">
        <w:rPr>
          <w:rFonts w:ascii="Franklin Gothic Book" w:hAnsi="Franklin Gothic Book"/>
          <w:sz w:val="21"/>
          <w:szCs w:val="21"/>
        </w:rPr>
        <w:t xml:space="preserve"> income-generating measures </w:t>
      </w:r>
      <w:r>
        <w:rPr>
          <w:rFonts w:ascii="Franklin Gothic Book" w:hAnsi="Franklin Gothic Book"/>
          <w:sz w:val="21"/>
          <w:szCs w:val="21"/>
        </w:rPr>
        <w:t>such as</w:t>
      </w:r>
      <w:r>
        <w:rPr>
          <w:rFonts w:ascii="Franklin Gothic Book" w:hAnsi="Franklin Gothic Book" w:cs="Arial"/>
          <w:sz w:val="21"/>
          <w:szCs w:val="21"/>
        </w:rPr>
        <w:t xml:space="preserve"> </w:t>
      </w:r>
      <w:r w:rsidRPr="00AC5D82">
        <w:rPr>
          <w:rFonts w:ascii="Franklin Gothic Book" w:hAnsi="Franklin Gothic Book" w:cs="Arial"/>
          <w:sz w:val="21"/>
          <w:szCs w:val="21"/>
        </w:rPr>
        <w:t xml:space="preserve">culturing </w:t>
      </w:r>
      <w:r>
        <w:rPr>
          <w:rFonts w:ascii="Franklin Gothic Book" w:hAnsi="Franklin Gothic Book" w:cs="Arial"/>
          <w:sz w:val="21"/>
          <w:szCs w:val="21"/>
        </w:rPr>
        <w:t>s</w:t>
      </w:r>
      <w:r w:rsidRPr="00AC5D82">
        <w:rPr>
          <w:rFonts w:ascii="Franklin Gothic Book" w:hAnsi="Franklin Gothic Book" w:cs="Arial"/>
          <w:sz w:val="21"/>
          <w:szCs w:val="21"/>
        </w:rPr>
        <w:t>ea</w:t>
      </w:r>
      <w:r>
        <w:rPr>
          <w:rFonts w:ascii="Franklin Gothic Book" w:hAnsi="Franklin Gothic Book" w:cs="Arial"/>
          <w:sz w:val="21"/>
          <w:szCs w:val="21"/>
        </w:rPr>
        <w:t xml:space="preserve"> </w:t>
      </w:r>
      <w:r w:rsidRPr="00AC5D82">
        <w:rPr>
          <w:rFonts w:ascii="Franklin Gothic Book" w:hAnsi="Franklin Gothic Book" w:cs="Arial"/>
          <w:sz w:val="21"/>
          <w:szCs w:val="21"/>
        </w:rPr>
        <w:t>bass</w:t>
      </w:r>
      <w:r w:rsidRPr="00AC5D82">
        <w:rPr>
          <w:rFonts w:ascii="Franklin Gothic Book" w:hAnsi="Franklin Gothic Book"/>
          <w:sz w:val="21"/>
          <w:szCs w:val="21"/>
        </w:rPr>
        <w:t xml:space="preserve">. </w:t>
      </w:r>
    </w:p>
    <w:p w:rsidR="00137EC6" w:rsidRPr="00047841" w:rsidRDefault="00137EC6" w:rsidP="00137EC6">
      <w:pPr>
        <w:spacing w:after="120" w:line="280" w:lineRule="atLeast"/>
        <w:rPr>
          <w:rFonts w:ascii="Franklin Gothic Book" w:hAnsi="Franklin Gothic Book"/>
          <w:sz w:val="21"/>
          <w:szCs w:val="21"/>
        </w:rPr>
      </w:pPr>
      <w:r w:rsidRPr="00047841">
        <w:rPr>
          <w:rFonts w:ascii="Franklin Gothic Book" w:hAnsi="Franklin Gothic Book"/>
          <w:sz w:val="21"/>
          <w:szCs w:val="21"/>
        </w:rPr>
        <w:t xml:space="preserve">Mobilisation of community-based disaster risk management in 63 vulnerable communes has been delayed to the </w:t>
      </w:r>
      <w:r>
        <w:rPr>
          <w:rFonts w:ascii="Franklin Gothic Book" w:hAnsi="Franklin Gothic Book"/>
          <w:sz w:val="21"/>
          <w:szCs w:val="21"/>
        </w:rPr>
        <w:t>third</w:t>
      </w:r>
      <w:r w:rsidRPr="00047841">
        <w:rPr>
          <w:rFonts w:ascii="Franklin Gothic Book" w:hAnsi="Franklin Gothic Book"/>
          <w:sz w:val="21"/>
          <w:szCs w:val="21"/>
        </w:rPr>
        <w:t xml:space="preserve"> quarter of 2014. </w:t>
      </w:r>
      <w:r w:rsidRPr="00AC5D82">
        <w:rPr>
          <w:rFonts w:ascii="Franklin Gothic Book" w:hAnsi="Franklin Gothic Book"/>
          <w:sz w:val="21"/>
          <w:szCs w:val="21"/>
        </w:rPr>
        <w:t xml:space="preserve">Slow recruitment of </w:t>
      </w:r>
      <w:r>
        <w:rPr>
          <w:rFonts w:ascii="Franklin Gothic Book" w:hAnsi="Franklin Gothic Book"/>
          <w:sz w:val="21"/>
          <w:szCs w:val="21"/>
        </w:rPr>
        <w:t xml:space="preserve">implementation </w:t>
      </w:r>
      <w:r w:rsidRPr="00AC5D82">
        <w:rPr>
          <w:rFonts w:ascii="Franklin Gothic Book" w:hAnsi="Franklin Gothic Book"/>
          <w:sz w:val="21"/>
          <w:szCs w:val="21"/>
        </w:rPr>
        <w:t xml:space="preserve">consultants for ADB’s Flood and Drought Mitigation </w:t>
      </w:r>
      <w:r w:rsidR="00157A8E">
        <w:rPr>
          <w:rFonts w:ascii="Franklin Gothic Book" w:hAnsi="Franklin Gothic Book"/>
          <w:sz w:val="21"/>
          <w:szCs w:val="21"/>
        </w:rPr>
        <w:t>Project</w:t>
      </w:r>
      <w:r w:rsidRPr="00AC5D82">
        <w:rPr>
          <w:rFonts w:ascii="Franklin Gothic Book" w:hAnsi="Franklin Gothic Book"/>
          <w:sz w:val="21"/>
          <w:szCs w:val="21"/>
        </w:rPr>
        <w:t xml:space="preserve"> </w:t>
      </w:r>
      <w:r>
        <w:rPr>
          <w:rFonts w:ascii="Franklin Gothic Book" w:hAnsi="Franklin Gothic Book"/>
          <w:sz w:val="21"/>
          <w:szCs w:val="21"/>
        </w:rPr>
        <w:t xml:space="preserve">created </w:t>
      </w:r>
      <w:r w:rsidRPr="00A902C6">
        <w:rPr>
          <w:rFonts w:ascii="Franklin Gothic Book" w:hAnsi="Franklin Gothic Book"/>
          <w:sz w:val="21"/>
          <w:szCs w:val="21"/>
        </w:rPr>
        <w:t xml:space="preserve">challenges for </w:t>
      </w:r>
      <w:r>
        <w:rPr>
          <w:rFonts w:ascii="Franklin Gothic Book" w:hAnsi="Franklin Gothic Book"/>
          <w:sz w:val="21"/>
          <w:szCs w:val="21"/>
        </w:rPr>
        <w:t xml:space="preserve">activities </w:t>
      </w:r>
      <w:r w:rsidRPr="00A902C6">
        <w:rPr>
          <w:rFonts w:ascii="Franklin Gothic Book" w:hAnsi="Franklin Gothic Book"/>
          <w:sz w:val="21"/>
          <w:szCs w:val="21"/>
        </w:rPr>
        <w:t>which</w:t>
      </w:r>
      <w:r>
        <w:rPr>
          <w:rFonts w:ascii="Franklin Gothic Book" w:hAnsi="Franklin Gothic Book"/>
          <w:sz w:val="21"/>
          <w:szCs w:val="21"/>
        </w:rPr>
        <w:t xml:space="preserve"> require substantial </w:t>
      </w:r>
      <w:r w:rsidR="00157A8E">
        <w:rPr>
          <w:rFonts w:ascii="Franklin Gothic Book" w:hAnsi="Franklin Gothic Book"/>
          <w:sz w:val="21"/>
          <w:szCs w:val="21"/>
        </w:rPr>
        <w:t xml:space="preserve">technical </w:t>
      </w:r>
      <w:r>
        <w:rPr>
          <w:rFonts w:ascii="Franklin Gothic Book" w:hAnsi="Franklin Gothic Book"/>
          <w:sz w:val="21"/>
          <w:szCs w:val="21"/>
        </w:rPr>
        <w:t>expertise</w:t>
      </w:r>
      <w:r w:rsidRPr="00AC5D82">
        <w:rPr>
          <w:rFonts w:ascii="Franklin Gothic Book" w:hAnsi="Franklin Gothic Book"/>
          <w:sz w:val="21"/>
          <w:szCs w:val="21"/>
        </w:rPr>
        <w:t xml:space="preserve">. </w:t>
      </w:r>
      <w:r>
        <w:rPr>
          <w:rFonts w:ascii="Franklin Gothic Book" w:hAnsi="Franklin Gothic Book"/>
          <w:sz w:val="21"/>
          <w:szCs w:val="21"/>
        </w:rPr>
        <w:t xml:space="preserve">DFAT has provided </w:t>
      </w:r>
      <w:r w:rsidRPr="00AC5D82">
        <w:rPr>
          <w:rFonts w:ascii="Franklin Gothic Book" w:hAnsi="Franklin Gothic Book"/>
          <w:sz w:val="21"/>
          <w:szCs w:val="21"/>
        </w:rPr>
        <w:t xml:space="preserve">significant technical input </w:t>
      </w:r>
      <w:r>
        <w:rPr>
          <w:rFonts w:ascii="Franklin Gothic Book" w:hAnsi="Franklin Gothic Book"/>
          <w:sz w:val="21"/>
          <w:szCs w:val="21"/>
        </w:rPr>
        <w:t>and is closely monitoring progress</w:t>
      </w:r>
      <w:r w:rsidRPr="00AC5D82">
        <w:rPr>
          <w:rFonts w:ascii="Franklin Gothic Book" w:hAnsi="Franklin Gothic Book"/>
          <w:sz w:val="21"/>
          <w:szCs w:val="21"/>
        </w:rPr>
        <w:t xml:space="preserve">. </w:t>
      </w:r>
    </w:p>
    <w:p w:rsidR="00982B64" w:rsidRDefault="00982B64">
      <w:pPr>
        <w:spacing w:after="200" w:line="276" w:lineRule="auto"/>
        <w:rPr>
          <w:rFonts w:ascii="Franklin Gothic Book" w:hAnsi="Franklin Gothic Book"/>
          <w:i/>
          <w:color w:val="000000" w:themeColor="text1"/>
          <w:sz w:val="21"/>
          <w:szCs w:val="21"/>
        </w:rPr>
      </w:pPr>
      <w:r>
        <w:rPr>
          <w:rFonts w:ascii="Franklin Gothic Book" w:hAnsi="Franklin Gothic Book"/>
          <w:i/>
          <w:color w:val="000000" w:themeColor="text1"/>
          <w:sz w:val="21"/>
          <w:szCs w:val="21"/>
        </w:rPr>
        <w:br w:type="page"/>
      </w:r>
    </w:p>
    <w:p w:rsidR="00137EC6" w:rsidRPr="00BD18F7" w:rsidRDefault="00137EC6" w:rsidP="00137EC6">
      <w:pPr>
        <w:spacing w:after="120" w:line="280" w:lineRule="atLeast"/>
        <w:rPr>
          <w:rFonts w:ascii="Franklin Gothic Book" w:hAnsi="Franklin Gothic Book"/>
          <w:i/>
          <w:sz w:val="21"/>
          <w:szCs w:val="21"/>
        </w:rPr>
      </w:pPr>
      <w:r w:rsidRPr="00BD18F7">
        <w:rPr>
          <w:rFonts w:ascii="Franklin Gothic Book" w:hAnsi="Franklin Gothic Book"/>
          <w:i/>
          <w:color w:val="000000" w:themeColor="text1"/>
          <w:sz w:val="21"/>
          <w:szCs w:val="21"/>
        </w:rPr>
        <w:lastRenderedPageBreak/>
        <w:t>Promoting low carbon development within the energy, agricultural and industrial sectors</w:t>
      </w:r>
    </w:p>
    <w:p w:rsidR="00137EC6" w:rsidRPr="00AC5D82" w:rsidRDefault="00137EC6" w:rsidP="00137EC6">
      <w:pPr>
        <w:spacing w:after="120" w:line="280" w:lineRule="atLeast"/>
        <w:rPr>
          <w:rFonts w:ascii="Franklin Gothic Book" w:hAnsi="Franklin Gothic Book"/>
          <w:b/>
          <w:sz w:val="21"/>
          <w:szCs w:val="21"/>
        </w:rPr>
      </w:pPr>
      <w:r w:rsidRPr="00047841">
        <w:rPr>
          <w:rFonts w:ascii="Franklin Gothic Book" w:hAnsi="Franklin Gothic Book"/>
          <w:sz w:val="21"/>
          <w:szCs w:val="21"/>
        </w:rPr>
        <w:t xml:space="preserve">Australia </w:t>
      </w:r>
      <w:r w:rsidR="00157A8E">
        <w:rPr>
          <w:rFonts w:ascii="Franklin Gothic Book" w:hAnsi="Franklin Gothic Book"/>
          <w:sz w:val="21"/>
          <w:szCs w:val="21"/>
        </w:rPr>
        <w:t>mobilised</w:t>
      </w:r>
      <w:r w:rsidRPr="00047841">
        <w:rPr>
          <w:rFonts w:ascii="Franklin Gothic Book" w:hAnsi="Franklin Gothic Book"/>
          <w:sz w:val="21"/>
          <w:szCs w:val="21"/>
        </w:rPr>
        <w:t xml:space="preserve"> </w:t>
      </w:r>
      <w:r>
        <w:rPr>
          <w:rFonts w:ascii="Franklin Gothic Book" w:hAnsi="Franklin Gothic Book"/>
          <w:sz w:val="21"/>
          <w:szCs w:val="21"/>
        </w:rPr>
        <w:t>t</w:t>
      </w:r>
      <w:r w:rsidRPr="00047841">
        <w:rPr>
          <w:rFonts w:ascii="Franklin Gothic Book" w:hAnsi="Franklin Gothic Book"/>
          <w:sz w:val="21"/>
          <w:szCs w:val="21"/>
        </w:rPr>
        <w:t xml:space="preserve">echnical </w:t>
      </w:r>
      <w:r>
        <w:rPr>
          <w:rFonts w:ascii="Franklin Gothic Book" w:hAnsi="Franklin Gothic Book"/>
          <w:sz w:val="21"/>
          <w:szCs w:val="21"/>
        </w:rPr>
        <w:t>a</w:t>
      </w:r>
      <w:r w:rsidRPr="00047841">
        <w:rPr>
          <w:rFonts w:ascii="Franklin Gothic Book" w:hAnsi="Franklin Gothic Book"/>
          <w:sz w:val="21"/>
          <w:szCs w:val="21"/>
        </w:rPr>
        <w:t>ssistance for the Distribution Efficiency Project</w:t>
      </w:r>
      <w:r>
        <w:rPr>
          <w:rFonts w:ascii="Franklin Gothic Book" w:hAnsi="Franklin Gothic Book"/>
          <w:sz w:val="21"/>
          <w:szCs w:val="21"/>
        </w:rPr>
        <w:t xml:space="preserve">. </w:t>
      </w:r>
      <w:r w:rsidRPr="00A902C6">
        <w:rPr>
          <w:rFonts w:ascii="Franklin Gothic Book" w:hAnsi="Franklin Gothic Book"/>
          <w:sz w:val="21"/>
          <w:szCs w:val="21"/>
        </w:rPr>
        <w:t xml:space="preserve">Our </w:t>
      </w:r>
      <w:r>
        <w:rPr>
          <w:rFonts w:ascii="Franklin Gothic Book" w:hAnsi="Franklin Gothic Book"/>
          <w:sz w:val="21"/>
          <w:szCs w:val="21"/>
        </w:rPr>
        <w:t xml:space="preserve">$7.6 million </w:t>
      </w:r>
      <w:r w:rsidRPr="00A902C6">
        <w:rPr>
          <w:rFonts w:ascii="Franklin Gothic Book" w:hAnsi="Franklin Gothic Book"/>
          <w:sz w:val="21"/>
          <w:szCs w:val="21"/>
        </w:rPr>
        <w:t xml:space="preserve">is </w:t>
      </w:r>
      <w:r>
        <w:rPr>
          <w:rFonts w:ascii="Franklin Gothic Book" w:hAnsi="Franklin Gothic Book"/>
          <w:sz w:val="21"/>
          <w:szCs w:val="21"/>
        </w:rPr>
        <w:t>adding value to</w:t>
      </w:r>
      <w:r w:rsidRPr="00A902C6">
        <w:rPr>
          <w:rFonts w:ascii="Franklin Gothic Book" w:hAnsi="Franklin Gothic Book"/>
          <w:sz w:val="21"/>
          <w:szCs w:val="21"/>
        </w:rPr>
        <w:t xml:space="preserve"> the World Bank’s US$470 million in strengthening capacity of power corporations</w:t>
      </w:r>
      <w:r w:rsidRPr="00AC5D82">
        <w:rPr>
          <w:rFonts w:ascii="Franklin Gothic Book" w:hAnsi="Franklin Gothic Book"/>
          <w:sz w:val="21"/>
          <w:szCs w:val="21"/>
        </w:rPr>
        <w:t xml:space="preserve"> </w:t>
      </w:r>
      <w:r>
        <w:rPr>
          <w:rFonts w:ascii="Franklin Gothic Book" w:hAnsi="Franklin Gothic Book"/>
          <w:sz w:val="21"/>
          <w:szCs w:val="21"/>
        </w:rPr>
        <w:t>to</w:t>
      </w:r>
      <w:r w:rsidRPr="00AC5D82">
        <w:rPr>
          <w:rFonts w:ascii="Franklin Gothic Book" w:hAnsi="Franklin Gothic Book"/>
          <w:sz w:val="21"/>
          <w:szCs w:val="21"/>
        </w:rPr>
        <w:t xml:space="preserve"> </w:t>
      </w:r>
      <w:r>
        <w:rPr>
          <w:rFonts w:ascii="Franklin Gothic Book" w:hAnsi="Franklin Gothic Book"/>
          <w:sz w:val="21"/>
          <w:szCs w:val="21"/>
        </w:rPr>
        <w:t>distribute</w:t>
      </w:r>
      <w:r w:rsidRPr="00AC5D82">
        <w:rPr>
          <w:rFonts w:ascii="Franklin Gothic Book" w:hAnsi="Franklin Gothic Book"/>
          <w:sz w:val="21"/>
          <w:szCs w:val="21"/>
        </w:rPr>
        <w:t xml:space="preserve"> power, including </w:t>
      </w:r>
      <w:r>
        <w:rPr>
          <w:rFonts w:ascii="Franklin Gothic Book" w:hAnsi="Franklin Gothic Book"/>
          <w:sz w:val="21"/>
          <w:szCs w:val="21"/>
        </w:rPr>
        <w:t>through</w:t>
      </w:r>
      <w:r w:rsidRPr="00AC5D82">
        <w:rPr>
          <w:rFonts w:ascii="Franklin Gothic Book" w:hAnsi="Franklin Gothic Book"/>
          <w:sz w:val="21"/>
          <w:szCs w:val="21"/>
        </w:rPr>
        <w:t xml:space="preserve"> SmartGRID technology and improved electricity tariffs. A partnership </w:t>
      </w:r>
      <w:r>
        <w:rPr>
          <w:rFonts w:ascii="Franklin Gothic Book" w:hAnsi="Franklin Gothic Book"/>
          <w:sz w:val="21"/>
          <w:szCs w:val="21"/>
        </w:rPr>
        <w:t xml:space="preserve">between Australia’s </w:t>
      </w:r>
      <w:r w:rsidRPr="00AC5D82">
        <w:rPr>
          <w:rFonts w:ascii="Franklin Gothic Book" w:hAnsi="Franklin Gothic Book"/>
          <w:sz w:val="21"/>
          <w:szCs w:val="21"/>
        </w:rPr>
        <w:t xml:space="preserve">Department of Industry </w:t>
      </w:r>
      <w:r>
        <w:rPr>
          <w:rFonts w:ascii="Franklin Gothic Book" w:hAnsi="Franklin Gothic Book"/>
          <w:sz w:val="21"/>
          <w:szCs w:val="21"/>
        </w:rPr>
        <w:t>and</w:t>
      </w:r>
      <w:r w:rsidRPr="00AC5D82">
        <w:rPr>
          <w:rFonts w:ascii="Franklin Gothic Book" w:hAnsi="Franklin Gothic Book"/>
          <w:sz w:val="21"/>
          <w:szCs w:val="21"/>
        </w:rPr>
        <w:t xml:space="preserve"> </w:t>
      </w:r>
      <w:r>
        <w:rPr>
          <w:rFonts w:ascii="Franklin Gothic Book" w:hAnsi="Franklin Gothic Book"/>
          <w:sz w:val="21"/>
          <w:szCs w:val="21"/>
        </w:rPr>
        <w:t xml:space="preserve">Vietnam’s </w:t>
      </w:r>
      <w:r w:rsidRPr="00AC5D82">
        <w:rPr>
          <w:rFonts w:ascii="Franklin Gothic Book" w:hAnsi="Franklin Gothic Book"/>
          <w:sz w:val="21"/>
          <w:szCs w:val="21"/>
        </w:rPr>
        <w:t xml:space="preserve">Ministry of Industry and Trade successfully </w:t>
      </w:r>
      <w:r>
        <w:rPr>
          <w:rFonts w:ascii="Franklin Gothic Book" w:hAnsi="Franklin Gothic Book"/>
          <w:sz w:val="21"/>
          <w:szCs w:val="21"/>
        </w:rPr>
        <w:t>progressed</w:t>
      </w:r>
      <w:r w:rsidRPr="00AC5D82">
        <w:rPr>
          <w:rFonts w:ascii="Franklin Gothic Book" w:hAnsi="Franklin Gothic Book"/>
          <w:sz w:val="21"/>
          <w:szCs w:val="21"/>
        </w:rPr>
        <w:t xml:space="preserve"> implementation of a project developing and promoting energy efficiency standards and labelling. </w:t>
      </w:r>
      <w:r>
        <w:rPr>
          <w:rFonts w:ascii="Franklin Gothic Book" w:hAnsi="Franklin Gothic Book"/>
          <w:sz w:val="21"/>
          <w:szCs w:val="21"/>
        </w:rPr>
        <w:t xml:space="preserve">A market survey found </w:t>
      </w:r>
      <w:r w:rsidRPr="00AC5D82">
        <w:rPr>
          <w:rFonts w:ascii="Franklin Gothic Book" w:hAnsi="Franklin Gothic Book"/>
          <w:sz w:val="21"/>
          <w:szCs w:val="21"/>
        </w:rPr>
        <w:t>50</w:t>
      </w:r>
      <w:r>
        <w:rPr>
          <w:rFonts w:ascii="Franklin Gothic Book" w:hAnsi="Franklin Gothic Book"/>
          <w:sz w:val="21"/>
          <w:szCs w:val="21"/>
        </w:rPr>
        <w:t xml:space="preserve"> per cent</w:t>
      </w:r>
      <w:r w:rsidRPr="00AC5D82">
        <w:rPr>
          <w:rFonts w:ascii="Franklin Gothic Book" w:hAnsi="Franklin Gothic Book"/>
          <w:sz w:val="21"/>
          <w:szCs w:val="21"/>
        </w:rPr>
        <w:t xml:space="preserve"> </w:t>
      </w:r>
      <w:r>
        <w:rPr>
          <w:rFonts w:ascii="Franklin Gothic Book" w:hAnsi="Franklin Gothic Book"/>
          <w:sz w:val="21"/>
          <w:szCs w:val="21"/>
        </w:rPr>
        <w:t>of compact fluorescent</w:t>
      </w:r>
      <w:r w:rsidRPr="00AC5D82">
        <w:rPr>
          <w:rFonts w:ascii="Franklin Gothic Book" w:hAnsi="Franklin Gothic Book"/>
          <w:sz w:val="21"/>
          <w:szCs w:val="21"/>
        </w:rPr>
        <w:t xml:space="preserve"> lamps</w:t>
      </w:r>
      <w:r>
        <w:rPr>
          <w:rFonts w:ascii="Franklin Gothic Book" w:hAnsi="Franklin Gothic Book"/>
          <w:sz w:val="21"/>
          <w:szCs w:val="21"/>
        </w:rPr>
        <w:t xml:space="preserve"> </w:t>
      </w:r>
      <w:r w:rsidRPr="00AC5D82">
        <w:rPr>
          <w:rFonts w:ascii="Franklin Gothic Book" w:hAnsi="Franklin Gothic Book"/>
          <w:sz w:val="21"/>
          <w:szCs w:val="21"/>
        </w:rPr>
        <w:t>and 68</w:t>
      </w:r>
      <w:r>
        <w:rPr>
          <w:rFonts w:ascii="Franklin Gothic Book" w:hAnsi="Franklin Gothic Book"/>
          <w:sz w:val="21"/>
          <w:szCs w:val="21"/>
        </w:rPr>
        <w:t xml:space="preserve"> per cent </w:t>
      </w:r>
      <w:r w:rsidRPr="00AC5D82">
        <w:rPr>
          <w:rFonts w:ascii="Franklin Gothic Book" w:hAnsi="Franklin Gothic Book"/>
          <w:sz w:val="21"/>
          <w:szCs w:val="21"/>
        </w:rPr>
        <w:t xml:space="preserve">of air-conditioners and washing machines </w:t>
      </w:r>
      <w:r>
        <w:rPr>
          <w:rFonts w:ascii="Franklin Gothic Book" w:hAnsi="Franklin Gothic Book"/>
          <w:sz w:val="21"/>
          <w:szCs w:val="21"/>
        </w:rPr>
        <w:t>were correctly labelled less than a year after they became mandatory in July 2013</w:t>
      </w:r>
      <w:r>
        <w:rPr>
          <w:rStyle w:val="FootnoteReference"/>
        </w:rPr>
        <w:footnoteReference w:id="14"/>
      </w:r>
      <w:r w:rsidRPr="00AC5D82">
        <w:rPr>
          <w:rFonts w:ascii="Franklin Gothic Book" w:hAnsi="Franklin Gothic Book"/>
          <w:sz w:val="21"/>
          <w:szCs w:val="21"/>
        </w:rPr>
        <w:t xml:space="preserve">. </w:t>
      </w:r>
    </w:p>
    <w:p w:rsidR="00137EC6" w:rsidRPr="00AC5D82" w:rsidRDefault="00137EC6" w:rsidP="00137EC6">
      <w:pPr>
        <w:spacing w:after="120" w:line="280" w:lineRule="atLeast"/>
        <w:rPr>
          <w:rFonts w:ascii="Franklin Gothic Book" w:hAnsi="Franklin Gothic Book"/>
          <w:sz w:val="21"/>
          <w:szCs w:val="21"/>
        </w:rPr>
      </w:pPr>
      <w:r>
        <w:rPr>
          <w:rFonts w:ascii="Franklin Gothic Book" w:hAnsi="Franklin Gothic Book"/>
          <w:sz w:val="21"/>
          <w:szCs w:val="21"/>
        </w:rPr>
        <w:t>L</w:t>
      </w:r>
      <w:r w:rsidRPr="00047841">
        <w:rPr>
          <w:rFonts w:ascii="Franklin Gothic Book" w:hAnsi="Franklin Gothic Book"/>
          <w:sz w:val="21"/>
          <w:szCs w:val="21"/>
        </w:rPr>
        <w:t>ow carbon rice projects</w:t>
      </w:r>
      <w:r>
        <w:rPr>
          <w:rFonts w:ascii="Franklin Gothic Book" w:hAnsi="Franklin Gothic Book"/>
          <w:sz w:val="21"/>
          <w:szCs w:val="21"/>
        </w:rPr>
        <w:t>,</w:t>
      </w:r>
      <w:r w:rsidRPr="00047841">
        <w:rPr>
          <w:rFonts w:ascii="Franklin Gothic Book" w:hAnsi="Franklin Gothic Book"/>
          <w:sz w:val="21"/>
          <w:szCs w:val="21"/>
        </w:rPr>
        <w:t xml:space="preserve"> </w:t>
      </w:r>
      <w:r>
        <w:rPr>
          <w:rFonts w:ascii="Franklin Gothic Book" w:hAnsi="Franklin Gothic Book"/>
          <w:sz w:val="21"/>
          <w:szCs w:val="21"/>
        </w:rPr>
        <w:t xml:space="preserve">led by our NGO partners </w:t>
      </w:r>
      <w:r w:rsidRPr="00282CFB">
        <w:rPr>
          <w:rFonts w:ascii="Franklin Gothic Book" w:hAnsi="Franklin Gothic Book"/>
          <w:sz w:val="21"/>
          <w:szCs w:val="21"/>
        </w:rPr>
        <w:t xml:space="preserve">Environmental Defense Fund </w:t>
      </w:r>
      <w:r w:rsidRPr="00047841">
        <w:rPr>
          <w:rFonts w:ascii="Franklin Gothic Book" w:hAnsi="Franklin Gothic Book"/>
          <w:sz w:val="21"/>
          <w:szCs w:val="21"/>
        </w:rPr>
        <w:t>and SNV</w:t>
      </w:r>
      <w:r>
        <w:rPr>
          <w:rFonts w:ascii="Franklin Gothic Book" w:hAnsi="Franklin Gothic Book"/>
          <w:sz w:val="21"/>
          <w:szCs w:val="21"/>
        </w:rPr>
        <w:t>,</w:t>
      </w:r>
      <w:r w:rsidRPr="00047841">
        <w:rPr>
          <w:rFonts w:ascii="Franklin Gothic Book" w:hAnsi="Franklin Gothic Book"/>
          <w:sz w:val="21"/>
          <w:szCs w:val="21"/>
        </w:rPr>
        <w:t xml:space="preserve"> achieved encouraging preliminary results</w:t>
      </w:r>
      <w:r>
        <w:rPr>
          <w:rFonts w:ascii="Franklin Gothic Book" w:hAnsi="Franklin Gothic Book"/>
          <w:sz w:val="21"/>
          <w:szCs w:val="21"/>
        </w:rPr>
        <w:t xml:space="preserve"> in 2013-14</w:t>
      </w:r>
      <w:r w:rsidRPr="00047841">
        <w:rPr>
          <w:rFonts w:ascii="Franklin Gothic Book" w:hAnsi="Franklin Gothic Book"/>
          <w:sz w:val="21"/>
          <w:szCs w:val="21"/>
        </w:rPr>
        <w:t>.</w:t>
      </w:r>
      <w:r w:rsidRPr="00AC5D82">
        <w:rPr>
          <w:rFonts w:ascii="Franklin Gothic Book" w:hAnsi="Franklin Gothic Book"/>
          <w:sz w:val="21"/>
          <w:szCs w:val="21"/>
        </w:rPr>
        <w:t xml:space="preserve"> Innovative production techniques have </w:t>
      </w:r>
      <w:r>
        <w:rPr>
          <w:rFonts w:ascii="Franklin Gothic Book" w:hAnsi="Franklin Gothic Book"/>
          <w:sz w:val="21"/>
          <w:szCs w:val="21"/>
        </w:rPr>
        <w:t>yielded</w:t>
      </w:r>
      <w:r w:rsidRPr="00AC5D82">
        <w:rPr>
          <w:rFonts w:ascii="Franklin Gothic Book" w:hAnsi="Franklin Gothic Book"/>
          <w:sz w:val="21"/>
          <w:szCs w:val="21"/>
        </w:rPr>
        <w:t xml:space="preserve"> </w:t>
      </w:r>
      <w:r>
        <w:rPr>
          <w:rFonts w:ascii="Franklin Gothic Book" w:hAnsi="Franklin Gothic Book"/>
          <w:sz w:val="21"/>
          <w:szCs w:val="21"/>
        </w:rPr>
        <w:t xml:space="preserve">greenhouse gas </w:t>
      </w:r>
      <w:r w:rsidRPr="00AC5D82">
        <w:rPr>
          <w:rFonts w:ascii="Franklin Gothic Book" w:hAnsi="Franklin Gothic Book"/>
          <w:sz w:val="21"/>
          <w:szCs w:val="21"/>
        </w:rPr>
        <w:t>emission reductions of up to 20 per</w:t>
      </w:r>
      <w:r>
        <w:rPr>
          <w:rFonts w:ascii="Franklin Gothic Book" w:hAnsi="Franklin Gothic Book"/>
          <w:sz w:val="21"/>
          <w:szCs w:val="21"/>
        </w:rPr>
        <w:t xml:space="preserve"> </w:t>
      </w:r>
      <w:r w:rsidRPr="00AC5D82">
        <w:rPr>
          <w:rFonts w:ascii="Franklin Gothic Book" w:hAnsi="Franklin Gothic Book"/>
          <w:sz w:val="21"/>
          <w:szCs w:val="21"/>
        </w:rPr>
        <w:t>cent</w:t>
      </w:r>
      <w:r>
        <w:rPr>
          <w:rFonts w:ascii="Franklin Gothic Book" w:hAnsi="Franklin Gothic Book"/>
          <w:sz w:val="21"/>
          <w:szCs w:val="21"/>
        </w:rPr>
        <w:t xml:space="preserve"> and </w:t>
      </w:r>
      <w:r w:rsidRPr="00AC5D82">
        <w:rPr>
          <w:rFonts w:ascii="Franklin Gothic Book" w:hAnsi="Franklin Gothic Book"/>
          <w:sz w:val="21"/>
          <w:szCs w:val="21"/>
        </w:rPr>
        <w:t>increase</w:t>
      </w:r>
      <w:r>
        <w:rPr>
          <w:rFonts w:ascii="Franklin Gothic Book" w:hAnsi="Franklin Gothic Book"/>
          <w:sz w:val="21"/>
          <w:szCs w:val="21"/>
        </w:rPr>
        <w:t>d</w:t>
      </w:r>
      <w:r w:rsidRPr="00AC5D82">
        <w:rPr>
          <w:rFonts w:ascii="Franklin Gothic Book" w:hAnsi="Franklin Gothic Book"/>
          <w:sz w:val="21"/>
          <w:szCs w:val="21"/>
        </w:rPr>
        <w:t xml:space="preserve"> on-farm productivity and gross profit </w:t>
      </w:r>
      <w:r>
        <w:rPr>
          <w:rFonts w:ascii="Franklin Gothic Book" w:hAnsi="Franklin Gothic Book"/>
          <w:sz w:val="21"/>
          <w:szCs w:val="21"/>
        </w:rPr>
        <w:t xml:space="preserve">by between </w:t>
      </w:r>
      <w:r w:rsidRPr="00AC5D82">
        <w:rPr>
          <w:rFonts w:ascii="Franklin Gothic Book" w:hAnsi="Franklin Gothic Book"/>
          <w:sz w:val="21"/>
          <w:szCs w:val="21"/>
        </w:rPr>
        <w:t>23</w:t>
      </w:r>
      <w:r>
        <w:rPr>
          <w:rFonts w:ascii="Franklin Gothic Book" w:hAnsi="Franklin Gothic Book"/>
          <w:sz w:val="21"/>
          <w:szCs w:val="21"/>
        </w:rPr>
        <w:t xml:space="preserve"> and </w:t>
      </w:r>
      <w:r w:rsidRPr="00AC5D82">
        <w:rPr>
          <w:rFonts w:ascii="Franklin Gothic Book" w:hAnsi="Franklin Gothic Book"/>
          <w:sz w:val="21"/>
          <w:szCs w:val="21"/>
        </w:rPr>
        <w:t>53 per</w:t>
      </w:r>
      <w:r>
        <w:rPr>
          <w:rFonts w:ascii="Franklin Gothic Book" w:hAnsi="Franklin Gothic Book"/>
          <w:sz w:val="21"/>
          <w:szCs w:val="21"/>
        </w:rPr>
        <w:t xml:space="preserve"> </w:t>
      </w:r>
      <w:r w:rsidRPr="00AC5D82">
        <w:rPr>
          <w:rFonts w:ascii="Franklin Gothic Book" w:hAnsi="Franklin Gothic Book"/>
          <w:sz w:val="21"/>
          <w:szCs w:val="21"/>
        </w:rPr>
        <w:t xml:space="preserve">cent in Kien Giang </w:t>
      </w:r>
      <w:r>
        <w:rPr>
          <w:rFonts w:ascii="Franklin Gothic Book" w:hAnsi="Franklin Gothic Book"/>
          <w:sz w:val="21"/>
          <w:szCs w:val="21"/>
        </w:rPr>
        <w:t xml:space="preserve">province </w:t>
      </w:r>
      <w:r w:rsidRPr="00AC5D82">
        <w:rPr>
          <w:rFonts w:ascii="Franklin Gothic Book" w:hAnsi="Franklin Gothic Book"/>
          <w:sz w:val="21"/>
          <w:szCs w:val="21"/>
        </w:rPr>
        <w:t xml:space="preserve">farming cooperatives. Project results </w:t>
      </w:r>
      <w:r>
        <w:rPr>
          <w:rFonts w:ascii="Franklin Gothic Book" w:hAnsi="Franklin Gothic Book"/>
          <w:sz w:val="21"/>
          <w:szCs w:val="21"/>
        </w:rPr>
        <w:t xml:space="preserve">are </w:t>
      </w:r>
      <w:r w:rsidRPr="00AC5D82">
        <w:rPr>
          <w:rFonts w:ascii="Franklin Gothic Book" w:hAnsi="Franklin Gothic Book"/>
          <w:sz w:val="21"/>
          <w:szCs w:val="21"/>
        </w:rPr>
        <w:t>inform</w:t>
      </w:r>
      <w:r>
        <w:rPr>
          <w:rFonts w:ascii="Franklin Gothic Book" w:hAnsi="Franklin Gothic Book"/>
          <w:sz w:val="21"/>
          <w:szCs w:val="21"/>
        </w:rPr>
        <w:t>ing</w:t>
      </w:r>
      <w:r w:rsidRPr="00AC5D82">
        <w:rPr>
          <w:rFonts w:ascii="Franklin Gothic Book" w:hAnsi="Franklin Gothic Book"/>
          <w:sz w:val="21"/>
          <w:szCs w:val="21"/>
        </w:rPr>
        <w:t xml:space="preserve"> the </w:t>
      </w:r>
      <w:r>
        <w:rPr>
          <w:rFonts w:ascii="Franklin Gothic Book" w:hAnsi="Franklin Gothic Book"/>
          <w:sz w:val="21"/>
          <w:szCs w:val="21"/>
        </w:rPr>
        <w:t>G</w:t>
      </w:r>
      <w:r w:rsidRPr="00AC5D82">
        <w:rPr>
          <w:rFonts w:ascii="Franklin Gothic Book" w:hAnsi="Franklin Gothic Book"/>
          <w:sz w:val="21"/>
          <w:szCs w:val="21"/>
        </w:rPr>
        <w:t>overnment</w:t>
      </w:r>
      <w:r>
        <w:rPr>
          <w:rFonts w:ascii="Franklin Gothic Book" w:hAnsi="Franklin Gothic Book"/>
          <w:sz w:val="21"/>
          <w:szCs w:val="21"/>
        </w:rPr>
        <w:t xml:space="preserve"> of Vietnam</w:t>
      </w:r>
      <w:r w:rsidRPr="00AC5D82">
        <w:rPr>
          <w:rFonts w:ascii="Franklin Gothic Book" w:hAnsi="Franklin Gothic Book"/>
          <w:sz w:val="21"/>
          <w:szCs w:val="21"/>
        </w:rPr>
        <w:t>’s rural restructuring programs</w:t>
      </w:r>
      <w:r>
        <w:rPr>
          <w:rFonts w:ascii="Franklin Gothic Book" w:hAnsi="Franklin Gothic Book"/>
          <w:sz w:val="21"/>
          <w:szCs w:val="21"/>
        </w:rPr>
        <w:t xml:space="preserve"> that aim to increase efficiency and yields</w:t>
      </w:r>
      <w:r w:rsidRPr="00AC5D82">
        <w:rPr>
          <w:rFonts w:ascii="Franklin Gothic Book" w:hAnsi="Franklin Gothic Book"/>
          <w:sz w:val="21"/>
          <w:szCs w:val="21"/>
        </w:rPr>
        <w:t xml:space="preserve">.  </w:t>
      </w:r>
    </w:p>
    <w:p w:rsidR="00137EC6" w:rsidRPr="00621FC6" w:rsidRDefault="00137EC6" w:rsidP="00137EC6">
      <w:pPr>
        <w:spacing w:after="120" w:line="280" w:lineRule="atLeast"/>
        <w:rPr>
          <w:rFonts w:ascii="Franklin Gothic Book" w:hAnsi="Franklin Gothic Book"/>
          <w:sz w:val="21"/>
          <w:szCs w:val="21"/>
        </w:rPr>
      </w:pPr>
      <w:r w:rsidRPr="00047841">
        <w:rPr>
          <w:rFonts w:ascii="Franklin Gothic Book" w:hAnsi="Franklin Gothic Book"/>
          <w:sz w:val="21"/>
          <w:szCs w:val="21"/>
        </w:rPr>
        <w:t xml:space="preserve">In 2013-14, DFAT secured </w:t>
      </w:r>
      <w:r w:rsidR="00157A8E">
        <w:rPr>
          <w:rFonts w:ascii="Franklin Gothic Book" w:hAnsi="Franklin Gothic Book"/>
          <w:sz w:val="21"/>
          <w:szCs w:val="21"/>
        </w:rPr>
        <w:t>UK</w:t>
      </w:r>
      <w:r w:rsidRPr="00621FC6">
        <w:rPr>
          <w:rFonts w:ascii="Franklin Gothic Book" w:hAnsi="Franklin Gothic Book"/>
          <w:sz w:val="16"/>
          <w:szCs w:val="16"/>
        </w:rPr>
        <w:t xml:space="preserve"> </w:t>
      </w:r>
      <w:r w:rsidRPr="00047841">
        <w:rPr>
          <w:rFonts w:ascii="Franklin Gothic Book" w:hAnsi="Franklin Gothic Book"/>
          <w:sz w:val="21"/>
          <w:szCs w:val="21"/>
        </w:rPr>
        <w:t>co-funding for the Vietnam Climate Innovation Centre</w:t>
      </w:r>
      <w:r>
        <w:rPr>
          <w:rFonts w:ascii="Franklin Gothic Book" w:hAnsi="Franklin Gothic Book"/>
          <w:sz w:val="21"/>
          <w:szCs w:val="21"/>
        </w:rPr>
        <w:t xml:space="preserve">, which will </w:t>
      </w:r>
      <w:r w:rsidRPr="00047841">
        <w:rPr>
          <w:rFonts w:ascii="Franklin Gothic Book" w:hAnsi="Franklin Gothic Book"/>
          <w:color w:val="000000" w:themeColor="text1"/>
          <w:sz w:val="21"/>
          <w:szCs w:val="21"/>
        </w:rPr>
        <w:t>stimulat</w:t>
      </w:r>
      <w:r>
        <w:rPr>
          <w:rFonts w:ascii="Franklin Gothic Book" w:hAnsi="Franklin Gothic Book"/>
          <w:color w:val="000000" w:themeColor="text1"/>
          <w:sz w:val="21"/>
          <w:szCs w:val="21"/>
        </w:rPr>
        <w:t xml:space="preserve">e </w:t>
      </w:r>
      <w:r w:rsidRPr="00047841">
        <w:rPr>
          <w:rFonts w:ascii="Franklin Gothic Book" w:hAnsi="Franklin Gothic Book"/>
          <w:color w:val="000000" w:themeColor="text1"/>
          <w:sz w:val="21"/>
          <w:szCs w:val="21"/>
        </w:rPr>
        <w:t>private sector innovation</w:t>
      </w:r>
      <w:r>
        <w:rPr>
          <w:rFonts w:ascii="Franklin Gothic Book" w:hAnsi="Franklin Gothic Book"/>
          <w:color w:val="000000" w:themeColor="text1"/>
          <w:sz w:val="21"/>
          <w:szCs w:val="21"/>
        </w:rPr>
        <w:t xml:space="preserve"> by </w:t>
      </w:r>
      <w:r w:rsidR="00157A8E">
        <w:rPr>
          <w:rFonts w:ascii="Franklin Gothic Book" w:hAnsi="Franklin Gothic Book"/>
          <w:sz w:val="21"/>
          <w:szCs w:val="21"/>
        </w:rPr>
        <w:t>supporting</w:t>
      </w:r>
      <w:r>
        <w:rPr>
          <w:rFonts w:ascii="Franklin Gothic Book" w:hAnsi="Franklin Gothic Book"/>
          <w:sz w:val="21"/>
          <w:szCs w:val="21"/>
        </w:rPr>
        <w:t xml:space="preserve"> s</w:t>
      </w:r>
      <w:r w:rsidRPr="00621FC6">
        <w:rPr>
          <w:rFonts w:ascii="Franklin Gothic Book" w:hAnsi="Franklin Gothic Book"/>
          <w:sz w:val="21"/>
          <w:szCs w:val="21"/>
        </w:rPr>
        <w:t>mall</w:t>
      </w:r>
      <w:r>
        <w:rPr>
          <w:rFonts w:ascii="Franklin Gothic Book" w:hAnsi="Franklin Gothic Book"/>
          <w:sz w:val="21"/>
          <w:szCs w:val="21"/>
        </w:rPr>
        <w:t xml:space="preserve"> and m</w:t>
      </w:r>
      <w:r w:rsidRPr="00621FC6">
        <w:rPr>
          <w:rFonts w:ascii="Franklin Gothic Book" w:hAnsi="Franklin Gothic Book"/>
          <w:sz w:val="21"/>
          <w:szCs w:val="21"/>
        </w:rPr>
        <w:t xml:space="preserve">edium </w:t>
      </w:r>
      <w:r>
        <w:rPr>
          <w:rFonts w:ascii="Franklin Gothic Book" w:hAnsi="Franklin Gothic Book"/>
          <w:sz w:val="21"/>
          <w:szCs w:val="21"/>
        </w:rPr>
        <w:t>e</w:t>
      </w:r>
      <w:r w:rsidRPr="00621FC6">
        <w:rPr>
          <w:rFonts w:ascii="Franklin Gothic Book" w:hAnsi="Franklin Gothic Book"/>
          <w:sz w:val="21"/>
          <w:szCs w:val="21"/>
        </w:rPr>
        <w:t>nterprise</w:t>
      </w:r>
      <w:r>
        <w:rPr>
          <w:rFonts w:ascii="Franklin Gothic Book" w:hAnsi="Franklin Gothic Book"/>
          <w:sz w:val="21"/>
          <w:szCs w:val="21"/>
        </w:rPr>
        <w:t>s</w:t>
      </w:r>
      <w:r w:rsidRPr="00621FC6">
        <w:rPr>
          <w:rFonts w:ascii="Franklin Gothic Book" w:hAnsi="Franklin Gothic Book"/>
          <w:sz w:val="21"/>
          <w:szCs w:val="21"/>
        </w:rPr>
        <w:t xml:space="preserve"> </w:t>
      </w:r>
      <w:r>
        <w:rPr>
          <w:rFonts w:ascii="Franklin Gothic Book" w:hAnsi="Franklin Gothic Book"/>
          <w:sz w:val="21"/>
          <w:szCs w:val="21"/>
        </w:rPr>
        <w:t xml:space="preserve">develop </w:t>
      </w:r>
      <w:r w:rsidRPr="00621FC6">
        <w:rPr>
          <w:rFonts w:ascii="Franklin Gothic Book" w:hAnsi="Franklin Gothic Book"/>
          <w:sz w:val="21"/>
          <w:szCs w:val="21"/>
        </w:rPr>
        <w:t>water</w:t>
      </w:r>
      <w:r>
        <w:rPr>
          <w:rFonts w:ascii="Franklin Gothic Book" w:hAnsi="Franklin Gothic Book"/>
          <w:sz w:val="21"/>
          <w:szCs w:val="21"/>
        </w:rPr>
        <w:t>,</w:t>
      </w:r>
      <w:r w:rsidRPr="00621FC6">
        <w:rPr>
          <w:rFonts w:ascii="Franklin Gothic Book" w:hAnsi="Franklin Gothic Book"/>
          <w:sz w:val="21"/>
          <w:szCs w:val="21"/>
        </w:rPr>
        <w:t xml:space="preserve"> energy and agribusiness</w:t>
      </w:r>
      <w:r>
        <w:rPr>
          <w:rFonts w:ascii="Franklin Gothic Book" w:hAnsi="Franklin Gothic Book"/>
          <w:sz w:val="21"/>
          <w:szCs w:val="21"/>
        </w:rPr>
        <w:t xml:space="preserve"> technologies</w:t>
      </w:r>
      <w:r w:rsidRPr="00621FC6">
        <w:rPr>
          <w:rFonts w:ascii="Franklin Gothic Book" w:hAnsi="Franklin Gothic Book"/>
          <w:sz w:val="21"/>
          <w:szCs w:val="21"/>
        </w:rPr>
        <w:t>. A competition was launched in June 2014</w:t>
      </w:r>
      <w:r>
        <w:rPr>
          <w:rFonts w:ascii="Franklin Gothic Book" w:hAnsi="Franklin Gothic Book"/>
          <w:sz w:val="21"/>
          <w:szCs w:val="21"/>
        </w:rPr>
        <w:t xml:space="preserve"> to identify candidates</w:t>
      </w:r>
      <w:r w:rsidR="00157A8E">
        <w:rPr>
          <w:rFonts w:ascii="Franklin Gothic Book" w:hAnsi="Franklin Gothic Book"/>
          <w:sz w:val="21"/>
          <w:szCs w:val="21"/>
        </w:rPr>
        <w:t xml:space="preserve"> for support</w:t>
      </w:r>
      <w:r>
        <w:rPr>
          <w:rFonts w:ascii="Franklin Gothic Book" w:hAnsi="Franklin Gothic Book"/>
          <w:sz w:val="21"/>
          <w:szCs w:val="21"/>
        </w:rPr>
        <w:t xml:space="preserve">, but </w:t>
      </w:r>
      <w:r w:rsidRPr="00621FC6">
        <w:rPr>
          <w:rFonts w:ascii="Franklin Gothic Book" w:hAnsi="Franklin Gothic Book"/>
          <w:sz w:val="21"/>
          <w:szCs w:val="21"/>
        </w:rPr>
        <w:t>delay</w:t>
      </w:r>
      <w:r>
        <w:rPr>
          <w:rFonts w:ascii="Franklin Gothic Book" w:hAnsi="Franklin Gothic Book"/>
          <w:sz w:val="21"/>
          <w:szCs w:val="21"/>
        </w:rPr>
        <w:t>s</w:t>
      </w:r>
      <w:r w:rsidRPr="00621FC6">
        <w:rPr>
          <w:rFonts w:ascii="Franklin Gothic Book" w:hAnsi="Franklin Gothic Book"/>
          <w:sz w:val="21"/>
          <w:szCs w:val="21"/>
        </w:rPr>
        <w:t xml:space="preserve"> in </w:t>
      </w:r>
      <w:r>
        <w:rPr>
          <w:rFonts w:ascii="Franklin Gothic Book" w:hAnsi="Franklin Gothic Book"/>
          <w:sz w:val="21"/>
          <w:szCs w:val="21"/>
        </w:rPr>
        <w:t>G</w:t>
      </w:r>
      <w:r w:rsidRPr="00621FC6">
        <w:rPr>
          <w:rFonts w:ascii="Franklin Gothic Book" w:hAnsi="Franklin Gothic Book"/>
          <w:sz w:val="21"/>
          <w:szCs w:val="21"/>
        </w:rPr>
        <w:t xml:space="preserve">overnment </w:t>
      </w:r>
      <w:r w:rsidR="00157A8E">
        <w:rPr>
          <w:rFonts w:ascii="Franklin Gothic Book" w:hAnsi="Franklin Gothic Book"/>
          <w:sz w:val="21"/>
          <w:szCs w:val="21"/>
        </w:rPr>
        <w:t>of Vietnam</w:t>
      </w:r>
      <w:r>
        <w:rPr>
          <w:rFonts w:ascii="Franklin Gothic Book" w:hAnsi="Franklin Gothic Book"/>
          <w:sz w:val="21"/>
          <w:szCs w:val="21"/>
        </w:rPr>
        <w:t xml:space="preserve"> </w:t>
      </w:r>
      <w:r w:rsidRPr="00621FC6">
        <w:rPr>
          <w:rFonts w:ascii="Franklin Gothic Book" w:hAnsi="Franklin Gothic Book"/>
          <w:sz w:val="21"/>
          <w:szCs w:val="21"/>
        </w:rPr>
        <w:t>approval process</w:t>
      </w:r>
      <w:r w:rsidR="00157A8E">
        <w:rPr>
          <w:rFonts w:ascii="Franklin Gothic Book" w:hAnsi="Franklin Gothic Book"/>
          <w:sz w:val="21"/>
          <w:szCs w:val="21"/>
        </w:rPr>
        <w:t>es have delayed</w:t>
      </w:r>
      <w:r w:rsidRPr="00621FC6">
        <w:rPr>
          <w:rFonts w:ascii="Franklin Gothic Book" w:hAnsi="Franklin Gothic Book"/>
          <w:sz w:val="21"/>
          <w:szCs w:val="21"/>
        </w:rPr>
        <w:t xml:space="preserve"> </w:t>
      </w:r>
      <w:r w:rsidR="00157A8E">
        <w:rPr>
          <w:rFonts w:ascii="Franklin Gothic Book" w:hAnsi="Franklin Gothic Book"/>
          <w:sz w:val="21"/>
          <w:szCs w:val="21"/>
        </w:rPr>
        <w:t>mobilisation until early 2015</w:t>
      </w:r>
      <w:r w:rsidRPr="00621FC6">
        <w:rPr>
          <w:rFonts w:ascii="Franklin Gothic Book" w:hAnsi="Franklin Gothic Book"/>
          <w:sz w:val="21"/>
          <w:szCs w:val="21"/>
        </w:rPr>
        <w:t xml:space="preserve">. </w:t>
      </w:r>
      <w:r>
        <w:rPr>
          <w:rFonts w:ascii="Franklin Gothic Book" w:hAnsi="Franklin Gothic Book"/>
          <w:sz w:val="21"/>
          <w:szCs w:val="21"/>
        </w:rPr>
        <w:t>DFAT is</w:t>
      </w:r>
      <w:r w:rsidRPr="00621FC6">
        <w:rPr>
          <w:rFonts w:ascii="Franklin Gothic Book" w:hAnsi="Franklin Gothic Book"/>
          <w:sz w:val="21"/>
          <w:szCs w:val="21"/>
        </w:rPr>
        <w:t xml:space="preserve"> working with the </w:t>
      </w:r>
      <w:r w:rsidR="00157A8E">
        <w:rPr>
          <w:rFonts w:ascii="Franklin Gothic Book" w:hAnsi="Franklin Gothic Book"/>
          <w:sz w:val="21"/>
          <w:szCs w:val="21"/>
        </w:rPr>
        <w:t xml:space="preserve">World </w:t>
      </w:r>
      <w:r w:rsidRPr="00621FC6">
        <w:rPr>
          <w:rFonts w:ascii="Franklin Gothic Book" w:hAnsi="Franklin Gothic Book"/>
          <w:sz w:val="21"/>
          <w:szCs w:val="21"/>
        </w:rPr>
        <w:t xml:space="preserve">Bank </w:t>
      </w:r>
      <w:r>
        <w:rPr>
          <w:rFonts w:ascii="Franklin Gothic Book" w:hAnsi="Franklin Gothic Book"/>
          <w:sz w:val="21"/>
          <w:szCs w:val="21"/>
        </w:rPr>
        <w:t xml:space="preserve">to navigate </w:t>
      </w:r>
      <w:r w:rsidR="00157A8E">
        <w:rPr>
          <w:rFonts w:ascii="Franklin Gothic Book" w:hAnsi="Franklin Gothic Book"/>
          <w:sz w:val="21"/>
          <w:szCs w:val="21"/>
        </w:rPr>
        <w:t>laws</w:t>
      </w:r>
      <w:r>
        <w:rPr>
          <w:rFonts w:ascii="Franklin Gothic Book" w:hAnsi="Franklin Gothic Book"/>
          <w:sz w:val="21"/>
          <w:szCs w:val="21"/>
        </w:rPr>
        <w:t xml:space="preserve"> affecting private sector </w:t>
      </w:r>
      <w:r w:rsidR="00157A8E">
        <w:rPr>
          <w:rFonts w:ascii="Franklin Gothic Book" w:hAnsi="Franklin Gothic Book"/>
          <w:sz w:val="21"/>
          <w:szCs w:val="21"/>
        </w:rPr>
        <w:t>access to</w:t>
      </w:r>
      <w:r>
        <w:rPr>
          <w:rFonts w:ascii="Franklin Gothic Book" w:hAnsi="Franklin Gothic Book"/>
          <w:sz w:val="21"/>
          <w:szCs w:val="21"/>
        </w:rPr>
        <w:t xml:space="preserve"> ODA</w:t>
      </w:r>
      <w:r w:rsidRPr="00621FC6">
        <w:rPr>
          <w:rFonts w:ascii="Franklin Gothic Book" w:hAnsi="Franklin Gothic Book"/>
          <w:sz w:val="21"/>
          <w:szCs w:val="21"/>
        </w:rPr>
        <w:t xml:space="preserve">. </w:t>
      </w:r>
    </w:p>
    <w:p w:rsidR="00137EC6" w:rsidRPr="001A03B7" w:rsidRDefault="00137EC6" w:rsidP="00137EC6">
      <w:pPr>
        <w:keepNext/>
        <w:spacing w:after="120" w:line="280" w:lineRule="atLeast"/>
        <w:rPr>
          <w:rFonts w:ascii="Franklin Gothic Book" w:hAnsi="Franklin Gothic Book"/>
          <w:i/>
          <w:sz w:val="21"/>
          <w:szCs w:val="21"/>
        </w:rPr>
      </w:pPr>
      <w:r w:rsidRPr="001A03B7">
        <w:rPr>
          <w:rFonts w:ascii="Franklin Gothic Book" w:hAnsi="Franklin Gothic Book"/>
          <w:i/>
          <w:color w:val="000000" w:themeColor="text1"/>
          <w:sz w:val="21"/>
          <w:szCs w:val="21"/>
        </w:rPr>
        <w:t>Strengthening the Government of Vietnam’s capacity to respond</w:t>
      </w:r>
    </w:p>
    <w:p w:rsidR="00137EC6" w:rsidRPr="00AC5D82" w:rsidRDefault="00137EC6" w:rsidP="00137EC6">
      <w:pPr>
        <w:spacing w:after="120" w:line="280" w:lineRule="atLeast"/>
        <w:rPr>
          <w:rFonts w:ascii="Franklin Gothic Book" w:hAnsi="Franklin Gothic Book"/>
          <w:sz w:val="21"/>
          <w:szCs w:val="21"/>
        </w:rPr>
      </w:pPr>
      <w:r w:rsidRPr="00047841">
        <w:rPr>
          <w:rFonts w:ascii="Franklin Gothic Book" w:hAnsi="Franklin Gothic Book"/>
          <w:sz w:val="21"/>
          <w:szCs w:val="21"/>
        </w:rPr>
        <w:t xml:space="preserve">The CSIRO high resolution climate projections </w:t>
      </w:r>
      <w:r w:rsidR="00157A8E">
        <w:rPr>
          <w:rFonts w:ascii="Franklin Gothic Book" w:hAnsi="Franklin Gothic Book"/>
          <w:sz w:val="21"/>
          <w:szCs w:val="21"/>
        </w:rPr>
        <w:t>work</w:t>
      </w:r>
      <w:r>
        <w:rPr>
          <w:rFonts w:ascii="Franklin Gothic Book" w:hAnsi="Franklin Gothic Book"/>
          <w:sz w:val="21"/>
          <w:szCs w:val="21"/>
        </w:rPr>
        <w:t xml:space="preserve">, </w:t>
      </w:r>
      <w:r w:rsidRPr="00047841">
        <w:rPr>
          <w:rFonts w:ascii="Franklin Gothic Book" w:hAnsi="Franklin Gothic Book"/>
          <w:sz w:val="21"/>
          <w:szCs w:val="21"/>
        </w:rPr>
        <w:t>completed in June 2014</w:t>
      </w:r>
      <w:r>
        <w:rPr>
          <w:rFonts w:ascii="Franklin Gothic Book" w:hAnsi="Franklin Gothic Book"/>
          <w:sz w:val="21"/>
          <w:szCs w:val="21"/>
        </w:rPr>
        <w:t>,</w:t>
      </w:r>
      <w:r w:rsidRPr="00AC5D82">
        <w:rPr>
          <w:rFonts w:ascii="Franklin Gothic Book" w:hAnsi="Franklin Gothic Book"/>
          <w:sz w:val="21"/>
          <w:szCs w:val="21"/>
        </w:rPr>
        <w:t xml:space="preserve"> has influenced Vietnam’s official climate projections scenarios </w:t>
      </w:r>
      <w:r>
        <w:rPr>
          <w:rFonts w:ascii="Franklin Gothic Book" w:hAnsi="Franklin Gothic Book"/>
          <w:sz w:val="21"/>
          <w:szCs w:val="21"/>
        </w:rPr>
        <w:t>to inform future planning,</w:t>
      </w:r>
      <w:r w:rsidRPr="00AC5D82">
        <w:rPr>
          <w:rFonts w:ascii="Franklin Gothic Book" w:hAnsi="Franklin Gothic Book"/>
          <w:sz w:val="21"/>
          <w:szCs w:val="21"/>
        </w:rPr>
        <w:t xml:space="preserve"> </w:t>
      </w:r>
      <w:r w:rsidR="00157A8E">
        <w:rPr>
          <w:rFonts w:ascii="Franklin Gothic Book" w:hAnsi="Franklin Gothic Book"/>
          <w:sz w:val="21"/>
          <w:szCs w:val="21"/>
        </w:rPr>
        <w:t>facilitating</w:t>
      </w:r>
      <w:r w:rsidRPr="00AC5D82">
        <w:rPr>
          <w:rFonts w:ascii="Franklin Gothic Book" w:hAnsi="Franklin Gothic Book"/>
          <w:sz w:val="21"/>
          <w:szCs w:val="21"/>
        </w:rPr>
        <w:t xml:space="preserve"> ongoing collaborations with Government of Vietnam, U</w:t>
      </w:r>
      <w:r>
        <w:rPr>
          <w:rFonts w:ascii="Franklin Gothic Book" w:hAnsi="Franklin Gothic Book"/>
          <w:sz w:val="21"/>
          <w:szCs w:val="21"/>
        </w:rPr>
        <w:t xml:space="preserve">nited </w:t>
      </w:r>
      <w:r w:rsidRPr="00AC5D82">
        <w:rPr>
          <w:rFonts w:ascii="Franklin Gothic Book" w:hAnsi="Franklin Gothic Book"/>
          <w:sz w:val="21"/>
          <w:szCs w:val="21"/>
        </w:rPr>
        <w:t>N</w:t>
      </w:r>
      <w:r>
        <w:rPr>
          <w:rFonts w:ascii="Franklin Gothic Book" w:hAnsi="Franklin Gothic Book"/>
          <w:sz w:val="21"/>
          <w:szCs w:val="21"/>
        </w:rPr>
        <w:t xml:space="preserve">ations </w:t>
      </w:r>
      <w:r w:rsidRPr="00AC5D82">
        <w:rPr>
          <w:rFonts w:ascii="Franklin Gothic Book" w:hAnsi="Franklin Gothic Book"/>
          <w:sz w:val="21"/>
          <w:szCs w:val="21"/>
        </w:rPr>
        <w:t>D</w:t>
      </w:r>
      <w:r>
        <w:rPr>
          <w:rFonts w:ascii="Franklin Gothic Book" w:hAnsi="Franklin Gothic Book"/>
          <w:sz w:val="21"/>
          <w:szCs w:val="21"/>
        </w:rPr>
        <w:t xml:space="preserve">evelopment </w:t>
      </w:r>
      <w:r w:rsidRPr="00AC5D82">
        <w:rPr>
          <w:rFonts w:ascii="Franklin Gothic Book" w:hAnsi="Franklin Gothic Book"/>
          <w:sz w:val="21"/>
          <w:szCs w:val="21"/>
        </w:rPr>
        <w:t>P</w:t>
      </w:r>
      <w:r>
        <w:rPr>
          <w:rFonts w:ascii="Franklin Gothic Book" w:hAnsi="Franklin Gothic Book"/>
          <w:sz w:val="21"/>
          <w:szCs w:val="21"/>
        </w:rPr>
        <w:t>rogramme</w:t>
      </w:r>
      <w:r w:rsidRPr="00AC5D82">
        <w:rPr>
          <w:rFonts w:ascii="Franklin Gothic Book" w:hAnsi="Franklin Gothic Book"/>
          <w:sz w:val="21"/>
          <w:szCs w:val="21"/>
        </w:rPr>
        <w:t xml:space="preserve"> </w:t>
      </w:r>
      <w:r>
        <w:rPr>
          <w:rFonts w:ascii="Franklin Gothic Book" w:hAnsi="Franklin Gothic Book"/>
          <w:sz w:val="21"/>
          <w:szCs w:val="21"/>
        </w:rPr>
        <w:t>(</w:t>
      </w:r>
      <w:r w:rsidRPr="00AC5D82">
        <w:rPr>
          <w:rFonts w:ascii="Franklin Gothic Book" w:hAnsi="Franklin Gothic Book"/>
          <w:sz w:val="21"/>
          <w:szCs w:val="21"/>
        </w:rPr>
        <w:t>UNDP</w:t>
      </w:r>
      <w:r>
        <w:rPr>
          <w:rFonts w:ascii="Franklin Gothic Book" w:hAnsi="Franklin Gothic Book"/>
          <w:sz w:val="21"/>
          <w:szCs w:val="21"/>
        </w:rPr>
        <w:t>)</w:t>
      </w:r>
      <w:r w:rsidRPr="00AC5D82">
        <w:rPr>
          <w:rFonts w:ascii="Franklin Gothic Book" w:hAnsi="Franklin Gothic Book"/>
          <w:sz w:val="21"/>
          <w:szCs w:val="21"/>
        </w:rPr>
        <w:t xml:space="preserve"> and World Bank projects. </w:t>
      </w:r>
    </w:p>
    <w:p w:rsidR="00137EC6" w:rsidRPr="00AC5D82" w:rsidRDefault="00137EC6" w:rsidP="00137EC6">
      <w:pPr>
        <w:spacing w:after="120" w:line="280" w:lineRule="atLeast"/>
        <w:rPr>
          <w:rFonts w:ascii="Franklin Gothic Book" w:hAnsi="Franklin Gothic Book"/>
          <w:sz w:val="21"/>
          <w:szCs w:val="21"/>
        </w:rPr>
      </w:pPr>
      <w:r>
        <w:rPr>
          <w:rFonts w:ascii="Franklin Gothic Book" w:hAnsi="Franklin Gothic Book"/>
          <w:sz w:val="21"/>
          <w:szCs w:val="21"/>
        </w:rPr>
        <w:t>W</w:t>
      </w:r>
      <w:r w:rsidRPr="00AC5D82">
        <w:rPr>
          <w:rFonts w:ascii="Franklin Gothic Book" w:hAnsi="Franklin Gothic Book"/>
          <w:sz w:val="21"/>
          <w:szCs w:val="21"/>
        </w:rPr>
        <w:t xml:space="preserve">ith </w:t>
      </w:r>
      <w:r>
        <w:rPr>
          <w:rFonts w:ascii="Franklin Gothic Book" w:hAnsi="Franklin Gothic Book"/>
          <w:sz w:val="21"/>
          <w:szCs w:val="21"/>
        </w:rPr>
        <w:t>the UNDP</w:t>
      </w:r>
      <w:r w:rsidRPr="00AC5D82">
        <w:rPr>
          <w:rFonts w:ascii="Franklin Gothic Book" w:hAnsi="Franklin Gothic Book"/>
          <w:sz w:val="21"/>
          <w:szCs w:val="21"/>
        </w:rPr>
        <w:t xml:space="preserve">, </w:t>
      </w:r>
      <w:r>
        <w:rPr>
          <w:rFonts w:ascii="Franklin Gothic Book" w:hAnsi="Franklin Gothic Book"/>
          <w:sz w:val="21"/>
          <w:szCs w:val="21"/>
        </w:rPr>
        <w:t>Australia</w:t>
      </w:r>
      <w:r w:rsidRPr="00AC5D82">
        <w:rPr>
          <w:rFonts w:ascii="Franklin Gothic Book" w:hAnsi="Franklin Gothic Book"/>
          <w:sz w:val="21"/>
          <w:szCs w:val="21"/>
        </w:rPr>
        <w:t xml:space="preserve"> supported implementation of the new D</w:t>
      </w:r>
      <w:r>
        <w:rPr>
          <w:rFonts w:ascii="Franklin Gothic Book" w:hAnsi="Franklin Gothic Book"/>
          <w:sz w:val="21"/>
          <w:szCs w:val="21"/>
        </w:rPr>
        <w:t xml:space="preserve">isaster </w:t>
      </w:r>
      <w:r w:rsidRPr="00AC5D82">
        <w:rPr>
          <w:rFonts w:ascii="Franklin Gothic Book" w:hAnsi="Franklin Gothic Book"/>
          <w:sz w:val="21"/>
          <w:szCs w:val="21"/>
        </w:rPr>
        <w:t>R</w:t>
      </w:r>
      <w:r>
        <w:rPr>
          <w:rFonts w:ascii="Franklin Gothic Book" w:hAnsi="Franklin Gothic Book"/>
          <w:sz w:val="21"/>
          <w:szCs w:val="21"/>
        </w:rPr>
        <w:t xml:space="preserve">isk </w:t>
      </w:r>
      <w:r w:rsidRPr="00AC5D82">
        <w:rPr>
          <w:rFonts w:ascii="Franklin Gothic Book" w:hAnsi="Franklin Gothic Book"/>
          <w:sz w:val="21"/>
          <w:szCs w:val="21"/>
        </w:rPr>
        <w:t>M</w:t>
      </w:r>
      <w:r>
        <w:rPr>
          <w:rFonts w:ascii="Franklin Gothic Book" w:hAnsi="Franklin Gothic Book"/>
          <w:sz w:val="21"/>
          <w:szCs w:val="21"/>
        </w:rPr>
        <w:t>anagement</w:t>
      </w:r>
      <w:r w:rsidRPr="00AC5D82">
        <w:rPr>
          <w:rFonts w:ascii="Franklin Gothic Book" w:hAnsi="Franklin Gothic Book"/>
          <w:sz w:val="21"/>
          <w:szCs w:val="21"/>
        </w:rPr>
        <w:t xml:space="preserve"> law</w:t>
      </w:r>
      <w:r>
        <w:rPr>
          <w:rFonts w:ascii="Franklin Gothic Book" w:hAnsi="Franklin Gothic Book"/>
          <w:sz w:val="21"/>
          <w:szCs w:val="21"/>
        </w:rPr>
        <w:t xml:space="preserve"> which </w:t>
      </w:r>
      <w:r w:rsidRPr="00AC5D82">
        <w:rPr>
          <w:rFonts w:ascii="Franklin Gothic Book" w:hAnsi="Franklin Gothic Book"/>
          <w:sz w:val="21"/>
          <w:szCs w:val="21"/>
        </w:rPr>
        <w:t>clarif</w:t>
      </w:r>
      <w:r>
        <w:rPr>
          <w:rFonts w:ascii="Franklin Gothic Book" w:hAnsi="Franklin Gothic Book"/>
          <w:sz w:val="21"/>
          <w:szCs w:val="21"/>
        </w:rPr>
        <w:t>ies</w:t>
      </w:r>
      <w:r w:rsidRPr="00AC5D82">
        <w:rPr>
          <w:rFonts w:ascii="Franklin Gothic Book" w:hAnsi="Franklin Gothic Book"/>
          <w:sz w:val="21"/>
          <w:szCs w:val="21"/>
        </w:rPr>
        <w:t xml:space="preserve"> institutional roles and responsibilities for disaster preparedness and response. </w:t>
      </w:r>
      <w:r>
        <w:rPr>
          <w:rFonts w:ascii="Franklin Gothic Book" w:hAnsi="Franklin Gothic Book"/>
          <w:sz w:val="21"/>
          <w:szCs w:val="21"/>
        </w:rPr>
        <w:t>T</w:t>
      </w:r>
      <w:r w:rsidRPr="00AC5D82">
        <w:rPr>
          <w:rFonts w:ascii="Franklin Gothic Book" w:hAnsi="Franklin Gothic Book"/>
          <w:sz w:val="21"/>
          <w:szCs w:val="21"/>
        </w:rPr>
        <w:t xml:space="preserve">he Vietnam Women’s Union </w:t>
      </w:r>
      <w:r>
        <w:rPr>
          <w:rFonts w:ascii="Franklin Gothic Book" w:hAnsi="Franklin Gothic Book"/>
          <w:sz w:val="21"/>
          <w:szCs w:val="21"/>
        </w:rPr>
        <w:t xml:space="preserve">joined </w:t>
      </w:r>
      <w:r w:rsidRPr="00AC5D82">
        <w:rPr>
          <w:rFonts w:ascii="Franklin Gothic Book" w:hAnsi="Franklin Gothic Book"/>
          <w:sz w:val="21"/>
          <w:szCs w:val="21"/>
        </w:rPr>
        <w:t>Vietnam’s Central Committee for Flood and Storm Control</w:t>
      </w:r>
      <w:r>
        <w:rPr>
          <w:rFonts w:ascii="Franklin Gothic Book" w:hAnsi="Franklin Gothic Book"/>
          <w:sz w:val="21"/>
          <w:szCs w:val="21"/>
        </w:rPr>
        <w:t xml:space="preserve"> in</w:t>
      </w:r>
      <w:r w:rsidRPr="00AC5D82">
        <w:rPr>
          <w:rFonts w:ascii="Franklin Gothic Book" w:hAnsi="Franklin Gothic Book"/>
          <w:sz w:val="21"/>
          <w:szCs w:val="21"/>
        </w:rPr>
        <w:t xml:space="preserve"> </w:t>
      </w:r>
      <w:r>
        <w:rPr>
          <w:rFonts w:ascii="Franklin Gothic Book" w:hAnsi="Franklin Gothic Book"/>
          <w:sz w:val="21"/>
          <w:szCs w:val="21"/>
        </w:rPr>
        <w:t xml:space="preserve">late </w:t>
      </w:r>
      <w:r w:rsidRPr="00AC5D82">
        <w:rPr>
          <w:rFonts w:ascii="Franklin Gothic Book" w:hAnsi="Franklin Gothic Book"/>
          <w:sz w:val="21"/>
          <w:szCs w:val="21"/>
        </w:rPr>
        <w:t>2013</w:t>
      </w:r>
      <w:r>
        <w:rPr>
          <w:rFonts w:ascii="Franklin Gothic Book" w:hAnsi="Franklin Gothic Book"/>
          <w:sz w:val="21"/>
          <w:szCs w:val="21"/>
        </w:rPr>
        <w:t xml:space="preserve"> which is enhancing the voice of women and on-the-ground stakeholders in planning and decision-making</w:t>
      </w:r>
      <w:r w:rsidRPr="00AC5D82">
        <w:rPr>
          <w:rFonts w:ascii="Franklin Gothic Book" w:hAnsi="Franklin Gothic Book"/>
          <w:sz w:val="21"/>
          <w:szCs w:val="21"/>
        </w:rPr>
        <w:t>.</w:t>
      </w:r>
    </w:p>
    <w:p w:rsidR="00137EC6" w:rsidRDefault="00137EC6" w:rsidP="00137EC6">
      <w:pPr>
        <w:spacing w:after="120" w:line="280" w:lineRule="atLeast"/>
        <w:rPr>
          <w:rFonts w:ascii="Franklin Gothic Book" w:hAnsi="Franklin Gothic Book"/>
          <w:sz w:val="21"/>
          <w:szCs w:val="21"/>
        </w:rPr>
      </w:pPr>
      <w:r>
        <w:rPr>
          <w:rFonts w:ascii="Franklin Gothic Book" w:hAnsi="Franklin Gothic Book"/>
          <w:sz w:val="21"/>
          <w:szCs w:val="21"/>
        </w:rPr>
        <w:t xml:space="preserve">Australia made </w:t>
      </w:r>
      <w:r w:rsidR="0084469F">
        <w:rPr>
          <w:rFonts w:ascii="Franklin Gothic Book" w:hAnsi="Franklin Gothic Book"/>
          <w:sz w:val="21"/>
          <w:szCs w:val="21"/>
        </w:rPr>
        <w:t>a</w:t>
      </w:r>
      <w:r>
        <w:rPr>
          <w:rFonts w:ascii="Franklin Gothic Book" w:hAnsi="Franklin Gothic Book"/>
          <w:sz w:val="21"/>
          <w:szCs w:val="21"/>
        </w:rPr>
        <w:t xml:space="preserve"> second performance-based payment to the Support Program to Respond to Climate Change in June 2014. </w:t>
      </w:r>
      <w:r w:rsidRPr="00047841">
        <w:rPr>
          <w:rFonts w:ascii="Franklin Gothic Book" w:hAnsi="Franklin Gothic Book"/>
          <w:sz w:val="21"/>
          <w:szCs w:val="21"/>
        </w:rPr>
        <w:t xml:space="preserve">Our </w:t>
      </w:r>
      <w:r w:rsidR="00036861">
        <w:rPr>
          <w:rFonts w:ascii="Franklin Gothic Book" w:hAnsi="Franklin Gothic Book"/>
          <w:sz w:val="21"/>
          <w:szCs w:val="21"/>
        </w:rPr>
        <w:t>financial contributions</w:t>
      </w:r>
      <w:r w:rsidRPr="00047841">
        <w:rPr>
          <w:rFonts w:ascii="Franklin Gothic Book" w:hAnsi="Franklin Gothic Book"/>
          <w:sz w:val="21"/>
          <w:szCs w:val="21"/>
        </w:rPr>
        <w:t xml:space="preserve"> and </w:t>
      </w:r>
      <w:r>
        <w:rPr>
          <w:rFonts w:ascii="Franklin Gothic Book" w:hAnsi="Franklin Gothic Book"/>
          <w:sz w:val="21"/>
          <w:szCs w:val="21"/>
        </w:rPr>
        <w:t>advice</w:t>
      </w:r>
      <w:r w:rsidRPr="00047841">
        <w:rPr>
          <w:rFonts w:ascii="Franklin Gothic Book" w:hAnsi="Franklin Gothic Book"/>
          <w:sz w:val="21"/>
          <w:szCs w:val="21"/>
        </w:rPr>
        <w:t xml:space="preserve"> </w:t>
      </w:r>
      <w:r>
        <w:rPr>
          <w:rFonts w:ascii="Franklin Gothic Book" w:hAnsi="Franklin Gothic Book"/>
          <w:sz w:val="21"/>
          <w:szCs w:val="21"/>
        </w:rPr>
        <w:t xml:space="preserve">facilitated </w:t>
      </w:r>
      <w:r w:rsidRPr="00047841">
        <w:rPr>
          <w:rFonts w:ascii="Franklin Gothic Book" w:hAnsi="Franklin Gothic Book"/>
          <w:sz w:val="21"/>
          <w:szCs w:val="21"/>
        </w:rPr>
        <w:t xml:space="preserve">approval of 29 policy </w:t>
      </w:r>
      <w:r>
        <w:rPr>
          <w:rFonts w:ascii="Franklin Gothic Book" w:hAnsi="Franklin Gothic Book"/>
          <w:sz w:val="21"/>
          <w:szCs w:val="21"/>
        </w:rPr>
        <w:t>actions to be undertaken by Vietnamese ministries</w:t>
      </w:r>
      <w:r w:rsidRPr="00047841">
        <w:rPr>
          <w:rFonts w:ascii="Franklin Gothic Book" w:hAnsi="Franklin Gothic Book"/>
          <w:sz w:val="21"/>
          <w:szCs w:val="21"/>
        </w:rPr>
        <w:t xml:space="preserve"> in 2014</w:t>
      </w:r>
      <w:r w:rsidR="00036861">
        <w:rPr>
          <w:rFonts w:ascii="Franklin Gothic Book" w:hAnsi="Franklin Gothic Book"/>
          <w:sz w:val="21"/>
          <w:szCs w:val="21"/>
        </w:rPr>
        <w:t>,</w:t>
      </w:r>
      <w:r w:rsidR="0084469F">
        <w:rPr>
          <w:rFonts w:ascii="Franklin Gothic Book" w:hAnsi="Franklin Gothic Book"/>
          <w:sz w:val="21"/>
          <w:szCs w:val="21"/>
        </w:rPr>
        <w:t xml:space="preserve"> including development of</w:t>
      </w:r>
      <w:r>
        <w:rPr>
          <w:rFonts w:ascii="Franklin Gothic Book" w:hAnsi="Franklin Gothic Book"/>
          <w:sz w:val="21"/>
          <w:szCs w:val="21"/>
        </w:rPr>
        <w:t xml:space="preserve"> </w:t>
      </w:r>
      <w:r w:rsidR="0084469F">
        <w:rPr>
          <w:rFonts w:ascii="Franklin Gothic Book" w:hAnsi="Franklin Gothic Book"/>
          <w:sz w:val="21"/>
          <w:szCs w:val="21"/>
        </w:rPr>
        <w:t>the</w:t>
      </w:r>
      <w:r w:rsidRPr="00621FC6">
        <w:rPr>
          <w:rFonts w:ascii="Franklin Gothic Book" w:hAnsi="Franklin Gothic Book"/>
          <w:sz w:val="21"/>
          <w:szCs w:val="21"/>
        </w:rPr>
        <w:t xml:space="preserve"> </w:t>
      </w:r>
      <w:r w:rsidRPr="00621FC6">
        <w:rPr>
          <w:rFonts w:ascii="Franklin Gothic Book" w:hAnsi="Franklin Gothic Book"/>
          <w:i/>
          <w:sz w:val="21"/>
          <w:szCs w:val="21"/>
        </w:rPr>
        <w:t>National Strategy on Integrated Coastal Management</w:t>
      </w:r>
      <w:r w:rsidRPr="00621FC6">
        <w:rPr>
          <w:rFonts w:ascii="Franklin Gothic Book" w:hAnsi="Franklin Gothic Book"/>
          <w:sz w:val="21"/>
          <w:szCs w:val="21"/>
        </w:rPr>
        <w:t xml:space="preserve"> which directly supports</w:t>
      </w:r>
      <w:r w:rsidRPr="00AC5D82">
        <w:rPr>
          <w:rFonts w:ascii="Franklin Gothic Book" w:hAnsi="Franklin Gothic Book"/>
          <w:sz w:val="21"/>
          <w:szCs w:val="21"/>
        </w:rPr>
        <w:t xml:space="preserve"> </w:t>
      </w:r>
      <w:r w:rsidR="00036861">
        <w:rPr>
          <w:rFonts w:ascii="Franklin Gothic Book" w:hAnsi="Franklin Gothic Book"/>
          <w:sz w:val="21"/>
          <w:szCs w:val="21"/>
        </w:rPr>
        <w:t xml:space="preserve">effective </w:t>
      </w:r>
      <w:r w:rsidRPr="00AC5D82">
        <w:rPr>
          <w:rFonts w:ascii="Franklin Gothic Book" w:hAnsi="Franklin Gothic Book"/>
          <w:sz w:val="21"/>
          <w:szCs w:val="21"/>
        </w:rPr>
        <w:t xml:space="preserve">outcomes of our Integrated Coastal Management Program. </w:t>
      </w:r>
      <w:r w:rsidR="0084469F">
        <w:rPr>
          <w:rFonts w:ascii="Franklin Gothic Book" w:hAnsi="Franklin Gothic Book"/>
          <w:sz w:val="21"/>
          <w:szCs w:val="21"/>
        </w:rPr>
        <w:t>This was our last financial contribution but w</w:t>
      </w:r>
      <w:r>
        <w:rPr>
          <w:rFonts w:ascii="Franklin Gothic Book" w:hAnsi="Franklin Gothic Book"/>
          <w:sz w:val="21"/>
          <w:szCs w:val="21"/>
        </w:rPr>
        <w:t xml:space="preserve">e </w:t>
      </w:r>
      <w:r w:rsidRPr="00AC5D82">
        <w:rPr>
          <w:rFonts w:ascii="Franklin Gothic Book" w:hAnsi="Franklin Gothic Book"/>
          <w:sz w:val="21"/>
          <w:szCs w:val="21"/>
        </w:rPr>
        <w:t xml:space="preserve">will continue to engage </w:t>
      </w:r>
      <w:r>
        <w:rPr>
          <w:rFonts w:ascii="Franklin Gothic Book" w:hAnsi="Franklin Gothic Book"/>
          <w:sz w:val="21"/>
          <w:szCs w:val="21"/>
        </w:rPr>
        <w:t xml:space="preserve">in </w:t>
      </w:r>
      <w:r w:rsidRPr="00AC5D82">
        <w:rPr>
          <w:rFonts w:ascii="Franklin Gothic Book" w:hAnsi="Franklin Gothic Book"/>
          <w:sz w:val="21"/>
          <w:szCs w:val="21"/>
        </w:rPr>
        <w:t xml:space="preserve">policy developments through our partnerships </w:t>
      </w:r>
      <w:r>
        <w:rPr>
          <w:rFonts w:ascii="Franklin Gothic Book" w:hAnsi="Franklin Gothic Book"/>
          <w:sz w:val="21"/>
          <w:szCs w:val="21"/>
        </w:rPr>
        <w:t>with Germany</w:t>
      </w:r>
      <w:r w:rsidRPr="00AC5D82">
        <w:rPr>
          <w:rFonts w:ascii="Franklin Gothic Book" w:hAnsi="Franklin Gothic Book"/>
          <w:sz w:val="21"/>
          <w:szCs w:val="21"/>
        </w:rPr>
        <w:t>, UNDP and NGO</w:t>
      </w:r>
      <w:r>
        <w:rPr>
          <w:rFonts w:ascii="Franklin Gothic Book" w:hAnsi="Franklin Gothic Book"/>
          <w:sz w:val="21"/>
          <w:szCs w:val="21"/>
        </w:rPr>
        <w:t>s</w:t>
      </w:r>
      <w:r w:rsidRPr="00AC5D82">
        <w:rPr>
          <w:rFonts w:ascii="Franklin Gothic Book" w:hAnsi="Franklin Gothic Book"/>
          <w:sz w:val="21"/>
          <w:szCs w:val="21"/>
        </w:rPr>
        <w:t xml:space="preserve">. </w:t>
      </w:r>
    </w:p>
    <w:p w:rsidR="00633757" w:rsidRPr="00AC5D82" w:rsidRDefault="00137EC6" w:rsidP="00137EC6">
      <w:pPr>
        <w:spacing w:after="120" w:line="280" w:lineRule="atLeast"/>
        <w:rPr>
          <w:rFonts w:ascii="Franklin Gothic Book" w:hAnsi="Franklin Gothic Book"/>
          <w:sz w:val="21"/>
          <w:szCs w:val="21"/>
        </w:rPr>
      </w:pPr>
      <w:r>
        <w:rPr>
          <w:rFonts w:ascii="Franklin Gothic Book" w:hAnsi="Franklin Gothic Book"/>
          <w:sz w:val="21"/>
          <w:szCs w:val="21"/>
        </w:rPr>
        <w:t xml:space="preserve">A budget reduction was absorbed this year </w:t>
      </w:r>
      <w:r w:rsidR="0084469F">
        <w:rPr>
          <w:rFonts w:ascii="Franklin Gothic Book" w:hAnsi="Franklin Gothic Book"/>
          <w:sz w:val="21"/>
          <w:szCs w:val="21"/>
        </w:rPr>
        <w:t xml:space="preserve">in part </w:t>
      </w:r>
      <w:r>
        <w:rPr>
          <w:rFonts w:ascii="Franklin Gothic Book" w:hAnsi="Franklin Gothic Book"/>
          <w:sz w:val="21"/>
          <w:szCs w:val="21"/>
        </w:rPr>
        <w:t>by reducing Australia’s total contribution to ICMP from $21.5 million to $16.5 million (2011-2017) during design of its second phase</w:t>
      </w:r>
      <w:r w:rsidR="001D320E">
        <w:rPr>
          <w:rFonts w:ascii="Franklin Gothic Book" w:hAnsi="Franklin Gothic Book"/>
          <w:sz w:val="21"/>
          <w:szCs w:val="21"/>
        </w:rPr>
        <w:t>,</w:t>
      </w:r>
      <w:r w:rsidR="0084469F">
        <w:rPr>
          <w:rFonts w:ascii="Franklin Gothic Book" w:hAnsi="Franklin Gothic Book"/>
          <w:sz w:val="21"/>
          <w:szCs w:val="21"/>
        </w:rPr>
        <w:t xml:space="preserve"> and </w:t>
      </w:r>
      <w:r w:rsidR="001D320E">
        <w:rPr>
          <w:rFonts w:ascii="Franklin Gothic Book" w:hAnsi="Franklin Gothic Book"/>
          <w:sz w:val="21"/>
          <w:szCs w:val="21"/>
        </w:rPr>
        <w:t xml:space="preserve">by </w:t>
      </w:r>
      <w:r>
        <w:rPr>
          <w:rFonts w:ascii="Franklin Gothic Book" w:hAnsi="Franklin Gothic Book"/>
          <w:sz w:val="21"/>
          <w:szCs w:val="21"/>
        </w:rPr>
        <w:t>postponing payments to the ADB and World Bank in line with actual disbursal rate.</w:t>
      </w:r>
      <w:r w:rsidR="00633757" w:rsidRPr="00AC5D82">
        <w:rPr>
          <w:rFonts w:ascii="Franklin Gothic Book" w:hAnsi="Franklin Gothic Book"/>
          <w:sz w:val="21"/>
          <w:szCs w:val="21"/>
        </w:rPr>
        <w:t xml:space="preserve"> </w:t>
      </w:r>
    </w:p>
    <w:p w:rsidR="00F10DA4" w:rsidRDefault="00F10DA4" w:rsidP="00047841">
      <w:pPr>
        <w:pStyle w:val="BodyText"/>
        <w:spacing w:before="120" w:after="120"/>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Cross cutting initiatives</w:t>
      </w:r>
    </w:p>
    <w:p w:rsidR="00F10DA4" w:rsidRPr="00F10DA4" w:rsidRDefault="00F10DA4" w:rsidP="00F10DA4">
      <w:pPr>
        <w:spacing w:after="120" w:line="280" w:lineRule="atLeast"/>
        <w:rPr>
          <w:rFonts w:ascii="Franklin Gothic Book" w:hAnsi="Franklin Gothic Book"/>
          <w:sz w:val="21"/>
          <w:szCs w:val="21"/>
        </w:rPr>
      </w:pPr>
      <w:r w:rsidRPr="00F10DA4">
        <w:rPr>
          <w:rFonts w:ascii="Franklin Gothic Book" w:hAnsi="Franklin Gothic Book"/>
          <w:sz w:val="21"/>
          <w:szCs w:val="21"/>
        </w:rPr>
        <w:t xml:space="preserve">Australia supports </w:t>
      </w:r>
      <w:r w:rsidR="002A4C57">
        <w:rPr>
          <w:rFonts w:ascii="Franklin Gothic Book" w:hAnsi="Franklin Gothic Book"/>
          <w:sz w:val="21"/>
          <w:szCs w:val="21"/>
        </w:rPr>
        <w:t xml:space="preserve">a Human Rights Technical Cooperation Program, delivered </w:t>
      </w:r>
      <w:r w:rsidR="002A4C57" w:rsidRPr="00F10DA4">
        <w:rPr>
          <w:rFonts w:ascii="Franklin Gothic Book" w:hAnsi="Franklin Gothic Book"/>
          <w:sz w:val="21"/>
          <w:szCs w:val="21"/>
        </w:rPr>
        <w:t>in partnership with the Australian Human Rights Commission</w:t>
      </w:r>
      <w:r w:rsidR="002A4C57">
        <w:rPr>
          <w:rFonts w:ascii="Franklin Gothic Book" w:hAnsi="Franklin Gothic Book"/>
          <w:sz w:val="21"/>
          <w:szCs w:val="21"/>
        </w:rPr>
        <w:t>, which undertakes practical capacity building</w:t>
      </w:r>
      <w:r w:rsidRPr="00F10DA4">
        <w:rPr>
          <w:rFonts w:ascii="Franklin Gothic Book" w:hAnsi="Franklin Gothic Book"/>
          <w:sz w:val="21"/>
          <w:szCs w:val="21"/>
        </w:rPr>
        <w:t xml:space="preserve"> activities </w:t>
      </w:r>
      <w:r w:rsidR="002A4C57">
        <w:rPr>
          <w:rFonts w:ascii="Franklin Gothic Book" w:hAnsi="Franklin Gothic Book"/>
          <w:sz w:val="21"/>
          <w:szCs w:val="21"/>
        </w:rPr>
        <w:t xml:space="preserve">to support </w:t>
      </w:r>
      <w:r w:rsidR="002A4C57">
        <w:rPr>
          <w:rFonts w:ascii="Franklin Gothic Book" w:hAnsi="Franklin Gothic Book"/>
          <w:sz w:val="21"/>
          <w:szCs w:val="21"/>
        </w:rPr>
        <w:lastRenderedPageBreak/>
        <w:t>our annual Human Rights Dialogue with Vietnam</w:t>
      </w:r>
      <w:r w:rsidRPr="00F10DA4">
        <w:rPr>
          <w:rFonts w:ascii="Franklin Gothic Book" w:hAnsi="Franklin Gothic Book"/>
          <w:sz w:val="21"/>
          <w:szCs w:val="21"/>
        </w:rPr>
        <w:t>. In 2013-14</w:t>
      </w:r>
      <w:r w:rsidR="002A4C57">
        <w:rPr>
          <w:rFonts w:ascii="Franklin Gothic Book" w:hAnsi="Franklin Gothic Book"/>
          <w:sz w:val="21"/>
          <w:szCs w:val="21"/>
        </w:rPr>
        <w:t>,</w:t>
      </w:r>
      <w:r w:rsidRPr="00F10DA4">
        <w:rPr>
          <w:rFonts w:ascii="Franklin Gothic Book" w:hAnsi="Franklin Gothic Book"/>
          <w:sz w:val="21"/>
          <w:szCs w:val="21"/>
        </w:rPr>
        <w:t xml:space="preserve"> </w:t>
      </w:r>
      <w:r w:rsidR="002A4C57">
        <w:rPr>
          <w:rFonts w:ascii="Franklin Gothic Book" w:hAnsi="Franklin Gothic Book"/>
          <w:sz w:val="21"/>
          <w:szCs w:val="21"/>
        </w:rPr>
        <w:t xml:space="preserve">Phase Four activities </w:t>
      </w:r>
      <w:r w:rsidRPr="00F10DA4">
        <w:rPr>
          <w:rFonts w:ascii="Franklin Gothic Book" w:hAnsi="Franklin Gothic Book"/>
          <w:sz w:val="21"/>
          <w:szCs w:val="21"/>
        </w:rPr>
        <w:t xml:space="preserve">improved access to legal counselling services </w:t>
      </w:r>
      <w:r w:rsidR="00C85FAB">
        <w:rPr>
          <w:rFonts w:ascii="Franklin Gothic Book" w:hAnsi="Franklin Gothic Book"/>
          <w:sz w:val="21"/>
          <w:szCs w:val="21"/>
        </w:rPr>
        <w:t>for</w:t>
      </w:r>
      <w:r w:rsidRPr="00F10DA4">
        <w:rPr>
          <w:rFonts w:ascii="Franklin Gothic Book" w:hAnsi="Franklin Gothic Book"/>
          <w:sz w:val="21"/>
          <w:szCs w:val="21"/>
        </w:rPr>
        <w:t xml:space="preserve"> vulnerable women </w:t>
      </w:r>
      <w:r w:rsidR="00C85FAB">
        <w:rPr>
          <w:rFonts w:ascii="Franklin Gothic Book" w:hAnsi="Franklin Gothic Book"/>
          <w:sz w:val="21"/>
          <w:szCs w:val="21"/>
        </w:rPr>
        <w:t>in</w:t>
      </w:r>
      <w:r w:rsidRPr="00F10DA4">
        <w:rPr>
          <w:rFonts w:ascii="Franklin Gothic Book" w:hAnsi="Franklin Gothic Book"/>
          <w:sz w:val="21"/>
          <w:szCs w:val="21"/>
        </w:rPr>
        <w:t xml:space="preserve"> five provinces and improved public awareness of the </w:t>
      </w:r>
      <w:r w:rsidR="00C85FAB">
        <w:rPr>
          <w:rFonts w:ascii="Franklin Gothic Book" w:hAnsi="Franklin Gothic Book"/>
          <w:sz w:val="21"/>
          <w:szCs w:val="21"/>
        </w:rPr>
        <w:t>new</w:t>
      </w:r>
      <w:r w:rsidRPr="00F10DA4">
        <w:rPr>
          <w:rFonts w:ascii="Franklin Gothic Book" w:hAnsi="Franklin Gothic Book"/>
          <w:sz w:val="21"/>
          <w:szCs w:val="21"/>
        </w:rPr>
        <w:t xml:space="preserve"> State Compensation Law by distributing 126</w:t>
      </w:r>
      <w:r w:rsidR="002A4C57">
        <w:rPr>
          <w:rFonts w:ascii="Franklin Gothic Book" w:hAnsi="Franklin Gothic Book"/>
          <w:sz w:val="21"/>
          <w:szCs w:val="21"/>
        </w:rPr>
        <w:t> </w:t>
      </w:r>
      <w:r w:rsidRPr="00F10DA4">
        <w:rPr>
          <w:rFonts w:ascii="Franklin Gothic Book" w:hAnsi="Franklin Gothic Book"/>
          <w:sz w:val="21"/>
          <w:szCs w:val="21"/>
        </w:rPr>
        <w:t>000 copies of education materials.</w:t>
      </w:r>
      <w:r w:rsidR="002A4C57">
        <w:rPr>
          <w:rFonts w:ascii="Franklin Gothic Book" w:hAnsi="Franklin Gothic Book"/>
          <w:sz w:val="21"/>
          <w:szCs w:val="21"/>
        </w:rPr>
        <w:t xml:space="preserve"> </w:t>
      </w:r>
      <w:r w:rsidR="0081201B">
        <w:rPr>
          <w:rFonts w:ascii="Franklin Gothic Book" w:hAnsi="Franklin Gothic Book"/>
          <w:sz w:val="21"/>
          <w:szCs w:val="21"/>
        </w:rPr>
        <w:t>Phase Five design has been completed, with activities to commence in 2014-15.</w:t>
      </w:r>
    </w:p>
    <w:p w:rsidR="00436B83" w:rsidRDefault="00436B83" w:rsidP="00047841">
      <w:pPr>
        <w:pStyle w:val="BodyText"/>
        <w:spacing w:before="120" w:after="120"/>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 xml:space="preserve">Regional and </w:t>
      </w:r>
      <w:r w:rsidR="0038528D">
        <w:rPr>
          <w:rFonts w:ascii="Helvetica" w:hAnsi="Helvetica" w:cs="Arial"/>
          <w:b/>
          <w:color w:val="124486"/>
          <w:kern w:val="28"/>
          <w:sz w:val="22"/>
          <w:szCs w:val="22"/>
          <w:lang w:eastAsia="zh-CN"/>
        </w:rPr>
        <w:t>g</w:t>
      </w:r>
      <w:r>
        <w:rPr>
          <w:rFonts w:ascii="Helvetica" w:hAnsi="Helvetica" w:cs="Arial"/>
          <w:b/>
          <w:color w:val="124486"/>
          <w:kern w:val="28"/>
          <w:sz w:val="22"/>
          <w:szCs w:val="22"/>
          <w:lang w:eastAsia="zh-CN"/>
        </w:rPr>
        <w:t xml:space="preserve">lobal </w:t>
      </w:r>
      <w:r w:rsidR="0038528D">
        <w:rPr>
          <w:rFonts w:ascii="Helvetica" w:hAnsi="Helvetica" w:cs="Arial"/>
          <w:b/>
          <w:color w:val="124486"/>
          <w:kern w:val="28"/>
          <w:sz w:val="22"/>
          <w:szCs w:val="22"/>
          <w:lang w:eastAsia="zh-CN"/>
        </w:rPr>
        <w:t>initiatives</w:t>
      </w:r>
    </w:p>
    <w:p w:rsidR="007A5230" w:rsidRDefault="00573363" w:rsidP="00047841">
      <w:pPr>
        <w:pStyle w:val="BodyText"/>
        <w:rPr>
          <w:rFonts w:cs="Helvetica 55 Roman"/>
          <w:color w:val="000000"/>
          <w:szCs w:val="21"/>
        </w:rPr>
      </w:pPr>
      <w:r>
        <w:t>T</w:t>
      </w:r>
      <w:r w:rsidR="00753158">
        <w:t xml:space="preserve">he </w:t>
      </w:r>
      <w:r w:rsidR="007A5230" w:rsidRPr="00837906">
        <w:t xml:space="preserve">Greater Mekong Subregion </w:t>
      </w:r>
      <w:r w:rsidR="00B57DB8">
        <w:t xml:space="preserve">Trade and </w:t>
      </w:r>
      <w:r w:rsidR="007A5230" w:rsidRPr="00837906">
        <w:t xml:space="preserve">Transport Facility </w:t>
      </w:r>
      <w:r w:rsidR="00F9729B">
        <w:rPr>
          <w:color w:val="000000" w:themeColor="text1"/>
        </w:rPr>
        <w:t xml:space="preserve">reported its </w:t>
      </w:r>
      <w:r w:rsidR="00753158">
        <w:t xml:space="preserve">success </w:t>
      </w:r>
      <w:r w:rsidR="00F9729B">
        <w:t xml:space="preserve">in supporting </w:t>
      </w:r>
      <w:r w:rsidR="00753158">
        <w:t xml:space="preserve">agreements </w:t>
      </w:r>
      <w:r w:rsidR="00F9729B">
        <w:t>on</w:t>
      </w:r>
      <w:r w:rsidR="00753158">
        <w:t xml:space="preserve"> road transport (Vietnam-China) and increas</w:t>
      </w:r>
      <w:r w:rsidR="00F9729B">
        <w:t>ing</w:t>
      </w:r>
      <w:r w:rsidR="00753158">
        <w:t xml:space="preserve"> transport permit quotas for cross-border transport (Vietnam-Cambodia). </w:t>
      </w:r>
      <w:r w:rsidR="00F9729B">
        <w:t>T</w:t>
      </w:r>
      <w:r w:rsidR="00753158">
        <w:t xml:space="preserve">ogether with </w:t>
      </w:r>
      <w:r w:rsidR="00F9729B">
        <w:t xml:space="preserve">bilateral </w:t>
      </w:r>
      <w:r w:rsidR="00753158">
        <w:t xml:space="preserve">investment in </w:t>
      </w:r>
      <w:r w:rsidR="00F9729B">
        <w:t xml:space="preserve">key infrastructure projects like the Southern Coastal Corridor and Cao Lanh bridge, the Facility </w:t>
      </w:r>
      <w:r w:rsidR="008F5774">
        <w:t>will improve trade</w:t>
      </w:r>
      <w:r w:rsidR="00F9729B">
        <w:t xml:space="preserve"> and </w:t>
      </w:r>
      <w:r w:rsidR="008F5774">
        <w:t>investment links between Vietnam and other countries in the region.</w:t>
      </w:r>
      <w:r w:rsidR="00753158">
        <w:t xml:space="preserve"> </w:t>
      </w:r>
      <w:r w:rsidR="007A5230" w:rsidRPr="007A5230">
        <w:rPr>
          <w:szCs w:val="21"/>
        </w:rPr>
        <w:t xml:space="preserve">Australia is taking a leadership role in bringing together countries across the region to ultimately eliminate malaria. </w:t>
      </w:r>
      <w:r w:rsidR="002070AF">
        <w:rPr>
          <w:szCs w:val="21"/>
        </w:rPr>
        <w:t>A</w:t>
      </w:r>
      <w:r w:rsidR="002070AF">
        <w:rPr>
          <w:rFonts w:cs="Helvetica 55 Roman"/>
          <w:color w:val="000000"/>
          <w:szCs w:val="21"/>
        </w:rPr>
        <w:t xml:space="preserve">t the East Asia Summit in October 2013, </w:t>
      </w:r>
      <w:r w:rsidR="002070AF" w:rsidRPr="00047841">
        <w:rPr>
          <w:rFonts w:cs="Helvetica 55 Roman"/>
          <w:color w:val="000000"/>
          <w:szCs w:val="21"/>
        </w:rPr>
        <w:t>Prime Minister</w:t>
      </w:r>
      <w:r w:rsidR="002070AF">
        <w:rPr>
          <w:rFonts w:cs="Helvetica 55 Roman"/>
          <w:color w:val="000000"/>
          <w:szCs w:val="21"/>
        </w:rPr>
        <w:t>s</w:t>
      </w:r>
      <w:r w:rsidR="002070AF" w:rsidRPr="00047841">
        <w:rPr>
          <w:rFonts w:cs="Helvetica 55 Roman"/>
          <w:color w:val="000000"/>
          <w:szCs w:val="21"/>
        </w:rPr>
        <w:t xml:space="preserve"> </w:t>
      </w:r>
      <w:r w:rsidR="002070AF">
        <w:rPr>
          <w:rFonts w:cs="Helvetica 55 Roman"/>
          <w:color w:val="000000"/>
          <w:szCs w:val="21"/>
        </w:rPr>
        <w:t xml:space="preserve">of </w:t>
      </w:r>
      <w:r w:rsidR="007A5230" w:rsidRPr="00047841">
        <w:rPr>
          <w:rFonts w:cs="Helvetica 55 Roman"/>
          <w:color w:val="000000"/>
          <w:szCs w:val="21"/>
        </w:rPr>
        <w:t xml:space="preserve">Australia and Vietnam initiated the Asia-Pacific Leaders Malaria Alliance </w:t>
      </w:r>
      <w:r w:rsidR="00EE7284">
        <w:rPr>
          <w:rFonts w:cs="Helvetica 55 Roman"/>
          <w:color w:val="000000"/>
          <w:szCs w:val="21"/>
        </w:rPr>
        <w:t xml:space="preserve">to achieve this </w:t>
      </w:r>
      <w:r w:rsidR="00F26DB3">
        <w:rPr>
          <w:rFonts w:cs="Helvetica 55 Roman"/>
          <w:color w:val="000000"/>
          <w:szCs w:val="21"/>
        </w:rPr>
        <w:t>goal</w:t>
      </w:r>
      <w:r w:rsidR="00EE7284">
        <w:rPr>
          <w:rFonts w:cs="Helvetica 55 Roman"/>
          <w:color w:val="000000"/>
          <w:szCs w:val="21"/>
        </w:rPr>
        <w:t xml:space="preserve">. </w:t>
      </w:r>
      <w:r w:rsidR="002070AF">
        <w:rPr>
          <w:rFonts w:cs="Helvetica 55 Roman"/>
          <w:color w:val="000000"/>
          <w:szCs w:val="21"/>
        </w:rPr>
        <w:t xml:space="preserve">With </w:t>
      </w:r>
      <w:r w:rsidR="00EE7284">
        <w:rPr>
          <w:rFonts w:cs="Helvetica 55 Roman"/>
          <w:color w:val="000000"/>
          <w:szCs w:val="21"/>
        </w:rPr>
        <w:t>secretariat support from the ADB</w:t>
      </w:r>
      <w:r w:rsidR="002070AF">
        <w:rPr>
          <w:rFonts w:cs="Helvetica 55 Roman"/>
          <w:color w:val="000000"/>
          <w:szCs w:val="21"/>
        </w:rPr>
        <w:t>,</w:t>
      </w:r>
      <w:r w:rsidR="00EE7284">
        <w:rPr>
          <w:rFonts w:cs="Helvetica 55 Roman"/>
          <w:color w:val="000000"/>
          <w:szCs w:val="21"/>
        </w:rPr>
        <w:t xml:space="preserve"> Australia is working with Vietnam to take forward this important regional initiative</w:t>
      </w:r>
      <w:r w:rsidR="007A5230" w:rsidRPr="00047841">
        <w:rPr>
          <w:rFonts w:cs="Helvetica 55 Roman"/>
          <w:color w:val="000000"/>
          <w:szCs w:val="21"/>
        </w:rPr>
        <w:t>.</w:t>
      </w:r>
    </w:p>
    <w:p w:rsidR="00D320DC" w:rsidRDefault="00B624E6" w:rsidP="00047841">
      <w:pPr>
        <w:pStyle w:val="BodyText"/>
        <w:rPr>
          <w:szCs w:val="21"/>
        </w:rPr>
      </w:pPr>
      <w:r>
        <w:rPr>
          <w:szCs w:val="21"/>
        </w:rPr>
        <w:t>In 2013-14, u</w:t>
      </w:r>
      <w:r w:rsidR="00D320DC" w:rsidRPr="00D320DC">
        <w:rPr>
          <w:szCs w:val="21"/>
        </w:rPr>
        <w:t>nder a regional partnership with UN Women</w:t>
      </w:r>
      <w:r>
        <w:rPr>
          <w:szCs w:val="21"/>
        </w:rPr>
        <w:t xml:space="preserve">, </w:t>
      </w:r>
      <w:r w:rsidR="00D320DC" w:rsidRPr="00D320DC">
        <w:rPr>
          <w:szCs w:val="21"/>
        </w:rPr>
        <w:t>we commissioned a national assessment of women’s economic livelihoods to inform the development of Vietnam’s National Programme on Gender Equality.</w:t>
      </w:r>
      <w:r>
        <w:rPr>
          <w:szCs w:val="21"/>
        </w:rPr>
        <w:t xml:space="preserve"> Vietnam’s first Government Partnerships for Development </w:t>
      </w:r>
      <w:r w:rsidR="005F5D9F">
        <w:rPr>
          <w:szCs w:val="21"/>
        </w:rPr>
        <w:t>project began</w:t>
      </w:r>
      <w:r>
        <w:rPr>
          <w:szCs w:val="21"/>
        </w:rPr>
        <w:t xml:space="preserve"> in early 2014, supporting a project between Flinders University and the Vietnam Women’s Union to combat gender-based violence and trafficking.</w:t>
      </w:r>
    </w:p>
    <w:p w:rsidR="00436B83" w:rsidRDefault="00436B83" w:rsidP="00047841">
      <w:pPr>
        <w:pStyle w:val="BodyText"/>
        <w:spacing w:before="120" w:after="120"/>
        <w:rPr>
          <w:rFonts w:ascii="Helvetica" w:hAnsi="Helvetica" w:cs="Arial"/>
          <w:b/>
          <w:color w:val="124486"/>
          <w:kern w:val="28"/>
          <w:sz w:val="22"/>
          <w:szCs w:val="22"/>
          <w:lang w:eastAsia="zh-CN"/>
        </w:rPr>
      </w:pPr>
      <w:r>
        <w:rPr>
          <w:rFonts w:ascii="Helvetica" w:hAnsi="Helvetica" w:cs="Arial"/>
          <w:b/>
          <w:color w:val="124486"/>
          <w:kern w:val="28"/>
          <w:sz w:val="22"/>
          <w:szCs w:val="22"/>
          <w:lang w:eastAsia="zh-CN"/>
        </w:rPr>
        <w:t xml:space="preserve">Other Government </w:t>
      </w:r>
      <w:r w:rsidR="00C70934">
        <w:rPr>
          <w:rFonts w:ascii="Helvetica" w:hAnsi="Helvetica" w:cs="Arial"/>
          <w:b/>
          <w:color w:val="124486"/>
          <w:kern w:val="28"/>
          <w:sz w:val="22"/>
          <w:szCs w:val="22"/>
          <w:lang w:eastAsia="zh-CN"/>
        </w:rPr>
        <w:t>d</w:t>
      </w:r>
      <w:r>
        <w:rPr>
          <w:rFonts w:ascii="Helvetica" w:hAnsi="Helvetica" w:cs="Arial"/>
          <w:b/>
          <w:color w:val="124486"/>
          <w:kern w:val="28"/>
          <w:sz w:val="22"/>
          <w:szCs w:val="22"/>
          <w:lang w:eastAsia="zh-CN"/>
        </w:rPr>
        <w:t>epar</w:t>
      </w:r>
      <w:r w:rsidR="00506452">
        <w:rPr>
          <w:rFonts w:ascii="Helvetica" w:hAnsi="Helvetica" w:cs="Arial"/>
          <w:b/>
          <w:color w:val="124486"/>
          <w:kern w:val="28"/>
          <w:sz w:val="22"/>
          <w:szCs w:val="22"/>
          <w:lang w:eastAsia="zh-CN"/>
        </w:rPr>
        <w:t>tment</w:t>
      </w:r>
      <w:r w:rsidR="00EE7284">
        <w:rPr>
          <w:rFonts w:ascii="Helvetica" w:hAnsi="Helvetica" w:cs="Arial"/>
          <w:b/>
          <w:color w:val="124486"/>
          <w:kern w:val="28"/>
          <w:sz w:val="22"/>
          <w:szCs w:val="22"/>
          <w:lang w:eastAsia="zh-CN"/>
        </w:rPr>
        <w:t>s</w:t>
      </w:r>
    </w:p>
    <w:p w:rsidR="007003E5" w:rsidRPr="00047841" w:rsidRDefault="00EE7284" w:rsidP="00837906">
      <w:pPr>
        <w:pStyle w:val="BodyText"/>
        <w:spacing w:after="120" w:line="280" w:lineRule="atLeast"/>
        <w:rPr>
          <w:lang w:val="en-US"/>
        </w:rPr>
      </w:pPr>
      <w:r>
        <w:rPr>
          <w:lang w:val="en-US"/>
        </w:rPr>
        <w:t>DFAT works closely with A</w:t>
      </w:r>
      <w:r w:rsidR="00815FBE">
        <w:rPr>
          <w:lang w:val="en-US"/>
        </w:rPr>
        <w:t xml:space="preserve">ustralian </w:t>
      </w:r>
      <w:r>
        <w:rPr>
          <w:lang w:val="en-US"/>
        </w:rPr>
        <w:t>E</w:t>
      </w:r>
      <w:r w:rsidR="00815FBE">
        <w:rPr>
          <w:lang w:val="en-US"/>
        </w:rPr>
        <w:t xml:space="preserve">ducation </w:t>
      </w:r>
      <w:r>
        <w:rPr>
          <w:lang w:val="en-US"/>
        </w:rPr>
        <w:t>I</w:t>
      </w:r>
      <w:r w:rsidR="00815FBE">
        <w:rPr>
          <w:lang w:val="en-US"/>
        </w:rPr>
        <w:t>nternational</w:t>
      </w:r>
      <w:r>
        <w:rPr>
          <w:lang w:val="en-US"/>
        </w:rPr>
        <w:t xml:space="preserve"> and Austrade to achieve objective one of the country strategy. To support achievement of objectives three and four</w:t>
      </w:r>
      <w:r w:rsidR="00621FC6">
        <w:rPr>
          <w:lang w:val="en-US"/>
        </w:rPr>
        <w:t>,</w:t>
      </w:r>
      <w:r>
        <w:rPr>
          <w:lang w:val="en-US"/>
        </w:rPr>
        <w:t xml:space="preserve"> DFAT also works closely with the </w:t>
      </w:r>
      <w:r w:rsidR="00753158" w:rsidRPr="00887127">
        <w:rPr>
          <w:lang w:val="en-US"/>
        </w:rPr>
        <w:t>Australian Centre for International Agricultural Research</w:t>
      </w:r>
      <w:r w:rsidR="00753158" w:rsidRPr="0067265F">
        <w:rPr>
          <w:lang w:val="en-US"/>
        </w:rPr>
        <w:t xml:space="preserve"> </w:t>
      </w:r>
      <w:r>
        <w:rPr>
          <w:lang w:val="en-US"/>
        </w:rPr>
        <w:t xml:space="preserve">(ACIAR) </w:t>
      </w:r>
      <w:r w:rsidR="00753158" w:rsidRPr="0067265F">
        <w:rPr>
          <w:lang w:val="en-US"/>
        </w:rPr>
        <w:t>in Vietnam</w:t>
      </w:r>
      <w:r>
        <w:rPr>
          <w:lang w:val="en-US"/>
        </w:rPr>
        <w:t xml:space="preserve">. ACIAR </w:t>
      </w:r>
      <w:r w:rsidR="00753158" w:rsidRPr="0067265F">
        <w:rPr>
          <w:lang w:val="en-US"/>
        </w:rPr>
        <w:t>supports technical and agribusiness research to enhance smallholder incomes from selected areas of high-value agriculture, aquaculture and forestry.</w:t>
      </w:r>
      <w:r w:rsidR="00506452">
        <w:rPr>
          <w:lang w:val="en-US"/>
        </w:rPr>
        <w:t xml:space="preserve"> </w:t>
      </w:r>
    </w:p>
    <w:p w:rsidR="000D733F" w:rsidRPr="00047841" w:rsidRDefault="000D733F" w:rsidP="00047841">
      <w:pPr>
        <w:pStyle w:val="Heading2"/>
        <w:spacing w:before="120" w:line="280" w:lineRule="atLeast"/>
        <w:rPr>
          <w:sz w:val="28"/>
        </w:rPr>
      </w:pPr>
      <w:r w:rsidRPr="00047841">
        <w:rPr>
          <w:sz w:val="28"/>
        </w:rPr>
        <w:t xml:space="preserve">Mutual </w:t>
      </w:r>
      <w:r w:rsidR="00C70934">
        <w:rPr>
          <w:sz w:val="28"/>
        </w:rPr>
        <w:t>o</w:t>
      </w:r>
      <w:r w:rsidRPr="00047841">
        <w:rPr>
          <w:sz w:val="28"/>
        </w:rPr>
        <w:t>bligations</w:t>
      </w:r>
    </w:p>
    <w:p w:rsidR="00201A5E" w:rsidRDefault="00201A5E" w:rsidP="00201A5E">
      <w:pPr>
        <w:spacing w:after="120" w:line="280" w:lineRule="atLeast"/>
        <w:contextualSpacing/>
        <w:rPr>
          <w:rFonts w:ascii="Franklin Gothic Book" w:eastAsia="Times New Roman" w:hAnsi="Franklin Gothic Book"/>
          <w:sz w:val="21"/>
        </w:rPr>
      </w:pPr>
      <w:r>
        <w:rPr>
          <w:rFonts w:ascii="Franklin Gothic Book" w:eastAsia="Times New Roman" w:hAnsi="Franklin Gothic Book"/>
          <w:sz w:val="21"/>
        </w:rPr>
        <w:t xml:space="preserve">In December 2013, Vietnam’s Prime Minister chaired the first Vietnam Development Partnership Forum, replacing the previous Consultative Group format. The Forum provides a </w:t>
      </w:r>
      <w:r w:rsidRPr="00431B2F">
        <w:rPr>
          <w:rFonts w:ascii="Franklin Gothic Book" w:eastAsia="Times New Roman" w:hAnsi="Franklin Gothic Book"/>
          <w:sz w:val="21"/>
        </w:rPr>
        <w:t xml:space="preserve">high level policy platform </w:t>
      </w:r>
      <w:r>
        <w:rPr>
          <w:rFonts w:ascii="Franklin Gothic Book" w:eastAsia="Times New Roman" w:hAnsi="Franklin Gothic Book"/>
          <w:sz w:val="21"/>
        </w:rPr>
        <w:t>for</w:t>
      </w:r>
      <w:r w:rsidRPr="00431B2F">
        <w:rPr>
          <w:rFonts w:ascii="Franklin Gothic Book" w:eastAsia="Times New Roman" w:hAnsi="Franklin Gothic Book"/>
          <w:sz w:val="21"/>
        </w:rPr>
        <w:t xml:space="preserve"> donors and top Government </w:t>
      </w:r>
      <w:r>
        <w:rPr>
          <w:rFonts w:ascii="Franklin Gothic Book" w:eastAsia="Times New Roman" w:hAnsi="Franklin Gothic Book"/>
          <w:sz w:val="21"/>
        </w:rPr>
        <w:t xml:space="preserve">of Vietnam </w:t>
      </w:r>
      <w:r w:rsidRPr="00431B2F">
        <w:rPr>
          <w:rFonts w:ascii="Franklin Gothic Book" w:eastAsia="Times New Roman" w:hAnsi="Franklin Gothic Book"/>
          <w:sz w:val="21"/>
        </w:rPr>
        <w:t>leaders to discuss macro</w:t>
      </w:r>
      <w:r>
        <w:rPr>
          <w:rFonts w:ascii="Franklin Gothic Book" w:eastAsia="Times New Roman" w:hAnsi="Franklin Gothic Book"/>
          <w:sz w:val="21"/>
        </w:rPr>
        <w:t>-</w:t>
      </w:r>
      <w:r w:rsidRPr="00431B2F">
        <w:rPr>
          <w:rFonts w:ascii="Franklin Gothic Book" w:eastAsia="Times New Roman" w:hAnsi="Franklin Gothic Book"/>
          <w:sz w:val="21"/>
        </w:rPr>
        <w:t>economic issues and other reforms which are crucial to Vietnam</w:t>
      </w:r>
      <w:r>
        <w:rPr>
          <w:rFonts w:ascii="Franklin Gothic Book" w:eastAsia="Times New Roman" w:hAnsi="Franklin Gothic Book"/>
          <w:sz w:val="21"/>
        </w:rPr>
        <w:t xml:space="preserve">’s </w:t>
      </w:r>
      <w:r w:rsidRPr="00431B2F">
        <w:rPr>
          <w:rFonts w:ascii="Franklin Gothic Book" w:eastAsia="Times New Roman" w:hAnsi="Franklin Gothic Book"/>
          <w:sz w:val="21"/>
        </w:rPr>
        <w:t>development</w:t>
      </w:r>
      <w:r>
        <w:rPr>
          <w:rFonts w:ascii="Franklin Gothic Book" w:eastAsia="Times New Roman" w:hAnsi="Franklin Gothic Book"/>
          <w:sz w:val="21"/>
        </w:rPr>
        <w:t xml:space="preserve">. </w:t>
      </w:r>
      <w:r w:rsidR="00C82CE8">
        <w:rPr>
          <w:rFonts w:ascii="Franklin Gothic Book" w:eastAsia="Times New Roman" w:hAnsi="Franklin Gothic Book"/>
          <w:sz w:val="21"/>
        </w:rPr>
        <w:t xml:space="preserve">This </w:t>
      </w:r>
      <w:r w:rsidR="0055678B">
        <w:rPr>
          <w:rFonts w:ascii="Franklin Gothic Book" w:eastAsia="Times New Roman" w:hAnsi="Franklin Gothic Book"/>
          <w:sz w:val="21"/>
        </w:rPr>
        <w:t>constructive dialogue</w:t>
      </w:r>
      <w:r w:rsidRPr="00431B2F">
        <w:rPr>
          <w:rFonts w:ascii="Franklin Gothic Book" w:eastAsia="Times New Roman" w:hAnsi="Franklin Gothic Book"/>
          <w:sz w:val="21"/>
        </w:rPr>
        <w:t xml:space="preserve"> </w:t>
      </w:r>
      <w:r w:rsidR="0055678B">
        <w:rPr>
          <w:rFonts w:ascii="Franklin Gothic Book" w:eastAsia="Times New Roman" w:hAnsi="Franklin Gothic Book"/>
          <w:sz w:val="21"/>
        </w:rPr>
        <w:t xml:space="preserve">has been a welcome evolution </w:t>
      </w:r>
      <w:r w:rsidR="0035130E">
        <w:rPr>
          <w:rFonts w:ascii="Franklin Gothic Book" w:eastAsia="Times New Roman" w:hAnsi="Franklin Gothic Book"/>
          <w:sz w:val="21"/>
        </w:rPr>
        <w:t xml:space="preserve">of </w:t>
      </w:r>
      <w:r w:rsidR="00236636">
        <w:rPr>
          <w:rFonts w:ascii="Franklin Gothic Book" w:eastAsia="Times New Roman" w:hAnsi="Franklin Gothic Book"/>
          <w:sz w:val="21"/>
        </w:rPr>
        <w:t>the approach</w:t>
      </w:r>
      <w:r w:rsidR="0035130E">
        <w:rPr>
          <w:rFonts w:ascii="Franklin Gothic Book" w:eastAsia="Times New Roman" w:hAnsi="Franklin Gothic Book"/>
          <w:sz w:val="21"/>
        </w:rPr>
        <w:t xml:space="preserve"> to donor consultation and is a format </w:t>
      </w:r>
      <w:r>
        <w:rPr>
          <w:rFonts w:ascii="Franklin Gothic Book" w:eastAsia="Times New Roman" w:hAnsi="Franklin Gothic Book"/>
          <w:sz w:val="21"/>
        </w:rPr>
        <w:t>suitable for a middle income country with a rapidly changing ODA landscape.</w:t>
      </w:r>
      <w:r w:rsidRPr="00431B2F">
        <w:rPr>
          <w:rFonts w:ascii="Franklin Gothic Book" w:eastAsia="Times New Roman" w:hAnsi="Franklin Gothic Book"/>
          <w:sz w:val="21"/>
        </w:rPr>
        <w:t xml:space="preserve"> </w:t>
      </w:r>
      <w:r w:rsidR="0055678B">
        <w:rPr>
          <w:rFonts w:ascii="Franklin Gothic Book" w:eastAsia="Times New Roman" w:hAnsi="Franklin Gothic Book"/>
          <w:sz w:val="21"/>
        </w:rPr>
        <w:t>F</w:t>
      </w:r>
      <w:r w:rsidRPr="00431B2F">
        <w:rPr>
          <w:rFonts w:ascii="Franklin Gothic Book" w:eastAsia="Times New Roman" w:hAnsi="Franklin Gothic Book"/>
          <w:sz w:val="21"/>
        </w:rPr>
        <w:t>our working groups</w:t>
      </w:r>
      <w:r w:rsidRPr="00431B2F">
        <w:rPr>
          <w:rFonts w:ascii="Franklin Gothic Book" w:eastAsia="Times New Roman" w:hAnsi="Franklin Gothic Book"/>
          <w:sz w:val="21"/>
          <w:vertAlign w:val="superscript"/>
        </w:rPr>
        <w:footnoteReference w:id="15"/>
      </w:r>
      <w:r w:rsidRPr="00431B2F">
        <w:rPr>
          <w:rFonts w:ascii="Franklin Gothic Book" w:eastAsia="Times New Roman" w:hAnsi="Franklin Gothic Book"/>
          <w:sz w:val="21"/>
        </w:rPr>
        <w:t xml:space="preserve"> were </w:t>
      </w:r>
      <w:r>
        <w:rPr>
          <w:rFonts w:ascii="Franklin Gothic Book" w:eastAsia="Times New Roman" w:hAnsi="Franklin Gothic Book"/>
          <w:sz w:val="21"/>
        </w:rPr>
        <w:t xml:space="preserve">established </w:t>
      </w:r>
      <w:r w:rsidR="0055678B">
        <w:rPr>
          <w:rFonts w:ascii="Franklin Gothic Book" w:eastAsia="Times New Roman" w:hAnsi="Franklin Gothic Book"/>
          <w:sz w:val="21"/>
        </w:rPr>
        <w:t>i</w:t>
      </w:r>
      <w:r w:rsidR="0055678B" w:rsidRPr="00431B2F">
        <w:rPr>
          <w:rFonts w:ascii="Franklin Gothic Book" w:eastAsia="Times New Roman" w:hAnsi="Franklin Gothic Book"/>
          <w:sz w:val="21"/>
        </w:rPr>
        <w:t>n 2013</w:t>
      </w:r>
      <w:r w:rsidR="0055678B">
        <w:rPr>
          <w:rFonts w:ascii="Franklin Gothic Book" w:eastAsia="Times New Roman" w:hAnsi="Franklin Gothic Book"/>
          <w:sz w:val="21"/>
        </w:rPr>
        <w:t xml:space="preserve"> </w:t>
      </w:r>
      <w:r w:rsidRPr="00431B2F">
        <w:rPr>
          <w:rFonts w:ascii="Franklin Gothic Book" w:eastAsia="Times New Roman" w:hAnsi="Franklin Gothic Book"/>
          <w:sz w:val="21"/>
        </w:rPr>
        <w:t xml:space="preserve">to provide in-depth analytical inputs to </w:t>
      </w:r>
      <w:r w:rsidR="0055678B">
        <w:rPr>
          <w:rFonts w:ascii="Franklin Gothic Book" w:eastAsia="Times New Roman" w:hAnsi="Franklin Gothic Book"/>
          <w:sz w:val="21"/>
        </w:rPr>
        <w:t>Forum</w:t>
      </w:r>
      <w:r w:rsidRPr="00431B2F">
        <w:rPr>
          <w:rFonts w:ascii="Franklin Gothic Book" w:eastAsia="Times New Roman" w:hAnsi="Franklin Gothic Book"/>
          <w:sz w:val="21"/>
        </w:rPr>
        <w:t xml:space="preserve"> discussions and take forward agreed policy actions</w:t>
      </w:r>
      <w:r>
        <w:rPr>
          <w:rFonts w:ascii="Franklin Gothic Book" w:eastAsia="Times New Roman" w:hAnsi="Franklin Gothic Book"/>
          <w:sz w:val="21"/>
        </w:rPr>
        <w:t xml:space="preserve">. </w:t>
      </w:r>
      <w:r w:rsidR="0055678B">
        <w:rPr>
          <w:rFonts w:ascii="Franklin Gothic Book" w:eastAsia="Times New Roman" w:hAnsi="Franklin Gothic Book"/>
          <w:sz w:val="21"/>
        </w:rPr>
        <w:t xml:space="preserve">A first set of policy actions was approved by Vietnam’s Prime Minister in May 2014. Progress will be reviewed ahead of the </w:t>
      </w:r>
      <w:r>
        <w:rPr>
          <w:rFonts w:ascii="Franklin Gothic Book" w:eastAsia="Times New Roman" w:hAnsi="Franklin Gothic Book"/>
          <w:sz w:val="21"/>
        </w:rPr>
        <w:t xml:space="preserve">second </w:t>
      </w:r>
      <w:r w:rsidR="0055678B">
        <w:rPr>
          <w:rFonts w:ascii="Franklin Gothic Book" w:eastAsia="Times New Roman" w:hAnsi="Franklin Gothic Book"/>
          <w:sz w:val="21"/>
        </w:rPr>
        <w:t>Forum,</w:t>
      </w:r>
      <w:r>
        <w:rPr>
          <w:rFonts w:ascii="Franklin Gothic Book" w:eastAsia="Times New Roman" w:hAnsi="Franklin Gothic Book"/>
          <w:sz w:val="21"/>
        </w:rPr>
        <w:t xml:space="preserve"> scheduled for December</w:t>
      </w:r>
      <w:r w:rsidR="0055678B">
        <w:rPr>
          <w:rFonts w:ascii="Franklin Gothic Book" w:eastAsia="Times New Roman" w:hAnsi="Franklin Gothic Book"/>
          <w:sz w:val="21"/>
        </w:rPr>
        <w:t xml:space="preserve"> 2014</w:t>
      </w:r>
      <w:r>
        <w:rPr>
          <w:rFonts w:ascii="Franklin Gothic Book" w:eastAsia="Times New Roman" w:hAnsi="Franklin Gothic Book"/>
          <w:sz w:val="21"/>
        </w:rPr>
        <w:t xml:space="preserve">. </w:t>
      </w:r>
    </w:p>
    <w:p w:rsidR="006B4EE2" w:rsidRDefault="006B4EE2" w:rsidP="00837906">
      <w:pPr>
        <w:pStyle w:val="ListBullet"/>
        <w:numPr>
          <w:ilvl w:val="0"/>
          <w:numId w:val="0"/>
        </w:numPr>
        <w:spacing w:line="280" w:lineRule="atLeast"/>
      </w:pPr>
      <w:r w:rsidRPr="006B4EE2">
        <w:t xml:space="preserve">Vietnam has an established process for developing five year socio-economic development plans </w:t>
      </w:r>
      <w:r w:rsidR="007856C7">
        <w:t xml:space="preserve">(SEDPs) </w:t>
      </w:r>
      <w:r w:rsidRPr="006B4EE2">
        <w:t xml:space="preserve">to deliver on overarching ten year socio-economic development strategies. </w:t>
      </w:r>
      <w:r w:rsidR="007856C7">
        <w:t xml:space="preserve">SEDPs set benchmarks and </w:t>
      </w:r>
      <w:r w:rsidRPr="006B4EE2">
        <w:t>guide development cooperation with donors.</w:t>
      </w:r>
      <w:r>
        <w:t xml:space="preserve"> </w:t>
      </w:r>
      <w:r w:rsidR="007856C7">
        <w:t xml:space="preserve">The Government of Vietnam is currently assessing its </w:t>
      </w:r>
      <w:r w:rsidR="007856C7">
        <w:lastRenderedPageBreak/>
        <w:t xml:space="preserve">performance to date against the existing </w:t>
      </w:r>
      <w:r w:rsidR="007856C7" w:rsidRPr="00431B2F">
        <w:t xml:space="preserve">SEDP </w:t>
      </w:r>
      <w:r w:rsidR="007856C7">
        <w:t xml:space="preserve">2011-15, which will </w:t>
      </w:r>
      <w:r w:rsidR="007856C7" w:rsidRPr="00431B2F">
        <w:t>inform development of the next SEDP</w:t>
      </w:r>
      <w:r w:rsidR="007856C7">
        <w:t xml:space="preserve"> 2016-20</w:t>
      </w:r>
      <w:r w:rsidR="007856C7" w:rsidRPr="00431B2F">
        <w:t>.</w:t>
      </w:r>
      <w:r w:rsidR="007856C7">
        <w:t xml:space="preserve"> </w:t>
      </w:r>
      <w:r w:rsidR="001D4875">
        <w:t xml:space="preserve">In 2013 </w:t>
      </w:r>
      <w:r w:rsidR="00201A5E">
        <w:t>Vietnam and Australia</w:t>
      </w:r>
      <w:r w:rsidR="00201A5E" w:rsidRPr="00431B2F">
        <w:t xml:space="preserve"> agreed to develop a </w:t>
      </w:r>
      <w:r w:rsidR="00201A5E">
        <w:t xml:space="preserve">new </w:t>
      </w:r>
      <w:r w:rsidR="00201A5E" w:rsidRPr="00431B2F">
        <w:t xml:space="preserve">aid strategy </w:t>
      </w:r>
      <w:r w:rsidR="00201A5E">
        <w:t xml:space="preserve">to guide our development assistance beyond 2015, </w:t>
      </w:r>
      <w:r w:rsidR="00201A5E" w:rsidRPr="00431B2F">
        <w:t xml:space="preserve">in alignment with Vietnam’s </w:t>
      </w:r>
      <w:r w:rsidR="00201A5E">
        <w:t xml:space="preserve">new </w:t>
      </w:r>
      <w:r w:rsidR="00201A5E" w:rsidRPr="00431B2F">
        <w:t>SEDP 2016-2020.</w:t>
      </w:r>
      <w:r w:rsidR="00201A5E">
        <w:t xml:space="preserve"> This process will consider</w:t>
      </w:r>
      <w:r w:rsidR="007856C7">
        <w:t xml:space="preserve"> mutual </w:t>
      </w:r>
      <w:r w:rsidR="007856C7" w:rsidRPr="00431B2F">
        <w:t xml:space="preserve">obligations </w:t>
      </w:r>
      <w:r w:rsidR="007856C7">
        <w:t xml:space="preserve">and performance benchmarks for </w:t>
      </w:r>
      <w:r w:rsidR="00201A5E">
        <w:t>our</w:t>
      </w:r>
      <w:r w:rsidR="007856C7">
        <w:t xml:space="preserve"> aid program going forward</w:t>
      </w:r>
      <w:r w:rsidR="007856C7" w:rsidRPr="00431B2F">
        <w:t>.</w:t>
      </w:r>
    </w:p>
    <w:p w:rsidR="00DF4920" w:rsidRDefault="00DF4920" w:rsidP="000008B3">
      <w:pPr>
        <w:pStyle w:val="ListBullet"/>
        <w:numPr>
          <w:ilvl w:val="0"/>
          <w:numId w:val="0"/>
        </w:numPr>
        <w:tabs>
          <w:tab w:val="clear" w:pos="284"/>
        </w:tabs>
        <w:spacing w:line="280" w:lineRule="atLeast"/>
      </w:pPr>
      <w:r w:rsidRPr="00DF4920">
        <w:t xml:space="preserve">The </w:t>
      </w:r>
      <w:r w:rsidRPr="00CF4AE6">
        <w:t>Government of Vietnam</w:t>
      </w:r>
      <w:r w:rsidRPr="00DF4920">
        <w:t xml:space="preserve"> </w:t>
      </w:r>
      <w:r w:rsidRPr="00CF4AE6">
        <w:t>is the</w:t>
      </w:r>
      <w:r w:rsidRPr="00931183">
        <w:t xml:space="preserve"> third largest implementing partner </w:t>
      </w:r>
      <w:r>
        <w:t>for our a</w:t>
      </w:r>
      <w:r w:rsidRPr="00931183">
        <w:t xml:space="preserve">id program in Vietnam, </w:t>
      </w:r>
      <w:r>
        <w:t xml:space="preserve">representing a quarter </w:t>
      </w:r>
      <w:r w:rsidRPr="00931183">
        <w:t xml:space="preserve">of 2013-14 </w:t>
      </w:r>
      <w:r>
        <w:t>expenditure</w:t>
      </w:r>
      <w:r w:rsidRPr="00931183">
        <w:t xml:space="preserve">. Cumbersome and inefficient financial and procurement procedures </w:t>
      </w:r>
      <w:r>
        <w:t xml:space="preserve">plus </w:t>
      </w:r>
      <w:r w:rsidRPr="00931183">
        <w:t xml:space="preserve">weak coordination </w:t>
      </w:r>
      <w:r>
        <w:t xml:space="preserve">have been </w:t>
      </w:r>
      <w:r w:rsidRPr="00931183">
        <w:t xml:space="preserve">the main bottlenecks of partner government implemented programs. </w:t>
      </w:r>
      <w:r>
        <w:t xml:space="preserve">In 2013-14, DFAT </w:t>
      </w:r>
      <w:r w:rsidRPr="00931183">
        <w:t>worked close</w:t>
      </w:r>
      <w:r>
        <w:t>ly</w:t>
      </w:r>
      <w:r w:rsidRPr="00931183">
        <w:t xml:space="preserve"> with </w:t>
      </w:r>
      <w:r>
        <w:t xml:space="preserve">Vietnamese </w:t>
      </w:r>
      <w:r w:rsidRPr="00931183">
        <w:t xml:space="preserve">agencies to </w:t>
      </w:r>
      <w:r>
        <w:t xml:space="preserve">lift </w:t>
      </w:r>
      <w:r w:rsidRPr="00931183">
        <w:t xml:space="preserve">performance. </w:t>
      </w:r>
      <w:r>
        <w:t xml:space="preserve">We have independently audited investments to ensure fiduciary standards are met and supported </w:t>
      </w:r>
      <w:r w:rsidRPr="00931183">
        <w:t xml:space="preserve">capacity </w:t>
      </w:r>
      <w:r>
        <w:t xml:space="preserve">building on issues such as </w:t>
      </w:r>
      <w:r w:rsidRPr="00931183">
        <w:t xml:space="preserve">gender budgeting and planning in the </w:t>
      </w:r>
      <w:r>
        <w:t>RWSS NTP</w:t>
      </w:r>
      <w:r w:rsidRPr="00931183">
        <w:t>.</w:t>
      </w:r>
      <w:r>
        <w:t xml:space="preserve"> </w:t>
      </w:r>
      <w:r w:rsidRPr="00931183">
        <w:t xml:space="preserve">The Government of Vietnam continues to </w:t>
      </w:r>
      <w:r>
        <w:t>refine</w:t>
      </w:r>
      <w:r w:rsidRPr="00931183">
        <w:t xml:space="preserve"> its legal framework for public investment, public procurement and ODA management to increase the effectiveness and efficiency. </w:t>
      </w:r>
      <w:r>
        <w:t>However, despite 2013 legislative updates to facilitate private sector access to ODA, significant complexities limit this in practice</w:t>
      </w:r>
      <w:r w:rsidRPr="00931183">
        <w:t>.</w:t>
      </w:r>
      <w:r>
        <w:t xml:space="preserve"> The World Bank is working with the Government of Vietnam to address this issue, but these challenges will need to </w:t>
      </w:r>
      <w:r w:rsidR="00236F82">
        <w:t xml:space="preserve">be </w:t>
      </w:r>
      <w:r>
        <w:t>considered in developing our new Aid Investment Plan.</w:t>
      </w:r>
    </w:p>
    <w:p w:rsidR="001A0BBE" w:rsidRDefault="004B6E62" w:rsidP="00047841">
      <w:pPr>
        <w:spacing w:after="120" w:line="280" w:lineRule="atLeast"/>
        <w:rPr>
          <w:rFonts w:ascii="Franklin Gothic Book" w:eastAsia="Times New Roman" w:hAnsi="Franklin Gothic Book"/>
          <w:sz w:val="21"/>
        </w:rPr>
      </w:pPr>
      <w:r>
        <w:rPr>
          <w:rFonts w:ascii="Franklin Gothic Book" w:eastAsia="Times New Roman" w:hAnsi="Franklin Gothic Book"/>
          <w:sz w:val="21"/>
        </w:rPr>
        <w:t>Australia</w:t>
      </w:r>
      <w:r w:rsidR="007836F0">
        <w:rPr>
          <w:rFonts w:ascii="Franklin Gothic Book" w:eastAsia="Times New Roman" w:hAnsi="Franklin Gothic Book"/>
          <w:sz w:val="21"/>
        </w:rPr>
        <w:t xml:space="preserve"> support</w:t>
      </w:r>
      <w:r>
        <w:rPr>
          <w:rFonts w:ascii="Franklin Gothic Book" w:eastAsia="Times New Roman" w:hAnsi="Franklin Gothic Book"/>
          <w:sz w:val="21"/>
        </w:rPr>
        <w:t>ed</w:t>
      </w:r>
      <w:r w:rsidR="007836F0">
        <w:rPr>
          <w:rFonts w:ascii="Franklin Gothic Book" w:eastAsia="Times New Roman" w:hAnsi="Franklin Gothic Book"/>
          <w:sz w:val="21"/>
        </w:rPr>
        <w:t xml:space="preserve"> three programs</w:t>
      </w:r>
      <w:r>
        <w:rPr>
          <w:rStyle w:val="FootnoteReference"/>
          <w:rFonts w:eastAsia="Times New Roman"/>
        </w:rPr>
        <w:footnoteReference w:id="16"/>
      </w:r>
      <w:r w:rsidR="004F0228">
        <w:rPr>
          <w:rFonts w:ascii="Franklin Gothic Book" w:eastAsia="Times New Roman" w:hAnsi="Franklin Gothic Book"/>
          <w:sz w:val="21"/>
        </w:rPr>
        <w:t xml:space="preserve"> </w:t>
      </w:r>
      <w:r w:rsidR="00C57564">
        <w:rPr>
          <w:rFonts w:ascii="Franklin Gothic Book" w:eastAsia="Times New Roman" w:hAnsi="Franklin Gothic Book"/>
          <w:sz w:val="21"/>
        </w:rPr>
        <w:t xml:space="preserve">in 2013-14 </w:t>
      </w:r>
      <w:r>
        <w:rPr>
          <w:rFonts w:ascii="Franklin Gothic Book" w:eastAsia="Times New Roman" w:hAnsi="Franklin Gothic Book"/>
          <w:sz w:val="21"/>
        </w:rPr>
        <w:t xml:space="preserve">under which </w:t>
      </w:r>
      <w:r w:rsidRPr="00431B2F">
        <w:rPr>
          <w:rFonts w:ascii="Franklin Gothic Book" w:eastAsia="Times New Roman" w:hAnsi="Franklin Gothic Book"/>
          <w:sz w:val="21"/>
        </w:rPr>
        <w:t xml:space="preserve">budget support </w:t>
      </w:r>
      <w:r>
        <w:rPr>
          <w:rFonts w:ascii="Franklin Gothic Book" w:eastAsia="Times New Roman" w:hAnsi="Franklin Gothic Book"/>
          <w:sz w:val="21"/>
        </w:rPr>
        <w:t>is directly linked to the G</w:t>
      </w:r>
      <w:r w:rsidR="00247A88">
        <w:rPr>
          <w:rFonts w:ascii="Franklin Gothic Book" w:eastAsia="Times New Roman" w:hAnsi="Franklin Gothic Book"/>
          <w:sz w:val="21"/>
        </w:rPr>
        <w:t>overnment</w:t>
      </w:r>
      <w:r>
        <w:rPr>
          <w:rFonts w:ascii="Franklin Gothic Book" w:eastAsia="Times New Roman" w:hAnsi="Franklin Gothic Book"/>
          <w:sz w:val="21"/>
        </w:rPr>
        <w:t xml:space="preserve"> of Vietnam</w:t>
      </w:r>
      <w:r w:rsidR="00247A88">
        <w:rPr>
          <w:rFonts w:ascii="Franklin Gothic Book" w:eastAsia="Times New Roman" w:hAnsi="Franklin Gothic Book"/>
          <w:sz w:val="21"/>
        </w:rPr>
        <w:t>’s</w:t>
      </w:r>
      <w:r w:rsidR="004F0228">
        <w:rPr>
          <w:rFonts w:ascii="Franklin Gothic Book" w:eastAsia="Times New Roman" w:hAnsi="Franklin Gothic Book"/>
          <w:sz w:val="21"/>
        </w:rPr>
        <w:t xml:space="preserve"> commitment to deliver on agreed policy actions</w:t>
      </w:r>
      <w:r w:rsidR="007836F0">
        <w:rPr>
          <w:rFonts w:ascii="Franklin Gothic Book" w:eastAsia="Times New Roman" w:hAnsi="Franklin Gothic Book"/>
          <w:sz w:val="21"/>
        </w:rPr>
        <w:t xml:space="preserve">. </w:t>
      </w:r>
      <w:r w:rsidR="004F0228">
        <w:rPr>
          <w:rFonts w:ascii="Franklin Gothic Book" w:eastAsia="Times New Roman" w:hAnsi="Franklin Gothic Book"/>
          <w:sz w:val="21"/>
        </w:rPr>
        <w:t xml:space="preserve">Policy actions were achieved in all three programs triggering the release of further funding from development partners. </w:t>
      </w:r>
      <w:r>
        <w:rPr>
          <w:rFonts w:ascii="Franklin Gothic Book" w:eastAsia="Times New Roman" w:hAnsi="Franklin Gothic Book"/>
          <w:sz w:val="21"/>
        </w:rPr>
        <w:t xml:space="preserve">Key policy triggers under the </w:t>
      </w:r>
      <w:r w:rsidRPr="004B6E62">
        <w:rPr>
          <w:rFonts w:ascii="Franklin Gothic Book" w:eastAsia="Times New Roman" w:hAnsi="Franklin Gothic Book"/>
          <w:sz w:val="21"/>
        </w:rPr>
        <w:t>Economic Management and Competitiveness Credit</w:t>
      </w:r>
      <w:r>
        <w:rPr>
          <w:rFonts w:ascii="Franklin Gothic Book" w:eastAsia="Times New Roman" w:hAnsi="Franklin Gothic Book"/>
          <w:sz w:val="21"/>
        </w:rPr>
        <w:t xml:space="preserve"> focused </w:t>
      </w:r>
      <w:r w:rsidR="002E438B" w:rsidRPr="00431B2F">
        <w:rPr>
          <w:rFonts w:ascii="Franklin Gothic Book" w:eastAsia="Times New Roman" w:hAnsi="Franklin Gothic Book"/>
          <w:sz w:val="21"/>
        </w:rPr>
        <w:t>on macroeconomic stability</w:t>
      </w:r>
      <w:r w:rsidR="004F0228">
        <w:rPr>
          <w:rFonts w:ascii="Franklin Gothic Book" w:eastAsia="Times New Roman" w:hAnsi="Franklin Gothic Book"/>
          <w:sz w:val="21"/>
        </w:rPr>
        <w:t xml:space="preserve">, </w:t>
      </w:r>
      <w:r>
        <w:rPr>
          <w:rFonts w:ascii="Franklin Gothic Book" w:eastAsia="Times New Roman" w:hAnsi="Franklin Gothic Book"/>
          <w:sz w:val="21"/>
        </w:rPr>
        <w:t xml:space="preserve">building a </w:t>
      </w:r>
      <w:r w:rsidR="002E438B" w:rsidRPr="00431B2F">
        <w:rPr>
          <w:rFonts w:ascii="Franklin Gothic Book" w:eastAsia="Times New Roman" w:hAnsi="Franklin Gothic Book"/>
          <w:sz w:val="21"/>
        </w:rPr>
        <w:t>transparent, efficient and accountable public sector</w:t>
      </w:r>
      <w:r>
        <w:rPr>
          <w:rFonts w:ascii="Franklin Gothic Book" w:eastAsia="Times New Roman" w:hAnsi="Franklin Gothic Book"/>
          <w:sz w:val="21"/>
        </w:rPr>
        <w:t>,</w:t>
      </w:r>
      <w:r w:rsidR="002E438B" w:rsidRPr="00431B2F">
        <w:rPr>
          <w:rFonts w:ascii="Franklin Gothic Book" w:eastAsia="Times New Roman" w:hAnsi="Franklin Gothic Book"/>
          <w:sz w:val="21"/>
        </w:rPr>
        <w:t xml:space="preserve"> and enabling </w:t>
      </w:r>
      <w:r w:rsidR="004F0228">
        <w:rPr>
          <w:rFonts w:ascii="Franklin Gothic Book" w:eastAsia="Times New Roman" w:hAnsi="Franklin Gothic Book"/>
          <w:sz w:val="21"/>
        </w:rPr>
        <w:t xml:space="preserve">the </w:t>
      </w:r>
      <w:r w:rsidR="002E438B" w:rsidRPr="00431B2F">
        <w:rPr>
          <w:rFonts w:ascii="Franklin Gothic Book" w:eastAsia="Times New Roman" w:hAnsi="Franklin Gothic Book"/>
          <w:sz w:val="21"/>
        </w:rPr>
        <w:t>business environment</w:t>
      </w:r>
      <w:r>
        <w:rPr>
          <w:rFonts w:ascii="Franklin Gothic Book" w:eastAsia="Times New Roman" w:hAnsi="Franklin Gothic Book"/>
          <w:sz w:val="21"/>
        </w:rPr>
        <w:t xml:space="preserve">, and is a particularly important instrument </w:t>
      </w:r>
      <w:r w:rsidR="004F0228">
        <w:rPr>
          <w:rFonts w:ascii="Franklin Gothic Book" w:eastAsia="Times New Roman" w:hAnsi="Franklin Gothic Book"/>
          <w:sz w:val="21"/>
        </w:rPr>
        <w:t xml:space="preserve">for </w:t>
      </w:r>
      <w:r w:rsidR="007E5E9E" w:rsidRPr="00431B2F">
        <w:rPr>
          <w:rFonts w:ascii="Franklin Gothic Book" w:eastAsia="Times New Roman" w:hAnsi="Franklin Gothic Book"/>
          <w:sz w:val="21"/>
        </w:rPr>
        <w:t>enhanc</w:t>
      </w:r>
      <w:r>
        <w:rPr>
          <w:rFonts w:ascii="Franklin Gothic Book" w:eastAsia="Times New Roman" w:hAnsi="Franklin Gothic Book"/>
          <w:sz w:val="21"/>
        </w:rPr>
        <w:t>ing</w:t>
      </w:r>
      <w:r w:rsidR="002E438B" w:rsidRPr="00431B2F">
        <w:rPr>
          <w:rFonts w:ascii="Franklin Gothic Book" w:eastAsia="Times New Roman" w:hAnsi="Franklin Gothic Book"/>
          <w:sz w:val="21"/>
        </w:rPr>
        <w:t xml:space="preserve"> </w:t>
      </w:r>
      <w:r>
        <w:rPr>
          <w:rFonts w:ascii="Franklin Gothic Book" w:eastAsia="Times New Roman" w:hAnsi="Franklin Gothic Book"/>
          <w:sz w:val="21"/>
        </w:rPr>
        <w:t xml:space="preserve">Vietnam’s </w:t>
      </w:r>
      <w:r w:rsidR="007E5E9E" w:rsidRPr="00431B2F">
        <w:rPr>
          <w:rFonts w:ascii="Franklin Gothic Book" w:eastAsia="Times New Roman" w:hAnsi="Franklin Gothic Book"/>
          <w:sz w:val="21"/>
        </w:rPr>
        <w:t>competitiveness for growth and poverty reduction</w:t>
      </w:r>
      <w:r w:rsidR="00AD184E" w:rsidRPr="00431B2F">
        <w:rPr>
          <w:rFonts w:ascii="Franklin Gothic Book" w:eastAsia="Times New Roman" w:hAnsi="Franklin Gothic Book"/>
          <w:sz w:val="21"/>
        </w:rPr>
        <w:t xml:space="preserve"> </w:t>
      </w:r>
      <w:r>
        <w:rPr>
          <w:rFonts w:ascii="Franklin Gothic Book" w:eastAsia="Times New Roman" w:hAnsi="Franklin Gothic Book"/>
          <w:sz w:val="21"/>
        </w:rPr>
        <w:t xml:space="preserve">over coming </w:t>
      </w:r>
      <w:r w:rsidR="00AD184E" w:rsidRPr="00431B2F">
        <w:rPr>
          <w:rFonts w:ascii="Franklin Gothic Book" w:eastAsia="Times New Roman" w:hAnsi="Franklin Gothic Book"/>
          <w:sz w:val="21"/>
        </w:rPr>
        <w:t>years</w:t>
      </w:r>
      <w:r w:rsidR="002E438B" w:rsidRPr="00431B2F">
        <w:rPr>
          <w:rFonts w:ascii="Franklin Gothic Book" w:eastAsia="Times New Roman" w:hAnsi="Franklin Gothic Book"/>
          <w:sz w:val="21"/>
        </w:rPr>
        <w:t xml:space="preserve">. </w:t>
      </w:r>
    </w:p>
    <w:p w:rsidR="002E438B" w:rsidRPr="00431B2F" w:rsidRDefault="00C57564" w:rsidP="00047841">
      <w:pPr>
        <w:spacing w:after="120" w:line="280" w:lineRule="atLeast"/>
        <w:rPr>
          <w:rFonts w:ascii="Franklin Gothic Book" w:eastAsia="Times New Roman" w:hAnsi="Franklin Gothic Book"/>
          <w:sz w:val="21"/>
        </w:rPr>
      </w:pPr>
      <w:r w:rsidRPr="001A03B7">
        <w:rPr>
          <w:rFonts w:ascii="Franklin Gothic Book" w:eastAsia="Times New Roman" w:hAnsi="Franklin Gothic Book"/>
          <w:sz w:val="21"/>
        </w:rPr>
        <w:t xml:space="preserve">During </w:t>
      </w:r>
      <w:r w:rsidR="0021276D">
        <w:rPr>
          <w:rFonts w:ascii="Franklin Gothic Book" w:eastAsia="Times New Roman" w:hAnsi="Franklin Gothic Book"/>
          <w:sz w:val="21"/>
        </w:rPr>
        <w:t>2013-14</w:t>
      </w:r>
      <w:r>
        <w:rPr>
          <w:rFonts w:ascii="Franklin Gothic Book" w:eastAsia="Times New Roman" w:hAnsi="Franklin Gothic Book"/>
          <w:sz w:val="21"/>
        </w:rPr>
        <w:t xml:space="preserve"> </w:t>
      </w:r>
      <w:r w:rsidR="00AD184E" w:rsidRPr="00431B2F">
        <w:rPr>
          <w:rFonts w:ascii="Franklin Gothic Book" w:eastAsia="Times New Roman" w:hAnsi="Franklin Gothic Book"/>
          <w:sz w:val="21"/>
        </w:rPr>
        <w:t>Australi</w:t>
      </w:r>
      <w:r>
        <w:rPr>
          <w:rFonts w:ascii="Franklin Gothic Book" w:eastAsia="Times New Roman" w:hAnsi="Franklin Gothic Book"/>
          <w:sz w:val="21"/>
        </w:rPr>
        <w:t>a</w:t>
      </w:r>
      <w:r w:rsidR="00AD184E" w:rsidRPr="00431B2F">
        <w:rPr>
          <w:rFonts w:ascii="Franklin Gothic Book" w:eastAsia="Times New Roman" w:hAnsi="Franklin Gothic Book"/>
          <w:sz w:val="21"/>
        </w:rPr>
        <w:t xml:space="preserve"> </w:t>
      </w:r>
      <w:r>
        <w:rPr>
          <w:rFonts w:ascii="Franklin Gothic Book" w:eastAsia="Times New Roman" w:hAnsi="Franklin Gothic Book"/>
          <w:sz w:val="21"/>
        </w:rPr>
        <w:t xml:space="preserve">helped Vietnam’s </w:t>
      </w:r>
      <w:r w:rsidR="00436B83" w:rsidRPr="00431B2F">
        <w:rPr>
          <w:rFonts w:ascii="Franklin Gothic Book" w:eastAsia="Times New Roman" w:hAnsi="Franklin Gothic Book"/>
          <w:sz w:val="21"/>
        </w:rPr>
        <w:t xml:space="preserve">Ministry of Planning and Investment </w:t>
      </w:r>
      <w:r w:rsidR="004F6367">
        <w:rPr>
          <w:rFonts w:ascii="Franklin Gothic Book" w:eastAsia="Times New Roman" w:hAnsi="Franklin Gothic Book"/>
          <w:sz w:val="21"/>
        </w:rPr>
        <w:t xml:space="preserve">pilot a </w:t>
      </w:r>
      <w:r>
        <w:rPr>
          <w:rFonts w:ascii="Franklin Gothic Book" w:eastAsia="Times New Roman" w:hAnsi="Franklin Gothic Book"/>
          <w:sz w:val="21"/>
        </w:rPr>
        <w:t xml:space="preserve">monitoring and evaluation </w:t>
      </w:r>
      <w:r w:rsidR="00436B83" w:rsidRPr="00431B2F">
        <w:rPr>
          <w:rFonts w:ascii="Franklin Gothic Book" w:eastAsia="Times New Roman" w:hAnsi="Franklin Gothic Book"/>
          <w:sz w:val="21"/>
        </w:rPr>
        <w:t>syst</w:t>
      </w:r>
      <w:r w:rsidR="00AD184E" w:rsidRPr="00431B2F">
        <w:rPr>
          <w:rFonts w:ascii="Franklin Gothic Book" w:eastAsia="Times New Roman" w:hAnsi="Franklin Gothic Book"/>
          <w:sz w:val="21"/>
        </w:rPr>
        <w:t xml:space="preserve">em for ODA </w:t>
      </w:r>
      <w:r>
        <w:rPr>
          <w:rFonts w:ascii="Franklin Gothic Book" w:eastAsia="Times New Roman" w:hAnsi="Franklin Gothic Book"/>
          <w:sz w:val="21"/>
        </w:rPr>
        <w:t>i</w:t>
      </w:r>
      <w:r w:rsidR="00AD184E" w:rsidRPr="00431B2F">
        <w:rPr>
          <w:rFonts w:ascii="Franklin Gothic Book" w:eastAsia="Times New Roman" w:hAnsi="Franklin Gothic Book"/>
          <w:sz w:val="21"/>
        </w:rPr>
        <w:t>n public investment</w:t>
      </w:r>
      <w:r w:rsidR="00436B83" w:rsidRPr="00431B2F">
        <w:rPr>
          <w:rFonts w:ascii="Franklin Gothic Book" w:eastAsia="Times New Roman" w:hAnsi="Franklin Gothic Book"/>
          <w:sz w:val="21"/>
        </w:rPr>
        <w:t xml:space="preserve">.  </w:t>
      </w:r>
      <w:r w:rsidR="0021276D">
        <w:rPr>
          <w:rFonts w:ascii="Franklin Gothic Book" w:eastAsia="Times New Roman" w:hAnsi="Franklin Gothic Book"/>
          <w:sz w:val="21"/>
        </w:rPr>
        <w:t>W</w:t>
      </w:r>
      <w:r w:rsidR="004F6367">
        <w:rPr>
          <w:rFonts w:ascii="Franklin Gothic Book" w:eastAsia="Times New Roman" w:hAnsi="Franklin Gothic Book"/>
          <w:sz w:val="21"/>
        </w:rPr>
        <w:t>ork is ongoing and results</w:t>
      </w:r>
      <w:r w:rsidR="0021276D">
        <w:rPr>
          <w:rFonts w:ascii="Franklin Gothic Book" w:eastAsia="Times New Roman" w:hAnsi="Franklin Gothic Book"/>
          <w:sz w:val="21"/>
        </w:rPr>
        <w:t xml:space="preserve"> expected</w:t>
      </w:r>
      <w:r w:rsidR="004F6367">
        <w:rPr>
          <w:rFonts w:ascii="Franklin Gothic Book" w:eastAsia="Times New Roman" w:hAnsi="Franklin Gothic Book"/>
          <w:sz w:val="21"/>
        </w:rPr>
        <w:t xml:space="preserve"> in 2014-15. </w:t>
      </w:r>
    </w:p>
    <w:bookmarkEnd w:id="2"/>
    <w:p w:rsidR="00EE0FDA" w:rsidRPr="00960505" w:rsidRDefault="00EE0FDA" w:rsidP="00960505">
      <w:pPr>
        <w:pStyle w:val="Heading2"/>
        <w:spacing w:before="120" w:line="280" w:lineRule="atLeast"/>
        <w:rPr>
          <w:sz w:val="28"/>
        </w:rPr>
      </w:pPr>
      <w:r w:rsidRPr="00960505">
        <w:rPr>
          <w:sz w:val="28"/>
        </w:rPr>
        <w:t xml:space="preserve">Program </w:t>
      </w:r>
      <w:r w:rsidR="00C70934" w:rsidRPr="00960505">
        <w:rPr>
          <w:sz w:val="28"/>
        </w:rPr>
        <w:t>q</w:t>
      </w:r>
      <w:r w:rsidRPr="00960505">
        <w:rPr>
          <w:sz w:val="28"/>
        </w:rPr>
        <w:t xml:space="preserve">uality and </w:t>
      </w:r>
      <w:r w:rsidR="00C70934" w:rsidRPr="00960505">
        <w:rPr>
          <w:sz w:val="28"/>
        </w:rPr>
        <w:t>m</w:t>
      </w:r>
      <w:r w:rsidRPr="00960505">
        <w:rPr>
          <w:sz w:val="28"/>
        </w:rPr>
        <w:t xml:space="preserve">anagement </w:t>
      </w:r>
    </w:p>
    <w:p w:rsidR="00953BCF" w:rsidRPr="00132A7F" w:rsidRDefault="00132A7F" w:rsidP="00047841">
      <w:pPr>
        <w:pStyle w:val="ListBullet"/>
        <w:numPr>
          <w:ilvl w:val="0"/>
          <w:numId w:val="0"/>
        </w:numPr>
        <w:spacing w:line="280" w:lineRule="atLeast"/>
      </w:pPr>
      <w:r>
        <w:t xml:space="preserve">A </w:t>
      </w:r>
      <w:r w:rsidR="00864107">
        <w:t xml:space="preserve">PAF </w:t>
      </w:r>
      <w:r w:rsidR="00837906">
        <w:t>(</w:t>
      </w:r>
      <w:r w:rsidR="00A24C90">
        <w:t xml:space="preserve">Annex E) </w:t>
      </w:r>
      <w:r w:rsidR="007453AC" w:rsidRPr="00132A7F">
        <w:t>support</w:t>
      </w:r>
      <w:r w:rsidR="00A24C90">
        <w:t xml:space="preserve">s </w:t>
      </w:r>
      <w:r w:rsidR="007453AC" w:rsidRPr="00132A7F">
        <w:t xml:space="preserve">implementation of the </w:t>
      </w:r>
      <w:r w:rsidR="00A24C90">
        <w:rPr>
          <w:i/>
        </w:rPr>
        <w:t>Vietnam-Australia Joint Aid Program Strateg</w:t>
      </w:r>
      <w:r w:rsidR="00A24C90" w:rsidRPr="00A24C90">
        <w:rPr>
          <w:i/>
        </w:rPr>
        <w:t xml:space="preserve">y </w:t>
      </w:r>
      <w:r w:rsidR="007453AC" w:rsidRPr="00837906">
        <w:rPr>
          <w:i/>
        </w:rPr>
        <w:t>2010-15</w:t>
      </w:r>
      <w:r w:rsidR="009A561A">
        <w:t xml:space="preserve"> </w:t>
      </w:r>
      <w:r w:rsidR="001D4875">
        <w:t xml:space="preserve">and </w:t>
      </w:r>
      <w:r w:rsidR="00864107">
        <w:t>is updated annually.</w:t>
      </w:r>
    </w:p>
    <w:p w:rsidR="005A079B" w:rsidRDefault="00A24C90" w:rsidP="00047841">
      <w:pPr>
        <w:pStyle w:val="ListBullet"/>
        <w:numPr>
          <w:ilvl w:val="0"/>
          <w:numId w:val="0"/>
        </w:numPr>
        <w:spacing w:line="280" w:lineRule="atLeast"/>
      </w:pPr>
      <w:r>
        <w:t>Vietnam aid program staff at Hanoi Post have benefited from a</w:t>
      </w:r>
      <w:r w:rsidR="00132A7F">
        <w:t xml:space="preserve"> Mekong</w:t>
      </w:r>
      <w:r>
        <w:t>-</w:t>
      </w:r>
      <w:r w:rsidR="00132A7F">
        <w:t>wide learning and development plan</w:t>
      </w:r>
      <w:r>
        <w:t>, which supported a variety of</w:t>
      </w:r>
      <w:r w:rsidR="00132A7F">
        <w:t xml:space="preserve"> </w:t>
      </w:r>
      <w:r w:rsidR="005A079B">
        <w:t xml:space="preserve">training </w:t>
      </w:r>
      <w:r>
        <w:t xml:space="preserve">during </w:t>
      </w:r>
      <w:r w:rsidR="005A079B">
        <w:t>2013-14</w:t>
      </w:r>
      <w:r>
        <w:t xml:space="preserve"> to strengthen skills in </w:t>
      </w:r>
      <w:r w:rsidR="005A079B">
        <w:t xml:space="preserve">aid management, monitoring and evaluation, investment design, </w:t>
      </w:r>
      <w:r w:rsidR="00132A7F">
        <w:t xml:space="preserve">safeguards, poverty and social </w:t>
      </w:r>
      <w:r w:rsidR="005A079B">
        <w:t xml:space="preserve">impact analysis and </w:t>
      </w:r>
      <w:r>
        <w:t xml:space="preserve">effective </w:t>
      </w:r>
      <w:r w:rsidR="005A079B">
        <w:t xml:space="preserve">partnerships. </w:t>
      </w:r>
    </w:p>
    <w:p w:rsidR="005A079B" w:rsidRDefault="005A079B" w:rsidP="00047841">
      <w:pPr>
        <w:pStyle w:val="ListBullet"/>
        <w:numPr>
          <w:ilvl w:val="0"/>
          <w:numId w:val="0"/>
        </w:numPr>
        <w:spacing w:line="280" w:lineRule="atLeast"/>
      </w:pPr>
      <w:r>
        <w:t xml:space="preserve">Mandatory </w:t>
      </w:r>
      <w:r w:rsidR="00864107">
        <w:t xml:space="preserve">quality </w:t>
      </w:r>
      <w:r>
        <w:t xml:space="preserve">monitoring is </w:t>
      </w:r>
      <w:r w:rsidR="00864107">
        <w:t xml:space="preserve">undertaken </w:t>
      </w:r>
      <w:r>
        <w:t xml:space="preserve">for 18 </w:t>
      </w:r>
      <w:r w:rsidR="00EE0FDA" w:rsidRPr="00132A7F">
        <w:t xml:space="preserve">of </w:t>
      </w:r>
      <w:r w:rsidR="00864107">
        <w:t xml:space="preserve">our </w:t>
      </w:r>
      <w:r>
        <w:t xml:space="preserve">31 </w:t>
      </w:r>
      <w:r w:rsidR="00FE1348" w:rsidRPr="00132A7F">
        <w:t>investment</w:t>
      </w:r>
      <w:r w:rsidR="00EE0FDA" w:rsidRPr="00132A7F">
        <w:t>s</w:t>
      </w:r>
      <w:r>
        <w:t>. O</w:t>
      </w:r>
      <w:r w:rsidR="00EE0FDA" w:rsidRPr="00132A7F">
        <w:t xml:space="preserve">f </w:t>
      </w:r>
      <w:r>
        <w:t xml:space="preserve">the 13 investments that do not require </w:t>
      </w:r>
      <w:r w:rsidR="00864107">
        <w:t xml:space="preserve">quality </w:t>
      </w:r>
      <w:r>
        <w:t xml:space="preserve">monitoring, 9 will end </w:t>
      </w:r>
      <w:r w:rsidR="00EE0FDA" w:rsidRPr="00132A7F">
        <w:t>by July 2015</w:t>
      </w:r>
      <w:r w:rsidR="00897932">
        <w:t xml:space="preserve">, </w:t>
      </w:r>
      <w:r>
        <w:t>contribut</w:t>
      </w:r>
      <w:r w:rsidR="00897932">
        <w:t>ing</w:t>
      </w:r>
      <w:r>
        <w:t xml:space="preserve"> to the agency</w:t>
      </w:r>
      <w:r w:rsidR="00897932">
        <w:t>-</w:t>
      </w:r>
      <w:r w:rsidR="00287761">
        <w:t xml:space="preserve">wide </w:t>
      </w:r>
      <w:r>
        <w:t xml:space="preserve">strategic </w:t>
      </w:r>
      <w:r w:rsidR="00287761">
        <w:t>performance target on consolidation.</w:t>
      </w:r>
      <w:r>
        <w:t xml:space="preserve"> </w:t>
      </w:r>
      <w:r w:rsidR="00897932">
        <w:t>Only one new initiative is planned for 2014-15.</w:t>
      </w:r>
    </w:p>
    <w:p w:rsidR="00EE0FDA" w:rsidRPr="00C362CC" w:rsidRDefault="00EE0FDA" w:rsidP="00C70934">
      <w:pPr>
        <w:pStyle w:val="Heading3"/>
      </w:pPr>
      <w:r w:rsidRPr="00C362CC">
        <w:t xml:space="preserve">Analysis of Quality at Implementation </w:t>
      </w:r>
      <w:r w:rsidR="0085189C">
        <w:t xml:space="preserve">(QAI) </w:t>
      </w:r>
      <w:r w:rsidR="00C70934">
        <w:t>r</w:t>
      </w:r>
      <w:r w:rsidRPr="00C362CC">
        <w:t xml:space="preserve">eports </w:t>
      </w:r>
    </w:p>
    <w:p w:rsidR="007103FC" w:rsidRDefault="00897932" w:rsidP="00047841">
      <w:pPr>
        <w:pStyle w:val="ListBullet"/>
        <w:numPr>
          <w:ilvl w:val="0"/>
          <w:numId w:val="0"/>
        </w:numPr>
        <w:tabs>
          <w:tab w:val="clear" w:pos="284"/>
        </w:tabs>
        <w:spacing w:line="280" w:lineRule="atLeast"/>
        <w:rPr>
          <w:lang w:val="en-GB"/>
        </w:rPr>
      </w:pPr>
      <w:r>
        <w:t>T</w:t>
      </w:r>
      <w:r w:rsidR="00F569B9" w:rsidRPr="00C362CC">
        <w:t>he Vietnam program completed 16 QAI reports</w:t>
      </w:r>
      <w:r w:rsidR="0085189C">
        <w:rPr>
          <w:rStyle w:val="FootnoteReference"/>
        </w:rPr>
        <w:footnoteReference w:id="17"/>
      </w:r>
      <w:r w:rsidR="00F569B9" w:rsidRPr="00C362CC">
        <w:t xml:space="preserve"> </w:t>
      </w:r>
      <w:r>
        <w:t xml:space="preserve">in 2013-14, </w:t>
      </w:r>
      <w:r w:rsidR="00FE1348" w:rsidRPr="00C362CC">
        <w:t>account</w:t>
      </w:r>
      <w:r w:rsidR="00C362CC">
        <w:t>ing</w:t>
      </w:r>
      <w:r w:rsidR="00FE1348" w:rsidRPr="00C362CC">
        <w:t xml:space="preserve"> for 9</w:t>
      </w:r>
      <w:r w:rsidR="00B50973" w:rsidRPr="00C362CC">
        <w:t>8</w:t>
      </w:r>
      <w:r w:rsidR="00FE1348" w:rsidRPr="00C362CC">
        <w:t xml:space="preserve"> per</w:t>
      </w:r>
      <w:r w:rsidR="00784605" w:rsidRPr="00C362CC">
        <w:t xml:space="preserve"> </w:t>
      </w:r>
      <w:r w:rsidR="00EE0FDA" w:rsidRPr="00C362CC">
        <w:t>cent</w:t>
      </w:r>
      <w:r w:rsidR="006E2C53" w:rsidRPr="00C362CC">
        <w:t xml:space="preserve"> of 2013-14 </w:t>
      </w:r>
      <w:r w:rsidR="00EE0FDA" w:rsidRPr="00C362CC">
        <w:t xml:space="preserve">bilateral </w:t>
      </w:r>
      <w:r w:rsidR="006E2C53" w:rsidRPr="00C362CC">
        <w:t>expenditure</w:t>
      </w:r>
      <w:r w:rsidR="00EE0FDA" w:rsidRPr="00C362CC">
        <w:t xml:space="preserve">. </w:t>
      </w:r>
      <w:r w:rsidR="00C362CC">
        <w:rPr>
          <w:lang w:val="en-GB"/>
        </w:rPr>
        <w:t>DFAT</w:t>
      </w:r>
      <w:r>
        <w:rPr>
          <w:lang w:val="en-GB"/>
        </w:rPr>
        <w:t>’s</w:t>
      </w:r>
      <w:r w:rsidR="00C362CC">
        <w:rPr>
          <w:lang w:val="en-GB"/>
        </w:rPr>
        <w:t xml:space="preserve"> </w:t>
      </w:r>
      <w:r>
        <w:rPr>
          <w:lang w:val="en-GB"/>
        </w:rPr>
        <w:t>r</w:t>
      </w:r>
      <w:r w:rsidR="006E2C53" w:rsidRPr="00C362CC">
        <w:rPr>
          <w:lang w:val="en-GB"/>
        </w:rPr>
        <w:t xml:space="preserve">egional </w:t>
      </w:r>
      <w:r>
        <w:rPr>
          <w:lang w:val="en-GB"/>
        </w:rPr>
        <w:t>a</w:t>
      </w:r>
      <w:r w:rsidR="006E2C53" w:rsidRPr="00C362CC">
        <w:rPr>
          <w:lang w:val="en-GB"/>
        </w:rPr>
        <w:t xml:space="preserve">id </w:t>
      </w:r>
      <w:r>
        <w:rPr>
          <w:lang w:val="en-GB"/>
        </w:rPr>
        <w:t>e</w:t>
      </w:r>
      <w:r w:rsidR="006E2C53" w:rsidRPr="00C362CC">
        <w:rPr>
          <w:lang w:val="en-GB"/>
        </w:rPr>
        <w:t xml:space="preserve">ffectiveness staff </w:t>
      </w:r>
      <w:r>
        <w:rPr>
          <w:lang w:val="en-GB"/>
        </w:rPr>
        <w:t xml:space="preserve">facilitated a moderation process </w:t>
      </w:r>
      <w:r w:rsidR="00C362CC">
        <w:rPr>
          <w:lang w:val="en-GB"/>
        </w:rPr>
        <w:t xml:space="preserve">to </w:t>
      </w:r>
      <w:r w:rsidR="00C362CC">
        <w:rPr>
          <w:lang w:val="en-GB"/>
        </w:rPr>
        <w:lastRenderedPageBreak/>
        <w:t>independently contest and verif</w:t>
      </w:r>
      <w:r>
        <w:rPr>
          <w:lang w:val="en-GB"/>
        </w:rPr>
        <w:t>y</w:t>
      </w:r>
      <w:r w:rsidRPr="00897932">
        <w:rPr>
          <w:lang w:val="en-GB"/>
        </w:rPr>
        <w:t xml:space="preserve"> </w:t>
      </w:r>
      <w:r>
        <w:rPr>
          <w:lang w:val="en-GB"/>
        </w:rPr>
        <w:t>quality reporting</w:t>
      </w:r>
      <w:r w:rsidR="00C362CC">
        <w:rPr>
          <w:lang w:val="en-GB"/>
        </w:rPr>
        <w:t xml:space="preserve">. The moderation process </w:t>
      </w:r>
      <w:r w:rsidR="006E2C53" w:rsidRPr="00C362CC">
        <w:rPr>
          <w:lang w:val="en-GB"/>
        </w:rPr>
        <w:t>confirme</w:t>
      </w:r>
      <w:r w:rsidR="00C362CC">
        <w:rPr>
          <w:lang w:val="en-GB"/>
        </w:rPr>
        <w:t>d</w:t>
      </w:r>
      <w:r w:rsidR="00751D5C">
        <w:rPr>
          <w:lang w:val="en-GB"/>
        </w:rPr>
        <w:t xml:space="preserve"> that</w:t>
      </w:r>
      <w:r>
        <w:rPr>
          <w:lang w:val="en-GB"/>
        </w:rPr>
        <w:t>,</w:t>
      </w:r>
      <w:r w:rsidR="00751D5C">
        <w:rPr>
          <w:lang w:val="en-GB"/>
        </w:rPr>
        <w:t xml:space="preserve"> in 2013-14</w:t>
      </w:r>
      <w:r>
        <w:rPr>
          <w:lang w:val="en-GB"/>
        </w:rPr>
        <w:t xml:space="preserve">, programs: aligned well with </w:t>
      </w:r>
      <w:r w:rsidRPr="00C362CC">
        <w:rPr>
          <w:lang w:val="en-GB"/>
        </w:rPr>
        <w:t>Australia’s national interest and the Vietnam’s development priorities</w:t>
      </w:r>
      <w:r>
        <w:rPr>
          <w:lang w:val="en-GB"/>
        </w:rPr>
        <w:t xml:space="preserve">; achieved good </w:t>
      </w:r>
      <w:r w:rsidRPr="00C362CC">
        <w:rPr>
          <w:lang w:val="en-GB"/>
        </w:rPr>
        <w:t>value for money</w:t>
      </w:r>
      <w:r>
        <w:rPr>
          <w:lang w:val="en-GB"/>
        </w:rPr>
        <w:t xml:space="preserve">; and ensured on-ground program implementation successfully informed policy dialogue. </w:t>
      </w:r>
    </w:p>
    <w:p w:rsidR="00EE0FDA" w:rsidRPr="00C362CC" w:rsidRDefault="007103FC" w:rsidP="00837906">
      <w:pPr>
        <w:pStyle w:val="ListBullet"/>
        <w:numPr>
          <w:ilvl w:val="0"/>
          <w:numId w:val="0"/>
        </w:numPr>
        <w:tabs>
          <w:tab w:val="clear" w:pos="284"/>
        </w:tabs>
        <w:spacing w:line="280" w:lineRule="atLeast"/>
      </w:pPr>
      <w:r>
        <w:t xml:space="preserve">More initiatives recorded an </w:t>
      </w:r>
      <w:r w:rsidRPr="001A0BBE">
        <w:t xml:space="preserve">unsatisfactory rating </w:t>
      </w:r>
      <w:r>
        <w:t xml:space="preserve">for </w:t>
      </w:r>
      <w:r w:rsidRPr="001A0BBE">
        <w:t>gender equality</w:t>
      </w:r>
      <w:r>
        <w:t xml:space="preserve"> in 2013-14 than last year, which is a concern. I</w:t>
      </w:r>
      <w:r w:rsidRPr="001A0BBE">
        <w:t>n January 2014</w:t>
      </w:r>
      <w:r>
        <w:t>,</w:t>
      </w:r>
      <w:r w:rsidRPr="001A0BBE">
        <w:t xml:space="preserve"> </w:t>
      </w:r>
      <w:r>
        <w:t>t</w:t>
      </w:r>
      <w:r w:rsidRPr="001A0BBE">
        <w:t>he W</w:t>
      </w:r>
      <w:r>
        <w:t xml:space="preserve">orld </w:t>
      </w:r>
      <w:r w:rsidRPr="001A0BBE">
        <w:t>B</w:t>
      </w:r>
      <w:r>
        <w:t>ank</w:t>
      </w:r>
      <w:r w:rsidRPr="001A0BBE">
        <w:t xml:space="preserve"> undertook a</w:t>
      </w:r>
      <w:r>
        <w:t>n</w:t>
      </w:r>
      <w:r w:rsidRPr="001A0BBE">
        <w:t xml:space="preserve"> assessment to identify </w:t>
      </w:r>
      <w:r>
        <w:t>ways to strengthen</w:t>
      </w:r>
      <w:r w:rsidRPr="001A0BBE">
        <w:t xml:space="preserve"> gender integration across </w:t>
      </w:r>
      <w:r>
        <w:t xml:space="preserve">the activities Australia funds, particularly in infrastructure. An action plan has been developed to address weaknesses, and was approved by the project </w:t>
      </w:r>
      <w:r w:rsidRPr="00C362CC">
        <w:t>steering committee in March 2014</w:t>
      </w:r>
      <w:r>
        <w:t xml:space="preserve">. </w:t>
      </w:r>
      <w:r w:rsidR="0035130E">
        <w:t>Our Embassy in Hanoi</w:t>
      </w:r>
      <w:r>
        <w:t xml:space="preserve"> will also conduct </w:t>
      </w:r>
      <w:r w:rsidRPr="001A0BBE">
        <w:t>specific gender training in late 2014</w:t>
      </w:r>
      <w:r>
        <w:t xml:space="preserve"> and </w:t>
      </w:r>
      <w:r w:rsidRPr="001A0BBE">
        <w:t>engage a local gender adviser to provide support across the program.</w:t>
      </w:r>
      <w:r>
        <w:t xml:space="preserve"> </w:t>
      </w:r>
    </w:p>
    <w:p w:rsidR="00D44577" w:rsidRDefault="00EB74F1" w:rsidP="00047841">
      <w:pPr>
        <w:pStyle w:val="ListBullet"/>
        <w:numPr>
          <w:ilvl w:val="0"/>
          <w:numId w:val="0"/>
        </w:numPr>
        <w:tabs>
          <w:tab w:val="clear" w:pos="284"/>
        </w:tabs>
        <w:spacing w:line="280" w:lineRule="atLeast"/>
      </w:pPr>
      <w:r>
        <w:t xml:space="preserve">Our Rural Energy Distribution Project with the World Bank rated below satisfactory against several criteria. Australia’s engagement in this initiative has been completed. </w:t>
      </w:r>
      <w:r w:rsidR="007103FC">
        <w:t>Our</w:t>
      </w:r>
      <w:r w:rsidR="00D44577" w:rsidRPr="00C362CC">
        <w:t xml:space="preserve"> Community </w:t>
      </w:r>
      <w:r w:rsidR="00D44577">
        <w:t>B</w:t>
      </w:r>
      <w:r w:rsidR="00D44577" w:rsidRPr="00C362CC">
        <w:t xml:space="preserve">ased </w:t>
      </w:r>
      <w:r w:rsidR="00D44577">
        <w:t>D</w:t>
      </w:r>
      <w:r w:rsidR="00D44577" w:rsidRPr="00C362CC">
        <w:t xml:space="preserve">isaster </w:t>
      </w:r>
      <w:r w:rsidR="007103FC">
        <w:t xml:space="preserve">Risk </w:t>
      </w:r>
      <w:r w:rsidR="00D44577">
        <w:t>M</w:t>
      </w:r>
      <w:r w:rsidR="00D44577" w:rsidRPr="00C362CC">
        <w:t>anagement</w:t>
      </w:r>
      <w:r w:rsidR="00D44577">
        <w:t xml:space="preserve"> program with the ADB </w:t>
      </w:r>
      <w:r w:rsidR="00BE4337" w:rsidRPr="00C362CC">
        <w:t>was categori</w:t>
      </w:r>
      <w:r w:rsidR="007103FC">
        <w:t>s</w:t>
      </w:r>
      <w:r w:rsidR="00BE4337" w:rsidRPr="00C362CC">
        <w:t xml:space="preserve">ed as </w:t>
      </w:r>
      <w:r w:rsidR="00D44577">
        <w:t xml:space="preserve">an </w:t>
      </w:r>
      <w:r w:rsidR="007103FC">
        <w:t>I</w:t>
      </w:r>
      <w:r w:rsidR="00FE1348" w:rsidRPr="00C362CC">
        <w:t>nvestment</w:t>
      </w:r>
      <w:r w:rsidR="00EE0FDA" w:rsidRPr="00C362CC">
        <w:t xml:space="preserve"> </w:t>
      </w:r>
      <w:r w:rsidR="007103FC">
        <w:t>R</w:t>
      </w:r>
      <w:r w:rsidR="00EE0FDA" w:rsidRPr="00C362CC">
        <w:t xml:space="preserve">equiring </w:t>
      </w:r>
      <w:r w:rsidR="007103FC">
        <w:t>I</w:t>
      </w:r>
      <w:r w:rsidR="00EE0FDA" w:rsidRPr="00C362CC">
        <w:t>mprovement</w:t>
      </w:r>
      <w:r w:rsidR="007103FC">
        <w:t>,</w:t>
      </w:r>
      <w:r w:rsidR="00EE0FDA" w:rsidRPr="00C362CC">
        <w:t xml:space="preserve"> </w:t>
      </w:r>
      <w:r w:rsidR="00BE4337" w:rsidRPr="00C362CC">
        <w:t xml:space="preserve">with </w:t>
      </w:r>
      <w:r w:rsidR="00D44577">
        <w:t xml:space="preserve">a </w:t>
      </w:r>
      <w:r w:rsidR="00963F27">
        <w:t xml:space="preserve">less than adequate effectiveness </w:t>
      </w:r>
      <w:r w:rsidR="00D44577">
        <w:t>rating</w:t>
      </w:r>
      <w:r w:rsidR="00963F27">
        <w:t xml:space="preserve"> due to </w:t>
      </w:r>
      <w:r w:rsidR="00EE0FDA" w:rsidRPr="00C362CC">
        <w:t>significant delay</w:t>
      </w:r>
      <w:r>
        <w:t>s</w:t>
      </w:r>
      <w:r w:rsidR="00EE0FDA" w:rsidRPr="00C362CC">
        <w:t xml:space="preserve"> </w:t>
      </w:r>
      <w:r>
        <w:t xml:space="preserve">in </w:t>
      </w:r>
      <w:r w:rsidR="00D44577">
        <w:t>mobilising technical assistance</w:t>
      </w:r>
      <w:r w:rsidR="00EE0FDA" w:rsidRPr="00C362CC">
        <w:t xml:space="preserve">. </w:t>
      </w:r>
      <w:r w:rsidR="00D44577">
        <w:t xml:space="preserve">This </w:t>
      </w:r>
      <w:r w:rsidR="00963F27">
        <w:t xml:space="preserve">initiative </w:t>
      </w:r>
      <w:r w:rsidR="00D44577">
        <w:t xml:space="preserve">has been recorded in the program risk register and will be actively monitored. </w:t>
      </w:r>
      <w:r w:rsidR="00963F27">
        <w:t xml:space="preserve">DFAT has </w:t>
      </w:r>
      <w:r w:rsidR="00D44577">
        <w:t xml:space="preserve">also identified a series of milestones with the ADB to get the project back on track. </w:t>
      </w:r>
      <w:r w:rsidR="00963F27">
        <w:t xml:space="preserve">We </w:t>
      </w:r>
      <w:r w:rsidR="00D44577">
        <w:t xml:space="preserve">will continue to </w:t>
      </w:r>
      <w:r w:rsidR="00EE0FDA" w:rsidRPr="00C362CC">
        <w:t xml:space="preserve">closely monitor the </w:t>
      </w:r>
      <w:r w:rsidR="00D44577">
        <w:t xml:space="preserve">project and </w:t>
      </w:r>
      <w:r w:rsidR="00963F27">
        <w:t xml:space="preserve">will consider cancelling the investment </w:t>
      </w:r>
      <w:r w:rsidR="00D44577">
        <w:t xml:space="preserve">if no progress is achieved </w:t>
      </w:r>
      <w:r w:rsidR="00931183">
        <w:t>within a year.</w:t>
      </w:r>
    </w:p>
    <w:p w:rsidR="00EE0FDA" w:rsidRPr="00931183" w:rsidRDefault="00EE0FDA" w:rsidP="00C70934">
      <w:pPr>
        <w:pStyle w:val="Heading3"/>
      </w:pPr>
      <w:r w:rsidRPr="00931183">
        <w:t>Performance of key delivery partners</w:t>
      </w:r>
    </w:p>
    <w:p w:rsidR="00EE0FDA" w:rsidRPr="00931183" w:rsidRDefault="004E3072" w:rsidP="00047841">
      <w:pPr>
        <w:pStyle w:val="ListBullet"/>
        <w:numPr>
          <w:ilvl w:val="0"/>
          <w:numId w:val="0"/>
        </w:numPr>
        <w:tabs>
          <w:tab w:val="clear" w:pos="284"/>
        </w:tabs>
        <w:spacing w:line="280" w:lineRule="atLeast"/>
      </w:pPr>
      <w:r w:rsidRPr="00837906">
        <w:rPr>
          <w:color w:val="000000" w:themeColor="text1"/>
        </w:rPr>
        <w:t>I</w:t>
      </w:r>
      <w:r w:rsidR="00FE1348" w:rsidRPr="00931183">
        <w:t>nvestment</w:t>
      </w:r>
      <w:r w:rsidR="00EE0FDA" w:rsidRPr="00931183">
        <w:t xml:space="preserve">s implemented by </w:t>
      </w:r>
      <w:r>
        <w:t xml:space="preserve">the </w:t>
      </w:r>
      <w:r w:rsidR="00EE0FDA" w:rsidRPr="00837906">
        <w:rPr>
          <w:b/>
        </w:rPr>
        <w:t>W</w:t>
      </w:r>
      <w:r w:rsidRPr="00837906">
        <w:rPr>
          <w:b/>
        </w:rPr>
        <w:t xml:space="preserve">orld </w:t>
      </w:r>
      <w:r w:rsidR="00EE0FDA" w:rsidRPr="00837906">
        <w:rPr>
          <w:b/>
        </w:rPr>
        <w:t>B</w:t>
      </w:r>
      <w:r w:rsidRPr="00837906">
        <w:rPr>
          <w:b/>
        </w:rPr>
        <w:t>ank</w:t>
      </w:r>
      <w:r w:rsidR="00EE0FDA" w:rsidRPr="00837906">
        <w:rPr>
          <w:b/>
        </w:rPr>
        <w:t xml:space="preserve"> and ADB</w:t>
      </w:r>
      <w:r w:rsidR="00EE0FDA" w:rsidRPr="00931183">
        <w:t xml:space="preserve"> </w:t>
      </w:r>
      <w:r w:rsidR="00931183">
        <w:t xml:space="preserve">account for </w:t>
      </w:r>
      <w:r w:rsidR="00EE0FDA" w:rsidRPr="00931183">
        <w:t>47</w:t>
      </w:r>
      <w:r w:rsidR="00082CEE" w:rsidRPr="00931183">
        <w:t xml:space="preserve"> </w:t>
      </w:r>
      <w:r w:rsidR="00EE0FDA" w:rsidRPr="00931183">
        <w:t>per</w:t>
      </w:r>
      <w:r w:rsidR="00141628" w:rsidRPr="00931183">
        <w:t xml:space="preserve"> </w:t>
      </w:r>
      <w:r w:rsidR="00EE0FDA" w:rsidRPr="00931183">
        <w:t>cent of on-going commitment</w:t>
      </w:r>
      <w:r>
        <w:t>s</w:t>
      </w:r>
      <w:r w:rsidR="00EE0FDA" w:rsidRPr="00931183">
        <w:t xml:space="preserve"> and 32</w:t>
      </w:r>
      <w:r w:rsidR="00082CEE" w:rsidRPr="00931183">
        <w:t xml:space="preserve"> </w:t>
      </w:r>
      <w:r w:rsidR="00EE0FDA" w:rsidRPr="00931183">
        <w:t>per</w:t>
      </w:r>
      <w:r w:rsidR="00141628" w:rsidRPr="00931183">
        <w:t xml:space="preserve"> </w:t>
      </w:r>
      <w:r w:rsidR="00EE0FDA" w:rsidRPr="00931183">
        <w:t>cent of 2013</w:t>
      </w:r>
      <w:r w:rsidR="00931183">
        <w:t>-</w:t>
      </w:r>
      <w:r w:rsidR="00EE0FDA" w:rsidRPr="00931183">
        <w:t>14</w:t>
      </w:r>
      <w:r w:rsidR="00082CEE" w:rsidRPr="00931183">
        <w:t xml:space="preserve"> bilateral</w:t>
      </w:r>
      <w:r w:rsidR="00EE0FDA" w:rsidRPr="00931183">
        <w:t xml:space="preserve"> </w:t>
      </w:r>
      <w:r w:rsidR="00931183">
        <w:t>expenditure</w:t>
      </w:r>
      <w:r w:rsidR="00EE0FDA" w:rsidRPr="00931183">
        <w:t>.</w:t>
      </w:r>
      <w:r w:rsidR="00931183">
        <w:t xml:space="preserve"> Our i</w:t>
      </w:r>
      <w:r w:rsidR="00EE0FDA" w:rsidRPr="00931183">
        <w:t xml:space="preserve">nvestments through the </w:t>
      </w:r>
      <w:r w:rsidR="00082CEE" w:rsidRPr="00931183">
        <w:t>m</w:t>
      </w:r>
      <w:r w:rsidR="00EE0FDA" w:rsidRPr="00931183">
        <w:t xml:space="preserve">ultilateral </w:t>
      </w:r>
      <w:r w:rsidR="00082CEE" w:rsidRPr="00931183">
        <w:t>b</w:t>
      </w:r>
      <w:r w:rsidR="00EE0FDA" w:rsidRPr="00931183">
        <w:t xml:space="preserve">anks </w:t>
      </w:r>
      <w:r w:rsidR="00931183">
        <w:t>are leveraging much larger development investments in Vietnam. For example</w:t>
      </w:r>
      <w:r>
        <w:t>,</w:t>
      </w:r>
      <w:r w:rsidR="00931183">
        <w:t xml:space="preserve"> </w:t>
      </w:r>
      <w:r>
        <w:t xml:space="preserve">we are </w:t>
      </w:r>
      <w:r w:rsidR="00CA5945">
        <w:t>influencing</w:t>
      </w:r>
      <w:r>
        <w:t xml:space="preserve"> </w:t>
      </w:r>
      <w:r w:rsidRPr="00F44AC6">
        <w:t>US$</w:t>
      </w:r>
      <w:r>
        <w:t>670</w:t>
      </w:r>
      <w:r w:rsidRPr="00F44AC6">
        <w:t xml:space="preserve"> million </w:t>
      </w:r>
      <w:r>
        <w:t xml:space="preserve">of ADB and Korean investment through </w:t>
      </w:r>
      <w:r w:rsidR="00931183">
        <w:t xml:space="preserve">our </w:t>
      </w:r>
      <w:r>
        <w:t xml:space="preserve">A$160 million </w:t>
      </w:r>
      <w:r w:rsidR="00931183">
        <w:t xml:space="preserve">investment </w:t>
      </w:r>
      <w:r>
        <w:t xml:space="preserve">in </w:t>
      </w:r>
      <w:r w:rsidR="00931183">
        <w:t>the Cao Lanh bridge</w:t>
      </w:r>
      <w:r w:rsidR="00CA5945">
        <w:t xml:space="preserve">, and our A$8 million in technical assistance for the </w:t>
      </w:r>
      <w:r w:rsidR="00931183">
        <w:t>World Bank</w:t>
      </w:r>
      <w:r w:rsidR="00CA5945">
        <w:t>’s</w:t>
      </w:r>
      <w:r w:rsidR="00931183">
        <w:t xml:space="preserve"> </w:t>
      </w:r>
      <w:r w:rsidR="00CA5945">
        <w:t xml:space="preserve">water sector </w:t>
      </w:r>
      <w:r w:rsidR="00931183">
        <w:t xml:space="preserve">Program for Results </w:t>
      </w:r>
      <w:r w:rsidR="00CA5945">
        <w:t>is leveraging World Bank’s much larger US</w:t>
      </w:r>
      <w:r w:rsidR="00931183">
        <w:t>$200 million</w:t>
      </w:r>
      <w:r w:rsidR="00CA5945">
        <w:t xml:space="preserve"> contribution</w:t>
      </w:r>
      <w:r w:rsidR="00EE0FDA" w:rsidRPr="00931183">
        <w:t>.</w:t>
      </w:r>
    </w:p>
    <w:p w:rsidR="00EE0FDA" w:rsidRPr="00931183" w:rsidRDefault="00CA5945" w:rsidP="003B0326">
      <w:pPr>
        <w:pStyle w:val="ListBullet"/>
        <w:numPr>
          <w:ilvl w:val="0"/>
          <w:numId w:val="0"/>
        </w:numPr>
        <w:tabs>
          <w:tab w:val="clear" w:pos="284"/>
        </w:tabs>
        <w:spacing w:line="280" w:lineRule="atLeast"/>
      </w:pPr>
      <w:r>
        <w:t xml:space="preserve">Our country-level partnership with the </w:t>
      </w:r>
      <w:r w:rsidRPr="00837906">
        <w:rPr>
          <w:b/>
        </w:rPr>
        <w:t>World Bank</w:t>
      </w:r>
      <w:r>
        <w:t xml:space="preserve"> allow</w:t>
      </w:r>
      <w:r w:rsidR="003B0326">
        <w:t>s</w:t>
      </w:r>
      <w:r>
        <w:t xml:space="preserve"> efficient engagement on mutual priorities across a range of sectors, and gives us reach in key policy dialogue and reforms such as amendments to tax laws, reforms to government ownership of public enterprises, and improved governance of state owned enterprises. </w:t>
      </w:r>
      <w:r w:rsidR="003B0326">
        <w:t>D</w:t>
      </w:r>
      <w:r w:rsidR="00637878">
        <w:t>isbursement by the W</w:t>
      </w:r>
      <w:r w:rsidR="003B0326">
        <w:t xml:space="preserve">orld </w:t>
      </w:r>
      <w:r w:rsidR="00637878">
        <w:t>B</w:t>
      </w:r>
      <w:r w:rsidR="003B0326">
        <w:t>ank</w:t>
      </w:r>
      <w:r w:rsidR="00637878">
        <w:t xml:space="preserve"> remains low (16 per cent)</w:t>
      </w:r>
      <w:r w:rsidR="003B0326">
        <w:t>.</w:t>
      </w:r>
      <w:r w:rsidR="00637878">
        <w:t xml:space="preserve"> </w:t>
      </w:r>
      <w:r w:rsidR="00710E69">
        <w:t>We</w:t>
      </w:r>
      <w:r w:rsidR="00637878">
        <w:t xml:space="preserve"> will closely monitor this and implementation of the gender </w:t>
      </w:r>
      <w:r w:rsidR="00E03A3D">
        <w:t xml:space="preserve">equality </w:t>
      </w:r>
      <w:r w:rsidR="00637878">
        <w:t xml:space="preserve">action plan </w:t>
      </w:r>
      <w:r w:rsidR="00710E69">
        <w:t xml:space="preserve">during </w:t>
      </w:r>
      <w:r w:rsidR="00637878">
        <w:t>201</w:t>
      </w:r>
      <w:r w:rsidR="00710E69">
        <w:t>4</w:t>
      </w:r>
      <w:r w:rsidR="00637878">
        <w:t>-1</w:t>
      </w:r>
      <w:r w:rsidR="00710E69">
        <w:t>5</w:t>
      </w:r>
      <w:r w:rsidR="00637878">
        <w:t xml:space="preserve">. </w:t>
      </w:r>
    </w:p>
    <w:p w:rsidR="00EE0FDA" w:rsidRPr="000E7478" w:rsidRDefault="004D44ED" w:rsidP="00047841">
      <w:pPr>
        <w:pStyle w:val="ListBullet"/>
        <w:numPr>
          <w:ilvl w:val="0"/>
          <w:numId w:val="0"/>
        </w:numPr>
        <w:tabs>
          <w:tab w:val="clear" w:pos="284"/>
        </w:tabs>
        <w:spacing w:line="280" w:lineRule="atLeast"/>
      </w:pPr>
      <w:r w:rsidRPr="00931183">
        <w:t>While t</w:t>
      </w:r>
      <w:r w:rsidR="00EE0FDA" w:rsidRPr="00931183">
        <w:t xml:space="preserve">he </w:t>
      </w:r>
      <w:r w:rsidR="00710E69" w:rsidRPr="00837906">
        <w:rPr>
          <w:b/>
        </w:rPr>
        <w:t>ADB</w:t>
      </w:r>
      <w:r w:rsidR="00710E69">
        <w:t xml:space="preserve">-led </w:t>
      </w:r>
      <w:r w:rsidR="00EE0FDA" w:rsidRPr="00931183">
        <w:t xml:space="preserve">Community </w:t>
      </w:r>
      <w:r w:rsidR="004F3CAA">
        <w:t>B</w:t>
      </w:r>
      <w:r w:rsidR="00EE0FDA" w:rsidRPr="00931183">
        <w:t xml:space="preserve">ased </w:t>
      </w:r>
      <w:r w:rsidR="004F3CAA">
        <w:t>D</w:t>
      </w:r>
      <w:r w:rsidR="00EE0FDA" w:rsidRPr="00931183">
        <w:t xml:space="preserve">isaster </w:t>
      </w:r>
      <w:r w:rsidR="004F3CAA">
        <w:t>M</w:t>
      </w:r>
      <w:r w:rsidR="00EE0FDA" w:rsidRPr="00931183">
        <w:t xml:space="preserve">anagement </w:t>
      </w:r>
      <w:r w:rsidR="004F3CAA">
        <w:t>program</w:t>
      </w:r>
      <w:r w:rsidR="00710E69">
        <w:t xml:space="preserve"> is </w:t>
      </w:r>
      <w:r w:rsidR="00EE0FDA" w:rsidRPr="00931183">
        <w:t>suffer</w:t>
      </w:r>
      <w:r w:rsidR="004F3CAA">
        <w:t xml:space="preserve">ing </w:t>
      </w:r>
      <w:r w:rsidR="00710E69" w:rsidRPr="00931183">
        <w:t>mobilisation</w:t>
      </w:r>
      <w:r w:rsidR="00710E69">
        <w:t xml:space="preserve"> </w:t>
      </w:r>
      <w:r w:rsidR="00EE0FDA" w:rsidRPr="00931183">
        <w:t>delays</w:t>
      </w:r>
      <w:r w:rsidR="00710E69">
        <w:t xml:space="preserve">, </w:t>
      </w:r>
      <w:r w:rsidR="00EE0FDA" w:rsidRPr="00931183">
        <w:t xml:space="preserve">the Cao Lanh </w:t>
      </w:r>
      <w:r w:rsidR="00562F7C" w:rsidRPr="00931183">
        <w:t>Bridge</w:t>
      </w:r>
      <w:r w:rsidR="00EE0FDA" w:rsidRPr="00931183">
        <w:t xml:space="preserve"> is </w:t>
      </w:r>
      <w:r w:rsidR="004F3CAA">
        <w:t xml:space="preserve">performing well and is </w:t>
      </w:r>
      <w:r w:rsidR="00EE0FDA" w:rsidRPr="00931183">
        <w:t xml:space="preserve">regarded as good practice in efficient coordination among ADB, </w:t>
      </w:r>
      <w:r w:rsidR="00710E69">
        <w:t>Australia</w:t>
      </w:r>
      <w:r w:rsidR="00EE0FDA" w:rsidRPr="00931183">
        <w:t xml:space="preserve">, </w:t>
      </w:r>
      <w:r w:rsidR="00710E69">
        <w:t xml:space="preserve">the Republic of Korea </w:t>
      </w:r>
      <w:r w:rsidR="00EE0FDA" w:rsidRPr="00931183">
        <w:t xml:space="preserve">and the Government of Vietnam. </w:t>
      </w:r>
      <w:r w:rsidR="00710E69">
        <w:t xml:space="preserve">Whilst greater in-country resourcing has been welcome, the ADB’s </w:t>
      </w:r>
      <w:r w:rsidR="00710E69" w:rsidRPr="000E7478">
        <w:t xml:space="preserve">Manila-centred management presents ongoing challenges. </w:t>
      </w:r>
    </w:p>
    <w:p w:rsidR="00B05158" w:rsidRDefault="00B05158" w:rsidP="00B05158">
      <w:pPr>
        <w:pStyle w:val="BodyText"/>
      </w:pPr>
      <w:r w:rsidRPr="000E7478">
        <w:t xml:space="preserve">Australia is now in its </w:t>
      </w:r>
      <w:r w:rsidR="006808DE">
        <w:t>sixth</w:t>
      </w:r>
      <w:r w:rsidR="006808DE" w:rsidRPr="000E7478">
        <w:t xml:space="preserve"> </w:t>
      </w:r>
      <w:r w:rsidRPr="000E7478">
        <w:t xml:space="preserve">year of partnering with </w:t>
      </w:r>
      <w:r w:rsidRPr="000E7478">
        <w:rPr>
          <w:b/>
        </w:rPr>
        <w:t>GIZ</w:t>
      </w:r>
      <w:r w:rsidRPr="000E7478">
        <w:t xml:space="preserve"> </w:t>
      </w:r>
      <w:r w:rsidR="0084469F">
        <w:t>on integrated coastal management in the Mekong Delta</w:t>
      </w:r>
      <w:r w:rsidRPr="000E7478">
        <w:t xml:space="preserve">. DFAT hosted a workshop with GIZ in </w:t>
      </w:r>
      <w:r w:rsidR="006D002F" w:rsidRPr="000E7478">
        <w:t>early</w:t>
      </w:r>
      <w:r w:rsidRPr="000E7478">
        <w:t xml:space="preserve"> 2014 to reflect on progress, including findings of the mid-2013 independent review. </w:t>
      </w:r>
      <w:r w:rsidR="0084469F">
        <w:t xml:space="preserve">This resulted in a partnership arrangement articulating shared goals and responsibilities, which </w:t>
      </w:r>
      <w:r>
        <w:t>provides a healthy foundation for the partnership going into Phase 2.</w:t>
      </w:r>
    </w:p>
    <w:p w:rsidR="00B05158" w:rsidRPr="00047841" w:rsidRDefault="00B05158" w:rsidP="00B05158">
      <w:pPr>
        <w:pStyle w:val="BodyText"/>
      </w:pPr>
      <w:r>
        <w:t xml:space="preserve">The </w:t>
      </w:r>
      <w:r w:rsidR="006D002F">
        <w:t>mid-2014 i</w:t>
      </w:r>
      <w:r>
        <w:t xml:space="preserve">ndependent </w:t>
      </w:r>
      <w:r w:rsidR="006D002F">
        <w:t>r</w:t>
      </w:r>
      <w:r>
        <w:t xml:space="preserve">eview of </w:t>
      </w:r>
      <w:r w:rsidRPr="000E7478">
        <w:t>the Vietnam Community-based Climate Change Action Grants</w:t>
      </w:r>
      <w:r>
        <w:t xml:space="preserve"> program </w:t>
      </w:r>
      <w:r w:rsidR="006D002F">
        <w:t xml:space="preserve">found </w:t>
      </w:r>
      <w:r>
        <w:t xml:space="preserve">that </w:t>
      </w:r>
      <w:r w:rsidR="006D002F">
        <w:t xml:space="preserve">Australia’s </w:t>
      </w:r>
      <w:r>
        <w:t xml:space="preserve">proactive and collaborative approach to building </w:t>
      </w:r>
      <w:r w:rsidRPr="006D002F">
        <w:t>partnerships with</w:t>
      </w:r>
      <w:r w:rsidRPr="00837906">
        <w:rPr>
          <w:b/>
        </w:rPr>
        <w:t xml:space="preserve"> NGOs</w:t>
      </w:r>
      <w:r>
        <w:t xml:space="preserve"> in Vietnam has generated trust</w:t>
      </w:r>
      <w:r w:rsidR="006D002F">
        <w:t>. This has facilitated</w:t>
      </w:r>
      <w:r>
        <w:t xml:space="preserve"> efficiency</w:t>
      </w:r>
      <w:r w:rsidR="006D002F">
        <w:t xml:space="preserve"> and</w:t>
      </w:r>
      <w:r>
        <w:t xml:space="preserve"> e</w:t>
      </w:r>
      <w:r w:rsidR="006D002F">
        <w:t>ffective monitoring, and enabled</w:t>
      </w:r>
      <w:r>
        <w:t xml:space="preserve"> DFAT to draw upon emerging lessons in order to achieve wider strategic policy influence.</w:t>
      </w:r>
    </w:p>
    <w:p w:rsidR="00982B64" w:rsidRDefault="00982B64">
      <w:pPr>
        <w:spacing w:after="200" w:line="276" w:lineRule="auto"/>
        <w:rPr>
          <w:rFonts w:ascii="Helvetica" w:eastAsia="Times New Roman" w:hAnsi="Helvetica" w:cs="Arial"/>
          <w:b/>
          <w:color w:val="124486"/>
          <w:kern w:val="28"/>
          <w:sz w:val="22"/>
          <w:szCs w:val="22"/>
          <w:lang w:eastAsia="zh-CN"/>
        </w:rPr>
      </w:pPr>
      <w:r>
        <w:br w:type="page"/>
      </w:r>
    </w:p>
    <w:p w:rsidR="00EE0FDA" w:rsidRPr="005111FE" w:rsidRDefault="00EE0FDA" w:rsidP="00C70934">
      <w:pPr>
        <w:pStyle w:val="Heading3"/>
      </w:pPr>
      <w:r w:rsidRPr="004C0554">
        <w:lastRenderedPageBreak/>
        <w:t>Risks</w:t>
      </w:r>
    </w:p>
    <w:p w:rsidR="00EE0FDA" w:rsidRDefault="00EE0FDA" w:rsidP="00047841">
      <w:pPr>
        <w:pStyle w:val="ListBullet"/>
        <w:numPr>
          <w:ilvl w:val="0"/>
          <w:numId w:val="0"/>
        </w:numPr>
        <w:tabs>
          <w:tab w:val="clear" w:pos="284"/>
        </w:tabs>
        <w:spacing w:line="280" w:lineRule="atLeast"/>
      </w:pPr>
      <w:r w:rsidRPr="00BF2B09">
        <w:t xml:space="preserve">Risk registers </w:t>
      </w:r>
      <w:r w:rsidR="00270814">
        <w:t>exist</w:t>
      </w:r>
      <w:r w:rsidR="00DA182E">
        <w:t xml:space="preserve"> </w:t>
      </w:r>
      <w:r w:rsidRPr="00BF2B09">
        <w:t>for each objective</w:t>
      </w:r>
      <w:r w:rsidR="00DA182E">
        <w:t xml:space="preserve"> of the country program with high level </w:t>
      </w:r>
      <w:r w:rsidR="00304327" w:rsidRPr="00BF2B09">
        <w:t xml:space="preserve">risks </w:t>
      </w:r>
      <w:r w:rsidRPr="00BF2B09">
        <w:t xml:space="preserve">escalated to </w:t>
      </w:r>
      <w:r w:rsidR="00DA182E">
        <w:t xml:space="preserve">a </w:t>
      </w:r>
      <w:r w:rsidRPr="00BF2B09">
        <w:t xml:space="preserve">program level risk register. These are </w:t>
      </w:r>
      <w:r w:rsidR="00304327" w:rsidRPr="00BF2B09">
        <w:t xml:space="preserve">updated </w:t>
      </w:r>
      <w:r w:rsidR="00DA182E">
        <w:t>quarterly</w:t>
      </w:r>
      <w:r w:rsidRPr="00BF2B09">
        <w:t xml:space="preserve">. Risks are </w:t>
      </w:r>
      <w:r w:rsidR="00DA182E">
        <w:t xml:space="preserve">regularly </w:t>
      </w:r>
      <w:r w:rsidRPr="00BF2B09">
        <w:t>discussed with implementing partners</w:t>
      </w:r>
      <w:r w:rsidR="00F567B5">
        <w:t>,</w:t>
      </w:r>
      <w:r w:rsidRPr="00BF2B09">
        <w:t xml:space="preserve"> </w:t>
      </w:r>
      <w:r w:rsidR="00DA182E">
        <w:t>so emerging risk</w:t>
      </w:r>
      <w:r w:rsidR="004B6E62">
        <w:t>s</w:t>
      </w:r>
      <w:r w:rsidR="00DA182E">
        <w:t xml:space="preserve"> can be proactively managed.</w:t>
      </w:r>
      <w:r w:rsidR="006949A0">
        <w:t xml:space="preserve"> Key risks are outlined in Table 3 below.</w:t>
      </w:r>
    </w:p>
    <w:p w:rsidR="00EE0FDA" w:rsidRDefault="00EE0FDA" w:rsidP="006F226B">
      <w:pPr>
        <w:pStyle w:val="Caption"/>
      </w:pPr>
      <w:r>
        <w:t xml:space="preserve">Table 3 Management of key risks to achieving objectives </w:t>
      </w:r>
    </w:p>
    <w:tbl>
      <w:tblPr>
        <w:tblStyle w:val="APPR"/>
        <w:tblW w:w="4923" w:type="pct"/>
        <w:tblInd w:w="136" w:type="dxa"/>
        <w:tblLook w:val="0600" w:firstRow="0" w:lastRow="0" w:firstColumn="0" w:lastColumn="0" w:noHBand="1" w:noVBand="1"/>
      </w:tblPr>
      <w:tblGrid>
        <w:gridCol w:w="2410"/>
        <w:gridCol w:w="3525"/>
        <w:gridCol w:w="3431"/>
      </w:tblGrid>
      <w:tr w:rsidR="00BF2B09" w:rsidRPr="00180B19" w:rsidTr="00837906">
        <w:tc>
          <w:tcPr>
            <w:tcW w:w="2368" w:type="dxa"/>
            <w:hideMark/>
          </w:tcPr>
          <w:p w:rsidR="00BF2B09" w:rsidRPr="003B66EC" w:rsidRDefault="00BF2B09" w:rsidP="00625052">
            <w:pPr>
              <w:pStyle w:val="TableTextColumnHeading"/>
            </w:pPr>
            <w:r w:rsidRPr="003B66EC">
              <w:t>Key risks</w:t>
            </w:r>
          </w:p>
        </w:tc>
        <w:tc>
          <w:tcPr>
            <w:tcW w:w="3497" w:type="dxa"/>
          </w:tcPr>
          <w:p w:rsidR="00BF2B09" w:rsidRPr="003B66EC" w:rsidRDefault="00BF2B09" w:rsidP="00625052">
            <w:pPr>
              <w:pStyle w:val="TableTextColumnHeading"/>
            </w:pPr>
            <w:r w:rsidRPr="003B66EC">
              <w:t>What actions were taken to manage the risks over the past year?</w:t>
            </w:r>
          </w:p>
        </w:tc>
        <w:tc>
          <w:tcPr>
            <w:tcW w:w="3389" w:type="dxa"/>
          </w:tcPr>
          <w:p w:rsidR="00BF2B09" w:rsidRPr="003B66EC" w:rsidRDefault="00BF2B09" w:rsidP="00625052">
            <w:pPr>
              <w:pStyle w:val="TableTextColumnHeading"/>
            </w:pPr>
            <w:r w:rsidRPr="003B66EC">
              <w:t>What further actions will be taken to manage the risks in the coming year?</w:t>
            </w:r>
          </w:p>
        </w:tc>
      </w:tr>
      <w:tr w:rsidR="00BF2B09" w:rsidRPr="00180B19" w:rsidTr="000008B3">
        <w:tc>
          <w:tcPr>
            <w:tcW w:w="2368" w:type="dxa"/>
            <w:tcBorders>
              <w:top w:val="single" w:sz="2" w:space="0" w:color="000000" w:themeColor="text1"/>
              <w:bottom w:val="single" w:sz="2" w:space="0" w:color="000000" w:themeColor="text1"/>
            </w:tcBorders>
          </w:tcPr>
          <w:p w:rsidR="00BF2B09" w:rsidRPr="00BD2FEE" w:rsidRDefault="00BF2B09" w:rsidP="00270814">
            <w:pPr>
              <w:pStyle w:val="TableTextEntries"/>
              <w:spacing w:before="0" w:after="0" w:line="280" w:lineRule="atLeast"/>
            </w:pPr>
          </w:p>
        </w:tc>
        <w:tc>
          <w:tcPr>
            <w:tcW w:w="3497" w:type="dxa"/>
            <w:tcBorders>
              <w:top w:val="single" w:sz="2" w:space="0" w:color="000000" w:themeColor="text1"/>
              <w:bottom w:val="single" w:sz="2" w:space="0" w:color="000000" w:themeColor="text1"/>
            </w:tcBorders>
          </w:tcPr>
          <w:p w:rsidR="00BF2B09" w:rsidRPr="004C4A3E" w:rsidRDefault="00BF2B09" w:rsidP="005F5D9F">
            <w:pPr>
              <w:pStyle w:val="TableTextEntries"/>
              <w:spacing w:before="0" w:after="0" w:line="280" w:lineRule="atLeast"/>
            </w:pPr>
          </w:p>
        </w:tc>
        <w:tc>
          <w:tcPr>
            <w:tcW w:w="3389" w:type="dxa"/>
            <w:tcBorders>
              <w:top w:val="single" w:sz="2" w:space="0" w:color="000000" w:themeColor="text1"/>
              <w:bottom w:val="single" w:sz="2" w:space="0" w:color="000000" w:themeColor="text1"/>
            </w:tcBorders>
          </w:tcPr>
          <w:p w:rsidR="00BF2B09" w:rsidRPr="004C4A3E" w:rsidRDefault="00BF2B09" w:rsidP="00B747CD">
            <w:pPr>
              <w:pStyle w:val="TableTextEntries"/>
              <w:spacing w:before="0" w:after="0" w:line="280" w:lineRule="atLeast"/>
              <w:ind w:right="-1"/>
            </w:pPr>
          </w:p>
        </w:tc>
      </w:tr>
      <w:tr w:rsidR="00BF2B09" w:rsidRPr="00180B19" w:rsidTr="00837906">
        <w:trPr>
          <w:trHeight w:val="1051"/>
        </w:trPr>
        <w:tc>
          <w:tcPr>
            <w:tcW w:w="2368" w:type="dxa"/>
            <w:tcBorders>
              <w:top w:val="single" w:sz="2" w:space="0" w:color="000000" w:themeColor="text1"/>
              <w:bottom w:val="single" w:sz="2" w:space="0" w:color="000000" w:themeColor="text1"/>
            </w:tcBorders>
          </w:tcPr>
          <w:p w:rsidR="00BF2B09" w:rsidRPr="00E82DA5" w:rsidRDefault="00B72BC7" w:rsidP="00270814">
            <w:pPr>
              <w:pStyle w:val="TableTextEntries"/>
              <w:spacing w:before="0" w:after="0" w:line="280" w:lineRule="atLeast"/>
            </w:pPr>
            <w:r>
              <w:t>Poor implementation of safeguard</w:t>
            </w:r>
            <w:r w:rsidR="00270814">
              <w:t>s</w:t>
            </w:r>
            <w:r>
              <w:t xml:space="preserve"> policies</w:t>
            </w:r>
            <w:r w:rsidR="00CB5FC5">
              <w:t xml:space="preserve"> on the Cao Lanh bridge</w:t>
            </w:r>
            <w:r>
              <w:t xml:space="preserve"> leads to adverse impacts on people and the environment</w:t>
            </w:r>
            <w:r w:rsidR="00270814">
              <w:t>,</w:t>
            </w:r>
            <w:r>
              <w:t xml:space="preserve"> resulting in reputational issues for DFAT</w:t>
            </w:r>
          </w:p>
        </w:tc>
        <w:tc>
          <w:tcPr>
            <w:tcW w:w="3497" w:type="dxa"/>
            <w:tcBorders>
              <w:top w:val="single" w:sz="2" w:space="0" w:color="000000" w:themeColor="text1"/>
              <w:bottom w:val="single" w:sz="2" w:space="0" w:color="000000" w:themeColor="text1"/>
            </w:tcBorders>
          </w:tcPr>
          <w:p w:rsidR="00BF2B09" w:rsidRPr="00CB5FC5" w:rsidRDefault="00B747CD" w:rsidP="00837906">
            <w:pPr>
              <w:pStyle w:val="TableTextEntries"/>
              <w:spacing w:before="0" w:after="0" w:line="280" w:lineRule="atLeast"/>
              <w:rPr>
                <w:szCs w:val="16"/>
              </w:rPr>
            </w:pPr>
            <w:r>
              <w:rPr>
                <w:szCs w:val="16"/>
              </w:rPr>
              <w:t xml:space="preserve">DFAT </w:t>
            </w:r>
            <w:r w:rsidR="00B72BC7">
              <w:rPr>
                <w:szCs w:val="16"/>
              </w:rPr>
              <w:t xml:space="preserve">ensured </w:t>
            </w:r>
            <w:r>
              <w:rPr>
                <w:szCs w:val="16"/>
              </w:rPr>
              <w:t xml:space="preserve">the bridge </w:t>
            </w:r>
            <w:r w:rsidR="00B72BC7">
              <w:rPr>
                <w:szCs w:val="16"/>
              </w:rPr>
              <w:t>design met E</w:t>
            </w:r>
            <w:r>
              <w:rPr>
                <w:szCs w:val="16"/>
              </w:rPr>
              <w:t xml:space="preserve">nvironmental </w:t>
            </w:r>
            <w:r w:rsidR="00B72BC7">
              <w:rPr>
                <w:szCs w:val="16"/>
              </w:rPr>
              <w:t>P</w:t>
            </w:r>
            <w:r>
              <w:rPr>
                <w:szCs w:val="16"/>
              </w:rPr>
              <w:t xml:space="preserve">rotection and </w:t>
            </w:r>
            <w:r w:rsidR="00B72BC7">
              <w:rPr>
                <w:szCs w:val="16"/>
              </w:rPr>
              <w:t>B</w:t>
            </w:r>
            <w:r>
              <w:rPr>
                <w:szCs w:val="16"/>
              </w:rPr>
              <w:t xml:space="preserve">iodiversity </w:t>
            </w:r>
            <w:r w:rsidR="00B72BC7">
              <w:rPr>
                <w:szCs w:val="16"/>
              </w:rPr>
              <w:t>C</w:t>
            </w:r>
            <w:r>
              <w:rPr>
                <w:szCs w:val="16"/>
              </w:rPr>
              <w:t>onservation</w:t>
            </w:r>
            <w:r w:rsidR="00B72BC7">
              <w:rPr>
                <w:szCs w:val="16"/>
              </w:rPr>
              <w:t xml:space="preserve"> Act</w:t>
            </w:r>
            <w:r>
              <w:rPr>
                <w:szCs w:val="16"/>
              </w:rPr>
              <w:t xml:space="preserve"> requirements. Post </w:t>
            </w:r>
            <w:r w:rsidR="00B72BC7">
              <w:rPr>
                <w:szCs w:val="16"/>
              </w:rPr>
              <w:t xml:space="preserve">participated in regular supervision missions </w:t>
            </w:r>
            <w:r>
              <w:rPr>
                <w:szCs w:val="16"/>
              </w:rPr>
              <w:t xml:space="preserve">and </w:t>
            </w:r>
            <w:r w:rsidR="00CB5FC5">
              <w:rPr>
                <w:szCs w:val="16"/>
              </w:rPr>
              <w:t xml:space="preserve">Project Coordination Committee meetings to ensure </w:t>
            </w:r>
            <w:r>
              <w:rPr>
                <w:szCs w:val="16"/>
              </w:rPr>
              <w:t xml:space="preserve">effective implementation of </w:t>
            </w:r>
            <w:r w:rsidR="00CB5FC5">
              <w:rPr>
                <w:szCs w:val="16"/>
              </w:rPr>
              <w:t>safeguard</w:t>
            </w:r>
            <w:r>
              <w:rPr>
                <w:szCs w:val="16"/>
              </w:rPr>
              <w:t>s.</w:t>
            </w:r>
          </w:p>
        </w:tc>
        <w:tc>
          <w:tcPr>
            <w:tcW w:w="3389" w:type="dxa"/>
            <w:tcBorders>
              <w:top w:val="single" w:sz="2" w:space="0" w:color="000000" w:themeColor="text1"/>
              <w:bottom w:val="single" w:sz="2" w:space="0" w:color="000000" w:themeColor="text1"/>
            </w:tcBorders>
          </w:tcPr>
          <w:p w:rsidR="00CB5FC5" w:rsidRPr="004C4A3E" w:rsidRDefault="00B747CD" w:rsidP="007147A6">
            <w:pPr>
              <w:pStyle w:val="TableTextEntries"/>
              <w:spacing w:before="0" w:after="0" w:line="280" w:lineRule="atLeast"/>
              <w:ind w:right="-143"/>
            </w:pPr>
            <w:r>
              <w:t xml:space="preserve">Post will </w:t>
            </w:r>
            <w:r w:rsidR="00CB5FC5">
              <w:t>continue regular consultation with implementing partners and independent safeguard experts to ensure high standards are maintained</w:t>
            </w:r>
            <w:r>
              <w:t xml:space="preserve">. Post will </w:t>
            </w:r>
            <w:r w:rsidR="00CB5FC5">
              <w:t xml:space="preserve">participate in all </w:t>
            </w:r>
            <w:r w:rsidR="00B72BC7">
              <w:t>supervision missions</w:t>
            </w:r>
            <w:r>
              <w:t xml:space="preserve"> and </w:t>
            </w:r>
            <w:r w:rsidR="00CB5FC5">
              <w:t xml:space="preserve">use </w:t>
            </w:r>
            <w:r>
              <w:rPr>
                <w:szCs w:val="16"/>
              </w:rPr>
              <w:t xml:space="preserve">Project Coordination Committee </w:t>
            </w:r>
            <w:r w:rsidR="00CB5FC5">
              <w:t xml:space="preserve">meetings to ensure emerging issues are </w:t>
            </w:r>
            <w:r>
              <w:t xml:space="preserve">promptly </w:t>
            </w:r>
            <w:r w:rsidR="00CB5FC5">
              <w:t>addressed</w:t>
            </w:r>
            <w:r>
              <w:t>.</w:t>
            </w:r>
            <w:r w:rsidR="007147A6">
              <w:t xml:space="preserve"> Flexible funding is available for additional monitoring of resettlement, should the circumstances require it.</w:t>
            </w:r>
          </w:p>
        </w:tc>
      </w:tr>
      <w:tr w:rsidR="00BF2B09" w:rsidRPr="00180B19" w:rsidTr="00837906">
        <w:trPr>
          <w:trHeight w:val="1051"/>
        </w:trPr>
        <w:tc>
          <w:tcPr>
            <w:tcW w:w="2368" w:type="dxa"/>
            <w:tcBorders>
              <w:top w:val="single" w:sz="2" w:space="0" w:color="000000" w:themeColor="text1"/>
              <w:bottom w:val="single" w:sz="2" w:space="0" w:color="000000" w:themeColor="text1"/>
            </w:tcBorders>
          </w:tcPr>
          <w:p w:rsidR="00BF2B09" w:rsidRPr="00BD2FEE" w:rsidRDefault="00BF2B09" w:rsidP="00E17341">
            <w:pPr>
              <w:pStyle w:val="TableTextEntries"/>
              <w:spacing w:before="0" w:after="0" w:line="280" w:lineRule="atLeast"/>
            </w:pPr>
            <w:r>
              <w:t xml:space="preserve">Delays in implementation of ADB </w:t>
            </w:r>
            <w:r w:rsidR="00E17341">
              <w:t>G</w:t>
            </w:r>
            <w:r>
              <w:t xml:space="preserve">reater Mekong </w:t>
            </w:r>
            <w:r w:rsidR="00E17341">
              <w:t>S</w:t>
            </w:r>
            <w:r>
              <w:t xml:space="preserve">ubregion </w:t>
            </w:r>
            <w:r w:rsidR="00E17341">
              <w:t>F</w:t>
            </w:r>
            <w:r>
              <w:t xml:space="preserve">lood and </w:t>
            </w:r>
            <w:r w:rsidR="00E17341">
              <w:t>D</w:t>
            </w:r>
            <w:r>
              <w:t xml:space="preserve">rought </w:t>
            </w:r>
            <w:r w:rsidR="00E17341">
              <w:t>R</w:t>
            </w:r>
            <w:r>
              <w:t xml:space="preserve">isk </w:t>
            </w:r>
            <w:r w:rsidR="00E17341">
              <w:t>M</w:t>
            </w:r>
            <w:r>
              <w:t xml:space="preserve">anagement and </w:t>
            </w:r>
            <w:r w:rsidR="00E17341">
              <w:t>M</w:t>
            </w:r>
            <w:r>
              <w:t xml:space="preserve">itigation </w:t>
            </w:r>
            <w:r w:rsidR="00E17341">
              <w:t>P</w:t>
            </w:r>
            <w:r>
              <w:t>roject hinders its effectiveness and efficiency</w:t>
            </w:r>
          </w:p>
        </w:tc>
        <w:tc>
          <w:tcPr>
            <w:tcW w:w="3497" w:type="dxa"/>
            <w:tcBorders>
              <w:top w:val="single" w:sz="2" w:space="0" w:color="000000" w:themeColor="text1"/>
              <w:bottom w:val="single" w:sz="2" w:space="0" w:color="000000" w:themeColor="text1"/>
            </w:tcBorders>
          </w:tcPr>
          <w:p w:rsidR="00BF2B09" w:rsidRPr="004C4A3E" w:rsidRDefault="00BF2B09" w:rsidP="00E17341">
            <w:pPr>
              <w:pStyle w:val="TableTextEntries"/>
              <w:spacing w:before="0" w:after="0" w:line="280" w:lineRule="atLeast"/>
            </w:pPr>
            <w:r>
              <w:rPr>
                <w:szCs w:val="16"/>
              </w:rPr>
              <w:t>Sector team leader and initiative manager participate</w:t>
            </w:r>
            <w:r w:rsidR="00E17341">
              <w:rPr>
                <w:szCs w:val="16"/>
              </w:rPr>
              <w:t>d</w:t>
            </w:r>
            <w:r>
              <w:rPr>
                <w:szCs w:val="16"/>
              </w:rPr>
              <w:t xml:space="preserve"> in six-monthly supervision mission</w:t>
            </w:r>
            <w:r w:rsidR="00E17341">
              <w:rPr>
                <w:szCs w:val="16"/>
              </w:rPr>
              <w:t>s</w:t>
            </w:r>
            <w:r>
              <w:rPr>
                <w:szCs w:val="16"/>
              </w:rPr>
              <w:t xml:space="preserve"> and </w:t>
            </w:r>
            <w:r w:rsidR="00E17341">
              <w:rPr>
                <w:szCs w:val="16"/>
              </w:rPr>
              <w:t xml:space="preserve">sought </w:t>
            </w:r>
            <w:r>
              <w:rPr>
                <w:szCs w:val="16"/>
              </w:rPr>
              <w:t>regular update</w:t>
            </w:r>
            <w:r w:rsidR="00E17341">
              <w:rPr>
                <w:szCs w:val="16"/>
              </w:rPr>
              <w:t>s</w:t>
            </w:r>
            <w:r>
              <w:rPr>
                <w:szCs w:val="16"/>
              </w:rPr>
              <w:t xml:space="preserve"> from ADB</w:t>
            </w:r>
            <w:r w:rsidR="00E17341">
              <w:rPr>
                <w:szCs w:val="16"/>
              </w:rPr>
              <w:t>.</w:t>
            </w:r>
          </w:p>
        </w:tc>
        <w:tc>
          <w:tcPr>
            <w:tcW w:w="3389" w:type="dxa"/>
            <w:tcBorders>
              <w:top w:val="single" w:sz="2" w:space="0" w:color="000000" w:themeColor="text1"/>
              <w:bottom w:val="single" w:sz="2" w:space="0" w:color="000000" w:themeColor="text1"/>
            </w:tcBorders>
          </w:tcPr>
          <w:p w:rsidR="00BF2B09" w:rsidRPr="00F64111" w:rsidRDefault="00E17341" w:rsidP="005F5D9F">
            <w:pPr>
              <w:pStyle w:val="TableTextEntries"/>
              <w:spacing w:before="0" w:after="0" w:line="280" w:lineRule="atLeast"/>
              <w:rPr>
                <w:szCs w:val="16"/>
              </w:rPr>
            </w:pPr>
            <w:r>
              <w:rPr>
                <w:szCs w:val="16"/>
              </w:rPr>
              <w:t>Post will f</w:t>
            </w:r>
            <w:r w:rsidR="00BF2B09">
              <w:rPr>
                <w:szCs w:val="16"/>
              </w:rPr>
              <w:t xml:space="preserve">inalise </w:t>
            </w:r>
            <w:r>
              <w:rPr>
                <w:szCs w:val="16"/>
              </w:rPr>
              <w:t xml:space="preserve">the </w:t>
            </w:r>
            <w:r w:rsidR="00BF2B09">
              <w:rPr>
                <w:szCs w:val="16"/>
              </w:rPr>
              <w:t xml:space="preserve">revised timeline, project extension procedure and funding agreement. </w:t>
            </w:r>
            <w:r>
              <w:rPr>
                <w:szCs w:val="16"/>
              </w:rPr>
              <w:t>Post will m</w:t>
            </w:r>
            <w:r w:rsidR="00BF2B09">
              <w:rPr>
                <w:szCs w:val="16"/>
              </w:rPr>
              <w:t>onitor</w:t>
            </w:r>
            <w:r>
              <w:rPr>
                <w:szCs w:val="16"/>
              </w:rPr>
              <w:t xml:space="preserve"> </w:t>
            </w:r>
            <w:r w:rsidR="00BF2B09">
              <w:rPr>
                <w:szCs w:val="16"/>
              </w:rPr>
              <w:t xml:space="preserve">implementation of </w:t>
            </w:r>
            <w:r>
              <w:rPr>
                <w:szCs w:val="16"/>
              </w:rPr>
              <w:t xml:space="preserve">the </w:t>
            </w:r>
            <w:r w:rsidR="00BF2B09">
              <w:rPr>
                <w:szCs w:val="16"/>
              </w:rPr>
              <w:t>Government</w:t>
            </w:r>
            <w:r>
              <w:rPr>
                <w:szCs w:val="16"/>
              </w:rPr>
              <w:t xml:space="preserve"> of Vietnam’s own</w:t>
            </w:r>
            <w:r w:rsidR="00BF2B09">
              <w:rPr>
                <w:szCs w:val="16"/>
              </w:rPr>
              <w:t xml:space="preserve"> program to ensure </w:t>
            </w:r>
            <w:r>
              <w:rPr>
                <w:szCs w:val="16"/>
              </w:rPr>
              <w:t xml:space="preserve">the </w:t>
            </w:r>
            <w:r w:rsidR="00BF2B09">
              <w:rPr>
                <w:szCs w:val="16"/>
              </w:rPr>
              <w:t xml:space="preserve">project remains relevant under the revised timeframe. </w:t>
            </w:r>
          </w:p>
        </w:tc>
      </w:tr>
      <w:tr w:rsidR="00524E2F" w:rsidRPr="00180B19" w:rsidTr="00EA6098">
        <w:trPr>
          <w:trHeight w:val="1051"/>
        </w:trPr>
        <w:tc>
          <w:tcPr>
            <w:tcW w:w="2368" w:type="dxa"/>
            <w:tcBorders>
              <w:top w:val="single" w:sz="2" w:space="0" w:color="000000" w:themeColor="text1"/>
              <w:bottom w:val="single" w:sz="12" w:space="0" w:color="000000" w:themeColor="text1"/>
            </w:tcBorders>
          </w:tcPr>
          <w:p w:rsidR="00524E2F" w:rsidRDefault="00524E2F" w:rsidP="00EA6098">
            <w:pPr>
              <w:pStyle w:val="TableTextEntries"/>
              <w:spacing w:before="0" w:after="0" w:line="280" w:lineRule="atLeast"/>
            </w:pPr>
            <w:r w:rsidRPr="00BD2FEE">
              <w:t xml:space="preserve">Fiduciary risks associated with </w:t>
            </w:r>
            <w:r>
              <w:t xml:space="preserve">our </w:t>
            </w:r>
            <w:r w:rsidRPr="00BD2FEE">
              <w:t xml:space="preserve">budget support </w:t>
            </w:r>
            <w:r>
              <w:t>for Government of Vietnam National Target Programs affects implementation, causing reputational issues for DFAT</w:t>
            </w:r>
          </w:p>
          <w:p w:rsidR="00524E2F" w:rsidRPr="00BD2FEE" w:rsidRDefault="00524E2F" w:rsidP="00EA6098">
            <w:pPr>
              <w:pStyle w:val="TableTextEntries"/>
              <w:spacing w:before="0" w:after="0" w:line="280" w:lineRule="atLeast"/>
            </w:pPr>
          </w:p>
        </w:tc>
        <w:tc>
          <w:tcPr>
            <w:tcW w:w="3497" w:type="dxa"/>
            <w:tcBorders>
              <w:top w:val="single" w:sz="2" w:space="0" w:color="000000" w:themeColor="text1"/>
              <w:bottom w:val="single" w:sz="12" w:space="0" w:color="000000" w:themeColor="text1"/>
            </w:tcBorders>
          </w:tcPr>
          <w:p w:rsidR="00524E2F" w:rsidRPr="004C4A3E" w:rsidRDefault="00524E2F" w:rsidP="00EA6098">
            <w:pPr>
              <w:pStyle w:val="TableTextEntries"/>
              <w:spacing w:before="0" w:after="0" w:line="280" w:lineRule="atLeast"/>
            </w:pPr>
            <w:r>
              <w:t xml:space="preserve">A sector-specific fiduciary risk assessment was completed for RWSS NTP3. </w:t>
            </w:r>
            <w:r w:rsidRPr="00BD2FEE">
              <w:t>State Audit of Vietnam</w:t>
            </w:r>
            <w:r>
              <w:t xml:space="preserve"> conducted an independent audit of our budget support for the RWSS NTP3. DFAT undertook a </w:t>
            </w:r>
            <w:r w:rsidRPr="00BD2FEE">
              <w:t>tracking stud</w:t>
            </w:r>
            <w:r>
              <w:t>y to triangulate the analysis</w:t>
            </w:r>
            <w:r w:rsidRPr="00BD2FEE">
              <w:t>.</w:t>
            </w:r>
            <w:r>
              <w:t xml:space="preserve"> An Assessment of National Systems for Vietnam was progressed. </w:t>
            </w:r>
          </w:p>
        </w:tc>
        <w:tc>
          <w:tcPr>
            <w:tcW w:w="3389" w:type="dxa"/>
            <w:tcBorders>
              <w:top w:val="single" w:sz="2" w:space="0" w:color="000000" w:themeColor="text1"/>
              <w:bottom w:val="single" w:sz="12" w:space="0" w:color="000000" w:themeColor="text1"/>
            </w:tcBorders>
          </w:tcPr>
          <w:p w:rsidR="00524E2F" w:rsidRPr="004C4A3E" w:rsidRDefault="00524E2F" w:rsidP="00EA6098">
            <w:pPr>
              <w:pStyle w:val="TableTextEntries"/>
              <w:spacing w:before="0" w:after="0" w:line="280" w:lineRule="atLeast"/>
            </w:pPr>
            <w:r>
              <w:t>The Assessment of National Systems will be finalised following release of the new Aid Programming Guide. This will inform whether budget support should be considered as a modality for future aid investments.</w:t>
            </w:r>
          </w:p>
        </w:tc>
      </w:tr>
      <w:tr w:rsidR="00524E2F" w:rsidRPr="00180B19" w:rsidTr="00EA6098">
        <w:tc>
          <w:tcPr>
            <w:tcW w:w="2368" w:type="dxa"/>
            <w:tcBorders>
              <w:top w:val="single" w:sz="2" w:space="0" w:color="000000" w:themeColor="text1"/>
              <w:bottom w:val="single" w:sz="2" w:space="0" w:color="000000" w:themeColor="text1"/>
            </w:tcBorders>
            <w:hideMark/>
          </w:tcPr>
          <w:p w:rsidR="00524E2F" w:rsidRPr="00BD2FEE" w:rsidRDefault="00524E2F" w:rsidP="00524E2F">
            <w:pPr>
              <w:pStyle w:val="TableTextEntries"/>
              <w:spacing w:before="0" w:after="0" w:line="280" w:lineRule="atLeast"/>
            </w:pPr>
            <w:r>
              <w:t xml:space="preserve">Alignment of foreign, trade and aid policy staff responsibilities affects ability to identify and manage aid program risks. </w:t>
            </w:r>
          </w:p>
        </w:tc>
        <w:tc>
          <w:tcPr>
            <w:tcW w:w="3497" w:type="dxa"/>
            <w:tcBorders>
              <w:top w:val="single" w:sz="2" w:space="0" w:color="000000" w:themeColor="text1"/>
              <w:bottom w:val="single" w:sz="2" w:space="0" w:color="000000" w:themeColor="text1"/>
            </w:tcBorders>
          </w:tcPr>
          <w:p w:rsidR="00524E2F" w:rsidRPr="004C4A3E" w:rsidRDefault="00524E2F" w:rsidP="00524E2F">
            <w:pPr>
              <w:pStyle w:val="TableTextEntries"/>
              <w:spacing w:before="0" w:after="0" w:line="280" w:lineRule="atLeast"/>
            </w:pPr>
            <w:r>
              <w:t>Hanoi Post organised several integration s</w:t>
            </w:r>
            <w:r w:rsidRPr="00E82DA5">
              <w:t>eminar</w:t>
            </w:r>
            <w:r>
              <w:t>s</w:t>
            </w:r>
            <w:r w:rsidRPr="00E82DA5">
              <w:t xml:space="preserve"> </w:t>
            </w:r>
            <w:r>
              <w:t>for political/economic and aid program staff in March-April 2014 to strengthen harmonisation and broaden staff exposure to different functions within the Embassy.</w:t>
            </w:r>
          </w:p>
        </w:tc>
        <w:tc>
          <w:tcPr>
            <w:tcW w:w="3389" w:type="dxa"/>
            <w:tcBorders>
              <w:top w:val="single" w:sz="2" w:space="0" w:color="000000" w:themeColor="text1"/>
              <w:bottom w:val="single" w:sz="2" w:space="0" w:color="000000" w:themeColor="text1"/>
            </w:tcBorders>
          </w:tcPr>
          <w:p w:rsidR="00524E2F" w:rsidRPr="004C4A3E" w:rsidRDefault="00524E2F" w:rsidP="00EA6098">
            <w:pPr>
              <w:pStyle w:val="TableTextEntries"/>
              <w:spacing w:before="0" w:after="0" w:line="280" w:lineRule="atLeast"/>
              <w:ind w:right="-1"/>
            </w:pPr>
            <w:r>
              <w:t>Focal points will be established to lead DFAT-wide policy dialogue and ensure coherence. Ongoing opportunities for closer alignment will be identified.</w:t>
            </w:r>
          </w:p>
        </w:tc>
      </w:tr>
    </w:tbl>
    <w:p w:rsidR="00BF2B09" w:rsidRPr="00960505" w:rsidRDefault="00BF2B09" w:rsidP="00960505">
      <w:pPr>
        <w:pStyle w:val="Heading2"/>
        <w:spacing w:before="120" w:line="280" w:lineRule="atLeast"/>
        <w:rPr>
          <w:sz w:val="28"/>
        </w:rPr>
      </w:pPr>
      <w:r w:rsidRPr="00960505">
        <w:rPr>
          <w:sz w:val="28"/>
        </w:rPr>
        <w:t xml:space="preserve">Management </w:t>
      </w:r>
      <w:r w:rsidR="00C70934" w:rsidRPr="00960505">
        <w:rPr>
          <w:sz w:val="28"/>
        </w:rPr>
        <w:t>r</w:t>
      </w:r>
      <w:r w:rsidRPr="00960505">
        <w:rPr>
          <w:sz w:val="28"/>
        </w:rPr>
        <w:t>esponses</w:t>
      </w:r>
    </w:p>
    <w:p w:rsidR="009622FC" w:rsidRPr="00047841" w:rsidRDefault="00B32C41" w:rsidP="00047841">
      <w:pPr>
        <w:pStyle w:val="BodyText"/>
        <w:spacing w:after="120" w:line="280" w:lineRule="atLeast"/>
        <w:rPr>
          <w:szCs w:val="22"/>
        </w:rPr>
      </w:pPr>
      <w:r w:rsidRPr="00047841">
        <w:rPr>
          <w:szCs w:val="22"/>
        </w:rPr>
        <w:t xml:space="preserve">Annex A </w:t>
      </w:r>
      <w:r>
        <w:rPr>
          <w:szCs w:val="22"/>
        </w:rPr>
        <w:t>outlines p</w:t>
      </w:r>
      <w:r w:rsidR="00BF2B09" w:rsidRPr="00047841">
        <w:rPr>
          <w:szCs w:val="22"/>
        </w:rPr>
        <w:t xml:space="preserve">rogress in addressing </w:t>
      </w:r>
      <w:r>
        <w:rPr>
          <w:szCs w:val="22"/>
        </w:rPr>
        <w:t xml:space="preserve">last </w:t>
      </w:r>
      <w:r w:rsidR="00BF2B09" w:rsidRPr="00047841">
        <w:rPr>
          <w:szCs w:val="22"/>
        </w:rPr>
        <w:t xml:space="preserve">year’s management </w:t>
      </w:r>
      <w:r w:rsidR="00304DDA" w:rsidRPr="00047841">
        <w:rPr>
          <w:szCs w:val="22"/>
        </w:rPr>
        <w:t>responses</w:t>
      </w:r>
      <w:r w:rsidR="004E3072">
        <w:rPr>
          <w:szCs w:val="22"/>
        </w:rPr>
        <w:t xml:space="preserve">. Responses </w:t>
      </w:r>
      <w:r w:rsidR="00304DDA" w:rsidRPr="00047841">
        <w:rPr>
          <w:szCs w:val="22"/>
        </w:rPr>
        <w:t>for 2014</w:t>
      </w:r>
      <w:r>
        <w:rPr>
          <w:szCs w:val="22"/>
        </w:rPr>
        <w:t>–</w:t>
      </w:r>
      <w:r w:rsidR="00304DDA" w:rsidRPr="00047841">
        <w:rPr>
          <w:szCs w:val="22"/>
        </w:rPr>
        <w:t xml:space="preserve">15 are </w:t>
      </w:r>
      <w:r w:rsidR="004E3072">
        <w:rPr>
          <w:szCs w:val="22"/>
        </w:rPr>
        <w:t xml:space="preserve">outlined </w:t>
      </w:r>
      <w:r w:rsidR="00BF2B09" w:rsidRPr="00EB0996">
        <w:rPr>
          <w:szCs w:val="22"/>
        </w:rPr>
        <w:t>below.</w:t>
      </w:r>
      <w:r w:rsidR="00304DDA" w:rsidRPr="00047841">
        <w:rPr>
          <w:szCs w:val="22"/>
        </w:rPr>
        <w:t xml:space="preserve"> </w:t>
      </w:r>
      <w:r w:rsidR="002C6AB4">
        <w:rPr>
          <w:szCs w:val="22"/>
        </w:rPr>
        <w:t>T</w:t>
      </w:r>
      <w:r w:rsidR="009622FC" w:rsidRPr="00047841">
        <w:rPr>
          <w:szCs w:val="22"/>
        </w:rPr>
        <w:t>he</w:t>
      </w:r>
      <w:r w:rsidR="002C6AB4">
        <w:rPr>
          <w:szCs w:val="22"/>
        </w:rPr>
        <w:t>se will be reviewed once the</w:t>
      </w:r>
      <w:r w:rsidR="009622FC" w:rsidRPr="00047841">
        <w:rPr>
          <w:szCs w:val="22"/>
        </w:rPr>
        <w:t xml:space="preserve"> Office of Development Effectiveness</w:t>
      </w:r>
      <w:r>
        <w:rPr>
          <w:szCs w:val="22"/>
        </w:rPr>
        <w:t>’</w:t>
      </w:r>
      <w:r w:rsidR="009622FC" w:rsidRPr="00047841">
        <w:rPr>
          <w:szCs w:val="22"/>
        </w:rPr>
        <w:t xml:space="preserve"> evaluation of the </w:t>
      </w:r>
      <w:r w:rsidR="009622FC" w:rsidRPr="00837906">
        <w:rPr>
          <w:i/>
          <w:szCs w:val="22"/>
        </w:rPr>
        <w:t>Australia-Vietnam Joint Aid Program Strategy 2010-15</w:t>
      </w:r>
      <w:r w:rsidR="002C6AB4">
        <w:rPr>
          <w:i/>
          <w:szCs w:val="22"/>
        </w:rPr>
        <w:t xml:space="preserve"> </w:t>
      </w:r>
      <w:r w:rsidR="002C6AB4">
        <w:rPr>
          <w:szCs w:val="22"/>
        </w:rPr>
        <w:t xml:space="preserve">is finalised (expected </w:t>
      </w:r>
      <w:r w:rsidR="004E3072">
        <w:rPr>
          <w:szCs w:val="22"/>
        </w:rPr>
        <w:t>late</w:t>
      </w:r>
      <w:r w:rsidR="002C6AB4">
        <w:rPr>
          <w:szCs w:val="22"/>
        </w:rPr>
        <w:t xml:space="preserve"> 2014)</w:t>
      </w:r>
      <w:r w:rsidR="009622FC" w:rsidRPr="00047841">
        <w:rPr>
          <w:szCs w:val="22"/>
        </w:rPr>
        <w:t>. This evaluation</w:t>
      </w:r>
      <w:r w:rsidR="00304DDA" w:rsidRPr="00047841">
        <w:rPr>
          <w:szCs w:val="22"/>
        </w:rPr>
        <w:t>,</w:t>
      </w:r>
      <w:r w:rsidR="009622FC" w:rsidRPr="00047841">
        <w:rPr>
          <w:szCs w:val="22"/>
        </w:rPr>
        <w:t xml:space="preserve"> </w:t>
      </w:r>
      <w:r w:rsidR="004E3072">
        <w:rPr>
          <w:szCs w:val="22"/>
        </w:rPr>
        <w:t xml:space="preserve">plus </w:t>
      </w:r>
      <w:r w:rsidR="009622FC" w:rsidRPr="00047841">
        <w:rPr>
          <w:szCs w:val="22"/>
        </w:rPr>
        <w:t>Australia’s new Aid Policy and Performance Framework</w:t>
      </w:r>
      <w:r w:rsidR="003A1EB4">
        <w:rPr>
          <w:szCs w:val="22"/>
        </w:rPr>
        <w:t>,</w:t>
      </w:r>
      <w:r w:rsidR="009622FC" w:rsidRPr="00047841">
        <w:rPr>
          <w:szCs w:val="22"/>
        </w:rPr>
        <w:t xml:space="preserve"> will inform the development of a new </w:t>
      </w:r>
      <w:r w:rsidR="003A1EB4" w:rsidRPr="00047841">
        <w:rPr>
          <w:szCs w:val="22"/>
        </w:rPr>
        <w:t xml:space="preserve">Vietnam </w:t>
      </w:r>
      <w:r w:rsidR="009622FC" w:rsidRPr="00047841">
        <w:rPr>
          <w:szCs w:val="22"/>
        </w:rPr>
        <w:t>Aid Investment Plan during 2014-15.</w:t>
      </w:r>
    </w:p>
    <w:p w:rsidR="00304DDA" w:rsidRPr="00047841" w:rsidRDefault="002C6AB4" w:rsidP="00047841">
      <w:pPr>
        <w:pStyle w:val="BodyText"/>
        <w:spacing w:after="120" w:line="280" w:lineRule="atLeast"/>
        <w:rPr>
          <w:szCs w:val="22"/>
        </w:rPr>
      </w:pPr>
      <w:r>
        <w:rPr>
          <w:szCs w:val="22"/>
        </w:rPr>
        <w:t>Overarching s</w:t>
      </w:r>
      <w:r w:rsidR="00304DDA" w:rsidRPr="00047841">
        <w:rPr>
          <w:szCs w:val="22"/>
        </w:rPr>
        <w:t xml:space="preserve">trategic priorities for </w:t>
      </w:r>
      <w:r w:rsidR="006949A0">
        <w:rPr>
          <w:szCs w:val="22"/>
        </w:rPr>
        <w:t xml:space="preserve">the </w:t>
      </w:r>
      <w:r>
        <w:rPr>
          <w:szCs w:val="22"/>
        </w:rPr>
        <w:t>Vietnam</w:t>
      </w:r>
      <w:r w:rsidRPr="00047841">
        <w:rPr>
          <w:szCs w:val="22"/>
        </w:rPr>
        <w:t xml:space="preserve"> </w:t>
      </w:r>
      <w:r w:rsidR="006949A0">
        <w:rPr>
          <w:szCs w:val="22"/>
        </w:rPr>
        <w:t xml:space="preserve">aid program </w:t>
      </w:r>
      <w:r w:rsidR="00B70D1E" w:rsidRPr="00047841">
        <w:rPr>
          <w:szCs w:val="22"/>
        </w:rPr>
        <w:t>in 2014-15</w:t>
      </w:r>
      <w:r w:rsidR="00304DDA" w:rsidRPr="00047841">
        <w:rPr>
          <w:szCs w:val="22"/>
        </w:rPr>
        <w:t xml:space="preserve"> </w:t>
      </w:r>
      <w:r>
        <w:rPr>
          <w:szCs w:val="22"/>
        </w:rPr>
        <w:t>are as follows</w:t>
      </w:r>
      <w:r w:rsidR="00304DDA" w:rsidRPr="00047841">
        <w:rPr>
          <w:szCs w:val="22"/>
        </w:rPr>
        <w:t>:</w:t>
      </w:r>
    </w:p>
    <w:p w:rsidR="00304DDA" w:rsidRPr="00047841" w:rsidRDefault="00304DDA" w:rsidP="00047841">
      <w:pPr>
        <w:pStyle w:val="BodyText"/>
        <w:numPr>
          <w:ilvl w:val="0"/>
          <w:numId w:val="49"/>
        </w:numPr>
        <w:spacing w:after="120" w:line="280" w:lineRule="atLeast"/>
        <w:rPr>
          <w:szCs w:val="22"/>
        </w:rPr>
      </w:pPr>
      <w:r w:rsidRPr="00047841">
        <w:rPr>
          <w:b/>
          <w:szCs w:val="22"/>
        </w:rPr>
        <w:lastRenderedPageBreak/>
        <w:t>Develop</w:t>
      </w:r>
      <w:r w:rsidR="002C6AB4">
        <w:rPr>
          <w:b/>
          <w:szCs w:val="22"/>
        </w:rPr>
        <w:t xml:space="preserve"> </w:t>
      </w:r>
      <w:r w:rsidRPr="00047841">
        <w:rPr>
          <w:b/>
          <w:szCs w:val="22"/>
        </w:rPr>
        <w:t xml:space="preserve">a new strategic </w:t>
      </w:r>
      <w:r w:rsidR="006949A0">
        <w:rPr>
          <w:b/>
          <w:szCs w:val="22"/>
        </w:rPr>
        <w:t>framework</w:t>
      </w:r>
      <w:r w:rsidRPr="00047841">
        <w:rPr>
          <w:b/>
          <w:szCs w:val="22"/>
        </w:rPr>
        <w:t xml:space="preserve"> </w:t>
      </w:r>
      <w:r w:rsidR="002C6AB4">
        <w:rPr>
          <w:b/>
          <w:szCs w:val="22"/>
        </w:rPr>
        <w:t xml:space="preserve">to guide </w:t>
      </w:r>
      <w:r w:rsidRPr="00047841">
        <w:rPr>
          <w:b/>
          <w:szCs w:val="22"/>
        </w:rPr>
        <w:t xml:space="preserve">aid investments in Vietnam </w:t>
      </w:r>
      <w:r w:rsidR="00137EC6">
        <w:rPr>
          <w:b/>
          <w:szCs w:val="22"/>
        </w:rPr>
        <w:t>beyond 2015</w:t>
      </w:r>
      <w:r w:rsidR="002C6AB4">
        <w:rPr>
          <w:b/>
          <w:szCs w:val="22"/>
        </w:rPr>
        <w:t>:</w:t>
      </w:r>
      <w:r w:rsidR="002A67F9" w:rsidRPr="00047841">
        <w:rPr>
          <w:szCs w:val="22"/>
        </w:rPr>
        <w:t xml:space="preserve"> work with whole of </w:t>
      </w:r>
      <w:r w:rsidR="002C6AB4">
        <w:rPr>
          <w:szCs w:val="22"/>
        </w:rPr>
        <w:t xml:space="preserve">Australian </w:t>
      </w:r>
      <w:r w:rsidR="00981B9D">
        <w:rPr>
          <w:szCs w:val="22"/>
        </w:rPr>
        <w:t>G</w:t>
      </w:r>
      <w:r w:rsidR="002A67F9" w:rsidRPr="00047841">
        <w:rPr>
          <w:szCs w:val="22"/>
        </w:rPr>
        <w:t>overnment partners and the Government of Vietnam to identify priority areas for investment; review opportunities for private sector engagement;</w:t>
      </w:r>
      <w:r w:rsidR="00B70D1E" w:rsidRPr="00047841">
        <w:rPr>
          <w:szCs w:val="22"/>
        </w:rPr>
        <w:t xml:space="preserve"> establish joint benchmarks with the Government of Vietnam; participa</w:t>
      </w:r>
      <w:r w:rsidR="003A1EB4">
        <w:rPr>
          <w:szCs w:val="22"/>
        </w:rPr>
        <w:t>te</w:t>
      </w:r>
      <w:r w:rsidR="00B70D1E" w:rsidRPr="00047841">
        <w:rPr>
          <w:szCs w:val="22"/>
        </w:rPr>
        <w:t xml:space="preserve"> in the Vietnam Development Partners</w:t>
      </w:r>
      <w:r w:rsidR="003A1EB4">
        <w:rPr>
          <w:szCs w:val="22"/>
        </w:rPr>
        <w:t>hip</w:t>
      </w:r>
      <w:r w:rsidR="00B70D1E" w:rsidRPr="00047841">
        <w:rPr>
          <w:szCs w:val="22"/>
        </w:rPr>
        <w:t xml:space="preserve"> Forum</w:t>
      </w:r>
      <w:r w:rsidR="003A1EB4">
        <w:rPr>
          <w:szCs w:val="22"/>
        </w:rPr>
        <w:t>;</w:t>
      </w:r>
      <w:r w:rsidR="00B70D1E" w:rsidRPr="00047841">
        <w:rPr>
          <w:szCs w:val="22"/>
        </w:rPr>
        <w:t xml:space="preserve"> and publish a new </w:t>
      </w:r>
      <w:r w:rsidR="003A1EB4" w:rsidRPr="00047841">
        <w:rPr>
          <w:szCs w:val="22"/>
        </w:rPr>
        <w:t xml:space="preserve">Vietnam </w:t>
      </w:r>
      <w:r w:rsidR="00B70D1E" w:rsidRPr="00047841">
        <w:rPr>
          <w:szCs w:val="22"/>
        </w:rPr>
        <w:t>Aid Investment Plan.</w:t>
      </w:r>
    </w:p>
    <w:p w:rsidR="002A67F9" w:rsidRPr="00047841" w:rsidRDefault="002A67F9" w:rsidP="00047841">
      <w:pPr>
        <w:pStyle w:val="BodyText"/>
        <w:numPr>
          <w:ilvl w:val="0"/>
          <w:numId w:val="49"/>
        </w:numPr>
        <w:spacing w:after="120" w:line="280" w:lineRule="atLeast"/>
        <w:rPr>
          <w:b/>
          <w:szCs w:val="22"/>
        </w:rPr>
      </w:pPr>
      <w:r w:rsidRPr="00047841">
        <w:rPr>
          <w:b/>
          <w:szCs w:val="22"/>
        </w:rPr>
        <w:t xml:space="preserve">Strengthen economic diplomacy engagement in </w:t>
      </w:r>
      <w:r w:rsidR="003A1EB4">
        <w:rPr>
          <w:b/>
          <w:szCs w:val="22"/>
        </w:rPr>
        <w:t>Vietnam:</w:t>
      </w:r>
      <w:r w:rsidR="003A1EB4" w:rsidRPr="00047841">
        <w:rPr>
          <w:b/>
          <w:szCs w:val="22"/>
        </w:rPr>
        <w:t xml:space="preserve"> </w:t>
      </w:r>
      <w:r w:rsidRPr="00047841">
        <w:rPr>
          <w:szCs w:val="22"/>
        </w:rPr>
        <w:t xml:space="preserve">establish a </w:t>
      </w:r>
      <w:r w:rsidR="00B70D1E" w:rsidRPr="00047841">
        <w:rPr>
          <w:szCs w:val="22"/>
        </w:rPr>
        <w:t xml:space="preserve">flexible </w:t>
      </w:r>
      <w:r w:rsidRPr="00047841">
        <w:rPr>
          <w:szCs w:val="22"/>
        </w:rPr>
        <w:t xml:space="preserve">fund to </w:t>
      </w:r>
      <w:r w:rsidR="003A1EB4">
        <w:rPr>
          <w:szCs w:val="22"/>
        </w:rPr>
        <w:t xml:space="preserve">pilot </w:t>
      </w:r>
      <w:r w:rsidRPr="00047841">
        <w:rPr>
          <w:szCs w:val="22"/>
        </w:rPr>
        <w:t xml:space="preserve">new </w:t>
      </w:r>
      <w:r w:rsidR="003A1EB4">
        <w:rPr>
          <w:szCs w:val="22"/>
        </w:rPr>
        <w:t xml:space="preserve">and innovative </w:t>
      </w:r>
      <w:r w:rsidR="00B70D1E" w:rsidRPr="00047841">
        <w:rPr>
          <w:szCs w:val="22"/>
        </w:rPr>
        <w:t xml:space="preserve">ideas; work closely with whole of </w:t>
      </w:r>
      <w:r w:rsidR="00981B9D">
        <w:rPr>
          <w:szCs w:val="22"/>
        </w:rPr>
        <w:t>Australian G</w:t>
      </w:r>
      <w:r w:rsidR="00B70D1E" w:rsidRPr="00047841">
        <w:rPr>
          <w:szCs w:val="22"/>
        </w:rPr>
        <w:t xml:space="preserve">overnment partners to identify opportunities for </w:t>
      </w:r>
      <w:r w:rsidR="00981B9D" w:rsidRPr="00047841">
        <w:rPr>
          <w:szCs w:val="22"/>
        </w:rPr>
        <w:t xml:space="preserve">joint </w:t>
      </w:r>
      <w:r w:rsidR="00B70D1E" w:rsidRPr="00047841">
        <w:rPr>
          <w:szCs w:val="22"/>
        </w:rPr>
        <w:t>engagement</w:t>
      </w:r>
      <w:r w:rsidR="00D44E32">
        <w:rPr>
          <w:szCs w:val="22"/>
        </w:rPr>
        <w:t xml:space="preserve"> on economic diplomacy</w:t>
      </w:r>
      <w:r w:rsidR="00981B9D">
        <w:rPr>
          <w:szCs w:val="22"/>
        </w:rPr>
        <w:t>;</w:t>
      </w:r>
      <w:r w:rsidR="00B70D1E" w:rsidRPr="00047841">
        <w:rPr>
          <w:szCs w:val="22"/>
        </w:rPr>
        <w:t xml:space="preserve"> and actively engag</w:t>
      </w:r>
      <w:r w:rsidR="00981B9D">
        <w:rPr>
          <w:szCs w:val="22"/>
        </w:rPr>
        <w:t>e</w:t>
      </w:r>
      <w:r w:rsidR="00B70D1E" w:rsidRPr="00047841">
        <w:rPr>
          <w:szCs w:val="22"/>
        </w:rPr>
        <w:t xml:space="preserve"> with Government of Vietnam </w:t>
      </w:r>
      <w:r w:rsidR="00045535">
        <w:rPr>
          <w:szCs w:val="22"/>
        </w:rPr>
        <w:t xml:space="preserve">to inform an influence </w:t>
      </w:r>
      <w:r w:rsidR="00B70D1E" w:rsidRPr="00047841">
        <w:rPr>
          <w:szCs w:val="22"/>
        </w:rPr>
        <w:t xml:space="preserve">development of </w:t>
      </w:r>
      <w:r w:rsidR="00045535">
        <w:rPr>
          <w:szCs w:val="22"/>
        </w:rPr>
        <w:t xml:space="preserve">a </w:t>
      </w:r>
      <w:r w:rsidR="00981B9D">
        <w:rPr>
          <w:szCs w:val="22"/>
        </w:rPr>
        <w:t xml:space="preserve">new </w:t>
      </w:r>
      <w:r w:rsidR="00B70D1E" w:rsidRPr="00047841">
        <w:rPr>
          <w:szCs w:val="22"/>
        </w:rPr>
        <w:t>Socio</w:t>
      </w:r>
      <w:r w:rsidR="00981B9D">
        <w:rPr>
          <w:szCs w:val="22"/>
        </w:rPr>
        <w:t>-E</w:t>
      </w:r>
      <w:r w:rsidR="00B70D1E" w:rsidRPr="00047841">
        <w:rPr>
          <w:szCs w:val="22"/>
        </w:rPr>
        <w:t xml:space="preserve">conomic </w:t>
      </w:r>
      <w:r w:rsidR="00981B9D">
        <w:rPr>
          <w:szCs w:val="22"/>
        </w:rPr>
        <w:t>Development</w:t>
      </w:r>
      <w:r w:rsidR="00981B9D" w:rsidRPr="00047841">
        <w:rPr>
          <w:szCs w:val="22"/>
        </w:rPr>
        <w:t xml:space="preserve"> </w:t>
      </w:r>
      <w:r w:rsidR="00B70D1E" w:rsidRPr="00047841">
        <w:rPr>
          <w:szCs w:val="22"/>
        </w:rPr>
        <w:t xml:space="preserve">Plan 2016-20; </w:t>
      </w:r>
    </w:p>
    <w:p w:rsidR="002A67F9" w:rsidRPr="00047841" w:rsidRDefault="00611E51" w:rsidP="00047841">
      <w:pPr>
        <w:pStyle w:val="BodyText"/>
        <w:numPr>
          <w:ilvl w:val="0"/>
          <w:numId w:val="49"/>
        </w:numPr>
        <w:spacing w:after="120" w:line="280" w:lineRule="atLeast"/>
        <w:rPr>
          <w:b/>
          <w:szCs w:val="22"/>
        </w:rPr>
      </w:pPr>
      <w:r w:rsidRPr="00047841">
        <w:rPr>
          <w:b/>
          <w:szCs w:val="22"/>
        </w:rPr>
        <w:t>Ensur</w:t>
      </w:r>
      <w:r w:rsidR="00045535">
        <w:rPr>
          <w:b/>
          <w:szCs w:val="22"/>
        </w:rPr>
        <w:t>e</w:t>
      </w:r>
      <w:r w:rsidRPr="00047841">
        <w:rPr>
          <w:b/>
          <w:szCs w:val="22"/>
        </w:rPr>
        <w:t xml:space="preserve"> innovation is central </w:t>
      </w:r>
      <w:r w:rsidR="00045535">
        <w:rPr>
          <w:b/>
          <w:szCs w:val="22"/>
        </w:rPr>
        <w:t xml:space="preserve">to delivery of </w:t>
      </w:r>
      <w:r w:rsidRPr="00047841">
        <w:rPr>
          <w:b/>
          <w:szCs w:val="22"/>
        </w:rPr>
        <w:t>our aid program</w:t>
      </w:r>
      <w:r w:rsidR="00045535">
        <w:rPr>
          <w:b/>
          <w:szCs w:val="22"/>
        </w:rPr>
        <w:t>:</w:t>
      </w:r>
      <w:r w:rsidRPr="00047841">
        <w:rPr>
          <w:b/>
          <w:szCs w:val="22"/>
        </w:rPr>
        <w:t xml:space="preserve"> </w:t>
      </w:r>
      <w:r w:rsidRPr="00047841">
        <w:rPr>
          <w:szCs w:val="22"/>
        </w:rPr>
        <w:t>e</w:t>
      </w:r>
      <w:r w:rsidR="002A67F9" w:rsidRPr="00047841">
        <w:rPr>
          <w:szCs w:val="22"/>
        </w:rPr>
        <w:t>stablish a</w:t>
      </w:r>
      <w:r w:rsidRPr="00047841">
        <w:rPr>
          <w:szCs w:val="22"/>
        </w:rPr>
        <w:t xml:space="preserve">n </w:t>
      </w:r>
      <w:r w:rsidR="002A67F9" w:rsidRPr="00047841">
        <w:rPr>
          <w:szCs w:val="22"/>
        </w:rPr>
        <w:t>innovation task forc</w:t>
      </w:r>
      <w:r w:rsidR="00B70D1E" w:rsidRPr="00047841">
        <w:rPr>
          <w:szCs w:val="22"/>
        </w:rPr>
        <w:t xml:space="preserve">e at </w:t>
      </w:r>
      <w:r w:rsidR="00045535">
        <w:rPr>
          <w:szCs w:val="22"/>
        </w:rPr>
        <w:t>P</w:t>
      </w:r>
      <w:r w:rsidR="00B70D1E" w:rsidRPr="00047841">
        <w:rPr>
          <w:szCs w:val="22"/>
        </w:rPr>
        <w:t xml:space="preserve">ost to </w:t>
      </w:r>
      <w:r w:rsidRPr="00047841">
        <w:rPr>
          <w:szCs w:val="22"/>
        </w:rPr>
        <w:t>consider</w:t>
      </w:r>
      <w:r w:rsidR="00B70D1E" w:rsidRPr="00047841">
        <w:rPr>
          <w:szCs w:val="22"/>
        </w:rPr>
        <w:t xml:space="preserve"> </w:t>
      </w:r>
      <w:r w:rsidR="00045535">
        <w:rPr>
          <w:szCs w:val="22"/>
        </w:rPr>
        <w:t>new</w:t>
      </w:r>
      <w:r w:rsidR="00045535" w:rsidRPr="00047841">
        <w:rPr>
          <w:szCs w:val="22"/>
        </w:rPr>
        <w:t xml:space="preserve"> </w:t>
      </w:r>
      <w:r w:rsidR="00B70D1E" w:rsidRPr="00047841">
        <w:rPr>
          <w:szCs w:val="22"/>
        </w:rPr>
        <w:t>ways to promote private sector growth</w:t>
      </w:r>
      <w:r w:rsidRPr="00047841">
        <w:rPr>
          <w:szCs w:val="22"/>
        </w:rPr>
        <w:t xml:space="preserve">, </w:t>
      </w:r>
      <w:r w:rsidR="00B70D1E" w:rsidRPr="00047841">
        <w:rPr>
          <w:szCs w:val="22"/>
        </w:rPr>
        <w:t>engage the private sector and leverage new source</w:t>
      </w:r>
      <w:r w:rsidRPr="00047841">
        <w:rPr>
          <w:szCs w:val="22"/>
        </w:rPr>
        <w:t>s</w:t>
      </w:r>
      <w:r w:rsidR="00B70D1E" w:rsidRPr="00047841">
        <w:rPr>
          <w:szCs w:val="22"/>
        </w:rPr>
        <w:t xml:space="preserve"> of </w:t>
      </w:r>
      <w:r w:rsidRPr="00047841">
        <w:rPr>
          <w:szCs w:val="22"/>
        </w:rPr>
        <w:t>development finance;</w:t>
      </w:r>
      <w:r w:rsidR="00D44E32">
        <w:rPr>
          <w:szCs w:val="22"/>
        </w:rPr>
        <w:t xml:space="preserve"> task force to engage Innovation Hub and Canberra to ensure contestability of new ideas; </w:t>
      </w:r>
      <w:r w:rsidR="006949A0">
        <w:rPr>
          <w:szCs w:val="22"/>
        </w:rPr>
        <w:t xml:space="preserve">and </w:t>
      </w:r>
      <w:r w:rsidRPr="00047841">
        <w:rPr>
          <w:szCs w:val="22"/>
        </w:rPr>
        <w:t>invit</w:t>
      </w:r>
      <w:r w:rsidR="00045535">
        <w:rPr>
          <w:szCs w:val="22"/>
        </w:rPr>
        <w:t>e</w:t>
      </w:r>
      <w:r w:rsidRPr="00047841">
        <w:rPr>
          <w:szCs w:val="22"/>
        </w:rPr>
        <w:t xml:space="preserve"> </w:t>
      </w:r>
      <w:r w:rsidR="00045535">
        <w:rPr>
          <w:szCs w:val="22"/>
        </w:rPr>
        <w:t xml:space="preserve">experts </w:t>
      </w:r>
      <w:r w:rsidRPr="00047841">
        <w:rPr>
          <w:szCs w:val="22"/>
        </w:rPr>
        <w:t>at the forefront of innovation in Vietnam to share experiences with DFAT staff through a seminar series</w:t>
      </w:r>
      <w:r w:rsidR="001938F9" w:rsidRPr="00047841">
        <w:rPr>
          <w:szCs w:val="22"/>
        </w:rPr>
        <w:t>.</w:t>
      </w:r>
    </w:p>
    <w:p w:rsidR="002A67F9" w:rsidRPr="00047841" w:rsidRDefault="002A67F9" w:rsidP="00047841">
      <w:pPr>
        <w:pStyle w:val="BodyText"/>
        <w:numPr>
          <w:ilvl w:val="0"/>
          <w:numId w:val="49"/>
        </w:numPr>
        <w:spacing w:after="120" w:line="280" w:lineRule="atLeast"/>
        <w:rPr>
          <w:b/>
          <w:szCs w:val="22"/>
        </w:rPr>
      </w:pPr>
      <w:r w:rsidRPr="00047841">
        <w:rPr>
          <w:b/>
          <w:szCs w:val="22"/>
        </w:rPr>
        <w:t>Build DFAT</w:t>
      </w:r>
      <w:r w:rsidR="00045535">
        <w:rPr>
          <w:b/>
          <w:szCs w:val="22"/>
        </w:rPr>
        <w:t>’</w:t>
      </w:r>
      <w:r w:rsidRPr="00047841">
        <w:rPr>
          <w:b/>
          <w:szCs w:val="22"/>
        </w:rPr>
        <w:t xml:space="preserve">s capacity to </w:t>
      </w:r>
      <w:r w:rsidR="001938F9" w:rsidRPr="00047841">
        <w:rPr>
          <w:b/>
          <w:szCs w:val="22"/>
        </w:rPr>
        <w:t xml:space="preserve">manage integration and implement </w:t>
      </w:r>
      <w:r w:rsidRPr="00047841">
        <w:rPr>
          <w:b/>
          <w:szCs w:val="22"/>
        </w:rPr>
        <w:t>the new Aid Policy</w:t>
      </w:r>
      <w:r w:rsidR="00045535">
        <w:rPr>
          <w:b/>
          <w:szCs w:val="22"/>
        </w:rPr>
        <w:t>:</w:t>
      </w:r>
      <w:r w:rsidRPr="00047841">
        <w:rPr>
          <w:b/>
          <w:szCs w:val="22"/>
        </w:rPr>
        <w:t xml:space="preserve"> </w:t>
      </w:r>
      <w:r w:rsidR="001938F9" w:rsidRPr="00047841">
        <w:rPr>
          <w:szCs w:val="22"/>
        </w:rPr>
        <w:t>provid</w:t>
      </w:r>
      <w:r w:rsidR="00045535">
        <w:rPr>
          <w:szCs w:val="22"/>
        </w:rPr>
        <w:t>e</w:t>
      </w:r>
      <w:r w:rsidR="001938F9" w:rsidRPr="00047841">
        <w:rPr>
          <w:szCs w:val="22"/>
        </w:rPr>
        <w:t xml:space="preserve"> training on gender</w:t>
      </w:r>
      <w:r w:rsidR="00E03A3D">
        <w:rPr>
          <w:szCs w:val="22"/>
        </w:rPr>
        <w:t xml:space="preserve"> </w:t>
      </w:r>
      <w:r w:rsidR="00E03A3D">
        <w:rPr>
          <w:szCs w:val="21"/>
        </w:rPr>
        <w:t>equality</w:t>
      </w:r>
      <w:r w:rsidR="001938F9" w:rsidRPr="00047841">
        <w:rPr>
          <w:szCs w:val="22"/>
        </w:rPr>
        <w:t>, disability, private sector engagement, aid for trade and performance</w:t>
      </w:r>
      <w:r w:rsidR="0035130E">
        <w:rPr>
          <w:szCs w:val="22"/>
        </w:rPr>
        <w:t xml:space="preserve"> benchmarking to all DFAT staff</w:t>
      </w:r>
      <w:r w:rsidR="00F204A4">
        <w:rPr>
          <w:szCs w:val="22"/>
        </w:rPr>
        <w:t>.</w:t>
      </w:r>
    </w:p>
    <w:p w:rsidR="002A67F9" w:rsidRPr="00D44E32" w:rsidRDefault="00DC3AE5" w:rsidP="00047841">
      <w:pPr>
        <w:pStyle w:val="BodyText"/>
        <w:numPr>
          <w:ilvl w:val="0"/>
          <w:numId w:val="49"/>
        </w:numPr>
        <w:spacing w:after="120" w:line="280" w:lineRule="atLeast"/>
        <w:rPr>
          <w:b/>
          <w:szCs w:val="22"/>
        </w:rPr>
      </w:pPr>
      <w:r w:rsidRPr="00047841">
        <w:rPr>
          <w:b/>
          <w:szCs w:val="22"/>
        </w:rPr>
        <w:t>Maintain our reputation for delivering a high quality</w:t>
      </w:r>
      <w:r w:rsidR="00C25999">
        <w:rPr>
          <w:b/>
          <w:szCs w:val="22"/>
        </w:rPr>
        <w:t xml:space="preserve"> and effective</w:t>
      </w:r>
      <w:r w:rsidRPr="00047841">
        <w:rPr>
          <w:b/>
          <w:szCs w:val="22"/>
        </w:rPr>
        <w:t xml:space="preserve"> aid program that deliver</w:t>
      </w:r>
      <w:r w:rsidR="00C25999">
        <w:rPr>
          <w:b/>
          <w:szCs w:val="22"/>
        </w:rPr>
        <w:t>s</w:t>
      </w:r>
      <w:r w:rsidRPr="00047841">
        <w:rPr>
          <w:b/>
          <w:szCs w:val="22"/>
        </w:rPr>
        <w:t xml:space="preserve"> results</w:t>
      </w:r>
      <w:r w:rsidR="00C25999">
        <w:rPr>
          <w:b/>
          <w:szCs w:val="22"/>
        </w:rPr>
        <w:t>:</w:t>
      </w:r>
      <w:r w:rsidRPr="00047841">
        <w:rPr>
          <w:szCs w:val="22"/>
        </w:rPr>
        <w:t xml:space="preserve"> finalis</w:t>
      </w:r>
      <w:r w:rsidR="00C25999">
        <w:rPr>
          <w:szCs w:val="22"/>
        </w:rPr>
        <w:t>e</w:t>
      </w:r>
      <w:r w:rsidRPr="00047841">
        <w:rPr>
          <w:szCs w:val="22"/>
        </w:rPr>
        <w:t xml:space="preserve"> the Assessment of National Systems so that fiduciary risks are well</w:t>
      </w:r>
      <w:r w:rsidR="00C25999">
        <w:rPr>
          <w:szCs w:val="22"/>
        </w:rPr>
        <w:t>-</w:t>
      </w:r>
      <w:r w:rsidRPr="00047841">
        <w:rPr>
          <w:szCs w:val="22"/>
        </w:rPr>
        <w:t>managed; ensur</w:t>
      </w:r>
      <w:r w:rsidR="00C25999">
        <w:rPr>
          <w:szCs w:val="22"/>
        </w:rPr>
        <w:t>e</w:t>
      </w:r>
      <w:r w:rsidRPr="00047841">
        <w:rPr>
          <w:szCs w:val="22"/>
        </w:rPr>
        <w:t xml:space="preserve"> all programs implement safeguard</w:t>
      </w:r>
      <w:r w:rsidR="00C25999">
        <w:rPr>
          <w:szCs w:val="22"/>
        </w:rPr>
        <w:t>s</w:t>
      </w:r>
      <w:r w:rsidRPr="00047841">
        <w:rPr>
          <w:szCs w:val="22"/>
        </w:rPr>
        <w:t xml:space="preserve"> procedures</w:t>
      </w:r>
      <w:r w:rsidR="00C25999">
        <w:rPr>
          <w:szCs w:val="22"/>
        </w:rPr>
        <w:t>;</w:t>
      </w:r>
      <w:r w:rsidRPr="00047841">
        <w:rPr>
          <w:szCs w:val="22"/>
        </w:rPr>
        <w:t xml:space="preserve"> and consolidat</w:t>
      </w:r>
      <w:r w:rsidR="00C25999">
        <w:rPr>
          <w:szCs w:val="22"/>
        </w:rPr>
        <w:t>e the aid program</w:t>
      </w:r>
      <w:r w:rsidRPr="00047841">
        <w:rPr>
          <w:szCs w:val="22"/>
        </w:rPr>
        <w:t xml:space="preserve"> by reducing the </w:t>
      </w:r>
      <w:r w:rsidRPr="00D44E32">
        <w:rPr>
          <w:szCs w:val="22"/>
        </w:rPr>
        <w:t xml:space="preserve">number of individual investments. </w:t>
      </w:r>
    </w:p>
    <w:p w:rsidR="005F5D9F" w:rsidRPr="000D1353" w:rsidRDefault="005F5D9F" w:rsidP="005F5D9F">
      <w:pPr>
        <w:pStyle w:val="BodyText"/>
        <w:numPr>
          <w:ilvl w:val="0"/>
          <w:numId w:val="49"/>
        </w:numPr>
        <w:spacing w:after="120" w:line="280" w:lineRule="atLeast"/>
      </w:pPr>
      <w:r w:rsidRPr="000D1353">
        <w:rPr>
          <w:b/>
        </w:rPr>
        <w:t>Improve integration of gender equality throughout our program</w:t>
      </w:r>
      <w:r w:rsidRPr="000D1353">
        <w:t xml:space="preserve">: work with the World Bank to implement the agreed gender </w:t>
      </w:r>
      <w:r w:rsidR="00E03A3D">
        <w:rPr>
          <w:szCs w:val="21"/>
        </w:rPr>
        <w:t xml:space="preserve">equality </w:t>
      </w:r>
      <w:r w:rsidRPr="000D1353">
        <w:t xml:space="preserve">action plan; and strengthen gender </w:t>
      </w:r>
      <w:r w:rsidR="00E03A3D">
        <w:rPr>
          <w:szCs w:val="21"/>
        </w:rPr>
        <w:t xml:space="preserve">equality </w:t>
      </w:r>
      <w:r w:rsidRPr="000D1353">
        <w:t>consideration in economic integration initiatives.</w:t>
      </w:r>
    </w:p>
    <w:p w:rsidR="00DC3AE5" w:rsidRDefault="00B12356" w:rsidP="00047841">
      <w:pPr>
        <w:pStyle w:val="BodyText"/>
        <w:spacing w:after="120" w:line="280" w:lineRule="atLeast"/>
        <w:rPr>
          <w:szCs w:val="22"/>
        </w:rPr>
      </w:pPr>
      <w:r>
        <w:rPr>
          <w:szCs w:val="22"/>
        </w:rPr>
        <w:t>Sector-</w:t>
      </w:r>
      <w:r w:rsidR="00DC3AE5" w:rsidRPr="00047841">
        <w:rPr>
          <w:szCs w:val="22"/>
        </w:rPr>
        <w:t xml:space="preserve"> </w:t>
      </w:r>
      <w:r w:rsidR="009A753F" w:rsidRPr="00047841">
        <w:rPr>
          <w:szCs w:val="22"/>
        </w:rPr>
        <w:t xml:space="preserve">specific </w:t>
      </w:r>
      <w:r w:rsidR="00DC3AE5" w:rsidRPr="00047841">
        <w:rPr>
          <w:szCs w:val="22"/>
        </w:rPr>
        <w:t xml:space="preserve">management </w:t>
      </w:r>
      <w:r w:rsidR="009A753F" w:rsidRPr="00047841">
        <w:rPr>
          <w:szCs w:val="22"/>
        </w:rPr>
        <w:t xml:space="preserve">responses </w:t>
      </w:r>
      <w:r>
        <w:rPr>
          <w:szCs w:val="22"/>
        </w:rPr>
        <w:t>for 2014-15 are</w:t>
      </w:r>
      <w:r w:rsidR="00DC3AE5" w:rsidRPr="00047841">
        <w:rPr>
          <w:szCs w:val="22"/>
        </w:rPr>
        <w:t>:</w:t>
      </w:r>
    </w:p>
    <w:p w:rsidR="009A753F" w:rsidRPr="00047841" w:rsidRDefault="009A753F" w:rsidP="00047841">
      <w:pPr>
        <w:pStyle w:val="BodyText"/>
        <w:numPr>
          <w:ilvl w:val="0"/>
          <w:numId w:val="49"/>
        </w:numPr>
        <w:spacing w:after="120" w:line="280" w:lineRule="atLeast"/>
        <w:rPr>
          <w:b/>
        </w:rPr>
      </w:pPr>
      <w:r w:rsidRPr="00047841">
        <w:rPr>
          <w:b/>
          <w:szCs w:val="22"/>
        </w:rPr>
        <w:t>Improv</w:t>
      </w:r>
      <w:r w:rsidR="00B12356">
        <w:rPr>
          <w:b/>
          <w:szCs w:val="22"/>
        </w:rPr>
        <w:t xml:space="preserve">e </w:t>
      </w:r>
      <w:r w:rsidRPr="00047841">
        <w:rPr>
          <w:b/>
          <w:szCs w:val="22"/>
        </w:rPr>
        <w:t xml:space="preserve">the effectiveness and sustainability of </w:t>
      </w:r>
      <w:r w:rsidR="00B12356">
        <w:rPr>
          <w:b/>
          <w:szCs w:val="22"/>
        </w:rPr>
        <w:t xml:space="preserve">our </w:t>
      </w:r>
      <w:r w:rsidRPr="00047841">
        <w:rPr>
          <w:b/>
          <w:szCs w:val="22"/>
        </w:rPr>
        <w:t>infrastructure investments</w:t>
      </w:r>
      <w:r w:rsidR="00B12356">
        <w:rPr>
          <w:b/>
          <w:szCs w:val="22"/>
        </w:rPr>
        <w:t>:</w:t>
      </w:r>
      <w:r w:rsidRPr="00047841">
        <w:rPr>
          <w:b/>
          <w:szCs w:val="22"/>
        </w:rPr>
        <w:t xml:space="preserve"> </w:t>
      </w:r>
      <w:r w:rsidRPr="00047841">
        <w:rPr>
          <w:szCs w:val="22"/>
        </w:rPr>
        <w:t>support the W</w:t>
      </w:r>
      <w:r w:rsidR="00B12356">
        <w:rPr>
          <w:szCs w:val="22"/>
        </w:rPr>
        <w:t xml:space="preserve">orld </w:t>
      </w:r>
      <w:r w:rsidRPr="00047841">
        <w:rPr>
          <w:szCs w:val="22"/>
        </w:rPr>
        <w:t>B</w:t>
      </w:r>
      <w:r w:rsidR="00B12356">
        <w:rPr>
          <w:szCs w:val="22"/>
        </w:rPr>
        <w:t>ank</w:t>
      </w:r>
      <w:r w:rsidRPr="00047841">
        <w:rPr>
          <w:szCs w:val="22"/>
        </w:rPr>
        <w:t xml:space="preserve"> and Vietnam</w:t>
      </w:r>
      <w:r w:rsidR="00B12356">
        <w:rPr>
          <w:szCs w:val="22"/>
        </w:rPr>
        <w:t>’s</w:t>
      </w:r>
      <w:r w:rsidRPr="00047841">
        <w:rPr>
          <w:szCs w:val="22"/>
        </w:rPr>
        <w:t xml:space="preserve"> Department of Roads to </w:t>
      </w:r>
      <w:r w:rsidR="00B12356">
        <w:rPr>
          <w:szCs w:val="22"/>
        </w:rPr>
        <w:t xml:space="preserve">establish </w:t>
      </w:r>
      <w:r w:rsidRPr="00047841">
        <w:rPr>
          <w:szCs w:val="22"/>
        </w:rPr>
        <w:t xml:space="preserve">an asset management </w:t>
      </w:r>
      <w:r w:rsidR="00B32C41">
        <w:rPr>
          <w:szCs w:val="22"/>
        </w:rPr>
        <w:t xml:space="preserve">system to </w:t>
      </w:r>
      <w:r w:rsidRPr="00047841">
        <w:rPr>
          <w:szCs w:val="22"/>
        </w:rPr>
        <w:t>prioritis</w:t>
      </w:r>
      <w:r w:rsidR="00B32C41">
        <w:rPr>
          <w:szCs w:val="22"/>
        </w:rPr>
        <w:t>e</w:t>
      </w:r>
      <w:r w:rsidRPr="00047841">
        <w:rPr>
          <w:szCs w:val="22"/>
        </w:rPr>
        <w:t xml:space="preserve"> road maintenance works; </w:t>
      </w:r>
      <w:r w:rsidR="00B12356">
        <w:rPr>
          <w:szCs w:val="22"/>
        </w:rPr>
        <w:t xml:space="preserve">ensure continued </w:t>
      </w:r>
      <w:r w:rsidRPr="00047841">
        <w:rPr>
          <w:szCs w:val="22"/>
        </w:rPr>
        <w:t>engagement by technical and social development experts during joint supervision missions; and ensur</w:t>
      </w:r>
      <w:r w:rsidR="00B12356">
        <w:rPr>
          <w:szCs w:val="22"/>
        </w:rPr>
        <w:t>e</w:t>
      </w:r>
      <w:r w:rsidRPr="00047841">
        <w:rPr>
          <w:szCs w:val="22"/>
        </w:rPr>
        <w:t xml:space="preserve"> technical </w:t>
      </w:r>
      <w:r w:rsidR="00B12356">
        <w:rPr>
          <w:szCs w:val="22"/>
        </w:rPr>
        <w:t>issues</w:t>
      </w:r>
      <w:r w:rsidRPr="00047841">
        <w:rPr>
          <w:szCs w:val="22"/>
        </w:rPr>
        <w:t xml:space="preserve"> such as soft soil treatment are properly dealt with during implementation.</w:t>
      </w:r>
    </w:p>
    <w:p w:rsidR="00713B23" w:rsidRDefault="00713B23">
      <w:pPr>
        <w:spacing w:after="200" w:line="276" w:lineRule="auto"/>
        <w:rPr>
          <w:rFonts w:ascii="Helvetica" w:eastAsia="Times New Roman" w:hAnsi="Helvetica" w:cs="Arial"/>
          <w:color w:val="007FAD"/>
          <w:kern w:val="28"/>
          <w:sz w:val="28"/>
          <w:szCs w:val="28"/>
        </w:rPr>
      </w:pPr>
      <w:r>
        <w:rPr>
          <w:sz w:val="28"/>
        </w:rPr>
        <w:br w:type="page"/>
      </w:r>
    </w:p>
    <w:p w:rsidR="00713B23" w:rsidRDefault="00713B23" w:rsidP="006F226B">
      <w:pPr>
        <w:pStyle w:val="Heading2"/>
        <w:spacing w:before="0" w:after="0" w:line="280" w:lineRule="atLeast"/>
        <w:rPr>
          <w:sz w:val="28"/>
        </w:rPr>
        <w:sectPr w:rsidR="00713B23" w:rsidSect="00247A88">
          <w:headerReference w:type="even" r:id="rId17"/>
          <w:footerReference w:type="first" r:id="rId18"/>
          <w:pgSz w:w="11906" w:h="16838" w:code="9"/>
          <w:pgMar w:top="1814" w:right="851" w:bottom="851" w:left="1814" w:header="709" w:footer="425" w:gutter="0"/>
          <w:cols w:space="708"/>
          <w:docGrid w:linePitch="360"/>
        </w:sectPr>
      </w:pPr>
    </w:p>
    <w:p w:rsidR="00B11BE4" w:rsidRPr="009E38C1" w:rsidRDefault="00B11BE4" w:rsidP="006F226B">
      <w:pPr>
        <w:pStyle w:val="Heading2"/>
        <w:spacing w:before="0" w:after="0" w:line="280" w:lineRule="atLeast"/>
        <w:rPr>
          <w:sz w:val="28"/>
        </w:rPr>
      </w:pPr>
      <w:r w:rsidRPr="009E38C1">
        <w:rPr>
          <w:sz w:val="28"/>
        </w:rPr>
        <w:lastRenderedPageBreak/>
        <w:t>Annex A</w:t>
      </w:r>
      <w:r w:rsidR="0075677D">
        <w:rPr>
          <w:sz w:val="28"/>
        </w:rPr>
        <w:t xml:space="preserve"> -</w:t>
      </w:r>
      <w:r w:rsidRPr="009E38C1">
        <w:rPr>
          <w:sz w:val="28"/>
        </w:rPr>
        <w:t xml:space="preserve"> Progress in addressing 2012-13 management responses</w:t>
      </w:r>
    </w:p>
    <w:tbl>
      <w:tblPr>
        <w:tblStyle w:val="APPR"/>
        <w:tblpPr w:leftFromText="180" w:rightFromText="180" w:vertAnchor="text" w:tblpY="1"/>
        <w:tblW w:w="5101" w:type="pct"/>
        <w:tblLayout w:type="fixed"/>
        <w:tblLook w:val="0000" w:firstRow="0" w:lastRow="0" w:firstColumn="0" w:lastColumn="0" w:noHBand="0" w:noVBand="0"/>
      </w:tblPr>
      <w:tblGrid>
        <w:gridCol w:w="5948"/>
        <w:gridCol w:w="851"/>
        <w:gridCol w:w="7938"/>
      </w:tblGrid>
      <w:tr w:rsidR="00B11BE4"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Pr>
          <w:p w:rsidR="00B11BE4" w:rsidRPr="00EB1D3D" w:rsidRDefault="00B11BE4" w:rsidP="00625052">
            <w:pPr>
              <w:pStyle w:val="TableTextColumnHeading"/>
            </w:pPr>
            <w:r w:rsidRPr="00EB1D3D">
              <w:t>Management consequences identified in 201</w:t>
            </w:r>
            <w:r>
              <w:t>2 -13</w:t>
            </w:r>
            <w:r w:rsidRPr="00EB1D3D">
              <w:t xml:space="preserve"> </w:t>
            </w:r>
            <w:r>
              <w:t>annual program performance report</w:t>
            </w:r>
          </w:p>
        </w:tc>
        <w:tc>
          <w:tcPr>
            <w:tcW w:w="823" w:type="dxa"/>
          </w:tcPr>
          <w:p w:rsidR="00B11BE4" w:rsidRPr="00EB1D3D" w:rsidRDefault="00B11BE4" w:rsidP="00625052">
            <w:pPr>
              <w:pStyle w:val="TableTextColumnHeading"/>
            </w:pPr>
            <w:r w:rsidRPr="00EB1D3D">
              <w:t>Rating</w:t>
            </w:r>
          </w:p>
        </w:tc>
        <w:tc>
          <w:tcPr>
            <w:tcW w:w="7896" w:type="dxa"/>
          </w:tcPr>
          <w:p w:rsidR="00B11BE4" w:rsidRPr="00EB1D3D" w:rsidRDefault="00B11BE4" w:rsidP="00625052">
            <w:pPr>
              <w:pStyle w:val="TableTextColumnHeading"/>
            </w:pPr>
            <w:r w:rsidRPr="00EB1D3D">
              <w:t>Progress made in 201</w:t>
            </w:r>
            <w:r>
              <w:t>3</w:t>
            </w:r>
            <w:r w:rsidRPr="00EB1D3D">
              <w:t>–1</w:t>
            </w:r>
            <w:r>
              <w:t>4</w:t>
            </w:r>
          </w:p>
        </w:tc>
      </w:tr>
      <w:tr w:rsidR="002600C5" w:rsidRPr="00180B19" w:rsidTr="00837906">
        <w:trPr>
          <w:cnfStyle w:val="000000010000" w:firstRow="0" w:lastRow="0" w:firstColumn="0" w:lastColumn="0" w:oddVBand="0" w:evenVBand="0" w:oddHBand="0" w:evenHBand="1" w:firstRowFirstColumn="0" w:firstRowLastColumn="0" w:lastRowFirstColumn="0" w:lastRowLastColumn="0"/>
          <w:trHeight w:val="614"/>
        </w:trPr>
        <w:tc>
          <w:tcPr>
            <w:tcW w:w="5906" w:type="dxa"/>
            <w:tcBorders>
              <w:top w:val="single" w:sz="2" w:space="0" w:color="A6A6A6" w:themeColor="background1" w:themeShade="A6"/>
              <w:bottom w:val="single" w:sz="2" w:space="0" w:color="A6A6A6" w:themeColor="background1" w:themeShade="A6"/>
            </w:tcBorders>
          </w:tcPr>
          <w:p w:rsidR="002600C5" w:rsidRPr="00AD0C89" w:rsidRDefault="002600C5" w:rsidP="002600C5">
            <w:pPr>
              <w:pStyle w:val="TableTextEntries"/>
              <w:spacing w:before="0" w:after="0" w:line="280" w:lineRule="atLeast"/>
              <w:rPr>
                <w:rFonts w:eastAsia="SimSun"/>
              </w:rPr>
            </w:pPr>
            <w:r w:rsidRPr="00AD0C89">
              <w:rPr>
                <w:rFonts w:eastAsia="SimSun"/>
              </w:rPr>
              <w:t>Support the O</w:t>
            </w:r>
            <w:r>
              <w:rPr>
                <w:rFonts w:eastAsia="SimSun"/>
              </w:rPr>
              <w:t xml:space="preserve">ffice of </w:t>
            </w:r>
            <w:r w:rsidRPr="00AD0C89">
              <w:rPr>
                <w:rFonts w:eastAsia="SimSun"/>
              </w:rPr>
              <w:t>D</w:t>
            </w:r>
            <w:r>
              <w:rPr>
                <w:rFonts w:eastAsia="SimSun"/>
              </w:rPr>
              <w:t xml:space="preserve">evelopment </w:t>
            </w:r>
            <w:r w:rsidRPr="00AD0C89">
              <w:rPr>
                <w:rFonts w:eastAsia="SimSun"/>
              </w:rPr>
              <w:t>E</w:t>
            </w:r>
            <w:r>
              <w:rPr>
                <w:rFonts w:eastAsia="SimSun"/>
              </w:rPr>
              <w:t>ffectiveness’</w:t>
            </w:r>
            <w:r w:rsidRPr="00AD0C89">
              <w:rPr>
                <w:rFonts w:eastAsia="SimSun"/>
              </w:rPr>
              <w:t xml:space="preserve"> review of the </w:t>
            </w:r>
            <w:r>
              <w:rPr>
                <w:rFonts w:eastAsia="SimSun"/>
                <w:i/>
              </w:rPr>
              <w:t>Vietnam-Australia Joint Aid Program Strategy 2010-15</w:t>
            </w:r>
          </w:p>
        </w:tc>
        <w:tc>
          <w:tcPr>
            <w:tcW w:w="823" w:type="dxa"/>
            <w:tcBorders>
              <w:top w:val="single" w:sz="2" w:space="0" w:color="A6A6A6" w:themeColor="background1" w:themeShade="A6"/>
              <w:bottom w:val="single" w:sz="2" w:space="0" w:color="A6A6A6" w:themeColor="background1" w:themeShade="A6"/>
            </w:tcBorders>
            <w:shd w:val="clear" w:color="auto" w:fill="FFC000"/>
          </w:tcPr>
          <w:p w:rsidR="002600C5" w:rsidRPr="00BD2FEE" w:rsidRDefault="002600C5" w:rsidP="002600C5">
            <w:pPr>
              <w:pStyle w:val="TableTextEntries"/>
              <w:spacing w:before="0" w:after="0" w:line="280" w:lineRule="atLeast"/>
            </w:pPr>
            <w:r w:rsidRPr="00773079">
              <w:t>Amber</w:t>
            </w:r>
          </w:p>
        </w:tc>
        <w:tc>
          <w:tcPr>
            <w:tcW w:w="7896" w:type="dxa"/>
            <w:tcBorders>
              <w:top w:val="single" w:sz="2" w:space="0" w:color="A6A6A6" w:themeColor="background1" w:themeShade="A6"/>
              <w:bottom w:val="single" w:sz="2" w:space="0" w:color="A6A6A6" w:themeColor="background1" w:themeShade="A6"/>
            </w:tcBorders>
          </w:tcPr>
          <w:p w:rsidR="002600C5" w:rsidRPr="00BD2FEE" w:rsidRDefault="002600C5" w:rsidP="002600C5">
            <w:pPr>
              <w:pStyle w:val="TableTextEntries"/>
              <w:spacing w:before="0" w:after="0" w:line="280" w:lineRule="atLeast"/>
              <w:ind w:right="-278"/>
              <w:rPr>
                <w:rFonts w:eastAsia="SimSun"/>
              </w:rPr>
            </w:pPr>
            <w:r>
              <w:rPr>
                <w:rFonts w:eastAsia="SimSun"/>
              </w:rPr>
              <w:t>The Vietnam program has provided a range of support to the evaluation team so far, and is awaiting a draft evaluation report.</w:t>
            </w:r>
          </w:p>
        </w:tc>
      </w:tr>
      <w:tr w:rsidR="00B11BE4"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B11BE4" w:rsidRPr="00AD0C89" w:rsidRDefault="00B11BE4" w:rsidP="0006637B">
            <w:pPr>
              <w:pStyle w:val="TableTextEntries"/>
              <w:spacing w:before="0" w:after="0" w:line="280" w:lineRule="atLeast"/>
              <w:rPr>
                <w:rFonts w:eastAsia="SimSun"/>
              </w:rPr>
            </w:pPr>
            <w:r w:rsidRPr="00AD0C89">
              <w:rPr>
                <w:rFonts w:eastAsia="SimSun"/>
              </w:rPr>
              <w:t>Draft the new post</w:t>
            </w:r>
            <w:r w:rsidR="002600C5">
              <w:rPr>
                <w:rFonts w:eastAsia="SimSun"/>
              </w:rPr>
              <w:t>-</w:t>
            </w:r>
            <w:r w:rsidRPr="00AD0C89">
              <w:rPr>
                <w:rFonts w:eastAsia="SimSun"/>
              </w:rPr>
              <w:t xml:space="preserve">2015 </w:t>
            </w:r>
            <w:r w:rsidR="0006637B">
              <w:rPr>
                <w:rFonts w:eastAsia="SimSun"/>
              </w:rPr>
              <w:t>Vietnam-Australia Joint Aid Strategy</w:t>
            </w:r>
            <w:r w:rsidR="008B2A8E">
              <w:rPr>
                <w:rFonts w:eastAsia="SimSun"/>
              </w:rPr>
              <w:t xml:space="preserve"> (i.e. Aid Investment Plan)</w:t>
            </w:r>
          </w:p>
        </w:tc>
        <w:tc>
          <w:tcPr>
            <w:tcW w:w="823" w:type="dxa"/>
            <w:tcBorders>
              <w:top w:val="single" w:sz="2" w:space="0" w:color="A6A6A6" w:themeColor="background1" w:themeShade="A6"/>
              <w:bottom w:val="single" w:sz="2" w:space="0" w:color="A6A6A6" w:themeColor="background1" w:themeShade="A6"/>
            </w:tcBorders>
            <w:shd w:val="clear" w:color="auto" w:fill="FFC000"/>
          </w:tcPr>
          <w:p w:rsidR="00B11BE4" w:rsidRPr="00773079" w:rsidRDefault="00B11BE4" w:rsidP="006F226B">
            <w:pPr>
              <w:pStyle w:val="TableTextEntries"/>
              <w:spacing w:before="0" w:after="0" w:line="280" w:lineRule="atLeast"/>
            </w:pPr>
            <w:r w:rsidRPr="00773079">
              <w:t>Amber</w:t>
            </w:r>
          </w:p>
        </w:tc>
        <w:tc>
          <w:tcPr>
            <w:tcW w:w="7896" w:type="dxa"/>
            <w:tcBorders>
              <w:top w:val="single" w:sz="2" w:space="0" w:color="A6A6A6" w:themeColor="background1" w:themeShade="A6"/>
              <w:bottom w:val="single" w:sz="2" w:space="0" w:color="A6A6A6" w:themeColor="background1" w:themeShade="A6"/>
            </w:tcBorders>
          </w:tcPr>
          <w:p w:rsidR="00B11BE4" w:rsidRPr="00BD2FEE" w:rsidRDefault="002600C5" w:rsidP="002600C5">
            <w:pPr>
              <w:pStyle w:val="TableTextEntries"/>
              <w:spacing w:before="0" w:after="0" w:line="280" w:lineRule="atLeast"/>
              <w:rPr>
                <w:rFonts w:eastAsia="SimSun"/>
              </w:rPr>
            </w:pPr>
            <w:r>
              <w:rPr>
                <w:rFonts w:eastAsia="SimSun"/>
              </w:rPr>
              <w:t xml:space="preserve">A range of sectoral analyses have been prepared but drafting </w:t>
            </w:r>
            <w:r w:rsidR="00B80062">
              <w:rPr>
                <w:rFonts w:eastAsia="SimSun"/>
              </w:rPr>
              <w:t xml:space="preserve">of the Aid Investment Plan </w:t>
            </w:r>
            <w:r>
              <w:rPr>
                <w:rFonts w:eastAsia="SimSun"/>
              </w:rPr>
              <w:t xml:space="preserve">was </w:t>
            </w:r>
            <w:r w:rsidR="008454D9">
              <w:rPr>
                <w:rFonts w:eastAsia="SimSun"/>
              </w:rPr>
              <w:t xml:space="preserve">put on hold </w:t>
            </w:r>
            <w:r>
              <w:rPr>
                <w:rFonts w:eastAsia="SimSun"/>
              </w:rPr>
              <w:t xml:space="preserve">pending release of the </w:t>
            </w:r>
            <w:r w:rsidR="008454D9">
              <w:rPr>
                <w:rFonts w:eastAsia="SimSun"/>
              </w:rPr>
              <w:t xml:space="preserve">new </w:t>
            </w:r>
            <w:r>
              <w:rPr>
                <w:rFonts w:eastAsia="SimSun"/>
              </w:rPr>
              <w:t>A</w:t>
            </w:r>
            <w:r w:rsidR="008454D9">
              <w:rPr>
                <w:rFonts w:eastAsia="SimSun"/>
              </w:rPr>
              <w:t xml:space="preserve">id </w:t>
            </w:r>
            <w:r>
              <w:rPr>
                <w:rFonts w:eastAsia="SimSun"/>
              </w:rPr>
              <w:t>P</w:t>
            </w:r>
            <w:r w:rsidR="008454D9">
              <w:rPr>
                <w:rFonts w:eastAsia="SimSun"/>
              </w:rPr>
              <w:t>rogram</w:t>
            </w:r>
            <w:r>
              <w:rPr>
                <w:rFonts w:eastAsia="SimSun"/>
              </w:rPr>
              <w:t>ming</w:t>
            </w:r>
            <w:r w:rsidR="008454D9">
              <w:rPr>
                <w:rFonts w:eastAsia="SimSun"/>
              </w:rPr>
              <w:t xml:space="preserve"> </w:t>
            </w:r>
            <w:r>
              <w:rPr>
                <w:rFonts w:eastAsia="SimSun"/>
              </w:rPr>
              <w:t>G</w:t>
            </w:r>
            <w:r w:rsidR="008454D9">
              <w:rPr>
                <w:rFonts w:eastAsia="SimSun"/>
              </w:rPr>
              <w:t>uide.</w:t>
            </w:r>
          </w:p>
        </w:tc>
      </w:tr>
      <w:tr w:rsidR="002600C5"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2600C5" w:rsidRPr="00AD0C89" w:rsidRDefault="002600C5" w:rsidP="002600C5">
            <w:pPr>
              <w:pStyle w:val="TableTextEntries"/>
              <w:spacing w:before="0" w:after="0" w:line="280" w:lineRule="atLeast"/>
              <w:rPr>
                <w:rFonts w:eastAsia="SimSun"/>
              </w:rPr>
            </w:pPr>
            <w:r w:rsidRPr="00AD0C89">
              <w:rPr>
                <w:rFonts w:eastAsia="SimSun"/>
              </w:rPr>
              <w:t>Complet</w:t>
            </w:r>
            <w:r>
              <w:rPr>
                <w:rFonts w:eastAsia="SimSun"/>
              </w:rPr>
              <w:t>e</w:t>
            </w:r>
            <w:r w:rsidRPr="00AD0C89">
              <w:rPr>
                <w:rFonts w:eastAsia="SimSun"/>
              </w:rPr>
              <w:t xml:space="preserve"> the </w:t>
            </w:r>
            <w:r>
              <w:rPr>
                <w:rFonts w:eastAsia="SimSun"/>
              </w:rPr>
              <w:t>A</w:t>
            </w:r>
            <w:r w:rsidRPr="00AD0C89">
              <w:rPr>
                <w:rFonts w:eastAsia="SimSun"/>
              </w:rPr>
              <w:t xml:space="preserve">ssessment of </w:t>
            </w:r>
            <w:r>
              <w:rPr>
                <w:rFonts w:eastAsia="SimSun"/>
              </w:rPr>
              <w:t>N</w:t>
            </w:r>
            <w:r w:rsidRPr="00AD0C89">
              <w:rPr>
                <w:rFonts w:eastAsia="SimSun"/>
              </w:rPr>
              <w:t xml:space="preserve">ational </w:t>
            </w:r>
            <w:r>
              <w:rPr>
                <w:rFonts w:eastAsia="SimSun"/>
              </w:rPr>
              <w:t>S</w:t>
            </w:r>
            <w:r w:rsidRPr="00AD0C89">
              <w:rPr>
                <w:rFonts w:eastAsia="SimSun"/>
              </w:rPr>
              <w:t>ystems</w:t>
            </w:r>
          </w:p>
        </w:tc>
        <w:tc>
          <w:tcPr>
            <w:tcW w:w="823" w:type="dxa"/>
            <w:tcBorders>
              <w:top w:val="single" w:sz="2" w:space="0" w:color="A6A6A6" w:themeColor="background1" w:themeShade="A6"/>
              <w:bottom w:val="single" w:sz="2" w:space="0" w:color="A6A6A6" w:themeColor="background1" w:themeShade="A6"/>
            </w:tcBorders>
            <w:shd w:val="clear" w:color="auto" w:fill="FFC000"/>
          </w:tcPr>
          <w:p w:rsidR="002600C5" w:rsidRPr="00BD2FEE" w:rsidRDefault="002600C5" w:rsidP="002600C5">
            <w:pPr>
              <w:pStyle w:val="TableTextEntries"/>
              <w:spacing w:before="0" w:after="0" w:line="280" w:lineRule="atLeast"/>
            </w:pPr>
            <w:r w:rsidRPr="00773079">
              <w:t>Amber</w:t>
            </w:r>
          </w:p>
        </w:tc>
        <w:tc>
          <w:tcPr>
            <w:tcW w:w="7896" w:type="dxa"/>
            <w:tcBorders>
              <w:top w:val="single" w:sz="2" w:space="0" w:color="A6A6A6" w:themeColor="background1" w:themeShade="A6"/>
              <w:bottom w:val="single" w:sz="2" w:space="0" w:color="A6A6A6" w:themeColor="background1" w:themeShade="A6"/>
            </w:tcBorders>
          </w:tcPr>
          <w:p w:rsidR="002600C5" w:rsidRPr="00BD2FEE" w:rsidRDefault="002600C5" w:rsidP="00B80062">
            <w:pPr>
              <w:pStyle w:val="TableTextEntries"/>
              <w:spacing w:before="0" w:after="0" w:line="280" w:lineRule="atLeast"/>
              <w:rPr>
                <w:rFonts w:eastAsia="SimSun"/>
              </w:rPr>
            </w:pPr>
            <w:r>
              <w:rPr>
                <w:rFonts w:eastAsia="SimSun"/>
              </w:rPr>
              <w:t>The assessment is underway</w:t>
            </w:r>
            <w:r w:rsidR="00B80062">
              <w:rPr>
                <w:rFonts w:eastAsia="SimSun"/>
              </w:rPr>
              <w:t xml:space="preserve"> but was put on hold pending release of the new Aid Programming Guide</w:t>
            </w:r>
            <w:r>
              <w:rPr>
                <w:rFonts w:eastAsia="SimSun"/>
              </w:rPr>
              <w:t xml:space="preserve">. </w:t>
            </w:r>
          </w:p>
        </w:tc>
      </w:tr>
      <w:tr w:rsidR="00B11BE4"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B11BE4" w:rsidRPr="00AD0C89" w:rsidRDefault="00B11BE4" w:rsidP="0006637B">
            <w:pPr>
              <w:pStyle w:val="TableTextEntries"/>
              <w:spacing w:before="0" w:after="0" w:line="280" w:lineRule="atLeast"/>
              <w:rPr>
                <w:rFonts w:eastAsia="SimSun"/>
              </w:rPr>
            </w:pPr>
            <w:r w:rsidRPr="00AD0C89">
              <w:rPr>
                <w:rFonts w:eastAsia="SimSun"/>
              </w:rPr>
              <w:t xml:space="preserve">Implement </w:t>
            </w:r>
            <w:r w:rsidR="0006637B">
              <w:rPr>
                <w:rFonts w:eastAsia="SimSun"/>
              </w:rPr>
              <w:t>e</w:t>
            </w:r>
            <w:r w:rsidRPr="00AD0C89">
              <w:rPr>
                <w:rFonts w:eastAsia="SimSun"/>
              </w:rPr>
              <w:t>ffective handover for three of the four A</w:t>
            </w:r>
            <w:r w:rsidR="0006637B">
              <w:rPr>
                <w:rFonts w:eastAsia="SimSun"/>
              </w:rPr>
              <w:t>-</w:t>
            </w:r>
            <w:r w:rsidRPr="00AD0C89">
              <w:rPr>
                <w:rFonts w:eastAsia="SimSun"/>
              </w:rPr>
              <w:t xml:space="preserve">based staff </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B11BE4" w:rsidRPr="00BD2FEE" w:rsidRDefault="00B11BE4" w:rsidP="006F226B">
            <w:pPr>
              <w:pStyle w:val="TableTextEntries"/>
              <w:spacing w:before="0" w:after="0" w:line="280" w:lineRule="atLeast"/>
            </w:pPr>
            <w:r>
              <w:t>Green</w:t>
            </w:r>
          </w:p>
        </w:tc>
        <w:tc>
          <w:tcPr>
            <w:tcW w:w="7896" w:type="dxa"/>
            <w:tcBorders>
              <w:top w:val="single" w:sz="2" w:space="0" w:color="A6A6A6" w:themeColor="background1" w:themeShade="A6"/>
              <w:bottom w:val="single" w:sz="2" w:space="0" w:color="A6A6A6" w:themeColor="background1" w:themeShade="A6"/>
            </w:tcBorders>
          </w:tcPr>
          <w:p w:rsidR="00B11BE4" w:rsidRPr="00AD0C89" w:rsidRDefault="00B11BE4" w:rsidP="006F226B">
            <w:pPr>
              <w:pStyle w:val="TableTextEntries"/>
              <w:spacing w:before="0" w:after="0" w:line="280" w:lineRule="atLeast"/>
              <w:rPr>
                <w:rFonts w:eastAsia="SimSun"/>
              </w:rPr>
            </w:pPr>
            <w:r>
              <w:rPr>
                <w:rFonts w:eastAsia="SimSun"/>
              </w:rPr>
              <w:t>Achieved</w:t>
            </w:r>
            <w:r w:rsidR="008454D9">
              <w:rPr>
                <w:rFonts w:eastAsia="SimSun"/>
              </w:rPr>
              <w:t>.</w:t>
            </w:r>
            <w:r w:rsidR="00072063">
              <w:rPr>
                <w:rFonts w:eastAsia="SimSun"/>
              </w:rPr>
              <w:t xml:space="preserve"> Staff changeovers have been successfully managed.</w:t>
            </w:r>
          </w:p>
        </w:tc>
      </w:tr>
      <w:tr w:rsidR="0006637B"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06637B" w:rsidRPr="00AD0C89" w:rsidRDefault="0006637B" w:rsidP="008B2A8E">
            <w:pPr>
              <w:pStyle w:val="TableTextEntries"/>
              <w:spacing w:before="0" w:after="0" w:line="280" w:lineRule="atLeast"/>
              <w:rPr>
                <w:rFonts w:eastAsia="SimSun"/>
              </w:rPr>
            </w:pPr>
            <w:r w:rsidRPr="00AD0C89">
              <w:rPr>
                <w:rFonts w:eastAsia="SimSun"/>
              </w:rPr>
              <w:t xml:space="preserve">Consider </w:t>
            </w:r>
            <w:r w:rsidR="008B2A8E">
              <w:rPr>
                <w:rFonts w:eastAsia="SimSun"/>
              </w:rPr>
              <w:t>if</w:t>
            </w:r>
            <w:r w:rsidR="008B2A8E" w:rsidRPr="00AD0C89">
              <w:rPr>
                <w:rFonts w:eastAsia="SimSun"/>
              </w:rPr>
              <w:t xml:space="preserve"> </w:t>
            </w:r>
            <w:r w:rsidRPr="00AD0C89">
              <w:rPr>
                <w:rFonts w:eastAsia="SimSun"/>
              </w:rPr>
              <w:t>a stronger social protection dimension to the program should be developed</w:t>
            </w:r>
          </w:p>
        </w:tc>
        <w:tc>
          <w:tcPr>
            <w:tcW w:w="823" w:type="dxa"/>
            <w:tcBorders>
              <w:top w:val="single" w:sz="2" w:space="0" w:color="A6A6A6" w:themeColor="background1" w:themeShade="A6"/>
              <w:bottom w:val="single" w:sz="2" w:space="0" w:color="A6A6A6" w:themeColor="background1" w:themeShade="A6"/>
            </w:tcBorders>
            <w:shd w:val="clear" w:color="auto" w:fill="FFC000"/>
          </w:tcPr>
          <w:p w:rsidR="0006637B" w:rsidRPr="00BD2FEE" w:rsidRDefault="0006637B" w:rsidP="0006637B">
            <w:pPr>
              <w:pStyle w:val="TableTextEntries"/>
              <w:spacing w:before="0" w:after="0" w:line="280" w:lineRule="atLeast"/>
            </w:pPr>
            <w:r w:rsidRPr="00773079">
              <w:t>Amber</w:t>
            </w:r>
          </w:p>
        </w:tc>
        <w:tc>
          <w:tcPr>
            <w:tcW w:w="7896" w:type="dxa"/>
            <w:tcBorders>
              <w:top w:val="single" w:sz="2" w:space="0" w:color="A6A6A6" w:themeColor="background1" w:themeShade="A6"/>
              <w:bottom w:val="single" w:sz="2" w:space="0" w:color="A6A6A6" w:themeColor="background1" w:themeShade="A6"/>
            </w:tcBorders>
          </w:tcPr>
          <w:p w:rsidR="0006637B" w:rsidRPr="00BD2FEE" w:rsidRDefault="0006637B" w:rsidP="008B2A8E">
            <w:pPr>
              <w:pStyle w:val="TableTextEntries"/>
              <w:spacing w:before="0" w:after="0" w:line="280" w:lineRule="atLeast"/>
            </w:pPr>
            <w:r>
              <w:t xml:space="preserve">Several analyses have been prepared </w:t>
            </w:r>
            <w:r w:rsidR="008B2A8E">
              <w:t>to inform</w:t>
            </w:r>
            <w:r>
              <w:t xml:space="preserve"> development of the new </w:t>
            </w:r>
            <w:r>
              <w:rPr>
                <w:rFonts w:eastAsia="SimSun"/>
              </w:rPr>
              <w:t>Aid Investment Plan</w:t>
            </w:r>
            <w:r>
              <w:t>.</w:t>
            </w:r>
          </w:p>
        </w:tc>
      </w:tr>
      <w:tr w:rsidR="00B11BE4"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B11BE4" w:rsidRPr="00AD0C89" w:rsidRDefault="0006637B" w:rsidP="0006637B">
            <w:pPr>
              <w:pStyle w:val="TableTextEntries"/>
              <w:spacing w:before="0" w:after="0" w:line="280" w:lineRule="atLeast"/>
              <w:rPr>
                <w:rFonts w:eastAsia="SimSun"/>
              </w:rPr>
            </w:pPr>
            <w:r>
              <w:rPr>
                <w:rFonts w:eastAsia="SimSun"/>
              </w:rPr>
              <w:t xml:space="preserve">Human resource development </w:t>
            </w:r>
            <w:r w:rsidR="00B11BE4">
              <w:rPr>
                <w:rFonts w:eastAsia="SimSun"/>
              </w:rPr>
              <w:t>strategy approved</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B11BE4" w:rsidRDefault="00B11BE4" w:rsidP="006F226B">
            <w:pPr>
              <w:pStyle w:val="TableTextEntries"/>
              <w:spacing w:before="0" w:after="0" w:line="280" w:lineRule="atLeast"/>
            </w:pPr>
            <w:r>
              <w:t>Green</w:t>
            </w:r>
          </w:p>
        </w:tc>
        <w:tc>
          <w:tcPr>
            <w:tcW w:w="7896" w:type="dxa"/>
            <w:tcBorders>
              <w:top w:val="single" w:sz="2" w:space="0" w:color="A6A6A6" w:themeColor="background1" w:themeShade="A6"/>
              <w:bottom w:val="single" w:sz="2" w:space="0" w:color="A6A6A6" w:themeColor="background1" w:themeShade="A6"/>
            </w:tcBorders>
          </w:tcPr>
          <w:p w:rsidR="00B11BE4" w:rsidRDefault="00B11BE4" w:rsidP="008454D9">
            <w:pPr>
              <w:pStyle w:val="TableTextEntries"/>
              <w:spacing w:before="0" w:after="0" w:line="280" w:lineRule="atLeast"/>
            </w:pPr>
            <w:r>
              <w:t>Achieved</w:t>
            </w:r>
            <w:r w:rsidR="008454D9">
              <w:t xml:space="preserve">. </w:t>
            </w:r>
          </w:p>
        </w:tc>
      </w:tr>
      <w:tr w:rsidR="003426FC" w:rsidRPr="003426FC" w:rsidTr="00B80062">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3426FC" w:rsidRPr="003426FC" w:rsidRDefault="00072063" w:rsidP="003426FC">
            <w:pPr>
              <w:pStyle w:val="TableTextEntries"/>
              <w:spacing w:before="0" w:after="0" w:line="280" w:lineRule="atLeast"/>
              <w:rPr>
                <w:rFonts w:eastAsia="SimSun"/>
                <w:highlight w:val="yellow"/>
              </w:rPr>
            </w:pPr>
            <w:r>
              <w:rPr>
                <w:rFonts w:eastAsia="SimSun"/>
              </w:rPr>
              <w:t>E</w:t>
            </w:r>
            <w:r w:rsidR="003426FC">
              <w:rPr>
                <w:rFonts w:eastAsia="SimSun"/>
              </w:rPr>
              <w:t>ffective implementation of land acquisition and resettlement framework</w:t>
            </w:r>
            <w:r>
              <w:rPr>
                <w:rFonts w:eastAsia="SimSun"/>
              </w:rPr>
              <w:t xml:space="preserve"> for Cao Lanh bridge</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3426FC" w:rsidRPr="00837906" w:rsidRDefault="003426FC" w:rsidP="003426FC">
            <w:pPr>
              <w:pStyle w:val="TableTextEntries"/>
              <w:spacing w:before="0" w:after="0" w:line="280" w:lineRule="atLeast"/>
            </w:pPr>
            <w:r w:rsidRPr="00837906">
              <w:t>Green</w:t>
            </w:r>
          </w:p>
        </w:tc>
        <w:tc>
          <w:tcPr>
            <w:tcW w:w="7896" w:type="dxa"/>
            <w:tcBorders>
              <w:top w:val="single" w:sz="2" w:space="0" w:color="A6A6A6" w:themeColor="background1" w:themeShade="A6"/>
              <w:bottom w:val="single" w:sz="2" w:space="0" w:color="A6A6A6" w:themeColor="background1" w:themeShade="A6"/>
            </w:tcBorders>
          </w:tcPr>
          <w:p w:rsidR="003426FC" w:rsidRPr="00837906" w:rsidRDefault="00072063" w:rsidP="00072063">
            <w:pPr>
              <w:pStyle w:val="TableTextEntries"/>
              <w:spacing w:before="0" w:after="0" w:line="280" w:lineRule="atLeast"/>
            </w:pPr>
            <w:r>
              <w:t xml:space="preserve">Achieved. </w:t>
            </w:r>
            <w:r w:rsidR="003426FC" w:rsidRPr="00837906">
              <w:t xml:space="preserve">95 per cent of land </w:t>
            </w:r>
            <w:r>
              <w:t xml:space="preserve">has been </w:t>
            </w:r>
            <w:r w:rsidR="003426FC" w:rsidRPr="00837906">
              <w:t xml:space="preserve">handed over at the Cao Lanh </w:t>
            </w:r>
            <w:r>
              <w:t>b</w:t>
            </w:r>
            <w:r w:rsidR="003426FC" w:rsidRPr="00837906">
              <w:t>ridge site. Negotiations for handover of remaining land are in progress.</w:t>
            </w:r>
          </w:p>
        </w:tc>
      </w:tr>
      <w:tr w:rsidR="003426FC" w:rsidRPr="003426FC" w:rsidTr="00B80062">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3426FC" w:rsidRPr="003426FC" w:rsidRDefault="00072063" w:rsidP="003426FC">
            <w:pPr>
              <w:pStyle w:val="TableTextEntries"/>
              <w:spacing w:before="0" w:after="0" w:line="280" w:lineRule="atLeast"/>
              <w:rPr>
                <w:rFonts w:eastAsia="SimSun"/>
                <w:highlight w:val="yellow"/>
              </w:rPr>
            </w:pPr>
            <w:r>
              <w:rPr>
                <w:rFonts w:eastAsia="SimSun"/>
              </w:rPr>
              <w:t>E</w:t>
            </w:r>
            <w:r w:rsidR="003426FC">
              <w:rPr>
                <w:rFonts w:eastAsia="SimSun"/>
              </w:rPr>
              <w:t>stablish a monitoring and evaluation system for the construction phase</w:t>
            </w:r>
            <w:r>
              <w:rPr>
                <w:rFonts w:eastAsia="SimSun"/>
              </w:rPr>
              <w:t xml:space="preserve"> of Cao Lanh bridge</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3426FC" w:rsidRPr="00837906" w:rsidRDefault="003426FC" w:rsidP="003426FC">
            <w:pPr>
              <w:pStyle w:val="TableTextEntries"/>
              <w:spacing w:before="0" w:after="0" w:line="280" w:lineRule="atLeast"/>
            </w:pPr>
            <w:r w:rsidRPr="00837906">
              <w:t>Green</w:t>
            </w:r>
          </w:p>
        </w:tc>
        <w:tc>
          <w:tcPr>
            <w:tcW w:w="7896" w:type="dxa"/>
            <w:tcBorders>
              <w:top w:val="single" w:sz="2" w:space="0" w:color="A6A6A6" w:themeColor="background1" w:themeShade="A6"/>
              <w:bottom w:val="single" w:sz="2" w:space="0" w:color="A6A6A6" w:themeColor="background1" w:themeShade="A6"/>
            </w:tcBorders>
          </w:tcPr>
          <w:p w:rsidR="003426FC" w:rsidRPr="00837906" w:rsidRDefault="003426FC" w:rsidP="003426FC">
            <w:pPr>
              <w:pStyle w:val="TableTextEntries"/>
              <w:spacing w:before="0" w:after="0" w:line="280" w:lineRule="atLeast"/>
            </w:pPr>
            <w:r w:rsidRPr="00837906">
              <w:t>Achieved. Monitoring and evaluation frameworks developed for social impacts and civil works.</w:t>
            </w:r>
          </w:p>
        </w:tc>
      </w:tr>
      <w:tr w:rsidR="003426FC"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3426FC" w:rsidRPr="00AD0C89" w:rsidRDefault="008B2A8E" w:rsidP="008B2A8E">
            <w:pPr>
              <w:pStyle w:val="TableTextEntries"/>
              <w:spacing w:before="0" w:after="0" w:line="280" w:lineRule="atLeast"/>
              <w:rPr>
                <w:rFonts w:eastAsia="SimSun"/>
              </w:rPr>
            </w:pPr>
            <w:r>
              <w:rPr>
                <w:rFonts w:eastAsia="SimSun"/>
              </w:rPr>
              <w:t xml:space="preserve">Close </w:t>
            </w:r>
            <w:r w:rsidR="003426FC">
              <w:rPr>
                <w:rFonts w:eastAsia="SimSun"/>
              </w:rPr>
              <w:t xml:space="preserve">Beyond WTO program and </w:t>
            </w:r>
            <w:r>
              <w:rPr>
                <w:rFonts w:eastAsia="SimSun"/>
              </w:rPr>
              <w:t xml:space="preserve">replace with </w:t>
            </w:r>
            <w:r w:rsidR="003426FC">
              <w:rPr>
                <w:rFonts w:eastAsia="SimSun"/>
              </w:rPr>
              <w:t xml:space="preserve">new </w:t>
            </w:r>
            <w:r>
              <w:rPr>
                <w:rFonts w:eastAsia="SimSun"/>
              </w:rPr>
              <w:t>targeted flexible program</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3426FC" w:rsidRDefault="003426FC" w:rsidP="003426FC">
            <w:pPr>
              <w:pStyle w:val="TableTextEntries"/>
              <w:spacing w:before="0" w:after="0" w:line="280" w:lineRule="atLeast"/>
            </w:pPr>
            <w:r>
              <w:t>Green</w:t>
            </w:r>
          </w:p>
        </w:tc>
        <w:tc>
          <w:tcPr>
            <w:tcW w:w="7896" w:type="dxa"/>
            <w:tcBorders>
              <w:top w:val="single" w:sz="2" w:space="0" w:color="A6A6A6" w:themeColor="background1" w:themeShade="A6"/>
              <w:bottom w:val="single" w:sz="2" w:space="0" w:color="A6A6A6" w:themeColor="background1" w:themeShade="A6"/>
            </w:tcBorders>
          </w:tcPr>
          <w:p w:rsidR="003426FC" w:rsidRDefault="003426FC" w:rsidP="008B2A8E">
            <w:pPr>
              <w:pStyle w:val="TableTextEntries"/>
              <w:spacing w:before="0" w:after="0" w:line="280" w:lineRule="atLeast"/>
            </w:pPr>
            <w:r>
              <w:t xml:space="preserve">Achieved. Beyond WTO Program completed. </w:t>
            </w:r>
            <w:r w:rsidR="008B2A8E">
              <w:t xml:space="preserve">New </w:t>
            </w:r>
            <w:r>
              <w:t xml:space="preserve">program </w:t>
            </w:r>
            <w:r w:rsidR="008B2A8E">
              <w:t>commenced early 2014</w:t>
            </w:r>
            <w:r>
              <w:t xml:space="preserve">. </w:t>
            </w:r>
          </w:p>
        </w:tc>
      </w:tr>
      <w:tr w:rsidR="003426FC"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3426FC" w:rsidRPr="00E240B1" w:rsidRDefault="003426FC" w:rsidP="003426FC">
            <w:pPr>
              <w:pStyle w:val="TableTextEntries"/>
              <w:spacing w:before="0" w:after="0" w:line="280" w:lineRule="atLeast"/>
            </w:pPr>
            <w:r>
              <w:t>Provid</w:t>
            </w:r>
            <w:r w:rsidR="008B2A8E">
              <w:t>e</w:t>
            </w:r>
            <w:r>
              <w:t xml:space="preserve"> </w:t>
            </w:r>
            <w:r w:rsidRPr="00DF7AE1">
              <w:t>technical assistance to six provinces to restor</w:t>
            </w:r>
            <w:r>
              <w:t>e</w:t>
            </w:r>
            <w:r w:rsidRPr="00DF7AE1">
              <w:t xml:space="preserve"> functionality of underperforming water supply and sanitation facilities</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3426FC" w:rsidRDefault="003426FC" w:rsidP="003426FC">
            <w:pPr>
              <w:pStyle w:val="TableTextEntries"/>
              <w:spacing w:before="0" w:after="0" w:line="280" w:lineRule="atLeast"/>
            </w:pPr>
            <w:r>
              <w:t>Green</w:t>
            </w:r>
          </w:p>
        </w:tc>
        <w:tc>
          <w:tcPr>
            <w:tcW w:w="7896" w:type="dxa"/>
            <w:tcBorders>
              <w:top w:val="single" w:sz="2" w:space="0" w:color="A6A6A6" w:themeColor="background1" w:themeShade="A6"/>
              <w:bottom w:val="single" w:sz="2" w:space="0" w:color="A6A6A6" w:themeColor="background1" w:themeShade="A6"/>
            </w:tcBorders>
          </w:tcPr>
          <w:p w:rsidR="003426FC" w:rsidRDefault="003426FC" w:rsidP="003426FC">
            <w:pPr>
              <w:pStyle w:val="TableTextEntries"/>
              <w:spacing w:before="0" w:after="0" w:line="280" w:lineRule="atLeast"/>
            </w:pPr>
            <w:r>
              <w:t>Achieved.</w:t>
            </w:r>
          </w:p>
        </w:tc>
      </w:tr>
      <w:tr w:rsidR="003426FC"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3426FC" w:rsidRDefault="003426FC" w:rsidP="003426FC">
            <w:pPr>
              <w:pStyle w:val="TableTextEntries"/>
              <w:spacing w:before="0" w:after="0" w:line="280" w:lineRule="atLeast"/>
            </w:pPr>
            <w:r>
              <w:t xml:space="preserve">Establish </w:t>
            </w:r>
            <w:r w:rsidRPr="00DF7AE1">
              <w:t>water quality testing laboratories in four provinces</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3426FC" w:rsidRDefault="003426FC" w:rsidP="003426FC">
            <w:pPr>
              <w:pStyle w:val="TableTextEntries"/>
              <w:spacing w:before="0" w:after="0" w:line="280" w:lineRule="atLeast"/>
            </w:pPr>
            <w:r>
              <w:t>Green</w:t>
            </w:r>
          </w:p>
        </w:tc>
        <w:tc>
          <w:tcPr>
            <w:tcW w:w="7896" w:type="dxa"/>
            <w:tcBorders>
              <w:top w:val="single" w:sz="2" w:space="0" w:color="A6A6A6" w:themeColor="background1" w:themeShade="A6"/>
              <w:bottom w:val="single" w:sz="2" w:space="0" w:color="A6A6A6" w:themeColor="background1" w:themeShade="A6"/>
            </w:tcBorders>
          </w:tcPr>
          <w:p w:rsidR="003426FC" w:rsidRDefault="003426FC" w:rsidP="003426FC">
            <w:pPr>
              <w:pStyle w:val="TableTextEntries"/>
              <w:spacing w:before="0" w:after="0" w:line="280" w:lineRule="atLeast"/>
            </w:pPr>
            <w:r>
              <w:t>Achieved.</w:t>
            </w:r>
          </w:p>
        </w:tc>
      </w:tr>
      <w:tr w:rsidR="003426FC"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3426FC" w:rsidRDefault="003426FC" w:rsidP="008B2A8E">
            <w:pPr>
              <w:pStyle w:val="TableTextEntries"/>
              <w:spacing w:before="0" w:after="0" w:line="280" w:lineRule="atLeast"/>
            </w:pPr>
            <w:r>
              <w:t>Extend the I</w:t>
            </w:r>
            <w:r w:rsidR="008B2A8E">
              <w:t xml:space="preserve">ntegrated </w:t>
            </w:r>
            <w:r>
              <w:t>C</w:t>
            </w:r>
            <w:r w:rsidR="008B2A8E">
              <w:t xml:space="preserve">oastal </w:t>
            </w:r>
            <w:r>
              <w:t>M</w:t>
            </w:r>
            <w:r w:rsidR="008B2A8E">
              <w:t xml:space="preserve">anagement </w:t>
            </w:r>
            <w:r>
              <w:t>Program</w:t>
            </w:r>
            <w:r w:rsidR="008B2A8E">
              <w:t xml:space="preserve"> (formerly the Climate Change and Coastal Ecosystems Program)</w:t>
            </w:r>
            <w:r>
              <w:t xml:space="preserve"> to June 2017</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3426FC" w:rsidRDefault="003426FC" w:rsidP="003426FC">
            <w:pPr>
              <w:pStyle w:val="TableTextEntries"/>
              <w:spacing w:before="0" w:after="0" w:line="280" w:lineRule="atLeast"/>
            </w:pPr>
            <w:r>
              <w:t>Green</w:t>
            </w:r>
          </w:p>
        </w:tc>
        <w:tc>
          <w:tcPr>
            <w:tcW w:w="7896" w:type="dxa"/>
            <w:tcBorders>
              <w:top w:val="single" w:sz="2" w:space="0" w:color="A6A6A6" w:themeColor="background1" w:themeShade="A6"/>
              <w:bottom w:val="single" w:sz="2" w:space="0" w:color="A6A6A6" w:themeColor="background1" w:themeShade="A6"/>
            </w:tcBorders>
          </w:tcPr>
          <w:p w:rsidR="003426FC" w:rsidRDefault="003426FC" w:rsidP="003426FC">
            <w:pPr>
              <w:pStyle w:val="TableTextEntries"/>
              <w:spacing w:before="0" w:after="0" w:line="280" w:lineRule="atLeast"/>
            </w:pPr>
            <w:r>
              <w:t>Achieved. An extension was signed in June 2014.</w:t>
            </w:r>
          </w:p>
        </w:tc>
      </w:tr>
      <w:tr w:rsidR="003426FC"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3426FC" w:rsidRDefault="003426FC" w:rsidP="003426FC">
            <w:pPr>
              <w:pStyle w:val="TableTextEntries"/>
              <w:spacing w:before="0" w:after="0" w:line="280" w:lineRule="atLeast"/>
            </w:pPr>
            <w:r>
              <w:t>Mobilis</w:t>
            </w:r>
            <w:r w:rsidR="008B2A8E">
              <w:t>e</w:t>
            </w:r>
            <w:r>
              <w:t xml:space="preserve"> </w:t>
            </w:r>
            <w:r w:rsidR="008B2A8E">
              <w:t xml:space="preserve">a </w:t>
            </w:r>
            <w:r>
              <w:t>climate change specialist</w:t>
            </w:r>
            <w:r w:rsidR="008B2A8E">
              <w:t xml:space="preserve"> to provide technical and policy advice</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3426FC" w:rsidRDefault="003426FC" w:rsidP="003426FC">
            <w:pPr>
              <w:pStyle w:val="TableTextEntries"/>
              <w:spacing w:before="0" w:after="0" w:line="280" w:lineRule="atLeast"/>
            </w:pPr>
            <w:r>
              <w:t>Green</w:t>
            </w:r>
          </w:p>
        </w:tc>
        <w:tc>
          <w:tcPr>
            <w:tcW w:w="7896" w:type="dxa"/>
            <w:tcBorders>
              <w:top w:val="single" w:sz="2" w:space="0" w:color="A6A6A6" w:themeColor="background1" w:themeShade="A6"/>
              <w:bottom w:val="single" w:sz="2" w:space="0" w:color="A6A6A6" w:themeColor="background1" w:themeShade="A6"/>
            </w:tcBorders>
          </w:tcPr>
          <w:p w:rsidR="003426FC" w:rsidRDefault="003426FC" w:rsidP="003426FC">
            <w:pPr>
              <w:pStyle w:val="TableTextEntries"/>
              <w:spacing w:before="0" w:after="0" w:line="280" w:lineRule="atLeast"/>
            </w:pPr>
            <w:r>
              <w:t>Achieved. Climate Change specialist mobilised in August 2013.</w:t>
            </w:r>
          </w:p>
        </w:tc>
      </w:tr>
      <w:tr w:rsidR="008B2A8E" w:rsidRPr="00180B19" w:rsidTr="00B80062">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8B2A8E" w:rsidRDefault="008B2A8E" w:rsidP="008B2A8E">
            <w:pPr>
              <w:pStyle w:val="TableTextEntries"/>
              <w:spacing w:before="0" w:after="0" w:line="280" w:lineRule="atLeast"/>
            </w:pPr>
            <w:r>
              <w:t>Evaluate six NGO partnerships</w:t>
            </w:r>
            <w:r w:rsidR="00A07758">
              <w:t xml:space="preserve"> under the Community Based Climate Change Action Grants program</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8B2A8E" w:rsidRDefault="008B2A8E" w:rsidP="008B2A8E">
            <w:pPr>
              <w:pStyle w:val="TableTextEntries"/>
              <w:spacing w:before="0" w:after="0" w:line="280" w:lineRule="atLeast"/>
            </w:pPr>
            <w:r>
              <w:t>Green</w:t>
            </w:r>
          </w:p>
        </w:tc>
        <w:tc>
          <w:tcPr>
            <w:tcW w:w="7896" w:type="dxa"/>
            <w:tcBorders>
              <w:top w:val="single" w:sz="2" w:space="0" w:color="A6A6A6" w:themeColor="background1" w:themeShade="A6"/>
              <w:bottom w:val="single" w:sz="2" w:space="0" w:color="A6A6A6" w:themeColor="background1" w:themeShade="A6"/>
            </w:tcBorders>
          </w:tcPr>
          <w:p w:rsidR="008B2A8E" w:rsidRDefault="008B2A8E" w:rsidP="008B2A8E">
            <w:pPr>
              <w:pStyle w:val="TableTextEntries"/>
              <w:spacing w:before="0" w:after="0" w:line="280" w:lineRule="atLeast"/>
            </w:pPr>
            <w:r>
              <w:t>Achieved. E</w:t>
            </w:r>
            <w:r w:rsidRPr="00427F7E">
              <w:t>valuation mission conducted in June 2014</w:t>
            </w:r>
            <w:r>
              <w:t>.</w:t>
            </w:r>
          </w:p>
        </w:tc>
      </w:tr>
      <w:tr w:rsidR="008B2A8E"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8B2A8E" w:rsidRDefault="008B2A8E" w:rsidP="00A07758">
            <w:pPr>
              <w:pStyle w:val="TableTextEntries"/>
              <w:spacing w:before="0" w:after="0" w:line="280" w:lineRule="atLeast"/>
            </w:pPr>
            <w:r>
              <w:t xml:space="preserve">Agree </w:t>
            </w:r>
            <w:r w:rsidR="00A07758">
              <w:t xml:space="preserve">Climate Innovation Centre </w:t>
            </w:r>
            <w:r>
              <w:t>co-funding framework with U</w:t>
            </w:r>
            <w:r w:rsidR="00A07758">
              <w:t xml:space="preserve">nited </w:t>
            </w:r>
            <w:r>
              <w:t>K</w:t>
            </w:r>
            <w:r w:rsidR="00A07758">
              <w:t>ingdom</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8B2A8E" w:rsidRDefault="008B2A8E" w:rsidP="008B2A8E">
            <w:pPr>
              <w:pStyle w:val="TableTextEntries"/>
              <w:spacing w:before="0" w:after="0" w:line="280" w:lineRule="atLeast"/>
            </w:pPr>
            <w:r>
              <w:t>Green</w:t>
            </w:r>
          </w:p>
        </w:tc>
        <w:tc>
          <w:tcPr>
            <w:tcW w:w="7896" w:type="dxa"/>
            <w:tcBorders>
              <w:top w:val="single" w:sz="2" w:space="0" w:color="A6A6A6" w:themeColor="background1" w:themeShade="A6"/>
              <w:bottom w:val="single" w:sz="2" w:space="0" w:color="A6A6A6" w:themeColor="background1" w:themeShade="A6"/>
            </w:tcBorders>
          </w:tcPr>
          <w:p w:rsidR="008B2A8E" w:rsidRDefault="008B2A8E" w:rsidP="00A07758">
            <w:pPr>
              <w:pStyle w:val="TableTextEntries"/>
              <w:spacing w:before="0" w:after="0" w:line="280" w:lineRule="atLeast"/>
            </w:pPr>
            <w:r>
              <w:t xml:space="preserve">Achieved. </w:t>
            </w:r>
            <w:r w:rsidRPr="00427F7E">
              <w:t xml:space="preserve">Co-funding agreement with </w:t>
            </w:r>
            <w:r w:rsidR="00A07758">
              <w:t>United Kingdom</w:t>
            </w:r>
            <w:r w:rsidR="00A07758" w:rsidRPr="00427F7E">
              <w:t xml:space="preserve"> </w:t>
            </w:r>
            <w:r w:rsidRPr="00427F7E">
              <w:t>signed in March 2014</w:t>
            </w:r>
            <w:r>
              <w:t>.</w:t>
            </w:r>
          </w:p>
        </w:tc>
      </w:tr>
      <w:tr w:rsidR="008B2A8E"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8B2A8E" w:rsidRDefault="008B2A8E" w:rsidP="00A07758">
            <w:pPr>
              <w:pStyle w:val="TableTextEntries"/>
              <w:spacing w:before="0" w:after="0" w:line="280" w:lineRule="atLeast"/>
            </w:pPr>
            <w:r>
              <w:t>Assess Government of Vietna</w:t>
            </w:r>
            <w:r w:rsidR="00A07758">
              <w:t>m</w:t>
            </w:r>
            <w:r>
              <w:t xml:space="preserve"> progress against policy actions </w:t>
            </w:r>
            <w:r w:rsidR="00A07758">
              <w:t xml:space="preserve">under </w:t>
            </w:r>
            <w:r>
              <w:t xml:space="preserve">the </w:t>
            </w:r>
            <w:r w:rsidRPr="00294CBF">
              <w:t>Support Program to Respond to Climate Change</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8B2A8E" w:rsidRDefault="008B2A8E" w:rsidP="008B2A8E">
            <w:pPr>
              <w:pStyle w:val="TableTextEntries"/>
              <w:spacing w:before="0" w:after="0" w:line="280" w:lineRule="atLeast"/>
            </w:pPr>
            <w:r>
              <w:t>Green</w:t>
            </w:r>
          </w:p>
        </w:tc>
        <w:tc>
          <w:tcPr>
            <w:tcW w:w="7896" w:type="dxa"/>
            <w:tcBorders>
              <w:top w:val="single" w:sz="2" w:space="0" w:color="A6A6A6" w:themeColor="background1" w:themeShade="A6"/>
              <w:bottom w:val="single" w:sz="2" w:space="0" w:color="A6A6A6" w:themeColor="background1" w:themeShade="A6"/>
            </w:tcBorders>
          </w:tcPr>
          <w:p w:rsidR="008B2A8E" w:rsidRDefault="008B2A8E" w:rsidP="00A07758">
            <w:pPr>
              <w:pStyle w:val="TableTextEntries"/>
              <w:spacing w:before="0" w:after="0" w:line="280" w:lineRule="atLeast"/>
            </w:pPr>
            <w:r>
              <w:t xml:space="preserve">Achieved. </w:t>
            </w:r>
            <w:r w:rsidR="00A07758">
              <w:t>$</w:t>
            </w:r>
            <w:r>
              <w:t xml:space="preserve">6 million </w:t>
            </w:r>
            <w:r w:rsidR="00A07758">
              <w:t xml:space="preserve">payment made </w:t>
            </w:r>
            <w:r>
              <w:t>as a result of policy actions being achieved in 2013.</w:t>
            </w:r>
          </w:p>
        </w:tc>
      </w:tr>
      <w:tr w:rsidR="008B2A8E"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8B2A8E" w:rsidRDefault="008B2A8E" w:rsidP="008B2A8E">
            <w:pPr>
              <w:pStyle w:val="TableTextEntries"/>
              <w:spacing w:before="0" w:after="0" w:line="280" w:lineRule="atLeast"/>
            </w:pPr>
            <w:r w:rsidRPr="00837906">
              <w:t xml:space="preserve">Review </w:t>
            </w:r>
            <w:r>
              <w:t xml:space="preserve">the </w:t>
            </w:r>
            <w:r w:rsidRPr="00837906">
              <w:t>anti-corruption training program to assess effectiveness and inform a potential new phase</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8B2A8E" w:rsidRDefault="008B2A8E" w:rsidP="008B2A8E">
            <w:pPr>
              <w:pStyle w:val="TableTextEntries"/>
              <w:spacing w:before="0" w:after="0" w:line="280" w:lineRule="atLeast"/>
            </w:pPr>
            <w:r w:rsidRPr="00837906">
              <w:t>Green</w:t>
            </w:r>
          </w:p>
        </w:tc>
        <w:tc>
          <w:tcPr>
            <w:tcW w:w="7896" w:type="dxa"/>
            <w:tcBorders>
              <w:top w:val="single" w:sz="2" w:space="0" w:color="A6A6A6" w:themeColor="background1" w:themeShade="A6"/>
              <w:bottom w:val="single" w:sz="2" w:space="0" w:color="A6A6A6" w:themeColor="background1" w:themeShade="A6"/>
            </w:tcBorders>
          </w:tcPr>
          <w:p w:rsidR="008B2A8E" w:rsidRDefault="008B2A8E" w:rsidP="008B2A8E">
            <w:pPr>
              <w:pStyle w:val="TableTextEntries"/>
              <w:spacing w:before="0" w:after="0" w:line="280" w:lineRule="atLeast"/>
            </w:pPr>
            <w:r w:rsidRPr="00837906">
              <w:t xml:space="preserve">Achieved. </w:t>
            </w:r>
            <w:r>
              <w:t xml:space="preserve">New program agreed and will start </w:t>
            </w:r>
            <w:r w:rsidRPr="00837906">
              <w:t>in July 2014</w:t>
            </w:r>
            <w:r>
              <w:t>.</w:t>
            </w:r>
          </w:p>
        </w:tc>
      </w:tr>
      <w:tr w:rsidR="008B2A8E"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Borders>
              <w:top w:val="single" w:sz="2" w:space="0" w:color="A6A6A6" w:themeColor="background1" w:themeShade="A6"/>
              <w:bottom w:val="single" w:sz="2" w:space="0" w:color="A6A6A6" w:themeColor="background1" w:themeShade="A6"/>
            </w:tcBorders>
          </w:tcPr>
          <w:p w:rsidR="008B2A8E" w:rsidRDefault="008B2A8E" w:rsidP="008B2A8E">
            <w:pPr>
              <w:pStyle w:val="TableTextEntries"/>
              <w:spacing w:before="0" w:after="0" w:line="280" w:lineRule="atLeast"/>
            </w:pPr>
            <w:r w:rsidRPr="00837906">
              <w:lastRenderedPageBreak/>
              <w:t>Design Phase 5 of the Human Rights Technical Cooperation Program</w:t>
            </w:r>
          </w:p>
        </w:tc>
        <w:tc>
          <w:tcPr>
            <w:tcW w:w="823" w:type="dxa"/>
            <w:tcBorders>
              <w:top w:val="single" w:sz="2" w:space="0" w:color="A6A6A6" w:themeColor="background1" w:themeShade="A6"/>
              <w:bottom w:val="single" w:sz="2" w:space="0" w:color="A6A6A6" w:themeColor="background1" w:themeShade="A6"/>
            </w:tcBorders>
            <w:shd w:val="clear" w:color="auto" w:fill="92D050"/>
          </w:tcPr>
          <w:p w:rsidR="008B2A8E" w:rsidRDefault="008B2A8E" w:rsidP="008B2A8E">
            <w:pPr>
              <w:pStyle w:val="TableTextEntries"/>
              <w:spacing w:before="0" w:after="0" w:line="280" w:lineRule="atLeast"/>
            </w:pPr>
            <w:r w:rsidRPr="00837906">
              <w:t>Green</w:t>
            </w:r>
          </w:p>
        </w:tc>
        <w:tc>
          <w:tcPr>
            <w:tcW w:w="7896" w:type="dxa"/>
            <w:tcBorders>
              <w:top w:val="single" w:sz="2" w:space="0" w:color="A6A6A6" w:themeColor="background1" w:themeShade="A6"/>
              <w:bottom w:val="single" w:sz="2" w:space="0" w:color="A6A6A6" w:themeColor="background1" w:themeShade="A6"/>
            </w:tcBorders>
          </w:tcPr>
          <w:p w:rsidR="008B2A8E" w:rsidRDefault="008B2A8E" w:rsidP="008B2A8E">
            <w:pPr>
              <w:pStyle w:val="TableTextEntries"/>
              <w:spacing w:before="0" w:after="0" w:line="280" w:lineRule="atLeast"/>
            </w:pPr>
            <w:r w:rsidRPr="0099701E">
              <w:t xml:space="preserve">Achieved. </w:t>
            </w:r>
            <w:r>
              <w:t xml:space="preserve">New program agreed and will start </w:t>
            </w:r>
            <w:r w:rsidRPr="001A03B7">
              <w:t>in July 2014</w:t>
            </w:r>
            <w:r>
              <w:t>.</w:t>
            </w:r>
          </w:p>
        </w:tc>
      </w:tr>
      <w:tr w:rsidR="008B2A8E" w:rsidRPr="00180B19" w:rsidTr="00837906">
        <w:trPr>
          <w:cnfStyle w:val="000000010000" w:firstRow="0" w:lastRow="0" w:firstColumn="0" w:lastColumn="0" w:oddVBand="0" w:evenVBand="0" w:oddHBand="0" w:evenHBand="1" w:firstRowFirstColumn="0" w:firstRowLastColumn="0" w:lastRowFirstColumn="0" w:lastRowLastColumn="0"/>
        </w:trPr>
        <w:tc>
          <w:tcPr>
            <w:tcW w:w="5906" w:type="dxa"/>
          </w:tcPr>
          <w:p w:rsidR="008B2A8E" w:rsidRDefault="008B2A8E" w:rsidP="00A07758">
            <w:pPr>
              <w:pStyle w:val="TableTextEntries"/>
              <w:spacing w:before="0" w:after="0" w:line="280" w:lineRule="atLeast"/>
            </w:pPr>
            <w:r w:rsidRPr="00837906">
              <w:t xml:space="preserve">Develop and implement first year work plan of the AusAID Gender </w:t>
            </w:r>
            <w:r w:rsidR="00E03A3D">
              <w:rPr>
                <w:szCs w:val="21"/>
              </w:rPr>
              <w:t xml:space="preserve"> Equality </w:t>
            </w:r>
            <w:r w:rsidRPr="00837906">
              <w:t>Action Plan</w:t>
            </w:r>
          </w:p>
        </w:tc>
        <w:tc>
          <w:tcPr>
            <w:tcW w:w="823" w:type="dxa"/>
            <w:shd w:val="clear" w:color="auto" w:fill="92D050"/>
          </w:tcPr>
          <w:p w:rsidR="008B2A8E" w:rsidRDefault="008B2A8E" w:rsidP="008B2A8E">
            <w:pPr>
              <w:pStyle w:val="TableTextEntries"/>
              <w:spacing w:before="0" w:after="0" w:line="280" w:lineRule="atLeast"/>
            </w:pPr>
            <w:r w:rsidRPr="00837906">
              <w:t>Green</w:t>
            </w:r>
          </w:p>
        </w:tc>
        <w:tc>
          <w:tcPr>
            <w:tcW w:w="7896" w:type="dxa"/>
          </w:tcPr>
          <w:p w:rsidR="008B2A8E" w:rsidRDefault="008B2A8E" w:rsidP="008B2A8E">
            <w:pPr>
              <w:pStyle w:val="TableTextEntries"/>
              <w:spacing w:before="0" w:after="0" w:line="280" w:lineRule="atLeast"/>
            </w:pPr>
            <w:r w:rsidRPr="00837906">
              <w:t xml:space="preserve">Achieved. Work </w:t>
            </w:r>
            <w:r>
              <w:t>p</w:t>
            </w:r>
            <w:r w:rsidRPr="00837906">
              <w:t>lan developed by UN Women and approved by DFAT</w:t>
            </w:r>
            <w:r>
              <w:t>.</w:t>
            </w:r>
          </w:p>
        </w:tc>
      </w:tr>
    </w:tbl>
    <w:p w:rsidR="00B11BE4" w:rsidRPr="00FE4491" w:rsidRDefault="00B11BE4" w:rsidP="00F832B6">
      <w:pPr>
        <w:pStyle w:val="Note"/>
      </w:pPr>
      <w:r w:rsidRPr="00FE4491">
        <w:t xml:space="preserve">Note: </w:t>
      </w:r>
    </w:p>
    <w:p w:rsidR="00B11BE4" w:rsidRPr="00671434" w:rsidRDefault="00B11BE4" w:rsidP="00F832B6">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B11BE4" w:rsidRPr="00EA3BAD" w:rsidRDefault="00B11BE4" w:rsidP="00F832B6">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B11BE4" w:rsidRDefault="00B11BE4" w:rsidP="00F832B6">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75677D" w:rsidRDefault="0075677D" w:rsidP="006F226B">
      <w:pPr>
        <w:spacing w:after="200" w:line="276" w:lineRule="auto"/>
        <w:rPr>
          <w:rFonts w:ascii="Franklin Gothic Book" w:eastAsia="Times New Roman" w:hAnsi="Franklin Gothic Book"/>
          <w:sz w:val="21"/>
        </w:rPr>
      </w:pPr>
      <w:r>
        <w:br w:type="page"/>
      </w:r>
    </w:p>
    <w:p w:rsidR="00B11BE4" w:rsidRPr="0075677D" w:rsidRDefault="0075677D" w:rsidP="00837906">
      <w:pPr>
        <w:keepNext/>
        <w:spacing w:after="120" w:line="280" w:lineRule="atLeast"/>
        <w:outlineLvl w:val="1"/>
        <w:rPr>
          <w:rFonts w:ascii="Helvetica" w:eastAsia="Times New Roman" w:hAnsi="Helvetica" w:cs="Arial"/>
          <w:color w:val="007FAD"/>
          <w:kern w:val="28"/>
          <w:sz w:val="28"/>
          <w:szCs w:val="28"/>
        </w:rPr>
      </w:pPr>
      <w:r>
        <w:rPr>
          <w:rFonts w:ascii="Helvetica" w:eastAsia="Times New Roman" w:hAnsi="Helvetica" w:cs="Arial"/>
          <w:color w:val="007FAD"/>
          <w:kern w:val="28"/>
          <w:sz w:val="28"/>
          <w:szCs w:val="28"/>
        </w:rPr>
        <w:lastRenderedPageBreak/>
        <w:t xml:space="preserve">Annex B - </w:t>
      </w:r>
      <w:r w:rsidR="00B11BE4" w:rsidRPr="0075677D">
        <w:rPr>
          <w:rFonts w:ascii="Helvetica" w:eastAsia="Times New Roman" w:hAnsi="Helvetica" w:cs="Arial"/>
          <w:color w:val="007FAD"/>
          <w:kern w:val="28"/>
          <w:sz w:val="28"/>
          <w:szCs w:val="28"/>
        </w:rPr>
        <w:t>Quality at Implementation ratings</w:t>
      </w:r>
    </w:p>
    <w:tbl>
      <w:tblPr>
        <w:tblStyle w:val="APPR"/>
        <w:tblW w:w="5000" w:type="pct"/>
        <w:tblInd w:w="113" w:type="dxa"/>
        <w:tblLook w:val="0000" w:firstRow="0" w:lastRow="0" w:firstColumn="0" w:lastColumn="0" w:noHBand="0" w:noVBand="0"/>
      </w:tblPr>
      <w:tblGrid>
        <w:gridCol w:w="4429"/>
        <w:gridCol w:w="236"/>
        <w:gridCol w:w="350"/>
        <w:gridCol w:w="1594"/>
        <w:gridCol w:w="648"/>
        <w:gridCol w:w="553"/>
        <w:gridCol w:w="888"/>
        <w:gridCol w:w="785"/>
        <w:gridCol w:w="791"/>
        <w:gridCol w:w="523"/>
        <w:gridCol w:w="726"/>
        <w:gridCol w:w="682"/>
        <w:gridCol w:w="148"/>
        <w:gridCol w:w="422"/>
        <w:gridCol w:w="807"/>
        <w:gridCol w:w="863"/>
      </w:tblGrid>
      <w:tr w:rsidR="00B11BE4" w:rsidRPr="009D53C4" w:rsidTr="0001245D">
        <w:trPr>
          <w:cnfStyle w:val="000000010000" w:firstRow="0" w:lastRow="0" w:firstColumn="0" w:lastColumn="0" w:oddVBand="0" w:evenVBand="0" w:oddHBand="0" w:evenHBand="1" w:firstRowFirstColumn="0" w:firstRowLastColumn="0" w:lastRowFirstColumn="0" w:lastRowLastColumn="0"/>
          <w:trHeight w:val="1074"/>
        </w:trPr>
        <w:tc>
          <w:tcPr>
            <w:tcW w:w="1726" w:type="pct"/>
            <w:gridSpan w:val="3"/>
          </w:tcPr>
          <w:p w:rsidR="00B11BE4" w:rsidRPr="00FE4491" w:rsidRDefault="00B11BE4" w:rsidP="00625052">
            <w:pPr>
              <w:pStyle w:val="TableTextColumnHeading"/>
            </w:pPr>
            <w:r w:rsidRPr="00FE4491">
              <w:rPr>
                <w:noProof/>
                <w:lang w:eastAsia="en-AU"/>
              </w:rPr>
              <w:drawing>
                <wp:anchor distT="0" distB="0" distL="114300" distR="114300" simplePos="0" relativeHeight="251669504" behindDoc="0" locked="0" layoutInCell="1" allowOverlap="1" wp14:anchorId="43FF6115" wp14:editId="373C36ED">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548" w:type="pct"/>
          </w:tcPr>
          <w:p w:rsidR="00B11BE4" w:rsidRPr="00FE4491" w:rsidRDefault="00B11BE4" w:rsidP="00625052">
            <w:pPr>
              <w:pStyle w:val="TableTextColumnHeading"/>
            </w:pPr>
            <w:r w:rsidRPr="00FE4491">
              <w:t>Approved budget and duration</w:t>
            </w:r>
          </w:p>
        </w:tc>
        <w:tc>
          <w:tcPr>
            <w:tcW w:w="402" w:type="pct"/>
            <w:gridSpan w:val="2"/>
            <w:textDirection w:val="btLr"/>
          </w:tcPr>
          <w:p w:rsidR="00B11BE4" w:rsidRPr="00FE4491" w:rsidRDefault="008E3D1D" w:rsidP="008E3D1D">
            <w:pPr>
              <w:pStyle w:val="TableTextColumnHeading"/>
            </w:pPr>
            <w:r>
              <w:t>QAI</w:t>
            </w:r>
            <w:r w:rsidR="00B11BE4" w:rsidRPr="00FE4491">
              <w:t xml:space="preserve"> year</w:t>
            </w:r>
          </w:p>
        </w:tc>
        <w:tc>
          <w:tcPr>
            <w:tcW w:w="568" w:type="pct"/>
            <w:gridSpan w:val="2"/>
            <w:textDirection w:val="btLr"/>
          </w:tcPr>
          <w:p w:rsidR="00B11BE4" w:rsidRPr="00FE4491" w:rsidRDefault="00B11BE4" w:rsidP="00625052">
            <w:pPr>
              <w:pStyle w:val="TableTextColumnHeading"/>
            </w:pPr>
            <w:r w:rsidRPr="00FE4491">
              <w:t>Relevance</w:t>
            </w:r>
          </w:p>
        </w:tc>
        <w:tc>
          <w:tcPr>
            <w:tcW w:w="442" w:type="pct"/>
            <w:gridSpan w:val="2"/>
            <w:textDirection w:val="btLr"/>
          </w:tcPr>
          <w:p w:rsidR="00B11BE4" w:rsidRPr="00FE4491" w:rsidRDefault="00B11BE4" w:rsidP="00625052">
            <w:pPr>
              <w:pStyle w:val="TableTextColumnHeading"/>
            </w:pPr>
            <w:r w:rsidRPr="00FE4491">
              <w:t>Effectiveness</w:t>
            </w:r>
          </w:p>
        </w:tc>
        <w:tc>
          <w:tcPr>
            <w:tcW w:w="245" w:type="pct"/>
            <w:textDirection w:val="btLr"/>
          </w:tcPr>
          <w:p w:rsidR="00B11BE4" w:rsidRPr="00FE4491" w:rsidRDefault="00B11BE4" w:rsidP="00625052">
            <w:pPr>
              <w:pStyle w:val="TableTextColumnHeading"/>
            </w:pPr>
            <w:r w:rsidRPr="00FE4491">
              <w:t>Efficiency</w:t>
            </w:r>
          </w:p>
        </w:tc>
        <w:tc>
          <w:tcPr>
            <w:tcW w:w="409" w:type="pct"/>
            <w:gridSpan w:val="3"/>
            <w:textDirection w:val="btLr"/>
          </w:tcPr>
          <w:p w:rsidR="00B11BE4" w:rsidRPr="00FE4491" w:rsidRDefault="00B11BE4" w:rsidP="00625052">
            <w:pPr>
              <w:pStyle w:val="TableTextColumnHeading"/>
            </w:pPr>
            <w:r w:rsidRPr="00FE4491">
              <w:t>Monitoring and Evaluation</w:t>
            </w:r>
          </w:p>
        </w:tc>
        <w:tc>
          <w:tcPr>
            <w:tcW w:w="274" w:type="pct"/>
            <w:textDirection w:val="btLr"/>
          </w:tcPr>
          <w:p w:rsidR="00B11BE4" w:rsidRPr="00FE4491" w:rsidRDefault="00B11BE4" w:rsidP="00625052">
            <w:pPr>
              <w:pStyle w:val="TableTextColumnHeading"/>
            </w:pPr>
            <w:r w:rsidRPr="00FE4491">
              <w:t>Sustainability</w:t>
            </w:r>
          </w:p>
        </w:tc>
        <w:tc>
          <w:tcPr>
            <w:tcW w:w="288" w:type="pct"/>
            <w:textDirection w:val="btLr"/>
          </w:tcPr>
          <w:p w:rsidR="00B11BE4" w:rsidRPr="00FE4491" w:rsidRDefault="00B11BE4" w:rsidP="00625052">
            <w:pPr>
              <w:pStyle w:val="TableTextColumnHeading"/>
            </w:pPr>
            <w:r w:rsidRPr="00FE4491">
              <w:t>Gender equality</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Merge w:val="restart"/>
            <w:tcBorders>
              <w:top w:val="single" w:sz="4"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xml:space="preserve">Scholarship Program </w:t>
            </w:r>
          </w:p>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735" w:type="pct"/>
            <w:gridSpan w:val="3"/>
            <w:vMerge w:val="restart"/>
            <w:tcBorders>
              <w:top w:val="single" w:sz="4" w:space="0" w:color="auto"/>
            </w:tcBorders>
            <w:vAlign w:val="bottom"/>
          </w:tcPr>
          <w:p w:rsidR="00B11BE4" w:rsidRPr="009E2EE8" w:rsidRDefault="00B11BE4" w:rsidP="00047841">
            <w:pPr>
              <w:spacing w:line="280" w:lineRule="atLeast"/>
              <w:rPr>
                <w:rFonts w:ascii="Arial" w:hAnsi="Arial" w:cs="Arial"/>
                <w:sz w:val="18"/>
                <w:szCs w:val="18"/>
              </w:rPr>
            </w:pPr>
            <w:r w:rsidRPr="009E2EE8">
              <w:rPr>
                <w:rFonts w:ascii="Arial" w:hAnsi="Arial" w:cs="Arial"/>
                <w:sz w:val="18"/>
                <w:szCs w:val="18"/>
              </w:rPr>
              <w:t>A$</w:t>
            </w:r>
          </w:p>
          <w:p w:rsidR="00B11BE4" w:rsidRPr="009E2EE8" w:rsidRDefault="00B11BE4" w:rsidP="006F226B">
            <w:pPr>
              <w:spacing w:line="280" w:lineRule="atLeast"/>
              <w:rPr>
                <w:rFonts w:ascii="Arial" w:hAnsi="Arial" w:cs="Arial"/>
                <w:sz w:val="18"/>
                <w:szCs w:val="18"/>
              </w:rPr>
            </w:pPr>
          </w:p>
        </w:tc>
        <w:tc>
          <w:tcPr>
            <w:tcW w:w="218" w:type="pct"/>
            <w:tcBorders>
              <w:top w:val="single" w:sz="4"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tcBorders>
              <w:top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534" w:type="pct"/>
            <w:gridSpan w:val="2"/>
            <w:tcBorders>
              <w:top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tcBorders>
              <w:top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29" w:type="pct"/>
            <w:tcBorders>
              <w:top w:val="single" w:sz="4" w:space="0" w:color="auto"/>
            </w:tcBorders>
            <w:shd w:val="clear" w:color="auto" w:fill="00B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6</w:t>
            </w:r>
          </w:p>
        </w:tc>
        <w:tc>
          <w:tcPr>
            <w:tcW w:w="454" w:type="pct"/>
            <w:gridSpan w:val="3"/>
            <w:tcBorders>
              <w:top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tcBorders>
              <w:top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Merge/>
            <w:tcBorders>
              <w:bottom w:val="single" w:sz="4" w:space="0" w:color="auto"/>
            </w:tcBorders>
            <w:vAlign w:val="center"/>
          </w:tcPr>
          <w:p w:rsidR="00B11BE4" w:rsidRPr="009E2EE8" w:rsidRDefault="00B11BE4" w:rsidP="006F226B">
            <w:pPr>
              <w:pStyle w:val="TableTextEntries"/>
              <w:spacing w:before="0" w:after="0" w:line="280" w:lineRule="atLeast"/>
              <w:rPr>
                <w:rFonts w:ascii="Arial" w:hAnsi="Arial" w:cs="Arial"/>
                <w:sz w:val="18"/>
                <w:szCs w:val="18"/>
              </w:rPr>
            </w:pPr>
          </w:p>
        </w:tc>
        <w:tc>
          <w:tcPr>
            <w:tcW w:w="735" w:type="pct"/>
            <w:gridSpan w:val="3"/>
            <w:vMerge/>
            <w:tcBorders>
              <w:bottom w:val="single" w:sz="4" w:space="0" w:color="auto"/>
            </w:tcBorders>
            <w:vAlign w:val="bottom"/>
          </w:tcPr>
          <w:p w:rsidR="00B11BE4" w:rsidRPr="009E2EE8" w:rsidRDefault="00B11BE4" w:rsidP="006F226B">
            <w:pPr>
              <w:pStyle w:val="TableTextEntries"/>
              <w:spacing w:before="0" w:after="0" w:line="280" w:lineRule="atLeast"/>
              <w:rPr>
                <w:rFonts w:ascii="Arial" w:hAnsi="Arial" w:cs="Arial"/>
                <w:sz w:val="18"/>
                <w:szCs w:val="18"/>
              </w:rPr>
            </w:pPr>
          </w:p>
        </w:tc>
        <w:tc>
          <w:tcPr>
            <w:tcW w:w="218" w:type="pct"/>
            <w:tcBorders>
              <w:bottom w:val="single" w:sz="4" w:space="0" w:color="auto"/>
            </w:tcBorders>
            <w:vAlign w:val="center"/>
          </w:tcPr>
          <w:p w:rsidR="00B11BE4" w:rsidRPr="00FE4491" w:rsidRDefault="00B11BE4" w:rsidP="006F226B">
            <w:pPr>
              <w:pStyle w:val="TableTextEntries"/>
              <w:spacing w:before="0" w:after="0" w:line="280" w:lineRule="atLeast"/>
            </w:pPr>
            <w:r>
              <w:rPr>
                <w:rFonts w:ascii="Arial" w:hAnsi="Arial" w:cs="Arial"/>
                <w:color w:val="25396E"/>
                <w:sz w:val="16"/>
                <w:szCs w:val="16"/>
              </w:rPr>
              <w:t>2012</w:t>
            </w:r>
          </w:p>
        </w:tc>
        <w:tc>
          <w:tcPr>
            <w:tcW w:w="486" w:type="pct"/>
            <w:gridSpan w:val="2"/>
            <w:tcBorders>
              <w:bottom w:val="single" w:sz="4" w:space="0" w:color="auto"/>
            </w:tcBorders>
            <w:shd w:val="clear" w:color="auto" w:fill="92D050"/>
            <w:noWrap/>
            <w:vAlign w:val="center"/>
          </w:tcPr>
          <w:p w:rsidR="00B11BE4" w:rsidRPr="00FE4491" w:rsidRDefault="00B11BE4" w:rsidP="00047841">
            <w:pPr>
              <w:pStyle w:val="TableTextEntries"/>
              <w:spacing w:before="0" w:after="0" w:line="280" w:lineRule="atLeast"/>
            </w:pPr>
            <w:r>
              <w:rPr>
                <w:rFonts w:ascii="Arial" w:hAnsi="Arial" w:cs="Arial"/>
                <w:sz w:val="16"/>
                <w:szCs w:val="16"/>
              </w:rPr>
              <w:t>5</w:t>
            </w:r>
          </w:p>
        </w:tc>
        <w:tc>
          <w:tcPr>
            <w:tcW w:w="534" w:type="pct"/>
            <w:gridSpan w:val="2"/>
            <w:tcBorders>
              <w:bottom w:val="single" w:sz="4" w:space="0" w:color="auto"/>
            </w:tcBorders>
            <w:shd w:val="clear" w:color="auto" w:fill="92D050"/>
            <w:noWrap/>
            <w:vAlign w:val="center"/>
          </w:tcPr>
          <w:p w:rsidR="00B11BE4" w:rsidRPr="00FE4491" w:rsidRDefault="00B11BE4" w:rsidP="00047841">
            <w:pPr>
              <w:pStyle w:val="TableTextEntries"/>
              <w:spacing w:before="0" w:after="0" w:line="280" w:lineRule="atLeast"/>
            </w:pPr>
            <w:r>
              <w:rPr>
                <w:rFonts w:ascii="Arial" w:hAnsi="Arial" w:cs="Arial"/>
                <w:sz w:val="16"/>
                <w:szCs w:val="16"/>
              </w:rPr>
              <w:t>5</w:t>
            </w:r>
          </w:p>
        </w:tc>
        <w:tc>
          <w:tcPr>
            <w:tcW w:w="419" w:type="pct"/>
            <w:gridSpan w:val="2"/>
            <w:tcBorders>
              <w:bottom w:val="single" w:sz="4" w:space="0" w:color="auto"/>
            </w:tcBorders>
            <w:shd w:val="clear" w:color="auto" w:fill="92D050"/>
            <w:noWrap/>
            <w:vAlign w:val="center"/>
          </w:tcPr>
          <w:p w:rsidR="00B11BE4" w:rsidRPr="00FE4491" w:rsidRDefault="00B11BE4" w:rsidP="00047841">
            <w:pPr>
              <w:pStyle w:val="TableTextEntries"/>
              <w:spacing w:before="0" w:after="0" w:line="280" w:lineRule="atLeast"/>
            </w:pPr>
            <w:r>
              <w:rPr>
                <w:rFonts w:ascii="Arial" w:hAnsi="Arial" w:cs="Arial"/>
                <w:sz w:val="16"/>
                <w:szCs w:val="16"/>
              </w:rPr>
              <w:t>5</w:t>
            </w:r>
          </w:p>
        </w:tc>
        <w:tc>
          <w:tcPr>
            <w:tcW w:w="229" w:type="pct"/>
            <w:tcBorders>
              <w:bottom w:val="single" w:sz="4" w:space="0" w:color="auto"/>
            </w:tcBorders>
            <w:shd w:val="clear" w:color="auto" w:fill="92D050"/>
            <w:noWrap/>
            <w:vAlign w:val="center"/>
          </w:tcPr>
          <w:p w:rsidR="00B11BE4" w:rsidRPr="00FE4491" w:rsidRDefault="00B11BE4" w:rsidP="00047841">
            <w:pPr>
              <w:pStyle w:val="TableTextEntries"/>
              <w:spacing w:before="0" w:after="0" w:line="280" w:lineRule="atLeast"/>
            </w:pPr>
            <w:r>
              <w:rPr>
                <w:rFonts w:ascii="Arial" w:hAnsi="Arial" w:cs="Arial"/>
                <w:sz w:val="16"/>
                <w:szCs w:val="16"/>
              </w:rPr>
              <w:t>5</w:t>
            </w:r>
          </w:p>
        </w:tc>
        <w:tc>
          <w:tcPr>
            <w:tcW w:w="454" w:type="pct"/>
            <w:gridSpan w:val="3"/>
            <w:tcBorders>
              <w:bottom w:val="single" w:sz="4" w:space="0" w:color="auto"/>
            </w:tcBorders>
            <w:shd w:val="clear" w:color="auto" w:fill="92D050"/>
            <w:noWrap/>
            <w:vAlign w:val="center"/>
          </w:tcPr>
          <w:p w:rsidR="00B11BE4" w:rsidRPr="00FE4491" w:rsidRDefault="00B11BE4" w:rsidP="00047841">
            <w:pPr>
              <w:pStyle w:val="TableTextEntries"/>
              <w:spacing w:before="0" w:after="0" w:line="280" w:lineRule="atLeast"/>
            </w:pPr>
            <w:r>
              <w:rPr>
                <w:rFonts w:ascii="Arial" w:hAnsi="Arial" w:cs="Arial"/>
                <w:sz w:val="16"/>
                <w:szCs w:val="16"/>
              </w:rPr>
              <w:t>5</w:t>
            </w:r>
          </w:p>
        </w:tc>
        <w:tc>
          <w:tcPr>
            <w:tcW w:w="288" w:type="pct"/>
            <w:tcBorders>
              <w:bottom w:val="single" w:sz="4" w:space="0" w:color="auto"/>
            </w:tcBorders>
            <w:shd w:val="clear" w:color="auto" w:fill="FFFF00"/>
            <w:noWrap/>
            <w:vAlign w:val="center"/>
          </w:tcPr>
          <w:p w:rsidR="00B11BE4" w:rsidRPr="00FE4491" w:rsidRDefault="00B11BE4" w:rsidP="00047841">
            <w:pPr>
              <w:pStyle w:val="TableTextEntries"/>
              <w:spacing w:before="0" w:after="0" w:line="280" w:lineRule="atLeast"/>
            </w:pPr>
            <w:r>
              <w:rPr>
                <w:rFonts w:ascii="Arial" w:hAnsi="Arial" w:cs="Arial"/>
                <w:sz w:val="16"/>
                <w:szCs w:val="16"/>
              </w:rPr>
              <w:t>4</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Merge w:val="restart"/>
            <w:tcBorders>
              <w:top w:val="single" w:sz="4"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Mekong Transport Infrastructure Development</w:t>
            </w:r>
          </w:p>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735" w:type="pct"/>
            <w:gridSpan w:val="3"/>
            <w:vMerge w:val="restart"/>
            <w:tcBorders>
              <w:top w:val="single" w:sz="4" w:space="0" w:color="auto"/>
            </w:tcBorders>
          </w:tcPr>
          <w:p w:rsidR="00B11BE4" w:rsidRPr="009E2EE8" w:rsidRDefault="00B11BE4" w:rsidP="00047841">
            <w:pPr>
              <w:spacing w:line="280" w:lineRule="atLeast"/>
              <w:rPr>
                <w:rFonts w:ascii="Arial" w:hAnsi="Arial" w:cs="Arial"/>
                <w:b/>
                <w:sz w:val="18"/>
                <w:szCs w:val="18"/>
              </w:rPr>
            </w:pPr>
            <w:r w:rsidRPr="009E2EE8">
              <w:rPr>
                <w:rFonts w:ascii="Arial" w:hAnsi="Arial" w:cs="Arial"/>
                <w:sz w:val="18"/>
                <w:szCs w:val="18"/>
              </w:rPr>
              <w:t xml:space="preserve">   </w:t>
            </w:r>
            <w:r w:rsidRPr="009E2EE8">
              <w:rPr>
                <w:rFonts w:ascii="Arial" w:hAnsi="Arial" w:cs="Arial"/>
                <w:b/>
                <w:sz w:val="18"/>
                <w:szCs w:val="18"/>
              </w:rPr>
              <w:t xml:space="preserve">48,000,000 </w:t>
            </w:r>
          </w:p>
          <w:p w:rsidR="00B11BE4" w:rsidRPr="009E2EE8" w:rsidRDefault="00B11BE4" w:rsidP="00047841">
            <w:pPr>
              <w:spacing w:line="280" w:lineRule="atLeast"/>
              <w:rPr>
                <w:rFonts w:ascii="Arial" w:hAnsi="Arial" w:cs="Arial"/>
                <w:sz w:val="18"/>
                <w:szCs w:val="18"/>
              </w:rPr>
            </w:pPr>
          </w:p>
          <w:p w:rsidR="00B11BE4" w:rsidRPr="009E2EE8" w:rsidRDefault="00B11BE4" w:rsidP="00047841">
            <w:pPr>
              <w:spacing w:line="280" w:lineRule="atLeast"/>
              <w:rPr>
                <w:rFonts w:ascii="Arial" w:hAnsi="Arial" w:cs="Arial"/>
                <w:sz w:val="18"/>
                <w:szCs w:val="18"/>
              </w:rPr>
            </w:pPr>
            <w:r w:rsidRPr="009E2EE8">
              <w:rPr>
                <w:rFonts w:ascii="Arial" w:hAnsi="Arial" w:cs="Arial"/>
                <w:sz w:val="18"/>
                <w:szCs w:val="18"/>
              </w:rPr>
              <w:t>2007 - 2015</w:t>
            </w:r>
          </w:p>
        </w:tc>
        <w:tc>
          <w:tcPr>
            <w:tcW w:w="218" w:type="pct"/>
            <w:tcBorders>
              <w:top w:val="single" w:sz="4"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tcBorders>
              <w:top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534" w:type="pct"/>
            <w:gridSpan w:val="2"/>
            <w:tcBorders>
              <w:top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9" w:type="pct"/>
            <w:gridSpan w:val="2"/>
            <w:tcBorders>
              <w:top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29" w:type="pct"/>
            <w:tcBorders>
              <w:top w:val="single" w:sz="4" w:space="0" w:color="auto"/>
            </w:tcBorders>
            <w:shd w:val="clear" w:color="auto" w:fill="FF0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2</w:t>
            </w:r>
          </w:p>
        </w:tc>
        <w:tc>
          <w:tcPr>
            <w:tcW w:w="454" w:type="pct"/>
            <w:gridSpan w:val="3"/>
            <w:tcBorders>
              <w:top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tcBorders>
              <w:top w:val="single" w:sz="4" w:space="0" w:color="auto"/>
            </w:tcBorders>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Merge/>
            <w:tcBorders>
              <w:bottom w:val="single" w:sz="4" w:space="0" w:color="auto"/>
            </w:tcBorders>
            <w:vAlign w:val="center"/>
          </w:tcPr>
          <w:p w:rsidR="00B11BE4" w:rsidRPr="009E2EE8" w:rsidRDefault="00B11BE4" w:rsidP="006F226B">
            <w:pPr>
              <w:pStyle w:val="TableTextEntries"/>
              <w:spacing w:before="0" w:after="0" w:line="280" w:lineRule="atLeast"/>
              <w:rPr>
                <w:rFonts w:ascii="Arial" w:hAnsi="Arial" w:cs="Arial"/>
                <w:sz w:val="18"/>
                <w:szCs w:val="18"/>
              </w:rPr>
            </w:pPr>
          </w:p>
        </w:tc>
        <w:tc>
          <w:tcPr>
            <w:tcW w:w="735" w:type="pct"/>
            <w:gridSpan w:val="3"/>
            <w:vMerge/>
            <w:tcBorders>
              <w:bottom w:val="single" w:sz="4" w:space="0" w:color="auto"/>
            </w:tcBorders>
            <w:vAlign w:val="bottom"/>
          </w:tcPr>
          <w:p w:rsidR="00B11BE4" w:rsidRPr="009E2EE8" w:rsidRDefault="00B11BE4" w:rsidP="00047841">
            <w:pPr>
              <w:pStyle w:val="TableTextEntries"/>
              <w:spacing w:before="0" w:after="0" w:line="280" w:lineRule="atLeast"/>
              <w:rPr>
                <w:rFonts w:ascii="Arial" w:hAnsi="Arial" w:cs="Arial"/>
                <w:sz w:val="18"/>
                <w:szCs w:val="18"/>
              </w:rPr>
            </w:pPr>
          </w:p>
        </w:tc>
        <w:tc>
          <w:tcPr>
            <w:tcW w:w="218" w:type="pct"/>
            <w:tcBorders>
              <w:bottom w:val="single" w:sz="4" w:space="0" w:color="auto"/>
            </w:tcBorders>
            <w:vAlign w:val="center"/>
          </w:tcPr>
          <w:p w:rsidR="00B11BE4" w:rsidRPr="00FE4491" w:rsidRDefault="00B11BE4" w:rsidP="006F226B">
            <w:pPr>
              <w:pStyle w:val="TableTextEntries"/>
              <w:spacing w:before="0" w:after="0" w:line="280" w:lineRule="atLeast"/>
            </w:pPr>
            <w:r>
              <w:rPr>
                <w:rFonts w:ascii="Arial" w:hAnsi="Arial" w:cs="Arial"/>
                <w:color w:val="25396E"/>
                <w:sz w:val="16"/>
                <w:szCs w:val="16"/>
              </w:rPr>
              <w:t>2012</w:t>
            </w:r>
          </w:p>
        </w:tc>
        <w:tc>
          <w:tcPr>
            <w:tcW w:w="486" w:type="pct"/>
            <w:gridSpan w:val="2"/>
            <w:tcBorders>
              <w:bottom w:val="single" w:sz="4" w:space="0" w:color="auto"/>
            </w:tcBorders>
            <w:shd w:val="clear" w:color="auto" w:fill="00B050"/>
            <w:noWrap/>
            <w:vAlign w:val="center"/>
          </w:tcPr>
          <w:p w:rsidR="00B11BE4" w:rsidRPr="00FE4491" w:rsidRDefault="00B11BE4" w:rsidP="00047841">
            <w:pPr>
              <w:pStyle w:val="TableTextEntries"/>
              <w:spacing w:before="0" w:after="0" w:line="280" w:lineRule="atLeast"/>
            </w:pPr>
            <w:r>
              <w:rPr>
                <w:rFonts w:ascii="Arial" w:hAnsi="Arial" w:cs="Arial"/>
                <w:sz w:val="16"/>
                <w:szCs w:val="16"/>
              </w:rPr>
              <w:t>6</w:t>
            </w:r>
          </w:p>
        </w:tc>
        <w:tc>
          <w:tcPr>
            <w:tcW w:w="534" w:type="pct"/>
            <w:gridSpan w:val="2"/>
            <w:tcBorders>
              <w:bottom w:val="single" w:sz="4" w:space="0" w:color="auto"/>
            </w:tcBorders>
            <w:shd w:val="clear" w:color="auto" w:fill="92D050"/>
            <w:noWrap/>
            <w:vAlign w:val="center"/>
          </w:tcPr>
          <w:p w:rsidR="00B11BE4" w:rsidRPr="00FE4491" w:rsidRDefault="00B11BE4" w:rsidP="00047841">
            <w:pPr>
              <w:pStyle w:val="TableTextEntries"/>
              <w:spacing w:before="0" w:after="0" w:line="280" w:lineRule="atLeast"/>
            </w:pPr>
            <w:r>
              <w:rPr>
                <w:rFonts w:ascii="Arial" w:hAnsi="Arial" w:cs="Arial"/>
                <w:sz w:val="16"/>
                <w:szCs w:val="16"/>
              </w:rPr>
              <w:t>5</w:t>
            </w:r>
          </w:p>
        </w:tc>
        <w:tc>
          <w:tcPr>
            <w:tcW w:w="419" w:type="pct"/>
            <w:gridSpan w:val="2"/>
            <w:tcBorders>
              <w:bottom w:val="single" w:sz="4" w:space="0" w:color="auto"/>
            </w:tcBorders>
            <w:shd w:val="clear" w:color="auto" w:fill="FFFF00"/>
            <w:noWrap/>
            <w:vAlign w:val="center"/>
          </w:tcPr>
          <w:p w:rsidR="00B11BE4" w:rsidRPr="00FE4491" w:rsidRDefault="00B11BE4" w:rsidP="00047841">
            <w:pPr>
              <w:pStyle w:val="TableTextEntries"/>
              <w:spacing w:before="0" w:after="0" w:line="280" w:lineRule="atLeast"/>
            </w:pPr>
            <w:r>
              <w:rPr>
                <w:rFonts w:ascii="Arial" w:hAnsi="Arial" w:cs="Arial"/>
                <w:sz w:val="16"/>
                <w:szCs w:val="16"/>
              </w:rPr>
              <w:t>4</w:t>
            </w:r>
          </w:p>
        </w:tc>
        <w:tc>
          <w:tcPr>
            <w:tcW w:w="229" w:type="pct"/>
            <w:tcBorders>
              <w:bottom w:val="single" w:sz="4" w:space="0" w:color="auto"/>
            </w:tcBorders>
            <w:shd w:val="clear" w:color="auto" w:fill="FFC000"/>
            <w:noWrap/>
            <w:vAlign w:val="center"/>
          </w:tcPr>
          <w:p w:rsidR="00B11BE4" w:rsidRPr="00FE4491" w:rsidRDefault="00B11BE4" w:rsidP="00047841">
            <w:pPr>
              <w:pStyle w:val="TableTextEntries"/>
              <w:spacing w:before="0" w:after="0" w:line="280" w:lineRule="atLeast"/>
            </w:pPr>
            <w:r>
              <w:rPr>
                <w:rFonts w:ascii="Arial" w:hAnsi="Arial" w:cs="Arial"/>
                <w:sz w:val="16"/>
                <w:szCs w:val="16"/>
              </w:rPr>
              <w:t>3</w:t>
            </w:r>
          </w:p>
        </w:tc>
        <w:tc>
          <w:tcPr>
            <w:tcW w:w="454" w:type="pct"/>
            <w:gridSpan w:val="3"/>
            <w:tcBorders>
              <w:bottom w:val="single" w:sz="4" w:space="0" w:color="auto"/>
            </w:tcBorders>
            <w:shd w:val="clear" w:color="auto" w:fill="FFFF00"/>
            <w:noWrap/>
            <w:vAlign w:val="center"/>
          </w:tcPr>
          <w:p w:rsidR="00B11BE4" w:rsidRPr="00FE4491" w:rsidRDefault="00B11BE4" w:rsidP="00047841">
            <w:pPr>
              <w:pStyle w:val="TableTextEntries"/>
              <w:spacing w:before="0" w:after="0" w:line="280" w:lineRule="atLeast"/>
            </w:pPr>
            <w:r>
              <w:rPr>
                <w:rFonts w:ascii="Arial" w:hAnsi="Arial" w:cs="Arial"/>
                <w:sz w:val="16"/>
                <w:szCs w:val="16"/>
              </w:rPr>
              <w:t>4</w:t>
            </w:r>
          </w:p>
        </w:tc>
        <w:tc>
          <w:tcPr>
            <w:tcW w:w="288" w:type="pct"/>
            <w:tcBorders>
              <w:bottom w:val="single" w:sz="4" w:space="0" w:color="auto"/>
            </w:tcBorders>
            <w:shd w:val="clear" w:color="auto" w:fill="FFFF00"/>
            <w:noWrap/>
            <w:vAlign w:val="center"/>
          </w:tcPr>
          <w:p w:rsidR="00B11BE4" w:rsidRPr="00FE4491" w:rsidRDefault="00B11BE4" w:rsidP="00047841">
            <w:pPr>
              <w:pStyle w:val="TableTextEntries"/>
              <w:spacing w:before="0" w:after="0" w:line="280" w:lineRule="atLeast"/>
            </w:pPr>
            <w:r>
              <w:rPr>
                <w:rFonts w:ascii="Arial" w:hAnsi="Arial" w:cs="Arial"/>
                <w:sz w:val="16"/>
                <w:szCs w:val="16"/>
              </w:rPr>
              <w:t>4</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Southern Coastal Corridor Vietnam</w:t>
            </w:r>
          </w:p>
        </w:tc>
        <w:tc>
          <w:tcPr>
            <w:tcW w:w="735" w:type="pct"/>
            <w:gridSpan w:val="3"/>
            <w:vAlign w:val="bottom"/>
          </w:tcPr>
          <w:p w:rsidR="00B11BE4" w:rsidRPr="009E2EE8" w:rsidRDefault="00B11BE4" w:rsidP="00047841">
            <w:pPr>
              <w:spacing w:line="280" w:lineRule="atLeast"/>
              <w:rPr>
                <w:rFonts w:ascii="Arial" w:hAnsi="Arial" w:cs="Arial"/>
                <w:b/>
                <w:sz w:val="18"/>
                <w:szCs w:val="18"/>
              </w:rPr>
            </w:pPr>
            <w:r w:rsidRPr="009E2EE8">
              <w:rPr>
                <w:rFonts w:ascii="Arial" w:hAnsi="Arial" w:cs="Arial"/>
                <w:sz w:val="18"/>
                <w:szCs w:val="18"/>
              </w:rPr>
              <w:t xml:space="preserve">   </w:t>
            </w:r>
            <w:r w:rsidRPr="009E2EE8">
              <w:rPr>
                <w:rFonts w:ascii="Arial" w:hAnsi="Arial" w:cs="Arial"/>
                <w:b/>
                <w:sz w:val="18"/>
                <w:szCs w:val="18"/>
              </w:rPr>
              <w:t xml:space="preserve">45,117,000 </w:t>
            </w:r>
          </w:p>
        </w:tc>
        <w:tc>
          <w:tcPr>
            <w:tcW w:w="218" w:type="pct"/>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534"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29" w:type="pct"/>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54" w:type="pct"/>
            <w:gridSpan w:val="3"/>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tcBorders>
              <w:bottom w:val="single" w:sz="4"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735" w:type="pct"/>
            <w:gridSpan w:val="3"/>
            <w:tcBorders>
              <w:bottom w:val="single" w:sz="4" w:space="0" w:color="auto"/>
            </w:tcBorders>
            <w:vAlign w:val="bottom"/>
          </w:tcPr>
          <w:p w:rsidR="00B11BE4" w:rsidRPr="009E2EE8" w:rsidRDefault="00B11BE4" w:rsidP="00047841">
            <w:pPr>
              <w:spacing w:line="280" w:lineRule="atLeast"/>
              <w:rPr>
                <w:rFonts w:ascii="Arial" w:hAnsi="Arial" w:cs="Arial"/>
                <w:sz w:val="18"/>
                <w:szCs w:val="18"/>
              </w:rPr>
            </w:pPr>
            <w:r w:rsidRPr="009E2EE8">
              <w:rPr>
                <w:rFonts w:ascii="Arial" w:hAnsi="Arial" w:cs="Arial"/>
                <w:sz w:val="18"/>
                <w:szCs w:val="18"/>
              </w:rPr>
              <w:t>2007 - 2016</w:t>
            </w:r>
          </w:p>
        </w:tc>
        <w:tc>
          <w:tcPr>
            <w:tcW w:w="218" w:type="pct"/>
            <w:tcBorders>
              <w:bottom w:val="single" w:sz="4"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4" w:space="0" w:color="auto"/>
            </w:tcBorders>
            <w:shd w:val="clear" w:color="auto" w:fill="00B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6</w:t>
            </w:r>
          </w:p>
        </w:tc>
        <w:tc>
          <w:tcPr>
            <w:tcW w:w="534" w:type="pct"/>
            <w:gridSpan w:val="2"/>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29" w:type="pct"/>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54" w:type="pct"/>
            <w:gridSpan w:val="3"/>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Vietnam Rural Energy Distribution</w:t>
            </w:r>
          </w:p>
        </w:tc>
        <w:tc>
          <w:tcPr>
            <w:tcW w:w="735" w:type="pct"/>
            <w:gridSpan w:val="3"/>
            <w:vAlign w:val="bottom"/>
          </w:tcPr>
          <w:p w:rsidR="00B11BE4" w:rsidRPr="009E2EE8" w:rsidRDefault="00B11BE4" w:rsidP="00047841">
            <w:pPr>
              <w:spacing w:line="280" w:lineRule="atLeast"/>
              <w:rPr>
                <w:rFonts w:ascii="Arial" w:hAnsi="Arial" w:cs="Arial"/>
                <w:b/>
                <w:sz w:val="18"/>
                <w:szCs w:val="18"/>
              </w:rPr>
            </w:pPr>
            <w:r w:rsidRPr="009E2EE8">
              <w:rPr>
                <w:rFonts w:ascii="Arial" w:hAnsi="Arial" w:cs="Arial"/>
                <w:b/>
                <w:sz w:val="18"/>
                <w:szCs w:val="18"/>
              </w:rPr>
              <w:t xml:space="preserve">     3,500,000 </w:t>
            </w:r>
          </w:p>
        </w:tc>
        <w:tc>
          <w:tcPr>
            <w:tcW w:w="218" w:type="pct"/>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534"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9" w:type="pct"/>
            <w:gridSpan w:val="2"/>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c>
          <w:tcPr>
            <w:tcW w:w="229" w:type="pct"/>
            <w:shd w:val="clear" w:color="auto" w:fill="FF0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2</w:t>
            </w:r>
          </w:p>
        </w:tc>
        <w:tc>
          <w:tcPr>
            <w:tcW w:w="454" w:type="pct"/>
            <w:gridSpan w:val="3"/>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tcBorders>
              <w:bottom w:val="single" w:sz="4"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735" w:type="pct"/>
            <w:gridSpan w:val="3"/>
            <w:tcBorders>
              <w:bottom w:val="single" w:sz="4" w:space="0" w:color="auto"/>
            </w:tcBorders>
            <w:vAlign w:val="bottom"/>
          </w:tcPr>
          <w:p w:rsidR="00B11BE4" w:rsidRPr="009E2EE8" w:rsidRDefault="00B11BE4" w:rsidP="00047841">
            <w:pPr>
              <w:spacing w:line="280" w:lineRule="atLeast"/>
              <w:rPr>
                <w:rFonts w:ascii="Arial" w:hAnsi="Arial" w:cs="Arial"/>
                <w:sz w:val="18"/>
                <w:szCs w:val="18"/>
              </w:rPr>
            </w:pPr>
            <w:r w:rsidRPr="009E2EE8">
              <w:rPr>
                <w:rFonts w:ascii="Arial" w:hAnsi="Arial" w:cs="Arial"/>
                <w:sz w:val="18"/>
                <w:szCs w:val="18"/>
              </w:rPr>
              <w:t>2007 - 2013</w:t>
            </w:r>
          </w:p>
        </w:tc>
        <w:tc>
          <w:tcPr>
            <w:tcW w:w="218" w:type="pct"/>
            <w:tcBorders>
              <w:bottom w:val="single" w:sz="4"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534" w:type="pct"/>
            <w:gridSpan w:val="2"/>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9" w:type="pct"/>
            <w:gridSpan w:val="2"/>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29" w:type="pct"/>
            <w:tcBorders>
              <w:bottom w:val="single" w:sz="4" w:space="0" w:color="auto"/>
            </w:tcBorders>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c>
          <w:tcPr>
            <w:tcW w:w="454" w:type="pct"/>
            <w:gridSpan w:val="3"/>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Beyond World Trade Organisation (WTO) Phase II</w:t>
            </w:r>
          </w:p>
        </w:tc>
        <w:tc>
          <w:tcPr>
            <w:tcW w:w="735" w:type="pct"/>
            <w:gridSpan w:val="3"/>
            <w:vAlign w:val="bottom"/>
          </w:tcPr>
          <w:p w:rsidR="00B11BE4" w:rsidRPr="009E2EE8" w:rsidRDefault="00B11BE4" w:rsidP="00047841">
            <w:pPr>
              <w:spacing w:line="280" w:lineRule="atLeast"/>
              <w:rPr>
                <w:rFonts w:ascii="Arial" w:hAnsi="Arial" w:cs="Arial"/>
                <w:b/>
                <w:sz w:val="18"/>
                <w:szCs w:val="18"/>
              </w:rPr>
            </w:pPr>
            <w:r w:rsidRPr="009E2EE8">
              <w:rPr>
                <w:rFonts w:ascii="Arial" w:hAnsi="Arial" w:cs="Arial"/>
                <w:sz w:val="18"/>
                <w:szCs w:val="18"/>
              </w:rPr>
              <w:t xml:space="preserve">   </w:t>
            </w:r>
            <w:r w:rsidRPr="009E2EE8">
              <w:rPr>
                <w:rFonts w:ascii="Arial" w:hAnsi="Arial" w:cs="Arial"/>
                <w:b/>
                <w:sz w:val="18"/>
                <w:szCs w:val="18"/>
              </w:rPr>
              <w:t xml:space="preserve">12,300,000 </w:t>
            </w:r>
          </w:p>
        </w:tc>
        <w:tc>
          <w:tcPr>
            <w:tcW w:w="218" w:type="pct"/>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534"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9"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29" w:type="pct"/>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54" w:type="pct"/>
            <w:gridSpan w:val="3"/>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tcBorders>
              <w:bottom w:val="single" w:sz="4"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735" w:type="pct"/>
            <w:gridSpan w:val="3"/>
            <w:tcBorders>
              <w:bottom w:val="single" w:sz="4" w:space="0" w:color="auto"/>
            </w:tcBorders>
            <w:vAlign w:val="bottom"/>
          </w:tcPr>
          <w:p w:rsidR="00B11BE4" w:rsidRPr="009E2EE8" w:rsidRDefault="00B11BE4" w:rsidP="00047841">
            <w:pPr>
              <w:spacing w:line="280" w:lineRule="atLeast"/>
              <w:rPr>
                <w:rFonts w:ascii="Arial" w:hAnsi="Arial" w:cs="Arial"/>
                <w:sz w:val="18"/>
                <w:szCs w:val="18"/>
              </w:rPr>
            </w:pPr>
            <w:r w:rsidRPr="009E2EE8">
              <w:rPr>
                <w:rFonts w:ascii="Arial" w:hAnsi="Arial" w:cs="Arial"/>
                <w:sz w:val="18"/>
                <w:szCs w:val="18"/>
              </w:rPr>
              <w:t>2009 - 2014</w:t>
            </w:r>
          </w:p>
        </w:tc>
        <w:tc>
          <w:tcPr>
            <w:tcW w:w="218" w:type="pct"/>
            <w:tcBorders>
              <w:bottom w:val="single" w:sz="4"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534" w:type="pct"/>
            <w:gridSpan w:val="2"/>
            <w:tcBorders>
              <w:bottom w:val="single" w:sz="4" w:space="0" w:color="auto"/>
            </w:tcBorders>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c>
          <w:tcPr>
            <w:tcW w:w="419" w:type="pct"/>
            <w:gridSpan w:val="2"/>
            <w:tcBorders>
              <w:bottom w:val="single" w:sz="4" w:space="0" w:color="auto"/>
            </w:tcBorders>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c>
          <w:tcPr>
            <w:tcW w:w="229" w:type="pct"/>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54" w:type="pct"/>
            <w:gridSpan w:val="3"/>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tcBorders>
              <w:bottom w:val="single" w:sz="4" w:space="0" w:color="auto"/>
            </w:tcBorders>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Cao Lanh Detailed Design and construction</w:t>
            </w:r>
          </w:p>
        </w:tc>
        <w:tc>
          <w:tcPr>
            <w:tcW w:w="735" w:type="pct"/>
            <w:gridSpan w:val="3"/>
            <w:vAlign w:val="bottom"/>
          </w:tcPr>
          <w:p w:rsidR="00B11BE4" w:rsidRPr="009E2EE8" w:rsidRDefault="00B11BE4" w:rsidP="00047841">
            <w:pPr>
              <w:spacing w:line="280" w:lineRule="atLeast"/>
              <w:rPr>
                <w:rFonts w:ascii="Arial" w:hAnsi="Arial" w:cs="Arial"/>
                <w:b/>
                <w:sz w:val="18"/>
                <w:szCs w:val="18"/>
              </w:rPr>
            </w:pPr>
            <w:r w:rsidRPr="009E2EE8">
              <w:rPr>
                <w:rFonts w:ascii="Arial" w:hAnsi="Arial" w:cs="Arial"/>
                <w:b/>
                <w:sz w:val="18"/>
                <w:szCs w:val="18"/>
              </w:rPr>
              <w:t xml:space="preserve"> 160,000,000 </w:t>
            </w:r>
          </w:p>
        </w:tc>
        <w:tc>
          <w:tcPr>
            <w:tcW w:w="218" w:type="pct"/>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shd w:val="clear" w:color="auto" w:fill="00B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6</w:t>
            </w:r>
          </w:p>
        </w:tc>
        <w:tc>
          <w:tcPr>
            <w:tcW w:w="534"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29" w:type="pct"/>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54" w:type="pct"/>
            <w:gridSpan w:val="3"/>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tcBorders>
              <w:bottom w:val="single" w:sz="4"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735" w:type="pct"/>
            <w:gridSpan w:val="3"/>
            <w:tcBorders>
              <w:bottom w:val="single" w:sz="4" w:space="0" w:color="auto"/>
            </w:tcBorders>
            <w:vAlign w:val="bottom"/>
          </w:tcPr>
          <w:p w:rsidR="00B11BE4" w:rsidRPr="009E2EE8" w:rsidRDefault="00B11BE4" w:rsidP="00047841">
            <w:pPr>
              <w:spacing w:line="280" w:lineRule="atLeast"/>
              <w:rPr>
                <w:rFonts w:ascii="Arial" w:hAnsi="Arial" w:cs="Arial"/>
                <w:sz w:val="18"/>
                <w:szCs w:val="18"/>
              </w:rPr>
            </w:pPr>
            <w:r w:rsidRPr="009E2EE8">
              <w:rPr>
                <w:rFonts w:ascii="Arial" w:hAnsi="Arial" w:cs="Arial"/>
                <w:sz w:val="18"/>
                <w:szCs w:val="18"/>
              </w:rPr>
              <w:t>2011 - 2018</w:t>
            </w:r>
          </w:p>
        </w:tc>
        <w:tc>
          <w:tcPr>
            <w:tcW w:w="218" w:type="pct"/>
            <w:tcBorders>
              <w:bottom w:val="single" w:sz="4"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4" w:space="0" w:color="auto"/>
            </w:tcBorders>
            <w:shd w:val="clear" w:color="auto" w:fill="00B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6</w:t>
            </w:r>
          </w:p>
        </w:tc>
        <w:tc>
          <w:tcPr>
            <w:tcW w:w="534" w:type="pct"/>
            <w:gridSpan w:val="2"/>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29" w:type="pct"/>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54" w:type="pct"/>
            <w:gridSpan w:val="3"/>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tcBorders>
              <w:top w:val="single" w:sz="4"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Joint Donors' Support for RWSS NTP Phase 3</w:t>
            </w:r>
          </w:p>
        </w:tc>
        <w:tc>
          <w:tcPr>
            <w:tcW w:w="735" w:type="pct"/>
            <w:gridSpan w:val="3"/>
            <w:tcBorders>
              <w:top w:val="single" w:sz="4" w:space="0" w:color="auto"/>
            </w:tcBorders>
            <w:vAlign w:val="bottom"/>
          </w:tcPr>
          <w:p w:rsidR="00B11BE4" w:rsidRPr="009E2EE8" w:rsidRDefault="00B11BE4" w:rsidP="00047841">
            <w:pPr>
              <w:spacing w:line="280" w:lineRule="atLeast"/>
              <w:rPr>
                <w:rFonts w:ascii="Arial" w:hAnsi="Arial" w:cs="Arial"/>
                <w:b/>
                <w:sz w:val="18"/>
                <w:szCs w:val="18"/>
              </w:rPr>
            </w:pPr>
            <w:r w:rsidRPr="009E2EE8">
              <w:rPr>
                <w:rFonts w:ascii="Arial" w:hAnsi="Arial" w:cs="Arial"/>
                <w:sz w:val="18"/>
                <w:szCs w:val="18"/>
              </w:rPr>
              <w:t xml:space="preserve">   </w:t>
            </w:r>
            <w:r w:rsidRPr="009E2EE8">
              <w:rPr>
                <w:rFonts w:ascii="Arial" w:hAnsi="Arial" w:cs="Arial"/>
                <w:b/>
                <w:sz w:val="18"/>
                <w:szCs w:val="18"/>
              </w:rPr>
              <w:t xml:space="preserve">74,136,829 </w:t>
            </w:r>
          </w:p>
        </w:tc>
        <w:tc>
          <w:tcPr>
            <w:tcW w:w="218" w:type="pct"/>
            <w:tcBorders>
              <w:top w:val="single" w:sz="4"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tcBorders>
              <w:top w:val="single" w:sz="4" w:space="0" w:color="auto"/>
            </w:tcBorders>
            <w:shd w:val="clear" w:color="auto" w:fill="00B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6</w:t>
            </w:r>
          </w:p>
        </w:tc>
        <w:tc>
          <w:tcPr>
            <w:tcW w:w="534" w:type="pct"/>
            <w:gridSpan w:val="2"/>
            <w:tcBorders>
              <w:top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tcBorders>
              <w:top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29" w:type="pct"/>
            <w:tcBorders>
              <w:top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54" w:type="pct"/>
            <w:gridSpan w:val="3"/>
            <w:tcBorders>
              <w:top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tcBorders>
              <w:top w:val="single" w:sz="4" w:space="0" w:color="auto"/>
            </w:tcBorders>
            <w:shd w:val="clear" w:color="auto" w:fill="00B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6</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tcBorders>
              <w:bottom w:val="single" w:sz="18"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735" w:type="pct"/>
            <w:gridSpan w:val="3"/>
            <w:tcBorders>
              <w:bottom w:val="single" w:sz="18" w:space="0" w:color="auto"/>
            </w:tcBorders>
            <w:vAlign w:val="bottom"/>
          </w:tcPr>
          <w:p w:rsidR="00B11BE4" w:rsidRPr="009E2EE8" w:rsidRDefault="00B11BE4" w:rsidP="00047841">
            <w:pPr>
              <w:spacing w:line="280" w:lineRule="atLeast"/>
              <w:rPr>
                <w:rFonts w:ascii="Arial" w:hAnsi="Arial" w:cs="Arial"/>
                <w:sz w:val="18"/>
                <w:szCs w:val="18"/>
              </w:rPr>
            </w:pPr>
            <w:r w:rsidRPr="009E2EE8">
              <w:rPr>
                <w:rFonts w:ascii="Arial" w:hAnsi="Arial" w:cs="Arial"/>
                <w:sz w:val="18"/>
                <w:szCs w:val="18"/>
              </w:rPr>
              <w:t>2011 - 2016</w:t>
            </w:r>
          </w:p>
        </w:tc>
        <w:tc>
          <w:tcPr>
            <w:tcW w:w="218" w:type="pct"/>
            <w:tcBorders>
              <w:bottom w:val="single" w:sz="18"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18" w:space="0" w:color="auto"/>
            </w:tcBorders>
            <w:shd w:val="clear" w:color="auto" w:fill="00B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6</w:t>
            </w:r>
          </w:p>
        </w:tc>
        <w:tc>
          <w:tcPr>
            <w:tcW w:w="534" w:type="pct"/>
            <w:gridSpan w:val="2"/>
            <w:tcBorders>
              <w:bottom w:val="single" w:sz="18"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tcBorders>
              <w:bottom w:val="single" w:sz="18"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29" w:type="pct"/>
            <w:tcBorders>
              <w:bottom w:val="single" w:sz="18"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54" w:type="pct"/>
            <w:gridSpan w:val="3"/>
            <w:tcBorders>
              <w:bottom w:val="single" w:sz="18"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tcBorders>
              <w:bottom w:val="single" w:sz="18"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Support Program to Respond to Climate Change</w:t>
            </w:r>
          </w:p>
        </w:tc>
        <w:tc>
          <w:tcPr>
            <w:tcW w:w="735" w:type="pct"/>
            <w:gridSpan w:val="3"/>
            <w:vAlign w:val="bottom"/>
          </w:tcPr>
          <w:p w:rsidR="00B11BE4" w:rsidRPr="009E2EE8" w:rsidRDefault="00B11BE4" w:rsidP="00047841">
            <w:pPr>
              <w:spacing w:line="280" w:lineRule="atLeast"/>
              <w:rPr>
                <w:rFonts w:ascii="Arial" w:hAnsi="Arial" w:cs="Arial"/>
                <w:b/>
                <w:sz w:val="18"/>
                <w:szCs w:val="18"/>
              </w:rPr>
            </w:pPr>
            <w:r w:rsidRPr="009E2EE8">
              <w:rPr>
                <w:rFonts w:ascii="Arial" w:hAnsi="Arial" w:cs="Arial"/>
                <w:b/>
                <w:sz w:val="18"/>
                <w:szCs w:val="18"/>
              </w:rPr>
              <w:t xml:space="preserve">   14,000,000 </w:t>
            </w:r>
          </w:p>
        </w:tc>
        <w:tc>
          <w:tcPr>
            <w:tcW w:w="218" w:type="pct"/>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534"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9"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29" w:type="pct"/>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54" w:type="pct"/>
            <w:gridSpan w:val="3"/>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tcBorders>
              <w:bottom w:val="single" w:sz="4"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735" w:type="pct"/>
            <w:gridSpan w:val="3"/>
            <w:tcBorders>
              <w:bottom w:val="single" w:sz="4" w:space="0" w:color="auto"/>
            </w:tcBorders>
            <w:vAlign w:val="bottom"/>
          </w:tcPr>
          <w:p w:rsidR="00B11BE4" w:rsidRPr="009E2EE8" w:rsidRDefault="00B11BE4" w:rsidP="00047841">
            <w:pPr>
              <w:spacing w:line="280" w:lineRule="atLeast"/>
              <w:rPr>
                <w:rFonts w:ascii="Arial" w:hAnsi="Arial" w:cs="Arial"/>
                <w:sz w:val="18"/>
                <w:szCs w:val="18"/>
              </w:rPr>
            </w:pPr>
            <w:r w:rsidRPr="009E2EE8">
              <w:rPr>
                <w:rFonts w:ascii="Arial" w:hAnsi="Arial" w:cs="Arial"/>
                <w:sz w:val="18"/>
                <w:szCs w:val="18"/>
              </w:rPr>
              <w:t>2012 - 2015</w:t>
            </w:r>
          </w:p>
        </w:tc>
        <w:tc>
          <w:tcPr>
            <w:tcW w:w="218" w:type="pct"/>
            <w:tcBorders>
              <w:bottom w:val="single" w:sz="4"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534" w:type="pct"/>
            <w:gridSpan w:val="2"/>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9" w:type="pct"/>
            <w:gridSpan w:val="2"/>
            <w:tcBorders>
              <w:bottom w:val="single" w:sz="4" w:space="0" w:color="auto"/>
            </w:tcBorders>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c>
          <w:tcPr>
            <w:tcW w:w="229" w:type="pct"/>
            <w:tcBorders>
              <w:bottom w:val="single" w:sz="4" w:space="0" w:color="auto"/>
            </w:tcBorders>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c>
          <w:tcPr>
            <w:tcW w:w="454" w:type="pct"/>
            <w:gridSpan w:val="3"/>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r>
      <w:tr w:rsidR="0001245D"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Merge w:val="restart"/>
            <w:vAlign w:val="center"/>
          </w:tcPr>
          <w:p w:rsidR="0001245D" w:rsidRPr="009E2EE8" w:rsidRDefault="0001245D" w:rsidP="0001245D">
            <w:pPr>
              <w:spacing w:line="280" w:lineRule="atLeast"/>
              <w:rPr>
                <w:rFonts w:ascii="Arial" w:hAnsi="Arial" w:cs="Arial"/>
                <w:color w:val="25396E"/>
                <w:sz w:val="18"/>
                <w:szCs w:val="18"/>
              </w:rPr>
            </w:pPr>
            <w:r w:rsidRPr="0001245D">
              <w:rPr>
                <w:rFonts w:ascii="Arial" w:hAnsi="Arial" w:cs="Arial"/>
                <w:color w:val="25396E"/>
                <w:sz w:val="18"/>
                <w:szCs w:val="18"/>
              </w:rPr>
              <w:t>Integrated Coastal Management Program (formerly the Climate Change and Coastal Ecosystems Program)</w:t>
            </w:r>
            <w:r w:rsidRPr="009E2EE8">
              <w:rPr>
                <w:rFonts w:ascii="Arial" w:hAnsi="Arial" w:cs="Arial"/>
                <w:color w:val="25396E"/>
                <w:sz w:val="18"/>
                <w:szCs w:val="18"/>
              </w:rPr>
              <w:t> </w:t>
            </w:r>
          </w:p>
        </w:tc>
        <w:tc>
          <w:tcPr>
            <w:tcW w:w="735" w:type="pct"/>
            <w:gridSpan w:val="3"/>
            <w:vAlign w:val="bottom"/>
          </w:tcPr>
          <w:p w:rsidR="0001245D" w:rsidRPr="009E2EE8" w:rsidRDefault="0001245D" w:rsidP="00047841">
            <w:pPr>
              <w:spacing w:line="280" w:lineRule="atLeast"/>
              <w:rPr>
                <w:rFonts w:ascii="Arial" w:hAnsi="Arial" w:cs="Arial"/>
                <w:b/>
                <w:sz w:val="18"/>
                <w:szCs w:val="18"/>
              </w:rPr>
            </w:pPr>
            <w:r w:rsidRPr="009E2EE8">
              <w:rPr>
                <w:rFonts w:ascii="Arial" w:hAnsi="Arial" w:cs="Arial"/>
                <w:b/>
                <w:sz w:val="18"/>
                <w:szCs w:val="18"/>
              </w:rPr>
              <w:t xml:space="preserve">   16,564,335 </w:t>
            </w:r>
          </w:p>
        </w:tc>
        <w:tc>
          <w:tcPr>
            <w:tcW w:w="218" w:type="pct"/>
            <w:vAlign w:val="center"/>
          </w:tcPr>
          <w:p w:rsidR="0001245D" w:rsidRDefault="0001245D"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shd w:val="clear" w:color="auto" w:fill="92D05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5</w:t>
            </w:r>
          </w:p>
        </w:tc>
        <w:tc>
          <w:tcPr>
            <w:tcW w:w="534" w:type="pct"/>
            <w:gridSpan w:val="2"/>
            <w:shd w:val="clear" w:color="auto" w:fill="FFFF0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4</w:t>
            </w:r>
          </w:p>
        </w:tc>
        <w:tc>
          <w:tcPr>
            <w:tcW w:w="419" w:type="pct"/>
            <w:gridSpan w:val="2"/>
            <w:shd w:val="clear" w:color="auto" w:fill="FFC00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3</w:t>
            </w:r>
          </w:p>
        </w:tc>
        <w:tc>
          <w:tcPr>
            <w:tcW w:w="229" w:type="pct"/>
            <w:shd w:val="clear" w:color="auto" w:fill="FFC00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3</w:t>
            </w:r>
          </w:p>
        </w:tc>
        <w:tc>
          <w:tcPr>
            <w:tcW w:w="454" w:type="pct"/>
            <w:gridSpan w:val="3"/>
            <w:shd w:val="clear" w:color="auto" w:fill="92D05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5</w:t>
            </w:r>
          </w:p>
        </w:tc>
        <w:tc>
          <w:tcPr>
            <w:tcW w:w="288" w:type="pct"/>
            <w:shd w:val="clear" w:color="auto" w:fill="FFFF0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4</w:t>
            </w:r>
          </w:p>
        </w:tc>
      </w:tr>
      <w:tr w:rsidR="0001245D"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Merge/>
            <w:tcBorders>
              <w:bottom w:val="single" w:sz="4" w:space="0" w:color="auto"/>
            </w:tcBorders>
            <w:vAlign w:val="center"/>
          </w:tcPr>
          <w:p w:rsidR="0001245D" w:rsidRPr="009E2EE8" w:rsidRDefault="0001245D" w:rsidP="006F226B">
            <w:pPr>
              <w:spacing w:line="280" w:lineRule="atLeast"/>
              <w:rPr>
                <w:rFonts w:ascii="Arial" w:hAnsi="Arial" w:cs="Arial"/>
                <w:color w:val="25396E"/>
                <w:sz w:val="18"/>
                <w:szCs w:val="18"/>
              </w:rPr>
            </w:pPr>
          </w:p>
        </w:tc>
        <w:tc>
          <w:tcPr>
            <w:tcW w:w="735" w:type="pct"/>
            <w:gridSpan w:val="3"/>
            <w:tcBorders>
              <w:bottom w:val="single" w:sz="4" w:space="0" w:color="auto"/>
            </w:tcBorders>
            <w:vAlign w:val="bottom"/>
          </w:tcPr>
          <w:p w:rsidR="0001245D" w:rsidRPr="009E2EE8" w:rsidRDefault="0001245D" w:rsidP="00047841">
            <w:pPr>
              <w:spacing w:line="280" w:lineRule="atLeast"/>
              <w:rPr>
                <w:rFonts w:ascii="Arial" w:hAnsi="Arial" w:cs="Arial"/>
                <w:sz w:val="18"/>
                <w:szCs w:val="18"/>
              </w:rPr>
            </w:pPr>
            <w:r w:rsidRPr="009E2EE8">
              <w:rPr>
                <w:rFonts w:ascii="Arial" w:hAnsi="Arial" w:cs="Arial"/>
                <w:sz w:val="18"/>
                <w:szCs w:val="18"/>
              </w:rPr>
              <w:t>2011 - 2017</w:t>
            </w:r>
          </w:p>
        </w:tc>
        <w:tc>
          <w:tcPr>
            <w:tcW w:w="218" w:type="pct"/>
            <w:tcBorders>
              <w:bottom w:val="single" w:sz="4" w:space="0" w:color="auto"/>
            </w:tcBorders>
            <w:vAlign w:val="center"/>
          </w:tcPr>
          <w:p w:rsidR="0001245D" w:rsidRDefault="0001245D"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4" w:space="0" w:color="auto"/>
            </w:tcBorders>
            <w:shd w:val="clear" w:color="auto" w:fill="00B05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6</w:t>
            </w:r>
          </w:p>
        </w:tc>
        <w:tc>
          <w:tcPr>
            <w:tcW w:w="534" w:type="pct"/>
            <w:gridSpan w:val="2"/>
            <w:tcBorders>
              <w:bottom w:val="single" w:sz="4" w:space="0" w:color="auto"/>
            </w:tcBorders>
            <w:shd w:val="clear" w:color="auto" w:fill="FFFF0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4</w:t>
            </w:r>
          </w:p>
        </w:tc>
        <w:tc>
          <w:tcPr>
            <w:tcW w:w="419" w:type="pct"/>
            <w:gridSpan w:val="2"/>
            <w:tcBorders>
              <w:bottom w:val="single" w:sz="4" w:space="0" w:color="auto"/>
            </w:tcBorders>
            <w:shd w:val="clear" w:color="auto" w:fill="FFFF0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4</w:t>
            </w:r>
          </w:p>
        </w:tc>
        <w:tc>
          <w:tcPr>
            <w:tcW w:w="229" w:type="pct"/>
            <w:tcBorders>
              <w:bottom w:val="single" w:sz="4" w:space="0" w:color="auto"/>
            </w:tcBorders>
            <w:shd w:val="clear" w:color="auto" w:fill="92D05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5</w:t>
            </w:r>
          </w:p>
        </w:tc>
        <w:tc>
          <w:tcPr>
            <w:tcW w:w="454" w:type="pct"/>
            <w:gridSpan w:val="3"/>
            <w:tcBorders>
              <w:bottom w:val="single" w:sz="4" w:space="0" w:color="auto"/>
            </w:tcBorders>
            <w:shd w:val="clear" w:color="auto" w:fill="92D05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5</w:t>
            </w:r>
          </w:p>
        </w:tc>
        <w:tc>
          <w:tcPr>
            <w:tcW w:w="288" w:type="pct"/>
            <w:tcBorders>
              <w:bottom w:val="single" w:sz="4" w:space="0" w:color="auto"/>
            </w:tcBorders>
            <w:shd w:val="clear" w:color="auto" w:fill="FFFF00"/>
            <w:noWrap/>
            <w:vAlign w:val="center"/>
          </w:tcPr>
          <w:p w:rsidR="0001245D" w:rsidRDefault="0001245D" w:rsidP="00047841">
            <w:pPr>
              <w:spacing w:line="280" w:lineRule="atLeast"/>
              <w:rPr>
                <w:rFonts w:ascii="Arial" w:hAnsi="Arial" w:cs="Arial"/>
                <w:sz w:val="16"/>
                <w:szCs w:val="16"/>
              </w:rPr>
            </w:pPr>
            <w:r>
              <w:rPr>
                <w:rFonts w:ascii="Arial" w:hAnsi="Arial" w:cs="Arial"/>
                <w:sz w:val="16"/>
                <w:szCs w:val="16"/>
              </w:rPr>
              <w:t>4</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Community Based Disaster Risk Management</w:t>
            </w:r>
          </w:p>
        </w:tc>
        <w:tc>
          <w:tcPr>
            <w:tcW w:w="735" w:type="pct"/>
            <w:gridSpan w:val="3"/>
            <w:vAlign w:val="bottom"/>
          </w:tcPr>
          <w:p w:rsidR="00B11BE4" w:rsidRPr="009E2EE8" w:rsidRDefault="00B11BE4" w:rsidP="00047841">
            <w:pPr>
              <w:spacing w:line="280" w:lineRule="atLeast"/>
              <w:rPr>
                <w:rFonts w:ascii="Arial" w:hAnsi="Arial" w:cs="Arial"/>
                <w:b/>
                <w:sz w:val="18"/>
                <w:szCs w:val="18"/>
              </w:rPr>
            </w:pPr>
            <w:r w:rsidRPr="009E2EE8">
              <w:rPr>
                <w:rFonts w:ascii="Arial" w:hAnsi="Arial" w:cs="Arial"/>
                <w:b/>
                <w:sz w:val="18"/>
                <w:szCs w:val="18"/>
              </w:rPr>
              <w:t xml:space="preserve">     9,150,000 </w:t>
            </w:r>
          </w:p>
        </w:tc>
        <w:tc>
          <w:tcPr>
            <w:tcW w:w="218" w:type="pct"/>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534" w:type="pct"/>
            <w:gridSpan w:val="2"/>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c>
          <w:tcPr>
            <w:tcW w:w="419" w:type="pct"/>
            <w:gridSpan w:val="2"/>
            <w:shd w:val="clear" w:color="auto" w:fill="FFC0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3</w:t>
            </w:r>
          </w:p>
        </w:tc>
        <w:tc>
          <w:tcPr>
            <w:tcW w:w="229" w:type="pct"/>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54" w:type="pct"/>
            <w:gridSpan w:val="3"/>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tcBorders>
              <w:bottom w:val="single" w:sz="4"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735" w:type="pct"/>
            <w:gridSpan w:val="3"/>
            <w:tcBorders>
              <w:bottom w:val="single" w:sz="4" w:space="0" w:color="auto"/>
            </w:tcBorders>
            <w:vAlign w:val="bottom"/>
          </w:tcPr>
          <w:p w:rsidR="00B11BE4" w:rsidRPr="009E2EE8" w:rsidRDefault="00B11BE4" w:rsidP="00047841">
            <w:pPr>
              <w:spacing w:line="280" w:lineRule="atLeast"/>
              <w:rPr>
                <w:rFonts w:ascii="Arial" w:hAnsi="Arial" w:cs="Arial"/>
                <w:sz w:val="18"/>
                <w:szCs w:val="18"/>
              </w:rPr>
            </w:pPr>
            <w:r w:rsidRPr="009E2EE8">
              <w:rPr>
                <w:rFonts w:ascii="Arial" w:hAnsi="Arial" w:cs="Arial"/>
                <w:sz w:val="18"/>
                <w:szCs w:val="18"/>
              </w:rPr>
              <w:t>2011 - 2016</w:t>
            </w:r>
          </w:p>
        </w:tc>
        <w:tc>
          <w:tcPr>
            <w:tcW w:w="218" w:type="pct"/>
            <w:tcBorders>
              <w:bottom w:val="single" w:sz="4"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4" w:space="0" w:color="auto"/>
            </w:tcBorders>
            <w:shd w:val="clear" w:color="auto" w:fill="00B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6</w:t>
            </w:r>
          </w:p>
        </w:tc>
        <w:tc>
          <w:tcPr>
            <w:tcW w:w="534" w:type="pct"/>
            <w:gridSpan w:val="2"/>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9" w:type="pct"/>
            <w:gridSpan w:val="2"/>
            <w:tcBorders>
              <w:bottom w:val="single" w:sz="4"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29" w:type="pct"/>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54" w:type="pct"/>
            <w:gridSpan w:val="3"/>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Vietnam Climate Change NGOs Partnership</w:t>
            </w:r>
          </w:p>
        </w:tc>
        <w:tc>
          <w:tcPr>
            <w:tcW w:w="735" w:type="pct"/>
            <w:gridSpan w:val="3"/>
            <w:vAlign w:val="bottom"/>
          </w:tcPr>
          <w:p w:rsidR="00B11BE4" w:rsidRPr="009E2EE8" w:rsidRDefault="00B11BE4" w:rsidP="00047841">
            <w:pPr>
              <w:spacing w:line="280" w:lineRule="atLeast"/>
              <w:rPr>
                <w:rFonts w:ascii="Arial" w:hAnsi="Arial" w:cs="Arial"/>
                <w:b/>
                <w:sz w:val="18"/>
                <w:szCs w:val="18"/>
              </w:rPr>
            </w:pPr>
            <w:r w:rsidRPr="009E2EE8">
              <w:rPr>
                <w:rFonts w:ascii="Arial" w:hAnsi="Arial" w:cs="Arial"/>
                <w:b/>
                <w:sz w:val="18"/>
                <w:szCs w:val="18"/>
              </w:rPr>
              <w:t xml:space="preserve">   15,073,305 </w:t>
            </w:r>
          </w:p>
        </w:tc>
        <w:tc>
          <w:tcPr>
            <w:tcW w:w="218" w:type="pct"/>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534"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29" w:type="pct"/>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54" w:type="pct"/>
            <w:gridSpan w:val="3"/>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540" w:type="pct"/>
            <w:tcBorders>
              <w:bottom w:val="single" w:sz="4"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735" w:type="pct"/>
            <w:gridSpan w:val="3"/>
            <w:tcBorders>
              <w:bottom w:val="single" w:sz="4" w:space="0" w:color="auto"/>
            </w:tcBorders>
            <w:vAlign w:val="bottom"/>
          </w:tcPr>
          <w:p w:rsidR="00B11BE4" w:rsidRPr="009E2EE8" w:rsidRDefault="00B11BE4" w:rsidP="00047841">
            <w:pPr>
              <w:spacing w:line="280" w:lineRule="atLeast"/>
              <w:rPr>
                <w:rFonts w:ascii="Arial" w:hAnsi="Arial" w:cs="Arial"/>
                <w:sz w:val="18"/>
                <w:szCs w:val="18"/>
              </w:rPr>
            </w:pPr>
            <w:r w:rsidRPr="009E2EE8">
              <w:rPr>
                <w:rFonts w:ascii="Arial" w:hAnsi="Arial" w:cs="Arial"/>
                <w:sz w:val="18"/>
                <w:szCs w:val="18"/>
              </w:rPr>
              <w:t>2012 - 2014</w:t>
            </w:r>
          </w:p>
        </w:tc>
        <w:tc>
          <w:tcPr>
            <w:tcW w:w="218" w:type="pct"/>
            <w:tcBorders>
              <w:bottom w:val="single" w:sz="4"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4" w:space="0" w:color="auto"/>
            </w:tcBorders>
            <w:shd w:val="clear" w:color="auto" w:fill="00B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6</w:t>
            </w:r>
          </w:p>
        </w:tc>
        <w:tc>
          <w:tcPr>
            <w:tcW w:w="534" w:type="pct"/>
            <w:gridSpan w:val="2"/>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29" w:type="pct"/>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54" w:type="pct"/>
            <w:gridSpan w:val="3"/>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tcBorders>
              <w:bottom w:val="single" w:sz="4"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1413"/>
        </w:trPr>
        <w:tc>
          <w:tcPr>
            <w:tcW w:w="1726" w:type="pct"/>
            <w:gridSpan w:val="3"/>
          </w:tcPr>
          <w:p w:rsidR="00B11BE4" w:rsidRPr="00FE4491" w:rsidRDefault="00B11BE4" w:rsidP="00625052">
            <w:pPr>
              <w:pStyle w:val="TableTextColumnHeading"/>
            </w:pPr>
            <w:r w:rsidRPr="00FE4491">
              <w:rPr>
                <w:noProof/>
                <w:lang w:eastAsia="en-AU"/>
              </w:rPr>
              <w:lastRenderedPageBreak/>
              <w:drawing>
                <wp:anchor distT="0" distB="0" distL="114300" distR="114300" simplePos="0" relativeHeight="251670528" behindDoc="0" locked="0" layoutInCell="1" allowOverlap="1" wp14:anchorId="1C13E2D7" wp14:editId="41F2032F">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548" w:type="pct"/>
          </w:tcPr>
          <w:p w:rsidR="00B11BE4" w:rsidRPr="00FE4491" w:rsidRDefault="00B11BE4" w:rsidP="00625052">
            <w:pPr>
              <w:pStyle w:val="TableTextColumnHeading"/>
            </w:pPr>
            <w:r w:rsidRPr="00FE4491">
              <w:t>Approved budget and duration</w:t>
            </w:r>
          </w:p>
        </w:tc>
        <w:tc>
          <w:tcPr>
            <w:tcW w:w="402" w:type="pct"/>
            <w:gridSpan w:val="2"/>
            <w:textDirection w:val="btLr"/>
          </w:tcPr>
          <w:p w:rsidR="00B11BE4" w:rsidRPr="00FE4491" w:rsidRDefault="00B11BE4" w:rsidP="008E3D1D">
            <w:pPr>
              <w:pStyle w:val="TableTextColumnHeading"/>
            </w:pPr>
            <w:r w:rsidRPr="00FE4491">
              <w:t>Q</w:t>
            </w:r>
            <w:r w:rsidR="008E3D1D">
              <w:t>AI</w:t>
            </w:r>
            <w:r w:rsidRPr="00FE4491">
              <w:t xml:space="preserve"> year</w:t>
            </w:r>
          </w:p>
        </w:tc>
        <w:tc>
          <w:tcPr>
            <w:tcW w:w="568" w:type="pct"/>
            <w:gridSpan w:val="2"/>
            <w:textDirection w:val="btLr"/>
          </w:tcPr>
          <w:p w:rsidR="00B11BE4" w:rsidRPr="00FE4491" w:rsidRDefault="00B11BE4" w:rsidP="00625052">
            <w:pPr>
              <w:pStyle w:val="TableTextColumnHeading"/>
            </w:pPr>
            <w:r w:rsidRPr="00FE4491">
              <w:t>Relevance</w:t>
            </w:r>
          </w:p>
        </w:tc>
        <w:tc>
          <w:tcPr>
            <w:tcW w:w="442" w:type="pct"/>
            <w:gridSpan w:val="2"/>
            <w:textDirection w:val="btLr"/>
          </w:tcPr>
          <w:p w:rsidR="00B11BE4" w:rsidRPr="00FE4491" w:rsidRDefault="00B11BE4" w:rsidP="00625052">
            <w:pPr>
              <w:pStyle w:val="TableTextColumnHeading"/>
            </w:pPr>
            <w:r w:rsidRPr="00FE4491">
              <w:t>Effectiveness</w:t>
            </w:r>
          </w:p>
        </w:tc>
        <w:tc>
          <w:tcPr>
            <w:tcW w:w="245" w:type="pct"/>
            <w:textDirection w:val="btLr"/>
          </w:tcPr>
          <w:p w:rsidR="00B11BE4" w:rsidRPr="00FE4491" w:rsidRDefault="00B11BE4" w:rsidP="00625052">
            <w:pPr>
              <w:pStyle w:val="TableTextColumnHeading"/>
            </w:pPr>
            <w:r w:rsidRPr="00FE4491">
              <w:t>Efficiency</w:t>
            </w:r>
          </w:p>
        </w:tc>
        <w:tc>
          <w:tcPr>
            <w:tcW w:w="409" w:type="pct"/>
            <w:gridSpan w:val="3"/>
            <w:textDirection w:val="btLr"/>
          </w:tcPr>
          <w:p w:rsidR="00B11BE4" w:rsidRPr="00FE4491" w:rsidRDefault="00B11BE4" w:rsidP="00625052">
            <w:pPr>
              <w:pStyle w:val="TableTextColumnHeading"/>
            </w:pPr>
            <w:r w:rsidRPr="00FE4491">
              <w:t>Monitoring and Evaluation</w:t>
            </w:r>
          </w:p>
        </w:tc>
        <w:tc>
          <w:tcPr>
            <w:tcW w:w="274" w:type="pct"/>
            <w:textDirection w:val="btLr"/>
          </w:tcPr>
          <w:p w:rsidR="00B11BE4" w:rsidRPr="00FE4491" w:rsidRDefault="00B11BE4" w:rsidP="00625052">
            <w:pPr>
              <w:pStyle w:val="TableTextColumnHeading"/>
            </w:pPr>
            <w:r w:rsidRPr="00FE4491">
              <w:t>Sustainability</w:t>
            </w:r>
          </w:p>
        </w:tc>
        <w:tc>
          <w:tcPr>
            <w:tcW w:w="288" w:type="pct"/>
            <w:textDirection w:val="btLr"/>
          </w:tcPr>
          <w:p w:rsidR="00B11BE4" w:rsidRPr="00FE4491" w:rsidRDefault="00B11BE4" w:rsidP="00625052">
            <w:pPr>
              <w:pStyle w:val="TableTextColumnHeading"/>
            </w:pPr>
            <w:r w:rsidRPr="00FE4491">
              <w:t>Gender equality</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613" w:type="pct"/>
            <w:gridSpan w:val="2"/>
            <w:tcBorders>
              <w:top w:val="single" w:sz="4" w:space="0" w:color="000000" w:themeColor="text1"/>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Climate Innovation Centre</w:t>
            </w:r>
          </w:p>
        </w:tc>
        <w:tc>
          <w:tcPr>
            <w:tcW w:w="661" w:type="pct"/>
            <w:gridSpan w:val="2"/>
            <w:tcBorders>
              <w:top w:val="single" w:sz="4" w:space="0" w:color="000000" w:themeColor="text1"/>
            </w:tcBorders>
            <w:vAlign w:val="bottom"/>
          </w:tcPr>
          <w:p w:rsidR="00B11BE4" w:rsidRPr="00CE27D1" w:rsidRDefault="00B11BE4" w:rsidP="00047841">
            <w:pPr>
              <w:spacing w:line="280" w:lineRule="atLeast"/>
              <w:rPr>
                <w:rFonts w:ascii="Arial" w:hAnsi="Arial" w:cs="Arial"/>
                <w:b/>
                <w:sz w:val="16"/>
                <w:szCs w:val="16"/>
              </w:rPr>
            </w:pPr>
            <w:r w:rsidRPr="006E389E">
              <w:rPr>
                <w:rFonts w:ascii="Arial" w:hAnsi="Arial" w:cs="Arial"/>
                <w:sz w:val="16"/>
                <w:szCs w:val="16"/>
              </w:rPr>
              <w:t xml:space="preserve">   </w:t>
            </w:r>
            <w:r w:rsidRPr="00CE27D1">
              <w:rPr>
                <w:rFonts w:ascii="Arial" w:hAnsi="Arial" w:cs="Arial"/>
                <w:b/>
                <w:sz w:val="16"/>
                <w:szCs w:val="16"/>
              </w:rPr>
              <w:t xml:space="preserve">14,998,000 </w:t>
            </w:r>
          </w:p>
        </w:tc>
        <w:tc>
          <w:tcPr>
            <w:tcW w:w="218" w:type="pct"/>
            <w:tcBorders>
              <w:top w:val="single" w:sz="4" w:space="0" w:color="000000" w:themeColor="text1"/>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tcBorders>
              <w:top w:val="single" w:sz="4" w:space="0" w:color="000000" w:themeColor="text1"/>
            </w:tcBorders>
            <w:shd w:val="clear" w:color="auto" w:fill="00B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6</w:t>
            </w:r>
          </w:p>
        </w:tc>
        <w:tc>
          <w:tcPr>
            <w:tcW w:w="534" w:type="pct"/>
            <w:gridSpan w:val="2"/>
            <w:tcBorders>
              <w:top w:val="single" w:sz="4" w:space="0" w:color="000000" w:themeColor="text1"/>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tcBorders>
              <w:top w:val="single" w:sz="4" w:space="0" w:color="000000" w:themeColor="text1"/>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71" w:type="pct"/>
            <w:gridSpan w:val="2"/>
            <w:tcBorders>
              <w:top w:val="single" w:sz="4" w:space="0" w:color="000000" w:themeColor="text1"/>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2" w:type="pct"/>
            <w:gridSpan w:val="2"/>
            <w:tcBorders>
              <w:top w:val="single" w:sz="4" w:space="0" w:color="000000" w:themeColor="text1"/>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tcBorders>
              <w:top w:val="single" w:sz="4" w:space="0" w:color="000000" w:themeColor="text1"/>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613" w:type="pct"/>
            <w:gridSpan w:val="2"/>
            <w:tcBorders>
              <w:bottom w:val="single" w:sz="18"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661" w:type="pct"/>
            <w:gridSpan w:val="2"/>
            <w:tcBorders>
              <w:bottom w:val="single" w:sz="18" w:space="0" w:color="auto"/>
            </w:tcBorders>
            <w:vAlign w:val="bottom"/>
          </w:tcPr>
          <w:p w:rsidR="00B11BE4" w:rsidRPr="006E389E" w:rsidRDefault="00B11BE4" w:rsidP="00047841">
            <w:pPr>
              <w:spacing w:line="280" w:lineRule="atLeast"/>
              <w:rPr>
                <w:rFonts w:ascii="Arial" w:hAnsi="Arial" w:cs="Arial"/>
                <w:sz w:val="16"/>
                <w:szCs w:val="16"/>
              </w:rPr>
            </w:pPr>
            <w:r>
              <w:rPr>
                <w:rFonts w:ascii="Arial" w:hAnsi="Arial" w:cs="Arial"/>
                <w:sz w:val="16"/>
                <w:szCs w:val="16"/>
              </w:rPr>
              <w:t>2013 - 2017</w:t>
            </w:r>
          </w:p>
        </w:tc>
        <w:tc>
          <w:tcPr>
            <w:tcW w:w="218" w:type="pct"/>
            <w:tcBorders>
              <w:bottom w:val="single" w:sz="18"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18" w:space="0" w:color="auto"/>
            </w:tcBorders>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 </w:t>
            </w:r>
          </w:p>
        </w:tc>
        <w:tc>
          <w:tcPr>
            <w:tcW w:w="534" w:type="pct"/>
            <w:gridSpan w:val="2"/>
            <w:tcBorders>
              <w:bottom w:val="single" w:sz="18" w:space="0" w:color="auto"/>
            </w:tcBorders>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 </w:t>
            </w:r>
          </w:p>
        </w:tc>
        <w:tc>
          <w:tcPr>
            <w:tcW w:w="419" w:type="pct"/>
            <w:gridSpan w:val="2"/>
            <w:tcBorders>
              <w:bottom w:val="single" w:sz="18" w:space="0" w:color="auto"/>
            </w:tcBorders>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 </w:t>
            </w:r>
          </w:p>
        </w:tc>
        <w:tc>
          <w:tcPr>
            <w:tcW w:w="271" w:type="pct"/>
            <w:gridSpan w:val="2"/>
            <w:tcBorders>
              <w:bottom w:val="single" w:sz="18" w:space="0" w:color="auto"/>
            </w:tcBorders>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 </w:t>
            </w:r>
          </w:p>
        </w:tc>
        <w:tc>
          <w:tcPr>
            <w:tcW w:w="412" w:type="pct"/>
            <w:gridSpan w:val="2"/>
            <w:tcBorders>
              <w:bottom w:val="single" w:sz="18" w:space="0" w:color="auto"/>
            </w:tcBorders>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 </w:t>
            </w:r>
          </w:p>
        </w:tc>
        <w:tc>
          <w:tcPr>
            <w:tcW w:w="288" w:type="pct"/>
            <w:tcBorders>
              <w:bottom w:val="single" w:sz="18" w:space="0" w:color="auto"/>
            </w:tcBorders>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 </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613" w:type="pct"/>
            <w:gridSpan w:val="2"/>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Vietnam Delivering Better Health</w:t>
            </w:r>
          </w:p>
        </w:tc>
        <w:tc>
          <w:tcPr>
            <w:tcW w:w="661" w:type="pct"/>
            <w:gridSpan w:val="2"/>
            <w:vAlign w:val="bottom"/>
          </w:tcPr>
          <w:p w:rsidR="00B11BE4" w:rsidRPr="00A4476C" w:rsidRDefault="00B11BE4" w:rsidP="00047841">
            <w:pPr>
              <w:spacing w:line="280" w:lineRule="atLeast"/>
              <w:rPr>
                <w:rFonts w:ascii="Arial" w:hAnsi="Arial" w:cs="Arial"/>
                <w:b/>
                <w:sz w:val="16"/>
                <w:szCs w:val="16"/>
              </w:rPr>
            </w:pPr>
            <w:r w:rsidRPr="00A4476C">
              <w:rPr>
                <w:rFonts w:ascii="Arial" w:hAnsi="Arial" w:cs="Arial"/>
                <w:b/>
                <w:sz w:val="16"/>
                <w:szCs w:val="16"/>
              </w:rPr>
              <w:t xml:space="preserve">   14,897,501 </w:t>
            </w:r>
          </w:p>
        </w:tc>
        <w:tc>
          <w:tcPr>
            <w:tcW w:w="218" w:type="pct"/>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534"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9"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71"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2"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88" w:type="pct"/>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613" w:type="pct"/>
            <w:gridSpan w:val="2"/>
            <w:tcBorders>
              <w:bottom w:val="single" w:sz="2" w:space="0" w:color="auto"/>
            </w:tcBorders>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w:t>
            </w:r>
          </w:p>
        </w:tc>
        <w:tc>
          <w:tcPr>
            <w:tcW w:w="661" w:type="pct"/>
            <w:gridSpan w:val="2"/>
            <w:tcBorders>
              <w:bottom w:val="single" w:sz="2" w:space="0" w:color="auto"/>
            </w:tcBorders>
            <w:vAlign w:val="bottom"/>
          </w:tcPr>
          <w:p w:rsidR="00B11BE4" w:rsidRPr="006E389E" w:rsidRDefault="00B11BE4" w:rsidP="00047841">
            <w:pPr>
              <w:spacing w:line="280" w:lineRule="atLeast"/>
              <w:rPr>
                <w:rFonts w:ascii="Arial" w:hAnsi="Arial" w:cs="Arial"/>
                <w:sz w:val="16"/>
                <w:szCs w:val="16"/>
              </w:rPr>
            </w:pPr>
            <w:r>
              <w:rPr>
                <w:rFonts w:ascii="Arial" w:hAnsi="Arial" w:cs="Arial"/>
                <w:sz w:val="16"/>
                <w:szCs w:val="16"/>
              </w:rPr>
              <w:t>2007 - 2015</w:t>
            </w:r>
          </w:p>
        </w:tc>
        <w:tc>
          <w:tcPr>
            <w:tcW w:w="218" w:type="pct"/>
            <w:tcBorders>
              <w:bottom w:val="single" w:sz="2"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2"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534" w:type="pct"/>
            <w:gridSpan w:val="2"/>
            <w:tcBorders>
              <w:bottom w:val="single" w:sz="2"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9" w:type="pct"/>
            <w:gridSpan w:val="2"/>
            <w:tcBorders>
              <w:bottom w:val="single" w:sz="2"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71" w:type="pct"/>
            <w:gridSpan w:val="2"/>
            <w:tcBorders>
              <w:bottom w:val="single" w:sz="2"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412" w:type="pct"/>
            <w:gridSpan w:val="2"/>
            <w:tcBorders>
              <w:bottom w:val="single" w:sz="2"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tcBorders>
              <w:bottom w:val="single" w:sz="2"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613" w:type="pct"/>
            <w:gridSpan w:val="2"/>
            <w:vAlign w:val="center"/>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 xml:space="preserve">Vietnam Clinton Health Access </w:t>
            </w:r>
            <w:r w:rsidR="00FE1348">
              <w:rPr>
                <w:rFonts w:ascii="Arial" w:hAnsi="Arial" w:cs="Arial"/>
                <w:color w:val="25396E"/>
                <w:sz w:val="18"/>
                <w:szCs w:val="18"/>
              </w:rPr>
              <w:t>Investment</w:t>
            </w:r>
            <w:r w:rsidRPr="009E2EE8">
              <w:rPr>
                <w:rFonts w:ascii="Arial" w:hAnsi="Arial" w:cs="Arial"/>
                <w:color w:val="25396E"/>
                <w:sz w:val="18"/>
                <w:szCs w:val="18"/>
              </w:rPr>
              <w:t xml:space="preserve"> Phase III</w:t>
            </w:r>
          </w:p>
        </w:tc>
        <w:tc>
          <w:tcPr>
            <w:tcW w:w="661" w:type="pct"/>
            <w:gridSpan w:val="2"/>
            <w:vAlign w:val="bottom"/>
          </w:tcPr>
          <w:p w:rsidR="00B11BE4" w:rsidRPr="00A4476C" w:rsidRDefault="00B11BE4" w:rsidP="00047841">
            <w:pPr>
              <w:spacing w:line="280" w:lineRule="atLeast"/>
              <w:rPr>
                <w:rFonts w:ascii="Arial" w:hAnsi="Arial" w:cs="Arial"/>
                <w:b/>
                <w:sz w:val="16"/>
                <w:szCs w:val="16"/>
              </w:rPr>
            </w:pPr>
            <w:r w:rsidRPr="006E389E">
              <w:rPr>
                <w:rFonts w:ascii="Arial" w:hAnsi="Arial" w:cs="Arial"/>
                <w:sz w:val="16"/>
                <w:szCs w:val="16"/>
              </w:rPr>
              <w:t xml:space="preserve">     </w:t>
            </w:r>
            <w:r w:rsidRPr="00A4476C">
              <w:rPr>
                <w:rFonts w:ascii="Arial" w:hAnsi="Arial" w:cs="Arial"/>
                <w:b/>
                <w:sz w:val="16"/>
                <w:szCs w:val="16"/>
              </w:rPr>
              <w:t xml:space="preserve">4,650,000 </w:t>
            </w:r>
          </w:p>
        </w:tc>
        <w:tc>
          <w:tcPr>
            <w:tcW w:w="218" w:type="pct"/>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2013</w:t>
            </w:r>
          </w:p>
        </w:tc>
        <w:tc>
          <w:tcPr>
            <w:tcW w:w="486"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534"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71" w:type="pct"/>
            <w:gridSpan w:val="2"/>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2" w:type="pct"/>
            <w:gridSpan w:val="2"/>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r>
      <w:tr w:rsidR="00B11BE4" w:rsidRPr="009D53C4" w:rsidTr="0001245D">
        <w:trPr>
          <w:cnfStyle w:val="000000010000" w:firstRow="0" w:lastRow="0" w:firstColumn="0" w:lastColumn="0" w:oddVBand="0" w:evenVBand="0" w:oddHBand="0" w:evenHBand="1" w:firstRowFirstColumn="0" w:firstRowLastColumn="0" w:lastRowFirstColumn="0" w:lastRowLastColumn="0"/>
          <w:trHeight w:val="284"/>
        </w:trPr>
        <w:tc>
          <w:tcPr>
            <w:tcW w:w="1613" w:type="pct"/>
            <w:gridSpan w:val="2"/>
            <w:tcBorders>
              <w:bottom w:val="single" w:sz="2" w:space="0" w:color="auto"/>
            </w:tcBorders>
            <w:vAlign w:val="center"/>
          </w:tcPr>
          <w:p w:rsidR="00B11BE4" w:rsidRPr="009E2EE8" w:rsidRDefault="00B11BE4" w:rsidP="006F226B">
            <w:pPr>
              <w:spacing w:line="280" w:lineRule="atLeast"/>
              <w:rPr>
                <w:rFonts w:ascii="Arial" w:hAnsi="Arial" w:cs="Arial"/>
                <w:color w:val="25396E"/>
                <w:sz w:val="18"/>
                <w:szCs w:val="18"/>
              </w:rPr>
            </w:pPr>
          </w:p>
        </w:tc>
        <w:tc>
          <w:tcPr>
            <w:tcW w:w="661" w:type="pct"/>
            <w:gridSpan w:val="2"/>
            <w:tcBorders>
              <w:bottom w:val="single" w:sz="2" w:space="0" w:color="auto"/>
            </w:tcBorders>
            <w:vAlign w:val="bottom"/>
          </w:tcPr>
          <w:p w:rsidR="00B11BE4" w:rsidRPr="006E389E" w:rsidRDefault="00B11BE4" w:rsidP="00047841">
            <w:pPr>
              <w:spacing w:line="280" w:lineRule="atLeast"/>
              <w:rPr>
                <w:rFonts w:ascii="Arial" w:hAnsi="Arial" w:cs="Arial"/>
                <w:sz w:val="16"/>
                <w:szCs w:val="16"/>
              </w:rPr>
            </w:pPr>
            <w:r>
              <w:rPr>
                <w:rFonts w:ascii="Arial" w:hAnsi="Arial" w:cs="Arial"/>
                <w:sz w:val="16"/>
                <w:szCs w:val="16"/>
              </w:rPr>
              <w:t>2012 -2015</w:t>
            </w:r>
          </w:p>
        </w:tc>
        <w:tc>
          <w:tcPr>
            <w:tcW w:w="218" w:type="pct"/>
            <w:tcBorders>
              <w:bottom w:val="single" w:sz="2" w:space="0" w:color="auto"/>
            </w:tcBorders>
            <w:vAlign w:val="center"/>
          </w:tcPr>
          <w:p w:rsidR="00B11BE4" w:rsidRDefault="00B11BE4" w:rsidP="006F226B">
            <w:pPr>
              <w:spacing w:line="280" w:lineRule="atLeast"/>
              <w:rPr>
                <w:rFonts w:ascii="Arial" w:hAnsi="Arial" w:cs="Arial"/>
                <w:color w:val="25396E"/>
                <w:sz w:val="16"/>
                <w:szCs w:val="16"/>
              </w:rPr>
            </w:pPr>
            <w:r>
              <w:rPr>
                <w:rFonts w:ascii="Arial" w:hAnsi="Arial" w:cs="Arial"/>
                <w:color w:val="25396E"/>
                <w:sz w:val="16"/>
                <w:szCs w:val="16"/>
              </w:rPr>
              <w:t>2012</w:t>
            </w:r>
          </w:p>
        </w:tc>
        <w:tc>
          <w:tcPr>
            <w:tcW w:w="486" w:type="pct"/>
            <w:gridSpan w:val="2"/>
            <w:tcBorders>
              <w:bottom w:val="single" w:sz="2"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534" w:type="pct"/>
            <w:gridSpan w:val="2"/>
            <w:tcBorders>
              <w:bottom w:val="single" w:sz="2"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9" w:type="pct"/>
            <w:gridSpan w:val="2"/>
            <w:tcBorders>
              <w:bottom w:val="single" w:sz="2"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271" w:type="pct"/>
            <w:gridSpan w:val="2"/>
            <w:tcBorders>
              <w:bottom w:val="single" w:sz="2"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c>
          <w:tcPr>
            <w:tcW w:w="412" w:type="pct"/>
            <w:gridSpan w:val="2"/>
            <w:tcBorders>
              <w:bottom w:val="single" w:sz="2" w:space="0" w:color="auto"/>
            </w:tcBorders>
            <w:shd w:val="clear" w:color="auto" w:fill="FFFF0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4</w:t>
            </w:r>
          </w:p>
        </w:tc>
        <w:tc>
          <w:tcPr>
            <w:tcW w:w="288" w:type="pct"/>
            <w:tcBorders>
              <w:bottom w:val="single" w:sz="2" w:space="0" w:color="auto"/>
            </w:tcBorders>
            <w:shd w:val="clear" w:color="auto" w:fill="92D050"/>
            <w:noWrap/>
            <w:vAlign w:val="center"/>
          </w:tcPr>
          <w:p w:rsidR="00B11BE4" w:rsidRDefault="00B11BE4" w:rsidP="00047841">
            <w:pPr>
              <w:spacing w:line="280" w:lineRule="atLeast"/>
              <w:rPr>
                <w:rFonts w:ascii="Arial" w:hAnsi="Arial" w:cs="Arial"/>
                <w:sz w:val="16"/>
                <w:szCs w:val="16"/>
              </w:rPr>
            </w:pPr>
            <w:r>
              <w:rPr>
                <w:rFonts w:ascii="Arial" w:hAnsi="Arial" w:cs="Arial"/>
                <w:sz w:val="16"/>
                <w:szCs w:val="16"/>
              </w:rPr>
              <w:t>5</w:t>
            </w:r>
          </w:p>
        </w:tc>
      </w:tr>
      <w:tr w:rsidR="00B11BE4" w:rsidRPr="00A4476C" w:rsidTr="0001245D">
        <w:trPr>
          <w:cnfStyle w:val="000000010000" w:firstRow="0" w:lastRow="0" w:firstColumn="0" w:lastColumn="0" w:oddVBand="0" w:evenVBand="0" w:oddHBand="0" w:evenHBand="1" w:firstRowFirstColumn="0" w:firstRowLastColumn="0" w:lastRowFirstColumn="0" w:lastRowLastColumn="0"/>
          <w:trHeight w:val="284"/>
        </w:trPr>
        <w:tc>
          <w:tcPr>
            <w:tcW w:w="1613" w:type="pct"/>
            <w:gridSpan w:val="2"/>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Vietnam Anti-corruption Program 2011-2014</w:t>
            </w:r>
          </w:p>
        </w:tc>
        <w:tc>
          <w:tcPr>
            <w:tcW w:w="661" w:type="pct"/>
            <w:gridSpan w:val="2"/>
          </w:tcPr>
          <w:p w:rsidR="00B11BE4" w:rsidRPr="00A4476C" w:rsidRDefault="00B11BE4" w:rsidP="00047841">
            <w:pPr>
              <w:spacing w:line="280" w:lineRule="atLeast"/>
              <w:rPr>
                <w:rFonts w:ascii="Arial" w:hAnsi="Arial" w:cs="Arial"/>
                <w:b/>
                <w:color w:val="25396E"/>
                <w:sz w:val="16"/>
                <w:szCs w:val="16"/>
              </w:rPr>
            </w:pPr>
            <w:r w:rsidRPr="00A4476C">
              <w:rPr>
                <w:rFonts w:ascii="Arial" w:hAnsi="Arial" w:cs="Arial"/>
                <w:b/>
                <w:color w:val="25396E"/>
                <w:sz w:val="16"/>
                <w:szCs w:val="16"/>
              </w:rPr>
              <w:t xml:space="preserve"> 5,500,000 </w:t>
            </w:r>
          </w:p>
        </w:tc>
        <w:tc>
          <w:tcPr>
            <w:tcW w:w="218" w:type="pct"/>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2013</w:t>
            </w:r>
          </w:p>
        </w:tc>
        <w:tc>
          <w:tcPr>
            <w:tcW w:w="486" w:type="pct"/>
            <w:gridSpan w:val="2"/>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5</w:t>
            </w:r>
          </w:p>
        </w:tc>
        <w:tc>
          <w:tcPr>
            <w:tcW w:w="534" w:type="pct"/>
            <w:gridSpan w:val="2"/>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5</w:t>
            </w:r>
          </w:p>
        </w:tc>
        <w:tc>
          <w:tcPr>
            <w:tcW w:w="419" w:type="pct"/>
            <w:gridSpan w:val="2"/>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5</w:t>
            </w:r>
          </w:p>
        </w:tc>
        <w:tc>
          <w:tcPr>
            <w:tcW w:w="271" w:type="pct"/>
            <w:gridSpan w:val="2"/>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5</w:t>
            </w:r>
          </w:p>
        </w:tc>
        <w:tc>
          <w:tcPr>
            <w:tcW w:w="412" w:type="pct"/>
            <w:gridSpan w:val="2"/>
            <w:shd w:val="clear" w:color="auto" w:fill="FFFF0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c>
          <w:tcPr>
            <w:tcW w:w="288" w:type="pct"/>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6</w:t>
            </w:r>
          </w:p>
        </w:tc>
      </w:tr>
      <w:tr w:rsidR="00B11BE4" w:rsidRPr="00A4476C" w:rsidTr="0001245D">
        <w:trPr>
          <w:cnfStyle w:val="000000010000" w:firstRow="0" w:lastRow="0" w:firstColumn="0" w:lastColumn="0" w:oddVBand="0" w:evenVBand="0" w:oddHBand="0" w:evenHBand="1" w:firstRowFirstColumn="0" w:firstRowLastColumn="0" w:lastRowFirstColumn="0" w:lastRowLastColumn="0"/>
          <w:trHeight w:val="284"/>
        </w:trPr>
        <w:tc>
          <w:tcPr>
            <w:tcW w:w="1613" w:type="pct"/>
            <w:gridSpan w:val="2"/>
            <w:tcBorders>
              <w:bottom w:val="single" w:sz="2" w:space="0" w:color="auto"/>
            </w:tcBorders>
          </w:tcPr>
          <w:p w:rsidR="00B11BE4" w:rsidRPr="009E2EE8" w:rsidRDefault="00B11BE4" w:rsidP="006F226B">
            <w:pPr>
              <w:spacing w:line="280" w:lineRule="atLeast"/>
              <w:rPr>
                <w:rFonts w:ascii="Arial" w:hAnsi="Arial" w:cs="Arial"/>
                <w:color w:val="25396E"/>
                <w:sz w:val="18"/>
                <w:szCs w:val="18"/>
              </w:rPr>
            </w:pPr>
          </w:p>
        </w:tc>
        <w:tc>
          <w:tcPr>
            <w:tcW w:w="661" w:type="pct"/>
            <w:gridSpan w:val="2"/>
            <w:tcBorders>
              <w:bottom w:val="single" w:sz="2" w:space="0" w:color="auto"/>
            </w:tcBorders>
          </w:tcPr>
          <w:p w:rsidR="00B11BE4" w:rsidRPr="00A4476C" w:rsidRDefault="00B11BE4" w:rsidP="00047841">
            <w:pPr>
              <w:spacing w:line="280" w:lineRule="atLeast"/>
              <w:rPr>
                <w:rFonts w:ascii="Arial" w:hAnsi="Arial" w:cs="Arial"/>
                <w:color w:val="25396E"/>
                <w:sz w:val="16"/>
                <w:szCs w:val="16"/>
              </w:rPr>
            </w:pPr>
            <w:r>
              <w:rPr>
                <w:rFonts w:ascii="Arial" w:hAnsi="Arial" w:cs="Arial"/>
                <w:color w:val="25396E"/>
                <w:sz w:val="16"/>
                <w:szCs w:val="16"/>
              </w:rPr>
              <w:t>2011 - 2015</w:t>
            </w:r>
          </w:p>
        </w:tc>
        <w:tc>
          <w:tcPr>
            <w:tcW w:w="218" w:type="pct"/>
            <w:tcBorders>
              <w:bottom w:val="single" w:sz="2" w:space="0" w:color="auto"/>
            </w:tcBorders>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2012</w:t>
            </w:r>
          </w:p>
        </w:tc>
        <w:tc>
          <w:tcPr>
            <w:tcW w:w="486" w:type="pct"/>
            <w:gridSpan w:val="2"/>
            <w:tcBorders>
              <w:bottom w:val="single" w:sz="2" w:space="0" w:color="auto"/>
            </w:tcBorders>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5</w:t>
            </w:r>
          </w:p>
        </w:tc>
        <w:tc>
          <w:tcPr>
            <w:tcW w:w="534" w:type="pct"/>
            <w:gridSpan w:val="2"/>
            <w:tcBorders>
              <w:bottom w:val="single" w:sz="2" w:space="0" w:color="auto"/>
            </w:tcBorders>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5</w:t>
            </w:r>
          </w:p>
        </w:tc>
        <w:tc>
          <w:tcPr>
            <w:tcW w:w="419" w:type="pct"/>
            <w:gridSpan w:val="2"/>
            <w:tcBorders>
              <w:bottom w:val="single" w:sz="2" w:space="0" w:color="auto"/>
            </w:tcBorders>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5</w:t>
            </w:r>
          </w:p>
        </w:tc>
        <w:tc>
          <w:tcPr>
            <w:tcW w:w="271" w:type="pct"/>
            <w:gridSpan w:val="2"/>
            <w:tcBorders>
              <w:bottom w:val="single" w:sz="2" w:space="0" w:color="auto"/>
            </w:tcBorders>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c>
          <w:tcPr>
            <w:tcW w:w="412" w:type="pct"/>
            <w:gridSpan w:val="2"/>
            <w:tcBorders>
              <w:bottom w:val="single" w:sz="2" w:space="0" w:color="auto"/>
            </w:tcBorders>
            <w:shd w:val="clear" w:color="auto" w:fill="FFFF0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c>
          <w:tcPr>
            <w:tcW w:w="288" w:type="pct"/>
            <w:tcBorders>
              <w:bottom w:val="single" w:sz="2" w:space="0" w:color="auto"/>
            </w:tcBorders>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r>
      <w:tr w:rsidR="00B11BE4" w:rsidRPr="00A4476C" w:rsidTr="0001245D">
        <w:trPr>
          <w:cnfStyle w:val="000000010000" w:firstRow="0" w:lastRow="0" w:firstColumn="0" w:lastColumn="0" w:oddVBand="0" w:evenVBand="0" w:oddHBand="0" w:evenHBand="1" w:firstRowFirstColumn="0" w:firstRowLastColumn="0" w:lastRowFirstColumn="0" w:lastRowLastColumn="0"/>
          <w:trHeight w:val="284"/>
        </w:trPr>
        <w:tc>
          <w:tcPr>
            <w:tcW w:w="1613" w:type="pct"/>
            <w:gridSpan w:val="2"/>
          </w:tcPr>
          <w:p w:rsidR="00B11BE4" w:rsidRPr="009E2EE8" w:rsidRDefault="00B11BE4" w:rsidP="006F226B">
            <w:pPr>
              <w:spacing w:line="280" w:lineRule="atLeast"/>
              <w:rPr>
                <w:rFonts w:ascii="Arial" w:hAnsi="Arial" w:cs="Arial"/>
                <w:color w:val="25396E"/>
                <w:sz w:val="18"/>
                <w:szCs w:val="18"/>
              </w:rPr>
            </w:pPr>
            <w:r w:rsidRPr="009E2EE8">
              <w:rPr>
                <w:rFonts w:ascii="Arial" w:hAnsi="Arial" w:cs="Arial"/>
                <w:color w:val="25396E"/>
                <w:sz w:val="18"/>
                <w:szCs w:val="18"/>
              </w:rPr>
              <w:t>AusAID - World Bank Vietnam Partnership Trust Fund</w:t>
            </w:r>
          </w:p>
        </w:tc>
        <w:tc>
          <w:tcPr>
            <w:tcW w:w="661" w:type="pct"/>
            <w:gridSpan w:val="2"/>
          </w:tcPr>
          <w:p w:rsidR="00B11BE4" w:rsidRPr="00A4476C" w:rsidRDefault="00B11BE4" w:rsidP="00047841">
            <w:pPr>
              <w:spacing w:line="280" w:lineRule="atLeast"/>
              <w:rPr>
                <w:rFonts w:ascii="Arial" w:hAnsi="Arial" w:cs="Arial"/>
                <w:b/>
                <w:color w:val="25396E"/>
                <w:sz w:val="16"/>
                <w:szCs w:val="16"/>
              </w:rPr>
            </w:pPr>
            <w:r w:rsidRPr="00A4476C">
              <w:rPr>
                <w:rFonts w:ascii="Arial" w:hAnsi="Arial" w:cs="Arial"/>
                <w:b/>
                <w:color w:val="25396E"/>
                <w:sz w:val="16"/>
                <w:szCs w:val="16"/>
              </w:rPr>
              <w:t xml:space="preserve"> 42,999,998 </w:t>
            </w:r>
          </w:p>
        </w:tc>
        <w:tc>
          <w:tcPr>
            <w:tcW w:w="218" w:type="pct"/>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2013</w:t>
            </w:r>
          </w:p>
        </w:tc>
        <w:tc>
          <w:tcPr>
            <w:tcW w:w="486" w:type="pct"/>
            <w:gridSpan w:val="2"/>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5</w:t>
            </w:r>
          </w:p>
        </w:tc>
        <w:tc>
          <w:tcPr>
            <w:tcW w:w="534" w:type="pct"/>
            <w:gridSpan w:val="2"/>
            <w:shd w:val="clear" w:color="auto" w:fill="FFFF0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c>
          <w:tcPr>
            <w:tcW w:w="419" w:type="pct"/>
            <w:gridSpan w:val="2"/>
            <w:shd w:val="clear" w:color="auto" w:fill="FFFF0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c>
          <w:tcPr>
            <w:tcW w:w="271" w:type="pct"/>
            <w:gridSpan w:val="2"/>
            <w:shd w:val="clear" w:color="auto" w:fill="FFFF0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c>
          <w:tcPr>
            <w:tcW w:w="412" w:type="pct"/>
            <w:gridSpan w:val="2"/>
            <w:shd w:val="clear" w:color="auto" w:fill="FFFF0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c>
          <w:tcPr>
            <w:tcW w:w="288" w:type="pct"/>
            <w:shd w:val="clear" w:color="auto" w:fill="FFC00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3</w:t>
            </w:r>
          </w:p>
        </w:tc>
      </w:tr>
      <w:tr w:rsidR="00B11BE4" w:rsidRPr="00A4476C" w:rsidTr="0001245D">
        <w:trPr>
          <w:cnfStyle w:val="000000010000" w:firstRow="0" w:lastRow="0" w:firstColumn="0" w:lastColumn="0" w:oddVBand="0" w:evenVBand="0" w:oddHBand="0" w:evenHBand="1" w:firstRowFirstColumn="0" w:firstRowLastColumn="0" w:lastRowFirstColumn="0" w:lastRowLastColumn="0"/>
          <w:trHeight w:val="284"/>
        </w:trPr>
        <w:tc>
          <w:tcPr>
            <w:tcW w:w="1613" w:type="pct"/>
            <w:gridSpan w:val="2"/>
            <w:tcBorders>
              <w:bottom w:val="single" w:sz="18" w:space="0" w:color="000000" w:themeColor="text1"/>
            </w:tcBorders>
          </w:tcPr>
          <w:p w:rsidR="00B11BE4" w:rsidRPr="009E2EE8" w:rsidRDefault="00B11BE4" w:rsidP="006F226B">
            <w:pPr>
              <w:spacing w:line="280" w:lineRule="atLeast"/>
              <w:rPr>
                <w:rFonts w:ascii="Arial" w:hAnsi="Arial" w:cs="Arial"/>
                <w:color w:val="25396E"/>
                <w:sz w:val="18"/>
                <w:szCs w:val="18"/>
              </w:rPr>
            </w:pPr>
          </w:p>
        </w:tc>
        <w:tc>
          <w:tcPr>
            <w:tcW w:w="661" w:type="pct"/>
            <w:gridSpan w:val="2"/>
            <w:tcBorders>
              <w:bottom w:val="single" w:sz="18" w:space="0" w:color="000000" w:themeColor="text1"/>
            </w:tcBorders>
          </w:tcPr>
          <w:p w:rsidR="00B11BE4" w:rsidRPr="00A4476C" w:rsidRDefault="00B11BE4" w:rsidP="00047841">
            <w:pPr>
              <w:spacing w:line="280" w:lineRule="atLeast"/>
              <w:rPr>
                <w:rFonts w:ascii="Arial" w:hAnsi="Arial" w:cs="Arial"/>
                <w:color w:val="25396E"/>
                <w:sz w:val="16"/>
                <w:szCs w:val="16"/>
              </w:rPr>
            </w:pPr>
            <w:r>
              <w:rPr>
                <w:rFonts w:ascii="Arial" w:hAnsi="Arial" w:cs="Arial"/>
                <w:color w:val="25396E"/>
                <w:sz w:val="16"/>
                <w:szCs w:val="16"/>
              </w:rPr>
              <w:t>2012 - 2016</w:t>
            </w:r>
          </w:p>
        </w:tc>
        <w:tc>
          <w:tcPr>
            <w:tcW w:w="218" w:type="pct"/>
            <w:tcBorders>
              <w:bottom w:val="single" w:sz="18" w:space="0" w:color="000000" w:themeColor="text1"/>
            </w:tcBorders>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2012</w:t>
            </w:r>
          </w:p>
        </w:tc>
        <w:tc>
          <w:tcPr>
            <w:tcW w:w="486" w:type="pct"/>
            <w:gridSpan w:val="2"/>
            <w:tcBorders>
              <w:bottom w:val="single" w:sz="18" w:space="0" w:color="000000" w:themeColor="text1"/>
            </w:tcBorders>
            <w:shd w:val="clear" w:color="auto" w:fill="00B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6</w:t>
            </w:r>
          </w:p>
        </w:tc>
        <w:tc>
          <w:tcPr>
            <w:tcW w:w="534" w:type="pct"/>
            <w:gridSpan w:val="2"/>
            <w:tcBorders>
              <w:bottom w:val="single" w:sz="18" w:space="0" w:color="000000" w:themeColor="text1"/>
            </w:tcBorders>
            <w:shd w:val="clear" w:color="auto" w:fill="FFFF0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c>
          <w:tcPr>
            <w:tcW w:w="419" w:type="pct"/>
            <w:gridSpan w:val="2"/>
            <w:tcBorders>
              <w:bottom w:val="single" w:sz="18" w:space="0" w:color="000000" w:themeColor="text1"/>
            </w:tcBorders>
            <w:shd w:val="clear" w:color="auto" w:fill="FFFF0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c>
          <w:tcPr>
            <w:tcW w:w="271" w:type="pct"/>
            <w:gridSpan w:val="2"/>
            <w:tcBorders>
              <w:bottom w:val="single" w:sz="18" w:space="0" w:color="000000" w:themeColor="text1"/>
            </w:tcBorders>
            <w:shd w:val="clear" w:color="auto" w:fill="FFFF0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c>
          <w:tcPr>
            <w:tcW w:w="412" w:type="pct"/>
            <w:gridSpan w:val="2"/>
            <w:tcBorders>
              <w:bottom w:val="single" w:sz="18" w:space="0" w:color="000000" w:themeColor="text1"/>
            </w:tcBorders>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5</w:t>
            </w:r>
          </w:p>
        </w:tc>
        <w:tc>
          <w:tcPr>
            <w:tcW w:w="288" w:type="pct"/>
            <w:tcBorders>
              <w:bottom w:val="single" w:sz="18" w:space="0" w:color="000000" w:themeColor="text1"/>
            </w:tcBorders>
            <w:shd w:val="clear" w:color="auto" w:fill="92D050"/>
            <w:noWrap/>
          </w:tcPr>
          <w:p w:rsidR="00B11BE4" w:rsidRPr="00A4476C" w:rsidRDefault="00B11BE4" w:rsidP="006F226B">
            <w:pPr>
              <w:spacing w:line="280" w:lineRule="atLeast"/>
              <w:rPr>
                <w:rFonts w:ascii="Arial" w:hAnsi="Arial" w:cs="Arial"/>
                <w:color w:val="25396E"/>
                <w:sz w:val="16"/>
                <w:szCs w:val="16"/>
              </w:rPr>
            </w:pPr>
            <w:r w:rsidRPr="00A4476C">
              <w:rPr>
                <w:rFonts w:ascii="Arial" w:hAnsi="Arial" w:cs="Arial"/>
                <w:color w:val="25396E"/>
                <w:sz w:val="16"/>
                <w:szCs w:val="16"/>
              </w:rPr>
              <w:t>4</w:t>
            </w:r>
          </w:p>
        </w:tc>
      </w:tr>
    </w:tbl>
    <w:p w:rsidR="00B11BE4" w:rsidRPr="009E2EE8" w:rsidRDefault="00B11BE4" w:rsidP="00F832B6">
      <w:pPr>
        <w:pStyle w:val="Note"/>
      </w:pPr>
      <w:r w:rsidRPr="009E2EE8">
        <w:t>Definitions of rating scale:</w:t>
      </w:r>
      <w:r w:rsidRPr="009E2EE8">
        <w:tab/>
      </w:r>
    </w:p>
    <w:p w:rsidR="00B11BE4" w:rsidRPr="009E2EE8" w:rsidRDefault="00B11BE4" w:rsidP="00F832B6">
      <w:pPr>
        <w:pStyle w:val="Note"/>
      </w:pPr>
      <w:r w:rsidRPr="009E2EE8">
        <w:t>Satisfactory (4, 5 and 6)</w:t>
      </w:r>
    </w:p>
    <w:p w:rsidR="00B11BE4" w:rsidRPr="009E2EE8" w:rsidRDefault="00B11BE4" w:rsidP="00F832B6">
      <w:pPr>
        <w:pStyle w:val="Note"/>
      </w:pPr>
      <w:r w:rsidRPr="009E2EE8">
        <w:rPr>
          <w:color w:val="72AF2F"/>
        </w:rPr>
        <w:sym w:font="Webdings" w:char="F067"/>
      </w:r>
      <w:r w:rsidRPr="009E2EE8">
        <w:t xml:space="preserve"> = 6 = Very high quality</w:t>
      </w:r>
    </w:p>
    <w:p w:rsidR="00B11BE4" w:rsidRPr="009E2EE8" w:rsidRDefault="00B11BE4" w:rsidP="00F832B6">
      <w:pPr>
        <w:pStyle w:val="Note"/>
      </w:pPr>
      <w:r w:rsidRPr="009E2EE8">
        <w:rPr>
          <w:color w:val="72AF2F"/>
        </w:rPr>
        <w:sym w:font="Webdings" w:char="F067"/>
      </w:r>
      <w:r w:rsidRPr="009E2EE8">
        <w:t xml:space="preserve"> = 5 = Good quality</w:t>
      </w:r>
    </w:p>
    <w:p w:rsidR="00B11BE4" w:rsidRPr="009E2EE8" w:rsidRDefault="00B11BE4" w:rsidP="00F832B6">
      <w:pPr>
        <w:pStyle w:val="Note"/>
      </w:pPr>
      <w:r w:rsidRPr="009E2EE8">
        <w:rPr>
          <w:color w:val="FFFF00"/>
        </w:rPr>
        <w:sym w:font="Webdings" w:char="F067"/>
      </w:r>
      <w:r w:rsidRPr="009E2EE8">
        <w:t xml:space="preserve"> = 4 = Adequate quality, needs some work</w:t>
      </w:r>
    </w:p>
    <w:p w:rsidR="00B11BE4" w:rsidRPr="009E2EE8" w:rsidRDefault="00B11BE4" w:rsidP="00F832B6">
      <w:pPr>
        <w:pStyle w:val="Note"/>
      </w:pPr>
      <w:r w:rsidRPr="009E2EE8">
        <w:t>Less than satisfactory (1, 2 and 3)</w:t>
      </w:r>
    </w:p>
    <w:p w:rsidR="00B11BE4" w:rsidRPr="009E2EE8" w:rsidRDefault="00B11BE4" w:rsidP="00F832B6">
      <w:pPr>
        <w:pStyle w:val="Note"/>
      </w:pPr>
      <w:r w:rsidRPr="009E2EE8">
        <w:rPr>
          <w:color w:val="E36C0A"/>
        </w:rPr>
        <w:sym w:font="Webdings" w:char="F067"/>
      </w:r>
      <w:r w:rsidRPr="009E2EE8">
        <w:rPr>
          <w:color w:val="E36C0A"/>
        </w:rPr>
        <w:t xml:space="preserve"> </w:t>
      </w:r>
      <w:r w:rsidRPr="009E2EE8">
        <w:t>= 3 = Less than adequate quality; needs significant work</w:t>
      </w:r>
    </w:p>
    <w:p w:rsidR="00B11BE4" w:rsidRPr="009E2EE8" w:rsidRDefault="00B11BE4" w:rsidP="00F832B6">
      <w:pPr>
        <w:pStyle w:val="Note"/>
      </w:pPr>
      <w:r w:rsidRPr="009E2EE8">
        <w:rPr>
          <w:color w:val="FF0000"/>
        </w:rPr>
        <w:sym w:font="Webdings" w:char="F067"/>
      </w:r>
      <w:r w:rsidRPr="009E2EE8">
        <w:t xml:space="preserve"> = 2 = Poor quality; needs major work to improve</w:t>
      </w:r>
    </w:p>
    <w:p w:rsidR="00B11BE4" w:rsidRDefault="00B11BE4" w:rsidP="00F832B6">
      <w:pPr>
        <w:pStyle w:val="Note"/>
      </w:pPr>
      <w:r w:rsidRPr="009E2EE8">
        <w:rPr>
          <w:color w:val="FF0000"/>
        </w:rPr>
        <w:sym w:font="Webdings" w:char="F067"/>
      </w:r>
      <w:r w:rsidRPr="009E2EE8">
        <w:t xml:space="preserve"> = 1 = Very poor quality; needs major</w:t>
      </w:r>
      <w:r>
        <w:t xml:space="preserve"> overhaul</w:t>
      </w:r>
    </w:p>
    <w:p w:rsidR="00B11BE4" w:rsidRDefault="00B11BE4" w:rsidP="00F832B6">
      <w:pPr>
        <w:pStyle w:val="Note"/>
      </w:pPr>
    </w:p>
    <w:p w:rsidR="00B11BE4" w:rsidRDefault="00B11BE4" w:rsidP="006F226B">
      <w:pPr>
        <w:spacing w:line="280" w:lineRule="atLeast"/>
        <w:rPr>
          <w:rFonts w:ascii="Franklin Gothic Demi" w:hAnsi="Franklin Gothic Demi" w:cs="Arial"/>
          <w:color w:val="AD495D"/>
          <w:kern w:val="28"/>
          <w:sz w:val="28"/>
          <w:szCs w:val="28"/>
        </w:rPr>
      </w:pPr>
      <w:r>
        <w:br w:type="page"/>
      </w:r>
    </w:p>
    <w:p w:rsidR="00B11BE4" w:rsidRDefault="00B11BE4" w:rsidP="00837906">
      <w:pPr>
        <w:pStyle w:val="Heading2"/>
        <w:spacing w:before="0" w:line="280" w:lineRule="atLeast"/>
        <w:rPr>
          <w:sz w:val="28"/>
        </w:rPr>
      </w:pPr>
      <w:r w:rsidRPr="009E38C1">
        <w:rPr>
          <w:sz w:val="28"/>
        </w:rPr>
        <w:lastRenderedPageBreak/>
        <w:t>Annex C</w:t>
      </w:r>
      <w:r>
        <w:rPr>
          <w:sz w:val="28"/>
        </w:rPr>
        <w:t xml:space="preserve"> - </w:t>
      </w:r>
      <w:r w:rsidRPr="009E38C1">
        <w:rPr>
          <w:sz w:val="28"/>
        </w:rPr>
        <w:t>Evaluation and Review Pipeline Planning</w:t>
      </w:r>
    </w:p>
    <w:p w:rsidR="00B11BE4" w:rsidRPr="00071B95" w:rsidRDefault="00B11BE4" w:rsidP="006F226B">
      <w:pPr>
        <w:pStyle w:val="Caption"/>
      </w:pPr>
      <w:r w:rsidRPr="00071B95">
        <w:t xml:space="preserve">List of </w:t>
      </w:r>
      <w:r>
        <w:t>e</w:t>
      </w:r>
      <w:r w:rsidRPr="00071B95">
        <w:t>valuations completed</w:t>
      </w:r>
      <w:r>
        <w:t xml:space="preserve"> </w:t>
      </w:r>
      <w:r w:rsidRPr="00071B95">
        <w:t xml:space="preserve">in </w:t>
      </w:r>
      <w:r w:rsidR="0075677D">
        <w:t>2013-14</w:t>
      </w:r>
      <w:r w:rsidRPr="00071B95">
        <w:t xml:space="preserve"> </w:t>
      </w:r>
    </w:p>
    <w:tbl>
      <w:tblPr>
        <w:tblStyle w:val="APPR"/>
        <w:tblW w:w="0" w:type="auto"/>
        <w:tblLook w:val="04A0" w:firstRow="1" w:lastRow="0" w:firstColumn="1" w:lastColumn="0" w:noHBand="0" w:noVBand="1"/>
      </w:tblPr>
      <w:tblGrid>
        <w:gridCol w:w="2830"/>
        <w:gridCol w:w="1275"/>
        <w:gridCol w:w="2410"/>
        <w:gridCol w:w="1418"/>
        <w:gridCol w:w="2268"/>
        <w:gridCol w:w="2409"/>
        <w:gridCol w:w="1262"/>
      </w:tblGrid>
      <w:tr w:rsidR="00D9237B" w:rsidRPr="00071B95" w:rsidTr="00837906">
        <w:trPr>
          <w:cnfStyle w:val="100000000000" w:firstRow="1" w:lastRow="0" w:firstColumn="0" w:lastColumn="0" w:oddVBand="0" w:evenVBand="0" w:oddHBand="0" w:evenHBand="0" w:firstRowFirstColumn="0" w:firstRowLastColumn="0" w:lastRowFirstColumn="0" w:lastRowLastColumn="0"/>
        </w:trPr>
        <w:tc>
          <w:tcPr>
            <w:tcW w:w="2788" w:type="dxa"/>
          </w:tcPr>
          <w:p w:rsidR="00B11BE4" w:rsidRPr="00071B95" w:rsidRDefault="00B11BE4" w:rsidP="00625052">
            <w:pPr>
              <w:pStyle w:val="TableTextColumnHeading"/>
            </w:pPr>
            <w:r w:rsidRPr="00071B95">
              <w:t xml:space="preserve">Name of </w:t>
            </w:r>
            <w:r>
              <w:t>Investment</w:t>
            </w:r>
          </w:p>
        </w:tc>
        <w:tc>
          <w:tcPr>
            <w:tcW w:w="1247" w:type="dxa"/>
          </w:tcPr>
          <w:p w:rsidR="00B11BE4" w:rsidRPr="00071B95" w:rsidRDefault="00424069" w:rsidP="00625052">
            <w:pPr>
              <w:pStyle w:val="TableTextColumnHeading"/>
            </w:pPr>
            <w:r>
              <w:t>AidW</w:t>
            </w:r>
            <w:r w:rsidR="00B11BE4" w:rsidRPr="00071B95">
              <w:t>orks number</w:t>
            </w:r>
          </w:p>
        </w:tc>
        <w:tc>
          <w:tcPr>
            <w:tcW w:w="2382" w:type="dxa"/>
          </w:tcPr>
          <w:p w:rsidR="00B11BE4" w:rsidRPr="00071B95" w:rsidRDefault="00B11BE4" w:rsidP="00625052">
            <w:pPr>
              <w:pStyle w:val="TableTextColumnHeading"/>
            </w:pPr>
            <w:r>
              <w:t>Name of evaluation</w:t>
            </w:r>
          </w:p>
        </w:tc>
        <w:tc>
          <w:tcPr>
            <w:tcW w:w="1390" w:type="dxa"/>
          </w:tcPr>
          <w:p w:rsidR="00B11BE4" w:rsidRPr="00071B95" w:rsidRDefault="00B11BE4" w:rsidP="00625052">
            <w:pPr>
              <w:pStyle w:val="TableTextColumnHeading"/>
            </w:pPr>
            <w:r w:rsidRPr="00071B95">
              <w:t xml:space="preserve">Date </w:t>
            </w:r>
            <w:r>
              <w:t>finalised</w:t>
            </w:r>
          </w:p>
        </w:tc>
        <w:tc>
          <w:tcPr>
            <w:tcW w:w="2240" w:type="dxa"/>
          </w:tcPr>
          <w:p w:rsidR="00B11BE4" w:rsidRPr="00071B95" w:rsidRDefault="00B11BE4" w:rsidP="00625052">
            <w:pPr>
              <w:pStyle w:val="TableTextColumnHeading"/>
            </w:pPr>
            <w:r w:rsidRPr="00071B95">
              <w:t xml:space="preserve">Date </w:t>
            </w:r>
            <w:r w:rsidR="00D9237B">
              <w:t>e</w:t>
            </w:r>
            <w:r w:rsidRPr="00071B95">
              <w:t xml:space="preserve">valuation report </w:t>
            </w:r>
            <w:r w:rsidR="00D9237B">
              <w:t>u</w:t>
            </w:r>
            <w:r w:rsidR="00424069">
              <w:t>ploaded into AidW</w:t>
            </w:r>
            <w:r w:rsidRPr="00071B95">
              <w:t>orks</w:t>
            </w:r>
          </w:p>
        </w:tc>
        <w:tc>
          <w:tcPr>
            <w:tcW w:w="2381" w:type="dxa"/>
          </w:tcPr>
          <w:p w:rsidR="00B11BE4" w:rsidRPr="00071B95" w:rsidRDefault="00B11BE4" w:rsidP="00625052">
            <w:pPr>
              <w:pStyle w:val="TableTextColumnHeading"/>
            </w:pPr>
            <w:r w:rsidRPr="00071B95">
              <w:t xml:space="preserve">Date </w:t>
            </w:r>
            <w:r w:rsidR="00D9237B">
              <w:t>m</w:t>
            </w:r>
            <w:r w:rsidRPr="00071B95">
              <w:t>anage</w:t>
            </w:r>
            <w:r w:rsidR="00424069">
              <w:t>ment response uploaded into AidW</w:t>
            </w:r>
            <w:r w:rsidRPr="00071B95">
              <w:t>orks</w:t>
            </w:r>
          </w:p>
        </w:tc>
        <w:tc>
          <w:tcPr>
            <w:tcW w:w="1220" w:type="dxa"/>
          </w:tcPr>
          <w:p w:rsidR="00B11BE4" w:rsidRPr="00071B95" w:rsidRDefault="00B11BE4" w:rsidP="00625052">
            <w:pPr>
              <w:pStyle w:val="TableTextColumnHeading"/>
            </w:pPr>
            <w:r w:rsidRPr="00071B95">
              <w:t>Published on website</w:t>
            </w:r>
          </w:p>
        </w:tc>
      </w:tr>
      <w:tr w:rsidR="00D9237B" w:rsidRPr="00E9598D" w:rsidTr="00837906">
        <w:trPr>
          <w:cnfStyle w:val="100000000000" w:firstRow="1" w:lastRow="0" w:firstColumn="0" w:lastColumn="0" w:oddVBand="0" w:evenVBand="0" w:oddHBand="0" w:evenHBand="0" w:firstRowFirstColumn="0" w:firstRowLastColumn="0" w:lastRowFirstColumn="0" w:lastRowLastColumn="0"/>
        </w:trPr>
        <w:tc>
          <w:tcPr>
            <w:tcW w:w="2788" w:type="dxa"/>
          </w:tcPr>
          <w:p w:rsidR="00B11BE4" w:rsidRPr="00166383" w:rsidRDefault="00B11BE4" w:rsidP="00837906">
            <w:pPr>
              <w:pStyle w:val="TableTextEntries"/>
              <w:spacing w:before="0" w:after="0" w:line="280" w:lineRule="atLeast"/>
            </w:pPr>
            <w:r w:rsidRPr="00837906">
              <w:t>Vietnam Climate Change</w:t>
            </w:r>
            <w:r w:rsidR="00D9237B">
              <w:rPr>
                <w:b w:val="0"/>
              </w:rPr>
              <w:t xml:space="preserve"> Action Grants</w:t>
            </w:r>
            <w:r w:rsidRPr="00837906">
              <w:t xml:space="preserve"> </w:t>
            </w:r>
            <w:r w:rsidR="00D9237B">
              <w:rPr>
                <w:b w:val="0"/>
              </w:rPr>
              <w:t>(</w:t>
            </w:r>
            <w:r w:rsidRPr="00837906">
              <w:t xml:space="preserve">NGO </w:t>
            </w:r>
            <w:r w:rsidR="00D9237B">
              <w:rPr>
                <w:b w:val="0"/>
              </w:rPr>
              <w:t>p</w:t>
            </w:r>
            <w:r w:rsidRPr="00837906">
              <w:t>artnership</w:t>
            </w:r>
            <w:r w:rsidR="00D9237B">
              <w:rPr>
                <w:b w:val="0"/>
              </w:rPr>
              <w:t>s)</w:t>
            </w:r>
          </w:p>
        </w:tc>
        <w:tc>
          <w:tcPr>
            <w:tcW w:w="1247" w:type="dxa"/>
          </w:tcPr>
          <w:p w:rsidR="00B11BE4" w:rsidRPr="00E9598D" w:rsidRDefault="00B11BE4" w:rsidP="006F226B">
            <w:pPr>
              <w:pStyle w:val="TableTextEntries"/>
              <w:spacing w:before="0" w:after="0" w:line="280" w:lineRule="atLeast"/>
              <w:rPr>
                <w:b w:val="0"/>
              </w:rPr>
            </w:pPr>
            <w:r w:rsidRPr="00E9598D">
              <w:rPr>
                <w:b w:val="0"/>
              </w:rPr>
              <w:t>INK473</w:t>
            </w:r>
          </w:p>
        </w:tc>
        <w:tc>
          <w:tcPr>
            <w:tcW w:w="2382" w:type="dxa"/>
          </w:tcPr>
          <w:p w:rsidR="00B11BE4" w:rsidRPr="00E9598D" w:rsidRDefault="00B11BE4" w:rsidP="006F226B">
            <w:pPr>
              <w:pStyle w:val="TableTextEntries"/>
              <w:spacing w:before="0" w:after="0" w:line="280" w:lineRule="atLeast"/>
              <w:rPr>
                <w:b w:val="0"/>
              </w:rPr>
            </w:pPr>
            <w:r w:rsidRPr="00E9598D">
              <w:rPr>
                <w:b w:val="0"/>
              </w:rPr>
              <w:t>Mid-term review</w:t>
            </w:r>
          </w:p>
        </w:tc>
        <w:tc>
          <w:tcPr>
            <w:tcW w:w="1390" w:type="dxa"/>
          </w:tcPr>
          <w:p w:rsidR="00B11BE4" w:rsidRPr="00E9598D" w:rsidRDefault="00B11BE4" w:rsidP="006F226B">
            <w:pPr>
              <w:pStyle w:val="TableTextEntries"/>
              <w:spacing w:before="0" w:after="0" w:line="280" w:lineRule="atLeast"/>
              <w:rPr>
                <w:b w:val="0"/>
              </w:rPr>
            </w:pPr>
            <w:r w:rsidRPr="00E9598D">
              <w:rPr>
                <w:b w:val="0"/>
              </w:rPr>
              <w:t>July 2014</w:t>
            </w:r>
          </w:p>
        </w:tc>
        <w:tc>
          <w:tcPr>
            <w:tcW w:w="2240" w:type="dxa"/>
          </w:tcPr>
          <w:p w:rsidR="00B11BE4" w:rsidRPr="00E9598D" w:rsidRDefault="00B11BE4" w:rsidP="00D9237B">
            <w:pPr>
              <w:pStyle w:val="TableTextEntries"/>
              <w:spacing w:before="0" w:after="0" w:line="280" w:lineRule="atLeast"/>
              <w:rPr>
                <w:b w:val="0"/>
              </w:rPr>
            </w:pPr>
            <w:r w:rsidRPr="00E9598D">
              <w:rPr>
                <w:b w:val="0"/>
              </w:rPr>
              <w:t>Pending</w:t>
            </w:r>
          </w:p>
        </w:tc>
        <w:tc>
          <w:tcPr>
            <w:tcW w:w="2381" w:type="dxa"/>
          </w:tcPr>
          <w:p w:rsidR="00B11BE4" w:rsidRPr="00E9598D" w:rsidRDefault="00B11BE4" w:rsidP="006F226B">
            <w:pPr>
              <w:pStyle w:val="TableTextEntries"/>
              <w:spacing w:before="0" w:after="0" w:line="280" w:lineRule="atLeast"/>
              <w:rPr>
                <w:b w:val="0"/>
              </w:rPr>
            </w:pPr>
            <w:r w:rsidRPr="00E9598D">
              <w:rPr>
                <w:b w:val="0"/>
              </w:rPr>
              <w:t>Pending</w:t>
            </w:r>
          </w:p>
        </w:tc>
        <w:tc>
          <w:tcPr>
            <w:tcW w:w="1220" w:type="dxa"/>
          </w:tcPr>
          <w:p w:rsidR="00B11BE4" w:rsidRPr="00E9598D" w:rsidRDefault="00B11BE4" w:rsidP="006F226B">
            <w:pPr>
              <w:pStyle w:val="TableTextEntries"/>
              <w:spacing w:before="0" w:after="0" w:line="280" w:lineRule="atLeast"/>
              <w:rPr>
                <w:b w:val="0"/>
              </w:rPr>
            </w:pPr>
            <w:r w:rsidRPr="00E9598D">
              <w:rPr>
                <w:b w:val="0"/>
              </w:rPr>
              <w:t xml:space="preserve">Pending </w:t>
            </w:r>
          </w:p>
        </w:tc>
      </w:tr>
      <w:tr w:rsidR="00D9237B" w:rsidRPr="00E9598D" w:rsidTr="00837906">
        <w:trPr>
          <w:cnfStyle w:val="100000000000" w:firstRow="1" w:lastRow="0" w:firstColumn="0" w:lastColumn="0" w:oddVBand="0" w:evenVBand="0" w:oddHBand="0" w:evenHBand="0" w:firstRowFirstColumn="0" w:firstRowLastColumn="0" w:lastRowFirstColumn="0" w:lastRowLastColumn="0"/>
        </w:trPr>
        <w:tc>
          <w:tcPr>
            <w:tcW w:w="2788" w:type="dxa"/>
          </w:tcPr>
          <w:p w:rsidR="00B11BE4" w:rsidRPr="00E9598D" w:rsidRDefault="00B11BE4" w:rsidP="006F226B">
            <w:pPr>
              <w:pStyle w:val="TableTextEntries"/>
              <w:spacing w:before="0" w:after="0" w:line="280" w:lineRule="atLeast"/>
              <w:rPr>
                <w:b w:val="0"/>
              </w:rPr>
            </w:pPr>
            <w:r w:rsidRPr="00E9598D">
              <w:rPr>
                <w:b w:val="0"/>
              </w:rPr>
              <w:t>Vietnam Anti-corruption Program</w:t>
            </w:r>
          </w:p>
        </w:tc>
        <w:tc>
          <w:tcPr>
            <w:tcW w:w="1247" w:type="dxa"/>
          </w:tcPr>
          <w:p w:rsidR="00B11BE4" w:rsidRPr="00E9598D" w:rsidRDefault="00B11BE4" w:rsidP="006F226B">
            <w:pPr>
              <w:pStyle w:val="TableTextEntries"/>
              <w:spacing w:before="0" w:after="0" w:line="280" w:lineRule="atLeast"/>
              <w:rPr>
                <w:b w:val="0"/>
              </w:rPr>
            </w:pPr>
            <w:r w:rsidRPr="00E9598D">
              <w:rPr>
                <w:b w:val="0"/>
              </w:rPr>
              <w:t>INJ810</w:t>
            </w:r>
          </w:p>
        </w:tc>
        <w:tc>
          <w:tcPr>
            <w:tcW w:w="2382" w:type="dxa"/>
          </w:tcPr>
          <w:p w:rsidR="00B11BE4" w:rsidRPr="00E9598D" w:rsidRDefault="00B11BE4" w:rsidP="006F226B">
            <w:pPr>
              <w:pStyle w:val="TableTextEntries"/>
              <w:spacing w:before="0" w:after="0" w:line="280" w:lineRule="atLeast"/>
              <w:rPr>
                <w:b w:val="0"/>
              </w:rPr>
            </w:pPr>
            <w:r w:rsidRPr="00E9598D">
              <w:rPr>
                <w:b w:val="0"/>
              </w:rPr>
              <w:t>Independent progress review</w:t>
            </w:r>
          </w:p>
        </w:tc>
        <w:tc>
          <w:tcPr>
            <w:tcW w:w="1390" w:type="dxa"/>
          </w:tcPr>
          <w:p w:rsidR="00B11BE4" w:rsidRPr="00E9598D" w:rsidRDefault="00B11BE4" w:rsidP="006F226B">
            <w:pPr>
              <w:pStyle w:val="TableTextEntries"/>
              <w:spacing w:before="0" w:after="0" w:line="280" w:lineRule="atLeast"/>
              <w:rPr>
                <w:b w:val="0"/>
              </w:rPr>
            </w:pPr>
            <w:r w:rsidRPr="00E9598D">
              <w:rPr>
                <w:b w:val="0"/>
              </w:rPr>
              <w:t>January 2014</w:t>
            </w:r>
          </w:p>
        </w:tc>
        <w:tc>
          <w:tcPr>
            <w:tcW w:w="2240" w:type="dxa"/>
          </w:tcPr>
          <w:p w:rsidR="00B11BE4" w:rsidRPr="00E9598D" w:rsidRDefault="00B11BE4" w:rsidP="006F226B">
            <w:pPr>
              <w:pStyle w:val="TableTextEntries"/>
              <w:spacing w:before="0" w:after="0" w:line="280" w:lineRule="atLeast"/>
              <w:rPr>
                <w:b w:val="0"/>
              </w:rPr>
            </w:pPr>
            <w:r w:rsidRPr="00E9598D">
              <w:rPr>
                <w:b w:val="0"/>
              </w:rPr>
              <w:t>August 2014</w:t>
            </w:r>
          </w:p>
        </w:tc>
        <w:tc>
          <w:tcPr>
            <w:tcW w:w="2381" w:type="dxa"/>
          </w:tcPr>
          <w:p w:rsidR="00B11BE4" w:rsidRPr="00E9598D" w:rsidRDefault="00B11BE4" w:rsidP="006F226B">
            <w:pPr>
              <w:pStyle w:val="TableTextEntries"/>
              <w:spacing w:before="0" w:after="0" w:line="280" w:lineRule="atLeast"/>
              <w:rPr>
                <w:b w:val="0"/>
              </w:rPr>
            </w:pPr>
            <w:r w:rsidRPr="00E9598D">
              <w:rPr>
                <w:b w:val="0"/>
              </w:rPr>
              <w:t>August 2014</w:t>
            </w:r>
          </w:p>
        </w:tc>
        <w:tc>
          <w:tcPr>
            <w:tcW w:w="1220" w:type="dxa"/>
          </w:tcPr>
          <w:p w:rsidR="00B11BE4" w:rsidRPr="00E9598D" w:rsidRDefault="00B11BE4" w:rsidP="006F226B">
            <w:pPr>
              <w:pStyle w:val="TableTextEntries"/>
              <w:spacing w:before="0" w:after="0" w:line="280" w:lineRule="atLeast"/>
              <w:rPr>
                <w:b w:val="0"/>
              </w:rPr>
            </w:pPr>
            <w:r w:rsidRPr="00E9598D">
              <w:rPr>
                <w:b w:val="0"/>
              </w:rPr>
              <w:t>Pending</w:t>
            </w:r>
          </w:p>
        </w:tc>
      </w:tr>
    </w:tbl>
    <w:p w:rsidR="00B11BE4" w:rsidRDefault="00B11BE4" w:rsidP="006F226B">
      <w:pPr>
        <w:spacing w:line="280" w:lineRule="atLeast"/>
      </w:pPr>
    </w:p>
    <w:p w:rsidR="00D9237B" w:rsidRPr="00E9598D" w:rsidRDefault="00D9237B" w:rsidP="006F226B">
      <w:pPr>
        <w:spacing w:line="280" w:lineRule="atLeast"/>
      </w:pPr>
    </w:p>
    <w:p w:rsidR="00B11BE4" w:rsidRDefault="00B11BE4" w:rsidP="006F226B">
      <w:pPr>
        <w:pStyle w:val="Caption"/>
      </w:pPr>
      <w:r w:rsidRPr="0075677D">
        <w:t xml:space="preserve">List of evaluations planned in </w:t>
      </w:r>
      <w:r w:rsidR="0075677D" w:rsidRPr="0075677D">
        <w:t>2014-15</w:t>
      </w:r>
      <w:r w:rsidRPr="0075677D">
        <w:t xml:space="preserve"> </w:t>
      </w:r>
    </w:p>
    <w:tbl>
      <w:tblPr>
        <w:tblStyle w:val="APPR"/>
        <w:tblW w:w="13886" w:type="dxa"/>
        <w:tblLook w:val="0600" w:firstRow="0" w:lastRow="0" w:firstColumn="0" w:lastColumn="0" w:noHBand="1" w:noVBand="1"/>
      </w:tblPr>
      <w:tblGrid>
        <w:gridCol w:w="3255"/>
        <w:gridCol w:w="1701"/>
        <w:gridCol w:w="2126"/>
        <w:gridCol w:w="4536"/>
        <w:gridCol w:w="2268"/>
      </w:tblGrid>
      <w:tr w:rsidR="00D9237B" w:rsidRPr="00D322EA" w:rsidTr="00837906">
        <w:tc>
          <w:tcPr>
            <w:tcW w:w="3213" w:type="dxa"/>
          </w:tcPr>
          <w:p w:rsidR="00D9237B" w:rsidRPr="00047841" w:rsidRDefault="00D9237B" w:rsidP="00625052">
            <w:pPr>
              <w:pStyle w:val="TableTextColumnHeading"/>
            </w:pPr>
            <w:r w:rsidRPr="00047841">
              <w:t>Name of Investment</w:t>
            </w:r>
          </w:p>
        </w:tc>
        <w:tc>
          <w:tcPr>
            <w:tcW w:w="1673" w:type="dxa"/>
          </w:tcPr>
          <w:p w:rsidR="00D9237B" w:rsidRPr="00047841" w:rsidRDefault="00424069" w:rsidP="00625052">
            <w:pPr>
              <w:pStyle w:val="TableTextColumnHeading"/>
            </w:pPr>
            <w:r>
              <w:t>AidW</w:t>
            </w:r>
            <w:r w:rsidR="00D9237B" w:rsidRPr="00047841">
              <w:t>orks number</w:t>
            </w:r>
          </w:p>
        </w:tc>
        <w:tc>
          <w:tcPr>
            <w:tcW w:w="2098" w:type="dxa"/>
          </w:tcPr>
          <w:p w:rsidR="00D9237B" w:rsidRPr="00047841" w:rsidRDefault="00D9237B" w:rsidP="00625052">
            <w:pPr>
              <w:pStyle w:val="TableTextColumnHeading"/>
            </w:pPr>
            <w:r w:rsidRPr="00047841">
              <w:t>Type of evaluation</w:t>
            </w:r>
          </w:p>
        </w:tc>
        <w:tc>
          <w:tcPr>
            <w:tcW w:w="4508" w:type="dxa"/>
          </w:tcPr>
          <w:p w:rsidR="00D9237B" w:rsidRPr="00047841" w:rsidRDefault="00D9237B" w:rsidP="00625052">
            <w:pPr>
              <w:pStyle w:val="TableTextColumnHeading"/>
            </w:pPr>
            <w:r w:rsidRPr="00047841">
              <w:t>Purpose of evaluation</w:t>
            </w:r>
          </w:p>
        </w:tc>
        <w:tc>
          <w:tcPr>
            <w:tcW w:w="2226" w:type="dxa"/>
          </w:tcPr>
          <w:p w:rsidR="00D9237B" w:rsidRPr="00047841" w:rsidRDefault="00D9237B" w:rsidP="00625052">
            <w:pPr>
              <w:pStyle w:val="TableTextColumnHeading"/>
            </w:pPr>
            <w:r w:rsidRPr="00047841">
              <w:t>Expected completion date</w:t>
            </w:r>
          </w:p>
        </w:tc>
      </w:tr>
      <w:tr w:rsidR="00D9237B" w:rsidRPr="00071B95" w:rsidTr="00837906">
        <w:tc>
          <w:tcPr>
            <w:tcW w:w="3213" w:type="dxa"/>
          </w:tcPr>
          <w:p w:rsidR="00D9237B" w:rsidRPr="003275D0" w:rsidRDefault="00D9237B" w:rsidP="00D9237B">
            <w:pPr>
              <w:pStyle w:val="TableTextEntries"/>
              <w:spacing w:before="0" w:after="0" w:line="280" w:lineRule="atLeast"/>
            </w:pPr>
            <w:r>
              <w:t>Joint Donor Support to RWSS NTP3</w:t>
            </w:r>
          </w:p>
        </w:tc>
        <w:tc>
          <w:tcPr>
            <w:tcW w:w="1673" w:type="dxa"/>
          </w:tcPr>
          <w:p w:rsidR="00D9237B" w:rsidRPr="003275D0" w:rsidRDefault="00D9237B" w:rsidP="007F69E9">
            <w:pPr>
              <w:pStyle w:val="TableTextEntries"/>
              <w:spacing w:before="0" w:after="0" w:line="280" w:lineRule="atLeast"/>
            </w:pPr>
            <w:r>
              <w:t>INJ128</w:t>
            </w:r>
          </w:p>
        </w:tc>
        <w:tc>
          <w:tcPr>
            <w:tcW w:w="2098" w:type="dxa"/>
          </w:tcPr>
          <w:p w:rsidR="00D9237B" w:rsidRPr="003275D0" w:rsidRDefault="00D9237B" w:rsidP="007F69E9">
            <w:pPr>
              <w:pStyle w:val="TableTextEntries"/>
              <w:spacing w:before="0" w:after="0" w:line="280" w:lineRule="atLeast"/>
            </w:pPr>
            <w:r>
              <w:t>Mid-term review</w:t>
            </w:r>
          </w:p>
        </w:tc>
        <w:tc>
          <w:tcPr>
            <w:tcW w:w="4508" w:type="dxa"/>
          </w:tcPr>
          <w:p w:rsidR="00D9237B" w:rsidRPr="003275D0" w:rsidRDefault="00D9237B" w:rsidP="00D9237B">
            <w:pPr>
              <w:pStyle w:val="TableTextEntries"/>
              <w:spacing w:before="0" w:after="0" w:line="280" w:lineRule="atLeast"/>
              <w:rPr>
                <w:color w:val="000000" w:themeColor="text1" w:themeShade="BF"/>
              </w:rPr>
            </w:pPr>
            <w:r>
              <w:t>Assess progress towards program objectives</w:t>
            </w:r>
          </w:p>
        </w:tc>
        <w:tc>
          <w:tcPr>
            <w:tcW w:w="2226" w:type="dxa"/>
          </w:tcPr>
          <w:p w:rsidR="00D9237B" w:rsidRPr="003275D0" w:rsidRDefault="00D9237B" w:rsidP="007F69E9">
            <w:pPr>
              <w:pStyle w:val="TableTextEntries"/>
              <w:spacing w:before="0" w:after="0" w:line="280" w:lineRule="atLeast"/>
            </w:pPr>
            <w:r>
              <w:t>August – December 2014</w:t>
            </w:r>
          </w:p>
        </w:tc>
      </w:tr>
      <w:tr w:rsidR="00D9237B" w:rsidRPr="00071B95" w:rsidTr="00837906">
        <w:tc>
          <w:tcPr>
            <w:tcW w:w="3213" w:type="dxa"/>
          </w:tcPr>
          <w:p w:rsidR="00D9237B" w:rsidRPr="00071B95" w:rsidRDefault="00D9237B" w:rsidP="007F69E9">
            <w:pPr>
              <w:pStyle w:val="TableTextEntries"/>
              <w:spacing w:before="0" w:after="0" w:line="280" w:lineRule="atLeast"/>
            </w:pPr>
            <w:r>
              <w:t>Australia World Bank Partnership Trust Fund</w:t>
            </w:r>
          </w:p>
        </w:tc>
        <w:tc>
          <w:tcPr>
            <w:tcW w:w="1673" w:type="dxa"/>
          </w:tcPr>
          <w:p w:rsidR="00D9237B" w:rsidRPr="00071B95" w:rsidRDefault="00D9237B" w:rsidP="007F69E9">
            <w:pPr>
              <w:pStyle w:val="TableTextEntries"/>
              <w:spacing w:before="0" w:after="0" w:line="280" w:lineRule="atLeast"/>
            </w:pPr>
            <w:r>
              <w:t>INK376</w:t>
            </w:r>
          </w:p>
        </w:tc>
        <w:tc>
          <w:tcPr>
            <w:tcW w:w="2098" w:type="dxa"/>
          </w:tcPr>
          <w:p w:rsidR="00D9237B" w:rsidRPr="00071B95" w:rsidRDefault="00D9237B" w:rsidP="007F69E9">
            <w:pPr>
              <w:pStyle w:val="TableTextEntries"/>
              <w:spacing w:before="0" w:after="0" w:line="280" w:lineRule="atLeast"/>
            </w:pPr>
            <w:r>
              <w:t>Mid-term review</w:t>
            </w:r>
          </w:p>
        </w:tc>
        <w:tc>
          <w:tcPr>
            <w:tcW w:w="4508" w:type="dxa"/>
          </w:tcPr>
          <w:p w:rsidR="00D9237B" w:rsidRPr="00071B95" w:rsidRDefault="00D9237B" w:rsidP="00D9237B">
            <w:pPr>
              <w:pStyle w:val="TableTextEntries"/>
              <w:spacing w:before="0" w:after="0" w:line="280" w:lineRule="atLeast"/>
            </w:pPr>
            <w:r>
              <w:t>A</w:t>
            </w:r>
            <w:r w:rsidRPr="00114D70">
              <w:t>ssess how the partnership has been performing, particularly in terms of governance arrangements and progress toward achieving the objectives</w:t>
            </w:r>
          </w:p>
        </w:tc>
        <w:tc>
          <w:tcPr>
            <w:tcW w:w="2226" w:type="dxa"/>
          </w:tcPr>
          <w:p w:rsidR="00D9237B" w:rsidRPr="00071B95" w:rsidRDefault="00D9237B" w:rsidP="007F69E9">
            <w:pPr>
              <w:pStyle w:val="TableTextEntries"/>
              <w:spacing w:before="0" w:after="0" w:line="280" w:lineRule="atLeast"/>
            </w:pPr>
            <w:r>
              <w:t>November 2014</w:t>
            </w:r>
          </w:p>
        </w:tc>
      </w:tr>
      <w:tr w:rsidR="00D9237B" w:rsidRPr="00071B95" w:rsidTr="00837906">
        <w:tc>
          <w:tcPr>
            <w:tcW w:w="3213" w:type="dxa"/>
          </w:tcPr>
          <w:p w:rsidR="00D9237B" w:rsidRDefault="00D9237B" w:rsidP="007F69E9">
            <w:pPr>
              <w:pStyle w:val="TableTextEntries"/>
              <w:spacing w:before="0" w:after="0" w:line="280" w:lineRule="atLeast"/>
            </w:pPr>
            <w:r>
              <w:t>Public Finance Management Program</w:t>
            </w:r>
          </w:p>
        </w:tc>
        <w:tc>
          <w:tcPr>
            <w:tcW w:w="1673" w:type="dxa"/>
          </w:tcPr>
          <w:p w:rsidR="00D9237B" w:rsidRDefault="00D9237B" w:rsidP="007F69E9">
            <w:pPr>
              <w:pStyle w:val="TableTextEntries"/>
              <w:spacing w:before="0" w:after="0" w:line="280" w:lineRule="atLeast"/>
            </w:pPr>
            <w:r>
              <w:t>INH925</w:t>
            </w:r>
          </w:p>
        </w:tc>
        <w:tc>
          <w:tcPr>
            <w:tcW w:w="2098" w:type="dxa"/>
          </w:tcPr>
          <w:p w:rsidR="00D9237B" w:rsidRDefault="00D9237B" w:rsidP="00D9237B">
            <w:pPr>
              <w:pStyle w:val="TableTextEntries"/>
              <w:spacing w:before="0" w:after="0" w:line="280" w:lineRule="atLeast"/>
            </w:pPr>
            <w:r>
              <w:t>Completion evaluation</w:t>
            </w:r>
          </w:p>
        </w:tc>
        <w:tc>
          <w:tcPr>
            <w:tcW w:w="4508" w:type="dxa"/>
          </w:tcPr>
          <w:p w:rsidR="00D9237B" w:rsidRDefault="00D9237B" w:rsidP="00D9237B">
            <w:pPr>
              <w:pStyle w:val="TableTextEntries"/>
              <w:spacing w:before="0" w:after="0" w:line="280" w:lineRule="atLeast"/>
            </w:pPr>
            <w:r>
              <w:t>Assess achievement of program objectives</w:t>
            </w:r>
          </w:p>
        </w:tc>
        <w:tc>
          <w:tcPr>
            <w:tcW w:w="2226" w:type="dxa"/>
          </w:tcPr>
          <w:p w:rsidR="00D9237B" w:rsidRDefault="00D9237B" w:rsidP="007F69E9">
            <w:pPr>
              <w:pStyle w:val="TableTextEntries"/>
              <w:spacing w:before="0" w:after="0" w:line="280" w:lineRule="atLeast"/>
            </w:pPr>
            <w:r>
              <w:t>January 2014</w:t>
            </w:r>
          </w:p>
        </w:tc>
      </w:tr>
      <w:tr w:rsidR="00D9237B" w:rsidRPr="00071B95" w:rsidTr="00837906">
        <w:tc>
          <w:tcPr>
            <w:tcW w:w="3213" w:type="dxa"/>
          </w:tcPr>
          <w:p w:rsidR="00D9237B" w:rsidRDefault="00D9237B" w:rsidP="007F69E9">
            <w:pPr>
              <w:pStyle w:val="TableTextEntries"/>
              <w:spacing w:before="0" w:after="0" w:line="280" w:lineRule="atLeast"/>
            </w:pPr>
            <w:r>
              <w:t>In-country Engineering Scholarship</w:t>
            </w:r>
          </w:p>
        </w:tc>
        <w:tc>
          <w:tcPr>
            <w:tcW w:w="1673" w:type="dxa"/>
          </w:tcPr>
          <w:p w:rsidR="00D9237B" w:rsidRDefault="00D9237B" w:rsidP="007F69E9">
            <w:pPr>
              <w:pStyle w:val="TableTextEntries"/>
              <w:spacing w:before="0" w:after="0" w:line="280" w:lineRule="atLeast"/>
            </w:pPr>
            <w:r>
              <w:t>INJ173</w:t>
            </w:r>
          </w:p>
        </w:tc>
        <w:tc>
          <w:tcPr>
            <w:tcW w:w="2098" w:type="dxa"/>
          </w:tcPr>
          <w:p w:rsidR="00D9237B" w:rsidRDefault="00D9237B" w:rsidP="007F69E9">
            <w:pPr>
              <w:pStyle w:val="TableTextEntries"/>
              <w:spacing w:before="0" w:after="0" w:line="280" w:lineRule="atLeast"/>
            </w:pPr>
            <w:r>
              <w:t>Review of the in-country scholarship model</w:t>
            </w:r>
          </w:p>
        </w:tc>
        <w:tc>
          <w:tcPr>
            <w:tcW w:w="4508" w:type="dxa"/>
          </w:tcPr>
          <w:p w:rsidR="00D9237B" w:rsidRDefault="00D9237B" w:rsidP="00D9237B">
            <w:pPr>
              <w:pStyle w:val="TableTextEntries"/>
              <w:spacing w:before="0" w:after="0" w:line="280" w:lineRule="atLeast"/>
            </w:pPr>
            <w:r>
              <w:t xml:space="preserve">Review in-country scholarship model to assess possible to replication </w:t>
            </w:r>
          </w:p>
        </w:tc>
        <w:tc>
          <w:tcPr>
            <w:tcW w:w="2226" w:type="dxa"/>
          </w:tcPr>
          <w:p w:rsidR="00D9237B" w:rsidRDefault="00D9237B" w:rsidP="00D9237B">
            <w:pPr>
              <w:pStyle w:val="TableTextEntries"/>
              <w:spacing w:before="0" w:after="0" w:line="280" w:lineRule="atLeast"/>
            </w:pPr>
            <w:r>
              <w:t>December 2014</w:t>
            </w:r>
          </w:p>
        </w:tc>
      </w:tr>
    </w:tbl>
    <w:p w:rsidR="00D9237B" w:rsidRPr="00D9237B" w:rsidRDefault="00D9237B" w:rsidP="00837906">
      <w:pPr>
        <w:pStyle w:val="BodyText"/>
      </w:pPr>
    </w:p>
    <w:p w:rsidR="00B11BE4" w:rsidRDefault="00B11BE4" w:rsidP="00837906">
      <w:pPr>
        <w:pStyle w:val="TableTextColumnHeading"/>
        <w:sectPr w:rsidR="00B11BE4" w:rsidSect="00713B23">
          <w:pgSz w:w="16838" w:h="11906" w:orient="landscape" w:code="9"/>
          <w:pgMar w:top="1814" w:right="1814" w:bottom="851" w:left="851" w:header="709" w:footer="425" w:gutter="0"/>
          <w:cols w:space="708"/>
          <w:docGrid w:linePitch="360"/>
        </w:sectPr>
      </w:pPr>
    </w:p>
    <w:p w:rsidR="006E0BC7" w:rsidRDefault="006E0BC7" w:rsidP="00837906">
      <w:pPr>
        <w:pStyle w:val="Heading2"/>
        <w:spacing w:before="0" w:line="280" w:lineRule="atLeast"/>
        <w:rPr>
          <w:sz w:val="28"/>
        </w:rPr>
      </w:pPr>
      <w:r w:rsidRPr="009E38C1">
        <w:rPr>
          <w:sz w:val="28"/>
        </w:rPr>
        <w:lastRenderedPageBreak/>
        <w:t xml:space="preserve">Annex </w:t>
      </w:r>
      <w:r>
        <w:rPr>
          <w:sz w:val="28"/>
        </w:rPr>
        <w:t>D – Performance Benchmarks 2014-15</w:t>
      </w:r>
    </w:p>
    <w:tbl>
      <w:tblPr>
        <w:tblStyle w:val="DFATTable"/>
        <w:tblW w:w="5000" w:type="pct"/>
        <w:tblLook w:val="04A0" w:firstRow="1" w:lastRow="0" w:firstColumn="1" w:lastColumn="0" w:noHBand="0" w:noVBand="1"/>
      </w:tblPr>
      <w:tblGrid>
        <w:gridCol w:w="3301"/>
        <w:gridCol w:w="3301"/>
        <w:gridCol w:w="7279"/>
      </w:tblGrid>
      <w:tr w:rsidR="00784605" w:rsidTr="00784605">
        <w:trPr>
          <w:tblHeader/>
        </w:trPr>
        <w:tc>
          <w:tcPr>
            <w:tcW w:w="118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784605" w:rsidRDefault="00784605" w:rsidP="006F226B">
            <w:pPr>
              <w:pStyle w:val="TableHeading1"/>
              <w:spacing w:before="0" w:after="0" w:line="280" w:lineRule="atLeast"/>
            </w:pPr>
            <w:r>
              <w:t>Aid objective</w:t>
            </w:r>
          </w:p>
        </w:tc>
        <w:tc>
          <w:tcPr>
            <w:tcW w:w="1189" w:type="pct"/>
            <w:tcBorders>
              <w:top w:val="single" w:sz="4" w:space="0" w:color="auto"/>
              <w:left w:val="single" w:sz="4" w:space="0" w:color="auto"/>
              <w:bottom w:val="single" w:sz="4" w:space="0" w:color="auto"/>
              <w:right w:val="single" w:sz="4" w:space="0" w:color="auto"/>
            </w:tcBorders>
            <w:hideMark/>
          </w:tcPr>
          <w:p w:rsidR="00784605" w:rsidRDefault="00784605" w:rsidP="006F226B">
            <w:pPr>
              <w:pStyle w:val="TableHeading1"/>
              <w:spacing w:before="0" w:after="0" w:line="280" w:lineRule="atLeast"/>
            </w:pPr>
            <w:r>
              <w:t xml:space="preserve">2014-15 benchmark </w:t>
            </w:r>
          </w:p>
        </w:tc>
        <w:tc>
          <w:tcPr>
            <w:tcW w:w="2622" w:type="pct"/>
            <w:tcBorders>
              <w:top w:val="single" w:sz="4" w:space="0" w:color="auto"/>
              <w:left w:val="single" w:sz="4" w:space="0" w:color="auto"/>
              <w:bottom w:val="single" w:sz="4" w:space="0" w:color="auto"/>
              <w:right w:val="single" w:sz="4" w:space="0" w:color="auto"/>
            </w:tcBorders>
            <w:hideMark/>
          </w:tcPr>
          <w:p w:rsidR="00784605" w:rsidRDefault="00784605" w:rsidP="006F226B">
            <w:pPr>
              <w:pStyle w:val="TableHeading1"/>
              <w:spacing w:before="0" w:after="0" w:line="280" w:lineRule="atLeast"/>
            </w:pPr>
            <w:r>
              <w:t>Rationale for selecting this performance benchmark</w:t>
            </w:r>
          </w:p>
        </w:tc>
      </w:tr>
      <w:tr w:rsidR="00784605" w:rsidTr="00784605">
        <w:tc>
          <w:tcPr>
            <w:tcW w:w="5000"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784605" w:rsidRPr="00163052" w:rsidRDefault="00784605" w:rsidP="0040269F">
            <w:pPr>
              <w:pStyle w:val="TableHeading2"/>
              <w:spacing w:before="0" w:after="0" w:line="280" w:lineRule="atLeast"/>
            </w:pPr>
            <w:r w:rsidRPr="00163052">
              <w:t xml:space="preserve">Human </w:t>
            </w:r>
            <w:r w:rsidR="0040269F">
              <w:t>r</w:t>
            </w:r>
            <w:r w:rsidRPr="00163052">
              <w:t xml:space="preserve">esource </w:t>
            </w:r>
            <w:r w:rsidR="0040269F">
              <w:t>d</w:t>
            </w:r>
            <w:r w:rsidRPr="00163052">
              <w:t>e</w:t>
            </w:r>
            <w:r>
              <w:t>ve</w:t>
            </w:r>
            <w:r w:rsidRPr="00163052">
              <w:t>lopment</w:t>
            </w:r>
          </w:p>
        </w:tc>
      </w:tr>
      <w:tr w:rsidR="00784605" w:rsidTr="00784605">
        <w:tc>
          <w:tcPr>
            <w:tcW w:w="118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784605" w:rsidRDefault="00784605" w:rsidP="006F226B">
            <w:pPr>
              <w:pStyle w:val="TableTextEntries"/>
              <w:spacing w:before="0" w:after="0" w:line="280" w:lineRule="atLeast"/>
            </w:pPr>
            <w:r>
              <w:t>Improvement in the quality of Vietnam’s human resources</w:t>
            </w:r>
          </w:p>
        </w:tc>
        <w:tc>
          <w:tcPr>
            <w:tcW w:w="1189" w:type="pct"/>
            <w:tcBorders>
              <w:top w:val="single" w:sz="4" w:space="0" w:color="auto"/>
              <w:left w:val="single" w:sz="4" w:space="0" w:color="auto"/>
              <w:bottom w:val="single" w:sz="4" w:space="0" w:color="auto"/>
              <w:right w:val="single" w:sz="4" w:space="0" w:color="auto"/>
            </w:tcBorders>
            <w:hideMark/>
          </w:tcPr>
          <w:p w:rsidR="00784605" w:rsidRDefault="00784605" w:rsidP="00837906">
            <w:pPr>
              <w:pStyle w:val="TableTextEntries"/>
              <w:numPr>
                <w:ilvl w:val="0"/>
                <w:numId w:val="61"/>
              </w:numPr>
              <w:spacing w:before="0" w:after="0" w:line="280" w:lineRule="atLeast"/>
            </w:pPr>
            <w:r>
              <w:t>150 Australia Awards Scholarships and 50 Australia Awards Fellowships</w:t>
            </w:r>
            <w:r w:rsidR="00FF3905">
              <w:t xml:space="preserve"> provided</w:t>
            </w:r>
          </w:p>
          <w:p w:rsidR="00FF3905" w:rsidRDefault="00FF3905" w:rsidP="006F226B">
            <w:pPr>
              <w:pStyle w:val="TableTextEntries"/>
              <w:spacing w:before="0" w:after="0" w:line="280" w:lineRule="atLeast"/>
            </w:pPr>
          </w:p>
          <w:p w:rsidR="00784605" w:rsidRDefault="00784605" w:rsidP="00837906">
            <w:pPr>
              <w:pStyle w:val="TableTextEntries"/>
              <w:numPr>
                <w:ilvl w:val="0"/>
                <w:numId w:val="61"/>
              </w:numPr>
              <w:spacing w:before="0" w:after="0" w:line="280" w:lineRule="atLeast"/>
            </w:pPr>
            <w:r>
              <w:t xml:space="preserve">New </w:t>
            </w:r>
            <w:r w:rsidR="0040269F">
              <w:t>h</w:t>
            </w:r>
            <w:r w:rsidR="00FF3905">
              <w:t xml:space="preserve">uman </w:t>
            </w:r>
            <w:r w:rsidR="0040269F">
              <w:t>r</w:t>
            </w:r>
            <w:r w:rsidR="00FF3905">
              <w:t xml:space="preserve">esource </w:t>
            </w:r>
            <w:r w:rsidR="0040269F">
              <w:t>d</w:t>
            </w:r>
            <w:r w:rsidR="00FF3905">
              <w:t xml:space="preserve">evelopment </w:t>
            </w:r>
            <w:r>
              <w:t>investment designed</w:t>
            </w:r>
          </w:p>
        </w:tc>
        <w:tc>
          <w:tcPr>
            <w:tcW w:w="2622" w:type="pct"/>
            <w:tcBorders>
              <w:top w:val="single" w:sz="4" w:space="0" w:color="auto"/>
              <w:left w:val="single" w:sz="4" w:space="0" w:color="auto"/>
              <w:bottom w:val="single" w:sz="4" w:space="0" w:color="auto"/>
              <w:right w:val="single" w:sz="4" w:space="0" w:color="auto"/>
            </w:tcBorders>
            <w:hideMark/>
          </w:tcPr>
          <w:p w:rsidR="00784605" w:rsidRDefault="00784605" w:rsidP="006F226B">
            <w:pPr>
              <w:pStyle w:val="TableTextEntries"/>
              <w:spacing w:before="0" w:after="0" w:line="280" w:lineRule="atLeast"/>
            </w:pPr>
            <w:r>
              <w:t xml:space="preserve">Human resource development </w:t>
            </w:r>
            <w:r w:rsidR="0040269F">
              <w:t>re</w:t>
            </w:r>
            <w:r>
              <w:t xml:space="preserve">presents </w:t>
            </w:r>
            <w:r w:rsidR="0040269F">
              <w:t>35 </w:t>
            </w:r>
            <w:r>
              <w:t xml:space="preserve">per cent of the </w:t>
            </w:r>
            <w:r w:rsidR="0040269F">
              <w:t xml:space="preserve">bilateral </w:t>
            </w:r>
            <w:r>
              <w:t xml:space="preserve">program </w:t>
            </w:r>
            <w:r w:rsidR="0040269F">
              <w:t xml:space="preserve">budget, with </w:t>
            </w:r>
            <w:r>
              <w:t>Australia Awards Scholarships the key investment</w:t>
            </w:r>
            <w:r w:rsidR="0040269F">
              <w:t>.</w:t>
            </w:r>
            <w:r>
              <w:t xml:space="preserve"> Based on the current funding allocation we believe this benchmark is sufficiently ambitious.</w:t>
            </w:r>
          </w:p>
          <w:p w:rsidR="0040269F" w:rsidRDefault="0040269F" w:rsidP="006F226B">
            <w:pPr>
              <w:pStyle w:val="TableTextEntries"/>
              <w:spacing w:before="0" w:after="0" w:line="280" w:lineRule="atLeast"/>
            </w:pPr>
          </w:p>
          <w:p w:rsidR="00784605" w:rsidRDefault="0040269F" w:rsidP="0040269F">
            <w:pPr>
              <w:pStyle w:val="TableTextEntries"/>
              <w:spacing w:before="0" w:after="0" w:line="280" w:lineRule="atLeast"/>
            </w:pPr>
            <w:r>
              <w:t>A human resource development strategy was developed in</w:t>
            </w:r>
            <w:r w:rsidR="00784605">
              <w:t xml:space="preserve"> 2013-14</w:t>
            </w:r>
            <w:r>
              <w:t xml:space="preserve"> to guide our future assistance in this area</w:t>
            </w:r>
            <w:r w:rsidR="00784605">
              <w:t>. In 2014-15</w:t>
            </w:r>
            <w:r>
              <w:t>,</w:t>
            </w:r>
            <w:r w:rsidR="00784605">
              <w:t xml:space="preserve"> </w:t>
            </w:r>
            <w:r>
              <w:t xml:space="preserve">we </w:t>
            </w:r>
            <w:r w:rsidR="00784605">
              <w:t xml:space="preserve">will design a new investment </w:t>
            </w:r>
            <w:r>
              <w:t xml:space="preserve">in line with this </w:t>
            </w:r>
            <w:r w:rsidR="00784605">
              <w:t>strategy</w:t>
            </w:r>
            <w:r>
              <w:t xml:space="preserve"> and the new Aid Policy</w:t>
            </w:r>
            <w:r w:rsidR="00784605">
              <w:t>. Given the Government</w:t>
            </w:r>
            <w:r>
              <w:t xml:space="preserve"> of Vietnam’s complex ODA management procedures</w:t>
            </w:r>
            <w:r w:rsidR="00784605">
              <w:t>, we believe this benchmark is sufficiently ambitious.</w:t>
            </w:r>
          </w:p>
        </w:tc>
      </w:tr>
      <w:tr w:rsidR="00784605" w:rsidRPr="003B0215" w:rsidTr="00784605">
        <w:tc>
          <w:tcPr>
            <w:tcW w:w="5000"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784605" w:rsidRPr="003B0215" w:rsidRDefault="0040269F" w:rsidP="0040269F">
            <w:pPr>
              <w:pStyle w:val="TableHeading2"/>
              <w:spacing w:before="0" w:after="0" w:line="280" w:lineRule="atLeast"/>
            </w:pPr>
            <w:r>
              <w:t>Transport i</w:t>
            </w:r>
            <w:r w:rsidR="00784605" w:rsidRPr="003B0215">
              <w:t>nfrastructure</w:t>
            </w:r>
            <w:r>
              <w:t xml:space="preserve"> and economic integration</w:t>
            </w:r>
          </w:p>
        </w:tc>
      </w:tr>
      <w:tr w:rsidR="00784605" w:rsidTr="00784605">
        <w:tc>
          <w:tcPr>
            <w:tcW w:w="118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784605" w:rsidRDefault="00784605" w:rsidP="006F226B">
            <w:pPr>
              <w:pStyle w:val="TableTextEntries"/>
              <w:spacing w:before="0" w:after="0" w:line="280" w:lineRule="atLeast"/>
            </w:pPr>
            <w:r>
              <w:t>Better transport infrastructure and policy to support economic integration</w:t>
            </w:r>
          </w:p>
        </w:tc>
        <w:tc>
          <w:tcPr>
            <w:tcW w:w="1189" w:type="pct"/>
            <w:tcBorders>
              <w:top w:val="single" w:sz="4" w:space="0" w:color="auto"/>
              <w:left w:val="single" w:sz="4" w:space="0" w:color="auto"/>
              <w:bottom w:val="single" w:sz="4" w:space="0" w:color="auto"/>
              <w:right w:val="single" w:sz="4" w:space="0" w:color="auto"/>
            </w:tcBorders>
            <w:hideMark/>
          </w:tcPr>
          <w:p w:rsidR="00784605" w:rsidRDefault="00784605" w:rsidP="00837906">
            <w:pPr>
              <w:pStyle w:val="TableTextEntries"/>
              <w:numPr>
                <w:ilvl w:val="0"/>
                <w:numId w:val="61"/>
              </w:numPr>
              <w:spacing w:before="0" w:after="0" w:line="280" w:lineRule="atLeast"/>
            </w:pPr>
            <w:r>
              <w:t>40</w:t>
            </w:r>
            <w:r w:rsidR="00FF3905">
              <w:t xml:space="preserve"> per cent</w:t>
            </w:r>
            <w:r>
              <w:t xml:space="preserve"> of Cao Lanh bridge construction completed</w:t>
            </w:r>
          </w:p>
          <w:p w:rsidR="00784605" w:rsidRDefault="00784605" w:rsidP="006F226B">
            <w:pPr>
              <w:pStyle w:val="TableTextEntries"/>
              <w:spacing w:before="0" w:after="0" w:line="280" w:lineRule="atLeast"/>
            </w:pPr>
          </w:p>
          <w:p w:rsidR="00FF3905" w:rsidRDefault="00FF3905" w:rsidP="006F226B">
            <w:pPr>
              <w:pStyle w:val="TableTextEntries"/>
              <w:spacing w:before="0" w:after="0" w:line="280" w:lineRule="atLeast"/>
            </w:pPr>
          </w:p>
          <w:p w:rsidR="00FF3905" w:rsidRDefault="00FF3905" w:rsidP="006F226B">
            <w:pPr>
              <w:pStyle w:val="TableTextEntries"/>
              <w:spacing w:before="0" w:after="0" w:line="280" w:lineRule="atLeast"/>
            </w:pPr>
          </w:p>
          <w:p w:rsidR="00784605" w:rsidRDefault="00784605" w:rsidP="006F226B">
            <w:pPr>
              <w:pStyle w:val="TableTextEntries"/>
              <w:spacing w:before="0" w:after="0" w:line="280" w:lineRule="atLeast"/>
            </w:pPr>
          </w:p>
          <w:p w:rsidR="00784605" w:rsidRDefault="00784605" w:rsidP="00837906">
            <w:pPr>
              <w:pStyle w:val="TableTextEntries"/>
              <w:numPr>
                <w:ilvl w:val="0"/>
                <w:numId w:val="61"/>
              </w:numPr>
              <w:spacing w:before="0" w:after="0" w:line="280" w:lineRule="atLeast"/>
            </w:pPr>
            <w:r>
              <w:t>Australian</w:t>
            </w:r>
            <w:r w:rsidR="0040269F">
              <w:t xml:space="preserve">-funded </w:t>
            </w:r>
            <w:r>
              <w:t>studies and consultation</w:t>
            </w:r>
            <w:r w:rsidR="0040269F">
              <w:t>s</w:t>
            </w:r>
            <w:r>
              <w:t xml:space="preserve"> are used to revise the Enterprise Law</w:t>
            </w:r>
            <w:r w:rsidR="0040269F">
              <w:t>,</w:t>
            </w:r>
            <w:r>
              <w:t xml:space="preserve"> to reduce costs of private business entry and improve corporate governance</w:t>
            </w:r>
          </w:p>
        </w:tc>
        <w:tc>
          <w:tcPr>
            <w:tcW w:w="2622" w:type="pct"/>
            <w:tcBorders>
              <w:top w:val="single" w:sz="4" w:space="0" w:color="auto"/>
              <w:left w:val="single" w:sz="4" w:space="0" w:color="auto"/>
              <w:bottom w:val="single" w:sz="4" w:space="0" w:color="auto"/>
              <w:right w:val="single" w:sz="4" w:space="0" w:color="auto"/>
            </w:tcBorders>
          </w:tcPr>
          <w:p w:rsidR="00784605" w:rsidRDefault="00784605" w:rsidP="006F226B">
            <w:pPr>
              <w:pStyle w:val="TableTextEntries"/>
              <w:spacing w:before="0" w:after="0" w:line="280" w:lineRule="atLeast"/>
            </w:pPr>
            <w:r>
              <w:t xml:space="preserve">Infrastructure and economic integration </w:t>
            </w:r>
            <w:r w:rsidR="0040269F">
              <w:t xml:space="preserve">represents </w:t>
            </w:r>
            <w:r>
              <w:t xml:space="preserve">around </w:t>
            </w:r>
            <w:r w:rsidR="0040269F">
              <w:t xml:space="preserve">30 </w:t>
            </w:r>
            <w:r>
              <w:t xml:space="preserve">per cent of the </w:t>
            </w:r>
            <w:r w:rsidR="0040269F">
              <w:t>bilateral program budget</w:t>
            </w:r>
            <w:r>
              <w:t xml:space="preserve"> </w:t>
            </w:r>
            <w:r w:rsidR="0040269F">
              <w:t>and t</w:t>
            </w:r>
            <w:r>
              <w:t xml:space="preserve">he </w:t>
            </w:r>
            <w:r w:rsidR="0040269F">
              <w:t xml:space="preserve">Cao Lanh bridge project </w:t>
            </w:r>
            <w:r>
              <w:t xml:space="preserve">is </w:t>
            </w:r>
            <w:r w:rsidR="0040269F">
              <w:t xml:space="preserve">a </w:t>
            </w:r>
            <w:r>
              <w:t xml:space="preserve">flagship investment, </w:t>
            </w:r>
            <w:r w:rsidR="0040269F">
              <w:t xml:space="preserve">representing the entire </w:t>
            </w:r>
            <w:r>
              <w:t xml:space="preserve">infrastructure budget allocation </w:t>
            </w:r>
            <w:r w:rsidR="0040269F">
              <w:t>for</w:t>
            </w:r>
            <w:r>
              <w:t xml:space="preserve"> 2014-15</w:t>
            </w:r>
            <w:r w:rsidR="0040269F">
              <w:t xml:space="preserve">. Given </w:t>
            </w:r>
            <w:r>
              <w:t xml:space="preserve">the contractor was mobilised in March 2014 and the construction </w:t>
            </w:r>
            <w:r w:rsidR="0040269F">
              <w:t xml:space="preserve">is </w:t>
            </w:r>
            <w:r>
              <w:t xml:space="preserve">scheduled </w:t>
            </w:r>
            <w:r w:rsidR="0040269F">
              <w:t xml:space="preserve">to take </w:t>
            </w:r>
            <w:r>
              <w:t>44 months, we believe this benchmark is sufficiently ambitious.</w:t>
            </w:r>
          </w:p>
          <w:p w:rsidR="0040269F" w:rsidRDefault="0040269F" w:rsidP="006F226B">
            <w:pPr>
              <w:pStyle w:val="TableTextEntries"/>
              <w:spacing w:before="0" w:after="0" w:line="280" w:lineRule="atLeast"/>
            </w:pPr>
          </w:p>
          <w:p w:rsidR="00784605" w:rsidRDefault="002D2ACC" w:rsidP="002D2ACC">
            <w:pPr>
              <w:pStyle w:val="TableTextEntries"/>
              <w:spacing w:before="0" w:after="0" w:line="280" w:lineRule="atLeast"/>
            </w:pPr>
            <w:r>
              <w:t>This work forms part of t</w:t>
            </w:r>
            <w:r w:rsidR="0040269F">
              <w:t xml:space="preserve">he </w:t>
            </w:r>
            <w:r w:rsidR="00784605">
              <w:t xml:space="preserve">Restructuring for a more Competitive Vietnam (RCV) </w:t>
            </w:r>
            <w:r w:rsidR="0040269F">
              <w:t>project</w:t>
            </w:r>
            <w:r>
              <w:t>,</w:t>
            </w:r>
            <w:r w:rsidR="0040269F">
              <w:t xml:space="preserve"> </w:t>
            </w:r>
            <w:r>
              <w:t xml:space="preserve">which </w:t>
            </w:r>
            <w:r w:rsidR="00784605">
              <w:t xml:space="preserve">is </w:t>
            </w:r>
            <w:r w:rsidR="0040269F">
              <w:t xml:space="preserve">our </w:t>
            </w:r>
            <w:r w:rsidR="00784605">
              <w:t xml:space="preserve">key </w:t>
            </w:r>
            <w:r w:rsidR="0040269F">
              <w:t xml:space="preserve">investment supporting Vietnam’s </w:t>
            </w:r>
            <w:r w:rsidR="00784605">
              <w:t xml:space="preserve">economic </w:t>
            </w:r>
            <w:r w:rsidR="0040269F">
              <w:t>reform.</w:t>
            </w:r>
            <w:r w:rsidR="00784605">
              <w:t xml:space="preserve"> </w:t>
            </w:r>
            <w:r>
              <w:t>Given the project commenced in early 2014, we believe this benchmark is sufficiently ambitious.</w:t>
            </w:r>
          </w:p>
        </w:tc>
      </w:tr>
      <w:tr w:rsidR="00784605" w:rsidRPr="005707F8" w:rsidTr="00784605">
        <w:tc>
          <w:tcPr>
            <w:tcW w:w="5000"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84605" w:rsidRPr="003B0215" w:rsidRDefault="00AB721B" w:rsidP="00AB721B">
            <w:pPr>
              <w:pStyle w:val="TableTextEntries"/>
              <w:spacing w:before="0" w:after="0" w:line="280" w:lineRule="atLeast"/>
              <w:rPr>
                <w:b/>
                <w:i/>
              </w:rPr>
            </w:pPr>
            <w:r>
              <w:rPr>
                <w:b/>
                <w:i/>
              </w:rPr>
              <w:t>Rural w</w:t>
            </w:r>
            <w:r w:rsidR="00784605" w:rsidRPr="003B0215">
              <w:rPr>
                <w:b/>
                <w:i/>
              </w:rPr>
              <w:t xml:space="preserve">ater </w:t>
            </w:r>
            <w:r>
              <w:rPr>
                <w:b/>
                <w:i/>
              </w:rPr>
              <w:t>s</w:t>
            </w:r>
            <w:r w:rsidR="00784605" w:rsidRPr="003B0215">
              <w:rPr>
                <w:b/>
                <w:i/>
              </w:rPr>
              <w:t xml:space="preserve">upply and sanitation </w:t>
            </w:r>
          </w:p>
        </w:tc>
      </w:tr>
      <w:tr w:rsidR="00784605" w:rsidRPr="005707F8" w:rsidTr="00784605">
        <w:tc>
          <w:tcPr>
            <w:tcW w:w="118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784605" w:rsidRPr="005707F8" w:rsidRDefault="00784605" w:rsidP="006F226B">
            <w:pPr>
              <w:pStyle w:val="TableTextEntries"/>
              <w:spacing w:before="0" w:after="0" w:line="280" w:lineRule="atLeast"/>
            </w:pPr>
            <w:r w:rsidRPr="005707F8">
              <w:t xml:space="preserve">Increase rural access to clean water and </w:t>
            </w:r>
            <w:r w:rsidRPr="005707F8">
              <w:lastRenderedPageBreak/>
              <w:t xml:space="preserve">hygienic sanitation </w:t>
            </w:r>
          </w:p>
        </w:tc>
        <w:tc>
          <w:tcPr>
            <w:tcW w:w="1189" w:type="pct"/>
            <w:tcBorders>
              <w:top w:val="single" w:sz="4" w:space="0" w:color="auto"/>
              <w:left w:val="single" w:sz="4" w:space="0" w:color="auto"/>
              <w:bottom w:val="single" w:sz="4" w:space="0" w:color="auto"/>
              <w:right w:val="single" w:sz="4" w:space="0" w:color="auto"/>
            </w:tcBorders>
            <w:hideMark/>
          </w:tcPr>
          <w:p w:rsidR="00784605" w:rsidRDefault="00641ADA" w:rsidP="00837906">
            <w:pPr>
              <w:pStyle w:val="TableTextEntries"/>
              <w:numPr>
                <w:ilvl w:val="0"/>
                <w:numId w:val="61"/>
              </w:numPr>
              <w:spacing w:before="0" w:after="0" w:line="280" w:lineRule="atLeast"/>
            </w:pPr>
            <w:r>
              <w:lastRenderedPageBreak/>
              <w:t>An a</w:t>
            </w:r>
            <w:r w:rsidR="00784605" w:rsidRPr="005707F8">
              <w:t xml:space="preserve">dditional </w:t>
            </w:r>
            <w:r w:rsidR="00784605">
              <w:t>1,100,000</w:t>
            </w:r>
            <w:r w:rsidR="00784605" w:rsidRPr="005707F8">
              <w:t xml:space="preserve"> people have </w:t>
            </w:r>
            <w:r w:rsidR="00784605" w:rsidRPr="005707F8">
              <w:lastRenderedPageBreak/>
              <w:t xml:space="preserve">access to clean water and an additional </w:t>
            </w:r>
            <w:r w:rsidR="00784605">
              <w:t>2,500,000 people</w:t>
            </w:r>
            <w:r w:rsidR="00784605" w:rsidRPr="005707F8">
              <w:t xml:space="preserve"> </w:t>
            </w:r>
            <w:r>
              <w:t xml:space="preserve">have </w:t>
            </w:r>
            <w:r w:rsidR="00784605" w:rsidRPr="005707F8">
              <w:t>increased access to basic sanitation</w:t>
            </w:r>
          </w:p>
          <w:p w:rsidR="00784605" w:rsidRDefault="00784605" w:rsidP="006F226B">
            <w:pPr>
              <w:pStyle w:val="TableTextEntries"/>
              <w:spacing w:before="0" w:after="0" w:line="280" w:lineRule="atLeast"/>
            </w:pPr>
          </w:p>
          <w:p w:rsidR="00784605" w:rsidRPr="005707F8" w:rsidRDefault="00784605" w:rsidP="00837906">
            <w:pPr>
              <w:pStyle w:val="TableTextEntries"/>
              <w:numPr>
                <w:ilvl w:val="0"/>
                <w:numId w:val="61"/>
              </w:numPr>
              <w:spacing w:before="0" w:after="0" w:line="280" w:lineRule="atLeast"/>
            </w:pPr>
            <w:r>
              <w:t>75</w:t>
            </w:r>
            <w:r w:rsidR="00FF3905">
              <w:t xml:space="preserve"> per cent </w:t>
            </w:r>
            <w:r>
              <w:t>of rural pipeline schemes (approximately 550 schemes) are improved or upgraded</w:t>
            </w:r>
          </w:p>
        </w:tc>
        <w:tc>
          <w:tcPr>
            <w:tcW w:w="2622" w:type="pct"/>
            <w:tcBorders>
              <w:top w:val="single" w:sz="4" w:space="0" w:color="auto"/>
              <w:left w:val="single" w:sz="4" w:space="0" w:color="auto"/>
              <w:bottom w:val="single" w:sz="4" w:space="0" w:color="auto"/>
              <w:right w:val="single" w:sz="4" w:space="0" w:color="auto"/>
            </w:tcBorders>
          </w:tcPr>
          <w:p w:rsidR="00784605" w:rsidRDefault="00641ADA" w:rsidP="006F226B">
            <w:pPr>
              <w:pStyle w:val="TableTextEntries"/>
              <w:spacing w:before="0" w:after="0" w:line="280" w:lineRule="atLeast"/>
            </w:pPr>
            <w:r>
              <w:lastRenderedPageBreak/>
              <w:t>Support for improved rural w</w:t>
            </w:r>
            <w:r w:rsidR="00784605">
              <w:t xml:space="preserve">ater and </w:t>
            </w:r>
            <w:r>
              <w:t>s</w:t>
            </w:r>
            <w:r w:rsidR="00784605">
              <w:t xml:space="preserve">anitation </w:t>
            </w:r>
            <w:r>
              <w:t xml:space="preserve">represents </w:t>
            </w:r>
            <w:r w:rsidR="00784605">
              <w:t xml:space="preserve">around 17 per cent of </w:t>
            </w:r>
            <w:r>
              <w:t xml:space="preserve">the bilateral </w:t>
            </w:r>
            <w:r>
              <w:lastRenderedPageBreak/>
              <w:t>program budget</w:t>
            </w:r>
            <w:r w:rsidR="00784605">
              <w:t>. Given the last year</w:t>
            </w:r>
            <w:r w:rsidR="003C30ED">
              <w:t>’s</w:t>
            </w:r>
            <w:r w:rsidR="00784605">
              <w:t xml:space="preserve"> achievement and this year</w:t>
            </w:r>
            <w:r w:rsidR="003C30ED">
              <w:t>’s</w:t>
            </w:r>
            <w:r w:rsidR="00784605">
              <w:t xml:space="preserve"> focus on sanitation, we think the benchmark is ambitious enough.</w:t>
            </w:r>
          </w:p>
          <w:p w:rsidR="003C30ED" w:rsidRDefault="003C30ED" w:rsidP="006F226B">
            <w:pPr>
              <w:pStyle w:val="TableTextEntries"/>
              <w:spacing w:before="0" w:after="0" w:line="280" w:lineRule="atLeast"/>
            </w:pPr>
          </w:p>
          <w:p w:rsidR="003C30ED" w:rsidRDefault="003C30ED" w:rsidP="006F226B">
            <w:pPr>
              <w:pStyle w:val="TableTextEntries"/>
              <w:spacing w:before="0" w:after="0" w:line="280" w:lineRule="atLeast"/>
            </w:pPr>
          </w:p>
          <w:p w:rsidR="00784605" w:rsidRPr="005707F8" w:rsidRDefault="00784605" w:rsidP="003C30ED">
            <w:pPr>
              <w:pStyle w:val="TableTextEntries"/>
              <w:spacing w:before="0" w:after="0" w:line="280" w:lineRule="atLeast"/>
            </w:pPr>
            <w:r>
              <w:t>Operation</w:t>
            </w:r>
            <w:r w:rsidR="003C30ED">
              <w:t>s</w:t>
            </w:r>
            <w:r>
              <w:t xml:space="preserve"> and </w:t>
            </w:r>
            <w:r w:rsidR="003C30ED">
              <w:t>m</w:t>
            </w:r>
            <w:r>
              <w:t>aintenance for sustainability is important for program delivery. Australia strongly advocate</w:t>
            </w:r>
            <w:r w:rsidR="003C30ED">
              <w:t>s</w:t>
            </w:r>
            <w:r>
              <w:t xml:space="preserve"> for and provide</w:t>
            </w:r>
            <w:r w:rsidR="003C30ED">
              <w:t>s</w:t>
            </w:r>
            <w:r>
              <w:t xml:space="preserve"> technical assistance </w:t>
            </w:r>
            <w:r w:rsidR="003C30ED">
              <w:t xml:space="preserve">for operations and maintenance through </w:t>
            </w:r>
            <w:r>
              <w:t xml:space="preserve">the </w:t>
            </w:r>
            <w:r w:rsidR="003C30ED">
              <w:t xml:space="preserve">RWSS </w:t>
            </w:r>
            <w:r>
              <w:t>NTP</w:t>
            </w:r>
            <w:r w:rsidR="003C30ED">
              <w:t>3,</w:t>
            </w:r>
            <w:r>
              <w:t xml:space="preserve"> as well as </w:t>
            </w:r>
            <w:r w:rsidR="003C30ED">
              <w:t xml:space="preserve">via </w:t>
            </w:r>
            <w:r>
              <w:t>private sector participation.</w:t>
            </w:r>
          </w:p>
        </w:tc>
      </w:tr>
      <w:tr w:rsidR="00AB721B" w:rsidRPr="005707F8" w:rsidTr="00AB721B">
        <w:tc>
          <w:tcPr>
            <w:tcW w:w="5000" w:type="pct"/>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AB721B" w:rsidRDefault="00AB721B" w:rsidP="00AB721B">
            <w:pPr>
              <w:pStyle w:val="TableTextEntries"/>
              <w:spacing w:before="0" w:after="0" w:line="280" w:lineRule="atLeast"/>
            </w:pPr>
            <w:r w:rsidRPr="00D611EA">
              <w:rPr>
                <w:b/>
                <w:i/>
              </w:rPr>
              <w:lastRenderedPageBreak/>
              <w:t xml:space="preserve">Climate </w:t>
            </w:r>
            <w:r>
              <w:rPr>
                <w:b/>
                <w:i/>
              </w:rPr>
              <w:t>c</w:t>
            </w:r>
            <w:r w:rsidRPr="00D611EA">
              <w:rPr>
                <w:b/>
                <w:i/>
              </w:rPr>
              <w:t>hange</w:t>
            </w:r>
            <w:r>
              <w:rPr>
                <w:b/>
                <w:i/>
              </w:rPr>
              <w:t xml:space="preserve"> and disaster risk reduction</w:t>
            </w:r>
          </w:p>
        </w:tc>
      </w:tr>
      <w:tr w:rsidR="00784605" w:rsidTr="00784605">
        <w:tc>
          <w:tcPr>
            <w:tcW w:w="1189"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84605" w:rsidRDefault="00784605" w:rsidP="00AB721B">
            <w:pPr>
              <w:pStyle w:val="TableTextEntries"/>
              <w:spacing w:before="0" w:after="0" w:line="280" w:lineRule="atLeast"/>
            </w:pPr>
            <w:r>
              <w:t>Advance climate change adaptation and  mitigation</w:t>
            </w:r>
            <w:r w:rsidR="003A5813">
              <w:t>, focusing on the Mekong Delta</w:t>
            </w:r>
            <w:r>
              <w:t xml:space="preserve"> </w:t>
            </w:r>
          </w:p>
        </w:tc>
        <w:tc>
          <w:tcPr>
            <w:tcW w:w="1189" w:type="pct"/>
            <w:tcBorders>
              <w:top w:val="single" w:sz="4" w:space="0" w:color="auto"/>
              <w:left w:val="single" w:sz="4" w:space="0" w:color="auto"/>
              <w:bottom w:val="single" w:sz="4" w:space="0" w:color="auto"/>
              <w:right w:val="single" w:sz="4" w:space="0" w:color="auto"/>
            </w:tcBorders>
          </w:tcPr>
          <w:p w:rsidR="00784605" w:rsidRPr="003475F4" w:rsidRDefault="00784605" w:rsidP="00837906">
            <w:pPr>
              <w:pStyle w:val="TableTextEntries"/>
              <w:numPr>
                <w:ilvl w:val="0"/>
                <w:numId w:val="61"/>
              </w:numPr>
              <w:spacing w:before="0" w:after="0" w:line="280" w:lineRule="atLeast"/>
            </w:pPr>
            <w:r w:rsidRPr="003475F4">
              <w:t>247,000 people have increased resilience to climate change and natural disasters</w:t>
            </w:r>
          </w:p>
          <w:p w:rsidR="00784605" w:rsidRDefault="00784605" w:rsidP="006F226B">
            <w:pPr>
              <w:pStyle w:val="TableTextEntries"/>
              <w:spacing w:before="0" w:after="0" w:line="280" w:lineRule="atLeast"/>
            </w:pPr>
          </w:p>
          <w:p w:rsidR="003A5813" w:rsidRPr="00FB3056" w:rsidRDefault="003A5813" w:rsidP="006F226B">
            <w:pPr>
              <w:pStyle w:val="TableTextEntries"/>
              <w:spacing w:before="0" w:after="0" w:line="280" w:lineRule="atLeast"/>
            </w:pPr>
          </w:p>
          <w:p w:rsidR="00784605" w:rsidRDefault="003A5813" w:rsidP="00837906">
            <w:pPr>
              <w:pStyle w:val="TableTextEntries"/>
              <w:numPr>
                <w:ilvl w:val="0"/>
                <w:numId w:val="61"/>
              </w:numPr>
              <w:spacing w:before="0" w:after="0" w:line="280" w:lineRule="atLeast"/>
            </w:pPr>
            <w:r w:rsidRPr="00FB3056">
              <w:t xml:space="preserve">Government </w:t>
            </w:r>
            <w:r>
              <w:t>of Vietnam</w:t>
            </w:r>
            <w:r w:rsidRPr="00FB3056">
              <w:t xml:space="preserve"> </w:t>
            </w:r>
            <w:r>
              <w:t xml:space="preserve">approves </w:t>
            </w:r>
            <w:r w:rsidRPr="00FB3056">
              <w:t xml:space="preserve">development and implementation </w:t>
            </w:r>
            <w:r>
              <w:t xml:space="preserve">of </w:t>
            </w:r>
            <w:r w:rsidRPr="00FB3056">
              <w:t xml:space="preserve">priority actions addressing </w:t>
            </w:r>
            <w:r>
              <w:t>eight</w:t>
            </w:r>
            <w:r w:rsidRPr="00FB3056">
              <w:t xml:space="preserve"> strategic tasks of </w:t>
            </w:r>
            <w:r>
              <w:t>the National Climate Change Strategy</w:t>
            </w:r>
          </w:p>
        </w:tc>
        <w:tc>
          <w:tcPr>
            <w:tcW w:w="2622" w:type="pct"/>
            <w:tcBorders>
              <w:top w:val="single" w:sz="4" w:space="0" w:color="auto"/>
              <w:left w:val="single" w:sz="4" w:space="0" w:color="auto"/>
              <w:bottom w:val="single" w:sz="4" w:space="0" w:color="auto"/>
              <w:right w:val="single" w:sz="4" w:space="0" w:color="auto"/>
            </w:tcBorders>
          </w:tcPr>
          <w:p w:rsidR="00784605" w:rsidRDefault="00784605" w:rsidP="006F226B">
            <w:pPr>
              <w:pStyle w:val="TableTextEntries"/>
              <w:spacing w:before="0" w:after="0" w:line="280" w:lineRule="atLeast"/>
            </w:pPr>
            <w:r>
              <w:t xml:space="preserve">Climate change adaptation and disaster risk reduction </w:t>
            </w:r>
            <w:r w:rsidR="003A5813">
              <w:t xml:space="preserve">represents </w:t>
            </w:r>
            <w:r>
              <w:t>around 10</w:t>
            </w:r>
            <w:r w:rsidR="003A5813">
              <w:t> per cent</w:t>
            </w:r>
            <w:r>
              <w:t xml:space="preserve"> of the </w:t>
            </w:r>
            <w:r w:rsidR="003A5813">
              <w:t>bilateral program budget</w:t>
            </w:r>
            <w:r w:rsidR="003C30ED">
              <w:t>, and our six NGO partner</w:t>
            </w:r>
            <w:r w:rsidR="003A5813">
              <w:t>s</w:t>
            </w:r>
            <w:r w:rsidR="003C30ED">
              <w:t>hi</w:t>
            </w:r>
            <w:r w:rsidR="003A5813">
              <w:t>p</w:t>
            </w:r>
            <w:r w:rsidR="003C30ED">
              <w:t xml:space="preserve">s under the Community-based Climate Change Action Grants </w:t>
            </w:r>
            <w:r w:rsidR="003A5813">
              <w:t xml:space="preserve">are an important part of this. </w:t>
            </w:r>
            <w:r>
              <w:t>Given the last year</w:t>
            </w:r>
            <w:r w:rsidR="00AB721B">
              <w:t>’s</w:t>
            </w:r>
            <w:r>
              <w:t xml:space="preserve"> achievement of 115</w:t>
            </w:r>
            <w:r w:rsidR="003A5813">
              <w:t> </w:t>
            </w:r>
            <w:r>
              <w:t>000 people we believe the benchmark is sufficient</w:t>
            </w:r>
            <w:r w:rsidR="00AB721B">
              <w:t>ly ambitious</w:t>
            </w:r>
            <w:r>
              <w:t>.</w:t>
            </w:r>
          </w:p>
          <w:p w:rsidR="003A5813" w:rsidRDefault="003A5813" w:rsidP="006F226B">
            <w:pPr>
              <w:pStyle w:val="TableTextEntries"/>
              <w:spacing w:before="0" w:after="0" w:line="280" w:lineRule="atLeast"/>
            </w:pPr>
          </w:p>
          <w:p w:rsidR="00784605" w:rsidRDefault="00784605" w:rsidP="009A561A">
            <w:pPr>
              <w:pStyle w:val="TableTextEntries"/>
              <w:spacing w:before="0" w:after="0" w:line="280" w:lineRule="atLeast"/>
            </w:pPr>
            <w:r>
              <w:t xml:space="preserve">DFAT </w:t>
            </w:r>
            <w:r w:rsidR="003A5813">
              <w:t xml:space="preserve">has </w:t>
            </w:r>
            <w:r>
              <w:t xml:space="preserve">provided </w:t>
            </w:r>
            <w:r w:rsidR="003A5813">
              <w:t>$</w:t>
            </w:r>
            <w:r>
              <w:t xml:space="preserve">14 million to </w:t>
            </w:r>
            <w:r w:rsidR="003A5813">
              <w:t>the S</w:t>
            </w:r>
            <w:r>
              <w:t>upport Program to Respon</w:t>
            </w:r>
            <w:r w:rsidR="003A5813">
              <w:t>d</w:t>
            </w:r>
            <w:r>
              <w:t xml:space="preserve"> to Climate Change</w:t>
            </w:r>
            <w:r w:rsidR="003A5813">
              <w:t xml:space="preserve">, and </w:t>
            </w:r>
            <w:r>
              <w:t>DFAT</w:t>
            </w:r>
            <w:r w:rsidR="003A5813">
              <w:t>’s</w:t>
            </w:r>
            <w:r>
              <w:t xml:space="preserve"> </w:t>
            </w:r>
            <w:r w:rsidR="003A5813">
              <w:t xml:space="preserve">continued </w:t>
            </w:r>
            <w:r>
              <w:t xml:space="preserve">engagement in policy developments and dialogue </w:t>
            </w:r>
            <w:r w:rsidR="003A5813">
              <w:t xml:space="preserve">is </w:t>
            </w:r>
            <w:r>
              <w:t xml:space="preserve">critical to achieve high level outcomes </w:t>
            </w:r>
            <w:r w:rsidR="003A5813">
              <w:t xml:space="preserve">for </w:t>
            </w:r>
            <w:r>
              <w:t>other DFAT investment</w:t>
            </w:r>
            <w:r w:rsidR="003A5813">
              <w:t>s</w:t>
            </w:r>
            <w:r>
              <w:t xml:space="preserve"> </w:t>
            </w:r>
            <w:r w:rsidR="003A5813">
              <w:t xml:space="preserve">in this </w:t>
            </w:r>
            <w:r w:rsidR="003A5813" w:rsidRPr="009A561A">
              <w:t xml:space="preserve">area. </w:t>
            </w:r>
            <w:r w:rsidR="00DB65B3" w:rsidRPr="009A561A">
              <w:t xml:space="preserve">This outcome </w:t>
            </w:r>
            <w:r w:rsidR="009A561A">
              <w:t>will</w:t>
            </w:r>
            <w:r w:rsidR="00DB65B3" w:rsidRPr="009A561A">
              <w:t xml:space="preserve"> be the cumulative result of technical input, financing and negotiations by like-minded donors including Australia, and b</w:t>
            </w:r>
            <w:r w:rsidR="003A5813" w:rsidRPr="009A561A">
              <w:t xml:space="preserve">ased on </w:t>
            </w:r>
            <w:r w:rsidR="00AB721B" w:rsidRPr="009A561A">
              <w:t>progress on policy actions to date, we believe this benchmark is sufficiently ambitious.</w:t>
            </w:r>
          </w:p>
        </w:tc>
      </w:tr>
    </w:tbl>
    <w:p w:rsidR="00A97C32" w:rsidRDefault="00A97C32">
      <w:pPr>
        <w:spacing w:after="200" w:line="276" w:lineRule="auto"/>
        <w:rPr>
          <w:rFonts w:ascii="Helvetica" w:eastAsia="Times New Roman" w:hAnsi="Helvetica" w:cs="Arial"/>
          <w:color w:val="007FAD"/>
          <w:kern w:val="28"/>
          <w:sz w:val="28"/>
          <w:szCs w:val="28"/>
        </w:rPr>
      </w:pPr>
      <w:r>
        <w:rPr>
          <w:rFonts w:ascii="Helvetica" w:eastAsia="Times New Roman" w:hAnsi="Helvetica" w:cs="Arial"/>
          <w:color w:val="007FAD"/>
          <w:kern w:val="28"/>
          <w:sz w:val="28"/>
          <w:szCs w:val="28"/>
        </w:rPr>
        <w:br w:type="page"/>
      </w:r>
    </w:p>
    <w:p w:rsidR="00A97C32" w:rsidRDefault="00A97C32" w:rsidP="00837906">
      <w:pPr>
        <w:pStyle w:val="Heading2"/>
        <w:keepNext w:val="0"/>
        <w:spacing w:before="0" w:line="280" w:lineRule="atLeast"/>
        <w:rPr>
          <w:sz w:val="28"/>
        </w:rPr>
      </w:pPr>
      <w:r w:rsidRPr="009E38C1">
        <w:rPr>
          <w:sz w:val="28"/>
        </w:rPr>
        <w:lastRenderedPageBreak/>
        <w:t xml:space="preserve">Annex </w:t>
      </w:r>
      <w:r>
        <w:rPr>
          <w:sz w:val="28"/>
        </w:rPr>
        <w:t>E – Performance Assessment Framework 2013-14</w:t>
      </w:r>
    </w:p>
    <w:tbl>
      <w:tblPr>
        <w:tblStyle w:val="APPR"/>
        <w:tblW w:w="5000" w:type="pct"/>
        <w:tblLook w:val="01E0" w:firstRow="1" w:lastRow="1" w:firstColumn="1" w:lastColumn="1" w:noHBand="0" w:noVBand="0"/>
      </w:tblPr>
      <w:tblGrid>
        <w:gridCol w:w="1321"/>
        <w:gridCol w:w="1220"/>
        <w:gridCol w:w="1827"/>
        <w:gridCol w:w="638"/>
        <w:gridCol w:w="2191"/>
        <w:gridCol w:w="536"/>
        <w:gridCol w:w="2339"/>
        <w:gridCol w:w="2232"/>
        <w:gridCol w:w="1693"/>
      </w:tblGrid>
      <w:tr w:rsid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top w:val="single" w:sz="12" w:space="0" w:color="000000" w:themeColor="text1"/>
              <w:left w:val="single" w:sz="12" w:space="0" w:color="000000" w:themeColor="text1"/>
              <w:bottom w:val="single" w:sz="2" w:space="0" w:color="000000" w:themeColor="text1"/>
              <w:right w:val="nil"/>
            </w:tcBorders>
            <w:hideMark/>
          </w:tcPr>
          <w:p w:rsidR="00625052" w:rsidRDefault="00625052" w:rsidP="00837906">
            <w:pPr>
              <w:pStyle w:val="TableTextColumnHeading"/>
              <w:keepLines w:val="0"/>
            </w:pPr>
            <w:r>
              <w:t>Vietnam development goal</w:t>
            </w:r>
          </w:p>
        </w:tc>
        <w:tc>
          <w:tcPr>
            <w:tcW w:w="428" w:type="pct"/>
            <w:tcBorders>
              <w:top w:val="single" w:sz="12" w:space="0" w:color="000000" w:themeColor="text1"/>
              <w:left w:val="nil"/>
              <w:bottom w:val="single" w:sz="2" w:space="0" w:color="000000" w:themeColor="text1"/>
              <w:right w:val="nil"/>
            </w:tcBorders>
            <w:hideMark/>
          </w:tcPr>
          <w:p w:rsidR="00625052" w:rsidRDefault="00625052" w:rsidP="00837906">
            <w:pPr>
              <w:pStyle w:val="TableTextColumnHeading"/>
              <w:keepLines w:val="0"/>
            </w:pPr>
            <w:r>
              <w:t>Strategy objective</w:t>
            </w:r>
          </w:p>
        </w:tc>
        <w:tc>
          <w:tcPr>
            <w:tcW w:w="646" w:type="pct"/>
            <w:tcBorders>
              <w:top w:val="single" w:sz="12" w:space="0" w:color="000000" w:themeColor="text1"/>
              <w:left w:val="nil"/>
              <w:bottom w:val="single" w:sz="2" w:space="0" w:color="000000" w:themeColor="text1"/>
              <w:right w:val="nil"/>
            </w:tcBorders>
            <w:hideMark/>
          </w:tcPr>
          <w:p w:rsidR="00625052" w:rsidRDefault="00625052" w:rsidP="00837906">
            <w:pPr>
              <w:pStyle w:val="TableTextColumnHeading"/>
              <w:keepLines w:val="0"/>
            </w:pPr>
            <w:r>
              <w:t>Strategy objective indicators/targets 2015</w:t>
            </w:r>
          </w:p>
        </w:tc>
        <w:tc>
          <w:tcPr>
            <w:tcW w:w="1178" w:type="pct"/>
            <w:gridSpan w:val="3"/>
            <w:tcBorders>
              <w:top w:val="single" w:sz="12" w:space="0" w:color="000000" w:themeColor="text1"/>
              <w:left w:val="nil"/>
              <w:bottom w:val="single" w:sz="2" w:space="0" w:color="000000" w:themeColor="text1"/>
              <w:right w:val="nil"/>
            </w:tcBorders>
            <w:hideMark/>
          </w:tcPr>
          <w:p w:rsidR="00625052" w:rsidRDefault="00625052" w:rsidP="00837906">
            <w:pPr>
              <w:pStyle w:val="TableTextColumnHeading"/>
              <w:keepLines w:val="0"/>
            </w:pPr>
            <w:r>
              <w:t>Annual milestones 2013-14</w:t>
            </w:r>
          </w:p>
        </w:tc>
        <w:tc>
          <w:tcPr>
            <w:tcW w:w="830" w:type="pct"/>
            <w:tcBorders>
              <w:top w:val="single" w:sz="12" w:space="0" w:color="000000" w:themeColor="text1"/>
              <w:left w:val="nil"/>
              <w:bottom w:val="single" w:sz="2" w:space="0" w:color="000000" w:themeColor="text1"/>
              <w:right w:val="nil"/>
            </w:tcBorders>
            <w:hideMark/>
          </w:tcPr>
          <w:p w:rsidR="00625052" w:rsidRDefault="00625052" w:rsidP="00837906">
            <w:pPr>
              <w:pStyle w:val="TableTextColumnHeading"/>
              <w:keepLines w:val="0"/>
            </w:pPr>
            <w:r>
              <w:t>Progress against 2013-14 milestones</w:t>
            </w:r>
          </w:p>
        </w:tc>
        <w:tc>
          <w:tcPr>
            <w:tcW w:w="791" w:type="pct"/>
            <w:tcBorders>
              <w:top w:val="single" w:sz="12" w:space="0" w:color="000000" w:themeColor="text1"/>
              <w:left w:val="nil"/>
              <w:bottom w:val="single" w:sz="2" w:space="0" w:color="000000" w:themeColor="text1"/>
              <w:right w:val="nil"/>
            </w:tcBorders>
            <w:hideMark/>
          </w:tcPr>
          <w:p w:rsidR="00625052" w:rsidRDefault="00625052" w:rsidP="00837906">
            <w:pPr>
              <w:pStyle w:val="TableTextColumnHeading"/>
              <w:keepLines w:val="0"/>
            </w:pPr>
            <w:r>
              <w:t>2014-15 milestones</w:t>
            </w:r>
          </w:p>
        </w:tc>
        <w:tc>
          <w:tcPr>
            <w:tcW w:w="592" w:type="pct"/>
            <w:tcBorders>
              <w:top w:val="single" w:sz="12" w:space="0" w:color="000000" w:themeColor="text1"/>
              <w:left w:val="nil"/>
              <w:bottom w:val="single" w:sz="2" w:space="0" w:color="000000" w:themeColor="text1"/>
              <w:right w:val="single" w:sz="12" w:space="0" w:color="000000" w:themeColor="text1"/>
            </w:tcBorders>
          </w:tcPr>
          <w:p w:rsidR="00625052" w:rsidRDefault="00625052" w:rsidP="00837906">
            <w:pPr>
              <w:pStyle w:val="TableTextColumnHeading"/>
              <w:keepLines w:val="0"/>
            </w:pPr>
            <w:r>
              <w:t>Australian Government assistance</w:t>
            </w:r>
          </w:p>
        </w:tc>
      </w:tr>
      <w:tr w:rsidR="007F69E9" w:rsidRPr="00625052" w:rsidTr="00036861">
        <w:trPr>
          <w:cnfStyle w:val="100000000000" w:firstRow="1" w:lastRow="0" w:firstColumn="0" w:lastColumn="0" w:oddVBand="0" w:evenVBand="0" w:oddHBand="0" w:evenHBand="0" w:firstRowFirstColumn="0" w:firstRowLastColumn="0" w:lastRowFirstColumn="0" w:lastRowLastColumn="0"/>
          <w:cantSplit/>
          <w:trHeight w:val="6114"/>
        </w:trPr>
        <w:tc>
          <w:tcPr>
            <w:tcW w:w="455" w:type="pct"/>
            <w:tcBorders>
              <w:left w:val="single" w:sz="12" w:space="0" w:color="000000" w:themeColor="text1"/>
              <w:right w:val="nil"/>
            </w:tcBorders>
            <w:hideMark/>
          </w:tcPr>
          <w:p w:rsidR="00625052" w:rsidRPr="000D1353" w:rsidRDefault="00625052" w:rsidP="00837906">
            <w:pPr>
              <w:pStyle w:val="TableTextEntries"/>
              <w:keepLines w:val="0"/>
              <w:rPr>
                <w:b w:val="0"/>
              </w:rPr>
            </w:pPr>
            <w:r w:rsidRPr="000D1353">
              <w:rPr>
                <w:b w:val="0"/>
              </w:rPr>
              <w:t>To meet human resources needs associated with progression to industrialised country by 2020</w:t>
            </w:r>
          </w:p>
        </w:tc>
        <w:tc>
          <w:tcPr>
            <w:tcW w:w="428" w:type="pct"/>
            <w:tcBorders>
              <w:left w:val="nil"/>
              <w:right w:val="nil"/>
            </w:tcBorders>
            <w:hideMark/>
          </w:tcPr>
          <w:p w:rsidR="00625052" w:rsidRPr="000D1353" w:rsidRDefault="00625052" w:rsidP="00837906">
            <w:pPr>
              <w:pStyle w:val="TableTextEntries"/>
              <w:keepLines w:val="0"/>
              <w:rPr>
                <w:b w:val="0"/>
              </w:rPr>
            </w:pPr>
            <w:r w:rsidRPr="000D1353">
              <w:rPr>
                <w:b w:val="0"/>
              </w:rPr>
              <w:t>Improve the quality of Vietnam’s human resources</w:t>
            </w:r>
          </w:p>
        </w:tc>
        <w:tc>
          <w:tcPr>
            <w:tcW w:w="646" w:type="pct"/>
            <w:tcBorders>
              <w:left w:val="nil"/>
              <w:right w:val="nil"/>
            </w:tcBorders>
          </w:tcPr>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r w:rsidRPr="000D1353">
              <w:rPr>
                <w:b w:val="0"/>
              </w:rPr>
              <w:t>1 380 scholarships and 300 fellowships delivered</w:t>
            </w: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r w:rsidRPr="000D1353">
              <w:rPr>
                <w:b w:val="0"/>
              </w:rPr>
              <w:t>Increased number and strength of institutional links between public sector institutions</w:t>
            </w: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r w:rsidRPr="000D1353">
              <w:rPr>
                <w:b w:val="0"/>
                <w:iCs w:val="0"/>
              </w:rPr>
              <w:t>Increased contribution of scholarship alumni and institutional links to meeting strategy objectives</w:t>
            </w:r>
          </w:p>
        </w:tc>
        <w:tc>
          <w:tcPr>
            <w:tcW w:w="1178" w:type="pct"/>
            <w:gridSpan w:val="3"/>
            <w:tcBorders>
              <w:left w:val="nil"/>
              <w:right w:val="nil"/>
            </w:tcBorders>
          </w:tcPr>
          <w:p w:rsidR="00625052" w:rsidRPr="000D1353" w:rsidRDefault="00625052" w:rsidP="00837906">
            <w:pPr>
              <w:pStyle w:val="TableTextEntries"/>
              <w:keepLines w:val="0"/>
              <w:rPr>
                <w:rFonts w:cs="Arial"/>
                <w:b w:val="0"/>
              </w:rPr>
            </w:pPr>
            <w:r w:rsidRPr="000D1353">
              <w:rPr>
                <w:rFonts w:cs="Arial"/>
                <w:b w:val="0"/>
              </w:rPr>
              <w:t>HRD Strategy finalised</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r w:rsidRPr="000D1353">
              <w:rPr>
                <w:rFonts w:cs="Arial"/>
                <w:b w:val="0"/>
              </w:rPr>
              <w:t>225 Australia Awards Scholarships</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r w:rsidRPr="000D1353">
              <w:rPr>
                <w:rFonts w:cs="Arial"/>
                <w:b w:val="0"/>
              </w:rPr>
              <w:t>100 Australia Awards Fellowships</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r w:rsidRPr="000D1353">
              <w:rPr>
                <w:rFonts w:cs="Arial"/>
                <w:b w:val="0"/>
              </w:rPr>
              <w:t xml:space="preserve">Australia Awards Scholarships Equity of Access Fund established </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b w:val="0"/>
              </w:rPr>
            </w:pPr>
            <w:r w:rsidRPr="000D1353">
              <w:rPr>
                <w:b w:val="0"/>
              </w:rPr>
              <w:t>Complete two cluster studies on the environment and education sectors and an impact study on the overall Australia Awards Scholarships program.</w:t>
            </w: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rFonts w:cs="Arial"/>
                <w:b w:val="0"/>
              </w:rPr>
            </w:pPr>
            <w:r w:rsidRPr="000D1353">
              <w:rPr>
                <w:b w:val="0"/>
              </w:rPr>
              <w:t>Sponsor a National Alumni Conference for Vietnamese graduates of Australia</w:t>
            </w:r>
          </w:p>
        </w:tc>
        <w:tc>
          <w:tcPr>
            <w:tcW w:w="830" w:type="pct"/>
            <w:tcBorders>
              <w:left w:val="nil"/>
              <w:right w:val="nil"/>
            </w:tcBorders>
          </w:tcPr>
          <w:p w:rsidR="00625052" w:rsidRPr="000D1353" w:rsidRDefault="00625052" w:rsidP="00837906">
            <w:pPr>
              <w:pStyle w:val="TableTextEntries"/>
              <w:keepLines w:val="0"/>
              <w:rPr>
                <w:rFonts w:cs="Arial"/>
                <w:b w:val="0"/>
              </w:rPr>
            </w:pPr>
            <w:r w:rsidRPr="000D1353">
              <w:rPr>
                <w:rFonts w:cs="Arial"/>
                <w:b w:val="0"/>
              </w:rPr>
              <w:t xml:space="preserve">Achieved </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sz w:val="13"/>
              </w:rPr>
            </w:pPr>
            <w:r w:rsidRPr="000D1353">
              <w:rPr>
                <w:rFonts w:cs="Arial"/>
                <w:b w:val="0"/>
              </w:rPr>
              <w:t>Achieved (244)</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r w:rsidRPr="000D1353">
              <w:rPr>
                <w:rFonts w:cs="Arial"/>
                <w:b w:val="0"/>
              </w:rPr>
              <w:t>Achieved (</w:t>
            </w:r>
            <w:r w:rsidR="00B7313D">
              <w:rPr>
                <w:rFonts w:cs="Arial"/>
                <w:b w:val="0"/>
              </w:rPr>
              <w:t>162</w:t>
            </w:r>
            <w:r w:rsidRPr="000D1353">
              <w:rPr>
                <w:rFonts w:cs="Arial"/>
                <w:b w:val="0"/>
              </w:rPr>
              <w:t>)</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r w:rsidRPr="000D1353">
              <w:rPr>
                <w:rFonts w:cs="Arial"/>
                <w:b w:val="0"/>
              </w:rPr>
              <w:t>Achieved</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r w:rsidRPr="000D1353">
              <w:rPr>
                <w:b w:val="0"/>
              </w:rPr>
              <w:t>Achieved</w:t>
            </w: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b w:val="0"/>
              </w:rPr>
            </w:pPr>
          </w:p>
          <w:p w:rsidR="00625052" w:rsidRPr="000D1353" w:rsidRDefault="00625052" w:rsidP="00837906">
            <w:pPr>
              <w:pStyle w:val="TableTextEntries"/>
              <w:keepLines w:val="0"/>
              <w:rPr>
                <w:rFonts w:cs="Arial"/>
                <w:b w:val="0"/>
              </w:rPr>
            </w:pPr>
            <w:r w:rsidRPr="000D1353">
              <w:rPr>
                <w:b w:val="0"/>
              </w:rPr>
              <w:t>Achieved</w:t>
            </w:r>
          </w:p>
        </w:tc>
        <w:tc>
          <w:tcPr>
            <w:tcW w:w="791" w:type="pct"/>
            <w:tcBorders>
              <w:left w:val="nil"/>
              <w:right w:val="nil"/>
            </w:tcBorders>
          </w:tcPr>
          <w:p w:rsidR="00625052" w:rsidRPr="000D1353" w:rsidRDefault="00625052" w:rsidP="00837906">
            <w:pPr>
              <w:pStyle w:val="TableTextEntries"/>
              <w:keepLines w:val="0"/>
              <w:rPr>
                <w:rFonts w:cs="Arial"/>
                <w:b w:val="0"/>
              </w:rPr>
            </w:pPr>
            <w:r w:rsidRPr="000D1353">
              <w:rPr>
                <w:rFonts w:cs="Arial"/>
                <w:b w:val="0"/>
              </w:rPr>
              <w:t>Design of new human resource development investment completed</w:t>
            </w:r>
          </w:p>
          <w:p w:rsidR="00625052" w:rsidRPr="000D1353" w:rsidRDefault="00625052" w:rsidP="00837906">
            <w:pPr>
              <w:pStyle w:val="TableTextEntries"/>
              <w:keepLines w:val="0"/>
              <w:rPr>
                <w:rFonts w:cs="Arial"/>
                <w:b w:val="0"/>
              </w:rPr>
            </w:pPr>
          </w:p>
          <w:p w:rsidR="00625052" w:rsidRPr="000D1353" w:rsidRDefault="008F7FCB" w:rsidP="00837906">
            <w:pPr>
              <w:pStyle w:val="TableTextEntries"/>
              <w:keepLines w:val="0"/>
              <w:rPr>
                <w:rFonts w:cs="Arial"/>
                <w:b w:val="0"/>
              </w:rPr>
            </w:pPr>
            <w:r w:rsidRPr="000D1353">
              <w:rPr>
                <w:rFonts w:cs="Arial"/>
                <w:b w:val="0"/>
              </w:rPr>
              <w:t>1</w:t>
            </w:r>
            <w:r>
              <w:rPr>
                <w:rFonts w:cs="Arial"/>
                <w:b w:val="0"/>
              </w:rPr>
              <w:t>50</w:t>
            </w:r>
            <w:r w:rsidRPr="000D1353">
              <w:rPr>
                <w:rFonts w:cs="Arial"/>
                <w:b w:val="0"/>
              </w:rPr>
              <w:t xml:space="preserve"> </w:t>
            </w:r>
            <w:r w:rsidR="00625052" w:rsidRPr="000D1353">
              <w:rPr>
                <w:rFonts w:cs="Arial"/>
                <w:b w:val="0"/>
              </w:rPr>
              <w:t>AAS</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r w:rsidRPr="000D1353">
              <w:rPr>
                <w:rFonts w:cs="Arial"/>
                <w:b w:val="0"/>
              </w:rPr>
              <w:t>50 AAF</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r w:rsidRPr="000D1353">
              <w:rPr>
                <w:rFonts w:cs="Arial"/>
                <w:b w:val="0"/>
              </w:rPr>
              <w:t>40 Heads of TVET Centres of Excellence Colleges trained in a short course in Australia</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r w:rsidRPr="000D1353">
              <w:rPr>
                <w:rFonts w:cs="Arial"/>
                <w:b w:val="0"/>
                <w:iCs w:val="0"/>
              </w:rPr>
              <w:t>Australia Awards alumni network established</w:t>
            </w:r>
          </w:p>
        </w:tc>
        <w:tc>
          <w:tcPr>
            <w:tcW w:w="592" w:type="pct"/>
            <w:tcBorders>
              <w:left w:val="nil"/>
              <w:right w:val="single" w:sz="12" w:space="0" w:color="000000" w:themeColor="text1"/>
            </w:tcBorders>
          </w:tcPr>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r w:rsidRPr="000D1353">
              <w:rPr>
                <w:rFonts w:cs="Arial"/>
                <w:b w:val="0"/>
              </w:rPr>
              <w:t>Australia Awards Scholarships</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r w:rsidRPr="000D1353">
              <w:rPr>
                <w:rFonts w:cs="Arial"/>
                <w:b w:val="0"/>
              </w:rPr>
              <w:t>Australia Awards Fellowships</w:t>
            </w: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p>
          <w:p w:rsidR="00625052" w:rsidRPr="000D1353" w:rsidRDefault="00625052" w:rsidP="00837906">
            <w:pPr>
              <w:pStyle w:val="TableTextEntries"/>
              <w:keepLines w:val="0"/>
              <w:rPr>
                <w:rFonts w:cs="Arial"/>
                <w:b w:val="0"/>
              </w:rPr>
            </w:pPr>
          </w:p>
        </w:tc>
      </w:tr>
      <w:tr w:rsidR="007F69E9" w:rsidRPr="00625052" w:rsidTr="00036861">
        <w:trPr>
          <w:cnfStyle w:val="100000000000" w:firstRow="1" w:lastRow="0" w:firstColumn="0" w:lastColumn="0" w:oddVBand="0" w:evenVBand="0" w:oddHBand="0" w:evenHBand="0" w:firstRowFirstColumn="0" w:firstRowLastColumn="0" w:lastRowFirstColumn="0" w:lastRowLastColumn="0"/>
          <w:cantSplit/>
        </w:trPr>
        <w:tc>
          <w:tcPr>
            <w:tcW w:w="455" w:type="pct"/>
            <w:vMerge w:val="restart"/>
            <w:tcBorders>
              <w:left w:val="single" w:sz="12" w:space="0" w:color="000000" w:themeColor="text1"/>
              <w:right w:val="nil"/>
            </w:tcBorders>
            <w:hideMark/>
          </w:tcPr>
          <w:p w:rsidR="00625052" w:rsidRPr="000D1353" w:rsidRDefault="00625052" w:rsidP="00837906">
            <w:pPr>
              <w:pStyle w:val="TableTextEntries"/>
              <w:keepLines w:val="0"/>
              <w:rPr>
                <w:b w:val="0"/>
              </w:rPr>
            </w:pPr>
            <w:r w:rsidRPr="000D1353">
              <w:rPr>
                <w:b w:val="0"/>
              </w:rPr>
              <w:lastRenderedPageBreak/>
              <w:t>Increase in economic activity (national and cross-border) in targeted regions</w:t>
            </w:r>
          </w:p>
        </w:tc>
        <w:tc>
          <w:tcPr>
            <w:tcW w:w="428" w:type="pct"/>
            <w:vMerge w:val="restart"/>
            <w:tcBorders>
              <w:left w:val="nil"/>
              <w:right w:val="nil"/>
            </w:tcBorders>
          </w:tcPr>
          <w:p w:rsidR="00625052" w:rsidRPr="000D1353" w:rsidRDefault="00625052" w:rsidP="007F69E9">
            <w:pPr>
              <w:pStyle w:val="TableTextEntries"/>
              <w:rPr>
                <w:b w:val="0"/>
              </w:rPr>
            </w:pPr>
            <w:r w:rsidRPr="000D1353">
              <w:rPr>
                <w:b w:val="0"/>
                <w:iCs w:val="0"/>
              </w:rPr>
              <w:t xml:space="preserve">Better transport infrastructure and policy to support economic integration </w:t>
            </w:r>
          </w:p>
        </w:tc>
        <w:tc>
          <w:tcPr>
            <w:tcW w:w="646" w:type="pct"/>
            <w:tcBorders>
              <w:left w:val="nil"/>
              <w:right w:val="nil"/>
            </w:tcBorders>
          </w:tcPr>
          <w:p w:rsidR="00625052" w:rsidRPr="000D1353" w:rsidRDefault="00625052" w:rsidP="00625052">
            <w:pPr>
              <w:pStyle w:val="TableTextEntries"/>
              <w:rPr>
                <w:b w:val="0"/>
              </w:rPr>
            </w:pPr>
            <w:r w:rsidRPr="000D1353">
              <w:rPr>
                <w:b w:val="0"/>
              </w:rPr>
              <w:t>Total km of road and bridge works connecting Mekong communities to markets</w:t>
            </w:r>
          </w:p>
          <w:p w:rsidR="00625052" w:rsidRPr="000D1353" w:rsidRDefault="00625052" w:rsidP="00625052">
            <w:pPr>
              <w:pStyle w:val="TableTextEntries"/>
              <w:rPr>
                <w:b w:val="0"/>
              </w:rPr>
            </w:pPr>
          </w:p>
          <w:p w:rsidR="00625052" w:rsidRPr="000D1353" w:rsidRDefault="00625052" w:rsidP="00625052">
            <w:pPr>
              <w:pStyle w:val="TableTextEntries"/>
              <w:rPr>
                <w:b w:val="0"/>
              </w:rPr>
            </w:pPr>
            <w:r w:rsidRPr="000D1353">
              <w:rPr>
                <w:b w:val="0"/>
              </w:rPr>
              <w:t>Adverse social and environmental impacts are managed effectively</w:t>
            </w:r>
          </w:p>
        </w:tc>
        <w:tc>
          <w:tcPr>
            <w:tcW w:w="1178" w:type="pct"/>
            <w:gridSpan w:val="3"/>
            <w:tcBorders>
              <w:left w:val="nil"/>
              <w:right w:val="nil"/>
            </w:tcBorders>
          </w:tcPr>
          <w:p w:rsidR="00625052" w:rsidRPr="000D1353" w:rsidRDefault="00625052" w:rsidP="00625052">
            <w:pPr>
              <w:pStyle w:val="TableTextEntries"/>
              <w:rPr>
                <w:b w:val="0"/>
              </w:rPr>
            </w:pPr>
            <w:r w:rsidRPr="000D1353">
              <w:rPr>
                <w:b w:val="0"/>
              </w:rPr>
              <w:t xml:space="preserve">Civil works commenced on Cao Lanh bridge. </w:t>
            </w:r>
          </w:p>
          <w:p w:rsidR="00625052" w:rsidRPr="000D1353" w:rsidRDefault="00625052" w:rsidP="00625052">
            <w:pPr>
              <w:pStyle w:val="TableTextEntries"/>
              <w:rPr>
                <w:b w:val="0"/>
              </w:rPr>
            </w:pPr>
          </w:p>
          <w:p w:rsidR="00625052" w:rsidRPr="000D1353" w:rsidRDefault="00625052" w:rsidP="00625052">
            <w:pPr>
              <w:pStyle w:val="TableTextEntries"/>
              <w:rPr>
                <w:b w:val="0"/>
              </w:rPr>
            </w:pPr>
          </w:p>
          <w:p w:rsidR="00625052" w:rsidRPr="000D1353" w:rsidRDefault="00625052" w:rsidP="00625052">
            <w:pPr>
              <w:pStyle w:val="TableTextEntries"/>
              <w:rPr>
                <w:b w:val="0"/>
              </w:rPr>
            </w:pPr>
          </w:p>
          <w:p w:rsidR="00625052" w:rsidRPr="000D1353" w:rsidRDefault="00625052" w:rsidP="00625052">
            <w:pPr>
              <w:pStyle w:val="TableTextEntries"/>
              <w:rPr>
                <w:rFonts w:cs="Arial"/>
                <w:b w:val="0"/>
              </w:rPr>
            </w:pPr>
            <w:r w:rsidRPr="000D1353">
              <w:rPr>
                <w:b w:val="0"/>
              </w:rPr>
              <w:t xml:space="preserve">Resettlement plans are implemented according to plan. Construction environmental management plans are developed and implemented </w:t>
            </w:r>
          </w:p>
        </w:tc>
        <w:tc>
          <w:tcPr>
            <w:tcW w:w="830" w:type="pct"/>
            <w:tcBorders>
              <w:left w:val="nil"/>
              <w:right w:val="nil"/>
            </w:tcBorders>
          </w:tcPr>
          <w:p w:rsidR="00625052" w:rsidRPr="000D1353" w:rsidRDefault="00625052" w:rsidP="00625052">
            <w:pPr>
              <w:pStyle w:val="TableTextEntries"/>
              <w:rPr>
                <w:b w:val="0"/>
              </w:rPr>
            </w:pPr>
            <w:r w:rsidRPr="000D1353">
              <w:rPr>
                <w:b w:val="0"/>
              </w:rPr>
              <w:t xml:space="preserve">Achieved </w:t>
            </w:r>
          </w:p>
          <w:p w:rsidR="00625052" w:rsidRPr="000D1353" w:rsidRDefault="00625052" w:rsidP="00625052">
            <w:pPr>
              <w:pStyle w:val="TableTextEntries"/>
              <w:rPr>
                <w:b w:val="0"/>
              </w:rPr>
            </w:pPr>
          </w:p>
          <w:p w:rsidR="00625052" w:rsidRPr="000D1353" w:rsidRDefault="00625052" w:rsidP="00625052">
            <w:pPr>
              <w:pStyle w:val="TableTextEntries"/>
              <w:rPr>
                <w:b w:val="0"/>
              </w:rPr>
            </w:pPr>
          </w:p>
          <w:p w:rsidR="00625052" w:rsidRPr="000D1353" w:rsidRDefault="00625052" w:rsidP="00625052">
            <w:pPr>
              <w:pStyle w:val="TableTextEntries"/>
              <w:rPr>
                <w:b w:val="0"/>
              </w:rPr>
            </w:pPr>
          </w:p>
          <w:p w:rsidR="00625052" w:rsidRPr="000D1353" w:rsidRDefault="00625052" w:rsidP="00625052">
            <w:pPr>
              <w:pStyle w:val="TableTextEntries"/>
              <w:rPr>
                <w:b w:val="0"/>
              </w:rPr>
            </w:pPr>
          </w:p>
          <w:p w:rsidR="00625052" w:rsidRPr="000D1353" w:rsidRDefault="00625052" w:rsidP="00625052">
            <w:pPr>
              <w:pStyle w:val="TableTextEntries"/>
              <w:rPr>
                <w:b w:val="0"/>
              </w:rPr>
            </w:pPr>
            <w:r w:rsidRPr="000D1353">
              <w:rPr>
                <w:b w:val="0"/>
              </w:rPr>
              <w:t xml:space="preserve">Achieved </w:t>
            </w:r>
          </w:p>
        </w:tc>
        <w:tc>
          <w:tcPr>
            <w:tcW w:w="791" w:type="pct"/>
            <w:tcBorders>
              <w:left w:val="nil"/>
              <w:right w:val="nil"/>
            </w:tcBorders>
          </w:tcPr>
          <w:p w:rsidR="00625052" w:rsidRPr="000D1353" w:rsidRDefault="00625052" w:rsidP="00625052">
            <w:pPr>
              <w:pStyle w:val="TableTextEntries"/>
              <w:rPr>
                <w:b w:val="0"/>
              </w:rPr>
            </w:pPr>
            <w:r w:rsidRPr="000D1353">
              <w:rPr>
                <w:b w:val="0"/>
              </w:rPr>
              <w:t>40 % of Cao Lanh bridge construction complete</w:t>
            </w:r>
          </w:p>
          <w:p w:rsidR="00625052" w:rsidRPr="000D1353" w:rsidRDefault="00625052" w:rsidP="00625052">
            <w:pPr>
              <w:pStyle w:val="TableTextEntries"/>
              <w:rPr>
                <w:b w:val="0"/>
              </w:rPr>
            </w:pPr>
          </w:p>
          <w:p w:rsidR="00625052" w:rsidRPr="000D1353" w:rsidRDefault="00625052" w:rsidP="00625052">
            <w:pPr>
              <w:pStyle w:val="TableTextEntries"/>
              <w:rPr>
                <w:b w:val="0"/>
              </w:rPr>
            </w:pPr>
          </w:p>
          <w:p w:rsidR="00625052" w:rsidRPr="000D1353" w:rsidRDefault="00625052" w:rsidP="00625052">
            <w:pPr>
              <w:pStyle w:val="TableTextEntries"/>
              <w:rPr>
                <w:b w:val="0"/>
              </w:rPr>
            </w:pPr>
            <w:r w:rsidRPr="000D1353">
              <w:rPr>
                <w:b w:val="0"/>
              </w:rPr>
              <w:t xml:space="preserve">No construction delay due to physical resettlement. Income restoration programs being implemented effectively. </w:t>
            </w:r>
          </w:p>
          <w:p w:rsidR="00625052" w:rsidRPr="000D1353" w:rsidRDefault="00625052" w:rsidP="00625052">
            <w:pPr>
              <w:pStyle w:val="TableTextEntries"/>
              <w:rPr>
                <w:b w:val="0"/>
              </w:rPr>
            </w:pPr>
            <w:r w:rsidRPr="000D1353">
              <w:rPr>
                <w:b w:val="0"/>
              </w:rPr>
              <w:t>Construction environmental management plans are implemented and monitored</w:t>
            </w:r>
          </w:p>
        </w:tc>
        <w:tc>
          <w:tcPr>
            <w:tcW w:w="592" w:type="pct"/>
            <w:tcBorders>
              <w:left w:val="nil"/>
              <w:right w:val="single" w:sz="12" w:space="0" w:color="000000" w:themeColor="text1"/>
            </w:tcBorders>
            <w:hideMark/>
          </w:tcPr>
          <w:p w:rsidR="00625052" w:rsidRPr="000D1353" w:rsidRDefault="00625052" w:rsidP="00625052">
            <w:pPr>
              <w:pStyle w:val="TableTextEntries"/>
              <w:rPr>
                <w:rFonts w:cs="Arial"/>
                <w:b w:val="0"/>
              </w:rPr>
            </w:pPr>
            <w:r w:rsidRPr="000D1353">
              <w:rPr>
                <w:b w:val="0"/>
              </w:rPr>
              <w:t>Cao Lanh Bridge</w:t>
            </w:r>
          </w:p>
        </w:tc>
      </w:tr>
      <w:tr w:rsidR="007F69E9" w:rsidRPr="00625052" w:rsidTr="00036861">
        <w:trPr>
          <w:cnfStyle w:val="100000000000" w:firstRow="1" w:lastRow="0" w:firstColumn="0" w:lastColumn="0" w:oddVBand="0" w:evenVBand="0" w:oddHBand="0" w:evenHBand="0" w:firstRowFirstColumn="0" w:firstRowLastColumn="0" w:lastRowFirstColumn="0" w:lastRowLastColumn="0"/>
          <w:cantSplit/>
        </w:trPr>
        <w:tc>
          <w:tcPr>
            <w:tcW w:w="0" w:type="auto"/>
            <w:vMerge/>
            <w:tcBorders>
              <w:left w:val="single" w:sz="12" w:space="0" w:color="000000" w:themeColor="text1"/>
              <w:right w:val="nil"/>
            </w:tcBorders>
            <w:vAlign w:val="center"/>
            <w:hideMark/>
          </w:tcPr>
          <w:p w:rsidR="00625052" w:rsidRPr="000D1353" w:rsidRDefault="00625052" w:rsidP="00625052">
            <w:pPr>
              <w:rPr>
                <w:rFonts w:ascii="Franklin Gothic Book" w:eastAsia="Times New Roman" w:hAnsi="Franklin Gothic Book"/>
                <w:b w:val="0"/>
                <w:sz w:val="17"/>
                <w:szCs w:val="17"/>
                <w:lang w:eastAsia="en-US"/>
              </w:rPr>
            </w:pPr>
          </w:p>
        </w:tc>
        <w:tc>
          <w:tcPr>
            <w:tcW w:w="0" w:type="auto"/>
            <w:vMerge/>
            <w:tcBorders>
              <w:left w:val="nil"/>
              <w:right w:val="nil"/>
            </w:tcBorders>
            <w:vAlign w:val="center"/>
            <w:hideMark/>
          </w:tcPr>
          <w:p w:rsidR="00625052" w:rsidRPr="000D1353" w:rsidRDefault="00625052" w:rsidP="00625052">
            <w:pPr>
              <w:rPr>
                <w:rFonts w:ascii="Franklin Gothic Book" w:eastAsia="Times New Roman" w:hAnsi="Franklin Gothic Book"/>
                <w:b w:val="0"/>
                <w:sz w:val="17"/>
                <w:szCs w:val="17"/>
                <w:lang w:eastAsia="en-US"/>
              </w:rPr>
            </w:pPr>
          </w:p>
        </w:tc>
        <w:tc>
          <w:tcPr>
            <w:tcW w:w="646" w:type="pct"/>
            <w:tcBorders>
              <w:left w:val="nil"/>
              <w:right w:val="nil"/>
            </w:tcBorders>
            <w:hideMark/>
          </w:tcPr>
          <w:p w:rsidR="00625052" w:rsidRPr="000D1353" w:rsidRDefault="00625052" w:rsidP="00625052">
            <w:pPr>
              <w:pStyle w:val="TableTextEntries"/>
              <w:rPr>
                <w:b w:val="0"/>
              </w:rPr>
            </w:pPr>
            <w:r w:rsidRPr="000D1353">
              <w:rPr>
                <w:b w:val="0"/>
              </w:rPr>
              <w:t>Higher traffic volume, lower operating costs and travel time on targeted transport corridors</w:t>
            </w:r>
          </w:p>
        </w:tc>
        <w:tc>
          <w:tcPr>
            <w:tcW w:w="1178" w:type="pct"/>
            <w:gridSpan w:val="3"/>
            <w:tcBorders>
              <w:left w:val="nil"/>
              <w:right w:val="nil"/>
            </w:tcBorders>
            <w:hideMark/>
          </w:tcPr>
          <w:p w:rsidR="00625052" w:rsidRPr="000D1353" w:rsidRDefault="00625052" w:rsidP="00625052">
            <w:pPr>
              <w:pStyle w:val="TableTextEntries"/>
              <w:rPr>
                <w:rFonts w:cs="Arial"/>
                <w:b w:val="0"/>
              </w:rPr>
            </w:pPr>
            <w:r w:rsidRPr="000D1353">
              <w:rPr>
                <w:b w:val="0"/>
              </w:rPr>
              <w:t>71% of civil works completed</w:t>
            </w:r>
          </w:p>
        </w:tc>
        <w:tc>
          <w:tcPr>
            <w:tcW w:w="830" w:type="pct"/>
            <w:tcBorders>
              <w:left w:val="nil"/>
              <w:right w:val="nil"/>
            </w:tcBorders>
            <w:hideMark/>
          </w:tcPr>
          <w:p w:rsidR="00625052" w:rsidRPr="000D1353" w:rsidRDefault="00625052" w:rsidP="00625052">
            <w:pPr>
              <w:pStyle w:val="TableTextEntries"/>
              <w:rPr>
                <w:b w:val="0"/>
              </w:rPr>
            </w:pPr>
            <w:r w:rsidRPr="000D1353">
              <w:rPr>
                <w:b w:val="0"/>
              </w:rPr>
              <w:t> Achieved</w:t>
            </w:r>
          </w:p>
        </w:tc>
        <w:tc>
          <w:tcPr>
            <w:tcW w:w="791" w:type="pct"/>
            <w:tcBorders>
              <w:left w:val="nil"/>
              <w:right w:val="nil"/>
            </w:tcBorders>
            <w:hideMark/>
          </w:tcPr>
          <w:p w:rsidR="00625052" w:rsidRPr="000D1353" w:rsidRDefault="00625052" w:rsidP="00625052">
            <w:pPr>
              <w:pStyle w:val="TableTextEntries"/>
              <w:rPr>
                <w:b w:val="0"/>
              </w:rPr>
            </w:pPr>
            <w:r w:rsidRPr="000D1353">
              <w:rPr>
                <w:b w:val="0"/>
              </w:rPr>
              <w:t xml:space="preserve"> Civil works complete. </w:t>
            </w:r>
          </w:p>
        </w:tc>
        <w:tc>
          <w:tcPr>
            <w:tcW w:w="592" w:type="pct"/>
            <w:tcBorders>
              <w:left w:val="nil"/>
              <w:right w:val="single" w:sz="12" w:space="0" w:color="000000" w:themeColor="text1"/>
            </w:tcBorders>
            <w:hideMark/>
          </w:tcPr>
          <w:p w:rsidR="007F69E9" w:rsidRPr="000D1353" w:rsidRDefault="00625052" w:rsidP="00625052">
            <w:pPr>
              <w:pStyle w:val="TableTextEntries"/>
              <w:rPr>
                <w:b w:val="0"/>
              </w:rPr>
            </w:pPr>
            <w:r w:rsidRPr="000D1353">
              <w:rPr>
                <w:b w:val="0"/>
              </w:rPr>
              <w:t>Southern Coastal Corridor</w:t>
            </w:r>
            <w:r w:rsidR="007F69E9" w:rsidRPr="000D1353">
              <w:rPr>
                <w:b w:val="0"/>
              </w:rPr>
              <w:t xml:space="preserve"> </w:t>
            </w:r>
          </w:p>
          <w:p w:rsidR="007F69E9" w:rsidRPr="000D1353" w:rsidRDefault="007F69E9" w:rsidP="00625052">
            <w:pPr>
              <w:pStyle w:val="TableTextEntries"/>
              <w:rPr>
                <w:b w:val="0"/>
              </w:rPr>
            </w:pPr>
          </w:p>
          <w:p w:rsidR="00625052" w:rsidRPr="000D1353" w:rsidRDefault="007F69E9" w:rsidP="00625052">
            <w:pPr>
              <w:pStyle w:val="TableTextEntries"/>
              <w:rPr>
                <w:rFonts w:cs="Arial"/>
                <w:b w:val="0"/>
              </w:rPr>
            </w:pPr>
            <w:r w:rsidRPr="000D1353">
              <w:rPr>
                <w:b w:val="0"/>
              </w:rPr>
              <w:t>Mekong Transport Infrastructure Development Project</w:t>
            </w:r>
          </w:p>
        </w:tc>
      </w:tr>
      <w:tr w:rsidR="007F69E9" w:rsidRPr="00625052" w:rsidTr="00036861">
        <w:trPr>
          <w:cnfStyle w:val="100000000000" w:firstRow="1" w:lastRow="0" w:firstColumn="0" w:lastColumn="0" w:oddVBand="0" w:evenVBand="0" w:oddHBand="0" w:evenHBand="0" w:firstRowFirstColumn="0" w:firstRowLastColumn="0" w:lastRowFirstColumn="0" w:lastRowLastColumn="0"/>
          <w:cantSplit/>
          <w:trHeight w:val="3190"/>
        </w:trPr>
        <w:tc>
          <w:tcPr>
            <w:tcW w:w="0" w:type="auto"/>
            <w:vMerge/>
            <w:tcBorders>
              <w:left w:val="single" w:sz="12" w:space="0" w:color="000000" w:themeColor="text1"/>
              <w:right w:val="nil"/>
            </w:tcBorders>
            <w:vAlign w:val="center"/>
            <w:hideMark/>
          </w:tcPr>
          <w:p w:rsidR="007F69E9" w:rsidRPr="000D1353" w:rsidRDefault="007F69E9" w:rsidP="00625052">
            <w:pPr>
              <w:rPr>
                <w:rFonts w:ascii="Franklin Gothic Book" w:eastAsia="Times New Roman" w:hAnsi="Franklin Gothic Book"/>
                <w:b w:val="0"/>
                <w:sz w:val="17"/>
                <w:szCs w:val="17"/>
                <w:lang w:eastAsia="en-US"/>
              </w:rPr>
            </w:pPr>
          </w:p>
        </w:tc>
        <w:tc>
          <w:tcPr>
            <w:tcW w:w="0" w:type="auto"/>
            <w:vMerge/>
            <w:tcBorders>
              <w:left w:val="nil"/>
              <w:right w:val="nil"/>
            </w:tcBorders>
            <w:vAlign w:val="center"/>
            <w:hideMark/>
          </w:tcPr>
          <w:p w:rsidR="007F69E9" w:rsidRPr="000D1353" w:rsidRDefault="007F69E9" w:rsidP="00625052">
            <w:pPr>
              <w:rPr>
                <w:rFonts w:ascii="Franklin Gothic Book" w:eastAsia="Times New Roman" w:hAnsi="Franklin Gothic Book"/>
                <w:b w:val="0"/>
                <w:sz w:val="17"/>
                <w:szCs w:val="17"/>
                <w:lang w:eastAsia="en-US"/>
              </w:rPr>
            </w:pPr>
          </w:p>
        </w:tc>
        <w:tc>
          <w:tcPr>
            <w:tcW w:w="646" w:type="pct"/>
            <w:tcBorders>
              <w:left w:val="nil"/>
              <w:right w:val="nil"/>
            </w:tcBorders>
          </w:tcPr>
          <w:p w:rsidR="007F69E9" w:rsidRPr="000D1353" w:rsidRDefault="007F69E9" w:rsidP="002D2ACC">
            <w:pPr>
              <w:pStyle w:val="TableTextEntries"/>
              <w:rPr>
                <w:b w:val="0"/>
              </w:rPr>
            </w:pPr>
            <w:r w:rsidRPr="000D1353">
              <w:rPr>
                <w:b w:val="0"/>
              </w:rPr>
              <w:t>Evidence-based policy approaches enhance opportunities and address challenges associated with economic integration</w:t>
            </w:r>
          </w:p>
        </w:tc>
        <w:tc>
          <w:tcPr>
            <w:tcW w:w="1178" w:type="pct"/>
            <w:gridSpan w:val="3"/>
            <w:tcBorders>
              <w:left w:val="nil"/>
              <w:right w:val="nil"/>
            </w:tcBorders>
          </w:tcPr>
          <w:p w:rsidR="007F69E9" w:rsidRPr="000D1353" w:rsidRDefault="007F69E9" w:rsidP="00625052">
            <w:pPr>
              <w:pStyle w:val="TableTextEntries"/>
              <w:rPr>
                <w:rFonts w:cs="Arial"/>
                <w:b w:val="0"/>
              </w:rPr>
            </w:pPr>
            <w:r w:rsidRPr="000D1353">
              <w:rPr>
                <w:b w:val="0"/>
              </w:rPr>
              <w:t>Evidence based approach to drafting the land law in area of transparent land governance (including mechanisms for land register to be accessible to the public and to improve community participation in land administration and management)</w:t>
            </w:r>
          </w:p>
        </w:tc>
        <w:tc>
          <w:tcPr>
            <w:tcW w:w="830" w:type="pct"/>
            <w:tcBorders>
              <w:left w:val="nil"/>
              <w:right w:val="nil"/>
            </w:tcBorders>
          </w:tcPr>
          <w:p w:rsidR="007F69E9" w:rsidRPr="000D1353" w:rsidRDefault="007F69E9" w:rsidP="00625052">
            <w:pPr>
              <w:pStyle w:val="TableTextEntries"/>
              <w:rPr>
                <w:b w:val="0"/>
              </w:rPr>
            </w:pPr>
            <w:r w:rsidRPr="000D1353">
              <w:rPr>
                <w:b w:val="0"/>
              </w:rPr>
              <w:t>Achieved</w:t>
            </w:r>
          </w:p>
        </w:tc>
        <w:tc>
          <w:tcPr>
            <w:tcW w:w="791" w:type="pct"/>
            <w:tcBorders>
              <w:left w:val="nil"/>
              <w:right w:val="nil"/>
            </w:tcBorders>
            <w:hideMark/>
          </w:tcPr>
          <w:p w:rsidR="007F69E9" w:rsidRDefault="007F69E9" w:rsidP="007F69E9">
            <w:pPr>
              <w:pStyle w:val="TableTextEntries"/>
              <w:rPr>
                <w:b w:val="0"/>
              </w:rPr>
            </w:pPr>
            <w:r w:rsidRPr="008E17A3">
              <w:rPr>
                <w:b w:val="0"/>
              </w:rPr>
              <w:t>Australian supported studies and consultations used to revise enterprise law to reduce costs of private business entry and to improve corporate governance.</w:t>
            </w:r>
          </w:p>
          <w:p w:rsidR="007F69E9" w:rsidRPr="008E17A3" w:rsidRDefault="007F69E9" w:rsidP="007F69E9">
            <w:pPr>
              <w:pStyle w:val="TableTextEntries"/>
              <w:rPr>
                <w:b w:val="0"/>
              </w:rPr>
            </w:pPr>
          </w:p>
          <w:p w:rsidR="007F69E9" w:rsidRPr="00837906" w:rsidRDefault="007F69E9" w:rsidP="002D2ACC">
            <w:pPr>
              <w:pStyle w:val="TableTextEntries"/>
              <w:rPr>
                <w:b w:val="0"/>
              </w:rPr>
            </w:pPr>
            <w:r w:rsidRPr="008E17A3">
              <w:rPr>
                <w:b w:val="0"/>
              </w:rPr>
              <w:t>Australian supported studies and consultations informing development planning (including the new SEDP) to improve private sector development and productivity growth.</w:t>
            </w:r>
          </w:p>
        </w:tc>
        <w:tc>
          <w:tcPr>
            <w:tcW w:w="592" w:type="pct"/>
            <w:tcBorders>
              <w:left w:val="nil"/>
              <w:right w:val="single" w:sz="12" w:space="0" w:color="000000" w:themeColor="text1"/>
            </w:tcBorders>
            <w:hideMark/>
          </w:tcPr>
          <w:p w:rsidR="007F69E9" w:rsidRDefault="007F69E9" w:rsidP="007F69E9">
            <w:pPr>
              <w:pStyle w:val="TableTextEntries"/>
              <w:rPr>
                <w:b w:val="0"/>
              </w:rPr>
            </w:pPr>
            <w:r w:rsidRPr="008E17A3">
              <w:rPr>
                <w:b w:val="0"/>
              </w:rPr>
              <w:t>RCV</w:t>
            </w:r>
          </w:p>
          <w:p w:rsidR="007F69E9" w:rsidRPr="008E17A3" w:rsidRDefault="007F69E9" w:rsidP="007F69E9">
            <w:pPr>
              <w:pStyle w:val="TableTextEntries"/>
              <w:rPr>
                <w:b w:val="0"/>
              </w:rPr>
            </w:pPr>
          </w:p>
          <w:p w:rsidR="007F69E9" w:rsidRPr="00837906" w:rsidRDefault="007F69E9" w:rsidP="002D2ACC">
            <w:pPr>
              <w:pStyle w:val="TableTextEntries"/>
              <w:rPr>
                <w:rFonts w:cs="Arial"/>
                <w:b w:val="0"/>
              </w:rPr>
            </w:pPr>
            <w:r w:rsidRPr="008E17A3">
              <w:rPr>
                <w:b w:val="0"/>
              </w:rPr>
              <w:t>Australia-World Bank Country Partnership</w:t>
            </w:r>
          </w:p>
        </w:tc>
      </w:tr>
      <w:tr w:rsidR="007F69E9" w:rsidTr="00036861">
        <w:trPr>
          <w:cnfStyle w:val="100000000000" w:firstRow="1" w:lastRow="0" w:firstColumn="0" w:lastColumn="0" w:oddVBand="0" w:evenVBand="0" w:oddHBand="0" w:evenHBand="0" w:firstRowFirstColumn="0" w:firstRowLastColumn="0" w:lastRowFirstColumn="0" w:lastRowLastColumn="0"/>
          <w:cantSplit/>
        </w:trPr>
        <w:tc>
          <w:tcPr>
            <w:tcW w:w="0" w:type="auto"/>
            <w:vMerge/>
            <w:tcBorders>
              <w:left w:val="single" w:sz="12" w:space="0" w:color="000000" w:themeColor="text1"/>
              <w:right w:val="nil"/>
            </w:tcBorders>
            <w:vAlign w:val="center"/>
            <w:hideMark/>
          </w:tcPr>
          <w:p w:rsidR="007F69E9" w:rsidRPr="000D1353" w:rsidRDefault="007F69E9" w:rsidP="00625052">
            <w:pPr>
              <w:rPr>
                <w:rFonts w:ascii="Franklin Gothic Book" w:eastAsia="Times New Roman" w:hAnsi="Franklin Gothic Book"/>
                <w:b w:val="0"/>
                <w:sz w:val="17"/>
                <w:szCs w:val="17"/>
                <w:lang w:eastAsia="en-US"/>
              </w:rPr>
            </w:pPr>
          </w:p>
        </w:tc>
        <w:tc>
          <w:tcPr>
            <w:tcW w:w="0" w:type="auto"/>
            <w:vMerge/>
            <w:tcBorders>
              <w:left w:val="nil"/>
              <w:right w:val="nil"/>
            </w:tcBorders>
            <w:vAlign w:val="center"/>
            <w:hideMark/>
          </w:tcPr>
          <w:p w:rsidR="007F69E9" w:rsidRPr="000D1353" w:rsidRDefault="007F69E9" w:rsidP="00625052">
            <w:pPr>
              <w:rPr>
                <w:rFonts w:ascii="Franklin Gothic Book" w:eastAsia="Times New Roman" w:hAnsi="Franklin Gothic Book"/>
                <w:b w:val="0"/>
                <w:sz w:val="17"/>
                <w:szCs w:val="17"/>
                <w:lang w:eastAsia="en-US"/>
              </w:rPr>
            </w:pPr>
          </w:p>
        </w:tc>
        <w:tc>
          <w:tcPr>
            <w:tcW w:w="646" w:type="pct"/>
            <w:tcBorders>
              <w:left w:val="nil"/>
              <w:right w:val="nil"/>
            </w:tcBorders>
          </w:tcPr>
          <w:p w:rsidR="007F69E9" w:rsidRPr="000D1353" w:rsidRDefault="007F69E9" w:rsidP="00625052">
            <w:pPr>
              <w:pStyle w:val="TableTextEntries"/>
              <w:rPr>
                <w:b w:val="0"/>
              </w:rPr>
            </w:pPr>
          </w:p>
        </w:tc>
        <w:tc>
          <w:tcPr>
            <w:tcW w:w="1178" w:type="pct"/>
            <w:gridSpan w:val="3"/>
            <w:tcBorders>
              <w:left w:val="nil"/>
              <w:right w:val="nil"/>
            </w:tcBorders>
          </w:tcPr>
          <w:p w:rsidR="007F69E9" w:rsidRPr="000D1353" w:rsidRDefault="007F69E9" w:rsidP="00625052">
            <w:pPr>
              <w:pStyle w:val="TableTextEntries"/>
              <w:rPr>
                <w:b w:val="0"/>
              </w:rPr>
            </w:pPr>
          </w:p>
        </w:tc>
        <w:tc>
          <w:tcPr>
            <w:tcW w:w="830" w:type="pct"/>
            <w:tcBorders>
              <w:left w:val="nil"/>
              <w:right w:val="nil"/>
            </w:tcBorders>
          </w:tcPr>
          <w:p w:rsidR="007F69E9" w:rsidRPr="000D1353" w:rsidRDefault="007F69E9" w:rsidP="00625052">
            <w:pPr>
              <w:pStyle w:val="TableTextEntries"/>
              <w:rPr>
                <w:b w:val="0"/>
              </w:rPr>
            </w:pPr>
          </w:p>
        </w:tc>
        <w:tc>
          <w:tcPr>
            <w:tcW w:w="791" w:type="pct"/>
            <w:tcBorders>
              <w:left w:val="nil"/>
              <w:right w:val="nil"/>
            </w:tcBorders>
          </w:tcPr>
          <w:p w:rsidR="007F69E9" w:rsidRPr="00837906" w:rsidRDefault="007F69E9" w:rsidP="00625052">
            <w:pPr>
              <w:pStyle w:val="TableTextEntries"/>
              <w:rPr>
                <w:b w:val="0"/>
              </w:rPr>
            </w:pPr>
          </w:p>
        </w:tc>
        <w:tc>
          <w:tcPr>
            <w:tcW w:w="592" w:type="pct"/>
            <w:tcBorders>
              <w:left w:val="nil"/>
              <w:right w:val="single" w:sz="12" w:space="0" w:color="000000" w:themeColor="text1"/>
            </w:tcBorders>
          </w:tcPr>
          <w:p w:rsidR="007F69E9" w:rsidRPr="00837906"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right w:val="nil"/>
            </w:tcBorders>
            <w:hideMark/>
          </w:tcPr>
          <w:p w:rsidR="007F69E9" w:rsidRPr="000D1353" w:rsidRDefault="007F69E9" w:rsidP="00625052">
            <w:pPr>
              <w:pStyle w:val="TableTextEntries"/>
              <w:rPr>
                <w:b w:val="0"/>
              </w:rPr>
            </w:pPr>
            <w:r w:rsidRPr="000D1353">
              <w:rPr>
                <w:b w:val="0"/>
              </w:rPr>
              <w:lastRenderedPageBreak/>
              <w:t>Reduced incidence of waterborne diseases</w:t>
            </w:r>
          </w:p>
        </w:tc>
        <w:tc>
          <w:tcPr>
            <w:tcW w:w="428" w:type="pct"/>
            <w:tcBorders>
              <w:left w:val="nil"/>
              <w:right w:val="nil"/>
            </w:tcBorders>
            <w:hideMark/>
          </w:tcPr>
          <w:p w:rsidR="007F69E9" w:rsidRPr="000D1353" w:rsidRDefault="007F69E9" w:rsidP="00625052">
            <w:pPr>
              <w:pStyle w:val="TableTextEntries"/>
              <w:rPr>
                <w:b w:val="0"/>
              </w:rPr>
            </w:pPr>
            <w:r w:rsidRPr="000D1353">
              <w:rPr>
                <w:b w:val="0"/>
              </w:rPr>
              <w:t>Increase rural access to clean water and hygienic sanitation</w:t>
            </w:r>
          </w:p>
        </w:tc>
        <w:tc>
          <w:tcPr>
            <w:tcW w:w="865" w:type="pct"/>
            <w:gridSpan w:val="2"/>
            <w:tcBorders>
              <w:left w:val="nil"/>
              <w:right w:val="nil"/>
            </w:tcBorders>
            <w:hideMark/>
          </w:tcPr>
          <w:p w:rsidR="007F69E9" w:rsidRPr="000D1353" w:rsidRDefault="007F69E9" w:rsidP="00625052">
            <w:pPr>
              <w:pStyle w:val="TableTextEntries"/>
              <w:rPr>
                <w:b w:val="0"/>
              </w:rPr>
            </w:pPr>
            <w:r w:rsidRPr="000D1353">
              <w:rPr>
                <w:b w:val="0"/>
              </w:rPr>
              <w:t>85% rural water access target</w:t>
            </w:r>
          </w:p>
        </w:tc>
        <w:tc>
          <w:tcPr>
            <w:tcW w:w="959" w:type="pct"/>
            <w:gridSpan w:val="2"/>
            <w:tcBorders>
              <w:left w:val="nil"/>
              <w:right w:val="nil"/>
            </w:tcBorders>
            <w:hideMark/>
          </w:tcPr>
          <w:p w:rsidR="007F69E9" w:rsidRPr="000D1353" w:rsidRDefault="007F69E9" w:rsidP="00625052">
            <w:pPr>
              <w:pStyle w:val="TableTextEntries"/>
              <w:rPr>
                <w:b w:val="0"/>
                <w:szCs w:val="19"/>
              </w:rPr>
            </w:pPr>
            <w:r w:rsidRPr="000D1353">
              <w:rPr>
                <w:b w:val="0"/>
              </w:rPr>
              <w:t>Water and sanitation targets: 82</w:t>
            </w:r>
            <w:r w:rsidRPr="000D1353">
              <w:rPr>
                <w:b w:val="0"/>
                <w:szCs w:val="19"/>
              </w:rPr>
              <w:t>% of rural population has access to hygienic water 60% to hygienic latrines, 318 of rural primary schools, 92 % of commune clinics have access to hygienic water and hygienic latrine</w:t>
            </w:r>
          </w:p>
        </w:tc>
        <w:tc>
          <w:tcPr>
            <w:tcW w:w="830" w:type="pct"/>
            <w:tcBorders>
              <w:left w:val="nil"/>
              <w:right w:val="nil"/>
            </w:tcBorders>
            <w:hideMark/>
          </w:tcPr>
          <w:p w:rsidR="007F69E9" w:rsidRPr="000D1353" w:rsidRDefault="007F69E9" w:rsidP="00625052">
            <w:pPr>
              <w:pStyle w:val="TableTextEntries"/>
              <w:rPr>
                <w:b w:val="0"/>
              </w:rPr>
            </w:pPr>
            <w:r w:rsidRPr="000D1353">
              <w:rPr>
                <w:b w:val="0"/>
                <w:szCs w:val="19"/>
              </w:rPr>
              <w:t xml:space="preserve">Achieved </w:t>
            </w:r>
          </w:p>
        </w:tc>
        <w:tc>
          <w:tcPr>
            <w:tcW w:w="791" w:type="pct"/>
            <w:tcBorders>
              <w:left w:val="nil"/>
              <w:right w:val="nil"/>
            </w:tcBorders>
            <w:hideMark/>
          </w:tcPr>
          <w:p w:rsidR="007F69E9" w:rsidRPr="000D1353" w:rsidRDefault="007F69E9" w:rsidP="00625052">
            <w:pPr>
              <w:pStyle w:val="TableTextEntries"/>
              <w:rPr>
                <w:b w:val="0"/>
                <w:szCs w:val="19"/>
              </w:rPr>
            </w:pPr>
            <w:r w:rsidRPr="000D1353">
              <w:rPr>
                <w:b w:val="0"/>
                <w:szCs w:val="19"/>
              </w:rPr>
              <w:t xml:space="preserve">83% of the rural population having access to hygienic water, 63% of rural household having access to hygienic latrines, 95% of rural primary schools and commune clinics have access to hygienic water and hygienic latrine. </w:t>
            </w:r>
          </w:p>
        </w:tc>
        <w:tc>
          <w:tcPr>
            <w:tcW w:w="592" w:type="pct"/>
            <w:tcBorders>
              <w:left w:val="nil"/>
              <w:right w:val="single" w:sz="12" w:space="0" w:color="000000" w:themeColor="text1"/>
            </w:tcBorders>
          </w:tcPr>
          <w:p w:rsidR="007F69E9" w:rsidRPr="000D1353" w:rsidRDefault="007F69E9" w:rsidP="00625052">
            <w:pPr>
              <w:pStyle w:val="TableTextEntries"/>
              <w:rPr>
                <w:b w:val="0"/>
              </w:rPr>
            </w:pPr>
            <w:r w:rsidRPr="000D1353">
              <w:rPr>
                <w:b w:val="0"/>
              </w:rPr>
              <w:t xml:space="preserve">National Target Program Phase 3 ($74 million 2012–2015) – 2014/15 commitment of approximately $16 million </w:t>
            </w:r>
          </w:p>
          <w:p w:rsidR="007F69E9" w:rsidRPr="000D1353" w:rsidRDefault="007F69E9" w:rsidP="00625052">
            <w:pPr>
              <w:pStyle w:val="TableTextEntries"/>
              <w:rPr>
                <w:b w:val="0"/>
              </w:rPr>
            </w:pPr>
          </w:p>
          <w:p w:rsidR="007F69E9" w:rsidRPr="000D1353"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right w:val="nil"/>
            </w:tcBorders>
          </w:tcPr>
          <w:p w:rsidR="007F69E9" w:rsidRPr="000D1353" w:rsidRDefault="007F69E9" w:rsidP="00625052">
            <w:pPr>
              <w:pStyle w:val="TableTextEntries"/>
              <w:rPr>
                <w:b w:val="0"/>
              </w:rPr>
            </w:pPr>
          </w:p>
        </w:tc>
        <w:tc>
          <w:tcPr>
            <w:tcW w:w="865" w:type="pct"/>
            <w:gridSpan w:val="2"/>
            <w:tcBorders>
              <w:left w:val="nil"/>
              <w:right w:val="nil"/>
            </w:tcBorders>
            <w:hideMark/>
          </w:tcPr>
          <w:p w:rsidR="007F69E9" w:rsidRPr="000D1353" w:rsidRDefault="007F69E9" w:rsidP="00625052">
            <w:pPr>
              <w:pStyle w:val="TableTextEntries"/>
              <w:rPr>
                <w:b w:val="0"/>
              </w:rPr>
            </w:pPr>
            <w:r w:rsidRPr="000D1353">
              <w:rPr>
                <w:b w:val="0"/>
              </w:rPr>
              <w:t>70% rural sanitation access target</w:t>
            </w:r>
          </w:p>
        </w:tc>
        <w:tc>
          <w:tcPr>
            <w:tcW w:w="959" w:type="pct"/>
            <w:gridSpan w:val="2"/>
            <w:tcBorders>
              <w:left w:val="nil"/>
              <w:right w:val="nil"/>
            </w:tcBorders>
            <w:hideMark/>
          </w:tcPr>
          <w:p w:rsidR="007F69E9" w:rsidRPr="000D1353" w:rsidRDefault="007F69E9" w:rsidP="00625052">
            <w:pPr>
              <w:pStyle w:val="TableTextEntries"/>
              <w:rPr>
                <w:b w:val="0"/>
                <w:szCs w:val="19"/>
              </w:rPr>
            </w:pPr>
            <w:r w:rsidRPr="000D1353">
              <w:rPr>
                <w:b w:val="0"/>
                <w:szCs w:val="19"/>
              </w:rPr>
              <w:t xml:space="preserve">Collection and analysis of </w:t>
            </w:r>
            <w:r w:rsidRPr="000D1353">
              <w:rPr>
                <w:b w:val="0"/>
                <w:lang w:val="en-US"/>
              </w:rPr>
              <w:t>waterborne disease data in selected provinces to measure health impact of rural water supply and sanitation</w:t>
            </w:r>
          </w:p>
        </w:tc>
        <w:tc>
          <w:tcPr>
            <w:tcW w:w="830" w:type="pct"/>
            <w:tcBorders>
              <w:left w:val="nil"/>
              <w:right w:val="nil"/>
            </w:tcBorders>
            <w:hideMark/>
          </w:tcPr>
          <w:p w:rsidR="007F69E9" w:rsidRPr="000D1353" w:rsidRDefault="007F69E9" w:rsidP="00625052">
            <w:pPr>
              <w:pStyle w:val="TableTextEntries"/>
              <w:rPr>
                <w:b w:val="0"/>
              </w:rPr>
            </w:pPr>
            <w:r w:rsidRPr="000D1353">
              <w:rPr>
                <w:b w:val="0"/>
              </w:rPr>
              <w:t xml:space="preserve">Achieved </w:t>
            </w:r>
          </w:p>
        </w:tc>
        <w:tc>
          <w:tcPr>
            <w:tcW w:w="791" w:type="pct"/>
            <w:tcBorders>
              <w:left w:val="nil"/>
              <w:right w:val="nil"/>
            </w:tcBorders>
            <w:hideMark/>
          </w:tcPr>
          <w:p w:rsidR="007F69E9" w:rsidRPr="000D1353" w:rsidRDefault="007F69E9" w:rsidP="00625052">
            <w:pPr>
              <w:pStyle w:val="TableTextEntries"/>
              <w:rPr>
                <w:b w:val="0"/>
                <w:szCs w:val="19"/>
              </w:rPr>
            </w:pPr>
            <w:r w:rsidRPr="000D1353">
              <w:rPr>
                <w:b w:val="0"/>
                <w:szCs w:val="19"/>
              </w:rPr>
              <w:t>75% of the schemes (equivalence to 550 schemes) are improved or upgraded</w:t>
            </w:r>
          </w:p>
        </w:tc>
        <w:tc>
          <w:tcPr>
            <w:tcW w:w="592" w:type="pct"/>
            <w:tcBorders>
              <w:left w:val="nil"/>
              <w:right w:val="single" w:sz="12" w:space="0" w:color="000000" w:themeColor="text1"/>
            </w:tcBorders>
          </w:tcPr>
          <w:p w:rsidR="007F69E9" w:rsidRPr="000D1353"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right w:val="nil"/>
            </w:tcBorders>
          </w:tcPr>
          <w:p w:rsidR="007F69E9" w:rsidRPr="000D1353" w:rsidRDefault="007F69E9" w:rsidP="00625052">
            <w:pPr>
              <w:pStyle w:val="TableTextEntries"/>
              <w:rPr>
                <w:b w:val="0"/>
              </w:rPr>
            </w:pPr>
          </w:p>
        </w:tc>
        <w:tc>
          <w:tcPr>
            <w:tcW w:w="865" w:type="pct"/>
            <w:gridSpan w:val="2"/>
            <w:tcBorders>
              <w:left w:val="nil"/>
              <w:right w:val="nil"/>
            </w:tcBorders>
          </w:tcPr>
          <w:p w:rsidR="007F69E9" w:rsidRPr="000D1353" w:rsidRDefault="007F69E9" w:rsidP="00625052">
            <w:pPr>
              <w:pStyle w:val="TableTextEntries"/>
              <w:rPr>
                <w:b w:val="0"/>
              </w:rPr>
            </w:pPr>
          </w:p>
        </w:tc>
        <w:tc>
          <w:tcPr>
            <w:tcW w:w="959" w:type="pct"/>
            <w:gridSpan w:val="2"/>
            <w:tcBorders>
              <w:left w:val="nil"/>
              <w:right w:val="nil"/>
            </w:tcBorders>
            <w:hideMark/>
          </w:tcPr>
          <w:p w:rsidR="007F69E9" w:rsidRPr="000D1353" w:rsidRDefault="007F69E9" w:rsidP="00625052">
            <w:pPr>
              <w:pStyle w:val="TableTextEntries"/>
              <w:rPr>
                <w:b w:val="0"/>
                <w:lang w:val="en-US"/>
              </w:rPr>
            </w:pPr>
            <w:r w:rsidRPr="000D1353">
              <w:rPr>
                <w:b w:val="0"/>
                <w:lang w:val="en-US"/>
              </w:rPr>
              <w:t xml:space="preserve">Establish database on the public assets of the rural water supply and sanitation sector, update and consolidate the monitoring and evaluation database for </w:t>
            </w:r>
            <w:r w:rsidRPr="000D1353">
              <w:rPr>
                <w:b w:val="0"/>
                <w:lang w:val="en-GB"/>
              </w:rPr>
              <w:t xml:space="preserve">National </w:t>
            </w:r>
            <w:r w:rsidRPr="000D1353">
              <w:rPr>
                <w:b w:val="0"/>
                <w:lang w:val="en-US"/>
              </w:rPr>
              <w:t>Target Program for Rural Water Supply and Sanitation 2012–2015 Phase 3</w:t>
            </w:r>
          </w:p>
          <w:p w:rsidR="007F69E9" w:rsidRPr="000D1353" w:rsidRDefault="007F69E9" w:rsidP="00625052">
            <w:pPr>
              <w:pStyle w:val="TableTextEntries"/>
              <w:rPr>
                <w:b w:val="0"/>
                <w:lang w:val="en-US"/>
              </w:rPr>
            </w:pPr>
            <w:r w:rsidRPr="000D1353">
              <w:rPr>
                <w:b w:val="0"/>
                <w:lang w:val="en-US"/>
              </w:rPr>
              <w:t>Issue the operations and maintenance guidebook for schools water supply and sanitation facilities.</w:t>
            </w:r>
          </w:p>
          <w:p w:rsidR="007F69E9" w:rsidRPr="000D1353" w:rsidRDefault="007F69E9" w:rsidP="00625052">
            <w:pPr>
              <w:pStyle w:val="TableTextEntries"/>
              <w:rPr>
                <w:b w:val="0"/>
                <w:lang w:val="en-US"/>
              </w:rPr>
            </w:pPr>
            <w:r w:rsidRPr="000D1353">
              <w:rPr>
                <w:b w:val="0"/>
                <w:lang w:val="en-US"/>
              </w:rPr>
              <w:t>Provide support to four provinces to equip and upgrade the water testing laboratories</w:t>
            </w:r>
          </w:p>
        </w:tc>
        <w:tc>
          <w:tcPr>
            <w:tcW w:w="830" w:type="pct"/>
            <w:tcBorders>
              <w:left w:val="nil"/>
              <w:right w:val="nil"/>
            </w:tcBorders>
            <w:hideMark/>
          </w:tcPr>
          <w:p w:rsidR="007F69E9" w:rsidRPr="000D1353" w:rsidRDefault="007F69E9" w:rsidP="00625052">
            <w:pPr>
              <w:pStyle w:val="TableTextEntries"/>
              <w:rPr>
                <w:b w:val="0"/>
              </w:rPr>
            </w:pPr>
            <w:r w:rsidRPr="000D1353">
              <w:rPr>
                <w:b w:val="0"/>
              </w:rPr>
              <w:t>Achieved</w:t>
            </w:r>
          </w:p>
        </w:tc>
        <w:tc>
          <w:tcPr>
            <w:tcW w:w="791" w:type="pct"/>
            <w:tcBorders>
              <w:left w:val="nil"/>
              <w:right w:val="nil"/>
            </w:tcBorders>
          </w:tcPr>
          <w:p w:rsidR="007F69E9" w:rsidRPr="00837906" w:rsidRDefault="007F69E9" w:rsidP="00625052">
            <w:pPr>
              <w:pStyle w:val="TableTextEntries"/>
              <w:rPr>
                <w:b w:val="0"/>
                <w:lang w:val="en-US"/>
              </w:rPr>
            </w:pPr>
          </w:p>
        </w:tc>
        <w:tc>
          <w:tcPr>
            <w:tcW w:w="592" w:type="pct"/>
            <w:tcBorders>
              <w:left w:val="nil"/>
              <w:right w:val="single" w:sz="12" w:space="0" w:color="000000" w:themeColor="text1"/>
            </w:tcBorders>
          </w:tcPr>
          <w:p w:rsidR="007F69E9" w:rsidRPr="00837906"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right w:val="nil"/>
            </w:tcBorders>
          </w:tcPr>
          <w:p w:rsidR="007F69E9" w:rsidRPr="000D1353" w:rsidRDefault="007F69E9" w:rsidP="00625052">
            <w:pPr>
              <w:pStyle w:val="TableTextEntries"/>
              <w:rPr>
                <w:b w:val="0"/>
              </w:rPr>
            </w:pPr>
          </w:p>
        </w:tc>
        <w:tc>
          <w:tcPr>
            <w:tcW w:w="865" w:type="pct"/>
            <w:gridSpan w:val="2"/>
            <w:tcBorders>
              <w:left w:val="nil"/>
              <w:right w:val="nil"/>
            </w:tcBorders>
          </w:tcPr>
          <w:p w:rsidR="007F69E9" w:rsidRPr="000D1353" w:rsidRDefault="007F69E9" w:rsidP="00625052">
            <w:pPr>
              <w:pStyle w:val="TableTextEntries"/>
              <w:rPr>
                <w:b w:val="0"/>
              </w:rPr>
            </w:pPr>
          </w:p>
        </w:tc>
        <w:tc>
          <w:tcPr>
            <w:tcW w:w="959" w:type="pct"/>
            <w:gridSpan w:val="2"/>
            <w:tcBorders>
              <w:left w:val="nil"/>
              <w:right w:val="nil"/>
            </w:tcBorders>
            <w:hideMark/>
          </w:tcPr>
          <w:p w:rsidR="007F69E9" w:rsidRPr="000D1353" w:rsidRDefault="007F69E9" w:rsidP="00625052">
            <w:pPr>
              <w:pStyle w:val="TableTextEntries"/>
              <w:rPr>
                <w:b w:val="0"/>
              </w:rPr>
            </w:pPr>
            <w:r w:rsidRPr="000D1353">
              <w:rPr>
                <w:b w:val="0"/>
              </w:rPr>
              <w:t>Working with international non-government organisations to design and implement projects under the Australian Government’s second Civil Society Water, Sanitation and Hygiene Fund</w:t>
            </w:r>
          </w:p>
        </w:tc>
        <w:tc>
          <w:tcPr>
            <w:tcW w:w="830" w:type="pct"/>
            <w:tcBorders>
              <w:left w:val="nil"/>
              <w:right w:val="nil"/>
            </w:tcBorders>
            <w:hideMark/>
          </w:tcPr>
          <w:p w:rsidR="007F69E9" w:rsidRPr="000D1353" w:rsidRDefault="007F69E9" w:rsidP="00625052">
            <w:pPr>
              <w:pStyle w:val="TableTextEntries"/>
              <w:rPr>
                <w:b w:val="0"/>
              </w:rPr>
            </w:pPr>
            <w:r w:rsidRPr="000D1353">
              <w:rPr>
                <w:b w:val="0"/>
              </w:rPr>
              <w:t xml:space="preserve">Achieved </w:t>
            </w:r>
          </w:p>
        </w:tc>
        <w:tc>
          <w:tcPr>
            <w:tcW w:w="791" w:type="pct"/>
            <w:tcBorders>
              <w:left w:val="nil"/>
              <w:right w:val="nil"/>
            </w:tcBorders>
          </w:tcPr>
          <w:p w:rsidR="007F69E9" w:rsidRPr="00837906" w:rsidRDefault="007F69E9" w:rsidP="00625052">
            <w:pPr>
              <w:pStyle w:val="TableTextEntries"/>
              <w:rPr>
                <w:b w:val="0"/>
              </w:rPr>
            </w:pPr>
          </w:p>
        </w:tc>
        <w:tc>
          <w:tcPr>
            <w:tcW w:w="592" w:type="pct"/>
            <w:tcBorders>
              <w:left w:val="nil"/>
              <w:right w:val="single" w:sz="12" w:space="0" w:color="000000" w:themeColor="text1"/>
            </w:tcBorders>
          </w:tcPr>
          <w:p w:rsidR="007F69E9" w:rsidRPr="00837906"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right w:val="nil"/>
            </w:tcBorders>
          </w:tcPr>
          <w:p w:rsidR="007F69E9" w:rsidRPr="000D1353" w:rsidRDefault="007F69E9" w:rsidP="00625052">
            <w:pPr>
              <w:pStyle w:val="TableTextEntries"/>
              <w:rPr>
                <w:b w:val="0"/>
              </w:rPr>
            </w:pPr>
          </w:p>
        </w:tc>
        <w:tc>
          <w:tcPr>
            <w:tcW w:w="865" w:type="pct"/>
            <w:gridSpan w:val="2"/>
            <w:tcBorders>
              <w:left w:val="nil"/>
              <w:right w:val="nil"/>
            </w:tcBorders>
          </w:tcPr>
          <w:p w:rsidR="007F69E9" w:rsidRPr="000D1353" w:rsidRDefault="007F69E9" w:rsidP="00625052">
            <w:pPr>
              <w:pStyle w:val="TableTextEntries"/>
              <w:rPr>
                <w:b w:val="0"/>
              </w:rPr>
            </w:pPr>
          </w:p>
        </w:tc>
        <w:tc>
          <w:tcPr>
            <w:tcW w:w="959" w:type="pct"/>
            <w:gridSpan w:val="2"/>
            <w:tcBorders>
              <w:left w:val="nil"/>
              <w:right w:val="nil"/>
            </w:tcBorders>
          </w:tcPr>
          <w:p w:rsidR="007F69E9" w:rsidRPr="000D1353" w:rsidRDefault="007F69E9" w:rsidP="00625052">
            <w:pPr>
              <w:pStyle w:val="TableTextEntries"/>
              <w:rPr>
                <w:b w:val="0"/>
              </w:rPr>
            </w:pPr>
          </w:p>
        </w:tc>
        <w:tc>
          <w:tcPr>
            <w:tcW w:w="830" w:type="pct"/>
            <w:tcBorders>
              <w:left w:val="nil"/>
              <w:right w:val="nil"/>
            </w:tcBorders>
          </w:tcPr>
          <w:p w:rsidR="007F69E9" w:rsidRPr="000D1353" w:rsidRDefault="007F69E9" w:rsidP="00625052">
            <w:pPr>
              <w:pStyle w:val="TableTextEntries"/>
              <w:rPr>
                <w:b w:val="0"/>
              </w:rPr>
            </w:pPr>
          </w:p>
        </w:tc>
        <w:tc>
          <w:tcPr>
            <w:tcW w:w="791" w:type="pct"/>
            <w:tcBorders>
              <w:left w:val="nil"/>
              <w:right w:val="nil"/>
            </w:tcBorders>
          </w:tcPr>
          <w:p w:rsidR="007F69E9" w:rsidRPr="00837906" w:rsidRDefault="007F69E9" w:rsidP="00625052">
            <w:pPr>
              <w:pStyle w:val="TableTextEntries"/>
              <w:rPr>
                <w:b w:val="0"/>
              </w:rPr>
            </w:pPr>
          </w:p>
        </w:tc>
        <w:tc>
          <w:tcPr>
            <w:tcW w:w="592" w:type="pct"/>
            <w:tcBorders>
              <w:left w:val="nil"/>
              <w:right w:val="single" w:sz="12" w:space="0" w:color="000000" w:themeColor="text1"/>
            </w:tcBorders>
          </w:tcPr>
          <w:p w:rsidR="007F69E9" w:rsidRPr="00837906"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right w:val="nil"/>
            </w:tcBorders>
            <w:hideMark/>
          </w:tcPr>
          <w:p w:rsidR="007F69E9" w:rsidRPr="000D1353" w:rsidRDefault="007F69E9" w:rsidP="00625052">
            <w:pPr>
              <w:pStyle w:val="TableTextEntries"/>
              <w:rPr>
                <w:b w:val="0"/>
              </w:rPr>
            </w:pPr>
            <w:r w:rsidRPr="000D1353">
              <w:rPr>
                <w:b w:val="0"/>
              </w:rPr>
              <w:t>Reduced human, economic and environmental losses associated with climate change, including natural disasters</w:t>
            </w:r>
          </w:p>
        </w:tc>
        <w:tc>
          <w:tcPr>
            <w:tcW w:w="428" w:type="pct"/>
            <w:tcBorders>
              <w:left w:val="nil"/>
              <w:right w:val="nil"/>
            </w:tcBorders>
          </w:tcPr>
          <w:p w:rsidR="007F69E9" w:rsidRPr="000D1353" w:rsidRDefault="007F69E9" w:rsidP="00625052">
            <w:pPr>
              <w:pStyle w:val="TableTextEntries"/>
              <w:rPr>
                <w:b w:val="0"/>
              </w:rPr>
            </w:pPr>
            <w:r w:rsidRPr="000D1353">
              <w:rPr>
                <w:b w:val="0"/>
              </w:rPr>
              <w:t>Advance climate change adaptation and mitigation</w:t>
            </w:r>
          </w:p>
          <w:p w:rsidR="007F69E9" w:rsidRPr="000D1353" w:rsidRDefault="007F69E9" w:rsidP="00625052">
            <w:pPr>
              <w:pStyle w:val="TableTextEntries"/>
              <w:rPr>
                <w:b w:val="0"/>
              </w:rPr>
            </w:pPr>
          </w:p>
        </w:tc>
        <w:tc>
          <w:tcPr>
            <w:tcW w:w="865" w:type="pct"/>
            <w:gridSpan w:val="2"/>
            <w:tcBorders>
              <w:left w:val="nil"/>
              <w:right w:val="nil"/>
            </w:tcBorders>
          </w:tcPr>
          <w:p w:rsidR="007F69E9" w:rsidRPr="000D1353" w:rsidRDefault="007F69E9" w:rsidP="00625052">
            <w:pPr>
              <w:pStyle w:val="TableTextEntries"/>
              <w:rPr>
                <w:b w:val="0"/>
              </w:rPr>
            </w:pPr>
            <w:r w:rsidRPr="000D1353">
              <w:rPr>
                <w:b w:val="0"/>
              </w:rPr>
              <w:t>750 000 people assisted to build their resilience to climate change and weather-based disasters</w:t>
            </w:r>
          </w:p>
          <w:p w:rsidR="007F69E9" w:rsidRPr="000D1353" w:rsidRDefault="007F69E9" w:rsidP="00625052">
            <w:pPr>
              <w:pStyle w:val="TableTextEntries"/>
              <w:rPr>
                <w:b w:val="0"/>
              </w:rPr>
            </w:pPr>
          </w:p>
        </w:tc>
        <w:tc>
          <w:tcPr>
            <w:tcW w:w="776" w:type="pct"/>
            <w:tcBorders>
              <w:left w:val="nil"/>
              <w:right w:val="nil"/>
            </w:tcBorders>
          </w:tcPr>
          <w:p w:rsidR="007F69E9" w:rsidRPr="000D1353" w:rsidRDefault="007F69E9" w:rsidP="00625052">
            <w:pPr>
              <w:pStyle w:val="TableTextEntries"/>
              <w:rPr>
                <w:b w:val="0"/>
              </w:rPr>
            </w:pPr>
            <w:r w:rsidRPr="000D1353">
              <w:rPr>
                <w:b w:val="0"/>
              </w:rPr>
              <w:t>Progress towards directly helping 270 000 people build their resilience to climate change and natural disasters</w:t>
            </w:r>
          </w:p>
          <w:p w:rsidR="007F69E9" w:rsidRPr="000D1353" w:rsidRDefault="007F69E9" w:rsidP="00625052">
            <w:pPr>
              <w:pStyle w:val="TableTextEntries"/>
              <w:rPr>
                <w:b w:val="0"/>
              </w:rPr>
            </w:pPr>
          </w:p>
          <w:p w:rsidR="007F69E9" w:rsidRPr="000D1353" w:rsidRDefault="007F69E9" w:rsidP="00625052">
            <w:pPr>
              <w:pStyle w:val="TableTextEntries"/>
              <w:rPr>
                <w:b w:val="0"/>
              </w:rPr>
            </w:pPr>
            <w:r w:rsidRPr="000D1353">
              <w:rPr>
                <w:b w:val="0"/>
              </w:rPr>
              <w:t>Mobilisation of community-based disaster risk management under Asian Development Bank flood and drought mitigation project targeting 63 vulnerable communes</w:t>
            </w:r>
          </w:p>
        </w:tc>
        <w:tc>
          <w:tcPr>
            <w:tcW w:w="1013" w:type="pct"/>
            <w:gridSpan w:val="2"/>
            <w:tcBorders>
              <w:left w:val="nil"/>
              <w:right w:val="nil"/>
            </w:tcBorders>
          </w:tcPr>
          <w:p w:rsidR="007F69E9" w:rsidRPr="000D1353" w:rsidRDefault="007F69E9" w:rsidP="00625052">
            <w:pPr>
              <w:pStyle w:val="TableTextEntries"/>
              <w:rPr>
                <w:b w:val="0"/>
              </w:rPr>
            </w:pPr>
            <w:r w:rsidRPr="000D1353">
              <w:rPr>
                <w:b w:val="0"/>
              </w:rPr>
              <w:t xml:space="preserve">Progress achieved with 115 000 people assisted. Total beneficiaries revised to 247,000 based on changes in location and scope of projects. </w:t>
            </w:r>
          </w:p>
          <w:p w:rsidR="007F69E9" w:rsidRPr="000D1353" w:rsidRDefault="007F69E9" w:rsidP="00625052">
            <w:pPr>
              <w:pStyle w:val="TableTextEntries"/>
              <w:rPr>
                <w:b w:val="0"/>
              </w:rPr>
            </w:pPr>
          </w:p>
          <w:p w:rsidR="007F69E9" w:rsidRPr="000D1353" w:rsidRDefault="007F69E9" w:rsidP="00625052">
            <w:pPr>
              <w:pStyle w:val="TableTextEntries"/>
              <w:rPr>
                <w:b w:val="0"/>
              </w:rPr>
            </w:pPr>
            <w:r w:rsidRPr="000D1353">
              <w:rPr>
                <w:b w:val="0"/>
              </w:rPr>
              <w:t>Delayed. Mobilisation now expected Q3 2014</w:t>
            </w:r>
          </w:p>
        </w:tc>
        <w:tc>
          <w:tcPr>
            <w:tcW w:w="791" w:type="pct"/>
            <w:tcBorders>
              <w:left w:val="nil"/>
              <w:right w:val="nil"/>
            </w:tcBorders>
          </w:tcPr>
          <w:p w:rsidR="007F69E9" w:rsidRPr="000D1353" w:rsidRDefault="007F69E9" w:rsidP="00625052">
            <w:pPr>
              <w:pStyle w:val="TableTextEntries"/>
              <w:rPr>
                <w:b w:val="0"/>
              </w:rPr>
            </w:pPr>
            <w:r w:rsidRPr="000D1353">
              <w:rPr>
                <w:b w:val="0"/>
              </w:rPr>
              <w:t>247</w:t>
            </w:r>
            <w:r w:rsidR="005F60FC">
              <w:rPr>
                <w:b w:val="0"/>
              </w:rPr>
              <w:t xml:space="preserve"> </w:t>
            </w:r>
            <w:r w:rsidRPr="000D1353">
              <w:rPr>
                <w:b w:val="0"/>
              </w:rPr>
              <w:t>000 people have increased resilience to climate change and natural disasters</w:t>
            </w:r>
          </w:p>
          <w:p w:rsidR="007F69E9" w:rsidRPr="000D1353" w:rsidRDefault="007F69E9" w:rsidP="00625052">
            <w:pPr>
              <w:rPr>
                <w:b w:val="0"/>
                <w:lang w:eastAsia="en-US"/>
              </w:rPr>
            </w:pPr>
          </w:p>
          <w:p w:rsidR="007F69E9" w:rsidRPr="000D1353" w:rsidRDefault="007F69E9" w:rsidP="00625052">
            <w:pPr>
              <w:pStyle w:val="TableTextEntries"/>
              <w:rPr>
                <w:b w:val="0"/>
              </w:rPr>
            </w:pPr>
            <w:r w:rsidRPr="000D1353">
              <w:rPr>
                <w:b w:val="0"/>
              </w:rPr>
              <w:t>Mobilisation of community-based disaster risk management under Asian Development Bank flood and drought mitigation project targeting 63 vulnerable communes</w:t>
            </w:r>
          </w:p>
        </w:tc>
        <w:tc>
          <w:tcPr>
            <w:tcW w:w="592" w:type="pct"/>
            <w:tcBorders>
              <w:left w:val="nil"/>
              <w:right w:val="single" w:sz="12" w:space="0" w:color="000000" w:themeColor="text1"/>
            </w:tcBorders>
          </w:tcPr>
          <w:p w:rsidR="007F69E9" w:rsidRPr="000D1353" w:rsidRDefault="007F69E9" w:rsidP="00625052">
            <w:pPr>
              <w:pStyle w:val="TableTextEntries"/>
              <w:rPr>
                <w:b w:val="0"/>
              </w:rPr>
            </w:pPr>
            <w:r w:rsidRPr="000D1353">
              <w:rPr>
                <w:b w:val="0"/>
              </w:rPr>
              <w:t>Climate Change Action Grants</w:t>
            </w:r>
            <w:r w:rsidRPr="000D1353">
              <w:rPr>
                <w:b w:val="0"/>
                <w:i/>
              </w:rPr>
              <w:t xml:space="preserve"> </w:t>
            </w:r>
            <w:r w:rsidRPr="000D1353">
              <w:rPr>
                <w:b w:val="0"/>
              </w:rPr>
              <w:t>2012–201</w:t>
            </w:r>
            <w:r w:rsidR="005F60FC">
              <w:rPr>
                <w:b w:val="0"/>
              </w:rPr>
              <w:t>5</w:t>
            </w:r>
            <w:r w:rsidRPr="000D1353">
              <w:rPr>
                <w:b w:val="0"/>
              </w:rPr>
              <w:t xml:space="preserve"> ($15m)</w:t>
            </w:r>
          </w:p>
          <w:p w:rsidR="007F69E9" w:rsidRPr="000D1353" w:rsidRDefault="007F69E9" w:rsidP="00625052">
            <w:pPr>
              <w:pStyle w:val="TableTextEntries"/>
              <w:rPr>
                <w:b w:val="0"/>
              </w:rPr>
            </w:pPr>
          </w:p>
          <w:p w:rsidR="007F69E9" w:rsidRPr="000D1353" w:rsidRDefault="007F69E9" w:rsidP="00625052">
            <w:pPr>
              <w:pStyle w:val="TableTextEntries"/>
              <w:rPr>
                <w:b w:val="0"/>
              </w:rPr>
            </w:pPr>
          </w:p>
          <w:p w:rsidR="007F69E9" w:rsidRPr="000D1353" w:rsidRDefault="007F69E9" w:rsidP="00625052">
            <w:pPr>
              <w:pStyle w:val="TableTextEntries"/>
              <w:rPr>
                <w:b w:val="0"/>
              </w:rPr>
            </w:pPr>
            <w:r w:rsidRPr="000D1353">
              <w:rPr>
                <w:b w:val="0"/>
              </w:rPr>
              <w:t>Asian Development Bank Community-based Disaster Risk Management component ($5.85m)</w:t>
            </w:r>
          </w:p>
          <w:p w:rsidR="007F69E9" w:rsidRPr="000D1353"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right w:val="nil"/>
            </w:tcBorders>
          </w:tcPr>
          <w:p w:rsidR="007F69E9" w:rsidRPr="000D1353" w:rsidRDefault="007F69E9" w:rsidP="00625052">
            <w:pPr>
              <w:pStyle w:val="TableTextEntries"/>
              <w:rPr>
                <w:b w:val="0"/>
              </w:rPr>
            </w:pPr>
          </w:p>
        </w:tc>
        <w:tc>
          <w:tcPr>
            <w:tcW w:w="865" w:type="pct"/>
            <w:gridSpan w:val="2"/>
            <w:tcBorders>
              <w:left w:val="nil"/>
              <w:right w:val="nil"/>
            </w:tcBorders>
          </w:tcPr>
          <w:p w:rsidR="007F69E9" w:rsidRPr="000D1353" w:rsidRDefault="007F69E9" w:rsidP="00625052">
            <w:pPr>
              <w:pStyle w:val="TableTextEntries"/>
              <w:rPr>
                <w:b w:val="0"/>
              </w:rPr>
            </w:pPr>
          </w:p>
        </w:tc>
        <w:tc>
          <w:tcPr>
            <w:tcW w:w="776" w:type="pct"/>
            <w:tcBorders>
              <w:left w:val="nil"/>
              <w:right w:val="nil"/>
            </w:tcBorders>
          </w:tcPr>
          <w:p w:rsidR="007F69E9" w:rsidRPr="000D1353" w:rsidRDefault="007F69E9" w:rsidP="00625052">
            <w:pPr>
              <w:pStyle w:val="TableTextEntries"/>
              <w:rPr>
                <w:b w:val="0"/>
              </w:rPr>
            </w:pPr>
          </w:p>
        </w:tc>
        <w:tc>
          <w:tcPr>
            <w:tcW w:w="1013" w:type="pct"/>
            <w:gridSpan w:val="2"/>
            <w:tcBorders>
              <w:left w:val="nil"/>
              <w:right w:val="nil"/>
            </w:tcBorders>
          </w:tcPr>
          <w:p w:rsidR="007F69E9" w:rsidRPr="000D1353" w:rsidRDefault="007F69E9" w:rsidP="00625052">
            <w:pPr>
              <w:pStyle w:val="TableTextEntries"/>
              <w:rPr>
                <w:b w:val="0"/>
              </w:rPr>
            </w:pPr>
          </w:p>
        </w:tc>
        <w:tc>
          <w:tcPr>
            <w:tcW w:w="791" w:type="pct"/>
            <w:tcBorders>
              <w:left w:val="nil"/>
              <w:right w:val="nil"/>
            </w:tcBorders>
            <w:hideMark/>
          </w:tcPr>
          <w:p w:rsidR="007F69E9" w:rsidRPr="000D1353" w:rsidRDefault="007F69E9" w:rsidP="00625052">
            <w:pPr>
              <w:pStyle w:val="TableTextEntries"/>
              <w:rPr>
                <w:b w:val="0"/>
              </w:rPr>
            </w:pPr>
            <w:r w:rsidRPr="000D1353">
              <w:rPr>
                <w:b w:val="0"/>
              </w:rPr>
              <w:t>Approval of Decrees and finalisation of studies supporting Prime Minister’s Decision on disaster risk levels to support implementation of the DRM Law</w:t>
            </w:r>
          </w:p>
        </w:tc>
        <w:tc>
          <w:tcPr>
            <w:tcW w:w="592" w:type="pct"/>
            <w:tcBorders>
              <w:left w:val="nil"/>
              <w:right w:val="single" w:sz="12" w:space="0" w:color="000000" w:themeColor="text1"/>
            </w:tcBorders>
            <w:hideMark/>
          </w:tcPr>
          <w:p w:rsidR="007F69E9" w:rsidRPr="000D1353" w:rsidRDefault="007F69E9" w:rsidP="00625052">
            <w:pPr>
              <w:pStyle w:val="TableTextEntries"/>
              <w:rPr>
                <w:b w:val="0"/>
              </w:rPr>
            </w:pPr>
            <w:r w:rsidRPr="000D1353">
              <w:rPr>
                <w:b w:val="0"/>
              </w:rPr>
              <w:t>UNDP CBDRM capacity support program $2.8 million</w:t>
            </w: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Height w:val="1984"/>
        </w:trPr>
        <w:tc>
          <w:tcPr>
            <w:tcW w:w="455" w:type="pct"/>
            <w:tcBorders>
              <w:left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right w:val="nil"/>
            </w:tcBorders>
          </w:tcPr>
          <w:p w:rsidR="007F69E9" w:rsidRPr="000D1353" w:rsidRDefault="007F69E9" w:rsidP="00625052">
            <w:pPr>
              <w:pStyle w:val="TableTextEntries"/>
              <w:rPr>
                <w:b w:val="0"/>
              </w:rPr>
            </w:pPr>
          </w:p>
        </w:tc>
        <w:tc>
          <w:tcPr>
            <w:tcW w:w="865" w:type="pct"/>
            <w:gridSpan w:val="2"/>
            <w:tcBorders>
              <w:left w:val="nil"/>
              <w:right w:val="nil"/>
            </w:tcBorders>
            <w:hideMark/>
          </w:tcPr>
          <w:p w:rsidR="007F69E9" w:rsidRPr="000D1353" w:rsidRDefault="007F69E9" w:rsidP="00625052">
            <w:pPr>
              <w:pStyle w:val="TableTextEntries"/>
              <w:rPr>
                <w:b w:val="0"/>
              </w:rPr>
            </w:pPr>
            <w:r w:rsidRPr="000D1353">
              <w:rPr>
                <w:b w:val="0"/>
              </w:rPr>
              <w:t xml:space="preserve">Increase in the incidence and quality of sea dykes and mangrove belts in the southwest Mekong Delta </w:t>
            </w:r>
          </w:p>
        </w:tc>
        <w:tc>
          <w:tcPr>
            <w:tcW w:w="776" w:type="pct"/>
            <w:tcBorders>
              <w:left w:val="nil"/>
              <w:right w:val="nil"/>
            </w:tcBorders>
          </w:tcPr>
          <w:p w:rsidR="007F69E9" w:rsidRPr="000D1353" w:rsidRDefault="007F69E9" w:rsidP="00625052">
            <w:pPr>
              <w:pStyle w:val="TableTextEntries"/>
              <w:rPr>
                <w:b w:val="0"/>
              </w:rPr>
            </w:pPr>
            <w:r w:rsidRPr="000D1353">
              <w:rPr>
                <w:b w:val="0"/>
              </w:rPr>
              <w:t>10km of cost effective dyke protection and mangrove rehabilitation structures are completed.</w:t>
            </w:r>
          </w:p>
          <w:p w:rsidR="007F69E9" w:rsidRPr="000D1353" w:rsidRDefault="007F69E9" w:rsidP="00625052">
            <w:pPr>
              <w:pStyle w:val="TableTextEntries"/>
              <w:rPr>
                <w:b w:val="0"/>
              </w:rPr>
            </w:pPr>
          </w:p>
          <w:p w:rsidR="007F69E9" w:rsidRPr="000D1353" w:rsidRDefault="007F69E9" w:rsidP="00625052">
            <w:pPr>
              <w:pStyle w:val="TableTextEntries"/>
              <w:rPr>
                <w:b w:val="0"/>
              </w:rPr>
            </w:pPr>
          </w:p>
        </w:tc>
        <w:tc>
          <w:tcPr>
            <w:tcW w:w="1013" w:type="pct"/>
            <w:gridSpan w:val="2"/>
            <w:tcBorders>
              <w:left w:val="nil"/>
              <w:right w:val="nil"/>
            </w:tcBorders>
          </w:tcPr>
          <w:p w:rsidR="007F69E9" w:rsidRPr="000D1353" w:rsidRDefault="007F69E9" w:rsidP="00625052">
            <w:pPr>
              <w:pStyle w:val="TableTextEntries"/>
              <w:rPr>
                <w:b w:val="0"/>
              </w:rPr>
            </w:pPr>
            <w:r w:rsidRPr="000D1353">
              <w:rPr>
                <w:b w:val="0"/>
              </w:rPr>
              <w:t>Achieved - 10.85 km</w:t>
            </w:r>
          </w:p>
          <w:p w:rsidR="007F69E9" w:rsidRPr="000D1353" w:rsidRDefault="007F69E9" w:rsidP="00625052">
            <w:pPr>
              <w:pStyle w:val="TableTextEntries"/>
              <w:rPr>
                <w:b w:val="0"/>
              </w:rPr>
            </w:pPr>
          </w:p>
          <w:p w:rsidR="007F69E9" w:rsidRPr="000D1353" w:rsidRDefault="007F69E9" w:rsidP="00625052">
            <w:pPr>
              <w:pStyle w:val="TableTextEntries"/>
              <w:rPr>
                <w:b w:val="0"/>
              </w:rPr>
            </w:pPr>
          </w:p>
          <w:p w:rsidR="007F69E9" w:rsidRPr="000D1353" w:rsidRDefault="007F69E9" w:rsidP="00625052">
            <w:pPr>
              <w:pStyle w:val="TableTextEntries"/>
              <w:rPr>
                <w:b w:val="0"/>
              </w:rPr>
            </w:pPr>
          </w:p>
          <w:p w:rsidR="007F69E9" w:rsidRPr="000D1353" w:rsidRDefault="007F69E9" w:rsidP="00625052">
            <w:pPr>
              <w:pStyle w:val="TableTextEntries"/>
              <w:rPr>
                <w:b w:val="0"/>
              </w:rPr>
            </w:pPr>
          </w:p>
        </w:tc>
        <w:tc>
          <w:tcPr>
            <w:tcW w:w="791" w:type="pct"/>
            <w:tcBorders>
              <w:left w:val="nil"/>
              <w:right w:val="nil"/>
            </w:tcBorders>
            <w:hideMark/>
          </w:tcPr>
          <w:p w:rsidR="007F69E9" w:rsidRPr="000D1353" w:rsidRDefault="006808DE" w:rsidP="005F60FC">
            <w:pPr>
              <w:pStyle w:val="TableTextEntries"/>
              <w:rPr>
                <w:b w:val="0"/>
              </w:rPr>
            </w:pPr>
            <w:r>
              <w:rPr>
                <w:b w:val="0"/>
              </w:rPr>
              <w:t>Satisfactory progress in i</w:t>
            </w:r>
            <w:r w:rsidR="007F69E9" w:rsidRPr="000D1353">
              <w:rPr>
                <w:b w:val="0"/>
              </w:rPr>
              <w:t>mplementation of the two comprehensive policy packages on water resources management and coastal area co-management.</w:t>
            </w:r>
          </w:p>
        </w:tc>
        <w:tc>
          <w:tcPr>
            <w:tcW w:w="592" w:type="pct"/>
            <w:tcBorders>
              <w:left w:val="nil"/>
              <w:right w:val="single" w:sz="12" w:space="0" w:color="000000" w:themeColor="text1"/>
            </w:tcBorders>
          </w:tcPr>
          <w:p w:rsidR="007F69E9" w:rsidRPr="000D1353" w:rsidRDefault="005F60FC" w:rsidP="00625052">
            <w:pPr>
              <w:pStyle w:val="TableTextEntries"/>
              <w:rPr>
                <w:b w:val="0"/>
              </w:rPr>
            </w:pPr>
            <w:r>
              <w:rPr>
                <w:b w:val="0"/>
              </w:rPr>
              <w:t>Integrated Coastal Management Program 2011-2017 ($18m)</w:t>
            </w:r>
          </w:p>
          <w:p w:rsidR="007F69E9" w:rsidRPr="000D1353" w:rsidRDefault="007F69E9" w:rsidP="00625052">
            <w:pPr>
              <w:pStyle w:val="TableTextEntries"/>
              <w:rPr>
                <w:b w:val="0"/>
              </w:rPr>
            </w:pPr>
          </w:p>
          <w:p w:rsidR="007F69E9" w:rsidRPr="000D1353"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Height w:val="1984"/>
        </w:trPr>
        <w:tc>
          <w:tcPr>
            <w:tcW w:w="455" w:type="pct"/>
            <w:tcBorders>
              <w:left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right w:val="nil"/>
            </w:tcBorders>
          </w:tcPr>
          <w:p w:rsidR="007F69E9" w:rsidRPr="000D1353" w:rsidRDefault="007F69E9" w:rsidP="00625052">
            <w:pPr>
              <w:pStyle w:val="TableTextEntries"/>
              <w:rPr>
                <w:b w:val="0"/>
              </w:rPr>
            </w:pPr>
          </w:p>
        </w:tc>
        <w:tc>
          <w:tcPr>
            <w:tcW w:w="865" w:type="pct"/>
            <w:gridSpan w:val="2"/>
            <w:tcBorders>
              <w:left w:val="nil"/>
              <w:right w:val="nil"/>
            </w:tcBorders>
          </w:tcPr>
          <w:p w:rsidR="007F69E9" w:rsidRPr="000D1353" w:rsidRDefault="007F69E9" w:rsidP="00625052">
            <w:pPr>
              <w:pStyle w:val="TableTextEntries"/>
              <w:rPr>
                <w:b w:val="0"/>
              </w:rPr>
            </w:pPr>
          </w:p>
        </w:tc>
        <w:tc>
          <w:tcPr>
            <w:tcW w:w="776" w:type="pct"/>
            <w:tcBorders>
              <w:left w:val="nil"/>
              <w:right w:val="nil"/>
            </w:tcBorders>
            <w:hideMark/>
          </w:tcPr>
          <w:p w:rsidR="007F69E9" w:rsidRPr="000D1353" w:rsidRDefault="007F69E9" w:rsidP="00625052">
            <w:pPr>
              <w:pStyle w:val="TableTextEntries"/>
              <w:rPr>
                <w:b w:val="0"/>
              </w:rPr>
            </w:pPr>
            <w:r w:rsidRPr="000D1353">
              <w:rPr>
                <w:b w:val="0"/>
              </w:rPr>
              <w:t>Establish a national mechanism to enhance disaster risk reduction and climate change adaption coordination</w:t>
            </w:r>
          </w:p>
        </w:tc>
        <w:tc>
          <w:tcPr>
            <w:tcW w:w="1013" w:type="pct"/>
            <w:gridSpan w:val="2"/>
            <w:tcBorders>
              <w:left w:val="nil"/>
              <w:right w:val="nil"/>
            </w:tcBorders>
            <w:hideMark/>
          </w:tcPr>
          <w:p w:rsidR="007F69E9" w:rsidRPr="000D1353" w:rsidRDefault="007F69E9" w:rsidP="00625052">
            <w:pPr>
              <w:pStyle w:val="TableTextEntries"/>
              <w:rPr>
                <w:b w:val="0"/>
              </w:rPr>
            </w:pPr>
            <w:r w:rsidRPr="000D1353">
              <w:rPr>
                <w:b w:val="0"/>
              </w:rPr>
              <w:t>29 climate and disaster risk reduction related policies approved for development in 201</w:t>
            </w:r>
            <w:r w:rsidR="005F60FC">
              <w:rPr>
                <w:b w:val="0"/>
              </w:rPr>
              <w:t>4</w:t>
            </w:r>
          </w:p>
        </w:tc>
        <w:tc>
          <w:tcPr>
            <w:tcW w:w="791" w:type="pct"/>
            <w:tcBorders>
              <w:left w:val="nil"/>
              <w:right w:val="nil"/>
            </w:tcBorders>
          </w:tcPr>
          <w:p w:rsidR="007F69E9" w:rsidRPr="000D1353" w:rsidRDefault="007F69E9" w:rsidP="00625052">
            <w:pPr>
              <w:pStyle w:val="TableTextEntries"/>
              <w:rPr>
                <w:b w:val="0"/>
              </w:rPr>
            </w:pPr>
            <w:r w:rsidRPr="000D1353">
              <w:rPr>
                <w:b w:val="0"/>
              </w:rPr>
              <w:t>Approval by GOV for development and implementation</w:t>
            </w:r>
            <w:r w:rsidR="005F60FC">
              <w:rPr>
                <w:b w:val="0"/>
              </w:rPr>
              <w:t xml:space="preserve"> in 2015</w:t>
            </w:r>
            <w:r w:rsidRPr="000D1353">
              <w:rPr>
                <w:b w:val="0"/>
              </w:rPr>
              <w:t xml:space="preserve"> of priority policy actions addressing 8 strategic tasks of NCCS</w:t>
            </w:r>
          </w:p>
          <w:p w:rsidR="007F69E9" w:rsidRPr="000D1353" w:rsidRDefault="007F69E9" w:rsidP="00625052">
            <w:pPr>
              <w:pStyle w:val="TableTextEntries"/>
              <w:rPr>
                <w:b w:val="0"/>
              </w:rPr>
            </w:pPr>
          </w:p>
        </w:tc>
        <w:tc>
          <w:tcPr>
            <w:tcW w:w="592" w:type="pct"/>
            <w:tcBorders>
              <w:left w:val="nil"/>
              <w:right w:val="single" w:sz="12" w:space="0" w:color="000000" w:themeColor="text1"/>
            </w:tcBorders>
          </w:tcPr>
          <w:p w:rsidR="007F69E9" w:rsidRPr="000D1353" w:rsidRDefault="007F69E9" w:rsidP="00625052">
            <w:pPr>
              <w:rPr>
                <w:rFonts w:ascii="Calibri" w:hAnsi="Calibri"/>
                <w:b w:val="0"/>
                <w:color w:val="000000"/>
                <w:sz w:val="18"/>
                <w:szCs w:val="18"/>
              </w:rPr>
            </w:pPr>
            <w:r w:rsidRPr="000D1353">
              <w:rPr>
                <w:rFonts w:ascii="Calibri" w:hAnsi="Calibri"/>
                <w:b w:val="0"/>
                <w:color w:val="000000"/>
                <w:sz w:val="18"/>
                <w:szCs w:val="18"/>
              </w:rPr>
              <w:t>Support Program to Respond to Climate Change ($14m total)</w:t>
            </w:r>
          </w:p>
          <w:p w:rsidR="007F69E9" w:rsidRPr="000D1353"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right w:val="nil"/>
            </w:tcBorders>
          </w:tcPr>
          <w:p w:rsidR="007F69E9" w:rsidRPr="000D1353" w:rsidRDefault="007F69E9" w:rsidP="00625052">
            <w:pPr>
              <w:pStyle w:val="TableTextEntries"/>
              <w:rPr>
                <w:b w:val="0"/>
              </w:rPr>
            </w:pPr>
          </w:p>
        </w:tc>
        <w:tc>
          <w:tcPr>
            <w:tcW w:w="865" w:type="pct"/>
            <w:gridSpan w:val="2"/>
            <w:tcBorders>
              <w:left w:val="nil"/>
              <w:right w:val="nil"/>
            </w:tcBorders>
          </w:tcPr>
          <w:p w:rsidR="007F69E9" w:rsidRPr="000D1353" w:rsidRDefault="007F69E9" w:rsidP="00625052">
            <w:pPr>
              <w:pStyle w:val="TableTextEntries"/>
              <w:rPr>
                <w:b w:val="0"/>
              </w:rPr>
            </w:pPr>
          </w:p>
        </w:tc>
        <w:tc>
          <w:tcPr>
            <w:tcW w:w="776" w:type="pct"/>
            <w:tcBorders>
              <w:left w:val="nil"/>
              <w:right w:val="nil"/>
            </w:tcBorders>
            <w:hideMark/>
          </w:tcPr>
          <w:p w:rsidR="007F69E9" w:rsidRPr="000D1353" w:rsidRDefault="007F69E9" w:rsidP="00625052">
            <w:pPr>
              <w:pStyle w:val="TableTextEntries"/>
              <w:rPr>
                <w:b w:val="0"/>
              </w:rPr>
            </w:pPr>
            <w:r w:rsidRPr="000D1353">
              <w:rPr>
                <w:b w:val="0"/>
              </w:rPr>
              <w:t>Completion of down-scaled climate change projections for Vietnam</w:t>
            </w:r>
          </w:p>
          <w:p w:rsidR="007F69E9" w:rsidRPr="000D1353" w:rsidRDefault="007F69E9" w:rsidP="00625052">
            <w:pPr>
              <w:pStyle w:val="TableTextEntries"/>
              <w:rPr>
                <w:b w:val="0"/>
              </w:rPr>
            </w:pPr>
            <w:r w:rsidRPr="000D1353">
              <w:rPr>
                <w:b w:val="0"/>
              </w:rPr>
              <w:t>Commencement of a pilot to apply down-scaled projections to inform provincial planning in partnership with Climate Change and Coastal Ecosystems Program</w:t>
            </w:r>
          </w:p>
        </w:tc>
        <w:tc>
          <w:tcPr>
            <w:tcW w:w="1013" w:type="pct"/>
            <w:gridSpan w:val="2"/>
            <w:tcBorders>
              <w:left w:val="nil"/>
              <w:right w:val="nil"/>
            </w:tcBorders>
          </w:tcPr>
          <w:p w:rsidR="007F69E9" w:rsidRPr="000D1353" w:rsidRDefault="007F69E9" w:rsidP="00625052">
            <w:pPr>
              <w:pStyle w:val="TableTextEntries"/>
              <w:rPr>
                <w:b w:val="0"/>
              </w:rPr>
            </w:pPr>
            <w:r w:rsidRPr="000D1353">
              <w:rPr>
                <w:b w:val="0"/>
              </w:rPr>
              <w:t xml:space="preserve">Achieved </w:t>
            </w:r>
          </w:p>
          <w:p w:rsidR="007F69E9" w:rsidRPr="000D1353" w:rsidRDefault="007F69E9" w:rsidP="00625052">
            <w:pPr>
              <w:rPr>
                <w:b w:val="0"/>
                <w:lang w:eastAsia="en-US"/>
              </w:rPr>
            </w:pPr>
          </w:p>
          <w:p w:rsidR="007F69E9" w:rsidRPr="000D1353" w:rsidRDefault="007F69E9" w:rsidP="00625052">
            <w:pPr>
              <w:rPr>
                <w:b w:val="0"/>
                <w:lang w:eastAsia="en-US"/>
              </w:rPr>
            </w:pPr>
          </w:p>
          <w:p w:rsidR="007F69E9" w:rsidRPr="000D1353" w:rsidRDefault="007F69E9" w:rsidP="00625052">
            <w:pPr>
              <w:pStyle w:val="TableTextEntries"/>
              <w:rPr>
                <w:b w:val="0"/>
              </w:rPr>
            </w:pPr>
            <w:r w:rsidRPr="000D1353">
              <w:rPr>
                <w:b w:val="0"/>
              </w:rPr>
              <w:t>Cancelled to respond to new policy priorities</w:t>
            </w:r>
          </w:p>
        </w:tc>
        <w:tc>
          <w:tcPr>
            <w:tcW w:w="791" w:type="pct"/>
            <w:tcBorders>
              <w:left w:val="nil"/>
              <w:right w:val="nil"/>
            </w:tcBorders>
            <w:hideMark/>
          </w:tcPr>
          <w:p w:rsidR="007F69E9" w:rsidRPr="000D1353" w:rsidRDefault="007F69E9" w:rsidP="00625052">
            <w:pPr>
              <w:pStyle w:val="TableTextEntries"/>
              <w:rPr>
                <w:b w:val="0"/>
              </w:rPr>
            </w:pPr>
            <w:r w:rsidRPr="000D1353">
              <w:rPr>
                <w:b w:val="0"/>
              </w:rPr>
              <w:t>N/A</w:t>
            </w:r>
          </w:p>
        </w:tc>
        <w:tc>
          <w:tcPr>
            <w:tcW w:w="592" w:type="pct"/>
            <w:tcBorders>
              <w:left w:val="nil"/>
              <w:right w:val="single" w:sz="12" w:space="0" w:color="000000" w:themeColor="text1"/>
            </w:tcBorders>
          </w:tcPr>
          <w:p w:rsidR="007F69E9" w:rsidRPr="000D1353" w:rsidRDefault="007F69E9" w:rsidP="00625052">
            <w:pPr>
              <w:pStyle w:val="TableTextEntries"/>
              <w:rPr>
                <w:b w:val="0"/>
              </w:rPr>
            </w:pPr>
            <w:r w:rsidRPr="000D1353">
              <w:rPr>
                <w:b w:val="0"/>
              </w:rPr>
              <w:t>CSIRO down-scaled projections 2012–2014 ($2m)</w:t>
            </w:r>
          </w:p>
          <w:p w:rsidR="007F69E9" w:rsidRPr="000D1353"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right w:val="nil"/>
            </w:tcBorders>
          </w:tcPr>
          <w:p w:rsidR="007F69E9" w:rsidRPr="000D1353" w:rsidRDefault="007F69E9" w:rsidP="00625052">
            <w:pPr>
              <w:pStyle w:val="TableTextEntries"/>
              <w:rPr>
                <w:b w:val="0"/>
              </w:rPr>
            </w:pPr>
          </w:p>
        </w:tc>
        <w:tc>
          <w:tcPr>
            <w:tcW w:w="865" w:type="pct"/>
            <w:gridSpan w:val="2"/>
            <w:tcBorders>
              <w:left w:val="nil"/>
              <w:right w:val="nil"/>
            </w:tcBorders>
            <w:hideMark/>
          </w:tcPr>
          <w:p w:rsidR="007F69E9" w:rsidRPr="000D1353" w:rsidRDefault="007F69E9" w:rsidP="00625052">
            <w:pPr>
              <w:pStyle w:val="TableTextEntries"/>
              <w:rPr>
                <w:b w:val="0"/>
              </w:rPr>
            </w:pPr>
            <w:r w:rsidRPr="000D1353">
              <w:rPr>
                <w:b w:val="0"/>
              </w:rPr>
              <w:t>Mitigation target met (emission reduction through improved energy efficiency, adoption of clean technologies and agricultural production)</w:t>
            </w:r>
          </w:p>
        </w:tc>
        <w:tc>
          <w:tcPr>
            <w:tcW w:w="776" w:type="pct"/>
            <w:tcBorders>
              <w:left w:val="nil"/>
              <w:right w:val="nil"/>
            </w:tcBorders>
            <w:hideMark/>
          </w:tcPr>
          <w:p w:rsidR="007F69E9" w:rsidRPr="000D1353" w:rsidRDefault="007F69E9" w:rsidP="00625052">
            <w:pPr>
              <w:pStyle w:val="TableTextEntries"/>
              <w:rPr>
                <w:b w:val="0"/>
              </w:rPr>
            </w:pPr>
            <w:r w:rsidRPr="000D1353">
              <w:rPr>
                <w:b w:val="0"/>
              </w:rPr>
              <w:t>Preliminary results on potential greenhouse gas emission reduction from the adoption of low-carbon rice production techniques</w:t>
            </w:r>
          </w:p>
        </w:tc>
        <w:tc>
          <w:tcPr>
            <w:tcW w:w="1013" w:type="pct"/>
            <w:gridSpan w:val="2"/>
            <w:tcBorders>
              <w:left w:val="nil"/>
              <w:right w:val="nil"/>
            </w:tcBorders>
            <w:hideMark/>
          </w:tcPr>
          <w:p w:rsidR="007F69E9" w:rsidRPr="000D1353" w:rsidRDefault="007F69E9" w:rsidP="00625052">
            <w:pPr>
              <w:pStyle w:val="TableTextEntries"/>
              <w:rPr>
                <w:b w:val="0"/>
              </w:rPr>
            </w:pPr>
            <w:r w:rsidRPr="000D1353">
              <w:rPr>
                <w:b w:val="0"/>
              </w:rPr>
              <w:t>Achieved –preliminary results of GHG emission reductions of up to 20</w:t>
            </w:r>
            <w:r w:rsidR="005F60FC">
              <w:rPr>
                <w:b w:val="0"/>
              </w:rPr>
              <w:t xml:space="preserve"> per cent</w:t>
            </w:r>
          </w:p>
        </w:tc>
        <w:tc>
          <w:tcPr>
            <w:tcW w:w="791" w:type="pct"/>
            <w:tcBorders>
              <w:left w:val="nil"/>
              <w:right w:val="nil"/>
            </w:tcBorders>
            <w:hideMark/>
          </w:tcPr>
          <w:p w:rsidR="007F69E9" w:rsidRPr="000D1353" w:rsidRDefault="007F69E9" w:rsidP="00625052">
            <w:pPr>
              <w:pStyle w:val="TableTextEntries"/>
              <w:rPr>
                <w:b w:val="0"/>
              </w:rPr>
            </w:pPr>
            <w:r w:rsidRPr="000D1353">
              <w:rPr>
                <w:b w:val="0"/>
              </w:rPr>
              <w:t>Results on GHG emission reduction and increased profit figures from the adoption of low-carbon rice production techniques verified</w:t>
            </w:r>
          </w:p>
        </w:tc>
        <w:tc>
          <w:tcPr>
            <w:tcW w:w="592" w:type="pct"/>
            <w:tcBorders>
              <w:left w:val="nil"/>
              <w:right w:val="single" w:sz="12" w:space="0" w:color="000000" w:themeColor="text1"/>
            </w:tcBorders>
          </w:tcPr>
          <w:p w:rsidR="007F69E9" w:rsidRPr="000D1353" w:rsidRDefault="005F60FC" w:rsidP="00625052">
            <w:pPr>
              <w:pStyle w:val="TableTextEntries"/>
              <w:rPr>
                <w:b w:val="0"/>
              </w:rPr>
            </w:pPr>
            <w:r w:rsidRPr="000D1353">
              <w:rPr>
                <w:b w:val="0"/>
              </w:rPr>
              <w:t>Climate Change Action Grants</w:t>
            </w:r>
            <w:r w:rsidRPr="000D1353">
              <w:rPr>
                <w:b w:val="0"/>
                <w:i/>
              </w:rPr>
              <w:t xml:space="preserve"> </w:t>
            </w:r>
            <w:r>
              <w:rPr>
                <w:b w:val="0"/>
              </w:rPr>
              <w:t>2012–2015</w:t>
            </w:r>
            <w:r w:rsidRPr="000D1353">
              <w:rPr>
                <w:b w:val="0"/>
              </w:rPr>
              <w:t xml:space="preserve"> ($15m)</w:t>
            </w:r>
          </w:p>
          <w:p w:rsidR="007F69E9" w:rsidRPr="000D1353" w:rsidRDefault="007F69E9" w:rsidP="00625052">
            <w:pPr>
              <w:pStyle w:val="TableTextEntries"/>
              <w:rPr>
                <w:b w:val="0"/>
              </w:rPr>
            </w:pP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right w:val="nil"/>
            </w:tcBorders>
          </w:tcPr>
          <w:p w:rsidR="007F69E9" w:rsidRPr="000D1353" w:rsidRDefault="007F69E9" w:rsidP="00625052">
            <w:pPr>
              <w:pStyle w:val="TableTextEntries"/>
              <w:rPr>
                <w:b w:val="0"/>
              </w:rPr>
            </w:pPr>
          </w:p>
        </w:tc>
        <w:tc>
          <w:tcPr>
            <w:tcW w:w="865" w:type="pct"/>
            <w:gridSpan w:val="2"/>
            <w:tcBorders>
              <w:left w:val="nil"/>
              <w:right w:val="nil"/>
            </w:tcBorders>
          </w:tcPr>
          <w:p w:rsidR="007F69E9" w:rsidRPr="000D1353" w:rsidRDefault="007F69E9" w:rsidP="00625052">
            <w:pPr>
              <w:pStyle w:val="TableTextEntries"/>
              <w:rPr>
                <w:b w:val="0"/>
              </w:rPr>
            </w:pPr>
          </w:p>
        </w:tc>
        <w:tc>
          <w:tcPr>
            <w:tcW w:w="776" w:type="pct"/>
            <w:tcBorders>
              <w:left w:val="nil"/>
              <w:right w:val="nil"/>
            </w:tcBorders>
            <w:hideMark/>
          </w:tcPr>
          <w:p w:rsidR="007F69E9" w:rsidRPr="000D1353" w:rsidRDefault="007F69E9" w:rsidP="00625052">
            <w:pPr>
              <w:pStyle w:val="TableTextEntries"/>
              <w:rPr>
                <w:b w:val="0"/>
              </w:rPr>
            </w:pPr>
            <w:r w:rsidRPr="000D1353">
              <w:rPr>
                <w:b w:val="0"/>
              </w:rPr>
              <w:t>Mobilisation of the Distribution Efficiency Project in partnership with the World Bank</w:t>
            </w:r>
          </w:p>
        </w:tc>
        <w:tc>
          <w:tcPr>
            <w:tcW w:w="1013" w:type="pct"/>
            <w:gridSpan w:val="2"/>
            <w:tcBorders>
              <w:left w:val="nil"/>
              <w:right w:val="nil"/>
            </w:tcBorders>
            <w:hideMark/>
          </w:tcPr>
          <w:p w:rsidR="007F69E9" w:rsidRPr="000D1353" w:rsidRDefault="007F69E9" w:rsidP="00625052">
            <w:pPr>
              <w:pStyle w:val="TableTextEntries"/>
              <w:rPr>
                <w:b w:val="0"/>
              </w:rPr>
            </w:pPr>
            <w:r w:rsidRPr="000D1353">
              <w:rPr>
                <w:b w:val="0"/>
              </w:rPr>
              <w:t xml:space="preserve">Achieved </w:t>
            </w:r>
          </w:p>
        </w:tc>
        <w:tc>
          <w:tcPr>
            <w:tcW w:w="791" w:type="pct"/>
            <w:tcBorders>
              <w:left w:val="nil"/>
              <w:right w:val="nil"/>
            </w:tcBorders>
            <w:hideMark/>
          </w:tcPr>
          <w:p w:rsidR="007F69E9" w:rsidRPr="000D1353" w:rsidRDefault="007F69E9" w:rsidP="00625052">
            <w:pPr>
              <w:pStyle w:val="TableTextEntries"/>
              <w:rPr>
                <w:b w:val="0"/>
                <w:highlight w:val="yellow"/>
              </w:rPr>
            </w:pPr>
          </w:p>
        </w:tc>
        <w:tc>
          <w:tcPr>
            <w:tcW w:w="592" w:type="pct"/>
            <w:tcBorders>
              <w:left w:val="nil"/>
              <w:right w:val="single" w:sz="12" w:space="0" w:color="000000" w:themeColor="text1"/>
            </w:tcBorders>
            <w:hideMark/>
          </w:tcPr>
          <w:p w:rsidR="007F69E9" w:rsidRPr="000D1353" w:rsidRDefault="007F69E9" w:rsidP="00625052">
            <w:pPr>
              <w:pStyle w:val="TableTextEntries"/>
              <w:rPr>
                <w:b w:val="0"/>
              </w:rPr>
            </w:pPr>
            <w:r w:rsidRPr="000D1353">
              <w:rPr>
                <w:b w:val="0"/>
                <w:iCs w:val="0"/>
              </w:rPr>
              <w:t>Distribution Efficiency Project</w:t>
            </w:r>
            <w:r w:rsidRPr="000D1353">
              <w:rPr>
                <w:b w:val="0"/>
              </w:rPr>
              <w:t xml:space="preserve"> contribution for the technical assistance component ($7.6m)</w:t>
            </w:r>
          </w:p>
        </w:tc>
      </w:tr>
      <w:tr w:rsidR="007F69E9" w:rsidRPr="007F69E9" w:rsidTr="00036861">
        <w:trPr>
          <w:cnfStyle w:val="100000000000" w:firstRow="1" w:lastRow="0" w:firstColumn="0" w:lastColumn="0" w:oddVBand="0" w:evenVBand="0" w:oddHBand="0" w:evenHBand="0" w:firstRowFirstColumn="0" w:firstRowLastColumn="0" w:lastRowFirstColumn="0" w:lastRowLastColumn="0"/>
          <w:cantSplit/>
        </w:trPr>
        <w:tc>
          <w:tcPr>
            <w:tcW w:w="455" w:type="pct"/>
            <w:tcBorders>
              <w:left w:val="single" w:sz="12" w:space="0" w:color="000000" w:themeColor="text1"/>
              <w:bottom w:val="single" w:sz="12" w:space="0" w:color="000000" w:themeColor="text1"/>
              <w:right w:val="nil"/>
            </w:tcBorders>
          </w:tcPr>
          <w:p w:rsidR="007F69E9" w:rsidRPr="000D1353" w:rsidRDefault="007F69E9" w:rsidP="00625052">
            <w:pPr>
              <w:pStyle w:val="TableTextEntries"/>
              <w:rPr>
                <w:b w:val="0"/>
              </w:rPr>
            </w:pPr>
          </w:p>
        </w:tc>
        <w:tc>
          <w:tcPr>
            <w:tcW w:w="428" w:type="pct"/>
            <w:tcBorders>
              <w:left w:val="nil"/>
              <w:bottom w:val="single" w:sz="12" w:space="0" w:color="000000" w:themeColor="text1"/>
              <w:right w:val="nil"/>
            </w:tcBorders>
          </w:tcPr>
          <w:p w:rsidR="007F69E9" w:rsidRPr="000D1353" w:rsidRDefault="007F69E9" w:rsidP="00625052">
            <w:pPr>
              <w:pStyle w:val="TableTextEntries"/>
              <w:rPr>
                <w:b w:val="0"/>
              </w:rPr>
            </w:pPr>
          </w:p>
        </w:tc>
        <w:tc>
          <w:tcPr>
            <w:tcW w:w="865" w:type="pct"/>
            <w:gridSpan w:val="2"/>
            <w:tcBorders>
              <w:left w:val="nil"/>
              <w:bottom w:val="single" w:sz="12" w:space="0" w:color="000000" w:themeColor="text1"/>
              <w:right w:val="nil"/>
            </w:tcBorders>
          </w:tcPr>
          <w:p w:rsidR="007F69E9" w:rsidRPr="000D1353" w:rsidRDefault="007F69E9" w:rsidP="00625052">
            <w:pPr>
              <w:pStyle w:val="TableTextEntries"/>
              <w:rPr>
                <w:b w:val="0"/>
              </w:rPr>
            </w:pPr>
          </w:p>
        </w:tc>
        <w:tc>
          <w:tcPr>
            <w:tcW w:w="776" w:type="pct"/>
            <w:tcBorders>
              <w:left w:val="nil"/>
              <w:bottom w:val="single" w:sz="12" w:space="0" w:color="000000" w:themeColor="text1"/>
              <w:right w:val="nil"/>
            </w:tcBorders>
            <w:hideMark/>
          </w:tcPr>
          <w:p w:rsidR="007F69E9" w:rsidRPr="000D1353" w:rsidRDefault="007F69E9" w:rsidP="00625052">
            <w:pPr>
              <w:pStyle w:val="TableTextEntries"/>
              <w:rPr>
                <w:b w:val="0"/>
              </w:rPr>
            </w:pPr>
            <w:r w:rsidRPr="000D1353">
              <w:rPr>
                <w:b w:val="0"/>
              </w:rPr>
              <w:t>Mobilisation of a Climate Innovation Centre in Vietnam to support small to medium sized enterprise development in clean technologies</w:t>
            </w:r>
          </w:p>
        </w:tc>
        <w:tc>
          <w:tcPr>
            <w:tcW w:w="1013" w:type="pct"/>
            <w:gridSpan w:val="2"/>
            <w:tcBorders>
              <w:left w:val="nil"/>
              <w:bottom w:val="single" w:sz="12" w:space="0" w:color="000000" w:themeColor="text1"/>
              <w:right w:val="nil"/>
            </w:tcBorders>
            <w:hideMark/>
          </w:tcPr>
          <w:p w:rsidR="007F69E9" w:rsidRPr="000D1353" w:rsidRDefault="007F69E9" w:rsidP="00625052">
            <w:pPr>
              <w:pStyle w:val="TableTextEntries"/>
              <w:rPr>
                <w:b w:val="0"/>
              </w:rPr>
            </w:pPr>
            <w:r w:rsidRPr="000D1353">
              <w:rPr>
                <w:b w:val="0"/>
              </w:rPr>
              <w:t xml:space="preserve">Partly Achieved </w:t>
            </w:r>
          </w:p>
        </w:tc>
        <w:tc>
          <w:tcPr>
            <w:tcW w:w="791" w:type="pct"/>
            <w:tcBorders>
              <w:left w:val="nil"/>
              <w:bottom w:val="single" w:sz="12" w:space="0" w:color="000000" w:themeColor="text1"/>
              <w:right w:val="nil"/>
            </w:tcBorders>
          </w:tcPr>
          <w:p w:rsidR="007F69E9" w:rsidRPr="00837906" w:rsidRDefault="005F60FC" w:rsidP="00625052">
            <w:pPr>
              <w:pStyle w:val="TableTextEntries"/>
              <w:rPr>
                <w:b w:val="0"/>
              </w:rPr>
            </w:pPr>
            <w:r>
              <w:rPr>
                <w:b w:val="0"/>
              </w:rPr>
              <w:t xml:space="preserve">Vietnam </w:t>
            </w:r>
            <w:r w:rsidRPr="000D1353">
              <w:rPr>
                <w:b w:val="0"/>
              </w:rPr>
              <w:t>Climate Innovation Centre mobilised and operational</w:t>
            </w:r>
          </w:p>
        </w:tc>
        <w:tc>
          <w:tcPr>
            <w:tcW w:w="592" w:type="pct"/>
            <w:tcBorders>
              <w:left w:val="nil"/>
              <w:bottom w:val="single" w:sz="12" w:space="0" w:color="000000" w:themeColor="text1"/>
              <w:right w:val="single" w:sz="12" w:space="0" w:color="000000" w:themeColor="text1"/>
            </w:tcBorders>
            <w:hideMark/>
          </w:tcPr>
          <w:p w:rsidR="007F69E9" w:rsidRPr="000D1353" w:rsidRDefault="005F60FC" w:rsidP="005F60FC">
            <w:pPr>
              <w:pStyle w:val="TableTextEntries"/>
              <w:rPr>
                <w:b w:val="0"/>
              </w:rPr>
            </w:pPr>
            <w:r>
              <w:rPr>
                <w:b w:val="0"/>
              </w:rPr>
              <w:t xml:space="preserve">Vietnam </w:t>
            </w:r>
            <w:r w:rsidR="007F69E9" w:rsidRPr="000D1353">
              <w:rPr>
                <w:b w:val="0"/>
              </w:rPr>
              <w:t>Climate Innovation Centre</w:t>
            </w:r>
            <w:r>
              <w:rPr>
                <w:b w:val="0"/>
              </w:rPr>
              <w:t xml:space="preserve"> ($6m)</w:t>
            </w:r>
            <w:r w:rsidR="007F69E9" w:rsidRPr="000D1353">
              <w:rPr>
                <w:b w:val="0"/>
              </w:rPr>
              <w:t xml:space="preserve"> </w:t>
            </w:r>
          </w:p>
        </w:tc>
      </w:tr>
    </w:tbl>
    <w:p w:rsidR="001E3E49" w:rsidRDefault="001E3E49" w:rsidP="00837906">
      <w:pPr>
        <w:pStyle w:val="BodyText"/>
        <w:spacing w:after="0" w:line="280" w:lineRule="atLeast"/>
        <w:outlineLvl w:val="1"/>
        <w:rPr>
          <w:noProof/>
        </w:rPr>
      </w:pPr>
    </w:p>
    <w:p w:rsidR="001E3E49" w:rsidRPr="003525DE" w:rsidRDefault="001E3E49" w:rsidP="00036861">
      <w:pPr>
        <w:spacing w:after="200" w:line="276" w:lineRule="auto"/>
        <w:rPr>
          <w:noProof/>
        </w:rPr>
      </w:pPr>
    </w:p>
    <w:sectPr w:rsidR="001E3E49" w:rsidRPr="003525DE" w:rsidSect="00573D4D">
      <w:type w:val="continuous"/>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C0" w:rsidRDefault="004754C0" w:rsidP="0050529F">
      <w:r>
        <w:separator/>
      </w:r>
    </w:p>
    <w:p w:rsidR="004754C0" w:rsidRDefault="004754C0"/>
    <w:p w:rsidR="004754C0" w:rsidRDefault="004754C0"/>
    <w:p w:rsidR="004754C0" w:rsidRDefault="004754C0"/>
    <w:p w:rsidR="004754C0" w:rsidRDefault="004754C0"/>
    <w:p w:rsidR="004754C0" w:rsidRDefault="004754C0"/>
    <w:p w:rsidR="004754C0" w:rsidRDefault="004754C0"/>
    <w:p w:rsidR="004754C0" w:rsidRDefault="004754C0"/>
  </w:endnote>
  <w:endnote w:type="continuationSeparator" w:id="0">
    <w:p w:rsidR="004754C0" w:rsidRDefault="004754C0" w:rsidP="0050529F">
      <w:r>
        <w:continuationSeparator/>
      </w:r>
    </w:p>
    <w:p w:rsidR="004754C0" w:rsidRDefault="004754C0"/>
    <w:p w:rsidR="004754C0" w:rsidRDefault="004754C0"/>
    <w:p w:rsidR="004754C0" w:rsidRDefault="004754C0"/>
    <w:p w:rsidR="004754C0" w:rsidRDefault="004754C0"/>
    <w:p w:rsidR="004754C0" w:rsidRDefault="004754C0"/>
    <w:p w:rsidR="004754C0" w:rsidRDefault="004754C0"/>
    <w:p w:rsidR="004754C0" w:rsidRDefault="00475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C0" w:rsidRPr="0091071F" w:rsidRDefault="004754C0" w:rsidP="000D733F">
    <w:pPr>
      <w:pStyle w:val="Footer"/>
    </w:pPr>
    <w:r w:rsidRPr="0091071F">
      <w:fldChar w:fldCharType="begin"/>
    </w:r>
    <w:r w:rsidRPr="0091071F">
      <w:instrText xml:space="preserve"> PAGE </w:instrText>
    </w:r>
    <w:r w:rsidRPr="0091071F">
      <w:fldChar w:fldCharType="separate"/>
    </w:r>
    <w:r>
      <w:rPr>
        <w:noProof/>
      </w:rPr>
      <w:t>28</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C0" w:rsidRPr="0091071F" w:rsidRDefault="004754C0" w:rsidP="00047841">
    <w:pPr>
      <w:pStyle w:val="Footer"/>
      <w:jc w:val="both"/>
    </w:pPr>
    <w:r>
      <w:tab/>
    </w:r>
    <w:r w:rsidR="00960505">
      <w:fldChar w:fldCharType="begin"/>
    </w:r>
    <w:r w:rsidR="00960505">
      <w:instrText xml:space="preserve"> STYLEREF Title \* MERGEFORMAT </w:instrText>
    </w:r>
    <w:r w:rsidR="00960505">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EE7C89">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89" w:rsidRDefault="00EE7C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C0" w:rsidRPr="004C4A3E" w:rsidRDefault="004754C0"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68CF2704" wp14:editId="6E18A33C">
              <wp:simplePos x="0" y="0"/>
              <wp:positionH relativeFrom="page">
                <wp:posOffset>0</wp:posOffset>
              </wp:positionH>
              <wp:positionV relativeFrom="page">
                <wp:posOffset>8533130</wp:posOffset>
              </wp:positionV>
              <wp:extent cx="7380000" cy="2181600"/>
              <wp:effectExtent l="0" t="0" r="0" b="9525"/>
              <wp:wrapNone/>
              <wp:docPr id="2" name="Rectangle 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gV2K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CTIFdi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28</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7322818B" wp14:editId="0DD09873">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16753D49" wp14:editId="2ABCD444">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C0" w:rsidRDefault="004754C0" w:rsidP="0050529F">
      <w:r>
        <w:separator/>
      </w:r>
    </w:p>
    <w:p w:rsidR="004754C0" w:rsidRDefault="004754C0"/>
    <w:p w:rsidR="004754C0" w:rsidRDefault="004754C0"/>
    <w:p w:rsidR="004754C0" w:rsidRDefault="004754C0"/>
    <w:p w:rsidR="004754C0" w:rsidRDefault="004754C0"/>
    <w:p w:rsidR="004754C0" w:rsidRDefault="004754C0"/>
    <w:p w:rsidR="004754C0" w:rsidRDefault="004754C0"/>
    <w:p w:rsidR="004754C0" w:rsidRDefault="004754C0"/>
  </w:footnote>
  <w:footnote w:type="continuationSeparator" w:id="0">
    <w:p w:rsidR="004754C0" w:rsidRDefault="004754C0" w:rsidP="0050529F">
      <w:r>
        <w:continuationSeparator/>
      </w:r>
    </w:p>
    <w:p w:rsidR="004754C0" w:rsidRDefault="004754C0"/>
    <w:p w:rsidR="004754C0" w:rsidRDefault="004754C0"/>
    <w:p w:rsidR="004754C0" w:rsidRDefault="004754C0"/>
    <w:p w:rsidR="004754C0" w:rsidRDefault="004754C0"/>
    <w:p w:rsidR="004754C0" w:rsidRDefault="004754C0"/>
    <w:p w:rsidR="004754C0" w:rsidRDefault="004754C0"/>
    <w:p w:rsidR="004754C0" w:rsidRDefault="004754C0"/>
  </w:footnote>
  <w:footnote w:id="1">
    <w:p w:rsidR="004754C0" w:rsidRDefault="004754C0" w:rsidP="005A2437">
      <w:pPr>
        <w:pStyle w:val="FootnoteText"/>
        <w:spacing w:line="240" w:lineRule="auto"/>
      </w:pPr>
      <w:r>
        <w:rPr>
          <w:rStyle w:val="FootnoteReference"/>
        </w:rPr>
        <w:footnoteRef/>
      </w:r>
      <w:r>
        <w:t xml:space="preserve"> These statistics report the poverty headcount ratio according Vietnam’s official poverty line. A new poverty line was constructed by the World Bank and Vietnam’s Government Statistics Office in 2012 which reports that in 2010, 20.7 per cent of the population lived in poverty, eight per cent lived in extreme poverty, and ethnic minorities accounted for 47 per cent of the total poor.</w:t>
      </w:r>
    </w:p>
  </w:footnote>
  <w:footnote w:id="2">
    <w:p w:rsidR="004754C0" w:rsidRPr="00680CBE" w:rsidRDefault="004754C0" w:rsidP="00837906">
      <w:pPr>
        <w:pStyle w:val="FootnoteText"/>
        <w:spacing w:line="240" w:lineRule="auto"/>
      </w:pPr>
      <w:r>
        <w:rPr>
          <w:rStyle w:val="FootnoteReference"/>
        </w:rPr>
        <w:footnoteRef/>
      </w:r>
      <w:r>
        <w:t xml:space="preserve"> </w:t>
      </w:r>
      <w:r w:rsidRPr="00680CBE">
        <w:t xml:space="preserve">Vietnam </w:t>
      </w:r>
      <w:r w:rsidRPr="00837906">
        <w:t>is on track to meet all but two MGDs, namely MDG6 to combat HIV/AIDS and other diseases and MDG7 to ensure environmental sustainability.</w:t>
      </w:r>
    </w:p>
  </w:footnote>
  <w:footnote w:id="3">
    <w:p w:rsidR="004754C0" w:rsidRPr="00680CBE" w:rsidRDefault="004754C0" w:rsidP="00264A6B">
      <w:pPr>
        <w:pStyle w:val="FootnoteText"/>
        <w:spacing w:line="240" w:lineRule="auto"/>
      </w:pPr>
      <w:r w:rsidRPr="00837906">
        <w:footnoteRef/>
      </w:r>
      <w:r>
        <w:t xml:space="preserve"> </w:t>
      </w:r>
      <w:r w:rsidRPr="00837906">
        <w:t>Australia provides 3.3 per cent of Vietnam’s total ODA</w:t>
      </w:r>
      <w:r>
        <w:t>.</w:t>
      </w:r>
    </w:p>
  </w:footnote>
  <w:footnote w:id="4">
    <w:p w:rsidR="004754C0" w:rsidRDefault="004754C0" w:rsidP="00047841">
      <w:pPr>
        <w:pStyle w:val="FootnoteText"/>
        <w:spacing w:line="240" w:lineRule="auto"/>
      </w:pPr>
      <w:r>
        <w:rPr>
          <w:rStyle w:val="FootnoteReference"/>
        </w:rPr>
        <w:footnoteRef/>
      </w:r>
      <w:r>
        <w:t xml:space="preserve"> This includes 235 Australia Awards Scholarships, 162 Australia Awards Fellowships, 28 Australia Awards Endeavour Scholarships, 15 Australia Awards Endeavour Fellowships, and 3 ACIAR Australia Awards Fellowships</w:t>
      </w:r>
    </w:p>
  </w:footnote>
  <w:footnote w:id="5">
    <w:p w:rsidR="004754C0" w:rsidRDefault="004754C0">
      <w:pPr>
        <w:pStyle w:val="FootnoteText"/>
      </w:pPr>
      <w:r>
        <w:rPr>
          <w:rStyle w:val="FootnoteReference"/>
        </w:rPr>
        <w:footnoteRef/>
      </w:r>
      <w:r>
        <w:t xml:space="preserve"> Part of the Central Mekong Delta Connectivity Project</w:t>
      </w:r>
    </w:p>
  </w:footnote>
  <w:footnote w:id="6">
    <w:p w:rsidR="004754C0" w:rsidRDefault="004754C0">
      <w:pPr>
        <w:pStyle w:val="FootnoteText"/>
      </w:pPr>
      <w:r>
        <w:rPr>
          <w:rStyle w:val="FootnoteReference"/>
        </w:rPr>
        <w:footnoteRef/>
      </w:r>
      <w:r>
        <w:t xml:space="preserve"> Other bilateral donors are Denmark and the United Kingdom. Our combined contributions represent around </w:t>
      </w:r>
      <w:r w:rsidRPr="009B4415">
        <w:t xml:space="preserve">5.1 per cent of the total planned </w:t>
      </w:r>
      <w:r>
        <w:t xml:space="preserve">RWSS </w:t>
      </w:r>
      <w:r w:rsidRPr="009B4415">
        <w:t>NTP</w:t>
      </w:r>
      <w:r>
        <w:t>3</w:t>
      </w:r>
      <w:r w:rsidRPr="009B4415">
        <w:t xml:space="preserve"> budget</w:t>
      </w:r>
      <w:r>
        <w:t>.</w:t>
      </w:r>
    </w:p>
  </w:footnote>
  <w:footnote w:id="7">
    <w:p w:rsidR="004754C0" w:rsidRDefault="004754C0" w:rsidP="009B4415">
      <w:pPr>
        <w:pStyle w:val="FootnoteText"/>
      </w:pPr>
      <w:r>
        <w:rPr>
          <w:rStyle w:val="FootnoteReference"/>
        </w:rPr>
        <w:footnoteRef/>
      </w:r>
      <w:r>
        <w:t xml:space="preserve"> The Government of Vietnam’s RWSS NTP3 reporting is on a calendar year basis.</w:t>
      </w:r>
    </w:p>
  </w:footnote>
  <w:footnote w:id="8">
    <w:p w:rsidR="004754C0" w:rsidRDefault="004754C0" w:rsidP="00137EC6">
      <w:pPr>
        <w:pStyle w:val="FootnoteText"/>
        <w:spacing w:line="240" w:lineRule="auto"/>
      </w:pPr>
      <w:r w:rsidRPr="009F4E13">
        <w:footnoteRef/>
      </w:r>
      <w:r>
        <w:t xml:space="preserve"> </w:t>
      </w:r>
      <w:r w:rsidRPr="00D26EDA">
        <w:t>The</w:t>
      </w:r>
      <w:r>
        <w:t xml:space="preserve"> </w:t>
      </w:r>
      <w:r w:rsidRPr="00D26EDA">
        <w:t xml:space="preserve">SEDP 2011-15 </w:t>
      </w:r>
      <w:r>
        <w:t xml:space="preserve">states that these </w:t>
      </w:r>
      <w:r w:rsidRPr="00D26EDA">
        <w:t xml:space="preserve">objectives </w:t>
      </w:r>
      <w:r>
        <w:t>are “</w:t>
      </w:r>
      <w:r w:rsidRPr="00D26EDA">
        <w:t>especially in the context of climate change and sea level rise impacting the delta provinces, especially those in the Mekong River Delta</w:t>
      </w:r>
      <w:r>
        <w:t>”</w:t>
      </w:r>
      <w:r w:rsidRPr="00D26EDA">
        <w:t>.</w:t>
      </w:r>
    </w:p>
  </w:footnote>
  <w:footnote w:id="9">
    <w:p w:rsidR="004754C0" w:rsidRDefault="004754C0" w:rsidP="00137EC6">
      <w:pPr>
        <w:pStyle w:val="FootnoteText"/>
        <w:spacing w:line="240" w:lineRule="auto"/>
      </w:pPr>
      <w:r w:rsidRPr="007029F9">
        <w:footnoteRef/>
      </w:r>
      <w:r>
        <w:t xml:space="preserve"> Launched in September 2012, with an associated National Action Plan approved in March 2014.</w:t>
      </w:r>
    </w:p>
  </w:footnote>
  <w:footnote w:id="10">
    <w:p w:rsidR="004754C0" w:rsidRDefault="004754C0" w:rsidP="00137EC6">
      <w:pPr>
        <w:pStyle w:val="FootnoteText"/>
        <w:spacing w:line="240" w:lineRule="auto"/>
      </w:pPr>
      <w:r w:rsidRPr="009F4E13">
        <w:footnoteRef/>
      </w:r>
      <w:r>
        <w:t xml:space="preserve"> Titled ‘</w:t>
      </w:r>
      <w:r w:rsidRPr="009F4E13">
        <w:t>Active in Response to Climate Change, Improvement of Natural Resource Management and Environmental Protection</w:t>
      </w:r>
      <w:r>
        <w:t>’.</w:t>
      </w:r>
    </w:p>
  </w:footnote>
  <w:footnote w:id="11">
    <w:p w:rsidR="004754C0" w:rsidRDefault="004754C0" w:rsidP="00137EC6">
      <w:pPr>
        <w:pStyle w:val="FootnoteText"/>
        <w:spacing w:line="240" w:lineRule="auto"/>
      </w:pPr>
      <w:r w:rsidRPr="009F4E13">
        <w:footnoteRef/>
      </w:r>
      <w:r>
        <w:t xml:space="preserve"> Climate Change Action Grants partners: Australian Red Cross, CARE, Oxfam, Save the Children, </w:t>
      </w:r>
      <w:r w:rsidRPr="00F93602">
        <w:t>Environmental Defense Fund</w:t>
      </w:r>
      <w:r>
        <w:t>, SNV.</w:t>
      </w:r>
    </w:p>
  </w:footnote>
  <w:footnote w:id="12">
    <w:p w:rsidR="004754C0" w:rsidRDefault="004754C0" w:rsidP="00137EC6">
      <w:pPr>
        <w:pStyle w:val="FootnoteText"/>
        <w:spacing w:line="240" w:lineRule="auto"/>
      </w:pPr>
      <w:r w:rsidRPr="007029F9">
        <w:footnoteRef/>
      </w:r>
      <w:r>
        <w:t xml:space="preserve"> Project beneficiary targets were revised from</w:t>
      </w:r>
      <w:r w:rsidRPr="007029F9">
        <w:t xml:space="preserve"> 270</w:t>
      </w:r>
      <w:r>
        <w:t> </w:t>
      </w:r>
      <w:r w:rsidRPr="007029F9">
        <w:t>000 to 247</w:t>
      </w:r>
      <w:r>
        <w:t> </w:t>
      </w:r>
      <w:r w:rsidRPr="007029F9">
        <w:t xml:space="preserve">000 </w:t>
      </w:r>
      <w:r>
        <w:t>following changes in scope and location of project sites</w:t>
      </w:r>
      <w:r w:rsidRPr="007029F9">
        <w:t>.</w:t>
      </w:r>
    </w:p>
  </w:footnote>
  <w:footnote w:id="13">
    <w:p w:rsidR="004754C0" w:rsidRDefault="004754C0" w:rsidP="00137EC6">
      <w:pPr>
        <w:pStyle w:val="FootnoteText"/>
        <w:spacing w:line="240" w:lineRule="auto"/>
      </w:pPr>
      <w:r w:rsidRPr="003A4DB7">
        <w:footnoteRef/>
      </w:r>
      <w:r>
        <w:t xml:space="preserve"> Previously known as the Climate Change and Coastal Ecosystems Program.</w:t>
      </w:r>
    </w:p>
  </w:footnote>
  <w:footnote w:id="14">
    <w:p w:rsidR="004754C0" w:rsidRDefault="004754C0" w:rsidP="00137EC6">
      <w:pPr>
        <w:pStyle w:val="FootnoteText"/>
        <w:spacing w:line="240" w:lineRule="auto"/>
      </w:pPr>
      <w:r w:rsidRPr="003A4DB7">
        <w:footnoteRef/>
      </w:r>
      <w:r>
        <w:t xml:space="preserve"> Department of Industry, </w:t>
      </w:r>
      <w:r w:rsidRPr="003A4DB7">
        <w:t>Survey of Energy Efficiency Labelling of Appliances in Vietnam</w:t>
      </w:r>
      <w:r>
        <w:t>, March 2014 (a survey of 5,375 products displayed in 263 retail stores in Hanoi, Ho Chi Minh City, Quang Tri and Can Tho).</w:t>
      </w:r>
    </w:p>
  </w:footnote>
  <w:footnote w:id="15">
    <w:p w:rsidR="004754C0" w:rsidRDefault="004754C0" w:rsidP="0021276D">
      <w:pPr>
        <w:pStyle w:val="FootnoteText"/>
        <w:spacing w:line="240" w:lineRule="auto"/>
      </w:pPr>
      <w:r>
        <w:rPr>
          <w:rStyle w:val="FootnoteReference"/>
        </w:rPr>
        <w:footnoteRef/>
      </w:r>
      <w:r>
        <w:t xml:space="preserve"> poverty reduction in ethnic minorities, vocational training and skills development, environment management, and private sector engagement in service provision</w:t>
      </w:r>
    </w:p>
  </w:footnote>
  <w:footnote w:id="16">
    <w:p w:rsidR="004754C0" w:rsidRDefault="004754C0" w:rsidP="0021276D">
      <w:pPr>
        <w:pStyle w:val="FootnoteText"/>
        <w:spacing w:line="240" w:lineRule="auto"/>
      </w:pPr>
      <w:r>
        <w:rPr>
          <w:rStyle w:val="FootnoteReference"/>
        </w:rPr>
        <w:footnoteRef/>
      </w:r>
      <w:r>
        <w:t xml:space="preserve"> the </w:t>
      </w:r>
      <w:r w:rsidRPr="004B6E62">
        <w:t>Rural Water Supply and Sanitation N</w:t>
      </w:r>
      <w:r>
        <w:t xml:space="preserve">ational </w:t>
      </w:r>
      <w:r w:rsidRPr="004B6E62">
        <w:t>T</w:t>
      </w:r>
      <w:r>
        <w:t xml:space="preserve">arget </w:t>
      </w:r>
      <w:r w:rsidRPr="004B6E62">
        <w:t>P</w:t>
      </w:r>
      <w:r>
        <w:t>rogram</w:t>
      </w:r>
      <w:r w:rsidRPr="004B6E62">
        <w:t xml:space="preserve">, the Support Program to </w:t>
      </w:r>
      <w:r>
        <w:t xml:space="preserve">Respond to </w:t>
      </w:r>
      <w:r w:rsidRPr="004B6E62">
        <w:t>Climate Change and the Economic Management and Competitiveness Credit</w:t>
      </w:r>
    </w:p>
  </w:footnote>
  <w:footnote w:id="17">
    <w:p w:rsidR="004754C0" w:rsidRDefault="004754C0" w:rsidP="00986084">
      <w:pPr>
        <w:pStyle w:val="FootnoteText"/>
        <w:spacing w:line="240" w:lineRule="auto"/>
      </w:pPr>
      <w:r>
        <w:rPr>
          <w:rStyle w:val="FootnoteReference"/>
        </w:rPr>
        <w:footnoteRef/>
      </w:r>
      <w:r>
        <w:t xml:space="preserve"> Two QAIs report</w:t>
      </w:r>
      <w:r w:rsidRPr="0085189C">
        <w:t xml:space="preserve"> </w:t>
      </w:r>
      <w:r>
        <w:t xml:space="preserve">on multiple </w:t>
      </w:r>
      <w:r w:rsidRPr="0085189C">
        <w:t>investments</w:t>
      </w:r>
      <w:r>
        <w:t xml:space="preserve">, namely the Australia Awards Scholarships </w:t>
      </w:r>
      <w:r w:rsidRPr="0085189C">
        <w:t xml:space="preserve">QAI </w:t>
      </w:r>
      <w:r>
        <w:t xml:space="preserve">(covering </w:t>
      </w:r>
      <w:r w:rsidRPr="0085189C">
        <w:t>INF523 and INJ260</w:t>
      </w:r>
      <w:r>
        <w:t xml:space="preserve">) and the Cao Lanh Bridge QAI (covering </w:t>
      </w:r>
      <w:r w:rsidRPr="0085189C">
        <w:t>INK042 and INJ914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89" w:rsidRDefault="00EE7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89" w:rsidRDefault="00EE7C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89" w:rsidRDefault="00EE7C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C0" w:rsidRDefault="00475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12C11D8"/>
    <w:multiLevelType w:val="hybridMultilevel"/>
    <w:tmpl w:val="9476E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56929D1"/>
    <w:multiLevelType w:val="hybridMultilevel"/>
    <w:tmpl w:val="D14CD79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69F2B1B"/>
    <w:multiLevelType w:val="hybridMultilevel"/>
    <w:tmpl w:val="DAB03E86"/>
    <w:lvl w:ilvl="0" w:tplc="ADDA0E9C">
      <w:start w:val="1"/>
      <w:numFmt w:val="bullet"/>
      <w:lvlText w:val=""/>
      <w:lvlJc w:val="left"/>
      <w:pPr>
        <w:ind w:left="360" w:hanging="360"/>
      </w:pPr>
      <w:rPr>
        <w:rFonts w:ascii="Symbol" w:hAnsi="Symbol" w:hint="default"/>
        <w:color w:val="auto"/>
        <w:sz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84A2ED4"/>
    <w:multiLevelType w:val="hybridMultilevel"/>
    <w:tmpl w:val="6ACA4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6F29B9"/>
    <w:multiLevelType w:val="hybridMultilevel"/>
    <w:tmpl w:val="FAF8A2FA"/>
    <w:lvl w:ilvl="0" w:tplc="096258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D8A1A05"/>
    <w:multiLevelType w:val="hybridMultilevel"/>
    <w:tmpl w:val="D46A6ACE"/>
    <w:lvl w:ilvl="0" w:tplc="BF6AFA18">
      <w:numFmt w:val="bullet"/>
      <w:lvlText w:val="-"/>
      <w:lvlJc w:val="left"/>
      <w:pPr>
        <w:ind w:left="786" w:hanging="360"/>
      </w:pPr>
      <w:rPr>
        <w:rFonts w:ascii="Times New Roman" w:eastAsia="Times New Roman" w:hAnsi="Times New Roman"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0F417336"/>
    <w:multiLevelType w:val="multilevel"/>
    <w:tmpl w:val="601C7422"/>
    <w:lvl w:ilvl="0">
      <w:start w:val="1"/>
      <w:numFmt w:val="bullet"/>
      <w:pStyle w:val="Bullet"/>
      <w:lvlText w:val=""/>
      <w:lvlJc w:val="left"/>
      <w:pPr>
        <w:tabs>
          <w:tab w:val="num" w:pos="284"/>
        </w:tabs>
        <w:ind w:left="284" w:hanging="284"/>
      </w:pPr>
      <w:rPr>
        <w:rFonts w:ascii="Symbol" w:hAnsi="Symbol" w:hint="default"/>
        <w:color w:val="auto"/>
        <w:sz w:val="18"/>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F8F1067"/>
    <w:multiLevelType w:val="hybridMultilevel"/>
    <w:tmpl w:val="080C1A00"/>
    <w:lvl w:ilvl="0" w:tplc="0C36D118">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1028A"/>
    <w:multiLevelType w:val="hybridMultilevel"/>
    <w:tmpl w:val="C7E6749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6D5E2D"/>
    <w:multiLevelType w:val="hybridMultilevel"/>
    <w:tmpl w:val="5CD4AC4E"/>
    <w:lvl w:ilvl="0" w:tplc="3364F51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945252E"/>
    <w:multiLevelType w:val="hybridMultilevel"/>
    <w:tmpl w:val="3496B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A027BC3"/>
    <w:multiLevelType w:val="hybridMultilevel"/>
    <w:tmpl w:val="867E27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ABE202F"/>
    <w:multiLevelType w:val="hybridMultilevel"/>
    <w:tmpl w:val="CAA821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ADB7482"/>
    <w:multiLevelType w:val="hybridMultilevel"/>
    <w:tmpl w:val="EBDC000A"/>
    <w:lvl w:ilvl="0" w:tplc="393E7658">
      <w:start w:val="1"/>
      <w:numFmt w:val="bullet"/>
      <w:lvlText w:val=""/>
      <w:lvlJc w:val="left"/>
      <w:pPr>
        <w:ind w:left="720" w:hanging="360"/>
      </w:pPr>
      <w:rPr>
        <w:rFonts w:ascii="Wingdings" w:hAnsi="Wingdings" w:hint="default"/>
        <w:spacing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CEC418C"/>
    <w:multiLevelType w:val="hybridMultilevel"/>
    <w:tmpl w:val="C2581BC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21">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22">
    <w:nsid w:val="2249780E"/>
    <w:multiLevelType w:val="hybridMultilevel"/>
    <w:tmpl w:val="E32CCCB8"/>
    <w:lvl w:ilvl="0" w:tplc="7B640FF6">
      <w:start w:val="1"/>
      <w:numFmt w:val="bullet"/>
      <w:lvlText w:val="›"/>
      <w:lvlJc w:val="left"/>
      <w:pPr>
        <w:ind w:left="360" w:hanging="360"/>
      </w:pPr>
      <w:rPr>
        <w:rFonts w:ascii="Times New Roman" w:hAnsi="Times New Roman" w:cs="Times New Roman" w:hint="default"/>
        <w:color w:val="auto"/>
        <w:position w:val="3"/>
      </w:rPr>
    </w:lvl>
    <w:lvl w:ilvl="1" w:tplc="0C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2B07924"/>
    <w:multiLevelType w:val="multilevel"/>
    <w:tmpl w:val="B1E88124"/>
    <w:numStyleLink w:val="StyleSymbolsymbol11ptLeft0cmHanging063cm"/>
  </w:abstractNum>
  <w:abstractNum w:abstractNumId="24">
    <w:nsid w:val="239A0235"/>
    <w:multiLevelType w:val="hybridMultilevel"/>
    <w:tmpl w:val="A0265F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255E4FED"/>
    <w:multiLevelType w:val="hybridMultilevel"/>
    <w:tmpl w:val="0430E1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8">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9">
    <w:nsid w:val="29CF1FFC"/>
    <w:multiLevelType w:val="hybridMultilevel"/>
    <w:tmpl w:val="79F055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D857DF2"/>
    <w:multiLevelType w:val="hybridMultilevel"/>
    <w:tmpl w:val="1E2824F0"/>
    <w:lvl w:ilvl="0" w:tplc="0C36D118">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1">
    <w:nsid w:val="353E4760"/>
    <w:multiLevelType w:val="hybridMultilevel"/>
    <w:tmpl w:val="05ACE6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A731E12"/>
    <w:multiLevelType w:val="multilevel"/>
    <w:tmpl w:val="B1E88124"/>
    <w:styleLink w:val="StyleSymbolsymbol11ptLeft0cmHanging063cm"/>
    <w:lvl w:ilvl="0">
      <w:start w:val="1"/>
      <w:numFmt w:val="bullet"/>
      <w:lvlText w:val=""/>
      <w:lvlJc w:val="left"/>
      <w:pPr>
        <w:tabs>
          <w:tab w:val="num" w:pos="360"/>
        </w:tabs>
        <w:ind w:left="360" w:hanging="360"/>
      </w:pPr>
      <w:rPr>
        <w:rFonts w:ascii="Symbol" w:hAnsi="Symbol"/>
        <w:sz w:val="19"/>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3D8310C2"/>
    <w:multiLevelType w:val="hybridMultilevel"/>
    <w:tmpl w:val="4A1A56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8401073"/>
    <w:multiLevelType w:val="hybridMultilevel"/>
    <w:tmpl w:val="9BA8FD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D1F73AC"/>
    <w:multiLevelType w:val="hybridMultilevel"/>
    <w:tmpl w:val="B44AF4EE"/>
    <w:lvl w:ilvl="0" w:tplc="BF6AFA1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1225B98"/>
    <w:multiLevelType w:val="hybridMultilevel"/>
    <w:tmpl w:val="5552C2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5418594E"/>
    <w:multiLevelType w:val="hybridMultilevel"/>
    <w:tmpl w:val="E2265FE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54260763"/>
    <w:multiLevelType w:val="hybridMultilevel"/>
    <w:tmpl w:val="FE40A4DE"/>
    <w:lvl w:ilvl="0" w:tplc="BF6AFA1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70B06B9"/>
    <w:multiLevelType w:val="hybridMultilevel"/>
    <w:tmpl w:val="4D16C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59B52D4C"/>
    <w:multiLevelType w:val="hybridMultilevel"/>
    <w:tmpl w:val="DCDA4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AF829F3"/>
    <w:multiLevelType w:val="hybridMultilevel"/>
    <w:tmpl w:val="22DCB2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5FF62C89"/>
    <w:multiLevelType w:val="hybridMultilevel"/>
    <w:tmpl w:val="9D1831F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nsid w:val="601A09EC"/>
    <w:multiLevelType w:val="hybridMultilevel"/>
    <w:tmpl w:val="BEAAF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4A73859"/>
    <w:multiLevelType w:val="hybridMultilevel"/>
    <w:tmpl w:val="D158A3B6"/>
    <w:lvl w:ilvl="0" w:tplc="0C090005">
      <w:start w:val="1"/>
      <w:numFmt w:val="bullet"/>
      <w:lvlText w:val=""/>
      <w:lvlJc w:val="left"/>
      <w:pPr>
        <w:ind w:left="459" w:hanging="360"/>
      </w:pPr>
      <w:rPr>
        <w:rFonts w:ascii="Wingdings" w:hAnsi="Wingdings" w:hint="default"/>
      </w:rPr>
    </w:lvl>
    <w:lvl w:ilvl="1" w:tplc="0C090003" w:tentative="1">
      <w:start w:val="1"/>
      <w:numFmt w:val="bullet"/>
      <w:lvlText w:val="o"/>
      <w:lvlJc w:val="left"/>
      <w:pPr>
        <w:ind w:left="1179" w:hanging="360"/>
      </w:pPr>
      <w:rPr>
        <w:rFonts w:ascii="Courier New" w:hAnsi="Courier New" w:cs="Courier New" w:hint="default"/>
      </w:rPr>
    </w:lvl>
    <w:lvl w:ilvl="2" w:tplc="0C090005" w:tentative="1">
      <w:start w:val="1"/>
      <w:numFmt w:val="bullet"/>
      <w:lvlText w:val=""/>
      <w:lvlJc w:val="left"/>
      <w:pPr>
        <w:ind w:left="1899" w:hanging="360"/>
      </w:pPr>
      <w:rPr>
        <w:rFonts w:ascii="Wingdings" w:hAnsi="Wingdings" w:hint="default"/>
      </w:rPr>
    </w:lvl>
    <w:lvl w:ilvl="3" w:tplc="0C090001" w:tentative="1">
      <w:start w:val="1"/>
      <w:numFmt w:val="bullet"/>
      <w:lvlText w:val=""/>
      <w:lvlJc w:val="left"/>
      <w:pPr>
        <w:ind w:left="2619" w:hanging="360"/>
      </w:pPr>
      <w:rPr>
        <w:rFonts w:ascii="Symbol" w:hAnsi="Symbol" w:hint="default"/>
      </w:rPr>
    </w:lvl>
    <w:lvl w:ilvl="4" w:tplc="0C090003" w:tentative="1">
      <w:start w:val="1"/>
      <w:numFmt w:val="bullet"/>
      <w:lvlText w:val="o"/>
      <w:lvlJc w:val="left"/>
      <w:pPr>
        <w:ind w:left="3339" w:hanging="360"/>
      </w:pPr>
      <w:rPr>
        <w:rFonts w:ascii="Courier New" w:hAnsi="Courier New" w:cs="Courier New" w:hint="default"/>
      </w:rPr>
    </w:lvl>
    <w:lvl w:ilvl="5" w:tplc="0C090005" w:tentative="1">
      <w:start w:val="1"/>
      <w:numFmt w:val="bullet"/>
      <w:lvlText w:val=""/>
      <w:lvlJc w:val="left"/>
      <w:pPr>
        <w:ind w:left="4059" w:hanging="360"/>
      </w:pPr>
      <w:rPr>
        <w:rFonts w:ascii="Wingdings" w:hAnsi="Wingdings" w:hint="default"/>
      </w:rPr>
    </w:lvl>
    <w:lvl w:ilvl="6" w:tplc="0C090001" w:tentative="1">
      <w:start w:val="1"/>
      <w:numFmt w:val="bullet"/>
      <w:lvlText w:val=""/>
      <w:lvlJc w:val="left"/>
      <w:pPr>
        <w:ind w:left="4779" w:hanging="360"/>
      </w:pPr>
      <w:rPr>
        <w:rFonts w:ascii="Symbol" w:hAnsi="Symbol" w:hint="default"/>
      </w:rPr>
    </w:lvl>
    <w:lvl w:ilvl="7" w:tplc="0C090003" w:tentative="1">
      <w:start w:val="1"/>
      <w:numFmt w:val="bullet"/>
      <w:lvlText w:val="o"/>
      <w:lvlJc w:val="left"/>
      <w:pPr>
        <w:ind w:left="5499" w:hanging="360"/>
      </w:pPr>
      <w:rPr>
        <w:rFonts w:ascii="Courier New" w:hAnsi="Courier New" w:cs="Courier New" w:hint="default"/>
      </w:rPr>
    </w:lvl>
    <w:lvl w:ilvl="8" w:tplc="0C090005" w:tentative="1">
      <w:start w:val="1"/>
      <w:numFmt w:val="bullet"/>
      <w:lvlText w:val=""/>
      <w:lvlJc w:val="left"/>
      <w:pPr>
        <w:ind w:left="6219" w:hanging="360"/>
      </w:pPr>
      <w:rPr>
        <w:rFonts w:ascii="Wingdings" w:hAnsi="Wingdings" w:hint="default"/>
      </w:rPr>
    </w:lvl>
  </w:abstractNum>
  <w:abstractNum w:abstractNumId="49">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6F349DD"/>
    <w:multiLevelType w:val="hybridMultilevel"/>
    <w:tmpl w:val="E214DC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0B93E99"/>
    <w:multiLevelType w:val="hybridMultilevel"/>
    <w:tmpl w:val="885EF492"/>
    <w:lvl w:ilvl="0" w:tplc="0C090005">
      <w:start w:val="1"/>
      <w:numFmt w:val="bullet"/>
      <w:lvlText w:val=""/>
      <w:lvlJc w:val="left"/>
      <w:pPr>
        <w:ind w:left="68" w:hanging="360"/>
      </w:pPr>
      <w:rPr>
        <w:rFonts w:ascii="Wingdings" w:hAnsi="Wingdings"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54">
    <w:nsid w:val="71227D64"/>
    <w:multiLevelType w:val="hybridMultilevel"/>
    <w:tmpl w:val="2D00C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7B4B492E"/>
    <w:multiLevelType w:val="hybridMultilevel"/>
    <w:tmpl w:val="6F687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7F7A528B"/>
    <w:multiLevelType w:val="hybridMultilevel"/>
    <w:tmpl w:val="456CC232"/>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43"/>
  </w:num>
  <w:num w:numId="3">
    <w:abstractNumId w:val="14"/>
  </w:num>
  <w:num w:numId="4">
    <w:abstractNumId w:val="39"/>
  </w:num>
  <w:num w:numId="5">
    <w:abstractNumId w:val="35"/>
  </w:num>
  <w:num w:numId="6">
    <w:abstractNumId w:val="32"/>
  </w:num>
  <w:num w:numId="7">
    <w:abstractNumId w:val="51"/>
  </w:num>
  <w:num w:numId="8">
    <w:abstractNumId w:val="12"/>
  </w:num>
  <w:num w:numId="9">
    <w:abstractNumId w:val="21"/>
  </w:num>
  <w:num w:numId="10">
    <w:abstractNumId w:val="55"/>
  </w:num>
  <w:num w:numId="11">
    <w:abstractNumId w:val="57"/>
  </w:num>
  <w:num w:numId="12">
    <w:abstractNumId w:val="0"/>
  </w:num>
  <w:num w:numId="13">
    <w:abstractNumId w:val="4"/>
  </w:num>
  <w:num w:numId="14">
    <w:abstractNumId w:val="50"/>
  </w:num>
  <w:num w:numId="15">
    <w:abstractNumId w:val="1"/>
  </w:num>
  <w:num w:numId="16">
    <w:abstractNumId w:val="28"/>
  </w:num>
  <w:num w:numId="17">
    <w:abstractNumId w:val="25"/>
  </w:num>
  <w:num w:numId="18">
    <w:abstractNumId w:val="20"/>
  </w:num>
  <w:num w:numId="19">
    <w:abstractNumId w:val="54"/>
  </w:num>
  <w:num w:numId="20">
    <w:abstractNumId w:val="9"/>
  </w:num>
  <w:num w:numId="21">
    <w:abstractNumId w:val="18"/>
  </w:num>
  <w:num w:numId="22">
    <w:abstractNumId w:val="34"/>
  </w:num>
  <w:num w:numId="23">
    <w:abstractNumId w:val="46"/>
  </w:num>
  <w:num w:numId="24">
    <w:abstractNumId w:val="6"/>
  </w:num>
  <w:num w:numId="25">
    <w:abstractNumId w:val="22"/>
  </w:num>
  <w:num w:numId="26">
    <w:abstractNumId w:val="56"/>
  </w:num>
  <w:num w:numId="27">
    <w:abstractNumId w:val="41"/>
  </w:num>
  <w:num w:numId="28">
    <w:abstractNumId w:val="3"/>
  </w:num>
  <w:num w:numId="29">
    <w:abstractNumId w:val="19"/>
  </w:num>
  <w:num w:numId="30">
    <w:abstractNumId w:val="26"/>
  </w:num>
  <w:num w:numId="31">
    <w:abstractNumId w:val="24"/>
  </w:num>
  <w:num w:numId="32">
    <w:abstractNumId w:val="48"/>
  </w:num>
  <w:num w:numId="33">
    <w:abstractNumId w:val="40"/>
  </w:num>
  <w:num w:numId="34">
    <w:abstractNumId w:val="17"/>
  </w:num>
  <w:num w:numId="35">
    <w:abstractNumId w:val="31"/>
  </w:num>
  <w:num w:numId="36">
    <w:abstractNumId w:val="36"/>
  </w:num>
  <w:num w:numId="37">
    <w:abstractNumId w:val="33"/>
  </w:num>
  <w:num w:numId="38">
    <w:abstractNumId w:val="23"/>
  </w:num>
  <w:num w:numId="39">
    <w:abstractNumId w:val="53"/>
  </w:num>
  <w:num w:numId="40">
    <w:abstractNumId w:val="29"/>
  </w:num>
  <w:num w:numId="41">
    <w:abstractNumId w:val="57"/>
  </w:num>
  <w:num w:numId="42">
    <w:abstractNumId w:val="57"/>
  </w:num>
  <w:num w:numId="43">
    <w:abstractNumId w:val="30"/>
  </w:num>
  <w:num w:numId="44">
    <w:abstractNumId w:val="2"/>
  </w:num>
  <w:num w:numId="45">
    <w:abstractNumId w:val="7"/>
  </w:num>
  <w:num w:numId="46">
    <w:abstractNumId w:val="10"/>
  </w:num>
  <w:num w:numId="47">
    <w:abstractNumId w:val="5"/>
  </w:num>
  <w:num w:numId="48">
    <w:abstractNumId w:val="11"/>
  </w:num>
  <w:num w:numId="49">
    <w:abstractNumId w:val="13"/>
  </w:num>
  <w:num w:numId="50">
    <w:abstractNumId w:val="38"/>
  </w:num>
  <w:num w:numId="51">
    <w:abstractNumId w:val="44"/>
  </w:num>
  <w:num w:numId="52">
    <w:abstractNumId w:val="8"/>
  </w:num>
  <w:num w:numId="53">
    <w:abstractNumId w:val="37"/>
  </w:num>
  <w:num w:numId="54">
    <w:abstractNumId w:val="57"/>
  </w:num>
  <w:num w:numId="55">
    <w:abstractNumId w:val="57"/>
  </w:num>
  <w:num w:numId="56">
    <w:abstractNumId w:val="57"/>
  </w:num>
  <w:num w:numId="57">
    <w:abstractNumId w:val="57"/>
  </w:num>
  <w:num w:numId="58">
    <w:abstractNumId w:val="57"/>
  </w:num>
  <w:num w:numId="59">
    <w:abstractNumId w:val="57"/>
  </w:num>
  <w:num w:numId="60">
    <w:abstractNumId w:val="15"/>
  </w:num>
  <w:num w:numId="61">
    <w:abstractNumId w:val="16"/>
  </w:num>
  <w:num w:numId="62">
    <w:abstractNumId w:val="52"/>
  </w:num>
  <w:num w:numId="63">
    <w:abstractNumId w:val="42"/>
  </w:num>
  <w:num w:numId="64">
    <w:abstractNumId w:val="47"/>
  </w:num>
  <w:num w:numId="65">
    <w:abstractNumId w:val="45"/>
  </w:num>
  <w:num w:numId="66">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08B3"/>
    <w:rsid w:val="00002161"/>
    <w:rsid w:val="000021A1"/>
    <w:rsid w:val="0000242A"/>
    <w:rsid w:val="00002A92"/>
    <w:rsid w:val="00002E28"/>
    <w:rsid w:val="000039CF"/>
    <w:rsid w:val="00004E18"/>
    <w:rsid w:val="00007E94"/>
    <w:rsid w:val="0001245D"/>
    <w:rsid w:val="000142A2"/>
    <w:rsid w:val="000143D9"/>
    <w:rsid w:val="000170FB"/>
    <w:rsid w:val="00020121"/>
    <w:rsid w:val="00021A9E"/>
    <w:rsid w:val="00024918"/>
    <w:rsid w:val="00027629"/>
    <w:rsid w:val="00027C06"/>
    <w:rsid w:val="00030111"/>
    <w:rsid w:val="00031100"/>
    <w:rsid w:val="00031EB5"/>
    <w:rsid w:val="0003231A"/>
    <w:rsid w:val="00032DCC"/>
    <w:rsid w:val="00034EF8"/>
    <w:rsid w:val="00036861"/>
    <w:rsid w:val="00040AF6"/>
    <w:rsid w:val="000426DF"/>
    <w:rsid w:val="00042E06"/>
    <w:rsid w:val="000431B6"/>
    <w:rsid w:val="00045535"/>
    <w:rsid w:val="00047841"/>
    <w:rsid w:val="000522DE"/>
    <w:rsid w:val="000529AD"/>
    <w:rsid w:val="00053E56"/>
    <w:rsid w:val="0005506B"/>
    <w:rsid w:val="000550B0"/>
    <w:rsid w:val="000554F7"/>
    <w:rsid w:val="00055E78"/>
    <w:rsid w:val="000566E2"/>
    <w:rsid w:val="00057589"/>
    <w:rsid w:val="00057D09"/>
    <w:rsid w:val="0006637B"/>
    <w:rsid w:val="00067E80"/>
    <w:rsid w:val="00071B95"/>
    <w:rsid w:val="00072063"/>
    <w:rsid w:val="0007395B"/>
    <w:rsid w:val="000745E2"/>
    <w:rsid w:val="000768C7"/>
    <w:rsid w:val="0007703B"/>
    <w:rsid w:val="000774FD"/>
    <w:rsid w:val="00080162"/>
    <w:rsid w:val="000808C3"/>
    <w:rsid w:val="000818C0"/>
    <w:rsid w:val="00081F4E"/>
    <w:rsid w:val="00082817"/>
    <w:rsid w:val="00082CEE"/>
    <w:rsid w:val="000874DF"/>
    <w:rsid w:val="000905A8"/>
    <w:rsid w:val="00090A16"/>
    <w:rsid w:val="00091878"/>
    <w:rsid w:val="000957FC"/>
    <w:rsid w:val="00095CF5"/>
    <w:rsid w:val="000979A0"/>
    <w:rsid w:val="00097B02"/>
    <w:rsid w:val="00097D91"/>
    <w:rsid w:val="000A026D"/>
    <w:rsid w:val="000A1618"/>
    <w:rsid w:val="000A2D76"/>
    <w:rsid w:val="000A4247"/>
    <w:rsid w:val="000A4FFA"/>
    <w:rsid w:val="000B3121"/>
    <w:rsid w:val="000B68F6"/>
    <w:rsid w:val="000B6BE5"/>
    <w:rsid w:val="000B6FEA"/>
    <w:rsid w:val="000B75E8"/>
    <w:rsid w:val="000C11DF"/>
    <w:rsid w:val="000C1A7F"/>
    <w:rsid w:val="000C258A"/>
    <w:rsid w:val="000C29BF"/>
    <w:rsid w:val="000C3CDE"/>
    <w:rsid w:val="000C4A7A"/>
    <w:rsid w:val="000C4E1B"/>
    <w:rsid w:val="000C6080"/>
    <w:rsid w:val="000C60A8"/>
    <w:rsid w:val="000D1353"/>
    <w:rsid w:val="000D151B"/>
    <w:rsid w:val="000D152C"/>
    <w:rsid w:val="000D1993"/>
    <w:rsid w:val="000D26B4"/>
    <w:rsid w:val="000D3175"/>
    <w:rsid w:val="000D733F"/>
    <w:rsid w:val="000D75DB"/>
    <w:rsid w:val="000D7952"/>
    <w:rsid w:val="000E4573"/>
    <w:rsid w:val="000E5B4B"/>
    <w:rsid w:val="000E7260"/>
    <w:rsid w:val="000E7297"/>
    <w:rsid w:val="000E7478"/>
    <w:rsid w:val="000E7A8D"/>
    <w:rsid w:val="000F2151"/>
    <w:rsid w:val="000F2625"/>
    <w:rsid w:val="000F2D94"/>
    <w:rsid w:val="000F53F9"/>
    <w:rsid w:val="001003D3"/>
    <w:rsid w:val="00100485"/>
    <w:rsid w:val="00100AA2"/>
    <w:rsid w:val="00106185"/>
    <w:rsid w:val="00106BDC"/>
    <w:rsid w:val="00106E73"/>
    <w:rsid w:val="0010729C"/>
    <w:rsid w:val="001077AF"/>
    <w:rsid w:val="00107AEB"/>
    <w:rsid w:val="00111857"/>
    <w:rsid w:val="00111B93"/>
    <w:rsid w:val="00112212"/>
    <w:rsid w:val="00112E97"/>
    <w:rsid w:val="001139DE"/>
    <w:rsid w:val="00113EC8"/>
    <w:rsid w:val="00114751"/>
    <w:rsid w:val="00114887"/>
    <w:rsid w:val="00114D70"/>
    <w:rsid w:val="001154CA"/>
    <w:rsid w:val="001171DE"/>
    <w:rsid w:val="00117685"/>
    <w:rsid w:val="00120FC7"/>
    <w:rsid w:val="00122038"/>
    <w:rsid w:val="001227C3"/>
    <w:rsid w:val="0012429A"/>
    <w:rsid w:val="001258C6"/>
    <w:rsid w:val="00126BD9"/>
    <w:rsid w:val="0012793C"/>
    <w:rsid w:val="00131FF0"/>
    <w:rsid w:val="00132003"/>
    <w:rsid w:val="00132A7F"/>
    <w:rsid w:val="00132DDA"/>
    <w:rsid w:val="00133AAD"/>
    <w:rsid w:val="00134038"/>
    <w:rsid w:val="00135806"/>
    <w:rsid w:val="001366B4"/>
    <w:rsid w:val="001375E3"/>
    <w:rsid w:val="00137EC6"/>
    <w:rsid w:val="00141628"/>
    <w:rsid w:val="00141A30"/>
    <w:rsid w:val="00143053"/>
    <w:rsid w:val="0014411B"/>
    <w:rsid w:val="001448E7"/>
    <w:rsid w:val="00147846"/>
    <w:rsid w:val="001501A7"/>
    <w:rsid w:val="0015043E"/>
    <w:rsid w:val="001525C4"/>
    <w:rsid w:val="00152821"/>
    <w:rsid w:val="00152DFD"/>
    <w:rsid w:val="00154EF9"/>
    <w:rsid w:val="00157858"/>
    <w:rsid w:val="00157A8E"/>
    <w:rsid w:val="001612CE"/>
    <w:rsid w:val="0016203E"/>
    <w:rsid w:val="001624FB"/>
    <w:rsid w:val="00163DFF"/>
    <w:rsid w:val="0016544D"/>
    <w:rsid w:val="001657F1"/>
    <w:rsid w:val="00166383"/>
    <w:rsid w:val="00167331"/>
    <w:rsid w:val="0016740F"/>
    <w:rsid w:val="00171BB2"/>
    <w:rsid w:val="00173C6E"/>
    <w:rsid w:val="00175E4C"/>
    <w:rsid w:val="00180B19"/>
    <w:rsid w:val="0018128A"/>
    <w:rsid w:val="0018196F"/>
    <w:rsid w:val="001829BB"/>
    <w:rsid w:val="0018305E"/>
    <w:rsid w:val="0018353A"/>
    <w:rsid w:val="00191DB9"/>
    <w:rsid w:val="00192498"/>
    <w:rsid w:val="00192F39"/>
    <w:rsid w:val="001938F9"/>
    <w:rsid w:val="001943B6"/>
    <w:rsid w:val="00194806"/>
    <w:rsid w:val="00194F81"/>
    <w:rsid w:val="0019510B"/>
    <w:rsid w:val="001A0BBE"/>
    <w:rsid w:val="001A329D"/>
    <w:rsid w:val="001A374B"/>
    <w:rsid w:val="001A3B18"/>
    <w:rsid w:val="001A50E1"/>
    <w:rsid w:val="001A5563"/>
    <w:rsid w:val="001B1A0C"/>
    <w:rsid w:val="001B2948"/>
    <w:rsid w:val="001B34DA"/>
    <w:rsid w:val="001B3E41"/>
    <w:rsid w:val="001B4041"/>
    <w:rsid w:val="001B41CD"/>
    <w:rsid w:val="001B60C0"/>
    <w:rsid w:val="001B714C"/>
    <w:rsid w:val="001C1EA0"/>
    <w:rsid w:val="001C31B9"/>
    <w:rsid w:val="001C507E"/>
    <w:rsid w:val="001C700E"/>
    <w:rsid w:val="001C7117"/>
    <w:rsid w:val="001C745A"/>
    <w:rsid w:val="001C7DDD"/>
    <w:rsid w:val="001D20FC"/>
    <w:rsid w:val="001D210A"/>
    <w:rsid w:val="001D320E"/>
    <w:rsid w:val="001D4875"/>
    <w:rsid w:val="001D6059"/>
    <w:rsid w:val="001D6B01"/>
    <w:rsid w:val="001D6E4B"/>
    <w:rsid w:val="001D794E"/>
    <w:rsid w:val="001D7E98"/>
    <w:rsid w:val="001E3E49"/>
    <w:rsid w:val="001E45D4"/>
    <w:rsid w:val="001E4BDE"/>
    <w:rsid w:val="001E6635"/>
    <w:rsid w:val="001F12A2"/>
    <w:rsid w:val="001F5CB1"/>
    <w:rsid w:val="001F61A8"/>
    <w:rsid w:val="001F709F"/>
    <w:rsid w:val="001F7480"/>
    <w:rsid w:val="001F756F"/>
    <w:rsid w:val="001F7DE2"/>
    <w:rsid w:val="00200BE9"/>
    <w:rsid w:val="00201174"/>
    <w:rsid w:val="00201A5E"/>
    <w:rsid w:val="00202880"/>
    <w:rsid w:val="00202E4E"/>
    <w:rsid w:val="00203BCC"/>
    <w:rsid w:val="00205E0B"/>
    <w:rsid w:val="00205F2B"/>
    <w:rsid w:val="002069A6"/>
    <w:rsid w:val="002070AF"/>
    <w:rsid w:val="00211589"/>
    <w:rsid w:val="002115BD"/>
    <w:rsid w:val="00211FC0"/>
    <w:rsid w:val="002126BA"/>
    <w:rsid w:val="0021276D"/>
    <w:rsid w:val="00212B27"/>
    <w:rsid w:val="0021515C"/>
    <w:rsid w:val="00221A0A"/>
    <w:rsid w:val="002227A9"/>
    <w:rsid w:val="00222816"/>
    <w:rsid w:val="0022419B"/>
    <w:rsid w:val="00226DEE"/>
    <w:rsid w:val="00231D45"/>
    <w:rsid w:val="00233158"/>
    <w:rsid w:val="002335A9"/>
    <w:rsid w:val="002343CF"/>
    <w:rsid w:val="002352F1"/>
    <w:rsid w:val="00235D29"/>
    <w:rsid w:val="002363D9"/>
    <w:rsid w:val="00236636"/>
    <w:rsid w:val="00236B8C"/>
    <w:rsid w:val="00236F82"/>
    <w:rsid w:val="00237C4B"/>
    <w:rsid w:val="00240D59"/>
    <w:rsid w:val="00241283"/>
    <w:rsid w:val="002441D5"/>
    <w:rsid w:val="0024578D"/>
    <w:rsid w:val="002464FB"/>
    <w:rsid w:val="00246E5F"/>
    <w:rsid w:val="00247A88"/>
    <w:rsid w:val="00257F9D"/>
    <w:rsid w:val="002600C5"/>
    <w:rsid w:val="00261E78"/>
    <w:rsid w:val="00263F5F"/>
    <w:rsid w:val="00264945"/>
    <w:rsid w:val="00264A6B"/>
    <w:rsid w:val="00270362"/>
    <w:rsid w:val="00270814"/>
    <w:rsid w:val="00270898"/>
    <w:rsid w:val="00272AF0"/>
    <w:rsid w:val="00273C6F"/>
    <w:rsid w:val="00275C42"/>
    <w:rsid w:val="00276856"/>
    <w:rsid w:val="00276997"/>
    <w:rsid w:val="002778EC"/>
    <w:rsid w:val="00282931"/>
    <w:rsid w:val="00282CFB"/>
    <w:rsid w:val="002849B4"/>
    <w:rsid w:val="00287761"/>
    <w:rsid w:val="00287F5E"/>
    <w:rsid w:val="002911A4"/>
    <w:rsid w:val="00291F1C"/>
    <w:rsid w:val="00292D96"/>
    <w:rsid w:val="00297FA7"/>
    <w:rsid w:val="002A15F4"/>
    <w:rsid w:val="002A1935"/>
    <w:rsid w:val="002A1A79"/>
    <w:rsid w:val="002A21D1"/>
    <w:rsid w:val="002A22F7"/>
    <w:rsid w:val="002A43C8"/>
    <w:rsid w:val="002A4C57"/>
    <w:rsid w:val="002A4D70"/>
    <w:rsid w:val="002A67F9"/>
    <w:rsid w:val="002B1CB1"/>
    <w:rsid w:val="002B1F66"/>
    <w:rsid w:val="002B31B3"/>
    <w:rsid w:val="002B433A"/>
    <w:rsid w:val="002B4341"/>
    <w:rsid w:val="002B61A8"/>
    <w:rsid w:val="002B6EBE"/>
    <w:rsid w:val="002B79D4"/>
    <w:rsid w:val="002C1E00"/>
    <w:rsid w:val="002C639B"/>
    <w:rsid w:val="002C6AB4"/>
    <w:rsid w:val="002D1328"/>
    <w:rsid w:val="002D2ACC"/>
    <w:rsid w:val="002D5D7B"/>
    <w:rsid w:val="002D61EC"/>
    <w:rsid w:val="002D6914"/>
    <w:rsid w:val="002D6DF0"/>
    <w:rsid w:val="002D7FFA"/>
    <w:rsid w:val="002E3D26"/>
    <w:rsid w:val="002E438B"/>
    <w:rsid w:val="002E55EA"/>
    <w:rsid w:val="002E5604"/>
    <w:rsid w:val="002F479A"/>
    <w:rsid w:val="002F54F3"/>
    <w:rsid w:val="002F5A14"/>
    <w:rsid w:val="00303038"/>
    <w:rsid w:val="0030318A"/>
    <w:rsid w:val="00304327"/>
    <w:rsid w:val="00304DDA"/>
    <w:rsid w:val="00306734"/>
    <w:rsid w:val="00306B67"/>
    <w:rsid w:val="00310426"/>
    <w:rsid w:val="00310974"/>
    <w:rsid w:val="003141C2"/>
    <w:rsid w:val="00315135"/>
    <w:rsid w:val="00315D13"/>
    <w:rsid w:val="003167E5"/>
    <w:rsid w:val="00316A17"/>
    <w:rsid w:val="00316D5C"/>
    <w:rsid w:val="00320166"/>
    <w:rsid w:val="003208B3"/>
    <w:rsid w:val="00320FCE"/>
    <w:rsid w:val="003223F8"/>
    <w:rsid w:val="0032292A"/>
    <w:rsid w:val="00322D92"/>
    <w:rsid w:val="0032486D"/>
    <w:rsid w:val="0032501C"/>
    <w:rsid w:val="003260C0"/>
    <w:rsid w:val="003266E1"/>
    <w:rsid w:val="00326B5A"/>
    <w:rsid w:val="003275D0"/>
    <w:rsid w:val="003279FD"/>
    <w:rsid w:val="003305E3"/>
    <w:rsid w:val="003326BE"/>
    <w:rsid w:val="003327F8"/>
    <w:rsid w:val="00335F19"/>
    <w:rsid w:val="003363C7"/>
    <w:rsid w:val="00341177"/>
    <w:rsid w:val="00341311"/>
    <w:rsid w:val="003426FC"/>
    <w:rsid w:val="00342BF7"/>
    <w:rsid w:val="00343B25"/>
    <w:rsid w:val="00345B8E"/>
    <w:rsid w:val="0035130E"/>
    <w:rsid w:val="003513EC"/>
    <w:rsid w:val="00351A9B"/>
    <w:rsid w:val="00351ACA"/>
    <w:rsid w:val="003525DE"/>
    <w:rsid w:val="00352AE5"/>
    <w:rsid w:val="00352B60"/>
    <w:rsid w:val="00357648"/>
    <w:rsid w:val="00357AF7"/>
    <w:rsid w:val="00360662"/>
    <w:rsid w:val="00360E9C"/>
    <w:rsid w:val="003629B5"/>
    <w:rsid w:val="00362B28"/>
    <w:rsid w:val="00371F53"/>
    <w:rsid w:val="00372E1B"/>
    <w:rsid w:val="00373CF9"/>
    <w:rsid w:val="003743C8"/>
    <w:rsid w:val="00383294"/>
    <w:rsid w:val="00383F3F"/>
    <w:rsid w:val="00384342"/>
    <w:rsid w:val="003843DB"/>
    <w:rsid w:val="003849ED"/>
    <w:rsid w:val="0038528D"/>
    <w:rsid w:val="00385A4C"/>
    <w:rsid w:val="003906E9"/>
    <w:rsid w:val="00391C20"/>
    <w:rsid w:val="00392981"/>
    <w:rsid w:val="00392B08"/>
    <w:rsid w:val="0039540E"/>
    <w:rsid w:val="00395CFA"/>
    <w:rsid w:val="003965C8"/>
    <w:rsid w:val="003A1EB4"/>
    <w:rsid w:val="003A27D2"/>
    <w:rsid w:val="003A2D7B"/>
    <w:rsid w:val="003A344F"/>
    <w:rsid w:val="003A5813"/>
    <w:rsid w:val="003A6AFA"/>
    <w:rsid w:val="003A74BF"/>
    <w:rsid w:val="003B0326"/>
    <w:rsid w:val="003B0D23"/>
    <w:rsid w:val="003B122C"/>
    <w:rsid w:val="003B2756"/>
    <w:rsid w:val="003B5F7E"/>
    <w:rsid w:val="003B71CC"/>
    <w:rsid w:val="003C101F"/>
    <w:rsid w:val="003C171D"/>
    <w:rsid w:val="003C18AA"/>
    <w:rsid w:val="003C288C"/>
    <w:rsid w:val="003C30ED"/>
    <w:rsid w:val="003C31EE"/>
    <w:rsid w:val="003C7721"/>
    <w:rsid w:val="003D081D"/>
    <w:rsid w:val="003D2E2F"/>
    <w:rsid w:val="003D44F4"/>
    <w:rsid w:val="003D6940"/>
    <w:rsid w:val="003E0E66"/>
    <w:rsid w:val="003E4982"/>
    <w:rsid w:val="003E63B3"/>
    <w:rsid w:val="003E710E"/>
    <w:rsid w:val="003E7AA9"/>
    <w:rsid w:val="003F00B8"/>
    <w:rsid w:val="003F6823"/>
    <w:rsid w:val="0040045F"/>
    <w:rsid w:val="0040269F"/>
    <w:rsid w:val="004028CE"/>
    <w:rsid w:val="00403152"/>
    <w:rsid w:val="00403AAA"/>
    <w:rsid w:val="00406000"/>
    <w:rsid w:val="00412707"/>
    <w:rsid w:val="00413539"/>
    <w:rsid w:val="0041396D"/>
    <w:rsid w:val="00413BBC"/>
    <w:rsid w:val="00414021"/>
    <w:rsid w:val="00415A92"/>
    <w:rsid w:val="0041730D"/>
    <w:rsid w:val="00417AEE"/>
    <w:rsid w:val="00420E02"/>
    <w:rsid w:val="0042265C"/>
    <w:rsid w:val="004228CD"/>
    <w:rsid w:val="00424069"/>
    <w:rsid w:val="0042527A"/>
    <w:rsid w:val="00425C37"/>
    <w:rsid w:val="00426354"/>
    <w:rsid w:val="00426A33"/>
    <w:rsid w:val="00427F7E"/>
    <w:rsid w:val="004309E9"/>
    <w:rsid w:val="00431B2F"/>
    <w:rsid w:val="0043202F"/>
    <w:rsid w:val="004360C4"/>
    <w:rsid w:val="00436B83"/>
    <w:rsid w:val="00437C95"/>
    <w:rsid w:val="004402A0"/>
    <w:rsid w:val="00441E77"/>
    <w:rsid w:val="00443639"/>
    <w:rsid w:val="004450BD"/>
    <w:rsid w:val="004453CE"/>
    <w:rsid w:val="00445A3B"/>
    <w:rsid w:val="00445C4E"/>
    <w:rsid w:val="00446742"/>
    <w:rsid w:val="00453D30"/>
    <w:rsid w:val="0045475F"/>
    <w:rsid w:val="0045477D"/>
    <w:rsid w:val="00462000"/>
    <w:rsid w:val="00462228"/>
    <w:rsid w:val="0046402B"/>
    <w:rsid w:val="00466C98"/>
    <w:rsid w:val="00467C3F"/>
    <w:rsid w:val="00467CE4"/>
    <w:rsid w:val="004728F8"/>
    <w:rsid w:val="004754C0"/>
    <w:rsid w:val="004756FF"/>
    <w:rsid w:val="0047710F"/>
    <w:rsid w:val="00481142"/>
    <w:rsid w:val="00481777"/>
    <w:rsid w:val="00482293"/>
    <w:rsid w:val="00485B44"/>
    <w:rsid w:val="00490BDE"/>
    <w:rsid w:val="00491346"/>
    <w:rsid w:val="00494504"/>
    <w:rsid w:val="00495541"/>
    <w:rsid w:val="004957EC"/>
    <w:rsid w:val="004959CE"/>
    <w:rsid w:val="00496F8D"/>
    <w:rsid w:val="004974BC"/>
    <w:rsid w:val="004A2D5E"/>
    <w:rsid w:val="004A2EC3"/>
    <w:rsid w:val="004A568F"/>
    <w:rsid w:val="004A6C04"/>
    <w:rsid w:val="004A7400"/>
    <w:rsid w:val="004B1B80"/>
    <w:rsid w:val="004B201A"/>
    <w:rsid w:val="004B41B9"/>
    <w:rsid w:val="004B4A44"/>
    <w:rsid w:val="004B64F3"/>
    <w:rsid w:val="004B6E62"/>
    <w:rsid w:val="004C0554"/>
    <w:rsid w:val="004C33EA"/>
    <w:rsid w:val="004C36CF"/>
    <w:rsid w:val="004C448D"/>
    <w:rsid w:val="004C4A3E"/>
    <w:rsid w:val="004C4A43"/>
    <w:rsid w:val="004C5715"/>
    <w:rsid w:val="004C59EA"/>
    <w:rsid w:val="004C65C6"/>
    <w:rsid w:val="004C660D"/>
    <w:rsid w:val="004C7E92"/>
    <w:rsid w:val="004D0699"/>
    <w:rsid w:val="004D1529"/>
    <w:rsid w:val="004D19CE"/>
    <w:rsid w:val="004D23F6"/>
    <w:rsid w:val="004D2ED0"/>
    <w:rsid w:val="004D44ED"/>
    <w:rsid w:val="004D4522"/>
    <w:rsid w:val="004D7B1F"/>
    <w:rsid w:val="004E01E9"/>
    <w:rsid w:val="004E3072"/>
    <w:rsid w:val="004E3E40"/>
    <w:rsid w:val="004E570D"/>
    <w:rsid w:val="004E6400"/>
    <w:rsid w:val="004E642E"/>
    <w:rsid w:val="004E6924"/>
    <w:rsid w:val="004E6A61"/>
    <w:rsid w:val="004E6E33"/>
    <w:rsid w:val="004E702A"/>
    <w:rsid w:val="004F0228"/>
    <w:rsid w:val="004F0C2D"/>
    <w:rsid w:val="004F22F6"/>
    <w:rsid w:val="004F3CAA"/>
    <w:rsid w:val="004F3D7E"/>
    <w:rsid w:val="004F4630"/>
    <w:rsid w:val="004F521E"/>
    <w:rsid w:val="004F6367"/>
    <w:rsid w:val="004F6FEE"/>
    <w:rsid w:val="00500EB4"/>
    <w:rsid w:val="00501634"/>
    <w:rsid w:val="00501CD2"/>
    <w:rsid w:val="00503348"/>
    <w:rsid w:val="00503974"/>
    <w:rsid w:val="00504102"/>
    <w:rsid w:val="0050439B"/>
    <w:rsid w:val="0050529F"/>
    <w:rsid w:val="00506452"/>
    <w:rsid w:val="00506A51"/>
    <w:rsid w:val="005110C3"/>
    <w:rsid w:val="005111FE"/>
    <w:rsid w:val="00514B5E"/>
    <w:rsid w:val="005157C1"/>
    <w:rsid w:val="00515954"/>
    <w:rsid w:val="00515E3D"/>
    <w:rsid w:val="005208AC"/>
    <w:rsid w:val="0052091E"/>
    <w:rsid w:val="0052286C"/>
    <w:rsid w:val="00522AB9"/>
    <w:rsid w:val="00524E2F"/>
    <w:rsid w:val="005265B9"/>
    <w:rsid w:val="005307E8"/>
    <w:rsid w:val="0053175E"/>
    <w:rsid w:val="00533533"/>
    <w:rsid w:val="00533E1A"/>
    <w:rsid w:val="00534CCB"/>
    <w:rsid w:val="00535C99"/>
    <w:rsid w:val="00535E24"/>
    <w:rsid w:val="00537E02"/>
    <w:rsid w:val="00542718"/>
    <w:rsid w:val="00543224"/>
    <w:rsid w:val="005438FE"/>
    <w:rsid w:val="005440F6"/>
    <w:rsid w:val="00544CCD"/>
    <w:rsid w:val="0054557A"/>
    <w:rsid w:val="00546DD6"/>
    <w:rsid w:val="00550F83"/>
    <w:rsid w:val="005515BE"/>
    <w:rsid w:val="0055172C"/>
    <w:rsid w:val="0055201F"/>
    <w:rsid w:val="00552A91"/>
    <w:rsid w:val="0055677A"/>
    <w:rsid w:val="0055678B"/>
    <w:rsid w:val="0055771D"/>
    <w:rsid w:val="00557ACC"/>
    <w:rsid w:val="0056154A"/>
    <w:rsid w:val="005629E6"/>
    <w:rsid w:val="00562F7C"/>
    <w:rsid w:val="00565055"/>
    <w:rsid w:val="00565635"/>
    <w:rsid w:val="00565F98"/>
    <w:rsid w:val="00566BDD"/>
    <w:rsid w:val="00567FCF"/>
    <w:rsid w:val="00570765"/>
    <w:rsid w:val="00571521"/>
    <w:rsid w:val="00572031"/>
    <w:rsid w:val="005732BD"/>
    <w:rsid w:val="00573363"/>
    <w:rsid w:val="005733F9"/>
    <w:rsid w:val="00573684"/>
    <w:rsid w:val="00573792"/>
    <w:rsid w:val="00573941"/>
    <w:rsid w:val="00573D4D"/>
    <w:rsid w:val="00573E59"/>
    <w:rsid w:val="00575295"/>
    <w:rsid w:val="00581C01"/>
    <w:rsid w:val="0058242D"/>
    <w:rsid w:val="00583E8B"/>
    <w:rsid w:val="005845CB"/>
    <w:rsid w:val="0058498A"/>
    <w:rsid w:val="00586350"/>
    <w:rsid w:val="0058780F"/>
    <w:rsid w:val="00591838"/>
    <w:rsid w:val="0059461A"/>
    <w:rsid w:val="00597520"/>
    <w:rsid w:val="005A079B"/>
    <w:rsid w:val="005A18C5"/>
    <w:rsid w:val="005A2437"/>
    <w:rsid w:val="005A3ED5"/>
    <w:rsid w:val="005A41CC"/>
    <w:rsid w:val="005A4C08"/>
    <w:rsid w:val="005A511C"/>
    <w:rsid w:val="005A7CF6"/>
    <w:rsid w:val="005B42EE"/>
    <w:rsid w:val="005B4F7A"/>
    <w:rsid w:val="005B537E"/>
    <w:rsid w:val="005B7C71"/>
    <w:rsid w:val="005C1ADB"/>
    <w:rsid w:val="005C4A6B"/>
    <w:rsid w:val="005C661F"/>
    <w:rsid w:val="005D1F5D"/>
    <w:rsid w:val="005D2A59"/>
    <w:rsid w:val="005F0C00"/>
    <w:rsid w:val="005F15ED"/>
    <w:rsid w:val="005F33F2"/>
    <w:rsid w:val="005F460C"/>
    <w:rsid w:val="005F51F6"/>
    <w:rsid w:val="005F5D9F"/>
    <w:rsid w:val="005F60FC"/>
    <w:rsid w:val="005F74D0"/>
    <w:rsid w:val="00600404"/>
    <w:rsid w:val="0060117A"/>
    <w:rsid w:val="00611E51"/>
    <w:rsid w:val="00612E14"/>
    <w:rsid w:val="00615A35"/>
    <w:rsid w:val="00617699"/>
    <w:rsid w:val="00617CB4"/>
    <w:rsid w:val="00617F30"/>
    <w:rsid w:val="00621FC6"/>
    <w:rsid w:val="006231CF"/>
    <w:rsid w:val="00625052"/>
    <w:rsid w:val="00625232"/>
    <w:rsid w:val="006252ED"/>
    <w:rsid w:val="0062598A"/>
    <w:rsid w:val="00625A52"/>
    <w:rsid w:val="0062686B"/>
    <w:rsid w:val="006301DD"/>
    <w:rsid w:val="00631DE9"/>
    <w:rsid w:val="00633757"/>
    <w:rsid w:val="00633A74"/>
    <w:rsid w:val="00637549"/>
    <w:rsid w:val="00637878"/>
    <w:rsid w:val="00640CAE"/>
    <w:rsid w:val="00641ADA"/>
    <w:rsid w:val="00642A6F"/>
    <w:rsid w:val="00642E50"/>
    <w:rsid w:val="00646049"/>
    <w:rsid w:val="00647FBA"/>
    <w:rsid w:val="0065268F"/>
    <w:rsid w:val="0065391A"/>
    <w:rsid w:val="006556EF"/>
    <w:rsid w:val="0065679C"/>
    <w:rsid w:val="00657108"/>
    <w:rsid w:val="006609F6"/>
    <w:rsid w:val="00660CC9"/>
    <w:rsid w:val="00661D82"/>
    <w:rsid w:val="00663306"/>
    <w:rsid w:val="00663909"/>
    <w:rsid w:val="00663E95"/>
    <w:rsid w:val="00663FCE"/>
    <w:rsid w:val="006659FF"/>
    <w:rsid w:val="0066676D"/>
    <w:rsid w:val="006671BC"/>
    <w:rsid w:val="00671B96"/>
    <w:rsid w:val="0067299B"/>
    <w:rsid w:val="00673287"/>
    <w:rsid w:val="006745C0"/>
    <w:rsid w:val="00674E2D"/>
    <w:rsid w:val="006757F4"/>
    <w:rsid w:val="0067658B"/>
    <w:rsid w:val="0067683C"/>
    <w:rsid w:val="00680679"/>
    <w:rsid w:val="006808DE"/>
    <w:rsid w:val="00680CBE"/>
    <w:rsid w:val="0068146D"/>
    <w:rsid w:val="00682DB1"/>
    <w:rsid w:val="00683FFB"/>
    <w:rsid w:val="0068768A"/>
    <w:rsid w:val="00690BEA"/>
    <w:rsid w:val="00694630"/>
    <w:rsid w:val="006949A0"/>
    <w:rsid w:val="00695279"/>
    <w:rsid w:val="0069731A"/>
    <w:rsid w:val="00697C69"/>
    <w:rsid w:val="006A2CA3"/>
    <w:rsid w:val="006A459A"/>
    <w:rsid w:val="006B0F12"/>
    <w:rsid w:val="006B10E6"/>
    <w:rsid w:val="006B156E"/>
    <w:rsid w:val="006B31CD"/>
    <w:rsid w:val="006B33A7"/>
    <w:rsid w:val="006B4EE2"/>
    <w:rsid w:val="006B5CE6"/>
    <w:rsid w:val="006C1260"/>
    <w:rsid w:val="006C1AD8"/>
    <w:rsid w:val="006C2232"/>
    <w:rsid w:val="006C6800"/>
    <w:rsid w:val="006C7356"/>
    <w:rsid w:val="006D002F"/>
    <w:rsid w:val="006D0BC5"/>
    <w:rsid w:val="006D0E7A"/>
    <w:rsid w:val="006D2CF2"/>
    <w:rsid w:val="006D2E37"/>
    <w:rsid w:val="006D34C3"/>
    <w:rsid w:val="006E0BC7"/>
    <w:rsid w:val="006E11C1"/>
    <w:rsid w:val="006E20AF"/>
    <w:rsid w:val="006E27EA"/>
    <w:rsid w:val="006E2C53"/>
    <w:rsid w:val="006E327C"/>
    <w:rsid w:val="006E389E"/>
    <w:rsid w:val="006E620D"/>
    <w:rsid w:val="006E7795"/>
    <w:rsid w:val="006E7E9F"/>
    <w:rsid w:val="006E7FA8"/>
    <w:rsid w:val="006F00DB"/>
    <w:rsid w:val="006F226B"/>
    <w:rsid w:val="006F4623"/>
    <w:rsid w:val="006F4B40"/>
    <w:rsid w:val="006F5499"/>
    <w:rsid w:val="006F696C"/>
    <w:rsid w:val="007003E5"/>
    <w:rsid w:val="00701FEA"/>
    <w:rsid w:val="007040D1"/>
    <w:rsid w:val="00704C4D"/>
    <w:rsid w:val="00705A00"/>
    <w:rsid w:val="00705D62"/>
    <w:rsid w:val="007069F7"/>
    <w:rsid w:val="00706DE1"/>
    <w:rsid w:val="00710059"/>
    <w:rsid w:val="00710337"/>
    <w:rsid w:val="007103FC"/>
    <w:rsid w:val="00710E69"/>
    <w:rsid w:val="007110C9"/>
    <w:rsid w:val="00712349"/>
    <w:rsid w:val="00712FCE"/>
    <w:rsid w:val="007131CA"/>
    <w:rsid w:val="00713B23"/>
    <w:rsid w:val="007147A6"/>
    <w:rsid w:val="00714BA3"/>
    <w:rsid w:val="00715180"/>
    <w:rsid w:val="0071537B"/>
    <w:rsid w:val="00716561"/>
    <w:rsid w:val="007167AE"/>
    <w:rsid w:val="00717D04"/>
    <w:rsid w:val="00721098"/>
    <w:rsid w:val="007218E8"/>
    <w:rsid w:val="0072495B"/>
    <w:rsid w:val="007311E0"/>
    <w:rsid w:val="007360D3"/>
    <w:rsid w:val="0073644C"/>
    <w:rsid w:val="00736D2D"/>
    <w:rsid w:val="00737641"/>
    <w:rsid w:val="00737C72"/>
    <w:rsid w:val="007452F9"/>
    <w:rsid w:val="007453AC"/>
    <w:rsid w:val="0074660C"/>
    <w:rsid w:val="00747B69"/>
    <w:rsid w:val="00750E77"/>
    <w:rsid w:val="00750F05"/>
    <w:rsid w:val="00751347"/>
    <w:rsid w:val="00751449"/>
    <w:rsid w:val="00751D5C"/>
    <w:rsid w:val="00753158"/>
    <w:rsid w:val="00755D95"/>
    <w:rsid w:val="0075677D"/>
    <w:rsid w:val="00756B0E"/>
    <w:rsid w:val="00757BAA"/>
    <w:rsid w:val="007623E9"/>
    <w:rsid w:val="00762B9C"/>
    <w:rsid w:val="00766449"/>
    <w:rsid w:val="00766491"/>
    <w:rsid w:val="0076684B"/>
    <w:rsid w:val="00766BCF"/>
    <w:rsid w:val="00767F39"/>
    <w:rsid w:val="00770229"/>
    <w:rsid w:val="007705BC"/>
    <w:rsid w:val="00772100"/>
    <w:rsid w:val="007726E1"/>
    <w:rsid w:val="00773079"/>
    <w:rsid w:val="00774F4B"/>
    <w:rsid w:val="00781332"/>
    <w:rsid w:val="007836F0"/>
    <w:rsid w:val="00784605"/>
    <w:rsid w:val="00784A81"/>
    <w:rsid w:val="007856C7"/>
    <w:rsid w:val="007875F1"/>
    <w:rsid w:val="00791F97"/>
    <w:rsid w:val="0079256F"/>
    <w:rsid w:val="0079307B"/>
    <w:rsid w:val="007941CF"/>
    <w:rsid w:val="00796F48"/>
    <w:rsid w:val="007A2A5E"/>
    <w:rsid w:val="007A3C6A"/>
    <w:rsid w:val="007A5230"/>
    <w:rsid w:val="007A5821"/>
    <w:rsid w:val="007A652A"/>
    <w:rsid w:val="007A6B87"/>
    <w:rsid w:val="007B0EBF"/>
    <w:rsid w:val="007B12EF"/>
    <w:rsid w:val="007B1494"/>
    <w:rsid w:val="007B458D"/>
    <w:rsid w:val="007B4D6D"/>
    <w:rsid w:val="007B51E2"/>
    <w:rsid w:val="007B6F81"/>
    <w:rsid w:val="007B7E5F"/>
    <w:rsid w:val="007C08B4"/>
    <w:rsid w:val="007D0A64"/>
    <w:rsid w:val="007D3834"/>
    <w:rsid w:val="007D5470"/>
    <w:rsid w:val="007D5D8D"/>
    <w:rsid w:val="007D608D"/>
    <w:rsid w:val="007D6126"/>
    <w:rsid w:val="007D7E22"/>
    <w:rsid w:val="007E10A5"/>
    <w:rsid w:val="007E1B61"/>
    <w:rsid w:val="007E2A95"/>
    <w:rsid w:val="007E34AE"/>
    <w:rsid w:val="007E3D71"/>
    <w:rsid w:val="007E5C19"/>
    <w:rsid w:val="007E5E9E"/>
    <w:rsid w:val="007E7841"/>
    <w:rsid w:val="007F0036"/>
    <w:rsid w:val="007F2841"/>
    <w:rsid w:val="007F3E30"/>
    <w:rsid w:val="007F69E9"/>
    <w:rsid w:val="007F6BD9"/>
    <w:rsid w:val="0080096B"/>
    <w:rsid w:val="00800B90"/>
    <w:rsid w:val="00802A66"/>
    <w:rsid w:val="00804683"/>
    <w:rsid w:val="008048AB"/>
    <w:rsid w:val="00805ADD"/>
    <w:rsid w:val="008103A0"/>
    <w:rsid w:val="00810DE3"/>
    <w:rsid w:val="0081201B"/>
    <w:rsid w:val="00815FBE"/>
    <w:rsid w:val="00817A7F"/>
    <w:rsid w:val="008205C0"/>
    <w:rsid w:val="00821541"/>
    <w:rsid w:val="00821A06"/>
    <w:rsid w:val="008220F3"/>
    <w:rsid w:val="00822273"/>
    <w:rsid w:val="008235DB"/>
    <w:rsid w:val="00826FE4"/>
    <w:rsid w:val="00827146"/>
    <w:rsid w:val="00830647"/>
    <w:rsid w:val="00830E80"/>
    <w:rsid w:val="008318FC"/>
    <w:rsid w:val="00832911"/>
    <w:rsid w:val="00832BF3"/>
    <w:rsid w:val="00833071"/>
    <w:rsid w:val="00833EB7"/>
    <w:rsid w:val="00835046"/>
    <w:rsid w:val="00837906"/>
    <w:rsid w:val="0084092F"/>
    <w:rsid w:val="0084469F"/>
    <w:rsid w:val="00844C87"/>
    <w:rsid w:val="008454D9"/>
    <w:rsid w:val="0085045B"/>
    <w:rsid w:val="00850A87"/>
    <w:rsid w:val="00851053"/>
    <w:rsid w:val="0085189C"/>
    <w:rsid w:val="0085199C"/>
    <w:rsid w:val="008532FB"/>
    <w:rsid w:val="00853581"/>
    <w:rsid w:val="008540F0"/>
    <w:rsid w:val="00854A11"/>
    <w:rsid w:val="008568C0"/>
    <w:rsid w:val="00862E8C"/>
    <w:rsid w:val="008634B6"/>
    <w:rsid w:val="00864107"/>
    <w:rsid w:val="00864874"/>
    <w:rsid w:val="00864E33"/>
    <w:rsid w:val="00871CA1"/>
    <w:rsid w:val="00874F47"/>
    <w:rsid w:val="00877D87"/>
    <w:rsid w:val="00880255"/>
    <w:rsid w:val="00880CAF"/>
    <w:rsid w:val="008810FA"/>
    <w:rsid w:val="00884878"/>
    <w:rsid w:val="00885B9C"/>
    <w:rsid w:val="00886D18"/>
    <w:rsid w:val="00887DFC"/>
    <w:rsid w:val="008904E8"/>
    <w:rsid w:val="008908EB"/>
    <w:rsid w:val="00892303"/>
    <w:rsid w:val="00895B16"/>
    <w:rsid w:val="00895D45"/>
    <w:rsid w:val="00896927"/>
    <w:rsid w:val="008978C3"/>
    <w:rsid w:val="00897932"/>
    <w:rsid w:val="00897E16"/>
    <w:rsid w:val="008A144E"/>
    <w:rsid w:val="008A1489"/>
    <w:rsid w:val="008A310A"/>
    <w:rsid w:val="008A3E09"/>
    <w:rsid w:val="008A4E3C"/>
    <w:rsid w:val="008A58B2"/>
    <w:rsid w:val="008A5AB6"/>
    <w:rsid w:val="008A6603"/>
    <w:rsid w:val="008A7C5B"/>
    <w:rsid w:val="008B2A8E"/>
    <w:rsid w:val="008B5F65"/>
    <w:rsid w:val="008C0FBD"/>
    <w:rsid w:val="008C3C35"/>
    <w:rsid w:val="008C4903"/>
    <w:rsid w:val="008C5366"/>
    <w:rsid w:val="008C5617"/>
    <w:rsid w:val="008C6687"/>
    <w:rsid w:val="008C70BD"/>
    <w:rsid w:val="008C79C7"/>
    <w:rsid w:val="008C7AC8"/>
    <w:rsid w:val="008D0242"/>
    <w:rsid w:val="008D19A8"/>
    <w:rsid w:val="008D27EF"/>
    <w:rsid w:val="008D28DF"/>
    <w:rsid w:val="008D2D14"/>
    <w:rsid w:val="008D2DC8"/>
    <w:rsid w:val="008D34F9"/>
    <w:rsid w:val="008D3D46"/>
    <w:rsid w:val="008D745E"/>
    <w:rsid w:val="008E1F67"/>
    <w:rsid w:val="008E29AB"/>
    <w:rsid w:val="008E35CE"/>
    <w:rsid w:val="008E3D1D"/>
    <w:rsid w:val="008E44A5"/>
    <w:rsid w:val="008E4EF2"/>
    <w:rsid w:val="008F06F2"/>
    <w:rsid w:val="008F1E28"/>
    <w:rsid w:val="008F4C4B"/>
    <w:rsid w:val="008F5774"/>
    <w:rsid w:val="008F5D80"/>
    <w:rsid w:val="008F7B8C"/>
    <w:rsid w:val="008F7FCB"/>
    <w:rsid w:val="009006D2"/>
    <w:rsid w:val="00904DD1"/>
    <w:rsid w:val="009103F3"/>
    <w:rsid w:val="00910929"/>
    <w:rsid w:val="00910EEF"/>
    <w:rsid w:val="009126A4"/>
    <w:rsid w:val="009163AF"/>
    <w:rsid w:val="00916D52"/>
    <w:rsid w:val="009212E9"/>
    <w:rsid w:val="00923D3D"/>
    <w:rsid w:val="00924CCB"/>
    <w:rsid w:val="0092520A"/>
    <w:rsid w:val="00927978"/>
    <w:rsid w:val="00931183"/>
    <w:rsid w:val="00931896"/>
    <w:rsid w:val="00932FAD"/>
    <w:rsid w:val="00932FF8"/>
    <w:rsid w:val="00936ECF"/>
    <w:rsid w:val="00937307"/>
    <w:rsid w:val="009445BA"/>
    <w:rsid w:val="00944B7A"/>
    <w:rsid w:val="00945130"/>
    <w:rsid w:val="009455F6"/>
    <w:rsid w:val="00945B0A"/>
    <w:rsid w:val="00946F68"/>
    <w:rsid w:val="009475F3"/>
    <w:rsid w:val="00951562"/>
    <w:rsid w:val="00951651"/>
    <w:rsid w:val="009519C2"/>
    <w:rsid w:val="00953BCF"/>
    <w:rsid w:val="00953CAB"/>
    <w:rsid w:val="00954EF3"/>
    <w:rsid w:val="0095603B"/>
    <w:rsid w:val="00957948"/>
    <w:rsid w:val="00960505"/>
    <w:rsid w:val="009622FC"/>
    <w:rsid w:val="00963F27"/>
    <w:rsid w:val="00966126"/>
    <w:rsid w:val="009668EF"/>
    <w:rsid w:val="00971007"/>
    <w:rsid w:val="009713CF"/>
    <w:rsid w:val="00971DC9"/>
    <w:rsid w:val="00972208"/>
    <w:rsid w:val="009729A9"/>
    <w:rsid w:val="00974B4F"/>
    <w:rsid w:val="009761F8"/>
    <w:rsid w:val="00976AF1"/>
    <w:rsid w:val="00976FB3"/>
    <w:rsid w:val="0098030D"/>
    <w:rsid w:val="00981352"/>
    <w:rsid w:val="00981B13"/>
    <w:rsid w:val="00981B9D"/>
    <w:rsid w:val="00981C2D"/>
    <w:rsid w:val="00981E62"/>
    <w:rsid w:val="00982B64"/>
    <w:rsid w:val="00985E26"/>
    <w:rsid w:val="00986084"/>
    <w:rsid w:val="009928E1"/>
    <w:rsid w:val="009944A3"/>
    <w:rsid w:val="0099488A"/>
    <w:rsid w:val="00994C0B"/>
    <w:rsid w:val="00994D57"/>
    <w:rsid w:val="00996460"/>
    <w:rsid w:val="0099677B"/>
    <w:rsid w:val="0099701E"/>
    <w:rsid w:val="009A1E07"/>
    <w:rsid w:val="009A25EB"/>
    <w:rsid w:val="009A290D"/>
    <w:rsid w:val="009A561A"/>
    <w:rsid w:val="009A644A"/>
    <w:rsid w:val="009A753F"/>
    <w:rsid w:val="009B4415"/>
    <w:rsid w:val="009B5190"/>
    <w:rsid w:val="009B5381"/>
    <w:rsid w:val="009B654F"/>
    <w:rsid w:val="009C16DF"/>
    <w:rsid w:val="009C1FDC"/>
    <w:rsid w:val="009C4796"/>
    <w:rsid w:val="009C4804"/>
    <w:rsid w:val="009C5AD8"/>
    <w:rsid w:val="009C7CA9"/>
    <w:rsid w:val="009D104E"/>
    <w:rsid w:val="009D1FDF"/>
    <w:rsid w:val="009D3524"/>
    <w:rsid w:val="009D5236"/>
    <w:rsid w:val="009D78AE"/>
    <w:rsid w:val="009E1667"/>
    <w:rsid w:val="009E1CA8"/>
    <w:rsid w:val="009E28E1"/>
    <w:rsid w:val="009E2EE8"/>
    <w:rsid w:val="009E38C1"/>
    <w:rsid w:val="009E6780"/>
    <w:rsid w:val="009E79EC"/>
    <w:rsid w:val="009F0F4E"/>
    <w:rsid w:val="009F4D99"/>
    <w:rsid w:val="009F50F0"/>
    <w:rsid w:val="009F5781"/>
    <w:rsid w:val="00A01327"/>
    <w:rsid w:val="00A018E7"/>
    <w:rsid w:val="00A031B9"/>
    <w:rsid w:val="00A03911"/>
    <w:rsid w:val="00A05140"/>
    <w:rsid w:val="00A062D6"/>
    <w:rsid w:val="00A06FC9"/>
    <w:rsid w:val="00A07758"/>
    <w:rsid w:val="00A10DE1"/>
    <w:rsid w:val="00A11C01"/>
    <w:rsid w:val="00A11D59"/>
    <w:rsid w:val="00A123C7"/>
    <w:rsid w:val="00A13029"/>
    <w:rsid w:val="00A14E44"/>
    <w:rsid w:val="00A14E66"/>
    <w:rsid w:val="00A1569C"/>
    <w:rsid w:val="00A20730"/>
    <w:rsid w:val="00A22538"/>
    <w:rsid w:val="00A24C90"/>
    <w:rsid w:val="00A27E2B"/>
    <w:rsid w:val="00A33B7B"/>
    <w:rsid w:val="00A34039"/>
    <w:rsid w:val="00A3552E"/>
    <w:rsid w:val="00A35E94"/>
    <w:rsid w:val="00A36449"/>
    <w:rsid w:val="00A417FA"/>
    <w:rsid w:val="00A42760"/>
    <w:rsid w:val="00A430CF"/>
    <w:rsid w:val="00A443C7"/>
    <w:rsid w:val="00A4476C"/>
    <w:rsid w:val="00A458B3"/>
    <w:rsid w:val="00A45B60"/>
    <w:rsid w:val="00A45E73"/>
    <w:rsid w:val="00A5006D"/>
    <w:rsid w:val="00A50675"/>
    <w:rsid w:val="00A5551F"/>
    <w:rsid w:val="00A61B0C"/>
    <w:rsid w:val="00A62042"/>
    <w:rsid w:val="00A62288"/>
    <w:rsid w:val="00A62E17"/>
    <w:rsid w:val="00A65CAA"/>
    <w:rsid w:val="00A662CF"/>
    <w:rsid w:val="00A73EE0"/>
    <w:rsid w:val="00A766FD"/>
    <w:rsid w:val="00A80353"/>
    <w:rsid w:val="00A80E41"/>
    <w:rsid w:val="00A820E7"/>
    <w:rsid w:val="00A82DF8"/>
    <w:rsid w:val="00A83053"/>
    <w:rsid w:val="00A84DEF"/>
    <w:rsid w:val="00A902C6"/>
    <w:rsid w:val="00A9333E"/>
    <w:rsid w:val="00A94EC5"/>
    <w:rsid w:val="00A9554E"/>
    <w:rsid w:val="00A97C32"/>
    <w:rsid w:val="00AA31F2"/>
    <w:rsid w:val="00AA406C"/>
    <w:rsid w:val="00AA4F9F"/>
    <w:rsid w:val="00AA5E1B"/>
    <w:rsid w:val="00AA7256"/>
    <w:rsid w:val="00AB0987"/>
    <w:rsid w:val="00AB31CF"/>
    <w:rsid w:val="00AB3900"/>
    <w:rsid w:val="00AB53F7"/>
    <w:rsid w:val="00AB5ED0"/>
    <w:rsid w:val="00AB6F59"/>
    <w:rsid w:val="00AB7126"/>
    <w:rsid w:val="00AB7215"/>
    <w:rsid w:val="00AB721B"/>
    <w:rsid w:val="00AC005D"/>
    <w:rsid w:val="00AC02A3"/>
    <w:rsid w:val="00AC14DE"/>
    <w:rsid w:val="00AC4F3D"/>
    <w:rsid w:val="00AC56C2"/>
    <w:rsid w:val="00AC5D82"/>
    <w:rsid w:val="00AC5E19"/>
    <w:rsid w:val="00AC5F78"/>
    <w:rsid w:val="00AC6F49"/>
    <w:rsid w:val="00AD184E"/>
    <w:rsid w:val="00AD2723"/>
    <w:rsid w:val="00AD2EA4"/>
    <w:rsid w:val="00AD2F1B"/>
    <w:rsid w:val="00AD445D"/>
    <w:rsid w:val="00AD6F47"/>
    <w:rsid w:val="00AD72BF"/>
    <w:rsid w:val="00AE2781"/>
    <w:rsid w:val="00AE3E97"/>
    <w:rsid w:val="00AE49DD"/>
    <w:rsid w:val="00AE5C52"/>
    <w:rsid w:val="00AE6D76"/>
    <w:rsid w:val="00AE6E0A"/>
    <w:rsid w:val="00AF045F"/>
    <w:rsid w:val="00AF0FA2"/>
    <w:rsid w:val="00AF0FDD"/>
    <w:rsid w:val="00AF1C83"/>
    <w:rsid w:val="00AF4B01"/>
    <w:rsid w:val="00AF552D"/>
    <w:rsid w:val="00AF5A70"/>
    <w:rsid w:val="00AF5C5C"/>
    <w:rsid w:val="00AF63B6"/>
    <w:rsid w:val="00AF7287"/>
    <w:rsid w:val="00B030CA"/>
    <w:rsid w:val="00B03FB1"/>
    <w:rsid w:val="00B05158"/>
    <w:rsid w:val="00B0625D"/>
    <w:rsid w:val="00B106B1"/>
    <w:rsid w:val="00B11BE4"/>
    <w:rsid w:val="00B12356"/>
    <w:rsid w:val="00B12E7D"/>
    <w:rsid w:val="00B15829"/>
    <w:rsid w:val="00B16BCA"/>
    <w:rsid w:val="00B17A9D"/>
    <w:rsid w:val="00B206FA"/>
    <w:rsid w:val="00B21C2F"/>
    <w:rsid w:val="00B2299F"/>
    <w:rsid w:val="00B249B7"/>
    <w:rsid w:val="00B2764E"/>
    <w:rsid w:val="00B3079E"/>
    <w:rsid w:val="00B30E77"/>
    <w:rsid w:val="00B32C41"/>
    <w:rsid w:val="00B32C63"/>
    <w:rsid w:val="00B33F27"/>
    <w:rsid w:val="00B34059"/>
    <w:rsid w:val="00B34B88"/>
    <w:rsid w:val="00B34E22"/>
    <w:rsid w:val="00B37A25"/>
    <w:rsid w:val="00B41680"/>
    <w:rsid w:val="00B420F5"/>
    <w:rsid w:val="00B42656"/>
    <w:rsid w:val="00B44032"/>
    <w:rsid w:val="00B44EC8"/>
    <w:rsid w:val="00B456CC"/>
    <w:rsid w:val="00B45E3D"/>
    <w:rsid w:val="00B45F28"/>
    <w:rsid w:val="00B478EF"/>
    <w:rsid w:val="00B50670"/>
    <w:rsid w:val="00B50973"/>
    <w:rsid w:val="00B51221"/>
    <w:rsid w:val="00B51BAD"/>
    <w:rsid w:val="00B55BE4"/>
    <w:rsid w:val="00B564A3"/>
    <w:rsid w:val="00B56514"/>
    <w:rsid w:val="00B56551"/>
    <w:rsid w:val="00B57AE9"/>
    <w:rsid w:val="00B57CA2"/>
    <w:rsid w:val="00B57DB8"/>
    <w:rsid w:val="00B624E6"/>
    <w:rsid w:val="00B638BD"/>
    <w:rsid w:val="00B65EB5"/>
    <w:rsid w:val="00B66555"/>
    <w:rsid w:val="00B70D1E"/>
    <w:rsid w:val="00B71672"/>
    <w:rsid w:val="00B72BC7"/>
    <w:rsid w:val="00B72CEC"/>
    <w:rsid w:val="00B7313D"/>
    <w:rsid w:val="00B73156"/>
    <w:rsid w:val="00B747CD"/>
    <w:rsid w:val="00B74929"/>
    <w:rsid w:val="00B75B71"/>
    <w:rsid w:val="00B7716B"/>
    <w:rsid w:val="00B777E6"/>
    <w:rsid w:val="00B80062"/>
    <w:rsid w:val="00B80134"/>
    <w:rsid w:val="00B80707"/>
    <w:rsid w:val="00B82EA0"/>
    <w:rsid w:val="00B84B0C"/>
    <w:rsid w:val="00B861D4"/>
    <w:rsid w:val="00B8737A"/>
    <w:rsid w:val="00B87675"/>
    <w:rsid w:val="00B910DF"/>
    <w:rsid w:val="00B922B9"/>
    <w:rsid w:val="00B95043"/>
    <w:rsid w:val="00B9749F"/>
    <w:rsid w:val="00BA3026"/>
    <w:rsid w:val="00BA3EFF"/>
    <w:rsid w:val="00BA4972"/>
    <w:rsid w:val="00BA5FE7"/>
    <w:rsid w:val="00BA604F"/>
    <w:rsid w:val="00BB1C24"/>
    <w:rsid w:val="00BB2580"/>
    <w:rsid w:val="00BB27EC"/>
    <w:rsid w:val="00BB37EE"/>
    <w:rsid w:val="00BB530B"/>
    <w:rsid w:val="00BB55A1"/>
    <w:rsid w:val="00BB58D3"/>
    <w:rsid w:val="00BB718C"/>
    <w:rsid w:val="00BB7F3E"/>
    <w:rsid w:val="00BC179B"/>
    <w:rsid w:val="00BC3418"/>
    <w:rsid w:val="00BC432E"/>
    <w:rsid w:val="00BC6774"/>
    <w:rsid w:val="00BC6C8B"/>
    <w:rsid w:val="00BC6EEF"/>
    <w:rsid w:val="00BC7980"/>
    <w:rsid w:val="00BD0FF4"/>
    <w:rsid w:val="00BD17DA"/>
    <w:rsid w:val="00BD24EB"/>
    <w:rsid w:val="00BD28C5"/>
    <w:rsid w:val="00BD2FEE"/>
    <w:rsid w:val="00BD4D43"/>
    <w:rsid w:val="00BD7695"/>
    <w:rsid w:val="00BE0D5C"/>
    <w:rsid w:val="00BE0EE1"/>
    <w:rsid w:val="00BE2746"/>
    <w:rsid w:val="00BE4337"/>
    <w:rsid w:val="00BE4BDF"/>
    <w:rsid w:val="00BE5FED"/>
    <w:rsid w:val="00BE65E4"/>
    <w:rsid w:val="00BE7D81"/>
    <w:rsid w:val="00BF0AA7"/>
    <w:rsid w:val="00BF2A8C"/>
    <w:rsid w:val="00BF2B09"/>
    <w:rsid w:val="00BF2F97"/>
    <w:rsid w:val="00BF34DA"/>
    <w:rsid w:val="00C00765"/>
    <w:rsid w:val="00C00E26"/>
    <w:rsid w:val="00C03A2E"/>
    <w:rsid w:val="00C06287"/>
    <w:rsid w:val="00C066D5"/>
    <w:rsid w:val="00C07CB7"/>
    <w:rsid w:val="00C10BBA"/>
    <w:rsid w:val="00C10FBB"/>
    <w:rsid w:val="00C1170B"/>
    <w:rsid w:val="00C12309"/>
    <w:rsid w:val="00C13BBD"/>
    <w:rsid w:val="00C168EC"/>
    <w:rsid w:val="00C16E98"/>
    <w:rsid w:val="00C20D5E"/>
    <w:rsid w:val="00C23583"/>
    <w:rsid w:val="00C25999"/>
    <w:rsid w:val="00C26023"/>
    <w:rsid w:val="00C306F1"/>
    <w:rsid w:val="00C312CC"/>
    <w:rsid w:val="00C35485"/>
    <w:rsid w:val="00C362CC"/>
    <w:rsid w:val="00C36C67"/>
    <w:rsid w:val="00C4066A"/>
    <w:rsid w:val="00C40D0E"/>
    <w:rsid w:val="00C469FC"/>
    <w:rsid w:val="00C46CAB"/>
    <w:rsid w:val="00C51D51"/>
    <w:rsid w:val="00C51DF7"/>
    <w:rsid w:val="00C5255D"/>
    <w:rsid w:val="00C56BAB"/>
    <w:rsid w:val="00C57564"/>
    <w:rsid w:val="00C57E14"/>
    <w:rsid w:val="00C602B7"/>
    <w:rsid w:val="00C60D92"/>
    <w:rsid w:val="00C65930"/>
    <w:rsid w:val="00C677D3"/>
    <w:rsid w:val="00C70156"/>
    <w:rsid w:val="00C70934"/>
    <w:rsid w:val="00C747EB"/>
    <w:rsid w:val="00C75AB0"/>
    <w:rsid w:val="00C82AA4"/>
    <w:rsid w:val="00C82CE8"/>
    <w:rsid w:val="00C8305C"/>
    <w:rsid w:val="00C844D6"/>
    <w:rsid w:val="00C85F2E"/>
    <w:rsid w:val="00C85FAB"/>
    <w:rsid w:val="00C85FF6"/>
    <w:rsid w:val="00C86A67"/>
    <w:rsid w:val="00C87A0D"/>
    <w:rsid w:val="00C90719"/>
    <w:rsid w:val="00C919EB"/>
    <w:rsid w:val="00C9326B"/>
    <w:rsid w:val="00C95691"/>
    <w:rsid w:val="00C96A47"/>
    <w:rsid w:val="00C970CE"/>
    <w:rsid w:val="00CA113C"/>
    <w:rsid w:val="00CA1ECD"/>
    <w:rsid w:val="00CA35A0"/>
    <w:rsid w:val="00CA3759"/>
    <w:rsid w:val="00CA40FA"/>
    <w:rsid w:val="00CA49A0"/>
    <w:rsid w:val="00CA4C7F"/>
    <w:rsid w:val="00CA5945"/>
    <w:rsid w:val="00CA6866"/>
    <w:rsid w:val="00CA6F02"/>
    <w:rsid w:val="00CB13B7"/>
    <w:rsid w:val="00CB5FC5"/>
    <w:rsid w:val="00CB7087"/>
    <w:rsid w:val="00CB723D"/>
    <w:rsid w:val="00CC244C"/>
    <w:rsid w:val="00CC3333"/>
    <w:rsid w:val="00CC41EE"/>
    <w:rsid w:val="00CD061B"/>
    <w:rsid w:val="00CD0BF5"/>
    <w:rsid w:val="00CD0FA4"/>
    <w:rsid w:val="00CD1089"/>
    <w:rsid w:val="00CD1BCD"/>
    <w:rsid w:val="00CD41F8"/>
    <w:rsid w:val="00CD5EF4"/>
    <w:rsid w:val="00CD6D61"/>
    <w:rsid w:val="00CD7D66"/>
    <w:rsid w:val="00CD7FFC"/>
    <w:rsid w:val="00CE03A1"/>
    <w:rsid w:val="00CE27D1"/>
    <w:rsid w:val="00CE2C6E"/>
    <w:rsid w:val="00CE2D75"/>
    <w:rsid w:val="00CE6C66"/>
    <w:rsid w:val="00CE799B"/>
    <w:rsid w:val="00CF046A"/>
    <w:rsid w:val="00CF321C"/>
    <w:rsid w:val="00CF4FE6"/>
    <w:rsid w:val="00CF556F"/>
    <w:rsid w:val="00CF5974"/>
    <w:rsid w:val="00CF7054"/>
    <w:rsid w:val="00D0030F"/>
    <w:rsid w:val="00D0445F"/>
    <w:rsid w:val="00D0608D"/>
    <w:rsid w:val="00D061D5"/>
    <w:rsid w:val="00D06E87"/>
    <w:rsid w:val="00D06EFC"/>
    <w:rsid w:val="00D074BF"/>
    <w:rsid w:val="00D1197E"/>
    <w:rsid w:val="00D122E5"/>
    <w:rsid w:val="00D1619E"/>
    <w:rsid w:val="00D202A4"/>
    <w:rsid w:val="00D206B3"/>
    <w:rsid w:val="00D219C1"/>
    <w:rsid w:val="00D225E2"/>
    <w:rsid w:val="00D22C33"/>
    <w:rsid w:val="00D2390F"/>
    <w:rsid w:val="00D27373"/>
    <w:rsid w:val="00D320DC"/>
    <w:rsid w:val="00D322EA"/>
    <w:rsid w:val="00D32833"/>
    <w:rsid w:val="00D33DA7"/>
    <w:rsid w:val="00D3507E"/>
    <w:rsid w:val="00D354D0"/>
    <w:rsid w:val="00D41D9A"/>
    <w:rsid w:val="00D4354A"/>
    <w:rsid w:val="00D43A6A"/>
    <w:rsid w:val="00D44577"/>
    <w:rsid w:val="00D448F4"/>
    <w:rsid w:val="00D44E32"/>
    <w:rsid w:val="00D461E5"/>
    <w:rsid w:val="00D4633B"/>
    <w:rsid w:val="00D472D8"/>
    <w:rsid w:val="00D502F9"/>
    <w:rsid w:val="00D50F29"/>
    <w:rsid w:val="00D5255B"/>
    <w:rsid w:val="00D538F6"/>
    <w:rsid w:val="00D5457D"/>
    <w:rsid w:val="00D54EF5"/>
    <w:rsid w:val="00D55CC6"/>
    <w:rsid w:val="00D56FF4"/>
    <w:rsid w:val="00D61E55"/>
    <w:rsid w:val="00D6213A"/>
    <w:rsid w:val="00D63847"/>
    <w:rsid w:val="00D6763C"/>
    <w:rsid w:val="00D678E2"/>
    <w:rsid w:val="00D67EEC"/>
    <w:rsid w:val="00D70223"/>
    <w:rsid w:val="00D73760"/>
    <w:rsid w:val="00D74036"/>
    <w:rsid w:val="00D74167"/>
    <w:rsid w:val="00D802BD"/>
    <w:rsid w:val="00D808EE"/>
    <w:rsid w:val="00D82AA1"/>
    <w:rsid w:val="00D864D6"/>
    <w:rsid w:val="00D87FE7"/>
    <w:rsid w:val="00D904D0"/>
    <w:rsid w:val="00D91885"/>
    <w:rsid w:val="00D9237B"/>
    <w:rsid w:val="00D932F0"/>
    <w:rsid w:val="00D93663"/>
    <w:rsid w:val="00D94097"/>
    <w:rsid w:val="00D94B50"/>
    <w:rsid w:val="00D95DDC"/>
    <w:rsid w:val="00D96B60"/>
    <w:rsid w:val="00DA0634"/>
    <w:rsid w:val="00DA0FBC"/>
    <w:rsid w:val="00DA182E"/>
    <w:rsid w:val="00DA3E6F"/>
    <w:rsid w:val="00DA62C5"/>
    <w:rsid w:val="00DA7CB8"/>
    <w:rsid w:val="00DA7DA7"/>
    <w:rsid w:val="00DB0871"/>
    <w:rsid w:val="00DB0CB2"/>
    <w:rsid w:val="00DB65B3"/>
    <w:rsid w:val="00DC08BC"/>
    <w:rsid w:val="00DC19CF"/>
    <w:rsid w:val="00DC1AF4"/>
    <w:rsid w:val="00DC1F63"/>
    <w:rsid w:val="00DC3AE5"/>
    <w:rsid w:val="00DC3BC0"/>
    <w:rsid w:val="00DC3BDC"/>
    <w:rsid w:val="00DC6836"/>
    <w:rsid w:val="00DD1011"/>
    <w:rsid w:val="00DD1941"/>
    <w:rsid w:val="00DD264C"/>
    <w:rsid w:val="00DD5613"/>
    <w:rsid w:val="00DD57DD"/>
    <w:rsid w:val="00DE12F0"/>
    <w:rsid w:val="00DE221F"/>
    <w:rsid w:val="00DE3A2A"/>
    <w:rsid w:val="00DE55E6"/>
    <w:rsid w:val="00DE5DBB"/>
    <w:rsid w:val="00DE63E6"/>
    <w:rsid w:val="00DF0085"/>
    <w:rsid w:val="00DF169D"/>
    <w:rsid w:val="00DF4920"/>
    <w:rsid w:val="00DF5E63"/>
    <w:rsid w:val="00DF681B"/>
    <w:rsid w:val="00DF7AE1"/>
    <w:rsid w:val="00E0241F"/>
    <w:rsid w:val="00E03A3D"/>
    <w:rsid w:val="00E04482"/>
    <w:rsid w:val="00E04D37"/>
    <w:rsid w:val="00E05840"/>
    <w:rsid w:val="00E07968"/>
    <w:rsid w:val="00E10BA8"/>
    <w:rsid w:val="00E11A8E"/>
    <w:rsid w:val="00E12448"/>
    <w:rsid w:val="00E13FA7"/>
    <w:rsid w:val="00E14683"/>
    <w:rsid w:val="00E14F0D"/>
    <w:rsid w:val="00E17341"/>
    <w:rsid w:val="00E207DB"/>
    <w:rsid w:val="00E2182B"/>
    <w:rsid w:val="00E21EFB"/>
    <w:rsid w:val="00E2267F"/>
    <w:rsid w:val="00E235D4"/>
    <w:rsid w:val="00E240B1"/>
    <w:rsid w:val="00E25FBA"/>
    <w:rsid w:val="00E2631F"/>
    <w:rsid w:val="00E270B7"/>
    <w:rsid w:val="00E27999"/>
    <w:rsid w:val="00E27C9F"/>
    <w:rsid w:val="00E330F3"/>
    <w:rsid w:val="00E36A50"/>
    <w:rsid w:val="00E37ADF"/>
    <w:rsid w:val="00E418F2"/>
    <w:rsid w:val="00E41B22"/>
    <w:rsid w:val="00E43C87"/>
    <w:rsid w:val="00E44BDB"/>
    <w:rsid w:val="00E50E1A"/>
    <w:rsid w:val="00E528EB"/>
    <w:rsid w:val="00E5370B"/>
    <w:rsid w:val="00E53D3A"/>
    <w:rsid w:val="00E56811"/>
    <w:rsid w:val="00E56A3E"/>
    <w:rsid w:val="00E57FE9"/>
    <w:rsid w:val="00E6139F"/>
    <w:rsid w:val="00E6157E"/>
    <w:rsid w:val="00E61E1E"/>
    <w:rsid w:val="00E62387"/>
    <w:rsid w:val="00E64AAD"/>
    <w:rsid w:val="00E64B3B"/>
    <w:rsid w:val="00E661E8"/>
    <w:rsid w:val="00E66309"/>
    <w:rsid w:val="00E6652A"/>
    <w:rsid w:val="00E67D97"/>
    <w:rsid w:val="00E71A05"/>
    <w:rsid w:val="00E742BC"/>
    <w:rsid w:val="00E80AB0"/>
    <w:rsid w:val="00E82065"/>
    <w:rsid w:val="00E8435E"/>
    <w:rsid w:val="00E90B9D"/>
    <w:rsid w:val="00E923F1"/>
    <w:rsid w:val="00E93762"/>
    <w:rsid w:val="00E9598D"/>
    <w:rsid w:val="00E96A6F"/>
    <w:rsid w:val="00EA0713"/>
    <w:rsid w:val="00EA1B79"/>
    <w:rsid w:val="00EA1D2D"/>
    <w:rsid w:val="00EA3D1A"/>
    <w:rsid w:val="00EA42B1"/>
    <w:rsid w:val="00EA4BDE"/>
    <w:rsid w:val="00EA5C6B"/>
    <w:rsid w:val="00EA6098"/>
    <w:rsid w:val="00EA6D03"/>
    <w:rsid w:val="00EB0996"/>
    <w:rsid w:val="00EB1D3D"/>
    <w:rsid w:val="00EB3D8A"/>
    <w:rsid w:val="00EB4AF9"/>
    <w:rsid w:val="00EB5D66"/>
    <w:rsid w:val="00EB6139"/>
    <w:rsid w:val="00EB6BB6"/>
    <w:rsid w:val="00EB711D"/>
    <w:rsid w:val="00EB74F1"/>
    <w:rsid w:val="00EC0476"/>
    <w:rsid w:val="00EC4EC0"/>
    <w:rsid w:val="00EC71ED"/>
    <w:rsid w:val="00EC7486"/>
    <w:rsid w:val="00EC7B36"/>
    <w:rsid w:val="00ED04F4"/>
    <w:rsid w:val="00ED1917"/>
    <w:rsid w:val="00ED2536"/>
    <w:rsid w:val="00ED27A5"/>
    <w:rsid w:val="00ED55BE"/>
    <w:rsid w:val="00ED6BF1"/>
    <w:rsid w:val="00ED7B38"/>
    <w:rsid w:val="00EE0057"/>
    <w:rsid w:val="00EE0E84"/>
    <w:rsid w:val="00EE0FDA"/>
    <w:rsid w:val="00EE120A"/>
    <w:rsid w:val="00EE1444"/>
    <w:rsid w:val="00EE208F"/>
    <w:rsid w:val="00EE308D"/>
    <w:rsid w:val="00EE44C9"/>
    <w:rsid w:val="00EE50B7"/>
    <w:rsid w:val="00EE6F0C"/>
    <w:rsid w:val="00EE7284"/>
    <w:rsid w:val="00EE79F1"/>
    <w:rsid w:val="00EE7C89"/>
    <w:rsid w:val="00EF087C"/>
    <w:rsid w:val="00EF2769"/>
    <w:rsid w:val="00EF366A"/>
    <w:rsid w:val="00EF39F4"/>
    <w:rsid w:val="00EF4A90"/>
    <w:rsid w:val="00EF4DF3"/>
    <w:rsid w:val="00F02F28"/>
    <w:rsid w:val="00F03C7F"/>
    <w:rsid w:val="00F05BAB"/>
    <w:rsid w:val="00F0799D"/>
    <w:rsid w:val="00F1078A"/>
    <w:rsid w:val="00F10DA4"/>
    <w:rsid w:val="00F12744"/>
    <w:rsid w:val="00F13F24"/>
    <w:rsid w:val="00F1419E"/>
    <w:rsid w:val="00F1472A"/>
    <w:rsid w:val="00F204A4"/>
    <w:rsid w:val="00F209D8"/>
    <w:rsid w:val="00F24959"/>
    <w:rsid w:val="00F249C4"/>
    <w:rsid w:val="00F25BCA"/>
    <w:rsid w:val="00F26DB3"/>
    <w:rsid w:val="00F27ED1"/>
    <w:rsid w:val="00F30CF8"/>
    <w:rsid w:val="00F30FC0"/>
    <w:rsid w:val="00F31315"/>
    <w:rsid w:val="00F334F6"/>
    <w:rsid w:val="00F35501"/>
    <w:rsid w:val="00F40408"/>
    <w:rsid w:val="00F40E22"/>
    <w:rsid w:val="00F42301"/>
    <w:rsid w:val="00F42F5E"/>
    <w:rsid w:val="00F43BA3"/>
    <w:rsid w:val="00F44AC6"/>
    <w:rsid w:val="00F46297"/>
    <w:rsid w:val="00F46ABC"/>
    <w:rsid w:val="00F5172B"/>
    <w:rsid w:val="00F53655"/>
    <w:rsid w:val="00F53C1E"/>
    <w:rsid w:val="00F54F3E"/>
    <w:rsid w:val="00F55290"/>
    <w:rsid w:val="00F55956"/>
    <w:rsid w:val="00F567B5"/>
    <w:rsid w:val="00F569B9"/>
    <w:rsid w:val="00F56CA9"/>
    <w:rsid w:val="00F6071E"/>
    <w:rsid w:val="00F614AD"/>
    <w:rsid w:val="00F616C5"/>
    <w:rsid w:val="00F62CFC"/>
    <w:rsid w:val="00F639E2"/>
    <w:rsid w:val="00F65284"/>
    <w:rsid w:val="00F711FF"/>
    <w:rsid w:val="00F71512"/>
    <w:rsid w:val="00F72ECE"/>
    <w:rsid w:val="00F73EA1"/>
    <w:rsid w:val="00F74363"/>
    <w:rsid w:val="00F74E5A"/>
    <w:rsid w:val="00F74FA5"/>
    <w:rsid w:val="00F7658C"/>
    <w:rsid w:val="00F769FF"/>
    <w:rsid w:val="00F77702"/>
    <w:rsid w:val="00F77E6A"/>
    <w:rsid w:val="00F81D93"/>
    <w:rsid w:val="00F831FB"/>
    <w:rsid w:val="00F832B6"/>
    <w:rsid w:val="00F86C62"/>
    <w:rsid w:val="00F87239"/>
    <w:rsid w:val="00F87F8C"/>
    <w:rsid w:val="00F904B1"/>
    <w:rsid w:val="00F907B5"/>
    <w:rsid w:val="00F93164"/>
    <w:rsid w:val="00F93332"/>
    <w:rsid w:val="00F93602"/>
    <w:rsid w:val="00F940A3"/>
    <w:rsid w:val="00F9413F"/>
    <w:rsid w:val="00F94A2D"/>
    <w:rsid w:val="00F94D21"/>
    <w:rsid w:val="00F9729B"/>
    <w:rsid w:val="00F97F98"/>
    <w:rsid w:val="00FA0B20"/>
    <w:rsid w:val="00FA11D0"/>
    <w:rsid w:val="00FA1324"/>
    <w:rsid w:val="00FA14EB"/>
    <w:rsid w:val="00FA344A"/>
    <w:rsid w:val="00FA39DE"/>
    <w:rsid w:val="00FA406D"/>
    <w:rsid w:val="00FA44DE"/>
    <w:rsid w:val="00FA4570"/>
    <w:rsid w:val="00FA5971"/>
    <w:rsid w:val="00FA6757"/>
    <w:rsid w:val="00FA690F"/>
    <w:rsid w:val="00FA705B"/>
    <w:rsid w:val="00FB2FE0"/>
    <w:rsid w:val="00FB3748"/>
    <w:rsid w:val="00FB5056"/>
    <w:rsid w:val="00FB56D2"/>
    <w:rsid w:val="00FB6240"/>
    <w:rsid w:val="00FB6A2A"/>
    <w:rsid w:val="00FC015B"/>
    <w:rsid w:val="00FC019D"/>
    <w:rsid w:val="00FC19A6"/>
    <w:rsid w:val="00FC3C87"/>
    <w:rsid w:val="00FC60DB"/>
    <w:rsid w:val="00FD0CB0"/>
    <w:rsid w:val="00FD1315"/>
    <w:rsid w:val="00FD19F3"/>
    <w:rsid w:val="00FD2111"/>
    <w:rsid w:val="00FD211C"/>
    <w:rsid w:val="00FD4A18"/>
    <w:rsid w:val="00FD59F3"/>
    <w:rsid w:val="00FD7BD8"/>
    <w:rsid w:val="00FE1348"/>
    <w:rsid w:val="00FE1536"/>
    <w:rsid w:val="00FE25EE"/>
    <w:rsid w:val="00FE3DE2"/>
    <w:rsid w:val="00FE4491"/>
    <w:rsid w:val="00FE4823"/>
    <w:rsid w:val="00FE4DBB"/>
    <w:rsid w:val="00FE5718"/>
    <w:rsid w:val="00FE63AA"/>
    <w:rsid w:val="00FE68CD"/>
    <w:rsid w:val="00FF061A"/>
    <w:rsid w:val="00FF2137"/>
    <w:rsid w:val="00FF2B30"/>
    <w:rsid w:val="00FF2D07"/>
    <w:rsid w:val="00FF2FDB"/>
    <w:rsid w:val="00FF3905"/>
    <w:rsid w:val="00FF3DA4"/>
    <w:rsid w:val="00FF6A90"/>
    <w:rsid w:val="00FF6B6F"/>
    <w:rsid w:val="00FF72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qFormat="1"/>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C70934"/>
    <w:pPr>
      <w:numPr>
        <w:ilvl w:val="2"/>
      </w:numPr>
      <w:spacing w:before="120" w:line="280" w:lineRule="atLeast"/>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C70934"/>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75677D"/>
    <w:pPr>
      <w:keepNext/>
      <w:spacing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F832B6"/>
    <w:pPr>
      <w:keepLines w:val="0"/>
      <w:spacing w:before="120" w:after="0" w:line="240" w:lineRule="auto"/>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F832B6"/>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625052"/>
    <w:pPr>
      <w:spacing w:before="0" w:after="0" w:line="240" w:lineRule="auto"/>
      <w:jc w:val="left"/>
    </w:p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75677D"/>
    <w:rPr>
      <w:rFonts w:ascii="Franklin Gothic Book" w:eastAsia="Times New Roman" w:hAnsi="Franklin Gothic Book" w:cs="Arial"/>
      <w:b/>
      <w:sz w:val="20"/>
      <w:szCs w:val="19"/>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ETS,single space"/>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ETS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ootnote,Footnote text,Footnote + Arial,10 pt,Black,ftref,(NECG) Footnote Reference,footnote ref,SUPERS,EN Footnote Reference,16 Point,Superscript 6 Point,Footnote Reference Number,Style 6,Ref,de nota al pie,fr,Footnote Ref in FtNote"/>
    <w:uiPriority w:val="99"/>
    <w:qFormat/>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NoteLabel">
    <w:name w:val="Note Label"/>
    <w:rsid w:val="001B60C0"/>
    <w:rPr>
      <w:rFonts w:ascii="Times New Roman" w:hAnsi="Times New Roman"/>
      <w:color w:val="auto"/>
      <w:position w:val="4"/>
      <w:sz w:val="14"/>
      <w:szCs w:val="14"/>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6E27EA"/>
    <w:rPr>
      <w:rFonts w:ascii="Times New Roman" w:eastAsia="Times New Roman" w:hAnsi="Times New Roman" w:cs="Times New Roman"/>
      <w:szCs w:val="24"/>
    </w:rPr>
  </w:style>
  <w:style w:type="paragraph" w:customStyle="1" w:styleId="Bullet">
    <w:name w:val="Bullet"/>
    <w:aliases w:val="b"/>
    <w:basedOn w:val="Normal"/>
    <w:qFormat/>
    <w:rsid w:val="006E27EA"/>
    <w:pPr>
      <w:numPr>
        <w:numId w:val="20"/>
      </w:numPr>
      <w:spacing w:before="160" w:after="120" w:line="240" w:lineRule="atLeast"/>
    </w:pPr>
    <w:rPr>
      <w:rFonts w:asciiTheme="minorHAnsi" w:eastAsiaTheme="minorHAnsi" w:hAnsiTheme="minorHAnsi"/>
      <w:spacing w:val="-2"/>
      <w:szCs w:val="20"/>
      <w:lang w:eastAsia="en-US"/>
    </w:rPr>
  </w:style>
  <w:style w:type="paragraph" w:customStyle="1" w:styleId="Default">
    <w:name w:val="Default"/>
    <w:rsid w:val="004A2D5E"/>
    <w:pPr>
      <w:autoSpaceDE w:val="0"/>
      <w:autoSpaceDN w:val="0"/>
      <w:adjustRightInd w:val="0"/>
      <w:spacing w:after="0" w:line="240" w:lineRule="auto"/>
    </w:pPr>
    <w:rPr>
      <w:rFonts w:ascii="Franklin Gothic Demi" w:hAnsi="Franklin Gothic Demi" w:cs="Franklin Gothic Demi"/>
      <w:color w:val="000000"/>
      <w:sz w:val="24"/>
      <w:szCs w:val="24"/>
      <w:lang w:eastAsia="en-US"/>
    </w:rPr>
  </w:style>
  <w:style w:type="character" w:customStyle="1" w:styleId="bodytextChar0">
    <w:name w:val="body text Char"/>
    <w:basedOn w:val="DefaultParagraphFont"/>
    <w:link w:val="BodyText1"/>
    <w:uiPriority w:val="99"/>
    <w:locked/>
    <w:rsid w:val="0076684B"/>
    <w:rPr>
      <w:rFonts w:ascii="Times New Roman" w:hAnsi="Times New Roman" w:cs="Times New Roman"/>
      <w:sz w:val="24"/>
      <w:szCs w:val="24"/>
      <w:lang w:val="en-US" w:eastAsia="en-US"/>
    </w:rPr>
  </w:style>
  <w:style w:type="paragraph" w:customStyle="1" w:styleId="BodyText1">
    <w:name w:val="Body Text1"/>
    <w:basedOn w:val="Normal"/>
    <w:link w:val="bodytextChar0"/>
    <w:uiPriority w:val="99"/>
    <w:rsid w:val="0076684B"/>
    <w:pPr>
      <w:spacing w:before="120" w:after="120"/>
      <w:ind w:firstLine="720"/>
      <w:jc w:val="both"/>
    </w:pPr>
    <w:rPr>
      <w:rFonts w:eastAsiaTheme="minorHAnsi"/>
      <w:sz w:val="24"/>
      <w:lang w:val="en-US" w:eastAsia="en-US"/>
    </w:rPr>
  </w:style>
  <w:style w:type="paragraph" w:customStyle="1" w:styleId="CharCharCharCharCharCharCharChar">
    <w:name w:val="Char Char Char Char Char Char Char Char"/>
    <w:basedOn w:val="Normal"/>
    <w:rsid w:val="00504102"/>
    <w:pPr>
      <w:spacing w:after="160" w:line="240" w:lineRule="exact"/>
    </w:pPr>
    <w:rPr>
      <w:rFonts w:eastAsia="Times New Roman" w:cs="Arial"/>
      <w:szCs w:val="20"/>
      <w:lang w:val="de-CH" w:eastAsia="en-US"/>
    </w:rPr>
  </w:style>
  <w:style w:type="numbering" w:customStyle="1" w:styleId="StyleSymbolsymbol11ptLeft0cmHanging063cm">
    <w:name w:val="Style Symbol (symbol) 11 pt Left:  0 cm Hanging:  0.63 cm"/>
    <w:basedOn w:val="NoList"/>
    <w:rsid w:val="00027C06"/>
    <w:pPr>
      <w:numPr>
        <w:numId w:val="37"/>
      </w:numPr>
    </w:pPr>
  </w:style>
  <w:style w:type="paragraph" w:customStyle="1" w:styleId="Pa1">
    <w:name w:val="Pa1"/>
    <w:basedOn w:val="Default"/>
    <w:next w:val="Default"/>
    <w:uiPriority w:val="99"/>
    <w:rsid w:val="007A5230"/>
    <w:pPr>
      <w:spacing w:line="191" w:lineRule="atLeast"/>
    </w:pPr>
    <w:rPr>
      <w:rFonts w:ascii="Helvetica 55 Roman" w:hAnsi="Helvetica 55 Roman" w:cstheme="minorBidi"/>
      <w:color w:val="auto"/>
      <w:lang w:eastAsia="en-AU"/>
    </w:rPr>
  </w:style>
  <w:style w:type="character" w:customStyle="1" w:styleId="A8">
    <w:name w:val="A8"/>
    <w:uiPriority w:val="99"/>
    <w:rsid w:val="007A5230"/>
    <w:rPr>
      <w:rFonts w:cs="Helvetica 55 Roman"/>
      <w:color w:val="000000"/>
      <w:sz w:val="11"/>
      <w:szCs w:val="11"/>
    </w:rPr>
  </w:style>
  <w:style w:type="paragraph" w:customStyle="1" w:styleId="Pa25">
    <w:name w:val="Pa25"/>
    <w:basedOn w:val="Default"/>
    <w:next w:val="Default"/>
    <w:uiPriority w:val="99"/>
    <w:rsid w:val="00DC3AE5"/>
    <w:pPr>
      <w:spacing w:line="191" w:lineRule="atLeast"/>
    </w:pPr>
    <w:rPr>
      <w:rFonts w:ascii="Helvetica 55 Roman" w:hAnsi="Helvetica 55 Roman" w:cstheme="minorBidi"/>
      <w:color w:val="auto"/>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qFormat="1"/>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C70934"/>
    <w:pPr>
      <w:numPr>
        <w:ilvl w:val="2"/>
      </w:numPr>
      <w:spacing w:before="120" w:line="280" w:lineRule="atLeast"/>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C70934"/>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75677D"/>
    <w:pPr>
      <w:keepNext/>
      <w:spacing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F832B6"/>
    <w:pPr>
      <w:keepLines w:val="0"/>
      <w:spacing w:before="120" w:after="0" w:line="240" w:lineRule="auto"/>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F832B6"/>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625052"/>
    <w:pPr>
      <w:spacing w:before="0" w:after="0" w:line="240" w:lineRule="auto"/>
      <w:jc w:val="left"/>
    </w:p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75677D"/>
    <w:rPr>
      <w:rFonts w:ascii="Franklin Gothic Book" w:eastAsia="Times New Roman" w:hAnsi="Franklin Gothic Book" w:cs="Arial"/>
      <w:b/>
      <w:sz w:val="20"/>
      <w:szCs w:val="19"/>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ETS,single space"/>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ETS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ootnote,Footnote text,Footnote + Arial,10 pt,Black,ftref,(NECG) Footnote Reference,footnote ref,SUPERS,EN Footnote Reference,16 Point,Superscript 6 Point,Footnote Reference Number,Style 6,Ref,de nota al pie,fr,Footnote Ref in FtNote"/>
    <w:uiPriority w:val="99"/>
    <w:qFormat/>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NoteLabel">
    <w:name w:val="Note Label"/>
    <w:rsid w:val="001B60C0"/>
    <w:rPr>
      <w:rFonts w:ascii="Times New Roman" w:hAnsi="Times New Roman"/>
      <w:color w:val="auto"/>
      <w:position w:val="4"/>
      <w:sz w:val="14"/>
      <w:szCs w:val="14"/>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6E27EA"/>
    <w:rPr>
      <w:rFonts w:ascii="Times New Roman" w:eastAsia="Times New Roman" w:hAnsi="Times New Roman" w:cs="Times New Roman"/>
      <w:szCs w:val="24"/>
    </w:rPr>
  </w:style>
  <w:style w:type="paragraph" w:customStyle="1" w:styleId="Bullet">
    <w:name w:val="Bullet"/>
    <w:aliases w:val="b"/>
    <w:basedOn w:val="Normal"/>
    <w:qFormat/>
    <w:rsid w:val="006E27EA"/>
    <w:pPr>
      <w:numPr>
        <w:numId w:val="20"/>
      </w:numPr>
      <w:spacing w:before="160" w:after="120" w:line="240" w:lineRule="atLeast"/>
    </w:pPr>
    <w:rPr>
      <w:rFonts w:asciiTheme="minorHAnsi" w:eastAsiaTheme="minorHAnsi" w:hAnsiTheme="minorHAnsi"/>
      <w:spacing w:val="-2"/>
      <w:szCs w:val="20"/>
      <w:lang w:eastAsia="en-US"/>
    </w:rPr>
  </w:style>
  <w:style w:type="paragraph" w:customStyle="1" w:styleId="Default">
    <w:name w:val="Default"/>
    <w:rsid w:val="004A2D5E"/>
    <w:pPr>
      <w:autoSpaceDE w:val="0"/>
      <w:autoSpaceDN w:val="0"/>
      <w:adjustRightInd w:val="0"/>
      <w:spacing w:after="0" w:line="240" w:lineRule="auto"/>
    </w:pPr>
    <w:rPr>
      <w:rFonts w:ascii="Franklin Gothic Demi" w:hAnsi="Franklin Gothic Demi" w:cs="Franklin Gothic Demi"/>
      <w:color w:val="000000"/>
      <w:sz w:val="24"/>
      <w:szCs w:val="24"/>
      <w:lang w:eastAsia="en-US"/>
    </w:rPr>
  </w:style>
  <w:style w:type="character" w:customStyle="1" w:styleId="bodytextChar0">
    <w:name w:val="body text Char"/>
    <w:basedOn w:val="DefaultParagraphFont"/>
    <w:link w:val="BodyText1"/>
    <w:uiPriority w:val="99"/>
    <w:locked/>
    <w:rsid w:val="0076684B"/>
    <w:rPr>
      <w:rFonts w:ascii="Times New Roman" w:hAnsi="Times New Roman" w:cs="Times New Roman"/>
      <w:sz w:val="24"/>
      <w:szCs w:val="24"/>
      <w:lang w:val="en-US" w:eastAsia="en-US"/>
    </w:rPr>
  </w:style>
  <w:style w:type="paragraph" w:customStyle="1" w:styleId="BodyText1">
    <w:name w:val="Body Text1"/>
    <w:basedOn w:val="Normal"/>
    <w:link w:val="bodytextChar0"/>
    <w:uiPriority w:val="99"/>
    <w:rsid w:val="0076684B"/>
    <w:pPr>
      <w:spacing w:before="120" w:after="120"/>
      <w:ind w:firstLine="720"/>
      <w:jc w:val="both"/>
    </w:pPr>
    <w:rPr>
      <w:rFonts w:eastAsiaTheme="minorHAnsi"/>
      <w:sz w:val="24"/>
      <w:lang w:val="en-US" w:eastAsia="en-US"/>
    </w:rPr>
  </w:style>
  <w:style w:type="paragraph" w:customStyle="1" w:styleId="CharCharCharCharCharCharCharChar">
    <w:name w:val="Char Char Char Char Char Char Char Char"/>
    <w:basedOn w:val="Normal"/>
    <w:rsid w:val="00504102"/>
    <w:pPr>
      <w:spacing w:after="160" w:line="240" w:lineRule="exact"/>
    </w:pPr>
    <w:rPr>
      <w:rFonts w:eastAsia="Times New Roman" w:cs="Arial"/>
      <w:szCs w:val="20"/>
      <w:lang w:val="de-CH" w:eastAsia="en-US"/>
    </w:rPr>
  </w:style>
  <w:style w:type="numbering" w:customStyle="1" w:styleId="StyleSymbolsymbol11ptLeft0cmHanging063cm">
    <w:name w:val="Style Symbol (symbol) 11 pt Left:  0 cm Hanging:  0.63 cm"/>
    <w:basedOn w:val="NoList"/>
    <w:rsid w:val="00027C06"/>
    <w:pPr>
      <w:numPr>
        <w:numId w:val="37"/>
      </w:numPr>
    </w:pPr>
  </w:style>
  <w:style w:type="paragraph" w:customStyle="1" w:styleId="Pa1">
    <w:name w:val="Pa1"/>
    <w:basedOn w:val="Default"/>
    <w:next w:val="Default"/>
    <w:uiPriority w:val="99"/>
    <w:rsid w:val="007A5230"/>
    <w:pPr>
      <w:spacing w:line="191" w:lineRule="atLeast"/>
    </w:pPr>
    <w:rPr>
      <w:rFonts w:ascii="Helvetica 55 Roman" w:hAnsi="Helvetica 55 Roman" w:cstheme="minorBidi"/>
      <w:color w:val="auto"/>
      <w:lang w:eastAsia="en-AU"/>
    </w:rPr>
  </w:style>
  <w:style w:type="character" w:customStyle="1" w:styleId="A8">
    <w:name w:val="A8"/>
    <w:uiPriority w:val="99"/>
    <w:rsid w:val="007A5230"/>
    <w:rPr>
      <w:rFonts w:cs="Helvetica 55 Roman"/>
      <w:color w:val="000000"/>
      <w:sz w:val="11"/>
      <w:szCs w:val="11"/>
    </w:rPr>
  </w:style>
  <w:style w:type="paragraph" w:customStyle="1" w:styleId="Pa25">
    <w:name w:val="Pa25"/>
    <w:basedOn w:val="Default"/>
    <w:next w:val="Default"/>
    <w:uiPriority w:val="99"/>
    <w:rsid w:val="00DC3AE5"/>
    <w:pPr>
      <w:spacing w:line="191" w:lineRule="atLeast"/>
    </w:pPr>
    <w:rPr>
      <w:rFonts w:ascii="Helvetica 55 Roman" w:hAnsi="Helvetica 55 Roman" w:cstheme="minorBidi"/>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1156">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198786895">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74362315">
      <w:bodyDiv w:val="1"/>
      <w:marLeft w:val="0"/>
      <w:marRight w:val="0"/>
      <w:marTop w:val="0"/>
      <w:marBottom w:val="0"/>
      <w:divBdr>
        <w:top w:val="none" w:sz="0" w:space="0" w:color="auto"/>
        <w:left w:val="none" w:sz="0" w:space="0" w:color="auto"/>
        <w:bottom w:val="none" w:sz="0" w:space="0" w:color="auto"/>
        <w:right w:val="none" w:sz="0" w:space="0" w:color="auto"/>
      </w:divBdr>
    </w:div>
    <w:div w:id="623656496">
      <w:bodyDiv w:val="1"/>
      <w:marLeft w:val="0"/>
      <w:marRight w:val="0"/>
      <w:marTop w:val="0"/>
      <w:marBottom w:val="0"/>
      <w:divBdr>
        <w:top w:val="none" w:sz="0" w:space="0" w:color="auto"/>
        <w:left w:val="none" w:sz="0" w:space="0" w:color="auto"/>
        <w:bottom w:val="none" w:sz="0" w:space="0" w:color="auto"/>
        <w:right w:val="none" w:sz="0" w:space="0" w:color="auto"/>
      </w:divBdr>
    </w:div>
    <w:div w:id="629626278">
      <w:bodyDiv w:val="1"/>
      <w:marLeft w:val="0"/>
      <w:marRight w:val="0"/>
      <w:marTop w:val="0"/>
      <w:marBottom w:val="0"/>
      <w:divBdr>
        <w:top w:val="none" w:sz="0" w:space="0" w:color="auto"/>
        <w:left w:val="none" w:sz="0" w:space="0" w:color="auto"/>
        <w:bottom w:val="none" w:sz="0" w:space="0" w:color="auto"/>
        <w:right w:val="none" w:sz="0" w:space="0" w:color="auto"/>
      </w:divBdr>
    </w:div>
    <w:div w:id="658003492">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5263133">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331042">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3059098">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63225160">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09364572">
      <w:bodyDiv w:val="1"/>
      <w:marLeft w:val="0"/>
      <w:marRight w:val="0"/>
      <w:marTop w:val="0"/>
      <w:marBottom w:val="0"/>
      <w:divBdr>
        <w:top w:val="none" w:sz="0" w:space="0" w:color="auto"/>
        <w:left w:val="none" w:sz="0" w:space="0" w:color="auto"/>
        <w:bottom w:val="none" w:sz="0" w:space="0" w:color="auto"/>
        <w:right w:val="none" w:sz="0" w:space="0" w:color="auto"/>
      </w:divBdr>
    </w:div>
    <w:div w:id="1625429539">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467899">
      <w:bodyDiv w:val="1"/>
      <w:marLeft w:val="0"/>
      <w:marRight w:val="0"/>
      <w:marTop w:val="0"/>
      <w:marBottom w:val="0"/>
      <w:divBdr>
        <w:top w:val="none" w:sz="0" w:space="0" w:color="auto"/>
        <w:left w:val="none" w:sz="0" w:space="0" w:color="auto"/>
        <w:bottom w:val="none" w:sz="0" w:space="0" w:color="auto"/>
        <w:right w:val="none" w:sz="0" w:space="0" w:color="auto"/>
      </w:divBdr>
    </w:div>
    <w:div w:id="1821145658">
      <w:bodyDiv w:val="1"/>
      <w:marLeft w:val="0"/>
      <w:marRight w:val="0"/>
      <w:marTop w:val="0"/>
      <w:marBottom w:val="0"/>
      <w:divBdr>
        <w:top w:val="none" w:sz="0" w:space="0" w:color="auto"/>
        <w:left w:val="none" w:sz="0" w:space="0" w:color="auto"/>
        <w:bottom w:val="none" w:sz="0" w:space="0" w:color="auto"/>
        <w:right w:val="none" w:sz="0" w:space="0" w:color="auto"/>
      </w:divBdr>
    </w:div>
    <w:div w:id="1846360234">
      <w:bodyDiv w:val="1"/>
      <w:marLeft w:val="0"/>
      <w:marRight w:val="0"/>
      <w:marTop w:val="0"/>
      <w:marBottom w:val="0"/>
      <w:divBdr>
        <w:top w:val="none" w:sz="0" w:space="0" w:color="auto"/>
        <w:left w:val="none" w:sz="0" w:space="0" w:color="auto"/>
        <w:bottom w:val="none" w:sz="0" w:space="0" w:color="auto"/>
        <w:right w:val="none" w:sz="0" w:space="0" w:color="auto"/>
      </w:divBdr>
    </w:div>
    <w:div w:id="1940671640">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b:Source>
    <b:Tag>ODE14</b:Tag>
    <b:SourceType>Report</b:SourceType>
    <b:Guid>{D28140E0-DF89-4FA4-9EDE-492FC87A7D35}</b:Guid>
    <b:Title>2013 QAI Review</b:Title>
    <b:Year>2014</b:Year>
    <b:Publisher>DFAT </b:Publisher>
    <b:Author>
      <b:Author>
        <b:NameList>
          <b:Person>
            <b:Last>ODE</b:Last>
          </b:Person>
        </b:NameList>
      </b:Author>
    </b:Autho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68442-E603-4D40-B6F1-B503CC657322}"/>
</file>

<file path=customXml/itemProps2.xml><?xml version="1.0" encoding="utf-8"?>
<ds:datastoreItem xmlns:ds="http://schemas.openxmlformats.org/officeDocument/2006/customXml" ds:itemID="{88377893-0576-41EA-AD79-70DAFCCA8D68}"/>
</file>

<file path=customXml/itemProps3.xml><?xml version="1.0" encoding="utf-8"?>
<ds:datastoreItem xmlns:ds="http://schemas.openxmlformats.org/officeDocument/2006/customXml" ds:itemID="{AA36FCE5-95A3-4C5E-9299-B38E66976D67}"/>
</file>

<file path=customXml/itemProps4.xml><?xml version="1.0" encoding="utf-8"?>
<ds:datastoreItem xmlns:ds="http://schemas.openxmlformats.org/officeDocument/2006/customXml" ds:itemID="{C3AAF89C-45E4-4A34-BFB1-E40FB0056BF0}"/>
</file>

<file path=docProps/app.xml><?xml version="1.0" encoding="utf-8"?>
<Properties xmlns="http://schemas.openxmlformats.org/officeDocument/2006/extended-properties" xmlns:vt="http://schemas.openxmlformats.org/officeDocument/2006/docPropsVTypes">
  <Template>CA5F15AC</Template>
  <TotalTime>0</TotalTime>
  <Pages>28</Pages>
  <Words>10049</Words>
  <Characters>57281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2014-10-29T00:09:00Z</dcterms:created>
  <dcterms:modified xsi:type="dcterms:W3CDTF">2014-10-29T00:09:00Z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