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32B17" w14:textId="538AE2C0" w:rsidR="0050529F" w:rsidRPr="00D17249" w:rsidRDefault="00CF556F" w:rsidP="00A14FE9">
      <w:pPr>
        <w:pStyle w:val="Title"/>
        <w:ind w:right="-171"/>
      </w:pPr>
      <w:r w:rsidRPr="00CA6DB6">
        <w:t>Aid Program Performance Report 2012</w:t>
      </w:r>
      <w:r w:rsidRPr="00052BF3">
        <w:t>−</w:t>
      </w:r>
      <w:r w:rsidRPr="00CA6DB6">
        <w:t xml:space="preserve">13 </w:t>
      </w:r>
      <w:r w:rsidR="00565635">
        <w:t>Vietnam</w:t>
      </w:r>
      <w:r w:rsidR="0050529F" w:rsidRPr="00D17249">
        <w:t xml:space="preserve"> </w:t>
      </w:r>
    </w:p>
    <w:p w14:paraId="56842B37" w14:textId="77777777" w:rsidR="00180B19" w:rsidRPr="0007395B" w:rsidRDefault="00180B19" w:rsidP="0007395B">
      <w:pPr>
        <w:pStyle w:val="Heading1"/>
      </w:pPr>
      <w:r w:rsidRPr="0007395B">
        <w:t xml:space="preserve">Key </w:t>
      </w:r>
      <w:r w:rsidR="00710337" w:rsidRPr="0007395B">
        <w:t>messages</w:t>
      </w:r>
    </w:p>
    <w:p w14:paraId="277AB612" w14:textId="77777777" w:rsidR="00180B19" w:rsidRDefault="00180B19" w:rsidP="0007395B">
      <w:pPr>
        <w:pStyle w:val="BodyText"/>
      </w:pPr>
      <w:r w:rsidRPr="008810FA">
        <w:t xml:space="preserve">This report summarises the aid program’s progress </w:t>
      </w:r>
      <w:r w:rsidR="00383F3F">
        <w:t xml:space="preserve">from January 2012 to 30 June 2013 </w:t>
      </w:r>
      <w:r w:rsidRPr="008810FA">
        <w:t xml:space="preserve">in </w:t>
      </w:r>
      <w:r w:rsidR="00383F3F">
        <w:t>Vietnam.</w:t>
      </w:r>
      <w:r w:rsidRPr="008810FA">
        <w:t xml:space="preserve"> </w:t>
      </w:r>
    </w:p>
    <w:p w14:paraId="2014FEDA" w14:textId="77777777" w:rsidR="00A9333E" w:rsidRDefault="00A9333E" w:rsidP="0007395B">
      <w:pPr>
        <w:pStyle w:val="BodyText"/>
      </w:pPr>
      <w:r>
        <w:t>Australia is the sixth largest donor to Vietnam.</w:t>
      </w:r>
      <w:r w:rsidR="00710337">
        <w:t xml:space="preserve"> </w:t>
      </w:r>
      <w:r>
        <w:t xml:space="preserve">Australian </w:t>
      </w:r>
      <w:r w:rsidR="00710337">
        <w:t xml:space="preserve">official development assistance </w:t>
      </w:r>
      <w:r>
        <w:t>in 2012</w:t>
      </w:r>
      <w:r w:rsidR="00710337">
        <w:t>–</w:t>
      </w:r>
      <w:r>
        <w:t>13 is estimated to be $153.1 million.</w:t>
      </w:r>
      <w:r w:rsidR="00710337">
        <w:t xml:space="preserve"> </w:t>
      </w:r>
      <w:r>
        <w:t xml:space="preserve">Bilateral programs are complemented by regional development assistance including through </w:t>
      </w:r>
      <w:r w:rsidR="00710337">
        <w:t>Association of Southeast Asian Nations (</w:t>
      </w:r>
      <w:r>
        <w:t>ASEAN</w:t>
      </w:r>
      <w:r w:rsidR="00710337">
        <w:t>)</w:t>
      </w:r>
      <w:r>
        <w:t xml:space="preserve"> and the Mekong River Commission</w:t>
      </w:r>
      <w:r w:rsidR="00710337">
        <w:t>,</w:t>
      </w:r>
      <w:r>
        <w:t xml:space="preserve"> as well as other Australian </w:t>
      </w:r>
      <w:r w:rsidR="00710337">
        <w:t>G</w:t>
      </w:r>
      <w:r>
        <w:t>overnment agencies such as the Australian Centre for International Agricultural Research.</w:t>
      </w:r>
    </w:p>
    <w:p w14:paraId="6C09A473" w14:textId="77777777" w:rsidR="00A9333E" w:rsidRDefault="00A9333E" w:rsidP="0007395B">
      <w:pPr>
        <w:pStyle w:val="BodyText"/>
      </w:pPr>
      <w:r>
        <w:t>Key achievements in 2012</w:t>
      </w:r>
      <w:r w:rsidR="00710337">
        <w:t>–</w:t>
      </w:r>
      <w:r>
        <w:t>13 include:</w:t>
      </w:r>
    </w:p>
    <w:p w14:paraId="3FA40136" w14:textId="624104BD" w:rsidR="00A9333E" w:rsidRDefault="00710337" w:rsidP="0007395B">
      <w:pPr>
        <w:pStyle w:val="ListBullet"/>
      </w:pPr>
      <w:r>
        <w:t>helping a</w:t>
      </w:r>
      <w:r w:rsidR="00A9333E" w:rsidRPr="00A9333E">
        <w:t>n additional 115</w:t>
      </w:r>
      <w:r>
        <w:t xml:space="preserve"> </w:t>
      </w:r>
      <w:r w:rsidR="00A9333E" w:rsidRPr="00A9333E">
        <w:t xml:space="preserve">000 people access clean water </w:t>
      </w:r>
    </w:p>
    <w:p w14:paraId="11CF3968" w14:textId="47FB2ADC" w:rsidR="00A9333E" w:rsidRDefault="00710337" w:rsidP="0007395B">
      <w:pPr>
        <w:pStyle w:val="ListBullet"/>
      </w:pPr>
      <w:r>
        <w:t xml:space="preserve">providing increased access </w:t>
      </w:r>
      <w:r w:rsidRPr="00A9333E">
        <w:t xml:space="preserve">to basic sanitation </w:t>
      </w:r>
      <w:r>
        <w:t xml:space="preserve">for an </w:t>
      </w:r>
      <w:r w:rsidR="00A9333E">
        <w:t>a</w:t>
      </w:r>
      <w:r w:rsidR="00A9333E" w:rsidRPr="00A9333E">
        <w:t>dditional 155</w:t>
      </w:r>
      <w:r>
        <w:t xml:space="preserve"> </w:t>
      </w:r>
      <w:r w:rsidR="00A9333E" w:rsidRPr="00A9333E">
        <w:t xml:space="preserve">000 people </w:t>
      </w:r>
    </w:p>
    <w:p w14:paraId="55D9F484" w14:textId="70C16B85" w:rsidR="00A9333E" w:rsidRPr="000D1993" w:rsidRDefault="00710337" w:rsidP="0007395B">
      <w:pPr>
        <w:pStyle w:val="ListBullet"/>
      </w:pPr>
      <w:r w:rsidRPr="000D1993">
        <w:t>construct</w:t>
      </w:r>
      <w:r>
        <w:t xml:space="preserve">ing </w:t>
      </w:r>
      <w:r w:rsidR="00B15829" w:rsidRPr="000D1993">
        <w:t>13</w:t>
      </w:r>
      <w:r w:rsidR="00A9333E" w:rsidRPr="000D1993">
        <w:t xml:space="preserve"> </w:t>
      </w:r>
      <w:r w:rsidRPr="000D1993">
        <w:t>k</w:t>
      </w:r>
      <w:r>
        <w:t xml:space="preserve">ilometres </w:t>
      </w:r>
      <w:r w:rsidR="00A9333E" w:rsidRPr="000D1993">
        <w:t>of rural roads</w:t>
      </w:r>
    </w:p>
    <w:p w14:paraId="25864C76" w14:textId="4769B8D1" w:rsidR="00A9333E" w:rsidRPr="00A9333E" w:rsidRDefault="00710337" w:rsidP="0007395B">
      <w:pPr>
        <w:pStyle w:val="ListBullet"/>
      </w:pPr>
      <w:r>
        <w:t xml:space="preserve">awarding </w:t>
      </w:r>
      <w:r w:rsidR="0030318A">
        <w:t>452</w:t>
      </w:r>
      <w:r w:rsidR="00A9333E" w:rsidRPr="000D1993">
        <w:t xml:space="preserve"> tertiary</w:t>
      </w:r>
      <w:r w:rsidR="00A9333E" w:rsidRPr="006659FF">
        <w:t xml:space="preserve"> scholarships to Vietnamese</w:t>
      </w:r>
      <w:r w:rsidR="00A9333E">
        <w:t xml:space="preserve"> students, </w:t>
      </w:r>
      <w:r w:rsidR="001A374B">
        <w:t xml:space="preserve">of which </w:t>
      </w:r>
      <w:r w:rsidR="000D1993">
        <w:t>6</w:t>
      </w:r>
      <w:r w:rsidR="0030318A">
        <w:t>1</w:t>
      </w:r>
      <w:r w:rsidR="00A9333E" w:rsidRPr="006659FF">
        <w:t xml:space="preserve"> per cent were women</w:t>
      </w:r>
      <w:r w:rsidR="00A9333E">
        <w:t xml:space="preserve"> </w:t>
      </w:r>
    </w:p>
    <w:p w14:paraId="2C3022E9" w14:textId="77777777" w:rsidR="00A9333E" w:rsidRPr="000D1993" w:rsidRDefault="00710337" w:rsidP="0007395B">
      <w:pPr>
        <w:pStyle w:val="ListBullet"/>
      </w:pPr>
      <w:r>
        <w:t xml:space="preserve">commencing </w:t>
      </w:r>
      <w:r w:rsidR="00A9333E">
        <w:t xml:space="preserve">six new </w:t>
      </w:r>
      <w:r w:rsidR="00A33B7B">
        <w:t xml:space="preserve">community-based climate change action grants that </w:t>
      </w:r>
      <w:r w:rsidR="00A9333E">
        <w:t>will directly assist 270</w:t>
      </w:r>
      <w:r>
        <w:t xml:space="preserve"> </w:t>
      </w:r>
      <w:r w:rsidR="00A9333E">
        <w:t>000 people to build resilience to climate change and natural disasters</w:t>
      </w:r>
      <w:r>
        <w:t>.</w:t>
      </w:r>
    </w:p>
    <w:p w14:paraId="4DB80887" w14:textId="77777777" w:rsidR="00180B19" w:rsidRPr="0007395B" w:rsidRDefault="00180B19" w:rsidP="0007395B">
      <w:pPr>
        <w:pStyle w:val="Heading1"/>
      </w:pPr>
      <w:r w:rsidRPr="0007395B">
        <w:t xml:space="preserve">Context </w:t>
      </w:r>
    </w:p>
    <w:p w14:paraId="282C129D" w14:textId="77777777" w:rsidR="004F0C2D" w:rsidRDefault="004F0C2D" w:rsidP="0007395B">
      <w:pPr>
        <w:pStyle w:val="BodyText"/>
      </w:pPr>
      <w:r w:rsidRPr="000D1993">
        <w:t xml:space="preserve">Vietnam is </w:t>
      </w:r>
      <w:r w:rsidR="00755D95" w:rsidRPr="000D1993">
        <w:t xml:space="preserve">considered </w:t>
      </w:r>
      <w:r w:rsidRPr="000D1993">
        <w:t xml:space="preserve">a </w:t>
      </w:r>
      <w:r w:rsidR="00755D95" w:rsidRPr="000D1993">
        <w:t>d</w:t>
      </w:r>
      <w:r w:rsidRPr="000D1993">
        <w:t xml:space="preserve">evelopment </w:t>
      </w:r>
      <w:r w:rsidR="00755D95" w:rsidRPr="000D1993">
        <w:t>s</w:t>
      </w:r>
      <w:r w:rsidRPr="000D1993">
        <w:t xml:space="preserve">uccess </w:t>
      </w:r>
      <w:r w:rsidR="00755D95" w:rsidRPr="000D1993">
        <w:t>s</w:t>
      </w:r>
      <w:r w:rsidRPr="000D1993">
        <w:t>tory.</w:t>
      </w:r>
      <w:r w:rsidR="00710337">
        <w:t xml:space="preserve"> </w:t>
      </w:r>
      <w:r w:rsidRPr="000D1993">
        <w:t>Political and economic reforms launched in 1986 have transformed Vietnam from one of the poorest countries in the world</w:t>
      </w:r>
      <w:r w:rsidR="00710337" w:rsidRPr="00710337">
        <w:t xml:space="preserve"> </w:t>
      </w:r>
      <w:r w:rsidR="00710337" w:rsidRPr="000D1993">
        <w:t>with per capita income below US</w:t>
      </w:r>
      <w:r w:rsidR="00710337">
        <w:t>D</w:t>
      </w:r>
      <w:r w:rsidR="00710337" w:rsidRPr="000D1993">
        <w:t>100</w:t>
      </w:r>
      <w:r w:rsidR="00710337">
        <w:t xml:space="preserve"> to––</w:t>
      </w:r>
      <w:r w:rsidR="00710337" w:rsidRPr="000D1993">
        <w:t>within a quarter of a century</w:t>
      </w:r>
      <w:r w:rsidR="00710337">
        <w:t>––</w:t>
      </w:r>
      <w:r w:rsidRPr="000D1993">
        <w:t>a lower middle-income country.</w:t>
      </w:r>
      <w:r w:rsidR="00710337">
        <w:t xml:space="preserve"> </w:t>
      </w:r>
      <w:r w:rsidRPr="000D1993">
        <w:t>Per capita income at the end of 2010 was US</w:t>
      </w:r>
      <w:r w:rsidR="00710337">
        <w:t>D</w:t>
      </w:r>
      <w:r w:rsidRPr="000D1993">
        <w:t>1130.</w:t>
      </w:r>
      <w:r w:rsidR="00710337">
        <w:t xml:space="preserve"> </w:t>
      </w:r>
      <w:r w:rsidRPr="000D1993">
        <w:t xml:space="preserve">The poverty </w:t>
      </w:r>
      <w:r w:rsidR="002A15F4">
        <w:t xml:space="preserve">rate </w:t>
      </w:r>
      <w:r w:rsidR="00755D95" w:rsidRPr="000D1993">
        <w:t xml:space="preserve">has declined from 58 </w:t>
      </w:r>
      <w:r w:rsidR="004E6924">
        <w:t>per cent</w:t>
      </w:r>
      <w:r w:rsidR="00755D95" w:rsidRPr="000D1993">
        <w:t xml:space="preserve"> in the early 1990s to 14.5</w:t>
      </w:r>
      <w:r w:rsidR="007069F7">
        <w:t xml:space="preserve"> per cent</w:t>
      </w:r>
      <w:r w:rsidR="00755D95" w:rsidRPr="000D1993">
        <w:t xml:space="preserve"> in 2008 and below 10</w:t>
      </w:r>
      <w:r w:rsidR="007069F7">
        <w:t xml:space="preserve"> per cent</w:t>
      </w:r>
      <w:r w:rsidR="00755D95" w:rsidRPr="000D1993">
        <w:t xml:space="preserve"> by 2010</w:t>
      </w:r>
      <w:r w:rsidR="00D22C33">
        <w:t>.</w:t>
      </w:r>
      <w:r w:rsidR="00710337">
        <w:t xml:space="preserve"> </w:t>
      </w:r>
      <w:r w:rsidR="00D22C33">
        <w:t>M</w:t>
      </w:r>
      <w:r w:rsidR="00755D95" w:rsidRPr="000D1993">
        <w:t xml:space="preserve">ost indicators of </w:t>
      </w:r>
      <w:r w:rsidRPr="000D1993">
        <w:t>welfare have improved.</w:t>
      </w:r>
      <w:r w:rsidR="00710337">
        <w:t xml:space="preserve"> </w:t>
      </w:r>
      <w:r w:rsidRPr="000D1993">
        <w:t xml:space="preserve">Vietnam has already attained five of its </w:t>
      </w:r>
      <w:r w:rsidR="00710337">
        <w:t>10</w:t>
      </w:r>
      <w:r w:rsidR="00710337" w:rsidRPr="000D1993">
        <w:t xml:space="preserve"> </w:t>
      </w:r>
      <w:r w:rsidRPr="000D1993">
        <w:t xml:space="preserve">original Millennium Development Goal </w:t>
      </w:r>
      <w:r w:rsidR="00270898">
        <w:t xml:space="preserve">(MDG) </w:t>
      </w:r>
      <w:r w:rsidRPr="000D1993">
        <w:t xml:space="preserve">targets and is well on its way to attaining two more by 2015. </w:t>
      </w:r>
    </w:p>
    <w:p w14:paraId="5C72E89C" w14:textId="77777777" w:rsidR="00755D95" w:rsidRDefault="004F0C2D" w:rsidP="0007395B">
      <w:pPr>
        <w:pStyle w:val="BodyText"/>
      </w:pPr>
      <w:r w:rsidRPr="000D1993">
        <w:t xml:space="preserve">Despite Vietnam’s achievements over past decades, there are growing concerns about the economy’s competitiveness and the sustainability and inclusiveness of its recent development path. Infrastructure gaps, weak </w:t>
      </w:r>
      <w:r w:rsidR="002A15F4" w:rsidRPr="000D1993">
        <w:t>labour</w:t>
      </w:r>
      <w:r w:rsidRPr="000D1993">
        <w:t xml:space="preserve"> skills and inefficiency in government system</w:t>
      </w:r>
      <w:r w:rsidR="00755D95" w:rsidRPr="000D1993">
        <w:t>s</w:t>
      </w:r>
      <w:r w:rsidRPr="000D1993">
        <w:t xml:space="preserve"> contribute to high costs of doing business. Sustain</w:t>
      </w:r>
      <w:r w:rsidR="00D22C33">
        <w:t>ed</w:t>
      </w:r>
      <w:r w:rsidRPr="000D1993">
        <w:t xml:space="preserve"> growth is threatened by inefficient and unsustainable use of natural </w:t>
      </w:r>
      <w:r w:rsidR="00D22C33">
        <w:t>resources</w:t>
      </w:r>
      <w:r w:rsidRPr="000D1993">
        <w:t xml:space="preserve"> and by </w:t>
      </w:r>
      <w:r w:rsidR="00D22C33">
        <w:t>areas</w:t>
      </w:r>
      <w:r w:rsidRPr="000D1993">
        <w:t xml:space="preserve"> </w:t>
      </w:r>
      <w:r w:rsidR="00D22C33">
        <w:t xml:space="preserve">of </w:t>
      </w:r>
      <w:r w:rsidRPr="000D1993">
        <w:t>environment</w:t>
      </w:r>
      <w:r w:rsidR="00D22C33">
        <w:t>al damage</w:t>
      </w:r>
      <w:r w:rsidRPr="000D1993">
        <w:t>.</w:t>
      </w:r>
    </w:p>
    <w:p w14:paraId="5E70AA36" w14:textId="6BB70D35" w:rsidR="00106185" w:rsidRDefault="009006D2" w:rsidP="0007395B">
      <w:pPr>
        <w:pStyle w:val="BodyText"/>
      </w:pPr>
      <w:r w:rsidRPr="000D1993">
        <w:t xml:space="preserve">Vietnam has experienced </w:t>
      </w:r>
      <w:r w:rsidR="002126BA" w:rsidRPr="000D1993">
        <w:t>high and sustained rates of economic growth over the last two decades</w:t>
      </w:r>
      <w:r w:rsidR="00755D95" w:rsidRPr="000D1993">
        <w:t>.</w:t>
      </w:r>
      <w:r w:rsidR="00710337">
        <w:t xml:space="preserve"> </w:t>
      </w:r>
      <w:r w:rsidR="002126BA" w:rsidRPr="000D1993">
        <w:t xml:space="preserve">However, over the past </w:t>
      </w:r>
      <w:r w:rsidR="009163AF">
        <w:t>few</w:t>
      </w:r>
      <w:r w:rsidR="002126BA" w:rsidRPr="000D1993">
        <w:t xml:space="preserve"> years, the </w:t>
      </w:r>
      <w:r w:rsidR="00106185" w:rsidRPr="000D1993">
        <w:t>rate of economic growth has slowed, in part due to external factors, but also as a result of recurring bouts of high in</w:t>
      </w:r>
      <w:r w:rsidR="002126BA" w:rsidRPr="000D1993">
        <w:t>flation and macro instability. G</w:t>
      </w:r>
      <w:r w:rsidR="00335F19">
        <w:t>ross domestic product (G</w:t>
      </w:r>
      <w:r w:rsidR="002126BA" w:rsidRPr="000D1993">
        <w:t>DP</w:t>
      </w:r>
      <w:r w:rsidR="00335F19">
        <w:t>)</w:t>
      </w:r>
      <w:r w:rsidR="002126BA" w:rsidRPr="000D1993">
        <w:t xml:space="preserve"> growth slowed to </w:t>
      </w:r>
      <w:r w:rsidR="003C288C">
        <w:t xml:space="preserve">five </w:t>
      </w:r>
      <w:r w:rsidR="007069F7">
        <w:t>per cent</w:t>
      </w:r>
      <w:r w:rsidR="002126BA" w:rsidRPr="000D1993">
        <w:t xml:space="preserve"> in 2012, the slowest in 13 years, as fiscal and monetary tightening in 2011 continued to have an impact.</w:t>
      </w:r>
      <w:r w:rsidR="00710337">
        <w:t xml:space="preserve"> </w:t>
      </w:r>
      <w:r w:rsidR="002126BA" w:rsidRPr="000D1993">
        <w:t>V</w:t>
      </w:r>
      <w:r w:rsidR="00106185" w:rsidRPr="000D1993">
        <w:t>ietnam started to articulate a series of structural reforms in 2011 that aim</w:t>
      </w:r>
      <w:r w:rsidR="003C288C">
        <w:t>ed</w:t>
      </w:r>
      <w:r w:rsidR="00106185" w:rsidRPr="000D1993">
        <w:t xml:space="preserve"> to get the economy back on a path of rapid and sustainable economic growth.</w:t>
      </w:r>
      <w:r w:rsidR="00710337">
        <w:t xml:space="preserve"> </w:t>
      </w:r>
      <w:r w:rsidR="002126BA" w:rsidRPr="000D1993">
        <w:t>GDP growth is forecast at 5.2</w:t>
      </w:r>
      <w:r w:rsidR="007069F7">
        <w:t xml:space="preserve"> per cent</w:t>
      </w:r>
      <w:r w:rsidR="002126BA" w:rsidRPr="000D1993">
        <w:t xml:space="preserve"> in </w:t>
      </w:r>
      <w:r w:rsidR="002126BA" w:rsidRPr="000D1993">
        <w:lastRenderedPageBreak/>
        <w:t>2013, increasing to 5.6</w:t>
      </w:r>
      <w:r w:rsidR="007069F7">
        <w:t xml:space="preserve"> per cent</w:t>
      </w:r>
      <w:r w:rsidR="002126BA" w:rsidRPr="000D1993">
        <w:t xml:space="preserve"> in 2014 if progress is made in strengthening the banking sector and recovery in major industrial economies gathers momentum.</w:t>
      </w:r>
      <w:r w:rsidR="00710337">
        <w:t xml:space="preserve"> </w:t>
      </w:r>
      <w:r w:rsidR="002126BA" w:rsidRPr="000D1993">
        <w:t>Sustaining foreign direct investment inflows and maintaining competitiveness requires intensified efforts to reform banking, state-owned enterprises and the business environment.</w:t>
      </w:r>
    </w:p>
    <w:p w14:paraId="3C82071C" w14:textId="68829061" w:rsidR="000D1993" w:rsidRDefault="00D22C33" w:rsidP="0007395B">
      <w:pPr>
        <w:pStyle w:val="BodyText"/>
      </w:pPr>
      <w:r>
        <w:t>Economic g</w:t>
      </w:r>
      <w:r w:rsidRPr="000D1993">
        <w:t xml:space="preserve">rowth has not lifted all </w:t>
      </w:r>
      <w:r>
        <w:t>p</w:t>
      </w:r>
      <w:r w:rsidRPr="000D1993">
        <w:t>eople</w:t>
      </w:r>
      <w:r>
        <w:t xml:space="preserve"> out of poverty</w:t>
      </w:r>
      <w:r w:rsidRPr="000D1993">
        <w:t>.</w:t>
      </w:r>
      <w:r w:rsidR="00710337">
        <w:t xml:space="preserve"> </w:t>
      </w:r>
      <w:r w:rsidRPr="000D1993">
        <w:t>The World Bank and Government Statistics Office have constructed a new poverty line</w:t>
      </w:r>
      <w:r w:rsidR="009163AF">
        <w:t>,</w:t>
      </w:r>
      <w:r w:rsidRPr="000D1993">
        <w:t xml:space="preserve"> which reports that in 2010, 20.7</w:t>
      </w:r>
      <w:r>
        <w:t xml:space="preserve"> per cent</w:t>
      </w:r>
      <w:r w:rsidRPr="000D1993">
        <w:t xml:space="preserve"> of the population lived in poverty and </w:t>
      </w:r>
      <w:r w:rsidR="003C288C">
        <w:t>eight</w:t>
      </w:r>
      <w:r w:rsidR="003C288C" w:rsidRPr="000D1993">
        <w:t xml:space="preserve"> </w:t>
      </w:r>
      <w:r w:rsidRPr="000D1993">
        <w:t>per cent lived in extreme poverty.</w:t>
      </w:r>
      <w:r w:rsidR="00710337">
        <w:t xml:space="preserve"> </w:t>
      </w:r>
      <w:r w:rsidRPr="000D1993">
        <w:t>Poverty is greatest in rural areas with ethnic minorities accounting for 47</w:t>
      </w:r>
      <w:r>
        <w:t xml:space="preserve"> per cent</w:t>
      </w:r>
      <w:r w:rsidRPr="000D1993">
        <w:t xml:space="preserve"> of the total poor.</w:t>
      </w:r>
      <w:r w:rsidR="00710337">
        <w:t xml:space="preserve"> </w:t>
      </w:r>
      <w:r>
        <w:t>Poverty inequities have increased between rural and urban areas, between ethnic minorities and majority groups</w:t>
      </w:r>
      <w:r w:rsidR="003C288C">
        <w:t>,</w:t>
      </w:r>
      <w:r>
        <w:t xml:space="preserve"> and between regions.</w:t>
      </w:r>
      <w:r w:rsidR="00710337">
        <w:t xml:space="preserve"> </w:t>
      </w:r>
      <w:r>
        <w:t>Rising inequality undermines poverty reduction.</w:t>
      </w:r>
      <w:r w:rsidR="00710337">
        <w:t xml:space="preserve"> </w:t>
      </w:r>
      <w:r w:rsidR="0079307B">
        <w:t>The pace</w:t>
      </w:r>
      <w:r w:rsidRPr="000D1993">
        <w:t xml:space="preserve"> of poverty reduction has slowed, with poverty now heavily concentrated among ethnic minorities. Vietnam’s economy and its households are also increasingly vulnerable to macroeconomic instability and adverse climatic shocks.</w:t>
      </w:r>
      <w:r w:rsidR="0005506B" w:rsidRPr="000D1993">
        <w:t xml:space="preserve"> </w:t>
      </w:r>
    </w:p>
    <w:p w14:paraId="30E1CFEE" w14:textId="77777777" w:rsidR="00A45B60" w:rsidRDefault="00A45B60" w:rsidP="0007395B">
      <w:pPr>
        <w:pStyle w:val="BodyText"/>
      </w:pPr>
      <w:r>
        <w:t xml:space="preserve">While Vietnam has made good progress on gender equality in general, ongoing areas of concern include HIV/AIDS, gender violence, poverty among elderly women in rural areas, and primary education enrolment rates among particular </w:t>
      </w:r>
      <w:r w:rsidR="00EA6D03">
        <w:t>ethnic minority groups.</w:t>
      </w:r>
      <w:r w:rsidR="00710337">
        <w:t xml:space="preserve"> </w:t>
      </w:r>
      <w:r>
        <w:t>There is a lack of reliable data on people with disabilit</w:t>
      </w:r>
      <w:r w:rsidR="003C288C">
        <w:t>y</w:t>
      </w:r>
      <w:r>
        <w:t xml:space="preserve"> in Vietnam, with the reported figures tending to underestimate the number of children and adults with disabil</w:t>
      </w:r>
      <w:r w:rsidR="00EA6D03">
        <w:t>i</w:t>
      </w:r>
      <w:r>
        <w:t>t</w:t>
      </w:r>
      <w:r w:rsidR="003C288C">
        <w:t>y</w:t>
      </w:r>
      <w:r>
        <w:t>.</w:t>
      </w:r>
      <w:r w:rsidR="00710337">
        <w:t xml:space="preserve"> </w:t>
      </w:r>
      <w:r>
        <w:t>The Ministry of Labour, Invalids and Social Affairs estimates that there are 1.3 million children with disabilit</w:t>
      </w:r>
      <w:r w:rsidR="003C288C">
        <w:t>y</w:t>
      </w:r>
      <w:r>
        <w:t>.</w:t>
      </w:r>
      <w:r w:rsidR="00710337">
        <w:t xml:space="preserve"> </w:t>
      </w:r>
      <w:r>
        <w:t>The literacy rate among people with disabilit</w:t>
      </w:r>
      <w:r w:rsidR="003C288C">
        <w:t>y</w:t>
      </w:r>
      <w:r>
        <w:t xml:space="preserve"> aged </w:t>
      </w:r>
      <w:r w:rsidR="003C288C">
        <w:t>15</w:t>
      </w:r>
      <w:r>
        <w:t xml:space="preserve"> to </w:t>
      </w:r>
      <w:r w:rsidR="003C288C">
        <w:t xml:space="preserve">24 </w:t>
      </w:r>
      <w:r>
        <w:t xml:space="preserve">years was </w:t>
      </w:r>
      <w:r w:rsidR="003C288C">
        <w:t xml:space="preserve">69 </w:t>
      </w:r>
      <w:r>
        <w:t>per</w:t>
      </w:r>
      <w:r w:rsidR="003C288C">
        <w:t xml:space="preserve"> </w:t>
      </w:r>
      <w:r>
        <w:t>cent, significantly lower than for people with disabilit</w:t>
      </w:r>
      <w:r w:rsidR="003C288C">
        <w:t>y</w:t>
      </w:r>
      <w:r>
        <w:t xml:space="preserve"> (</w:t>
      </w:r>
      <w:r w:rsidR="003C288C">
        <w:t>97</w:t>
      </w:r>
      <w:r>
        <w:t xml:space="preserve"> per</w:t>
      </w:r>
      <w:r w:rsidR="003C288C">
        <w:t xml:space="preserve"> </w:t>
      </w:r>
      <w:r>
        <w:t>cent).</w:t>
      </w:r>
    </w:p>
    <w:p w14:paraId="34135D50" w14:textId="77777777" w:rsidR="00EA6D03" w:rsidRPr="000D1993" w:rsidRDefault="00EA6D03" w:rsidP="0007395B">
      <w:pPr>
        <w:pStyle w:val="Heading1"/>
      </w:pPr>
      <w:r>
        <w:t>Program objectives and strategy</w:t>
      </w:r>
      <w:r w:rsidRPr="000D1993">
        <w:t xml:space="preserve"> </w:t>
      </w:r>
    </w:p>
    <w:p w14:paraId="65EFA405" w14:textId="77777777" w:rsidR="001657F1" w:rsidRPr="000D1993" w:rsidRDefault="001657F1" w:rsidP="0007395B">
      <w:pPr>
        <w:pStyle w:val="BodyText"/>
      </w:pPr>
      <w:r w:rsidRPr="000D1993">
        <w:t>The Vietnam</w:t>
      </w:r>
      <w:r w:rsidR="003C288C">
        <w:t>–</w:t>
      </w:r>
      <w:r w:rsidRPr="000D1993">
        <w:t>Australia Joint Aid Strategy 2010</w:t>
      </w:r>
      <w:r w:rsidR="003C288C">
        <w:t>–20</w:t>
      </w:r>
      <w:r w:rsidRPr="000D1993">
        <w:t>15 has four strategic objectives:</w:t>
      </w:r>
    </w:p>
    <w:p w14:paraId="35744B7A" w14:textId="77777777" w:rsidR="001657F1" w:rsidRDefault="003C288C" w:rsidP="0007395B">
      <w:pPr>
        <w:pStyle w:val="ListBullet"/>
      </w:pPr>
      <w:r>
        <w:t xml:space="preserve">improving </w:t>
      </w:r>
      <w:r w:rsidR="001657F1">
        <w:t>the quality of Vietnam’s human resources</w:t>
      </w:r>
    </w:p>
    <w:p w14:paraId="4980643B" w14:textId="77777777" w:rsidR="001657F1" w:rsidRDefault="003C288C" w:rsidP="0007395B">
      <w:pPr>
        <w:pStyle w:val="ListBullet"/>
      </w:pPr>
      <w:r>
        <w:t xml:space="preserve">developing </w:t>
      </w:r>
      <w:r w:rsidR="001657F1">
        <w:t>better transport infrastructure and policy to support economic integration</w:t>
      </w:r>
    </w:p>
    <w:p w14:paraId="5D920E43" w14:textId="77777777" w:rsidR="001657F1" w:rsidRDefault="003C288C" w:rsidP="0007395B">
      <w:pPr>
        <w:pStyle w:val="ListBullet"/>
      </w:pPr>
      <w:r>
        <w:t xml:space="preserve">increasing </w:t>
      </w:r>
      <w:r w:rsidR="001657F1">
        <w:t>rural access to clean water and sanitation</w:t>
      </w:r>
    </w:p>
    <w:p w14:paraId="473A1095" w14:textId="77777777" w:rsidR="001657F1" w:rsidRDefault="003C288C" w:rsidP="0007395B">
      <w:pPr>
        <w:pStyle w:val="ListBullet"/>
      </w:pPr>
      <w:r>
        <w:t xml:space="preserve">advancing </w:t>
      </w:r>
      <w:r w:rsidR="001657F1">
        <w:t>climate change adaptation and mitigation.</w:t>
      </w:r>
    </w:p>
    <w:p w14:paraId="6A9D9E4C" w14:textId="77777777" w:rsidR="001657F1" w:rsidRDefault="003C288C" w:rsidP="0007395B">
      <w:pPr>
        <w:pStyle w:val="BodyText"/>
      </w:pPr>
      <w:r>
        <w:t>Assistance</w:t>
      </w:r>
      <w:r w:rsidRPr="000D1993">
        <w:t xml:space="preserve"> </w:t>
      </w:r>
      <w:r w:rsidR="001657F1" w:rsidRPr="000D1993">
        <w:t>to help Vietnam modernise its institutions so they are able to support the next phase of Vietnam’s development underpins this thematic engagement.</w:t>
      </w:r>
    </w:p>
    <w:p w14:paraId="04ED9B96" w14:textId="3DE417B2" w:rsidR="00F53C1E" w:rsidRDefault="001657F1" w:rsidP="0007395B">
      <w:pPr>
        <w:pStyle w:val="BodyText"/>
      </w:pPr>
      <w:r w:rsidRPr="000D1993">
        <w:t>These objectives remain relevant to Vietnam’s development needs and are aligned with the key priorities in Vietnam’s Social and Economic Development Plan 2011</w:t>
      </w:r>
      <w:r w:rsidR="003C288C">
        <w:t>–20</w:t>
      </w:r>
      <w:r w:rsidRPr="000D1993">
        <w:t>15.</w:t>
      </w:r>
      <w:r w:rsidR="00710337">
        <w:t xml:space="preserve"> </w:t>
      </w:r>
      <w:r w:rsidRPr="000D1993">
        <w:t xml:space="preserve">With </w:t>
      </w:r>
      <w:r w:rsidR="00F53C1E" w:rsidRPr="000D1993">
        <w:t xml:space="preserve">slower economic growth, </w:t>
      </w:r>
      <w:r w:rsidRPr="000D1993">
        <w:t xml:space="preserve">updated poverty analysis, and the large number of people living just above the poverty line, it is timely to </w:t>
      </w:r>
      <w:r w:rsidR="00F53C1E" w:rsidRPr="000D1993">
        <w:t xml:space="preserve">give further consideration to </w:t>
      </w:r>
      <w:r w:rsidR="00755D95" w:rsidRPr="000D1993">
        <w:t xml:space="preserve">the adequacy of </w:t>
      </w:r>
      <w:r w:rsidR="00F53C1E" w:rsidRPr="000D1993">
        <w:t>Vietnam’s social protection strategies.</w:t>
      </w:r>
      <w:r w:rsidR="00710337">
        <w:t xml:space="preserve"> </w:t>
      </w:r>
      <w:r w:rsidR="00D5255B">
        <w:t>The Department of Foreign Affairs and Trade (</w:t>
      </w:r>
      <w:r w:rsidR="001F12A2">
        <w:t>DFAT</w:t>
      </w:r>
      <w:r w:rsidR="00D5255B">
        <w:t>)</w:t>
      </w:r>
      <w:r w:rsidR="00F53C1E" w:rsidRPr="000D1993">
        <w:t xml:space="preserve"> has commissioned research on social protection approaches in the Mekong region including in Vietnam</w:t>
      </w:r>
      <w:r w:rsidR="003C288C">
        <w:t>,</w:t>
      </w:r>
      <w:r w:rsidR="00F53C1E" w:rsidRPr="000D1993">
        <w:t xml:space="preserve"> and this will help determine whether a stronger social protection dimension to the Vietnam program should be developed.</w:t>
      </w:r>
    </w:p>
    <w:p w14:paraId="1EE444EC" w14:textId="77777777" w:rsidR="00F53C1E" w:rsidRPr="000D1993" w:rsidRDefault="00F53C1E" w:rsidP="0007395B">
      <w:pPr>
        <w:pStyle w:val="BodyText"/>
      </w:pPr>
      <w:r w:rsidRPr="000D1993">
        <w:t xml:space="preserve">Vietnam’s development partners pledged </w:t>
      </w:r>
      <w:r w:rsidR="004E6924">
        <w:t>US</w:t>
      </w:r>
      <w:r w:rsidR="003C288C">
        <w:t>D</w:t>
      </w:r>
      <w:r w:rsidR="004E6924">
        <w:t>6.5</w:t>
      </w:r>
      <w:r w:rsidRPr="000D1993">
        <w:t xml:space="preserve"> </w:t>
      </w:r>
      <w:r w:rsidR="00755D95" w:rsidRPr="000D1993">
        <w:t>b</w:t>
      </w:r>
      <w:r w:rsidRPr="000D1993">
        <w:t>illion for 2013 at the December 2011 Vietnam Consultative Group meeting, compared to US</w:t>
      </w:r>
      <w:r w:rsidR="003C288C">
        <w:t>D</w:t>
      </w:r>
      <w:r w:rsidRPr="000D1993">
        <w:t>7.3 billion for 2012.</w:t>
      </w:r>
      <w:r w:rsidR="00710337">
        <w:t xml:space="preserve"> </w:t>
      </w:r>
      <w:r w:rsidRPr="000D1993">
        <w:t xml:space="preserve">While official development assistance is received from many sources, total </w:t>
      </w:r>
      <w:r w:rsidR="003C288C">
        <w:t>assistance</w:t>
      </w:r>
      <w:r w:rsidR="003C288C" w:rsidRPr="000D1993">
        <w:t xml:space="preserve"> </w:t>
      </w:r>
      <w:r w:rsidRPr="000D1993">
        <w:t xml:space="preserve">accounts for less than </w:t>
      </w:r>
      <w:r w:rsidR="003C288C">
        <w:t>four</w:t>
      </w:r>
      <w:r w:rsidR="003C288C" w:rsidRPr="000D1993">
        <w:t xml:space="preserve"> </w:t>
      </w:r>
      <w:r w:rsidRPr="000D1993">
        <w:t>per cent of GDP.</w:t>
      </w:r>
    </w:p>
    <w:p w14:paraId="251650E8" w14:textId="77777777" w:rsidR="00F53C1E" w:rsidRPr="000D1993" w:rsidRDefault="00F53C1E" w:rsidP="0007395B">
      <w:pPr>
        <w:pStyle w:val="BodyText"/>
      </w:pPr>
      <w:r w:rsidRPr="000D1993">
        <w:t xml:space="preserve">Australia </w:t>
      </w:r>
      <w:r w:rsidR="004F0C2D" w:rsidRPr="000D1993">
        <w:t>is</w:t>
      </w:r>
      <w:r w:rsidRPr="000D1993">
        <w:t xml:space="preserve"> the sixth largest donor to Vietnam with an estimated </w:t>
      </w:r>
      <w:r w:rsidR="00755D95" w:rsidRPr="000D1993">
        <w:t>$</w:t>
      </w:r>
      <w:r w:rsidRPr="000D1993">
        <w:t>153.1 million provided in 2012</w:t>
      </w:r>
      <w:r w:rsidR="003C288C">
        <w:t>–</w:t>
      </w:r>
      <w:r w:rsidRPr="000D1993">
        <w:t>13.</w:t>
      </w:r>
      <w:r w:rsidR="00710337">
        <w:t xml:space="preserve"> </w:t>
      </w:r>
      <w:r w:rsidRPr="000D1993">
        <w:t>Other major donors include the World Bank, Asian Development Bank, Japan, Germany, the United States and European Union.</w:t>
      </w:r>
      <w:r w:rsidR="00710337">
        <w:t xml:space="preserve"> </w:t>
      </w:r>
      <w:r w:rsidRPr="000D1993">
        <w:t xml:space="preserve">A number of bilateral donors are phasing out </w:t>
      </w:r>
      <w:r w:rsidR="003C288C" w:rsidRPr="000D1993">
        <w:t>official development assistance</w:t>
      </w:r>
      <w:r w:rsidR="003C288C">
        <w:t>, including the United Kingdom, D</w:t>
      </w:r>
      <w:r w:rsidR="00EF087C">
        <w:t>enmark</w:t>
      </w:r>
      <w:r w:rsidR="003C288C">
        <w:t xml:space="preserve"> and the </w:t>
      </w:r>
      <w:r w:rsidR="00EF087C">
        <w:t>Netherlands</w:t>
      </w:r>
      <w:r w:rsidR="003C288C">
        <w:t>. O</w:t>
      </w:r>
      <w:r w:rsidRPr="000D1993">
        <w:t>thers, including Australia, are continuing their programs.</w:t>
      </w:r>
      <w:r w:rsidR="00710337">
        <w:t xml:space="preserve"> </w:t>
      </w:r>
    </w:p>
    <w:p w14:paraId="522D868A" w14:textId="77777777" w:rsidR="004F0C2D" w:rsidRPr="000D1993" w:rsidRDefault="00F53C1E" w:rsidP="0007395B">
      <w:pPr>
        <w:pStyle w:val="BodyText"/>
      </w:pPr>
      <w:r w:rsidRPr="000D1993">
        <w:lastRenderedPageBreak/>
        <w:t>Australia recognises Vietnam’s ownership and leadership of the development agenda</w:t>
      </w:r>
      <w:r w:rsidR="0065679C">
        <w:t>.</w:t>
      </w:r>
      <w:r w:rsidR="003C288C">
        <w:t xml:space="preserve"> </w:t>
      </w:r>
      <w:r w:rsidR="0065679C">
        <w:t>We are</w:t>
      </w:r>
      <w:r w:rsidR="003C288C">
        <w:t xml:space="preserve"> </w:t>
      </w:r>
      <w:r w:rsidRPr="000D1993">
        <w:t>support</w:t>
      </w:r>
      <w:r w:rsidR="003C288C">
        <w:t>ing</w:t>
      </w:r>
      <w:r w:rsidRPr="000D1993">
        <w:t xml:space="preserve"> </w:t>
      </w:r>
      <w:r w:rsidR="0065679C">
        <w:t xml:space="preserve">the Government of </w:t>
      </w:r>
      <w:r w:rsidRPr="000D1993">
        <w:t xml:space="preserve">Vietnam </w:t>
      </w:r>
      <w:r w:rsidR="003C288C">
        <w:t>to</w:t>
      </w:r>
      <w:r w:rsidRPr="000D1993">
        <w:t xml:space="preserve"> strengthen its monitoring and evaluation systems for </w:t>
      </w:r>
      <w:r w:rsidR="003C288C" w:rsidRPr="000D1993">
        <w:t>official development assistance</w:t>
      </w:r>
      <w:r w:rsidR="003C288C">
        <w:t xml:space="preserve"> </w:t>
      </w:r>
      <w:r w:rsidRPr="000D1993">
        <w:t>and public investment through a program of technical assistance implemented by the Ministry of Planning and Investment.</w:t>
      </w:r>
    </w:p>
    <w:p w14:paraId="0D91D210" w14:textId="726DE579" w:rsidR="004F0C2D" w:rsidRPr="002A15F4" w:rsidRDefault="00F53C1E" w:rsidP="0007395B">
      <w:pPr>
        <w:pStyle w:val="BodyText"/>
      </w:pPr>
      <w:r w:rsidRPr="000D1993">
        <w:t xml:space="preserve">Australia </w:t>
      </w:r>
      <w:r w:rsidR="00AE6E0A">
        <w:t xml:space="preserve">provides assistance through </w:t>
      </w:r>
      <w:r w:rsidR="0065679C">
        <w:t xml:space="preserve">the </w:t>
      </w:r>
      <w:r w:rsidR="00AE6E0A">
        <w:t>Government of Vietnam</w:t>
      </w:r>
      <w:r w:rsidR="0065679C">
        <w:t>’s</w:t>
      </w:r>
      <w:r w:rsidR="00AE6E0A">
        <w:t xml:space="preserve"> national systems </w:t>
      </w:r>
      <w:r w:rsidR="00335F19">
        <w:t>and</w:t>
      </w:r>
      <w:r w:rsidR="00AE6E0A">
        <w:t xml:space="preserve"> </w:t>
      </w:r>
      <w:r w:rsidRPr="000D1993">
        <w:t>partners</w:t>
      </w:r>
      <w:r w:rsidR="00335F19">
        <w:t xml:space="preserve"> </w:t>
      </w:r>
      <w:r w:rsidRPr="000D1993">
        <w:t>with other multilateral and bilateral donors and non-government organisations to deliver programs.</w:t>
      </w:r>
      <w:r w:rsidR="00710337">
        <w:t xml:space="preserve"> </w:t>
      </w:r>
      <w:r w:rsidR="003C288C">
        <w:t>We are</w:t>
      </w:r>
      <w:r w:rsidR="004F0C2D" w:rsidRPr="000D1993">
        <w:t xml:space="preserve"> support</w:t>
      </w:r>
      <w:r w:rsidR="003C288C">
        <w:t>ing</w:t>
      </w:r>
      <w:r w:rsidR="004F0C2D" w:rsidRPr="000D1993">
        <w:t xml:space="preserve"> climate change adaptation in the Mekong Delta through a delegated cooperation arrangement with Germany</w:t>
      </w:r>
      <w:r w:rsidR="003C288C">
        <w:t xml:space="preserve">, and have </w:t>
      </w:r>
      <w:r w:rsidRPr="000D1993">
        <w:t xml:space="preserve">formed a country level partnership with the World Bank </w:t>
      </w:r>
      <w:r w:rsidR="004F0C2D" w:rsidRPr="000D1993">
        <w:t xml:space="preserve">to leverage the assistance programs of both </w:t>
      </w:r>
      <w:r w:rsidR="001F12A2">
        <w:t xml:space="preserve">DFAT </w:t>
      </w:r>
      <w:r w:rsidR="004F0C2D" w:rsidRPr="000D1993">
        <w:t xml:space="preserve">and the </w:t>
      </w:r>
      <w:r w:rsidR="003C288C">
        <w:t>b</w:t>
      </w:r>
      <w:r w:rsidR="003C288C" w:rsidRPr="000D1993">
        <w:t xml:space="preserve">ank </w:t>
      </w:r>
      <w:r w:rsidR="004F0C2D" w:rsidRPr="000D1993">
        <w:t>to support Vietnam’s development program.</w:t>
      </w:r>
      <w:r w:rsidR="00710337">
        <w:t xml:space="preserve"> </w:t>
      </w:r>
    </w:p>
    <w:p w14:paraId="2E345BF2" w14:textId="77777777" w:rsidR="00180B19" w:rsidRPr="0007395B" w:rsidRDefault="00180B19" w:rsidP="0007395B">
      <w:pPr>
        <w:pStyle w:val="Heading1"/>
      </w:pPr>
      <w:r w:rsidRPr="0007395B">
        <w:t>Expenditure</w:t>
      </w:r>
    </w:p>
    <w:p w14:paraId="29B82C3B" w14:textId="77777777" w:rsidR="00180B19" w:rsidRPr="0007395B" w:rsidRDefault="00755D95" w:rsidP="0007395B">
      <w:pPr>
        <w:pStyle w:val="BodyText"/>
      </w:pPr>
      <w:r w:rsidRPr="0007395B">
        <w:t>F</w:t>
      </w:r>
      <w:r w:rsidR="00180B19" w:rsidRPr="0007395B">
        <w:t xml:space="preserve">inancial expenditure </w:t>
      </w:r>
      <w:r w:rsidR="004E6A61" w:rsidRPr="0007395B">
        <w:t>is</w:t>
      </w:r>
      <w:r w:rsidR="00180B19" w:rsidRPr="0007395B">
        <w:t xml:space="preserve"> reported in two periods</w:t>
      </w:r>
      <w:r w:rsidR="003C288C" w:rsidRPr="0007395B">
        <w:t>––</w:t>
      </w:r>
      <w:r w:rsidR="00180B19" w:rsidRPr="0007395B">
        <w:t>Jan</w:t>
      </w:r>
      <w:r w:rsidR="003C288C" w:rsidRPr="0007395B">
        <w:t>uary</w:t>
      </w:r>
      <w:r w:rsidR="00180B19" w:rsidRPr="0007395B">
        <w:t xml:space="preserve"> 2012</w:t>
      </w:r>
      <w:r w:rsidR="003C288C" w:rsidRPr="0007395B">
        <w:t xml:space="preserve"> to </w:t>
      </w:r>
      <w:r w:rsidR="00180B19" w:rsidRPr="0007395B">
        <w:t>June 2012</w:t>
      </w:r>
      <w:r w:rsidR="003C288C" w:rsidRPr="0007395B">
        <w:t>,</w:t>
      </w:r>
      <w:r w:rsidR="00180B19" w:rsidRPr="0007395B">
        <w:t xml:space="preserve"> and for the 2012</w:t>
      </w:r>
      <w:r w:rsidR="00E80AB0" w:rsidRPr="0007395B">
        <w:t>–</w:t>
      </w:r>
      <w:r w:rsidR="00180B19" w:rsidRPr="0007395B">
        <w:t xml:space="preserve">13 </w:t>
      </w:r>
      <w:r w:rsidR="00E80AB0" w:rsidRPr="0007395B">
        <w:t>financial year.</w:t>
      </w:r>
    </w:p>
    <w:p w14:paraId="19859AB1" w14:textId="77777777" w:rsidR="003B122C" w:rsidRPr="0007395B" w:rsidRDefault="003B122C" w:rsidP="0007395B">
      <w:pPr>
        <w:pStyle w:val="Caption"/>
      </w:pPr>
      <w:r w:rsidRPr="0007395B">
        <w:t xml:space="preserve">Table </w:t>
      </w:r>
      <w:r w:rsidR="007F2A89">
        <w:fldChar w:fldCharType="begin"/>
      </w:r>
      <w:r w:rsidR="007F2A89">
        <w:instrText xml:space="preserve"> SEQ Table \* ARABIC </w:instrText>
      </w:r>
      <w:r w:rsidR="007F2A89">
        <w:fldChar w:fldCharType="separate"/>
      </w:r>
      <w:r w:rsidR="008C6687">
        <w:rPr>
          <w:noProof/>
        </w:rPr>
        <w:t>1</w:t>
      </w:r>
      <w:r w:rsidR="007F2A89">
        <w:rPr>
          <w:noProof/>
        </w:rPr>
        <w:fldChar w:fldCharType="end"/>
      </w:r>
      <w:r w:rsidRPr="0007395B">
        <w:t>A</w:t>
      </w:r>
      <w:r w:rsidR="00E80AB0" w:rsidRPr="0007395B">
        <w:t>:</w:t>
      </w:r>
      <w:r w:rsidRPr="0007395B">
        <w:t xml:space="preserve"> Expenditure 1 Jan</w:t>
      </w:r>
      <w:r w:rsidR="00E80AB0" w:rsidRPr="0007395B">
        <w:t>uary</w:t>
      </w:r>
      <w:r w:rsidRPr="0007395B">
        <w:t xml:space="preserve"> </w:t>
      </w:r>
      <w:r w:rsidR="00E80AB0" w:rsidRPr="0007395B">
        <w:t>to</w:t>
      </w:r>
      <w:r w:rsidRPr="0007395B">
        <w:t xml:space="preserve"> 30 Jun</w:t>
      </w:r>
      <w:r w:rsidR="00E80AB0" w:rsidRPr="0007395B">
        <w:t>e</w:t>
      </w:r>
      <w:r w:rsidRPr="0007395B">
        <w:t xml:space="preserve"> 2012</w:t>
      </w:r>
    </w:p>
    <w:tbl>
      <w:tblPr>
        <w:tblStyle w:val="APPR"/>
        <w:tblW w:w="5000" w:type="pct"/>
        <w:tblLayout w:type="fixed"/>
        <w:tblLook w:val="0000" w:firstRow="0" w:lastRow="0" w:firstColumn="0" w:lastColumn="0" w:noHBand="0" w:noVBand="0"/>
      </w:tblPr>
      <w:tblGrid>
        <w:gridCol w:w="5703"/>
        <w:gridCol w:w="998"/>
        <w:gridCol w:w="1905"/>
      </w:tblGrid>
      <w:tr w:rsidR="003B122C" w:rsidRPr="00180B19" w14:paraId="2F1D4B56" w14:textId="77777777" w:rsidTr="0007395B">
        <w:trPr>
          <w:cantSplit/>
          <w:tblHeader w:val="0"/>
        </w:trPr>
        <w:tc>
          <w:tcPr>
            <w:tcW w:w="5623" w:type="dxa"/>
          </w:tcPr>
          <w:p w14:paraId="358C482D" w14:textId="77777777" w:rsidR="003B122C" w:rsidRPr="0007395B" w:rsidRDefault="003B122C" w:rsidP="0007395B">
            <w:pPr>
              <w:pStyle w:val="TableTextColumnHeading"/>
            </w:pPr>
            <w:r w:rsidRPr="0007395B">
              <w:t>Objective</w:t>
            </w:r>
          </w:p>
        </w:tc>
        <w:tc>
          <w:tcPr>
            <w:tcW w:w="964" w:type="dxa"/>
          </w:tcPr>
          <w:p w14:paraId="61B9B1F3" w14:textId="77777777" w:rsidR="003B122C" w:rsidRPr="0007395B" w:rsidRDefault="003B122C" w:rsidP="0007395B">
            <w:pPr>
              <w:pStyle w:val="TableTextColumnHeading"/>
            </w:pPr>
            <w:r w:rsidRPr="0007395B">
              <w:t>$ million</w:t>
            </w:r>
          </w:p>
        </w:tc>
        <w:tc>
          <w:tcPr>
            <w:tcW w:w="1851" w:type="dxa"/>
          </w:tcPr>
          <w:p w14:paraId="2BEC9BAF" w14:textId="77777777" w:rsidR="003B122C" w:rsidRPr="0007395B" w:rsidRDefault="003B122C" w:rsidP="0007395B">
            <w:pPr>
              <w:pStyle w:val="TableTextColumnHeading"/>
            </w:pPr>
            <w:r w:rsidRPr="0007395B">
              <w:t>% of bilateral program</w:t>
            </w:r>
          </w:p>
        </w:tc>
      </w:tr>
      <w:tr w:rsidR="003B122C" w:rsidRPr="00180B19" w14:paraId="62A72F96" w14:textId="77777777" w:rsidTr="0007395B">
        <w:trPr>
          <w:cnfStyle w:val="000000010000" w:firstRow="0" w:lastRow="0" w:firstColumn="0" w:lastColumn="0" w:oddVBand="0" w:evenVBand="0" w:oddHBand="0" w:evenHBand="1" w:firstRowFirstColumn="0" w:firstRowLastColumn="0" w:lastRowFirstColumn="0" w:lastRowLastColumn="0"/>
          <w:cantSplit/>
          <w:tblHeader w:val="0"/>
        </w:trPr>
        <w:tc>
          <w:tcPr>
            <w:tcW w:w="5623" w:type="dxa"/>
          </w:tcPr>
          <w:p w14:paraId="11DFF604" w14:textId="77777777" w:rsidR="003B122C" w:rsidRPr="0007395B" w:rsidRDefault="003B122C" w:rsidP="0007395B">
            <w:pPr>
              <w:pStyle w:val="TableTextEntries"/>
            </w:pPr>
            <w:r w:rsidRPr="0007395B">
              <w:t>Objective 1: Improvement in the quality of Vietnam’s human resource</w:t>
            </w:r>
            <w:r w:rsidR="004E6A61" w:rsidRPr="0007395B">
              <w:t>s</w:t>
            </w:r>
          </w:p>
        </w:tc>
        <w:tc>
          <w:tcPr>
            <w:tcW w:w="964" w:type="dxa"/>
          </w:tcPr>
          <w:p w14:paraId="57EDADC6" w14:textId="77777777" w:rsidR="003B122C" w:rsidRPr="0007395B" w:rsidRDefault="003B122C" w:rsidP="0007395B">
            <w:pPr>
              <w:pStyle w:val="TableTextEntries"/>
            </w:pPr>
            <w:r w:rsidRPr="0007395B">
              <w:t>15.28</w:t>
            </w:r>
          </w:p>
        </w:tc>
        <w:tc>
          <w:tcPr>
            <w:tcW w:w="1851" w:type="dxa"/>
          </w:tcPr>
          <w:p w14:paraId="54307938" w14:textId="77777777" w:rsidR="003B122C" w:rsidRPr="0007395B" w:rsidRDefault="003B122C" w:rsidP="0007395B">
            <w:pPr>
              <w:pStyle w:val="TableTextEntries"/>
            </w:pPr>
            <w:r w:rsidRPr="0007395B">
              <w:t>19.48%</w:t>
            </w:r>
          </w:p>
        </w:tc>
      </w:tr>
      <w:tr w:rsidR="003B122C" w:rsidRPr="00180B19" w14:paraId="17A49F5C" w14:textId="77777777" w:rsidTr="0007395B">
        <w:trPr>
          <w:cantSplit/>
          <w:tblHeader w:val="0"/>
        </w:trPr>
        <w:tc>
          <w:tcPr>
            <w:tcW w:w="5623" w:type="dxa"/>
          </w:tcPr>
          <w:p w14:paraId="42D969F4" w14:textId="77777777" w:rsidR="003B122C" w:rsidRPr="0007395B" w:rsidRDefault="003B122C" w:rsidP="0007395B">
            <w:pPr>
              <w:pStyle w:val="TableTextEntries"/>
            </w:pPr>
            <w:r w:rsidRPr="0007395B">
              <w:t>Objective 2: Better transport infrastructure and policy to support economic integration</w:t>
            </w:r>
          </w:p>
        </w:tc>
        <w:tc>
          <w:tcPr>
            <w:tcW w:w="964" w:type="dxa"/>
          </w:tcPr>
          <w:p w14:paraId="29C29507" w14:textId="77777777" w:rsidR="003B122C" w:rsidRPr="0007395B" w:rsidRDefault="003B122C" w:rsidP="0007395B">
            <w:pPr>
              <w:pStyle w:val="TableTextEntries"/>
            </w:pPr>
            <w:r w:rsidRPr="0007395B">
              <w:t>27.03</w:t>
            </w:r>
          </w:p>
        </w:tc>
        <w:tc>
          <w:tcPr>
            <w:tcW w:w="1851" w:type="dxa"/>
          </w:tcPr>
          <w:p w14:paraId="28DBE9C9" w14:textId="77777777" w:rsidR="003B122C" w:rsidRPr="0007395B" w:rsidRDefault="003B122C" w:rsidP="0007395B">
            <w:pPr>
              <w:pStyle w:val="TableTextEntries"/>
            </w:pPr>
            <w:r w:rsidRPr="0007395B">
              <w:t>34.46%</w:t>
            </w:r>
          </w:p>
        </w:tc>
      </w:tr>
      <w:tr w:rsidR="003B122C" w:rsidRPr="00180B19" w14:paraId="774D86AF" w14:textId="77777777" w:rsidTr="0007395B">
        <w:trPr>
          <w:cnfStyle w:val="000000010000" w:firstRow="0" w:lastRow="0" w:firstColumn="0" w:lastColumn="0" w:oddVBand="0" w:evenVBand="0" w:oddHBand="0" w:evenHBand="1" w:firstRowFirstColumn="0" w:firstRowLastColumn="0" w:lastRowFirstColumn="0" w:lastRowLastColumn="0"/>
          <w:cantSplit/>
          <w:tblHeader w:val="0"/>
        </w:trPr>
        <w:tc>
          <w:tcPr>
            <w:tcW w:w="5623" w:type="dxa"/>
          </w:tcPr>
          <w:p w14:paraId="21825002" w14:textId="77777777" w:rsidR="003B122C" w:rsidRPr="0007395B" w:rsidRDefault="003B122C" w:rsidP="0007395B">
            <w:pPr>
              <w:pStyle w:val="TableTextEntries"/>
            </w:pPr>
            <w:r w:rsidRPr="0007395B">
              <w:t>Objective 3: Increase rural access to clean water and hygienic sanitation</w:t>
            </w:r>
          </w:p>
        </w:tc>
        <w:tc>
          <w:tcPr>
            <w:tcW w:w="964" w:type="dxa"/>
          </w:tcPr>
          <w:p w14:paraId="1F44306C" w14:textId="77777777" w:rsidR="003B122C" w:rsidRPr="0007395B" w:rsidRDefault="003B122C" w:rsidP="0007395B">
            <w:pPr>
              <w:pStyle w:val="TableTextEntries"/>
            </w:pPr>
            <w:r w:rsidRPr="0007395B">
              <w:t>15.94</w:t>
            </w:r>
          </w:p>
        </w:tc>
        <w:tc>
          <w:tcPr>
            <w:tcW w:w="1851" w:type="dxa"/>
          </w:tcPr>
          <w:p w14:paraId="160274F5" w14:textId="77777777" w:rsidR="003B122C" w:rsidRPr="0007395B" w:rsidRDefault="003B122C" w:rsidP="0007395B">
            <w:pPr>
              <w:pStyle w:val="TableTextEntries"/>
            </w:pPr>
            <w:r w:rsidRPr="0007395B">
              <w:t>20.32%</w:t>
            </w:r>
          </w:p>
        </w:tc>
      </w:tr>
      <w:tr w:rsidR="003B122C" w:rsidRPr="00180B19" w14:paraId="7B115364" w14:textId="77777777" w:rsidTr="0007395B">
        <w:trPr>
          <w:cantSplit/>
          <w:tblHeader w:val="0"/>
        </w:trPr>
        <w:tc>
          <w:tcPr>
            <w:tcW w:w="5623" w:type="dxa"/>
          </w:tcPr>
          <w:p w14:paraId="7434E3CD" w14:textId="77777777" w:rsidR="003B122C" w:rsidRPr="0007395B" w:rsidRDefault="003B122C" w:rsidP="0007395B">
            <w:pPr>
              <w:pStyle w:val="TableTextEntries"/>
            </w:pPr>
            <w:r w:rsidRPr="0007395B">
              <w:t xml:space="preserve">Objective 4: Advance climate change adaptation and mitigation focusing on </w:t>
            </w:r>
            <w:r w:rsidR="00E80AB0" w:rsidRPr="0007395B">
              <w:t xml:space="preserve">the </w:t>
            </w:r>
            <w:r w:rsidRPr="0007395B">
              <w:t>Mekong Delta</w:t>
            </w:r>
          </w:p>
        </w:tc>
        <w:tc>
          <w:tcPr>
            <w:tcW w:w="964" w:type="dxa"/>
          </w:tcPr>
          <w:p w14:paraId="2C1435F8" w14:textId="77777777" w:rsidR="003B122C" w:rsidRPr="0007395B" w:rsidRDefault="003B122C" w:rsidP="0007395B">
            <w:pPr>
              <w:pStyle w:val="TableTextEntries"/>
            </w:pPr>
            <w:r w:rsidRPr="0007395B">
              <w:t>18.37</w:t>
            </w:r>
          </w:p>
        </w:tc>
        <w:tc>
          <w:tcPr>
            <w:tcW w:w="1851" w:type="dxa"/>
          </w:tcPr>
          <w:p w14:paraId="1E6746BC" w14:textId="77777777" w:rsidR="003B122C" w:rsidRPr="0007395B" w:rsidRDefault="003B122C" w:rsidP="0007395B">
            <w:pPr>
              <w:pStyle w:val="TableTextEntries"/>
            </w:pPr>
            <w:r w:rsidRPr="0007395B">
              <w:t>23.41%</w:t>
            </w:r>
          </w:p>
        </w:tc>
      </w:tr>
      <w:tr w:rsidR="003B122C" w:rsidRPr="00180B19" w14:paraId="1AE4F9EA" w14:textId="77777777" w:rsidTr="0007395B">
        <w:trPr>
          <w:cnfStyle w:val="000000010000" w:firstRow="0" w:lastRow="0" w:firstColumn="0" w:lastColumn="0" w:oddVBand="0" w:evenVBand="0" w:oddHBand="0" w:evenHBand="1" w:firstRowFirstColumn="0" w:firstRowLastColumn="0" w:lastRowFirstColumn="0" w:lastRowLastColumn="0"/>
          <w:cantSplit/>
          <w:tblHeader w:val="0"/>
        </w:trPr>
        <w:tc>
          <w:tcPr>
            <w:tcW w:w="5623" w:type="dxa"/>
          </w:tcPr>
          <w:p w14:paraId="62B90CE6" w14:textId="77777777" w:rsidR="003B122C" w:rsidRPr="0007395B" w:rsidRDefault="003B122C" w:rsidP="0007395B">
            <w:pPr>
              <w:pStyle w:val="TableTextEntries"/>
            </w:pPr>
            <w:r w:rsidRPr="0007395B">
              <w:t>Previous country strategy objectives</w:t>
            </w:r>
          </w:p>
        </w:tc>
        <w:tc>
          <w:tcPr>
            <w:tcW w:w="964" w:type="dxa"/>
          </w:tcPr>
          <w:p w14:paraId="7030D135" w14:textId="77777777" w:rsidR="003B122C" w:rsidRPr="0007395B" w:rsidRDefault="003B122C" w:rsidP="0007395B">
            <w:pPr>
              <w:pStyle w:val="TableTextEntries"/>
            </w:pPr>
            <w:r w:rsidRPr="0007395B">
              <w:t>0.12</w:t>
            </w:r>
          </w:p>
        </w:tc>
        <w:tc>
          <w:tcPr>
            <w:tcW w:w="1851" w:type="dxa"/>
          </w:tcPr>
          <w:p w14:paraId="1BD6CF8C" w14:textId="77777777" w:rsidR="003B122C" w:rsidRPr="0007395B" w:rsidRDefault="003B122C" w:rsidP="0007395B">
            <w:pPr>
              <w:pStyle w:val="TableTextEntries"/>
            </w:pPr>
            <w:r w:rsidRPr="0007395B">
              <w:t>0.16%</w:t>
            </w:r>
          </w:p>
        </w:tc>
      </w:tr>
      <w:tr w:rsidR="003B122C" w:rsidRPr="00180B19" w14:paraId="0FADD0F1" w14:textId="77777777" w:rsidTr="0007395B">
        <w:trPr>
          <w:cantSplit/>
          <w:tblHeader w:val="0"/>
        </w:trPr>
        <w:tc>
          <w:tcPr>
            <w:tcW w:w="5623" w:type="dxa"/>
          </w:tcPr>
          <w:p w14:paraId="5D54477E" w14:textId="77777777" w:rsidR="003B122C" w:rsidRPr="0007395B" w:rsidRDefault="003B122C" w:rsidP="0007395B">
            <w:pPr>
              <w:pStyle w:val="TableTextEntries"/>
            </w:pPr>
            <w:r w:rsidRPr="0007395B">
              <w:t>Other crosscutting initiatives</w:t>
            </w:r>
          </w:p>
        </w:tc>
        <w:tc>
          <w:tcPr>
            <w:tcW w:w="964" w:type="dxa"/>
          </w:tcPr>
          <w:p w14:paraId="0547A38A" w14:textId="77777777" w:rsidR="003B122C" w:rsidRPr="0007395B" w:rsidRDefault="003B122C" w:rsidP="0007395B">
            <w:pPr>
              <w:pStyle w:val="TableTextEntries"/>
            </w:pPr>
            <w:r w:rsidRPr="0007395B">
              <w:t>1.72</w:t>
            </w:r>
          </w:p>
        </w:tc>
        <w:tc>
          <w:tcPr>
            <w:tcW w:w="1851" w:type="dxa"/>
          </w:tcPr>
          <w:p w14:paraId="285994CA" w14:textId="77777777" w:rsidR="003B122C" w:rsidRPr="0007395B" w:rsidRDefault="003B122C" w:rsidP="0007395B">
            <w:pPr>
              <w:pStyle w:val="TableTextEntries"/>
            </w:pPr>
            <w:r w:rsidRPr="0007395B">
              <w:t>2.19%</w:t>
            </w:r>
          </w:p>
        </w:tc>
      </w:tr>
      <w:tr w:rsidR="003B122C" w:rsidRPr="00180B19" w14:paraId="6E097932" w14:textId="77777777" w:rsidTr="0007395B">
        <w:trPr>
          <w:cnfStyle w:val="000000010000" w:firstRow="0" w:lastRow="0" w:firstColumn="0" w:lastColumn="0" w:oddVBand="0" w:evenVBand="0" w:oddHBand="0" w:evenHBand="1" w:firstRowFirstColumn="0" w:firstRowLastColumn="0" w:lastRowFirstColumn="0" w:lastRowLastColumn="0"/>
          <w:cantSplit/>
          <w:tblHeader w:val="0"/>
        </w:trPr>
        <w:tc>
          <w:tcPr>
            <w:tcW w:w="5623" w:type="dxa"/>
          </w:tcPr>
          <w:p w14:paraId="1A3572F0" w14:textId="77777777" w:rsidR="003B122C" w:rsidRPr="0007395B" w:rsidRDefault="003B122C" w:rsidP="0007395B">
            <w:pPr>
              <w:pStyle w:val="TableTextColumnHeading"/>
            </w:pPr>
            <w:r w:rsidRPr="0007395B">
              <w:t>Total</w:t>
            </w:r>
          </w:p>
        </w:tc>
        <w:tc>
          <w:tcPr>
            <w:tcW w:w="964" w:type="dxa"/>
          </w:tcPr>
          <w:p w14:paraId="0F871C4F" w14:textId="77777777" w:rsidR="003B122C" w:rsidRPr="0007395B" w:rsidRDefault="003B122C" w:rsidP="0007395B">
            <w:pPr>
              <w:pStyle w:val="TableTextColumnHeading"/>
            </w:pPr>
            <w:r w:rsidRPr="0007395B">
              <w:t>78.44</w:t>
            </w:r>
          </w:p>
        </w:tc>
        <w:tc>
          <w:tcPr>
            <w:tcW w:w="1851" w:type="dxa"/>
          </w:tcPr>
          <w:p w14:paraId="4D55C23D" w14:textId="77777777" w:rsidR="003B122C" w:rsidRPr="0007395B" w:rsidRDefault="003B122C" w:rsidP="0007395B">
            <w:pPr>
              <w:pStyle w:val="TableTextColumnHeading"/>
            </w:pPr>
          </w:p>
        </w:tc>
      </w:tr>
    </w:tbl>
    <w:p w14:paraId="71893B75" w14:textId="4484F766" w:rsidR="0007395B" w:rsidRPr="0007395B" w:rsidRDefault="003B122C" w:rsidP="0007395B">
      <w:pPr>
        <w:pStyle w:val="Note"/>
      </w:pPr>
      <w:r w:rsidRPr="0007395B">
        <w:t xml:space="preserve">Source: Aidworks </w:t>
      </w:r>
      <w:r w:rsidR="009163AF" w:rsidRPr="0007395B">
        <w:t>2011–12 annual program performance</w:t>
      </w:r>
      <w:r w:rsidRPr="0007395B">
        <w:t xml:space="preserve"> report</w:t>
      </w:r>
      <w:r w:rsidR="007F2A89">
        <w:rPr>
          <w:rStyle w:val="FootnoteReference"/>
        </w:rPr>
        <w:footnoteReference w:id="1"/>
      </w:r>
      <w:r w:rsidR="00E80AB0" w:rsidRPr="0007395B">
        <w:t>.</w:t>
      </w:r>
    </w:p>
    <w:p w14:paraId="361F8166" w14:textId="77777777" w:rsidR="003B122C" w:rsidRPr="00180B19" w:rsidRDefault="00755D95" w:rsidP="0007395B">
      <w:pPr>
        <w:pStyle w:val="Caption"/>
      </w:pPr>
      <w:r w:rsidRPr="00180B19">
        <w:t>Table 1B</w:t>
      </w:r>
      <w:r w:rsidR="00E80AB0">
        <w:t>:</w:t>
      </w:r>
      <w:r w:rsidRPr="00180B19">
        <w:t xml:space="preserve"> Estimated expenditure in 2012</w:t>
      </w:r>
      <w:r w:rsidR="00E80AB0">
        <w:t>–</w:t>
      </w:r>
      <w:r w:rsidRPr="00180B19">
        <w:t>13</w:t>
      </w:r>
    </w:p>
    <w:tbl>
      <w:tblPr>
        <w:tblStyle w:val="APPR"/>
        <w:tblW w:w="5000" w:type="pct"/>
        <w:tblLayout w:type="fixed"/>
        <w:tblLook w:val="0000" w:firstRow="0" w:lastRow="0" w:firstColumn="0" w:lastColumn="0" w:noHBand="0" w:noVBand="0"/>
      </w:tblPr>
      <w:tblGrid>
        <w:gridCol w:w="5703"/>
        <w:gridCol w:w="998"/>
        <w:gridCol w:w="1905"/>
      </w:tblGrid>
      <w:tr w:rsidR="003B122C" w:rsidRPr="00180B19" w14:paraId="3B391144" w14:textId="77777777" w:rsidTr="0007395B">
        <w:trPr>
          <w:cnfStyle w:val="000000010000" w:firstRow="0" w:lastRow="0" w:firstColumn="0" w:lastColumn="0" w:oddVBand="0" w:evenVBand="0" w:oddHBand="0" w:evenHBand="1" w:firstRowFirstColumn="0" w:firstRowLastColumn="0" w:lastRowFirstColumn="0" w:lastRowLastColumn="0"/>
          <w:cantSplit/>
        </w:trPr>
        <w:tc>
          <w:tcPr>
            <w:tcW w:w="5623" w:type="dxa"/>
          </w:tcPr>
          <w:p w14:paraId="71B40523" w14:textId="77777777" w:rsidR="003B122C" w:rsidRPr="00180B19" w:rsidRDefault="003B122C" w:rsidP="0007395B">
            <w:pPr>
              <w:pStyle w:val="TableTextColumnHeading"/>
            </w:pPr>
            <w:r w:rsidRPr="00180B19">
              <w:t>Objective</w:t>
            </w:r>
          </w:p>
        </w:tc>
        <w:tc>
          <w:tcPr>
            <w:tcW w:w="964" w:type="dxa"/>
          </w:tcPr>
          <w:p w14:paraId="2235FCD0" w14:textId="77777777" w:rsidR="003B122C" w:rsidRPr="00180B19" w:rsidRDefault="003B122C" w:rsidP="0007395B">
            <w:pPr>
              <w:pStyle w:val="TableTextColumnHeading"/>
            </w:pPr>
            <w:r w:rsidRPr="00180B19">
              <w:t>$ million</w:t>
            </w:r>
          </w:p>
        </w:tc>
        <w:tc>
          <w:tcPr>
            <w:tcW w:w="1851" w:type="dxa"/>
          </w:tcPr>
          <w:p w14:paraId="0C307D06" w14:textId="77777777" w:rsidR="003B122C" w:rsidRPr="00180B19" w:rsidRDefault="003B122C" w:rsidP="0007395B">
            <w:pPr>
              <w:pStyle w:val="TableTextColumnHeading"/>
            </w:pPr>
            <w:r w:rsidRPr="00180B19">
              <w:t>% of bilateral program</w:t>
            </w:r>
          </w:p>
        </w:tc>
      </w:tr>
      <w:tr w:rsidR="003B122C" w:rsidRPr="00180B19" w14:paraId="5F751ECE" w14:textId="77777777" w:rsidTr="0007395B">
        <w:trPr>
          <w:cantSplit/>
          <w:tblHeader w:val="0"/>
        </w:trPr>
        <w:tc>
          <w:tcPr>
            <w:tcW w:w="5623" w:type="dxa"/>
          </w:tcPr>
          <w:p w14:paraId="17583F7D" w14:textId="77777777" w:rsidR="003B122C" w:rsidRPr="0007395B" w:rsidRDefault="003B122C" w:rsidP="0007395B">
            <w:pPr>
              <w:pStyle w:val="TableTextEntries"/>
            </w:pPr>
            <w:r w:rsidRPr="0007395B">
              <w:t>Objective 1: Improvement in the quality of Vietnam’s human resource</w:t>
            </w:r>
          </w:p>
        </w:tc>
        <w:tc>
          <w:tcPr>
            <w:tcW w:w="964" w:type="dxa"/>
          </w:tcPr>
          <w:p w14:paraId="2F885376" w14:textId="77777777" w:rsidR="003B122C" w:rsidRPr="0007395B" w:rsidRDefault="003B122C" w:rsidP="0007395B">
            <w:pPr>
              <w:pStyle w:val="TableTextEntries"/>
            </w:pPr>
            <w:r w:rsidRPr="0007395B">
              <w:t>27.60</w:t>
            </w:r>
          </w:p>
        </w:tc>
        <w:tc>
          <w:tcPr>
            <w:tcW w:w="1851" w:type="dxa"/>
          </w:tcPr>
          <w:p w14:paraId="1BF6A06C" w14:textId="77777777" w:rsidR="003B122C" w:rsidRPr="0007395B" w:rsidRDefault="003B122C" w:rsidP="0007395B">
            <w:pPr>
              <w:pStyle w:val="TableTextEntries"/>
            </w:pPr>
            <w:r w:rsidRPr="0007395B">
              <w:t>26.59%</w:t>
            </w:r>
          </w:p>
        </w:tc>
      </w:tr>
      <w:tr w:rsidR="003B122C" w:rsidRPr="00180B19" w14:paraId="1A4E3AA9" w14:textId="77777777" w:rsidTr="0007395B">
        <w:trPr>
          <w:cnfStyle w:val="000000010000" w:firstRow="0" w:lastRow="0" w:firstColumn="0" w:lastColumn="0" w:oddVBand="0" w:evenVBand="0" w:oddHBand="0" w:evenHBand="1" w:firstRowFirstColumn="0" w:firstRowLastColumn="0" w:lastRowFirstColumn="0" w:lastRowLastColumn="0"/>
          <w:cantSplit/>
          <w:tblHeader w:val="0"/>
        </w:trPr>
        <w:tc>
          <w:tcPr>
            <w:tcW w:w="5623" w:type="dxa"/>
          </w:tcPr>
          <w:p w14:paraId="2B2BC14B" w14:textId="77777777" w:rsidR="003B122C" w:rsidRPr="0007395B" w:rsidRDefault="003B122C" w:rsidP="0007395B">
            <w:pPr>
              <w:pStyle w:val="TableTextEntries"/>
            </w:pPr>
            <w:r w:rsidRPr="0007395B">
              <w:t>Objective 2: Better transport infrastructure and policy to support economic integration</w:t>
            </w:r>
          </w:p>
        </w:tc>
        <w:tc>
          <w:tcPr>
            <w:tcW w:w="964" w:type="dxa"/>
          </w:tcPr>
          <w:p w14:paraId="48A328C5" w14:textId="77777777" w:rsidR="003B122C" w:rsidRPr="0007395B" w:rsidRDefault="003B122C" w:rsidP="0007395B">
            <w:pPr>
              <w:pStyle w:val="TableTextEntries"/>
            </w:pPr>
            <w:r w:rsidRPr="0007395B">
              <w:t>16.41</w:t>
            </w:r>
          </w:p>
        </w:tc>
        <w:tc>
          <w:tcPr>
            <w:tcW w:w="1851" w:type="dxa"/>
          </w:tcPr>
          <w:p w14:paraId="365FF531" w14:textId="77777777" w:rsidR="003B122C" w:rsidRPr="0007395B" w:rsidRDefault="003B122C" w:rsidP="0007395B">
            <w:pPr>
              <w:pStyle w:val="TableTextEntries"/>
            </w:pPr>
            <w:r w:rsidRPr="0007395B">
              <w:t>15.82%</w:t>
            </w:r>
          </w:p>
        </w:tc>
      </w:tr>
      <w:tr w:rsidR="003B122C" w:rsidRPr="00180B19" w14:paraId="5C45A712" w14:textId="77777777" w:rsidTr="0007395B">
        <w:trPr>
          <w:cantSplit/>
          <w:tblHeader w:val="0"/>
        </w:trPr>
        <w:tc>
          <w:tcPr>
            <w:tcW w:w="5623" w:type="dxa"/>
          </w:tcPr>
          <w:p w14:paraId="462D2169" w14:textId="77777777" w:rsidR="003B122C" w:rsidRPr="0007395B" w:rsidRDefault="003B122C" w:rsidP="0007395B">
            <w:pPr>
              <w:pStyle w:val="TableTextEntries"/>
            </w:pPr>
            <w:r w:rsidRPr="0007395B">
              <w:t>Objective 3: Increase rural access to clean water and hygienic sanitation</w:t>
            </w:r>
          </w:p>
        </w:tc>
        <w:tc>
          <w:tcPr>
            <w:tcW w:w="964" w:type="dxa"/>
          </w:tcPr>
          <w:p w14:paraId="4C67A5F1" w14:textId="77777777" w:rsidR="003B122C" w:rsidRPr="0007395B" w:rsidRDefault="003B122C" w:rsidP="0007395B">
            <w:pPr>
              <w:pStyle w:val="TableTextEntries"/>
            </w:pPr>
            <w:r w:rsidRPr="0007395B">
              <w:t>28.04</w:t>
            </w:r>
          </w:p>
        </w:tc>
        <w:tc>
          <w:tcPr>
            <w:tcW w:w="1851" w:type="dxa"/>
          </w:tcPr>
          <w:p w14:paraId="3F55DE80" w14:textId="77777777" w:rsidR="003B122C" w:rsidRPr="0007395B" w:rsidRDefault="003B122C" w:rsidP="0007395B">
            <w:pPr>
              <w:pStyle w:val="TableTextEntries"/>
            </w:pPr>
            <w:r w:rsidRPr="0007395B">
              <w:t>27.02%</w:t>
            </w:r>
          </w:p>
        </w:tc>
      </w:tr>
      <w:tr w:rsidR="003B122C" w:rsidRPr="00180B19" w14:paraId="19CB09EF" w14:textId="77777777" w:rsidTr="0007395B">
        <w:trPr>
          <w:cnfStyle w:val="000000010000" w:firstRow="0" w:lastRow="0" w:firstColumn="0" w:lastColumn="0" w:oddVBand="0" w:evenVBand="0" w:oddHBand="0" w:evenHBand="1" w:firstRowFirstColumn="0" w:firstRowLastColumn="0" w:lastRowFirstColumn="0" w:lastRowLastColumn="0"/>
          <w:cantSplit/>
          <w:tblHeader w:val="0"/>
        </w:trPr>
        <w:tc>
          <w:tcPr>
            <w:tcW w:w="5623" w:type="dxa"/>
          </w:tcPr>
          <w:p w14:paraId="77273DD2" w14:textId="77777777" w:rsidR="003B122C" w:rsidRPr="0007395B" w:rsidRDefault="003B122C" w:rsidP="0007395B">
            <w:pPr>
              <w:pStyle w:val="TableTextEntries"/>
            </w:pPr>
            <w:r w:rsidRPr="0007395B">
              <w:t>Objective 4: Advance climate change adaptation and mitigation focusing on Mekong Delta</w:t>
            </w:r>
          </w:p>
        </w:tc>
        <w:tc>
          <w:tcPr>
            <w:tcW w:w="964" w:type="dxa"/>
          </w:tcPr>
          <w:p w14:paraId="377B8ACA" w14:textId="77777777" w:rsidR="003B122C" w:rsidRPr="0007395B" w:rsidRDefault="003B122C" w:rsidP="0007395B">
            <w:pPr>
              <w:pStyle w:val="TableTextEntries"/>
            </w:pPr>
            <w:r w:rsidRPr="0007395B">
              <w:t>23.89</w:t>
            </w:r>
          </w:p>
        </w:tc>
        <w:tc>
          <w:tcPr>
            <w:tcW w:w="1851" w:type="dxa"/>
          </w:tcPr>
          <w:p w14:paraId="198837A2" w14:textId="77777777" w:rsidR="003B122C" w:rsidRPr="0007395B" w:rsidRDefault="003B122C" w:rsidP="0007395B">
            <w:pPr>
              <w:pStyle w:val="TableTextEntries"/>
            </w:pPr>
            <w:r w:rsidRPr="0007395B">
              <w:t>23.01%</w:t>
            </w:r>
          </w:p>
        </w:tc>
      </w:tr>
      <w:tr w:rsidR="003B122C" w:rsidRPr="00180B19" w14:paraId="2B02BEC0" w14:textId="77777777" w:rsidTr="0007395B">
        <w:trPr>
          <w:cantSplit/>
          <w:tblHeader w:val="0"/>
        </w:trPr>
        <w:tc>
          <w:tcPr>
            <w:tcW w:w="5623" w:type="dxa"/>
          </w:tcPr>
          <w:p w14:paraId="1D48E5A0" w14:textId="77777777" w:rsidR="003B122C" w:rsidRPr="0007395B" w:rsidRDefault="003B122C" w:rsidP="0007395B">
            <w:pPr>
              <w:pStyle w:val="TableTextEntries"/>
            </w:pPr>
            <w:r w:rsidRPr="0007395B">
              <w:t>Other crosscutting initiatives</w:t>
            </w:r>
          </w:p>
        </w:tc>
        <w:tc>
          <w:tcPr>
            <w:tcW w:w="964" w:type="dxa"/>
          </w:tcPr>
          <w:p w14:paraId="109DEFC3" w14:textId="77777777" w:rsidR="003B122C" w:rsidRPr="0007395B" w:rsidRDefault="003B122C" w:rsidP="0007395B">
            <w:pPr>
              <w:pStyle w:val="TableTextEntries"/>
            </w:pPr>
            <w:r w:rsidRPr="0007395B">
              <w:t>7.85</w:t>
            </w:r>
          </w:p>
        </w:tc>
        <w:tc>
          <w:tcPr>
            <w:tcW w:w="1851" w:type="dxa"/>
          </w:tcPr>
          <w:p w14:paraId="1603CE01" w14:textId="77777777" w:rsidR="003B122C" w:rsidRPr="0007395B" w:rsidRDefault="003B122C" w:rsidP="0007395B">
            <w:pPr>
              <w:pStyle w:val="TableTextEntries"/>
            </w:pPr>
            <w:r w:rsidRPr="0007395B">
              <w:t>7.57%</w:t>
            </w:r>
          </w:p>
        </w:tc>
      </w:tr>
      <w:tr w:rsidR="003B122C" w:rsidRPr="00180B19" w14:paraId="07ACC8A9" w14:textId="77777777" w:rsidTr="0007395B">
        <w:trPr>
          <w:cnfStyle w:val="000000010000" w:firstRow="0" w:lastRow="0" w:firstColumn="0" w:lastColumn="0" w:oddVBand="0" w:evenVBand="0" w:oddHBand="0" w:evenHBand="1" w:firstRowFirstColumn="0" w:firstRowLastColumn="0" w:lastRowFirstColumn="0" w:lastRowLastColumn="0"/>
          <w:cantSplit/>
          <w:tblHeader w:val="0"/>
        </w:trPr>
        <w:tc>
          <w:tcPr>
            <w:tcW w:w="5623" w:type="dxa"/>
          </w:tcPr>
          <w:p w14:paraId="235CA30B" w14:textId="77777777" w:rsidR="003B122C" w:rsidRPr="0007395B" w:rsidRDefault="003B122C" w:rsidP="0007395B">
            <w:pPr>
              <w:pStyle w:val="TableTextColumnHeading"/>
            </w:pPr>
            <w:r w:rsidRPr="0007395B">
              <w:t>Total</w:t>
            </w:r>
          </w:p>
        </w:tc>
        <w:tc>
          <w:tcPr>
            <w:tcW w:w="964" w:type="dxa"/>
          </w:tcPr>
          <w:p w14:paraId="33E7A7ED" w14:textId="77777777" w:rsidR="003B122C" w:rsidRPr="0007395B" w:rsidRDefault="003B122C" w:rsidP="0007395B">
            <w:pPr>
              <w:pStyle w:val="TableTextColumnHeading"/>
            </w:pPr>
            <w:r w:rsidRPr="0007395B">
              <w:t>103.8</w:t>
            </w:r>
          </w:p>
        </w:tc>
        <w:tc>
          <w:tcPr>
            <w:tcW w:w="1851" w:type="dxa"/>
          </w:tcPr>
          <w:p w14:paraId="5921FB26" w14:textId="77777777" w:rsidR="003B122C" w:rsidRPr="0007395B" w:rsidRDefault="003B122C" w:rsidP="0007395B">
            <w:pPr>
              <w:pStyle w:val="TableTextColumnHeading"/>
            </w:pPr>
          </w:p>
        </w:tc>
      </w:tr>
    </w:tbl>
    <w:p w14:paraId="0A9AA56F" w14:textId="77777777" w:rsidR="003B122C" w:rsidRPr="004C4A3E" w:rsidRDefault="003B122C" w:rsidP="0007395B">
      <w:pPr>
        <w:pStyle w:val="Note"/>
      </w:pPr>
      <w:r w:rsidRPr="00180B19">
        <w:t xml:space="preserve">Source: </w:t>
      </w:r>
      <w:r>
        <w:t xml:space="preserve">Aidworks monthly </w:t>
      </w:r>
      <w:r w:rsidR="00335F19">
        <w:t xml:space="preserve">end of financial year </w:t>
      </w:r>
      <w:r>
        <w:t>forecast 2012</w:t>
      </w:r>
      <w:r w:rsidR="00335F19">
        <w:t>–</w:t>
      </w:r>
      <w:r>
        <w:t>13</w:t>
      </w:r>
      <w:r w:rsidR="00E80AB0">
        <w:t>.</w:t>
      </w:r>
    </w:p>
    <w:p w14:paraId="69C942FA" w14:textId="77777777" w:rsidR="00180B19" w:rsidRPr="0007395B" w:rsidRDefault="00180B19" w:rsidP="0007395B">
      <w:pPr>
        <w:pStyle w:val="Heading1"/>
      </w:pPr>
      <w:r w:rsidRPr="0007395B">
        <w:t>Progress towards objectives</w:t>
      </w:r>
    </w:p>
    <w:p w14:paraId="691B5EBD" w14:textId="77777777" w:rsidR="00B56514" w:rsidRDefault="00F831FB" w:rsidP="0007395B">
      <w:pPr>
        <w:pStyle w:val="BodyText"/>
      </w:pPr>
      <w:r w:rsidRPr="000D1993">
        <w:t xml:space="preserve">The Vietnam program uses a performance assessment framework (Annex </w:t>
      </w:r>
      <w:r w:rsidR="00D802BD" w:rsidRPr="000D1993">
        <w:t>F</w:t>
      </w:r>
      <w:r w:rsidRPr="000D1993">
        <w:t>) that provides milestones against which performance is assessed each year.</w:t>
      </w:r>
      <w:r w:rsidR="00710337">
        <w:t xml:space="preserve"> </w:t>
      </w:r>
      <w:r w:rsidRPr="000D1993">
        <w:t xml:space="preserve">As well as promoting rigour in </w:t>
      </w:r>
      <w:r w:rsidRPr="000D1993">
        <w:lastRenderedPageBreak/>
        <w:t>judging program implementation, the framework also promotes strategic focus.</w:t>
      </w:r>
      <w:r w:rsidR="00710337">
        <w:t xml:space="preserve"> </w:t>
      </w:r>
      <w:r w:rsidRPr="000D1993">
        <w:t>The ratings presented in this section are a combination of actual progress towards milestones and future challenges</w:t>
      </w:r>
      <w:r w:rsidR="00E80AB0">
        <w:t xml:space="preserve"> and </w:t>
      </w:r>
      <w:r w:rsidRPr="000D1993">
        <w:t>issues that could hinder progress.</w:t>
      </w:r>
      <w:r w:rsidR="00710337">
        <w:t xml:space="preserve"> </w:t>
      </w:r>
      <w:r w:rsidR="00B56514">
        <w:t xml:space="preserve">The ratings are informed by </w:t>
      </w:r>
      <w:r w:rsidR="00FE5718">
        <w:t xml:space="preserve">periodic </w:t>
      </w:r>
      <w:r w:rsidR="00B56514">
        <w:t>discussion with partners around program performance</w:t>
      </w:r>
      <w:r w:rsidR="00E80AB0">
        <w:t>, for example</w:t>
      </w:r>
      <w:r w:rsidR="00B56514">
        <w:t xml:space="preserve"> </w:t>
      </w:r>
      <w:r w:rsidR="00335F19">
        <w:t xml:space="preserve">the </w:t>
      </w:r>
      <w:r w:rsidR="00B56514">
        <w:t xml:space="preserve">joint annual review of the national target program on rural water supply and sanitation, </w:t>
      </w:r>
      <w:r w:rsidR="00335F19">
        <w:t xml:space="preserve">and </w:t>
      </w:r>
      <w:r w:rsidR="00FA39DE">
        <w:t>high-level</w:t>
      </w:r>
      <w:r w:rsidR="00B56514">
        <w:t xml:space="preserve"> consultations on development cooperation between Australia and Vietnam.</w:t>
      </w:r>
    </w:p>
    <w:p w14:paraId="752ECB43" w14:textId="08D947CE" w:rsidR="00180B19" w:rsidRPr="000D1993" w:rsidRDefault="00F1419E" w:rsidP="0007395B">
      <w:pPr>
        <w:pStyle w:val="BodyText"/>
      </w:pPr>
      <w:r w:rsidRPr="000D1993">
        <w:t>In 2012</w:t>
      </w:r>
      <w:r w:rsidR="00E80AB0">
        <w:t>–</w:t>
      </w:r>
      <w:r w:rsidRPr="000D1993">
        <w:t xml:space="preserve">13, </w:t>
      </w:r>
      <w:r w:rsidR="0079307B">
        <w:t xml:space="preserve">progress in </w:t>
      </w:r>
      <w:r w:rsidR="009163AF">
        <w:t>three areas––</w:t>
      </w:r>
      <w:r w:rsidRPr="000D1993">
        <w:t>human resource development, rural water supply and sanitation</w:t>
      </w:r>
      <w:r w:rsidR="00CD6D61">
        <w:t>,</w:t>
      </w:r>
      <w:r w:rsidR="009163AF">
        <w:t xml:space="preserve"> and climate change––</w:t>
      </w:r>
      <w:r w:rsidRPr="000D1993">
        <w:t xml:space="preserve">confirmed that </w:t>
      </w:r>
      <w:r w:rsidR="00E80AB0" w:rsidRPr="000D1993">
        <w:t xml:space="preserve">country strategy objectives </w:t>
      </w:r>
      <w:r w:rsidR="0079307B">
        <w:t xml:space="preserve">are on track to be </w:t>
      </w:r>
      <w:r w:rsidRPr="000D1993">
        <w:t>achieved by the strategy end in 2015</w:t>
      </w:r>
      <w:r w:rsidR="00E80AB0">
        <w:t xml:space="preserve">. The </w:t>
      </w:r>
      <w:r w:rsidRPr="000D1993">
        <w:t>fourth</w:t>
      </w:r>
      <w:r w:rsidR="00E80AB0">
        <w:t xml:space="preserve"> area</w:t>
      </w:r>
      <w:r w:rsidR="009163AF">
        <w:t>––</w:t>
      </w:r>
      <w:r w:rsidRPr="000D1993">
        <w:t>economic integration</w:t>
      </w:r>
      <w:r w:rsidR="009163AF">
        <w:t>––</w:t>
      </w:r>
      <w:r w:rsidRPr="000D1993">
        <w:t xml:space="preserve">is expected to only partially meet </w:t>
      </w:r>
      <w:r w:rsidR="00E80AB0">
        <w:t>c</w:t>
      </w:r>
      <w:r w:rsidR="00E80AB0" w:rsidRPr="000D1993">
        <w:t xml:space="preserve">ountry </w:t>
      </w:r>
      <w:r w:rsidR="00E80AB0">
        <w:t>s</w:t>
      </w:r>
      <w:r w:rsidR="00E80AB0" w:rsidRPr="000D1993">
        <w:t xml:space="preserve">trategy </w:t>
      </w:r>
      <w:r w:rsidRPr="000D1993">
        <w:t>objectives within the timeframe despite a number of successful activities.</w:t>
      </w:r>
      <w:r w:rsidR="00710337">
        <w:t xml:space="preserve"> </w:t>
      </w:r>
      <w:r w:rsidR="00886D18">
        <w:t xml:space="preserve">Four of the </w:t>
      </w:r>
      <w:r w:rsidR="00F831FB" w:rsidRPr="000D1993">
        <w:t>top five planned result</w:t>
      </w:r>
      <w:r w:rsidR="00EF087C">
        <w:t>s</w:t>
      </w:r>
      <w:r w:rsidR="00F831FB" w:rsidRPr="000D1993">
        <w:t xml:space="preserve"> </w:t>
      </w:r>
      <w:r w:rsidR="001B714C" w:rsidRPr="000D1993">
        <w:t xml:space="preserve">for 2012 (Annex </w:t>
      </w:r>
      <w:r w:rsidR="00D802BD" w:rsidRPr="000D1993">
        <w:t>E</w:t>
      </w:r>
      <w:r w:rsidR="001B714C" w:rsidRPr="000D1993">
        <w:t>) were achieved.</w:t>
      </w:r>
      <w:r w:rsidR="00180B19" w:rsidRPr="000D1993">
        <w:t xml:space="preserve"> </w:t>
      </w:r>
    </w:p>
    <w:p w14:paraId="1F38AF3F" w14:textId="77777777" w:rsidR="00BE65E4" w:rsidRDefault="00BE65E4" w:rsidP="0007395B">
      <w:pPr>
        <w:pStyle w:val="Caption"/>
      </w:pPr>
      <w:r>
        <w:t xml:space="preserve">Table </w:t>
      </w:r>
      <w:r w:rsidR="007F2A89">
        <w:fldChar w:fldCharType="begin"/>
      </w:r>
      <w:r w:rsidR="007F2A89">
        <w:instrText xml:space="preserve"> SEQ Table \* ARABIC </w:instrText>
      </w:r>
      <w:r w:rsidR="007F2A89">
        <w:fldChar w:fldCharType="separate"/>
      </w:r>
      <w:r w:rsidR="008C6687">
        <w:rPr>
          <w:noProof/>
        </w:rPr>
        <w:t>2</w:t>
      </w:r>
      <w:r w:rsidR="007F2A89">
        <w:rPr>
          <w:noProof/>
        </w:rPr>
        <w:fldChar w:fldCharType="end"/>
      </w:r>
      <w:r w:rsidR="00E80AB0">
        <w:rPr>
          <w:noProof/>
        </w:rPr>
        <w:t>:</w:t>
      </w:r>
      <w:r>
        <w:t xml:space="preserve"> Rating of the program's progress towards the objectives</w:t>
      </w:r>
    </w:p>
    <w:tbl>
      <w:tblPr>
        <w:tblStyle w:val="APPR"/>
        <w:tblW w:w="5000" w:type="pct"/>
        <w:tblLook w:val="0000" w:firstRow="0" w:lastRow="0" w:firstColumn="0" w:lastColumn="0" w:noHBand="0" w:noVBand="0"/>
      </w:tblPr>
      <w:tblGrid>
        <w:gridCol w:w="6426"/>
        <w:gridCol w:w="1057"/>
        <w:gridCol w:w="1123"/>
      </w:tblGrid>
      <w:tr w:rsidR="0007395B" w:rsidRPr="0019341B" w14:paraId="7C34E286" w14:textId="77777777" w:rsidTr="0007395B">
        <w:trPr>
          <w:cantSplit/>
          <w:trHeight w:val="20"/>
          <w:tblHeader w:val="0"/>
        </w:trPr>
        <w:tc>
          <w:tcPr>
            <w:tcW w:w="6029" w:type="dxa"/>
          </w:tcPr>
          <w:p w14:paraId="5CA7B88F" w14:textId="77777777" w:rsidR="0007395B" w:rsidRPr="0019341B" w:rsidRDefault="0007395B" w:rsidP="00B03FB1">
            <w:pPr>
              <w:pStyle w:val="TableTextColumnHeading"/>
            </w:pPr>
            <w:r w:rsidRPr="0019341B">
              <w:rPr>
                <w:noProof/>
                <w:lang w:eastAsia="en-AU"/>
              </w:rPr>
              <w:drawing>
                <wp:anchor distT="0" distB="0" distL="114300" distR="114300" simplePos="0" relativeHeight="251664384" behindDoc="0" locked="0" layoutInCell="1" allowOverlap="1" wp14:anchorId="5F2DDCF0" wp14:editId="7D81BADA">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72" w:type="dxa"/>
          </w:tcPr>
          <w:p w14:paraId="29603A64" w14:textId="77777777" w:rsidR="0007395B" w:rsidRPr="0019341B" w:rsidRDefault="0007395B" w:rsidP="00B03FB1">
            <w:pPr>
              <w:pStyle w:val="TableTextColumnHeading"/>
            </w:pPr>
            <w:r>
              <w:t>Current rating</w:t>
            </w:r>
          </w:p>
        </w:tc>
        <w:tc>
          <w:tcPr>
            <w:tcW w:w="1021" w:type="dxa"/>
          </w:tcPr>
          <w:p w14:paraId="5F207BA9" w14:textId="77777777" w:rsidR="0007395B" w:rsidRPr="0019341B" w:rsidRDefault="0007395B" w:rsidP="00B03FB1">
            <w:pPr>
              <w:pStyle w:val="TableTextColumnHeading"/>
            </w:pPr>
            <w:r>
              <w:t>Previous rating</w:t>
            </w:r>
          </w:p>
        </w:tc>
      </w:tr>
      <w:tr w:rsidR="0007395B" w:rsidRPr="009D53C4" w14:paraId="60F67D2C" w14:textId="77777777" w:rsidTr="0007395B">
        <w:trPr>
          <w:cnfStyle w:val="000000010000" w:firstRow="0" w:lastRow="0" w:firstColumn="0" w:lastColumn="0" w:oddVBand="0" w:evenVBand="0" w:oddHBand="0" w:evenHBand="1" w:firstRowFirstColumn="0" w:firstRowLastColumn="0" w:lastRowFirstColumn="0" w:lastRowLastColumn="0"/>
          <w:cantSplit/>
          <w:trHeight w:val="20"/>
          <w:tblHeader w:val="0"/>
        </w:trPr>
        <w:tc>
          <w:tcPr>
            <w:tcW w:w="6029" w:type="dxa"/>
          </w:tcPr>
          <w:p w14:paraId="13E3309C" w14:textId="77777777" w:rsidR="0007395B" w:rsidRPr="0007395B" w:rsidRDefault="0007395B" w:rsidP="0007395B">
            <w:pPr>
              <w:pStyle w:val="TableTextEntries"/>
            </w:pPr>
            <w:r w:rsidRPr="0007395B">
              <w:t>Objective 1: Improvement in the quality of Vietnam’s human resources</w:t>
            </w:r>
          </w:p>
        </w:tc>
        <w:tc>
          <w:tcPr>
            <w:tcW w:w="972" w:type="dxa"/>
            <w:shd w:val="clear" w:color="auto" w:fill="92D050"/>
            <w:noWrap/>
          </w:tcPr>
          <w:p w14:paraId="0DCC82F4" w14:textId="77777777" w:rsidR="0007395B" w:rsidRPr="0007395B" w:rsidRDefault="0007395B" w:rsidP="0007395B">
            <w:pPr>
              <w:pStyle w:val="TableTextEntries"/>
            </w:pPr>
            <w:r w:rsidRPr="0007395B">
              <w:t>Green</w:t>
            </w:r>
          </w:p>
        </w:tc>
        <w:tc>
          <w:tcPr>
            <w:tcW w:w="1021" w:type="dxa"/>
            <w:shd w:val="clear" w:color="auto" w:fill="92D050"/>
            <w:noWrap/>
          </w:tcPr>
          <w:p w14:paraId="1AEBBE76" w14:textId="77777777" w:rsidR="0007395B" w:rsidRPr="0007395B" w:rsidRDefault="0007395B" w:rsidP="0007395B">
            <w:pPr>
              <w:pStyle w:val="TableTextEntries"/>
            </w:pPr>
            <w:r w:rsidRPr="0007395B">
              <w:t>Green</w:t>
            </w:r>
          </w:p>
        </w:tc>
      </w:tr>
      <w:tr w:rsidR="0007395B" w:rsidRPr="009D53C4" w14:paraId="673E4081" w14:textId="77777777" w:rsidTr="0007395B">
        <w:trPr>
          <w:cantSplit/>
          <w:trHeight w:val="20"/>
          <w:tblHeader w:val="0"/>
        </w:trPr>
        <w:tc>
          <w:tcPr>
            <w:tcW w:w="6029" w:type="dxa"/>
          </w:tcPr>
          <w:p w14:paraId="6B2CE5B0" w14:textId="77777777" w:rsidR="0007395B" w:rsidRPr="0007395B" w:rsidRDefault="0007395B" w:rsidP="0007395B">
            <w:pPr>
              <w:pStyle w:val="TableTextEntries"/>
            </w:pPr>
            <w:r w:rsidRPr="0007395B">
              <w:t>Objective 2: Better transport infrastructure and policy to support economic integration</w:t>
            </w:r>
          </w:p>
        </w:tc>
        <w:tc>
          <w:tcPr>
            <w:tcW w:w="972" w:type="dxa"/>
            <w:shd w:val="clear" w:color="auto" w:fill="F79646" w:themeFill="accent6"/>
            <w:noWrap/>
          </w:tcPr>
          <w:p w14:paraId="34746F93" w14:textId="77777777" w:rsidR="0007395B" w:rsidRPr="0007395B" w:rsidRDefault="0007395B" w:rsidP="0007395B">
            <w:pPr>
              <w:pStyle w:val="TableTextEntries"/>
            </w:pPr>
            <w:r w:rsidRPr="0007395B">
              <w:t>Amber</w:t>
            </w:r>
          </w:p>
        </w:tc>
        <w:tc>
          <w:tcPr>
            <w:tcW w:w="1021" w:type="dxa"/>
            <w:shd w:val="clear" w:color="auto" w:fill="F79646" w:themeFill="accent6"/>
            <w:noWrap/>
          </w:tcPr>
          <w:p w14:paraId="1727A6FF" w14:textId="77777777" w:rsidR="0007395B" w:rsidRPr="0007395B" w:rsidRDefault="0007395B" w:rsidP="0007395B">
            <w:pPr>
              <w:pStyle w:val="TableTextEntries"/>
            </w:pPr>
            <w:r w:rsidRPr="0007395B">
              <w:t>Amber</w:t>
            </w:r>
          </w:p>
        </w:tc>
      </w:tr>
      <w:tr w:rsidR="0007395B" w:rsidRPr="009D53C4" w14:paraId="509E905E" w14:textId="77777777" w:rsidTr="0007395B">
        <w:trPr>
          <w:cnfStyle w:val="000000010000" w:firstRow="0" w:lastRow="0" w:firstColumn="0" w:lastColumn="0" w:oddVBand="0" w:evenVBand="0" w:oddHBand="0" w:evenHBand="1" w:firstRowFirstColumn="0" w:firstRowLastColumn="0" w:lastRowFirstColumn="0" w:lastRowLastColumn="0"/>
          <w:cantSplit/>
          <w:trHeight w:val="20"/>
          <w:tblHeader w:val="0"/>
        </w:trPr>
        <w:tc>
          <w:tcPr>
            <w:tcW w:w="6029" w:type="dxa"/>
          </w:tcPr>
          <w:p w14:paraId="5A3D73B9" w14:textId="77777777" w:rsidR="0007395B" w:rsidRPr="0007395B" w:rsidRDefault="0007395B" w:rsidP="0007395B">
            <w:pPr>
              <w:pStyle w:val="TableTextEntries"/>
            </w:pPr>
            <w:r w:rsidRPr="0007395B">
              <w:t>Objective 3: Increase rural access to clean water and sanitation</w:t>
            </w:r>
          </w:p>
        </w:tc>
        <w:tc>
          <w:tcPr>
            <w:tcW w:w="972" w:type="dxa"/>
            <w:shd w:val="clear" w:color="auto" w:fill="92D050"/>
            <w:noWrap/>
          </w:tcPr>
          <w:p w14:paraId="028D5867" w14:textId="77777777" w:rsidR="0007395B" w:rsidRPr="0007395B" w:rsidRDefault="0007395B" w:rsidP="0007395B">
            <w:pPr>
              <w:pStyle w:val="TableTextEntries"/>
            </w:pPr>
            <w:r w:rsidRPr="0007395B">
              <w:t>Green</w:t>
            </w:r>
          </w:p>
        </w:tc>
        <w:tc>
          <w:tcPr>
            <w:tcW w:w="1021" w:type="dxa"/>
            <w:shd w:val="clear" w:color="auto" w:fill="92D050"/>
            <w:noWrap/>
          </w:tcPr>
          <w:p w14:paraId="233202B5" w14:textId="77777777" w:rsidR="0007395B" w:rsidRPr="0007395B" w:rsidRDefault="0007395B" w:rsidP="0007395B">
            <w:pPr>
              <w:pStyle w:val="TableTextEntries"/>
            </w:pPr>
            <w:r w:rsidRPr="0007395B">
              <w:t>Green</w:t>
            </w:r>
          </w:p>
        </w:tc>
      </w:tr>
      <w:tr w:rsidR="0007395B" w:rsidRPr="009D53C4" w14:paraId="1FB75124" w14:textId="77777777" w:rsidTr="0007395B">
        <w:trPr>
          <w:cantSplit/>
          <w:trHeight w:val="20"/>
          <w:tblHeader w:val="0"/>
        </w:trPr>
        <w:tc>
          <w:tcPr>
            <w:tcW w:w="6029" w:type="dxa"/>
          </w:tcPr>
          <w:p w14:paraId="6E1540B2" w14:textId="77777777" w:rsidR="0007395B" w:rsidRPr="0007395B" w:rsidRDefault="0007395B" w:rsidP="0007395B">
            <w:pPr>
              <w:pStyle w:val="TableTextEntries"/>
            </w:pPr>
            <w:r w:rsidRPr="0007395B">
              <w:t>Objective 4: Advance climate change adaptation and mitigation</w:t>
            </w:r>
          </w:p>
        </w:tc>
        <w:tc>
          <w:tcPr>
            <w:tcW w:w="972" w:type="dxa"/>
            <w:shd w:val="clear" w:color="auto" w:fill="92D050"/>
            <w:noWrap/>
          </w:tcPr>
          <w:p w14:paraId="405FED64" w14:textId="77777777" w:rsidR="0007395B" w:rsidRPr="0007395B" w:rsidRDefault="0007395B" w:rsidP="0007395B">
            <w:pPr>
              <w:pStyle w:val="TableTextEntries"/>
            </w:pPr>
            <w:r w:rsidRPr="0007395B">
              <w:t>Green</w:t>
            </w:r>
          </w:p>
        </w:tc>
        <w:tc>
          <w:tcPr>
            <w:tcW w:w="1021" w:type="dxa"/>
            <w:shd w:val="clear" w:color="auto" w:fill="92D050"/>
            <w:noWrap/>
          </w:tcPr>
          <w:p w14:paraId="469A1228" w14:textId="77777777" w:rsidR="0007395B" w:rsidRPr="0007395B" w:rsidRDefault="0007395B" w:rsidP="0007395B">
            <w:pPr>
              <w:pStyle w:val="TableTextEntries"/>
            </w:pPr>
            <w:r w:rsidRPr="0007395B">
              <w:t>Green</w:t>
            </w:r>
          </w:p>
        </w:tc>
      </w:tr>
    </w:tbl>
    <w:p w14:paraId="56B085ED" w14:textId="77777777" w:rsidR="00180B19" w:rsidRPr="00180B19" w:rsidRDefault="00180B19" w:rsidP="004C65C6">
      <w:pPr>
        <w:pStyle w:val="Note"/>
      </w:pPr>
      <w:r w:rsidRPr="00180B19">
        <w:t xml:space="preserve">Note: </w:t>
      </w:r>
    </w:p>
    <w:p w14:paraId="4D0EC99C" w14:textId="77777777" w:rsidR="00180B19" w:rsidRPr="00180B19" w:rsidRDefault="00180B19" w:rsidP="004C65C6">
      <w:pPr>
        <w:pStyle w:val="Note"/>
      </w:pPr>
      <w:r w:rsidRPr="004C4A3E">
        <w:rPr>
          <w:color w:val="92D050"/>
        </w:rPr>
        <w:sym w:font="Webdings" w:char="F067"/>
      </w:r>
      <w:r w:rsidRPr="00180B19">
        <w:t> </w:t>
      </w:r>
      <w:r w:rsidRPr="00180B19">
        <w:t xml:space="preserve"> </w:t>
      </w:r>
      <w:r w:rsidR="00443639">
        <w:t xml:space="preserve">Green. </w:t>
      </w:r>
      <w:r w:rsidRPr="00180B19">
        <w:t>Progress is as expected for this point in time and it is likely that the objective will be achieved. Standard program management practices are sufficient.</w:t>
      </w:r>
    </w:p>
    <w:p w14:paraId="4B5950D2" w14:textId="77777777" w:rsidR="00180B19" w:rsidRPr="00180B19" w:rsidRDefault="00180B19" w:rsidP="004C65C6">
      <w:pPr>
        <w:pStyle w:val="Note"/>
      </w:pPr>
      <w:r w:rsidRPr="004C4A3E">
        <w:rPr>
          <w:color w:val="F79646" w:themeColor="accent6"/>
        </w:rPr>
        <w:sym w:font="Webdings" w:char="F067"/>
      </w:r>
      <w:r w:rsidRPr="00180B19">
        <w:t> </w:t>
      </w:r>
      <w:r w:rsidRPr="00180B19">
        <w:t xml:space="preserve"> </w:t>
      </w:r>
      <w:r w:rsidR="00443639">
        <w:t xml:space="preserve">Amber. </w:t>
      </w:r>
      <w:r w:rsidRPr="00180B19">
        <w:t>Progress is somewhat less than expected for this point in time and restorative action will be necessary if the objective is to be achieved. Close performance monitoring is recommended.</w:t>
      </w:r>
    </w:p>
    <w:p w14:paraId="5611AE79" w14:textId="1B781427" w:rsidR="00755D95" w:rsidRPr="0007395B" w:rsidRDefault="00180B19" w:rsidP="0007395B">
      <w:pPr>
        <w:pStyle w:val="Note"/>
      </w:pPr>
      <w:r w:rsidRPr="004C4A3E">
        <w:rPr>
          <w:color w:val="FF0000"/>
        </w:rPr>
        <w:sym w:font="Webdings" w:char="F067"/>
      </w:r>
      <w:r w:rsidRPr="00180B19">
        <w:t> </w:t>
      </w:r>
      <w:r w:rsidRPr="00180B19">
        <w:t xml:space="preserve"> </w:t>
      </w:r>
      <w:r w:rsidR="00443639">
        <w:t xml:space="preserve">Red. </w:t>
      </w:r>
      <w:r w:rsidRPr="00180B19">
        <w:t xml:space="preserve">Progress is significantly less than expected for this point in time and the objective is not likely to be met given available resources and priorities. Recasting the objective may be required. </w:t>
      </w:r>
    </w:p>
    <w:p w14:paraId="01C133E4" w14:textId="77777777" w:rsidR="006659FF" w:rsidRPr="0007395B" w:rsidRDefault="006659FF" w:rsidP="0007395B">
      <w:pPr>
        <w:pStyle w:val="Heading2"/>
      </w:pPr>
      <w:r w:rsidRPr="0007395B">
        <w:t xml:space="preserve">Strategy </w:t>
      </w:r>
      <w:r w:rsidR="00E80AB0" w:rsidRPr="0007395B">
        <w:t xml:space="preserve">objective </w:t>
      </w:r>
      <w:r w:rsidRPr="0007395B">
        <w:t>1:</w:t>
      </w:r>
      <w:r w:rsidR="00710337" w:rsidRPr="0007395B">
        <w:t xml:space="preserve"> </w:t>
      </w:r>
      <w:r w:rsidRPr="0007395B">
        <w:t>Improvement in the quality of Vietnam’s human resources</w:t>
      </w:r>
    </w:p>
    <w:p w14:paraId="6BF054D1" w14:textId="77777777" w:rsidR="00CD0BF5" w:rsidRPr="006C382A" w:rsidRDefault="00CD0BF5" w:rsidP="0007395B">
      <w:pPr>
        <w:pStyle w:val="BodyText"/>
      </w:pPr>
      <w:r>
        <w:t>Vietnam</w:t>
      </w:r>
      <w:r w:rsidRPr="006C382A">
        <w:t xml:space="preserve"> </w:t>
      </w:r>
      <w:r w:rsidR="00335F19">
        <w:t>d</w:t>
      </w:r>
      <w:r w:rsidR="00335F19" w:rsidRPr="006C382A">
        <w:t xml:space="preserve">evelopment </w:t>
      </w:r>
      <w:r w:rsidR="00335F19">
        <w:t>g</w:t>
      </w:r>
      <w:r w:rsidR="00335F19" w:rsidRPr="006C382A">
        <w:t>oal</w:t>
      </w:r>
      <w:r w:rsidRPr="006C382A">
        <w:t xml:space="preserve">: </w:t>
      </w:r>
      <w:r>
        <w:t xml:space="preserve">To meet human resources needs associated with progression to </w:t>
      </w:r>
      <w:r w:rsidR="004E6A61">
        <w:t xml:space="preserve">an </w:t>
      </w:r>
      <w:r>
        <w:t>industrialised country by 2020</w:t>
      </w:r>
    </w:p>
    <w:tbl>
      <w:tblPr>
        <w:tblStyle w:val="APPR"/>
        <w:tblW w:w="5000" w:type="pct"/>
        <w:tblLook w:val="01E0" w:firstRow="1" w:lastRow="1" w:firstColumn="1" w:lastColumn="1" w:noHBand="0" w:noVBand="0"/>
      </w:tblPr>
      <w:tblGrid>
        <w:gridCol w:w="6894"/>
        <w:gridCol w:w="1712"/>
      </w:tblGrid>
      <w:tr w:rsidR="00CD0BF5" w:rsidRPr="006C382A" w14:paraId="162E91C3" w14:textId="77777777" w:rsidTr="0007395B">
        <w:trPr>
          <w:cnfStyle w:val="100000000000" w:firstRow="1" w:lastRow="0" w:firstColumn="0" w:lastColumn="0" w:oddVBand="0" w:evenVBand="0" w:oddHBand="0" w:evenHBand="0" w:firstRowFirstColumn="0" w:firstRowLastColumn="0" w:lastRowFirstColumn="0" w:lastRowLastColumn="0"/>
          <w:cantSplit/>
          <w:tblHeader w:val="0"/>
        </w:trPr>
        <w:tc>
          <w:tcPr>
            <w:tcW w:w="3973" w:type="pct"/>
          </w:tcPr>
          <w:p w14:paraId="7DF2CF75" w14:textId="77777777" w:rsidR="00CD0BF5" w:rsidRPr="0007395B" w:rsidRDefault="00CD0BF5" w:rsidP="0007395B">
            <w:pPr>
              <w:pStyle w:val="TableTextColumnHeading"/>
              <w:rPr>
                <w:rFonts w:eastAsia="Calibri"/>
                <w:b/>
              </w:rPr>
            </w:pPr>
            <w:r w:rsidRPr="0007395B">
              <w:rPr>
                <w:rFonts w:eastAsia="Calibri"/>
                <w:b/>
              </w:rPr>
              <w:t>Objective</w:t>
            </w:r>
          </w:p>
        </w:tc>
        <w:tc>
          <w:tcPr>
            <w:tcW w:w="968" w:type="pct"/>
          </w:tcPr>
          <w:p w14:paraId="670DC43F" w14:textId="77777777" w:rsidR="00CD0BF5" w:rsidRPr="0007395B" w:rsidRDefault="00CD0BF5" w:rsidP="0007395B">
            <w:pPr>
              <w:pStyle w:val="TableTextColumnHeading"/>
              <w:rPr>
                <w:rFonts w:eastAsia="Calibri"/>
                <w:b/>
              </w:rPr>
            </w:pPr>
            <w:r w:rsidRPr="0007395B">
              <w:rPr>
                <w:rFonts w:eastAsia="Calibri"/>
                <w:b/>
              </w:rPr>
              <w:t xml:space="preserve">Current rating </w:t>
            </w:r>
          </w:p>
        </w:tc>
      </w:tr>
      <w:tr w:rsidR="00CD0BF5" w:rsidRPr="006C382A" w14:paraId="091C98BD" w14:textId="77777777" w:rsidTr="0007395B">
        <w:trPr>
          <w:cantSplit/>
          <w:tblHeader w:val="0"/>
        </w:trPr>
        <w:tc>
          <w:tcPr>
            <w:tcW w:w="3973" w:type="pct"/>
          </w:tcPr>
          <w:p w14:paraId="139A9665" w14:textId="77777777" w:rsidR="00CD0BF5" w:rsidRPr="0007395B" w:rsidRDefault="00CD0BF5" w:rsidP="0007395B">
            <w:pPr>
              <w:pStyle w:val="TableTextEntries"/>
              <w:rPr>
                <w:rFonts w:eastAsia="Calibri"/>
              </w:rPr>
            </w:pPr>
            <w:r w:rsidRPr="0007395B">
              <w:rPr>
                <w:rFonts w:eastAsia="Calibri"/>
              </w:rPr>
              <w:t xml:space="preserve">Objective </w:t>
            </w:r>
            <w:r w:rsidRPr="0007395B">
              <w:t>1</w:t>
            </w:r>
            <w:r w:rsidR="00710337" w:rsidRPr="0007395B">
              <w:t xml:space="preserve"> </w:t>
            </w:r>
            <w:r w:rsidRPr="0007395B">
              <w:rPr>
                <w:rFonts w:eastAsia="Calibri"/>
              </w:rPr>
              <w:t>Improvement in the quality of Vietnam’s human resources</w:t>
            </w:r>
          </w:p>
        </w:tc>
        <w:tc>
          <w:tcPr>
            <w:tcW w:w="968" w:type="pct"/>
            <w:tcBorders>
              <w:top w:val="nil"/>
              <w:bottom w:val="nil"/>
            </w:tcBorders>
            <w:shd w:val="clear" w:color="auto" w:fill="92D050"/>
          </w:tcPr>
          <w:p w14:paraId="2C886F25" w14:textId="5A380EE1" w:rsidR="00CD0BF5" w:rsidRPr="0007395B" w:rsidRDefault="00CD0BF5" w:rsidP="0007395B">
            <w:pPr>
              <w:pStyle w:val="TableTextEntries"/>
              <w:rPr>
                <w:rFonts w:eastAsia="Calibri"/>
              </w:rPr>
            </w:pPr>
            <w:r w:rsidRPr="0007395B">
              <w:rPr>
                <w:rFonts w:eastAsia="Calibri"/>
              </w:rPr>
              <w:t>green</w:t>
            </w:r>
          </w:p>
        </w:tc>
      </w:tr>
    </w:tbl>
    <w:p w14:paraId="291C4A47" w14:textId="77777777" w:rsidR="00CD0BF5" w:rsidRPr="0007395B" w:rsidRDefault="00CD0BF5" w:rsidP="0007395B">
      <w:pPr>
        <w:pStyle w:val="Heading3"/>
      </w:pPr>
      <w:r w:rsidRPr="0007395B">
        <w:t>Annual milestone targets 2012</w:t>
      </w:r>
    </w:p>
    <w:p w14:paraId="3D5A4170" w14:textId="77777777" w:rsidR="00CD0BF5" w:rsidRPr="006C382A" w:rsidRDefault="00E80AB0" w:rsidP="0007395B">
      <w:pPr>
        <w:pStyle w:val="ListBullet"/>
      </w:pPr>
      <w:r>
        <w:t xml:space="preserve">Start </w:t>
      </w:r>
      <w:r w:rsidR="00CD0BF5">
        <w:t>develop</w:t>
      </w:r>
      <w:r>
        <w:t>ing</w:t>
      </w:r>
      <w:r w:rsidR="00CD0BF5">
        <w:t xml:space="preserve"> delivery strategy for human resource development (achieved)</w:t>
      </w:r>
      <w:r>
        <w:t>.</w:t>
      </w:r>
    </w:p>
    <w:p w14:paraId="4A8D2FA4" w14:textId="77777777" w:rsidR="00CD0BF5" w:rsidRPr="006C382A" w:rsidRDefault="00E80AB0" w:rsidP="0007395B">
      <w:pPr>
        <w:pStyle w:val="ListBullet"/>
      </w:pPr>
      <w:r>
        <w:t xml:space="preserve">Award </w:t>
      </w:r>
      <w:r w:rsidR="00CD0BF5">
        <w:t xml:space="preserve">225 Australia Awards, 18 Australian Leadership Awards and </w:t>
      </w:r>
      <w:r>
        <w:t xml:space="preserve">between </w:t>
      </w:r>
      <w:r w:rsidR="00CD0BF5">
        <w:t>50</w:t>
      </w:r>
      <w:r>
        <w:t xml:space="preserve"> and </w:t>
      </w:r>
      <w:r w:rsidR="00CD0BF5">
        <w:t>60 Australia Awards Fellowships (achieved)</w:t>
      </w:r>
      <w:r>
        <w:t>.</w:t>
      </w:r>
    </w:p>
    <w:p w14:paraId="25698B22" w14:textId="77777777" w:rsidR="00CD0BF5" w:rsidRDefault="00CD0BF5" w:rsidP="0007395B">
      <w:pPr>
        <w:pStyle w:val="ListBullet"/>
      </w:pPr>
      <w:r>
        <w:t>Update monitoring and evaluation framework (achieved)</w:t>
      </w:r>
      <w:r w:rsidR="00E80AB0">
        <w:t>.</w:t>
      </w:r>
    </w:p>
    <w:p w14:paraId="5D0B680C" w14:textId="77777777" w:rsidR="00CD0BF5" w:rsidRPr="006C382A" w:rsidRDefault="00CD0BF5" w:rsidP="0007395B">
      <w:pPr>
        <w:pStyle w:val="ListBullet"/>
      </w:pPr>
      <w:r>
        <w:t>Provide comprehensive reintegration support for alumni (achieved)</w:t>
      </w:r>
      <w:r w:rsidR="00E80AB0">
        <w:t>.</w:t>
      </w:r>
    </w:p>
    <w:p w14:paraId="19A38641" w14:textId="77777777" w:rsidR="00CD0BF5" w:rsidRPr="00712349" w:rsidRDefault="00CD0BF5" w:rsidP="0007395B">
      <w:pPr>
        <w:pStyle w:val="ListBullet"/>
      </w:pPr>
      <w:r>
        <w:t>Complete an institutional impact assessment of scholarships program on key central government agencies</w:t>
      </w:r>
      <w:r w:rsidR="007069F7">
        <w:t xml:space="preserve"> (achieved)</w:t>
      </w:r>
      <w:r w:rsidR="00E80AB0">
        <w:t>.</w:t>
      </w:r>
    </w:p>
    <w:p w14:paraId="316222B0" w14:textId="77777777" w:rsidR="006659FF" w:rsidRPr="006659FF" w:rsidRDefault="00FA39DE" w:rsidP="0007395B">
      <w:pPr>
        <w:pStyle w:val="BodyText"/>
      </w:pPr>
      <w:r>
        <w:t>Vietnam’s</w:t>
      </w:r>
      <w:r w:rsidR="00E80AB0" w:rsidRPr="00CB13B7">
        <w:t xml:space="preserve"> </w:t>
      </w:r>
      <w:r w:rsidR="00CB13B7" w:rsidRPr="00CB13B7">
        <w:t>Socio-Economic Development Plan 2011</w:t>
      </w:r>
      <w:r w:rsidR="00E80AB0">
        <w:t>–</w:t>
      </w:r>
      <w:r w:rsidR="00CB13B7" w:rsidRPr="00CB13B7">
        <w:t>2015 identifies human resource development as one of three key breakthrough areas to achieve Vietnam’s development</w:t>
      </w:r>
      <w:r w:rsidR="00E80AB0">
        <w:t xml:space="preserve"> goals</w:t>
      </w:r>
      <w:r w:rsidR="00F769FF">
        <w:t>.</w:t>
      </w:r>
      <w:r w:rsidR="00710337">
        <w:t xml:space="preserve"> </w:t>
      </w:r>
      <w:r w:rsidR="00F769FF">
        <w:t>K</w:t>
      </w:r>
      <w:r w:rsidR="006659FF" w:rsidRPr="006659FF">
        <w:t>ey current challenges are the low quality of education, particularly at the tertiary level, low research capacity, and a mismatch between training and labour needs.</w:t>
      </w:r>
      <w:r w:rsidR="00710337">
        <w:t xml:space="preserve"> </w:t>
      </w:r>
    </w:p>
    <w:p w14:paraId="5F2FCBAF" w14:textId="77777777" w:rsidR="00E80AB0" w:rsidRDefault="006659FF" w:rsidP="0007395B">
      <w:pPr>
        <w:pStyle w:val="BodyText"/>
      </w:pPr>
      <w:r w:rsidRPr="006659FF">
        <w:t>Improving human resource quality through demand-based training and enhancing capacity of policy makers, entrepreneurs and skilled workers are identified as priority areas.</w:t>
      </w:r>
      <w:r w:rsidR="00710337">
        <w:t xml:space="preserve"> </w:t>
      </w:r>
      <w:r w:rsidRPr="006659FF">
        <w:t xml:space="preserve">Training </w:t>
      </w:r>
      <w:r w:rsidRPr="006659FF">
        <w:lastRenderedPageBreak/>
        <w:t>eight million Vietnamese at undergraduate level and 300</w:t>
      </w:r>
      <w:r w:rsidR="00E80AB0">
        <w:t xml:space="preserve"> </w:t>
      </w:r>
      <w:r w:rsidRPr="006659FF">
        <w:t>000 at postgraduate level, and having 30 per cent of university lecturers with doctorate degrees</w:t>
      </w:r>
      <w:r w:rsidR="00403152">
        <w:t>,</w:t>
      </w:r>
      <w:r w:rsidRPr="006659FF">
        <w:t xml:space="preserve"> are goals the G</w:t>
      </w:r>
      <w:r w:rsidR="0065679C">
        <w:t xml:space="preserve">overnment </w:t>
      </w:r>
      <w:r w:rsidRPr="006659FF">
        <w:t>o</w:t>
      </w:r>
      <w:r w:rsidR="0065679C">
        <w:t xml:space="preserve">f </w:t>
      </w:r>
      <w:r w:rsidRPr="006659FF">
        <w:t>V</w:t>
      </w:r>
      <w:r w:rsidR="0065679C">
        <w:t>ietnam</w:t>
      </w:r>
      <w:r w:rsidRPr="006659FF">
        <w:t xml:space="preserve"> aims to achieve by 2020 as </w:t>
      </w:r>
      <w:r w:rsidR="00E80AB0">
        <w:t>articulated</w:t>
      </w:r>
      <w:r w:rsidR="00E80AB0" w:rsidRPr="006659FF">
        <w:t xml:space="preserve"> </w:t>
      </w:r>
      <w:r w:rsidRPr="006659FF">
        <w:t>in its Master Plan for Human Resource Management 2011</w:t>
      </w:r>
      <w:r w:rsidR="00E80AB0">
        <w:t>–20</w:t>
      </w:r>
      <w:r w:rsidRPr="006659FF">
        <w:t>20.</w:t>
      </w:r>
      <w:r w:rsidR="00710337">
        <w:t xml:space="preserve"> </w:t>
      </w:r>
    </w:p>
    <w:p w14:paraId="407A5330" w14:textId="4480300C" w:rsidR="006659FF" w:rsidRPr="006659FF" w:rsidRDefault="006659FF" w:rsidP="0007395B">
      <w:pPr>
        <w:pStyle w:val="BodyText"/>
      </w:pPr>
      <w:r w:rsidRPr="006659FF">
        <w:t xml:space="preserve">To date, no reports </w:t>
      </w:r>
      <w:r w:rsidR="00403152">
        <w:t xml:space="preserve">are available on implementation of </w:t>
      </w:r>
      <w:r w:rsidR="00E80AB0">
        <w:t>this master plan</w:t>
      </w:r>
      <w:r w:rsidRPr="006659FF">
        <w:t>, although there is some progress.</w:t>
      </w:r>
      <w:r w:rsidR="00710337">
        <w:t xml:space="preserve"> </w:t>
      </w:r>
      <w:r w:rsidRPr="006659FF">
        <w:t xml:space="preserve">During 2012, many provinces developed and approved their own plan for provincial human resource development to implement the </w:t>
      </w:r>
      <w:r w:rsidR="00403152">
        <w:t xml:space="preserve">national </w:t>
      </w:r>
      <w:r w:rsidR="00E80AB0">
        <w:t>p</w:t>
      </w:r>
      <w:r w:rsidR="00403152">
        <w:t>lan</w:t>
      </w:r>
      <w:r w:rsidRPr="006659FF">
        <w:t>.</w:t>
      </w:r>
      <w:r w:rsidR="00710337">
        <w:t xml:space="preserve"> </w:t>
      </w:r>
      <w:r w:rsidRPr="006659FF">
        <w:t xml:space="preserve">In January 2013, the </w:t>
      </w:r>
      <w:r w:rsidR="00E80AB0">
        <w:t>government</w:t>
      </w:r>
      <w:r w:rsidR="00E80AB0" w:rsidRPr="006659FF">
        <w:t xml:space="preserve"> </w:t>
      </w:r>
      <w:r w:rsidRPr="006659FF">
        <w:t xml:space="preserve">convened a national videoconference to launch </w:t>
      </w:r>
      <w:r w:rsidR="009163AF">
        <w:t>its</w:t>
      </w:r>
      <w:r w:rsidRPr="006659FF">
        <w:t xml:space="preserve"> Education Development Strategy 2011</w:t>
      </w:r>
      <w:r w:rsidR="00E80AB0">
        <w:t>–</w:t>
      </w:r>
      <w:r w:rsidRPr="006659FF">
        <w:t xml:space="preserve">2020, which is considered one of the fundamental tools </w:t>
      </w:r>
      <w:r w:rsidR="00E80AB0">
        <w:t>to underscore</w:t>
      </w:r>
      <w:r w:rsidR="00E80AB0" w:rsidRPr="006659FF">
        <w:t xml:space="preserve"> </w:t>
      </w:r>
      <w:r w:rsidR="00E80AB0">
        <w:t>the human resource m</w:t>
      </w:r>
      <w:r w:rsidR="00403152">
        <w:t xml:space="preserve">aster </w:t>
      </w:r>
      <w:r w:rsidR="00E80AB0">
        <w:t>p</w:t>
      </w:r>
      <w:r w:rsidR="00403152">
        <w:t>lan</w:t>
      </w:r>
      <w:r w:rsidRPr="006659FF">
        <w:t>.</w:t>
      </w:r>
      <w:r w:rsidR="00710337">
        <w:t xml:space="preserve"> </w:t>
      </w:r>
      <w:r w:rsidRPr="006659FF">
        <w:t xml:space="preserve">In 2012, </w:t>
      </w:r>
      <w:r w:rsidR="00E80AB0">
        <w:t>the government</w:t>
      </w:r>
      <w:r w:rsidR="00E80AB0" w:rsidRPr="006659FF">
        <w:t xml:space="preserve"> </w:t>
      </w:r>
      <w:r w:rsidRPr="006659FF">
        <w:t>commenced its new PhD overseas training program (Program 911) and its first selection round is currently open for 1100 awardees</w:t>
      </w:r>
      <w:r w:rsidR="00E80AB0">
        <w:t xml:space="preserve">, </w:t>
      </w:r>
      <w:r w:rsidRPr="006659FF">
        <w:t xml:space="preserve">50 </w:t>
      </w:r>
      <w:r w:rsidR="00E80AB0">
        <w:t xml:space="preserve">of who will </w:t>
      </w:r>
      <w:r w:rsidRPr="006659FF">
        <w:t>study in Australia.</w:t>
      </w:r>
      <w:r w:rsidR="00710337">
        <w:t xml:space="preserve"> </w:t>
      </w:r>
      <w:r w:rsidRPr="006659FF">
        <w:t>In March 2013, the Ministry of Education and Training withdrew permission to 27 Vietnamese academic institutions to provide PhD-level education</w:t>
      </w:r>
      <w:r w:rsidR="003D2E2F">
        <w:t>,</w:t>
      </w:r>
      <w:r w:rsidRPr="006659FF">
        <w:t xml:space="preserve"> as they did not meet quality standards</w:t>
      </w:r>
      <w:r w:rsidR="003D2E2F">
        <w:t>.</w:t>
      </w:r>
      <w:r w:rsidRPr="00132003">
        <w:rPr>
          <w:vertAlign w:val="superscript"/>
        </w:rPr>
        <w:footnoteReference w:id="2"/>
      </w:r>
      <w:r w:rsidR="00710337">
        <w:t xml:space="preserve"> </w:t>
      </w:r>
    </w:p>
    <w:p w14:paraId="4681C8E8" w14:textId="5700A08C" w:rsidR="006659FF" w:rsidRPr="006659FF" w:rsidRDefault="001F12A2" w:rsidP="0007395B">
      <w:pPr>
        <w:pStyle w:val="BodyText"/>
      </w:pPr>
      <w:r>
        <w:t>DFAT</w:t>
      </w:r>
      <w:r w:rsidR="006659FF" w:rsidRPr="006659FF">
        <w:t xml:space="preserve">’s Vietnam Country Strategy commits to </w:t>
      </w:r>
      <w:r w:rsidR="003D2E2F" w:rsidRPr="006659FF">
        <w:t>improv</w:t>
      </w:r>
      <w:r w:rsidR="003D2E2F">
        <w:t>ing</w:t>
      </w:r>
      <w:r w:rsidR="003D2E2F" w:rsidRPr="006659FF">
        <w:t xml:space="preserve"> </w:t>
      </w:r>
      <w:r w:rsidR="006659FF" w:rsidRPr="006659FF">
        <w:t xml:space="preserve">the quality of Vietnam’s human resources across the strategy’s </w:t>
      </w:r>
      <w:r w:rsidR="0079307B">
        <w:t>objectives</w:t>
      </w:r>
      <w:r w:rsidR="003D2E2F">
        <w:t>––</w:t>
      </w:r>
      <w:r w:rsidR="006659FF" w:rsidRPr="006659FF">
        <w:t>to build individuals’ skills and impact, strengthen public institutions, and promote Australia</w:t>
      </w:r>
      <w:r w:rsidR="003D2E2F">
        <w:t>–</w:t>
      </w:r>
      <w:r w:rsidR="006659FF" w:rsidRPr="006659FF">
        <w:t>Vietnam linkages through knowledge and experience exchange.</w:t>
      </w:r>
      <w:r w:rsidR="00445C4E">
        <w:t xml:space="preserve"> </w:t>
      </w:r>
      <w:r>
        <w:t>DFAT</w:t>
      </w:r>
      <w:r w:rsidR="006659FF" w:rsidRPr="006659FF">
        <w:t xml:space="preserve">’s support is reaching the public and </w:t>
      </w:r>
      <w:r w:rsidR="007941CF">
        <w:t>non-government</w:t>
      </w:r>
      <w:r w:rsidR="006659FF" w:rsidRPr="006659FF">
        <w:t xml:space="preserve"> sectors and continues to prioritise support for disadvantaged areas. </w:t>
      </w:r>
    </w:p>
    <w:p w14:paraId="7065D02F" w14:textId="4E1C0196" w:rsidR="006659FF" w:rsidRPr="006659FF" w:rsidRDefault="006659FF" w:rsidP="0007395B">
      <w:pPr>
        <w:pStyle w:val="BodyText"/>
      </w:pPr>
      <w:r w:rsidRPr="006659FF">
        <w:t xml:space="preserve">The </w:t>
      </w:r>
      <w:r w:rsidR="003D2E2F">
        <w:t>human resource development</w:t>
      </w:r>
      <w:r w:rsidR="003D2E2F" w:rsidRPr="006659FF">
        <w:t xml:space="preserve"> </w:t>
      </w:r>
      <w:r w:rsidRPr="006659FF">
        <w:t xml:space="preserve">pillar’s </w:t>
      </w:r>
      <w:r w:rsidR="003D2E2F" w:rsidRPr="006659FF">
        <w:t xml:space="preserve">performance assessment framework </w:t>
      </w:r>
      <w:r w:rsidRPr="006659FF">
        <w:t>milestones for January 2012 to June 2013 have been fully achieved.</w:t>
      </w:r>
      <w:r w:rsidR="00710337">
        <w:t xml:space="preserve"> </w:t>
      </w:r>
      <w:r w:rsidRPr="006659FF">
        <w:t>Development of the Human Resource Development Delivery Strategy 2014</w:t>
      </w:r>
      <w:r w:rsidR="003D2E2F">
        <w:t>–</w:t>
      </w:r>
      <w:r w:rsidRPr="006659FF">
        <w:t xml:space="preserve">2020 has commenced and is scheduled to be finalised </w:t>
      </w:r>
      <w:r w:rsidR="007941CF">
        <w:t>in late</w:t>
      </w:r>
      <w:r w:rsidRPr="006659FF">
        <w:t xml:space="preserve"> 2013.</w:t>
      </w:r>
      <w:r w:rsidR="00710337">
        <w:t xml:space="preserve"> </w:t>
      </w:r>
      <w:r w:rsidR="003D2E2F" w:rsidRPr="006659FF">
        <w:t>Th</w:t>
      </w:r>
      <w:r w:rsidR="003D2E2F">
        <w:t>is s</w:t>
      </w:r>
      <w:r w:rsidRPr="006659FF">
        <w:t xml:space="preserve">trategy </w:t>
      </w:r>
      <w:r w:rsidR="007941CF">
        <w:t>will help</w:t>
      </w:r>
      <w:r w:rsidRPr="006659FF">
        <w:t xml:space="preserve"> keep Australia’s current and future </w:t>
      </w:r>
      <w:r w:rsidR="003D2E2F">
        <w:t>human resource</w:t>
      </w:r>
      <w:r w:rsidR="003D2E2F" w:rsidRPr="006659FF">
        <w:t xml:space="preserve"> </w:t>
      </w:r>
      <w:r w:rsidRPr="006659FF">
        <w:t>interventions outcome</w:t>
      </w:r>
      <w:r w:rsidR="00EF087C">
        <w:t>-</w:t>
      </w:r>
      <w:r w:rsidRPr="006659FF">
        <w:t>focused, sharpen</w:t>
      </w:r>
      <w:r w:rsidR="00445C4E">
        <w:t xml:space="preserve"> </w:t>
      </w:r>
      <w:r w:rsidR="001F12A2">
        <w:t>DFAT</w:t>
      </w:r>
      <w:r w:rsidRPr="006659FF">
        <w:t xml:space="preserve">’s overall </w:t>
      </w:r>
      <w:r w:rsidR="003D2E2F">
        <w:t>human resource</w:t>
      </w:r>
      <w:r w:rsidR="003D2E2F" w:rsidRPr="006659FF">
        <w:t xml:space="preserve"> </w:t>
      </w:r>
      <w:r w:rsidR="003D2E2F">
        <w:t xml:space="preserve">development </w:t>
      </w:r>
      <w:r w:rsidRPr="006659FF">
        <w:t>strategic objective, and clarify how we will deliver assistance and engage in the sector.</w:t>
      </w:r>
    </w:p>
    <w:p w14:paraId="0CF081CE" w14:textId="77777777" w:rsidR="006659FF" w:rsidRPr="006659FF" w:rsidRDefault="006659FF" w:rsidP="0007395B">
      <w:pPr>
        <w:pStyle w:val="Heading3"/>
      </w:pPr>
      <w:r w:rsidRPr="006659FF">
        <w:t>Improving individuals’ skills and impact</w:t>
      </w:r>
    </w:p>
    <w:p w14:paraId="01B07084" w14:textId="21D48567" w:rsidR="006659FF" w:rsidRPr="006659FF" w:rsidRDefault="006659FF" w:rsidP="0007395B">
      <w:pPr>
        <w:pStyle w:val="BodyText"/>
      </w:pPr>
      <w:r w:rsidRPr="006659FF">
        <w:t>Improving individuals’ skills and impact through the Australia Awards program remains the flagship of</w:t>
      </w:r>
      <w:r w:rsidR="00445C4E">
        <w:t xml:space="preserve"> </w:t>
      </w:r>
      <w:r w:rsidR="001F12A2">
        <w:t>DFAT</w:t>
      </w:r>
      <w:r w:rsidRPr="006659FF">
        <w:t xml:space="preserve">’s </w:t>
      </w:r>
      <w:r w:rsidR="003D2E2F">
        <w:t>human resource</w:t>
      </w:r>
      <w:r w:rsidR="003D2E2F" w:rsidRPr="006659FF">
        <w:t xml:space="preserve"> </w:t>
      </w:r>
      <w:r w:rsidR="003D2E2F">
        <w:t xml:space="preserve">development </w:t>
      </w:r>
      <w:r w:rsidRPr="006659FF">
        <w:t>support for Vietnam.</w:t>
      </w:r>
      <w:r w:rsidR="00710337">
        <w:t xml:space="preserve"> </w:t>
      </w:r>
      <w:r w:rsidRPr="006659FF">
        <w:t>Australia remains the largest scholarship provider to Vietnam, which ranks second after Indonesia for Australia Awards recipient countries.</w:t>
      </w:r>
      <w:r w:rsidR="00710337">
        <w:t xml:space="preserve"> </w:t>
      </w:r>
      <w:r w:rsidRPr="006659FF">
        <w:t xml:space="preserve">The </w:t>
      </w:r>
      <w:r w:rsidR="0045475F">
        <w:t xml:space="preserve">Vietnam Australia Awards </w:t>
      </w:r>
      <w:r w:rsidRPr="006659FF">
        <w:t xml:space="preserve">2012 </w:t>
      </w:r>
      <w:r w:rsidR="00205F2B">
        <w:t>a</w:t>
      </w:r>
      <w:r w:rsidR="00205F2B" w:rsidRPr="006659FF">
        <w:t xml:space="preserve">nnual </w:t>
      </w:r>
      <w:r w:rsidR="00205F2B">
        <w:t>r</w:t>
      </w:r>
      <w:r w:rsidR="00205F2B" w:rsidRPr="006659FF">
        <w:t xml:space="preserve">eport </w:t>
      </w:r>
      <w:r w:rsidRPr="006659FF">
        <w:t xml:space="preserve">indicated that overall, </w:t>
      </w:r>
      <w:r w:rsidR="001F12A2">
        <w:t xml:space="preserve">Australia </w:t>
      </w:r>
      <w:r w:rsidRPr="006659FF">
        <w:t>continues to contribute significantly to enhancing Vietnam’s professional, technical and leadership skills through postgraduate scholarships.</w:t>
      </w:r>
      <w:r w:rsidR="00710337">
        <w:t xml:space="preserve"> </w:t>
      </w:r>
    </w:p>
    <w:p w14:paraId="6CA0A0F0" w14:textId="45086681" w:rsidR="006659FF" w:rsidRPr="006659FF" w:rsidRDefault="006659FF" w:rsidP="0007395B">
      <w:pPr>
        <w:pStyle w:val="BodyText"/>
      </w:pPr>
      <w:r w:rsidRPr="006659FF">
        <w:t>In 2012</w:t>
      </w:r>
      <w:r w:rsidR="003D2E2F">
        <w:t>–</w:t>
      </w:r>
      <w:r w:rsidR="00B44032">
        <w:t>13</w:t>
      </w:r>
      <w:r w:rsidRPr="006659FF">
        <w:t xml:space="preserve">, </w:t>
      </w:r>
      <w:r w:rsidR="0030318A">
        <w:t>452</w:t>
      </w:r>
      <w:r w:rsidR="00996460" w:rsidRPr="006659FF">
        <w:t xml:space="preserve"> </w:t>
      </w:r>
      <w:r w:rsidRPr="006659FF">
        <w:t xml:space="preserve">tertiary scholarships were awarded to Vietnamese </w:t>
      </w:r>
      <w:r w:rsidR="0079307B">
        <w:t>candidates</w:t>
      </w:r>
      <w:r w:rsidR="00D5255B">
        <w:t>,</w:t>
      </w:r>
      <w:r w:rsidR="0079307B">
        <w:t xml:space="preserve"> 6</w:t>
      </w:r>
      <w:r w:rsidR="0030318A">
        <w:t>1</w:t>
      </w:r>
      <w:r w:rsidRPr="006659FF">
        <w:t xml:space="preserve"> per cent of who were women.</w:t>
      </w:r>
      <w:r w:rsidR="00710337">
        <w:t xml:space="preserve"> </w:t>
      </w:r>
      <w:r w:rsidRPr="006659FF">
        <w:t xml:space="preserve">This puts </w:t>
      </w:r>
      <w:r w:rsidR="001F12A2">
        <w:t xml:space="preserve">DFAT </w:t>
      </w:r>
      <w:r w:rsidRPr="006659FF">
        <w:t xml:space="preserve">on track to meet our </w:t>
      </w:r>
      <w:r w:rsidR="003D2E2F">
        <w:t>performance assessment framework</w:t>
      </w:r>
      <w:r w:rsidR="003D2E2F" w:rsidRPr="006659FF">
        <w:t xml:space="preserve"> </w:t>
      </w:r>
      <w:r w:rsidRPr="006659FF">
        <w:t>2015 target to provide 1380 postgraduate scholarships, with around 20</w:t>
      </w:r>
      <w:r w:rsidR="00832911">
        <w:t> </w:t>
      </w:r>
      <w:r w:rsidRPr="006659FF">
        <w:t>per</w:t>
      </w:r>
      <w:r w:rsidR="00832911">
        <w:t> </w:t>
      </w:r>
      <w:r w:rsidRPr="006659FF">
        <w:t>cent (275) for PhD degrees.</w:t>
      </w:r>
      <w:r w:rsidR="00710337">
        <w:t xml:space="preserve"> </w:t>
      </w:r>
      <w:r w:rsidRPr="006659FF">
        <w:t>Twenty-two outstanding awardees were chosen to take part in the Australia Awards Leadership Program</w:t>
      </w:r>
      <w:r w:rsidR="003D2E2F">
        <w:t>,</w:t>
      </w:r>
      <w:r w:rsidRPr="006659FF">
        <w:t xml:space="preserve"> representing 11 per cent of the global program.</w:t>
      </w:r>
      <w:r w:rsidR="00710337">
        <w:t xml:space="preserve"> </w:t>
      </w:r>
    </w:p>
    <w:p w14:paraId="7DA84D48" w14:textId="6E513116" w:rsidR="006659FF" w:rsidRPr="006659FF" w:rsidRDefault="006659FF" w:rsidP="0007395B">
      <w:pPr>
        <w:pStyle w:val="BodyText"/>
      </w:pPr>
      <w:r w:rsidRPr="006659FF">
        <w:t xml:space="preserve">Two people with disability received awards, the same number </w:t>
      </w:r>
      <w:r w:rsidR="007941CF">
        <w:t>as</w:t>
      </w:r>
      <w:r w:rsidRPr="006659FF">
        <w:t xml:space="preserve"> the previous year.</w:t>
      </w:r>
      <w:r w:rsidR="00710337">
        <w:t xml:space="preserve"> </w:t>
      </w:r>
      <w:r w:rsidR="001F12A2">
        <w:t xml:space="preserve">DFAT </w:t>
      </w:r>
      <w:r w:rsidR="003D2E2F" w:rsidRPr="006659FF">
        <w:t>recognise</w:t>
      </w:r>
      <w:r w:rsidR="003D2E2F">
        <w:t>s</w:t>
      </w:r>
      <w:r w:rsidR="003D2E2F" w:rsidRPr="006659FF">
        <w:t xml:space="preserve"> </w:t>
      </w:r>
      <w:r w:rsidRPr="006659FF">
        <w:t>the need to increase access and support for people with disability through the Australia Awards program</w:t>
      </w:r>
      <w:r w:rsidR="003D2E2F">
        <w:t xml:space="preserve"> and by</w:t>
      </w:r>
      <w:r w:rsidRPr="006659FF">
        <w:t xml:space="preserve"> June 2013 a dedicated Equity </w:t>
      </w:r>
      <w:r w:rsidR="006B33A7">
        <w:t xml:space="preserve">of Access </w:t>
      </w:r>
      <w:r w:rsidRPr="006659FF">
        <w:t>Fund will be established to provide better support to</w:t>
      </w:r>
      <w:r w:rsidR="003D2E2F">
        <w:t>,</w:t>
      </w:r>
      <w:r w:rsidRPr="006659FF">
        <w:t xml:space="preserve"> and facilitate more successful awardees</w:t>
      </w:r>
      <w:r w:rsidR="00205F2B" w:rsidRPr="00205F2B">
        <w:t xml:space="preserve"> </w:t>
      </w:r>
      <w:r w:rsidR="002D6DF0">
        <w:t>for</w:t>
      </w:r>
      <w:r w:rsidR="003D2E2F">
        <w:t>,</w:t>
      </w:r>
      <w:r w:rsidRPr="006659FF">
        <w:t xml:space="preserve"> people with disability and </w:t>
      </w:r>
      <w:r w:rsidR="002D6DF0">
        <w:t xml:space="preserve">those from </w:t>
      </w:r>
      <w:r w:rsidRPr="006659FF">
        <w:t>disadvantaged areas.</w:t>
      </w:r>
      <w:r w:rsidR="00710337">
        <w:t xml:space="preserve"> </w:t>
      </w:r>
    </w:p>
    <w:p w14:paraId="592581D1" w14:textId="3BD50B1C" w:rsidR="006659FF" w:rsidRPr="006659FF" w:rsidRDefault="006659FF" w:rsidP="0007395B">
      <w:pPr>
        <w:pStyle w:val="BodyText"/>
      </w:pPr>
      <w:r w:rsidRPr="006659FF">
        <w:t xml:space="preserve">The Government of Vietnam aims </w:t>
      </w:r>
      <w:r w:rsidR="003D2E2F">
        <w:t>for</w:t>
      </w:r>
      <w:r w:rsidRPr="006659FF">
        <w:t xml:space="preserve"> women </w:t>
      </w:r>
      <w:r w:rsidR="003D2E2F">
        <w:t xml:space="preserve">to </w:t>
      </w:r>
      <w:r w:rsidRPr="006659FF">
        <w:t>account for 40 per cent and 20 per cent of Master and PhD holders respectively by 2015, from the current level of 30 per cent and 17 per cent.</w:t>
      </w:r>
      <w:r w:rsidR="00710337">
        <w:t xml:space="preserve"> </w:t>
      </w:r>
      <w:r w:rsidR="001F12A2">
        <w:t xml:space="preserve">The aid </w:t>
      </w:r>
      <w:r w:rsidR="00945130">
        <w:t>program</w:t>
      </w:r>
      <w:r w:rsidR="001F12A2">
        <w:t xml:space="preserve"> </w:t>
      </w:r>
      <w:r w:rsidRPr="006659FF">
        <w:t>conducted a study in 2012 to assess the impact of the Australia Awards Scholarships program on gender equality in Vietnam.</w:t>
      </w:r>
      <w:r w:rsidR="00710337">
        <w:t xml:space="preserve"> </w:t>
      </w:r>
      <w:r w:rsidRPr="006659FF">
        <w:t xml:space="preserve">The program’s limited (and </w:t>
      </w:r>
      <w:r w:rsidRPr="006659FF">
        <w:lastRenderedPageBreak/>
        <w:t>only recent) prioritisation for Vietnamese working in the gender sector led t</w:t>
      </w:r>
      <w:r w:rsidR="002D6DF0">
        <w:t>o the impact being assessed as modest</w:t>
      </w:r>
      <w:r w:rsidRPr="006659FF">
        <w:t>.</w:t>
      </w:r>
      <w:r w:rsidR="00710337">
        <w:t xml:space="preserve"> </w:t>
      </w:r>
      <w:r w:rsidRPr="006659FF">
        <w:t>The two recommendations from the study</w:t>
      </w:r>
      <w:r w:rsidR="003D2E2F">
        <w:t>–</w:t>
      </w:r>
      <w:r w:rsidRPr="006659FF">
        <w:t>–increased targeted marketing to gender agencies and establishing a formal gender network</w:t>
      </w:r>
      <w:r w:rsidR="003D2E2F">
        <w:t>–</w:t>
      </w:r>
      <w:r w:rsidRPr="006659FF">
        <w:t>–are being i</w:t>
      </w:r>
      <w:r w:rsidR="007941CF">
        <w:t>ncorporated</w:t>
      </w:r>
      <w:r w:rsidRPr="006659FF">
        <w:t xml:space="preserve"> into the program. </w:t>
      </w:r>
    </w:p>
    <w:p w14:paraId="7A5A89ED" w14:textId="7717FD39" w:rsidR="006659FF" w:rsidRPr="006659FF" w:rsidRDefault="006659FF" w:rsidP="0007395B">
      <w:pPr>
        <w:pStyle w:val="BodyText"/>
      </w:pPr>
      <w:r w:rsidRPr="006659FF">
        <w:t>In response to the 2012</w:t>
      </w:r>
      <w:r w:rsidR="003D2E2F">
        <w:t>–</w:t>
      </w:r>
      <w:r w:rsidRPr="006659FF">
        <w:t xml:space="preserve">13 </w:t>
      </w:r>
      <w:r w:rsidR="003D2E2F">
        <w:t>performance assessment framework</w:t>
      </w:r>
      <w:r w:rsidRPr="006659FF">
        <w:t xml:space="preserve">, </w:t>
      </w:r>
      <w:r w:rsidR="001F12A2">
        <w:t xml:space="preserve">DFAT </w:t>
      </w:r>
      <w:r w:rsidRPr="006659FF">
        <w:t>developed a reintegration strategy for scholarship recipients and commenced a pilot to improve reintegration efforts before and on return to Vietnam.</w:t>
      </w:r>
      <w:r w:rsidR="00710337">
        <w:t xml:space="preserve"> </w:t>
      </w:r>
      <w:r w:rsidRPr="006659FF">
        <w:t xml:space="preserve">New in-Australia workshops were added to help awardees plan their reintegration into the workforce and help with the transition from student to employee up to three months </w:t>
      </w:r>
      <w:r w:rsidR="003D2E2F">
        <w:t>before</w:t>
      </w:r>
      <w:r w:rsidR="003D2E2F" w:rsidRPr="006659FF">
        <w:t xml:space="preserve"> </w:t>
      </w:r>
      <w:r w:rsidRPr="006659FF">
        <w:t>completing their studies.</w:t>
      </w:r>
      <w:r w:rsidR="00710337">
        <w:t xml:space="preserve"> </w:t>
      </w:r>
      <w:r w:rsidRPr="006659FF">
        <w:t>This new activity now complements the existing workshops offered to recently returned awardees.</w:t>
      </w:r>
      <w:r w:rsidR="00710337">
        <w:t xml:space="preserve"> </w:t>
      </w:r>
      <w:r w:rsidRPr="006659FF">
        <w:t xml:space="preserve">The pilot </w:t>
      </w:r>
      <w:r w:rsidR="009445BA">
        <w:t>concluded</w:t>
      </w:r>
      <w:r w:rsidRPr="006659FF">
        <w:t xml:space="preserve"> </w:t>
      </w:r>
      <w:r w:rsidR="009445BA">
        <w:t xml:space="preserve">in </w:t>
      </w:r>
      <w:r w:rsidRPr="006659FF">
        <w:t xml:space="preserve">late 2012 and will become a standard support package for awardees from 2013, pending results in the 2013 </w:t>
      </w:r>
      <w:r w:rsidR="003D2E2F">
        <w:t>monitoring and evaluation r</w:t>
      </w:r>
      <w:r w:rsidRPr="006659FF">
        <w:t xml:space="preserve">eport. </w:t>
      </w:r>
    </w:p>
    <w:p w14:paraId="4E824108" w14:textId="6E5A5B8E" w:rsidR="00205F2B" w:rsidRDefault="006659FF" w:rsidP="0007395B">
      <w:pPr>
        <w:pStyle w:val="BodyText"/>
        <w:rPr>
          <w:i/>
        </w:rPr>
      </w:pPr>
      <w:r w:rsidRPr="006659FF">
        <w:t xml:space="preserve">The Vietnam Australia Awards Scholarships </w:t>
      </w:r>
      <w:r w:rsidR="00F40408">
        <w:t>p</w:t>
      </w:r>
      <w:r w:rsidRPr="006659FF">
        <w:t>rogram</w:t>
      </w:r>
      <w:r w:rsidR="00205F2B">
        <w:t>’s</w:t>
      </w:r>
      <w:r w:rsidRPr="006659FF">
        <w:t xml:space="preserve"> </w:t>
      </w:r>
      <w:r w:rsidR="00800B90">
        <w:t>monitoring and evaluation f</w:t>
      </w:r>
      <w:r w:rsidR="00392981">
        <w:t>ramework was updated in 2012––</w:t>
      </w:r>
      <w:r w:rsidRPr="006659FF">
        <w:t xml:space="preserve">another </w:t>
      </w:r>
      <w:r w:rsidR="00800B90">
        <w:t xml:space="preserve">performance assessment framework </w:t>
      </w:r>
      <w:r w:rsidRPr="006659FF">
        <w:t>milestone for 2012</w:t>
      </w:r>
      <w:r w:rsidR="00800B90">
        <w:t>–</w:t>
      </w:r>
      <w:r w:rsidRPr="006659FF">
        <w:t>13.</w:t>
      </w:r>
      <w:r w:rsidR="00710337">
        <w:t xml:space="preserve"> </w:t>
      </w:r>
      <w:r w:rsidR="00205F2B">
        <w:t xml:space="preserve">The new framework is centred on the revised program logic. </w:t>
      </w:r>
      <w:r w:rsidR="00205F2B" w:rsidRPr="00F40408">
        <w:rPr>
          <w:rFonts w:eastAsiaTheme="minorHAnsi"/>
          <w:iCs/>
          <w:szCs w:val="22"/>
          <w:lang w:val="en-US"/>
        </w:rPr>
        <w:t xml:space="preserve">It reflects the program’s updated goal and the addition of a new objective focused on alumni linkages to Australia. Strengthened indicators will allow </w:t>
      </w:r>
      <w:r w:rsidR="001F12A2">
        <w:rPr>
          <w:rFonts w:eastAsiaTheme="minorHAnsi"/>
          <w:iCs/>
          <w:szCs w:val="22"/>
          <w:lang w:val="en-US"/>
        </w:rPr>
        <w:t xml:space="preserve">DFAT </w:t>
      </w:r>
      <w:r w:rsidR="00205F2B" w:rsidRPr="00F40408">
        <w:rPr>
          <w:rFonts w:eastAsiaTheme="minorHAnsi"/>
          <w:iCs/>
          <w:szCs w:val="22"/>
          <w:lang w:val="en-US"/>
        </w:rPr>
        <w:t xml:space="preserve">to better assess the program’s performance and articulate how the program is tracking </w:t>
      </w:r>
      <w:r w:rsidR="00205F2B">
        <w:rPr>
          <w:rFonts w:eastAsiaTheme="minorHAnsi"/>
          <w:iCs/>
          <w:szCs w:val="22"/>
          <w:lang w:val="en-US"/>
        </w:rPr>
        <w:t>towards</w:t>
      </w:r>
      <w:r w:rsidR="00205F2B" w:rsidRPr="00F40408">
        <w:rPr>
          <w:rFonts w:eastAsiaTheme="minorHAnsi"/>
          <w:iCs/>
          <w:szCs w:val="22"/>
          <w:lang w:val="en-US"/>
        </w:rPr>
        <w:t xml:space="preserve"> delivering development outcomes.</w:t>
      </w:r>
    </w:p>
    <w:p w14:paraId="7605B5BB" w14:textId="77777777" w:rsidR="006659FF" w:rsidRPr="006659FF" w:rsidRDefault="006659FF" w:rsidP="0007395B">
      <w:pPr>
        <w:pStyle w:val="Heading3"/>
      </w:pPr>
      <w:r w:rsidRPr="006659FF">
        <w:t>Strengthening public institutions</w:t>
      </w:r>
    </w:p>
    <w:p w14:paraId="5419C15E" w14:textId="1B774D5A" w:rsidR="006659FF" w:rsidRPr="006659FF" w:rsidRDefault="006659FF" w:rsidP="0007395B">
      <w:pPr>
        <w:pStyle w:val="BodyText"/>
      </w:pPr>
      <w:r w:rsidRPr="006659FF">
        <w:t>Strong and effective public institutions are needed if Vietnam’s ambition of becoming an industrialised and competitive country by 2020 is to be realised.</w:t>
      </w:r>
      <w:r w:rsidR="00710337">
        <w:t xml:space="preserve"> </w:t>
      </w:r>
      <w:r w:rsidRPr="006659FF">
        <w:t xml:space="preserve">In 2012, </w:t>
      </w:r>
      <w:r w:rsidR="001F12A2">
        <w:t xml:space="preserve">the Australian aid </w:t>
      </w:r>
      <w:r w:rsidR="00945130">
        <w:t>program</w:t>
      </w:r>
      <w:r w:rsidR="001F12A2">
        <w:t xml:space="preserve"> </w:t>
      </w:r>
      <w:r w:rsidRPr="006659FF">
        <w:t>aim</w:t>
      </w:r>
      <w:r w:rsidR="00877D87">
        <w:t>ed</w:t>
      </w:r>
      <w:r w:rsidRPr="006659FF">
        <w:t xml:space="preserve"> to provide 40 per cent of </w:t>
      </w:r>
      <w:r w:rsidR="00877D87">
        <w:t>Australia A</w:t>
      </w:r>
      <w:r w:rsidRPr="006659FF">
        <w:t xml:space="preserve">wards to </w:t>
      </w:r>
      <w:r w:rsidR="00800B90" w:rsidRPr="006659FF">
        <w:t xml:space="preserve">central government agency </w:t>
      </w:r>
      <w:r w:rsidRPr="006659FF">
        <w:t>candidates.</w:t>
      </w:r>
      <w:r w:rsidR="00710337">
        <w:t xml:space="preserve"> </w:t>
      </w:r>
      <w:r w:rsidRPr="006659FF">
        <w:t xml:space="preserve">Although promotion efforts were enhanced and applicants from this </w:t>
      </w:r>
      <w:r w:rsidR="001A374B">
        <w:t>category</w:t>
      </w:r>
      <w:r w:rsidRPr="006659FF">
        <w:t xml:space="preserve"> received high prioritisation, there was a shortfall in applications and successful candidates in the 2012 selection round.</w:t>
      </w:r>
      <w:r w:rsidR="00710337">
        <w:t xml:space="preserve"> </w:t>
      </w:r>
      <w:r w:rsidR="001258C6">
        <w:t xml:space="preserve">The shortfall is likely due to only including </w:t>
      </w:r>
      <w:r w:rsidR="000B68F6">
        <w:t xml:space="preserve">people from </w:t>
      </w:r>
      <w:r w:rsidR="000B68F6" w:rsidRPr="00F40408">
        <w:t>central government agencies,</w:t>
      </w:r>
      <w:r w:rsidR="000B68F6">
        <w:t xml:space="preserve"> with </w:t>
      </w:r>
      <w:r w:rsidR="000B68F6" w:rsidRPr="00F40408">
        <w:t>research institutes</w:t>
      </w:r>
      <w:r w:rsidR="000B68F6">
        <w:t xml:space="preserve"> being allocated to the </w:t>
      </w:r>
      <w:r w:rsidR="006D34C3">
        <w:t>cate</w:t>
      </w:r>
      <w:r w:rsidR="0045475F">
        <w:t>gory</w:t>
      </w:r>
      <w:r w:rsidR="00384342">
        <w:t xml:space="preserve"> that includes universities</w:t>
      </w:r>
      <w:r w:rsidR="000B68F6">
        <w:t>.</w:t>
      </w:r>
      <w:r w:rsidR="00710337">
        <w:t xml:space="preserve"> </w:t>
      </w:r>
      <w:r w:rsidR="001258C6">
        <w:t>S</w:t>
      </w:r>
      <w:r w:rsidR="00384342">
        <w:t xml:space="preserve">upport for central government agencies will be considered in the </w:t>
      </w:r>
      <w:r w:rsidR="00800B90">
        <w:t>human resource development d</w:t>
      </w:r>
      <w:r w:rsidR="00384342">
        <w:t xml:space="preserve">elivery </w:t>
      </w:r>
      <w:r w:rsidR="00800B90">
        <w:t>s</w:t>
      </w:r>
      <w:r w:rsidR="00384342">
        <w:t>trategy</w:t>
      </w:r>
      <w:r w:rsidR="001258C6">
        <w:t xml:space="preserve"> to be developed in 2013</w:t>
      </w:r>
      <w:r w:rsidR="00800B90">
        <w:t>–</w:t>
      </w:r>
      <w:r w:rsidR="001258C6">
        <w:t>14</w:t>
      </w:r>
      <w:r w:rsidR="00384342">
        <w:t xml:space="preserve">. </w:t>
      </w:r>
    </w:p>
    <w:p w14:paraId="7D0BA483" w14:textId="14ED377E" w:rsidR="006659FF" w:rsidRPr="006659FF" w:rsidRDefault="006659FF" w:rsidP="0007395B">
      <w:pPr>
        <w:pStyle w:val="BodyText"/>
      </w:pPr>
      <w:r w:rsidRPr="006659FF">
        <w:t xml:space="preserve">Over 60 per cent of </w:t>
      </w:r>
      <w:r w:rsidR="001F12A2">
        <w:t>Australian Government</w:t>
      </w:r>
      <w:r w:rsidRPr="006659FF">
        <w:t>-funded alumni are working in the public sector.</w:t>
      </w:r>
      <w:r w:rsidR="00710337">
        <w:t xml:space="preserve"> </w:t>
      </w:r>
      <w:r w:rsidRPr="006659FF">
        <w:t xml:space="preserve">In 2012, as part of its </w:t>
      </w:r>
      <w:r w:rsidR="00800B90">
        <w:t xml:space="preserve">performance assessment framework </w:t>
      </w:r>
      <w:r w:rsidRPr="006659FF">
        <w:t xml:space="preserve">commitment, </w:t>
      </w:r>
      <w:r w:rsidR="001F12A2">
        <w:t xml:space="preserve">the </w:t>
      </w:r>
      <w:r w:rsidR="00975779">
        <w:t xml:space="preserve">department </w:t>
      </w:r>
      <w:r w:rsidRPr="006659FF">
        <w:t>completed an impact study focused on the State Bank of Vietnam and the Ministry of Planning and Investment.</w:t>
      </w:r>
      <w:r w:rsidR="00710337">
        <w:t xml:space="preserve"> </w:t>
      </w:r>
      <w:r w:rsidRPr="006659FF">
        <w:t>These agencies are in charge of Vietnam’s monetary and economic policies and represent the two central government agencies with the most Australia Awards alumni.</w:t>
      </w:r>
      <w:r w:rsidR="00710337">
        <w:t xml:space="preserve"> </w:t>
      </w:r>
      <w:r w:rsidRPr="006659FF">
        <w:t xml:space="preserve">Fifty-three per cent of alumni working in </w:t>
      </w:r>
      <w:r w:rsidR="00800B90">
        <w:t>the bank</w:t>
      </w:r>
      <w:r w:rsidR="00800B90" w:rsidRPr="006659FF">
        <w:t xml:space="preserve"> </w:t>
      </w:r>
      <w:r w:rsidRPr="006659FF">
        <w:t xml:space="preserve">and 40 per cent of alumni in </w:t>
      </w:r>
      <w:r w:rsidR="00800B90">
        <w:t>the ministry</w:t>
      </w:r>
      <w:r w:rsidR="00800B90" w:rsidRPr="006659FF">
        <w:t xml:space="preserve"> </w:t>
      </w:r>
      <w:r w:rsidRPr="006659FF">
        <w:t>are holding senior or management positions.</w:t>
      </w:r>
      <w:r w:rsidR="00710337">
        <w:t xml:space="preserve"> </w:t>
      </w:r>
      <w:r w:rsidRPr="006659FF">
        <w:t>The vast majority of these reported having contributed to policy development by doing research, developing concept papers, joining working groups, and providing direct policy advice.</w:t>
      </w:r>
      <w:r w:rsidR="00710337">
        <w:t xml:space="preserve"> </w:t>
      </w:r>
      <w:r w:rsidRPr="006659FF">
        <w:t xml:space="preserve">While it is difficult to assess the impact of Australia Awards at the </w:t>
      </w:r>
      <w:r w:rsidRPr="00F40408">
        <w:t>organisational</w:t>
      </w:r>
      <w:r w:rsidRPr="006659FF">
        <w:t xml:space="preserve"> level, </w:t>
      </w:r>
      <w:r w:rsidR="00800B90">
        <w:t xml:space="preserve">the </w:t>
      </w:r>
      <w:r w:rsidR="00800B90" w:rsidRPr="006659FF">
        <w:t xml:space="preserve">State Bank of Vietnam </w:t>
      </w:r>
      <w:r w:rsidR="00800B90">
        <w:t>believes</w:t>
      </w:r>
      <w:r w:rsidR="00800B90" w:rsidRPr="006659FF">
        <w:t xml:space="preserve"> </w:t>
      </w:r>
      <w:r w:rsidR="00800B90">
        <w:t>its</w:t>
      </w:r>
      <w:r w:rsidRPr="006659FF">
        <w:t xml:space="preserve"> performance had improved in recent years, citing specific examples of alumni contributions at the organisational level, </w:t>
      </w:r>
      <w:r w:rsidR="00800B90">
        <w:t>as well as</w:t>
      </w:r>
      <w:r w:rsidR="00800B90" w:rsidRPr="006659FF">
        <w:t xml:space="preserve"> </w:t>
      </w:r>
      <w:r w:rsidRPr="006659FF">
        <w:t>strong alumni unity.</w:t>
      </w:r>
      <w:r w:rsidR="00710337">
        <w:t xml:space="preserve"> </w:t>
      </w:r>
      <w:r w:rsidRPr="006659FF">
        <w:t xml:space="preserve">The study suggests that support from other donors for organisational restructuring and </w:t>
      </w:r>
      <w:r w:rsidR="00205F2B">
        <w:t>resource</w:t>
      </w:r>
      <w:r w:rsidR="00205F2B" w:rsidRPr="006659FF">
        <w:t xml:space="preserve"> </w:t>
      </w:r>
      <w:r w:rsidRPr="006659FF">
        <w:t xml:space="preserve">planning has helped </w:t>
      </w:r>
      <w:r w:rsidR="00800B90">
        <w:t xml:space="preserve">the bank </w:t>
      </w:r>
      <w:r w:rsidRPr="006659FF">
        <w:t>to capitalise on alumni skills and knowledge</w:t>
      </w:r>
      <w:r w:rsidR="001258C6">
        <w:t>.</w:t>
      </w:r>
      <w:r w:rsidR="00710337">
        <w:t xml:space="preserve"> </w:t>
      </w:r>
    </w:p>
    <w:p w14:paraId="5D4C3A01" w14:textId="325C70C2" w:rsidR="00796F48" w:rsidRPr="00597520" w:rsidRDefault="00AF5A70" w:rsidP="00597520">
      <w:pPr>
        <w:pStyle w:val="BodyText"/>
      </w:pPr>
      <w:r>
        <w:rPr>
          <w:szCs w:val="22"/>
        </w:rPr>
        <w:t>I</w:t>
      </w:r>
      <w:r w:rsidRPr="00AF5A70">
        <w:rPr>
          <w:szCs w:val="22"/>
        </w:rPr>
        <w:t>mprov</w:t>
      </w:r>
      <w:r>
        <w:rPr>
          <w:szCs w:val="22"/>
        </w:rPr>
        <w:t>ing</w:t>
      </w:r>
      <w:r w:rsidR="00996460" w:rsidRPr="00383F3F">
        <w:rPr>
          <w:szCs w:val="22"/>
        </w:rPr>
        <w:t xml:space="preserve"> the quality of teaching and research programs in Vietnamese universities, including in </w:t>
      </w:r>
      <w:r w:rsidR="00800B90" w:rsidRPr="00F40408">
        <w:rPr>
          <w:iCs/>
          <w:szCs w:val="22"/>
        </w:rPr>
        <w:t>Teachers of English to Speakers of Other Languages</w:t>
      </w:r>
      <w:r w:rsidR="00800B90" w:rsidRPr="00800B90" w:rsidDel="00800B90">
        <w:rPr>
          <w:szCs w:val="22"/>
        </w:rPr>
        <w:t xml:space="preserve"> </w:t>
      </w:r>
      <w:r w:rsidR="00DA0634" w:rsidRPr="00383F3F">
        <w:rPr>
          <w:szCs w:val="22"/>
        </w:rPr>
        <w:t>teacher training</w:t>
      </w:r>
      <w:r>
        <w:rPr>
          <w:szCs w:val="22"/>
        </w:rPr>
        <w:t>,</w:t>
      </w:r>
      <w:r w:rsidR="00996460" w:rsidRPr="00383F3F">
        <w:rPr>
          <w:szCs w:val="22"/>
        </w:rPr>
        <w:t xml:space="preserve"> </w:t>
      </w:r>
      <w:r>
        <w:rPr>
          <w:szCs w:val="22"/>
        </w:rPr>
        <w:t xml:space="preserve">is one of the objectives of Australia Awards in the Vietnam program. </w:t>
      </w:r>
      <w:r w:rsidR="006659FF" w:rsidRPr="006659FF">
        <w:t>A</w:t>
      </w:r>
      <w:r w:rsidR="00975779">
        <w:t xml:space="preserve"> department </w:t>
      </w:r>
      <w:r w:rsidR="006659FF" w:rsidRPr="006659FF">
        <w:t>cluster study in 2012 on alumni working in the English language training sector revealed that of th</w:t>
      </w:r>
      <w:r w:rsidR="00392981">
        <w:t>os</w:t>
      </w:r>
      <w:r w:rsidR="006659FF" w:rsidRPr="006659FF">
        <w:t>e currently working in Vietnam, 21</w:t>
      </w:r>
      <w:r w:rsidR="00CE799B">
        <w:t> </w:t>
      </w:r>
      <w:r w:rsidR="006659FF" w:rsidRPr="006659FF">
        <w:t>per</w:t>
      </w:r>
      <w:r w:rsidR="00CE799B">
        <w:t> </w:t>
      </w:r>
      <w:r w:rsidR="006659FF" w:rsidRPr="006659FF">
        <w:t>cent hold senior</w:t>
      </w:r>
      <w:r w:rsidR="00800B90">
        <w:t xml:space="preserve"> or </w:t>
      </w:r>
      <w:r w:rsidR="006659FF" w:rsidRPr="006659FF">
        <w:t xml:space="preserve">management positions, including nine </w:t>
      </w:r>
      <w:r w:rsidR="00800B90" w:rsidRPr="006659FF">
        <w:t>rectors</w:t>
      </w:r>
      <w:r w:rsidR="00800B90">
        <w:t xml:space="preserve"> and </w:t>
      </w:r>
      <w:r w:rsidR="00800B90" w:rsidRPr="006659FF">
        <w:t>vice-rectors</w:t>
      </w:r>
      <w:r w:rsidR="00800B90">
        <w:t>,</w:t>
      </w:r>
      <w:r w:rsidR="00800B90" w:rsidRPr="006659FF">
        <w:t xml:space="preserve"> and 27 deans</w:t>
      </w:r>
      <w:r w:rsidR="00800B90">
        <w:t xml:space="preserve"> and </w:t>
      </w:r>
      <w:r w:rsidR="00800B90" w:rsidRPr="006659FF">
        <w:t>vice-deans</w:t>
      </w:r>
      <w:r w:rsidR="006659FF" w:rsidRPr="006659FF">
        <w:t>.</w:t>
      </w:r>
      <w:r w:rsidR="00710337">
        <w:t xml:space="preserve"> </w:t>
      </w:r>
      <w:r w:rsidR="006659FF" w:rsidRPr="006659FF">
        <w:t>The National Foreign Language 2020 Project and all major universities delivering the project in Vietnam also have significant concentrations of Australia Awards alumni.</w:t>
      </w:r>
      <w:r w:rsidR="00710337">
        <w:t xml:space="preserve"> </w:t>
      </w:r>
      <w:r w:rsidR="00800B90">
        <w:t>T</w:t>
      </w:r>
      <w:r w:rsidR="006659FF" w:rsidRPr="006659FF">
        <w:t xml:space="preserve">hree out of four </w:t>
      </w:r>
      <w:r w:rsidR="00800B90">
        <w:t>d</w:t>
      </w:r>
      <w:r w:rsidR="00800B90" w:rsidRPr="006659FF">
        <w:t xml:space="preserve">ean </w:t>
      </w:r>
      <w:r w:rsidR="006659FF" w:rsidRPr="006659FF">
        <w:t>positions</w:t>
      </w:r>
      <w:r w:rsidR="00800B90">
        <w:t xml:space="preserve"> </w:t>
      </w:r>
      <w:r w:rsidR="006659FF" w:rsidRPr="006659FF">
        <w:t xml:space="preserve">in the teaching </w:t>
      </w:r>
      <w:r w:rsidR="006659FF" w:rsidRPr="006659FF">
        <w:lastRenderedPageBreak/>
        <w:t xml:space="preserve">English </w:t>
      </w:r>
      <w:r w:rsidR="00800B90">
        <w:t>division of</w:t>
      </w:r>
      <w:r w:rsidR="006659FF" w:rsidRPr="006659FF">
        <w:t xml:space="preserve"> the University of Languages and International Studies (Vietnam National University) </w:t>
      </w:r>
      <w:r w:rsidR="00800B90" w:rsidRPr="006659FF">
        <w:t>are occupied by Australia Awards alumni</w:t>
      </w:r>
      <w:r w:rsidR="00800B90">
        <w:t>. This is</w:t>
      </w:r>
      <w:r w:rsidR="006659FF" w:rsidRPr="006659FF">
        <w:t xml:space="preserve"> the leading institution in English teaching in Vietnam. </w:t>
      </w:r>
    </w:p>
    <w:p w14:paraId="07504701" w14:textId="6D7FDCF3" w:rsidR="006659FF" w:rsidRPr="006659FF" w:rsidRDefault="006659FF" w:rsidP="0007395B">
      <w:pPr>
        <w:pStyle w:val="Heading3"/>
      </w:pPr>
      <w:r w:rsidRPr="006659FF">
        <w:t>Promoting Australia</w:t>
      </w:r>
      <w:r w:rsidR="00392981">
        <w:t>–</w:t>
      </w:r>
      <w:r w:rsidRPr="006659FF">
        <w:t>Vietnam linkages</w:t>
      </w:r>
    </w:p>
    <w:p w14:paraId="2DC0AF08" w14:textId="77777777" w:rsidR="006659FF" w:rsidRPr="006659FF" w:rsidRDefault="006659FF" w:rsidP="0007395B">
      <w:pPr>
        <w:pStyle w:val="BodyText"/>
      </w:pPr>
      <w:r w:rsidRPr="006659FF">
        <w:t>Vietnam remains the third largest recipient of Australia Awards Fellowships.</w:t>
      </w:r>
      <w:r w:rsidR="00710337">
        <w:t xml:space="preserve"> </w:t>
      </w:r>
      <w:r w:rsidRPr="006659FF">
        <w:t xml:space="preserve">In 2012, a total of 185 </w:t>
      </w:r>
      <w:r w:rsidR="00205F2B">
        <w:t>f</w:t>
      </w:r>
      <w:r w:rsidR="00205F2B" w:rsidRPr="006659FF">
        <w:t xml:space="preserve">ellowships </w:t>
      </w:r>
      <w:r w:rsidRPr="006659FF">
        <w:t>were awarded to Vietnam</w:t>
      </w:r>
      <w:r w:rsidR="00810DE3">
        <w:t>ese</w:t>
      </w:r>
      <w:r w:rsidRPr="006659FF">
        <w:t xml:space="preserve"> </w:t>
      </w:r>
      <w:r w:rsidR="00800B90">
        <w:t xml:space="preserve">scholars </w:t>
      </w:r>
      <w:r w:rsidRPr="006659FF">
        <w:t>for training and work attachments in Australia.</w:t>
      </w:r>
      <w:r w:rsidR="00710337">
        <w:t xml:space="preserve"> </w:t>
      </w:r>
      <w:r w:rsidRPr="006659FF">
        <w:t>This fulfils the program</w:t>
      </w:r>
      <w:r w:rsidR="00D96B60">
        <w:t>’</w:t>
      </w:r>
      <w:r w:rsidRPr="006659FF">
        <w:t xml:space="preserve">s </w:t>
      </w:r>
      <w:r w:rsidR="00205F2B">
        <w:t>f</w:t>
      </w:r>
      <w:r w:rsidR="00205F2B" w:rsidRPr="006659FF">
        <w:t xml:space="preserve">ellowships </w:t>
      </w:r>
      <w:r w:rsidR="00800B90">
        <w:t xml:space="preserve">performance assessment framework </w:t>
      </w:r>
      <w:r w:rsidRPr="006659FF">
        <w:t>commitment for 2012</w:t>
      </w:r>
      <w:r w:rsidR="00800B90">
        <w:t>–</w:t>
      </w:r>
      <w:r w:rsidRPr="006659FF">
        <w:t>13</w:t>
      </w:r>
      <w:r w:rsidR="00800B90">
        <w:t>.</w:t>
      </w:r>
    </w:p>
    <w:p w14:paraId="4099F5D0" w14:textId="77777777" w:rsidR="006659FF" w:rsidRPr="006659FF" w:rsidRDefault="006659FF" w:rsidP="0007395B">
      <w:pPr>
        <w:pStyle w:val="BodyText"/>
      </w:pPr>
      <w:r w:rsidRPr="006659FF">
        <w:t>The Public Sector Linkages Program aims to develop long-term partnerships between Australian and Vietnamese institutions.</w:t>
      </w:r>
      <w:r w:rsidR="00710337">
        <w:t xml:space="preserve"> </w:t>
      </w:r>
      <w:r w:rsidRPr="006659FF">
        <w:t xml:space="preserve">Under the </w:t>
      </w:r>
      <w:r w:rsidR="00800B90">
        <w:t>program</w:t>
      </w:r>
      <w:r w:rsidRPr="006659FF">
        <w:t>, five capacity building projects for Vietnam commenced in 2012 in the areas of climate change, hospital data management, and small medium enterprises.</w:t>
      </w:r>
      <w:r w:rsidR="00710337">
        <w:t xml:space="preserve"> </w:t>
      </w:r>
      <w:r w:rsidRPr="006659FF">
        <w:t xml:space="preserve">Under </w:t>
      </w:r>
      <w:r w:rsidR="00800B90">
        <w:t xml:space="preserve">the </w:t>
      </w:r>
      <w:r w:rsidR="00800B90" w:rsidRPr="006659FF">
        <w:t>Publ</w:t>
      </w:r>
      <w:r w:rsidR="00800B90">
        <w:t>ic Sector Linkages Program’s</w:t>
      </w:r>
      <w:r w:rsidR="00800B90" w:rsidRPr="006659FF">
        <w:t xml:space="preserve"> </w:t>
      </w:r>
      <w:r w:rsidRPr="006659FF">
        <w:t>successor, Government Partnerships for Development, a high-level of interest</w:t>
      </w:r>
      <w:r w:rsidR="00800B90">
        <w:t>––14 applications––was received for the</w:t>
      </w:r>
      <w:r w:rsidRPr="006659FF">
        <w:t xml:space="preserve"> first round. </w:t>
      </w:r>
    </w:p>
    <w:p w14:paraId="30BFCD69" w14:textId="19B3ACC1" w:rsidR="006659FF" w:rsidRPr="006659FF" w:rsidRDefault="006659FF" w:rsidP="0007395B">
      <w:pPr>
        <w:pStyle w:val="BodyText"/>
      </w:pPr>
      <w:r w:rsidRPr="006659FF">
        <w:t>Australian volunteers make a valuable contribution to building the capacity of individuals, organisations and communities through skills and knowledge exchange.</w:t>
      </w:r>
      <w:r w:rsidR="00710337">
        <w:t xml:space="preserve"> </w:t>
      </w:r>
      <w:r w:rsidRPr="006659FF">
        <w:t xml:space="preserve">In 2012, 79 volunteers </w:t>
      </w:r>
      <w:r w:rsidR="00CF321C">
        <w:t xml:space="preserve">including </w:t>
      </w:r>
      <w:r w:rsidRPr="006659FF">
        <w:t xml:space="preserve">37 men and 42 women were placed in Vietnam through Australian Volunteers for International Development </w:t>
      </w:r>
      <w:r w:rsidR="00135806">
        <w:t>(AVID)</w:t>
      </w:r>
      <w:r w:rsidRPr="006659FF">
        <w:t>.</w:t>
      </w:r>
      <w:r w:rsidR="00710337">
        <w:t xml:space="preserve"> </w:t>
      </w:r>
      <w:r w:rsidRPr="006659FF">
        <w:t>This maintains Vietnam’s position as the third largest recipient of volunteers</w:t>
      </w:r>
      <w:r w:rsidR="00CF321C">
        <w:t xml:space="preserve"> through this program</w:t>
      </w:r>
      <w:r w:rsidRPr="006659FF">
        <w:t>.</w:t>
      </w:r>
      <w:r w:rsidR="00710337">
        <w:t xml:space="preserve"> </w:t>
      </w:r>
      <w:r w:rsidR="00D96B60">
        <w:t>In 2012</w:t>
      </w:r>
      <w:r w:rsidR="00CF321C">
        <w:t>–</w:t>
      </w:r>
      <w:r w:rsidR="00D96B60">
        <w:t>13,</w:t>
      </w:r>
      <w:r w:rsidR="001F12A2">
        <w:t>the</w:t>
      </w:r>
      <w:r w:rsidR="00692EB1">
        <w:t>department</w:t>
      </w:r>
      <w:r w:rsidR="00D96B60">
        <w:t xml:space="preserve">’s Office of Development Effectiveness undertook an independent </w:t>
      </w:r>
      <w:r w:rsidR="001258C6">
        <w:t>evaluation</w:t>
      </w:r>
      <w:r w:rsidR="00D96B60">
        <w:t xml:space="preserve"> of </w:t>
      </w:r>
      <w:r w:rsidR="00205F2B">
        <w:t xml:space="preserve">AVID </w:t>
      </w:r>
      <w:r w:rsidR="00CF321C">
        <w:t>across three countries</w:t>
      </w:r>
      <w:r w:rsidR="0068768A">
        <w:t xml:space="preserve">, </w:t>
      </w:r>
      <w:r w:rsidR="00CF321C">
        <w:t>including</w:t>
      </w:r>
      <w:r w:rsidR="0068768A">
        <w:t xml:space="preserve"> Vietnam</w:t>
      </w:r>
      <w:r w:rsidR="00D96B60">
        <w:t>.</w:t>
      </w:r>
      <w:r w:rsidR="00710337">
        <w:t xml:space="preserve"> </w:t>
      </w:r>
      <w:r w:rsidR="00D96B60">
        <w:t xml:space="preserve">The Vietnam program will consider the </w:t>
      </w:r>
      <w:r w:rsidR="00CF321C">
        <w:t xml:space="preserve">review’s </w:t>
      </w:r>
      <w:r w:rsidR="00D96B60">
        <w:t xml:space="preserve">recommendations, which are not yet finalised, </w:t>
      </w:r>
      <w:r w:rsidR="00CF321C">
        <w:t xml:space="preserve">when </w:t>
      </w:r>
      <w:r w:rsidR="00D96B60">
        <w:t xml:space="preserve">assessing how best to use the volunteer program to support human resource development. </w:t>
      </w:r>
    </w:p>
    <w:p w14:paraId="044DC61F" w14:textId="1A2E6F0B" w:rsidR="00CE799B" w:rsidRPr="006659FF" w:rsidRDefault="00CE799B" w:rsidP="0007395B">
      <w:pPr>
        <w:pStyle w:val="BodyText"/>
      </w:pPr>
      <w:r w:rsidRPr="006659FF">
        <w:t xml:space="preserve">In 2013 </w:t>
      </w:r>
      <w:r w:rsidR="001F12A2">
        <w:t>DFAT</w:t>
      </w:r>
      <w:r w:rsidRPr="006659FF">
        <w:t xml:space="preserve"> will deliver one of the key events to celebrate the 40th anniversary of Australia</w:t>
      </w:r>
      <w:r w:rsidR="00CF321C">
        <w:t>–</w:t>
      </w:r>
      <w:r w:rsidRPr="006659FF">
        <w:t>Vietnam diplomatic relations.</w:t>
      </w:r>
      <w:r w:rsidR="00710337">
        <w:t xml:space="preserve"> </w:t>
      </w:r>
      <w:r w:rsidRPr="006659FF">
        <w:t xml:space="preserve">Planning of the first national alumni conference </w:t>
      </w:r>
      <w:r w:rsidR="00CF321C">
        <w:t>in</w:t>
      </w:r>
      <w:r w:rsidR="00CF321C" w:rsidRPr="006659FF">
        <w:t xml:space="preserve"> </w:t>
      </w:r>
      <w:r w:rsidRPr="006659FF">
        <w:t>December 2013 has commenced.</w:t>
      </w:r>
      <w:r w:rsidR="00710337">
        <w:t xml:space="preserve"> </w:t>
      </w:r>
      <w:r w:rsidRPr="006659FF">
        <w:t>The conference is expected to help enhance linkages (alumni to alumni, and institutional), provide policy advocacy opportunities, strengthen professional networking, and allow prominent alumni and Australian institutions to share research experiences.</w:t>
      </w:r>
    </w:p>
    <w:p w14:paraId="0BAD3C5A" w14:textId="77777777" w:rsidR="00114751" w:rsidRPr="00565055" w:rsidRDefault="0072495B" w:rsidP="00565055">
      <w:pPr>
        <w:pStyle w:val="Heading2"/>
      </w:pPr>
      <w:r w:rsidRPr="00565055">
        <w:t>Strategy o</w:t>
      </w:r>
      <w:r w:rsidR="00114751" w:rsidRPr="00565055">
        <w:t>bjective 2: Better transport infrastructure and policy to support economic integration</w:t>
      </w:r>
    </w:p>
    <w:p w14:paraId="0FF0F1AF" w14:textId="77777777" w:rsidR="00114751" w:rsidRPr="006C382A" w:rsidRDefault="00114751" w:rsidP="00565055">
      <w:pPr>
        <w:pStyle w:val="BodyText"/>
      </w:pPr>
      <w:r>
        <w:t>Vietnam</w:t>
      </w:r>
      <w:r w:rsidRPr="006C382A">
        <w:t xml:space="preserve"> development goal: Increase</w:t>
      </w:r>
      <w:r>
        <w:t xml:space="preserve"> economic activity (national and cross-border) in targete</w:t>
      </w:r>
      <w:r w:rsidRPr="006C382A">
        <w:t xml:space="preserve">d </w:t>
      </w:r>
      <w:r>
        <w:t>regions</w:t>
      </w:r>
    </w:p>
    <w:tbl>
      <w:tblPr>
        <w:tblStyle w:val="APPR"/>
        <w:tblW w:w="5000" w:type="pct"/>
        <w:tblLook w:val="01E0" w:firstRow="1" w:lastRow="1" w:firstColumn="1" w:lastColumn="1" w:noHBand="0" w:noVBand="0"/>
      </w:tblPr>
      <w:tblGrid>
        <w:gridCol w:w="6894"/>
        <w:gridCol w:w="1712"/>
      </w:tblGrid>
      <w:tr w:rsidR="00114751" w:rsidRPr="006C382A" w14:paraId="056CAC13" w14:textId="77777777" w:rsidTr="00565055">
        <w:trPr>
          <w:cnfStyle w:val="100000000000" w:firstRow="1" w:lastRow="0" w:firstColumn="0" w:lastColumn="0" w:oddVBand="0" w:evenVBand="0" w:oddHBand="0" w:evenHBand="0" w:firstRowFirstColumn="0" w:firstRowLastColumn="0" w:lastRowFirstColumn="0" w:lastRowLastColumn="0"/>
          <w:cantSplit/>
          <w:tblHeader w:val="0"/>
        </w:trPr>
        <w:tc>
          <w:tcPr>
            <w:tcW w:w="3969" w:type="pct"/>
          </w:tcPr>
          <w:p w14:paraId="297487C3" w14:textId="77777777" w:rsidR="00114751" w:rsidRPr="00565055" w:rsidRDefault="00114751" w:rsidP="00565055">
            <w:pPr>
              <w:pStyle w:val="TableTextColumnHeading"/>
              <w:rPr>
                <w:rFonts w:eastAsia="Calibri"/>
                <w:b/>
              </w:rPr>
            </w:pPr>
            <w:r w:rsidRPr="00565055">
              <w:rPr>
                <w:rFonts w:eastAsia="Calibri"/>
                <w:b/>
              </w:rPr>
              <w:t>Objective</w:t>
            </w:r>
          </w:p>
        </w:tc>
        <w:tc>
          <w:tcPr>
            <w:tcW w:w="968" w:type="pct"/>
          </w:tcPr>
          <w:p w14:paraId="76891EBA" w14:textId="77777777" w:rsidR="00114751" w:rsidRPr="00565055" w:rsidRDefault="00114751" w:rsidP="00565055">
            <w:pPr>
              <w:pStyle w:val="TableTextColumnHeading"/>
              <w:rPr>
                <w:rFonts w:eastAsia="Calibri"/>
                <w:b/>
              </w:rPr>
            </w:pPr>
            <w:r w:rsidRPr="00565055">
              <w:rPr>
                <w:rFonts w:eastAsia="Calibri"/>
                <w:b/>
              </w:rPr>
              <w:t xml:space="preserve">Current rating </w:t>
            </w:r>
          </w:p>
        </w:tc>
      </w:tr>
      <w:tr w:rsidR="00114751" w:rsidRPr="006C382A" w14:paraId="4AC252EB" w14:textId="77777777" w:rsidTr="00565055">
        <w:trPr>
          <w:cantSplit/>
          <w:tblHeader w:val="0"/>
        </w:trPr>
        <w:tc>
          <w:tcPr>
            <w:tcW w:w="3969" w:type="pct"/>
          </w:tcPr>
          <w:p w14:paraId="35121AF6" w14:textId="49167FEE" w:rsidR="00114751" w:rsidRPr="00565055" w:rsidRDefault="00114751" w:rsidP="00565055">
            <w:pPr>
              <w:pStyle w:val="TableTextEntries"/>
              <w:rPr>
                <w:rFonts w:eastAsia="Calibri"/>
              </w:rPr>
            </w:pPr>
            <w:r w:rsidRPr="00565055">
              <w:rPr>
                <w:rFonts w:eastAsia="Calibri"/>
              </w:rPr>
              <w:t>Objective 2 Better transport infrastructure and policy to support economic integration</w:t>
            </w:r>
          </w:p>
        </w:tc>
        <w:tc>
          <w:tcPr>
            <w:tcW w:w="968" w:type="pct"/>
            <w:tcBorders>
              <w:top w:val="nil"/>
              <w:bottom w:val="nil"/>
            </w:tcBorders>
            <w:shd w:val="clear" w:color="auto" w:fill="F79646" w:themeFill="accent6"/>
          </w:tcPr>
          <w:p w14:paraId="12A122D7" w14:textId="69C297B6" w:rsidR="00114751" w:rsidRPr="00565055" w:rsidRDefault="00565055" w:rsidP="00565055">
            <w:pPr>
              <w:pStyle w:val="TableTextEntries"/>
              <w:rPr>
                <w:rFonts w:eastAsia="Calibri"/>
              </w:rPr>
            </w:pPr>
            <w:r>
              <w:rPr>
                <w:rFonts w:eastAsia="Calibri"/>
              </w:rPr>
              <w:t>a</w:t>
            </w:r>
            <w:r w:rsidR="00114751" w:rsidRPr="00565055">
              <w:rPr>
                <w:rFonts w:eastAsia="Calibri"/>
              </w:rPr>
              <w:t>mber</w:t>
            </w:r>
          </w:p>
        </w:tc>
      </w:tr>
    </w:tbl>
    <w:p w14:paraId="1BF3DFC9" w14:textId="77777777" w:rsidR="00114751" w:rsidRPr="006C382A" w:rsidRDefault="00114751" w:rsidP="00565055">
      <w:pPr>
        <w:pStyle w:val="Heading3"/>
      </w:pPr>
      <w:r w:rsidRPr="006C382A">
        <w:t>Annual milestone targets 2012</w:t>
      </w:r>
    </w:p>
    <w:p w14:paraId="75DCD066" w14:textId="77777777" w:rsidR="00114751" w:rsidRPr="006C382A" w:rsidRDefault="00114751" w:rsidP="00565055">
      <w:pPr>
        <w:pStyle w:val="ListBullet"/>
      </w:pPr>
      <w:r>
        <w:t>Cao Lanh Bridge detailed design completed (a</w:t>
      </w:r>
      <w:r w:rsidRPr="006C382A">
        <w:t>chieved</w:t>
      </w:r>
      <w:r>
        <w:t>).</w:t>
      </w:r>
    </w:p>
    <w:p w14:paraId="3333C39B" w14:textId="248EEEA5" w:rsidR="00114751" w:rsidRPr="00737641" w:rsidRDefault="00114751" w:rsidP="00565055">
      <w:pPr>
        <w:pStyle w:val="ListBullet"/>
      </w:pPr>
      <w:r>
        <w:t>Total of 415</w:t>
      </w:r>
      <w:r w:rsidR="003E63B3">
        <w:t xml:space="preserve"> kilometres </w:t>
      </w:r>
      <w:r>
        <w:t>of rural road will be completed by end June 2013</w:t>
      </w:r>
      <w:r w:rsidR="003E63B3">
        <w:t xml:space="preserve"> – an </w:t>
      </w:r>
      <w:r>
        <w:t>additional 179</w:t>
      </w:r>
      <w:r w:rsidR="003E63B3">
        <w:t xml:space="preserve"> kilometres</w:t>
      </w:r>
      <w:r>
        <w:t xml:space="preserve"> (not achieved – </w:t>
      </w:r>
      <w:r w:rsidRPr="00737641">
        <w:t>additional 40</w:t>
      </w:r>
      <w:r w:rsidR="003E63B3">
        <w:t xml:space="preserve"> kilometres </w:t>
      </w:r>
      <w:r w:rsidRPr="00737641">
        <w:t>completed)*</w:t>
      </w:r>
      <w:r w:rsidR="00392981">
        <w:t>.</w:t>
      </w:r>
    </w:p>
    <w:p w14:paraId="63E3D02C" w14:textId="77777777" w:rsidR="00114751" w:rsidRPr="00737641" w:rsidRDefault="00114751" w:rsidP="00565055">
      <w:pPr>
        <w:pStyle w:val="ListBullet"/>
      </w:pPr>
      <w:r w:rsidRPr="00737641">
        <w:t>50</w:t>
      </w:r>
      <w:r w:rsidR="00EE0057" w:rsidRPr="00737641">
        <w:t xml:space="preserve"> </w:t>
      </w:r>
      <w:r w:rsidRPr="00737641">
        <w:t>per cent of civil works completed by end June 2013 for Southern Coastal Corridor (exceeded – 71 per cent of civil works completed)</w:t>
      </w:r>
      <w:r w:rsidR="003E63B3">
        <w:t>.</w:t>
      </w:r>
    </w:p>
    <w:p w14:paraId="35B61109" w14:textId="56BD58E6" w:rsidR="00114751" w:rsidRPr="00737641" w:rsidRDefault="00114751" w:rsidP="00565055">
      <w:pPr>
        <w:pStyle w:val="ListBullet"/>
      </w:pPr>
      <w:r w:rsidRPr="00737641">
        <w:t xml:space="preserve">Evidence </w:t>
      </w:r>
      <w:r w:rsidR="003E63B3">
        <w:t>that</w:t>
      </w:r>
      <w:r w:rsidR="003E63B3" w:rsidRPr="00737641">
        <w:t xml:space="preserve"> </w:t>
      </w:r>
      <w:r w:rsidRPr="00737641">
        <w:t>recommendations of the three and five</w:t>
      </w:r>
      <w:r w:rsidR="00392981">
        <w:t>-</w:t>
      </w:r>
      <w:r w:rsidRPr="00737641">
        <w:t>year reviews of economic integration funded under the B</w:t>
      </w:r>
      <w:r w:rsidR="003E63B3">
        <w:t xml:space="preserve">eyond </w:t>
      </w:r>
      <w:r w:rsidRPr="00737641">
        <w:t>W</w:t>
      </w:r>
      <w:r w:rsidR="003E63B3">
        <w:t>orld Trade Organization (WTO) P</w:t>
      </w:r>
      <w:r w:rsidR="003E63B3" w:rsidRPr="00737641">
        <w:t xml:space="preserve">rogram </w:t>
      </w:r>
      <w:r w:rsidR="003E63B3">
        <w:t>are</w:t>
      </w:r>
      <w:r w:rsidR="003E63B3" w:rsidRPr="00737641">
        <w:t xml:space="preserve"> </w:t>
      </w:r>
      <w:r w:rsidRPr="00737641">
        <w:t>reflected in the new government resolution on economic integration (partly achieved)</w:t>
      </w:r>
      <w:r w:rsidR="003E63B3">
        <w:t>.</w:t>
      </w:r>
    </w:p>
    <w:p w14:paraId="24B85313" w14:textId="77777777" w:rsidR="00114751" w:rsidRDefault="00114751" w:rsidP="00565055">
      <w:pPr>
        <w:pStyle w:val="Note"/>
      </w:pPr>
      <w:r w:rsidRPr="00737641">
        <w:lastRenderedPageBreak/>
        <w:t xml:space="preserve">*The World Bank informed us in April 2013 that the targets that had been </w:t>
      </w:r>
      <w:r w:rsidR="003E63B3">
        <w:t>provided</w:t>
      </w:r>
      <w:r w:rsidR="003E63B3" w:rsidRPr="00737641">
        <w:t xml:space="preserve"> </w:t>
      </w:r>
      <w:r w:rsidRPr="00737641">
        <w:t xml:space="preserve">in previous reporting cycles were </w:t>
      </w:r>
      <w:r w:rsidR="00202880" w:rsidRPr="00737641">
        <w:t>inaccurate</w:t>
      </w:r>
      <w:r w:rsidRPr="00737641">
        <w:t xml:space="preserve">, overestimating rural road </w:t>
      </w:r>
      <w:r w:rsidR="003E63B3">
        <w:t>kilometres</w:t>
      </w:r>
      <w:r w:rsidR="003E63B3" w:rsidRPr="00737641">
        <w:t xml:space="preserve"> </w:t>
      </w:r>
      <w:r w:rsidRPr="00737641">
        <w:t>to be constructed under this project.</w:t>
      </w:r>
      <w:r w:rsidR="00710337">
        <w:t xml:space="preserve"> </w:t>
      </w:r>
      <w:r w:rsidR="003E63B3">
        <w:t>Performance assessment framework</w:t>
      </w:r>
      <w:r w:rsidR="003E63B3" w:rsidRPr="00737641">
        <w:t xml:space="preserve"> </w:t>
      </w:r>
      <w:r w:rsidRPr="00737641">
        <w:t xml:space="preserve">milestones for the coming reporting period </w:t>
      </w:r>
      <w:r w:rsidR="00202880" w:rsidRPr="00737641">
        <w:t>reflect this issue</w:t>
      </w:r>
      <w:r w:rsidRPr="00737641">
        <w:t>.</w:t>
      </w:r>
    </w:p>
    <w:p w14:paraId="4E57BA59" w14:textId="77777777" w:rsidR="00114751" w:rsidRDefault="00114751" w:rsidP="00F40408">
      <w:pPr>
        <w:rPr>
          <w:rFonts w:eastAsia="Times New Roman"/>
          <w:sz w:val="22"/>
        </w:rPr>
      </w:pPr>
    </w:p>
    <w:p w14:paraId="1694B5E3" w14:textId="77777777" w:rsidR="00A62E17" w:rsidRDefault="00FE68CD" w:rsidP="00565055">
      <w:pPr>
        <w:pStyle w:val="BodyText"/>
      </w:pPr>
      <w:r w:rsidRPr="00F62CFC">
        <w:t>This strategic objective has been rated amber in terms of the likelihood of its achievement during the country strategy period</w:t>
      </w:r>
      <w:r>
        <w:t>.</w:t>
      </w:r>
      <w:r w:rsidR="00710337">
        <w:t xml:space="preserve"> </w:t>
      </w:r>
      <w:r>
        <w:t xml:space="preserve">While our transport sector initiatives are progressing well, progress with economic reform activities have been mixed primarily due to </w:t>
      </w:r>
      <w:r w:rsidR="00A62E17">
        <w:t xml:space="preserve">inefficiencies in the design of the </w:t>
      </w:r>
      <w:r>
        <w:t>Beyond WTO Program</w:t>
      </w:r>
      <w:r w:rsidRPr="00F62CFC">
        <w:t>.</w:t>
      </w:r>
      <w:r w:rsidR="00710337">
        <w:t xml:space="preserve"> </w:t>
      </w:r>
      <w:r w:rsidR="00A62E17">
        <w:t>This is discussed further in the economic reform section below.</w:t>
      </w:r>
    </w:p>
    <w:p w14:paraId="621278DD" w14:textId="77777777" w:rsidR="00114751" w:rsidRPr="00565055" w:rsidRDefault="000905A8" w:rsidP="00565055">
      <w:pPr>
        <w:pStyle w:val="Heading3"/>
      </w:pPr>
      <w:r w:rsidRPr="00565055">
        <w:t xml:space="preserve">Context </w:t>
      </w:r>
      <w:r w:rsidR="003E63B3" w:rsidRPr="00565055">
        <w:t>– transport s</w:t>
      </w:r>
      <w:r w:rsidR="00114751" w:rsidRPr="00565055">
        <w:t>ector</w:t>
      </w:r>
    </w:p>
    <w:p w14:paraId="79B3A759" w14:textId="2FD9B242" w:rsidR="00114751" w:rsidRPr="00AA7256" w:rsidRDefault="00114751" w:rsidP="00565055">
      <w:pPr>
        <w:pStyle w:val="BodyText"/>
      </w:pPr>
      <w:r w:rsidRPr="00AA7256">
        <w:t>The</w:t>
      </w:r>
      <w:r>
        <w:t xml:space="preserve">re have been some reforms in the </w:t>
      </w:r>
      <w:r w:rsidRPr="00AA7256">
        <w:t>transport sector over this reporting period.</w:t>
      </w:r>
      <w:r w:rsidR="00710337">
        <w:t xml:space="preserve"> </w:t>
      </w:r>
      <w:r w:rsidRPr="00AA7256">
        <w:t xml:space="preserve">In December 2012, the </w:t>
      </w:r>
      <w:r w:rsidR="003E63B3" w:rsidRPr="00AA7256">
        <w:t xml:space="preserve">Government </w:t>
      </w:r>
      <w:r w:rsidR="003E63B3">
        <w:t xml:space="preserve">of Vietnam </w:t>
      </w:r>
      <w:r w:rsidRPr="00AA7256">
        <w:t>established the Road Fund to operat</w:t>
      </w:r>
      <w:r w:rsidR="00392981">
        <w:t xml:space="preserve">e </w:t>
      </w:r>
      <w:r w:rsidRPr="00AA7256">
        <w:t>and maint</w:t>
      </w:r>
      <w:r w:rsidR="00392981">
        <w:t xml:space="preserve">ain </w:t>
      </w:r>
      <w:r w:rsidRPr="00AA7256">
        <w:t>Vietnam’s transport infrastructure assets.</w:t>
      </w:r>
      <w:r w:rsidR="00710337">
        <w:t xml:space="preserve"> </w:t>
      </w:r>
      <w:r w:rsidRPr="00AA7256">
        <w:t xml:space="preserve">While the details of how this fund will </w:t>
      </w:r>
      <w:r w:rsidR="00392981">
        <w:t>be managed</w:t>
      </w:r>
      <w:r w:rsidRPr="00AA7256">
        <w:t xml:space="preserve"> remain unclear, this appear</w:t>
      </w:r>
      <w:r>
        <w:t>s</w:t>
      </w:r>
      <w:r w:rsidRPr="00AA7256">
        <w:t xml:space="preserve"> to be an attempt by the </w:t>
      </w:r>
      <w:r w:rsidR="003E63B3">
        <w:t>g</w:t>
      </w:r>
      <w:r w:rsidR="003E63B3" w:rsidRPr="00AA7256">
        <w:t xml:space="preserve">overnment </w:t>
      </w:r>
      <w:r w:rsidRPr="00AA7256">
        <w:t xml:space="preserve">to better </w:t>
      </w:r>
      <w:r w:rsidR="003E63B3" w:rsidRPr="00AA7256">
        <w:t>institutionali</w:t>
      </w:r>
      <w:r w:rsidR="003E63B3">
        <w:t>s</w:t>
      </w:r>
      <w:r w:rsidR="003E63B3" w:rsidRPr="00AA7256">
        <w:t xml:space="preserve">e </w:t>
      </w:r>
      <w:r w:rsidRPr="00AA7256">
        <w:t xml:space="preserve">operations and maintenance and it </w:t>
      </w:r>
      <w:r w:rsidR="003E63B3">
        <w:t>is likely to</w:t>
      </w:r>
      <w:r w:rsidRPr="00AA7256">
        <w:t xml:space="preserve"> improve the transparency and predictability of expenditure in this area. </w:t>
      </w:r>
    </w:p>
    <w:p w14:paraId="265C901B" w14:textId="77777777" w:rsidR="00114751" w:rsidRPr="00AA7256" w:rsidRDefault="00114751" w:rsidP="00565055">
      <w:pPr>
        <w:pStyle w:val="BodyText"/>
      </w:pPr>
      <w:r w:rsidRPr="00AA7256">
        <w:t xml:space="preserve">A tight fiscal situation prompted the </w:t>
      </w:r>
      <w:r w:rsidR="003E63B3">
        <w:t>g</w:t>
      </w:r>
      <w:r w:rsidR="003E63B3" w:rsidRPr="00AA7256">
        <w:t xml:space="preserve">overnment </w:t>
      </w:r>
      <w:r w:rsidRPr="00AA7256">
        <w:t>to squeeze investment in transport infrastructure</w:t>
      </w:r>
      <w:r w:rsidR="000C258A">
        <w:t>, which</w:t>
      </w:r>
      <w:r w:rsidRPr="00AA7256">
        <w:t xml:space="preserve"> has driven effort</w:t>
      </w:r>
      <w:r w:rsidR="000C258A">
        <w:t>s</w:t>
      </w:r>
      <w:r w:rsidRPr="00AA7256">
        <w:t xml:space="preserve"> to increase private sector investment.</w:t>
      </w:r>
      <w:r w:rsidR="00710337">
        <w:t xml:space="preserve"> </w:t>
      </w:r>
      <w:r w:rsidRPr="00AA7256">
        <w:t xml:space="preserve">While Vietnam’s expectations for mechanisms like </w:t>
      </w:r>
      <w:r w:rsidR="003E63B3" w:rsidRPr="00AA7256">
        <w:t xml:space="preserve">public private partnerships </w:t>
      </w:r>
      <w:r w:rsidRPr="00AA7256">
        <w:t xml:space="preserve">in the transport sector are very ambitious, this situation has stimulated some useful reform to the legal and regulatory environment for, and strategic oversight of, </w:t>
      </w:r>
      <w:r w:rsidR="003E63B3">
        <w:t>such partnerships</w:t>
      </w:r>
      <w:r w:rsidR="003E63B3" w:rsidRPr="00AA7256">
        <w:t xml:space="preserve"> </w:t>
      </w:r>
      <w:r w:rsidRPr="00AA7256">
        <w:t xml:space="preserve">in Vietnam. </w:t>
      </w:r>
    </w:p>
    <w:p w14:paraId="48112B28" w14:textId="0266BB50" w:rsidR="00114751" w:rsidRPr="00AA7256" w:rsidRDefault="001F12A2" w:rsidP="00565055">
      <w:pPr>
        <w:pStyle w:val="Heading3"/>
      </w:pPr>
      <w:r>
        <w:t>DFAT</w:t>
      </w:r>
      <w:r w:rsidR="00114751">
        <w:t xml:space="preserve">’s engagement in the </w:t>
      </w:r>
      <w:r w:rsidR="003E63B3">
        <w:t>t</w:t>
      </w:r>
      <w:r w:rsidR="003E63B3" w:rsidRPr="00AA7256">
        <w:t xml:space="preserve">ransport </w:t>
      </w:r>
      <w:r w:rsidR="00114751" w:rsidRPr="00AA7256">
        <w:t>infrastructure</w:t>
      </w:r>
      <w:r w:rsidR="00114751">
        <w:t xml:space="preserve"> sector</w:t>
      </w:r>
    </w:p>
    <w:p w14:paraId="55B18515" w14:textId="79AE411C" w:rsidR="00114751" w:rsidRPr="00AA7256" w:rsidRDefault="001F12A2" w:rsidP="00565055">
      <w:pPr>
        <w:pStyle w:val="BodyText"/>
      </w:pPr>
      <w:r>
        <w:t>DFAT</w:t>
      </w:r>
      <w:r w:rsidR="00114751" w:rsidRPr="00AA7256">
        <w:t>’s key investment in this sector, the Cao Lanh Bridge project, progressed well over this reporting period.</w:t>
      </w:r>
      <w:r w:rsidR="00710337">
        <w:t xml:space="preserve"> </w:t>
      </w:r>
      <w:r w:rsidR="00114751" w:rsidRPr="00AA7256">
        <w:t>The detailed design was completed</w:t>
      </w:r>
      <w:r w:rsidR="00114751">
        <w:t xml:space="preserve"> and </w:t>
      </w:r>
      <w:r w:rsidR="00114751" w:rsidRPr="00AA7256">
        <w:t xml:space="preserve">resettlement and income restoration plans were prepared and approved by the Asian Development </w:t>
      </w:r>
      <w:r w:rsidR="00114751">
        <w:t xml:space="preserve">Bank </w:t>
      </w:r>
      <w:r w:rsidR="00114751" w:rsidRPr="00AA7256">
        <w:t>and</w:t>
      </w:r>
      <w:r w:rsidR="00445C4E">
        <w:t xml:space="preserve"> </w:t>
      </w:r>
      <w:r>
        <w:t>the Australian Government</w:t>
      </w:r>
      <w:r w:rsidR="00114751">
        <w:t>.</w:t>
      </w:r>
      <w:r w:rsidR="00710337">
        <w:t xml:space="preserve"> </w:t>
      </w:r>
      <w:r w:rsidR="00114751">
        <w:t xml:space="preserve">The </w:t>
      </w:r>
      <w:r w:rsidR="00114751" w:rsidRPr="00AA7256">
        <w:t>A</w:t>
      </w:r>
      <w:r w:rsidR="003E63B3">
        <w:t xml:space="preserve">sian </w:t>
      </w:r>
      <w:r w:rsidR="00114751" w:rsidRPr="00AA7256">
        <w:t>D</w:t>
      </w:r>
      <w:r w:rsidR="003E63B3">
        <w:t xml:space="preserve">evelopment </w:t>
      </w:r>
      <w:r w:rsidR="00114751" w:rsidRPr="00AA7256">
        <w:t>B</w:t>
      </w:r>
      <w:r w:rsidR="003E63B3">
        <w:t>ank</w:t>
      </w:r>
      <w:r w:rsidR="00114751" w:rsidRPr="00AA7256">
        <w:t xml:space="preserve"> and the Government </w:t>
      </w:r>
      <w:r w:rsidR="00114751">
        <w:t xml:space="preserve">of Vietnam </w:t>
      </w:r>
      <w:r w:rsidR="00114751" w:rsidRPr="00AA7256">
        <w:t xml:space="preserve">have appraised </w:t>
      </w:r>
      <w:r w:rsidR="00114751">
        <w:t xml:space="preserve">the detailed design </w:t>
      </w:r>
      <w:r w:rsidR="00114751" w:rsidRPr="00AA7256">
        <w:t>and are in the process of approving financing for the civil works phase.</w:t>
      </w:r>
      <w:r w:rsidR="00710337">
        <w:t xml:space="preserve"> </w:t>
      </w:r>
      <w:r w:rsidR="00114751" w:rsidRPr="00AA7256">
        <w:t xml:space="preserve">Key areas where </w:t>
      </w:r>
      <w:r>
        <w:t>DFAT</w:t>
      </w:r>
      <w:r w:rsidR="00114751" w:rsidRPr="00AA7256">
        <w:t xml:space="preserve"> exerted significant influence include: </w:t>
      </w:r>
    </w:p>
    <w:p w14:paraId="164B5185" w14:textId="695AFF8A" w:rsidR="00114751" w:rsidRPr="000905A8" w:rsidRDefault="00114751" w:rsidP="00565055">
      <w:pPr>
        <w:pStyle w:val="ListBullet"/>
      </w:pPr>
      <w:r>
        <w:t>Ensuring an appropriate allowance was made in the detailed design for climate change impacts.</w:t>
      </w:r>
      <w:r w:rsidR="00710337">
        <w:t xml:space="preserve"> </w:t>
      </w:r>
      <w:r>
        <w:t>This required high</w:t>
      </w:r>
      <w:r w:rsidR="00392981">
        <w:t>-</w:t>
      </w:r>
      <w:r>
        <w:t xml:space="preserve">level engagement from Post as it was met with resistance due to the policy precedent setting </w:t>
      </w:r>
      <w:r w:rsidRPr="000905A8">
        <w:t>impact (a positive policy precedent)</w:t>
      </w:r>
      <w:r w:rsidR="003E63B3">
        <w:t xml:space="preserve"> </w:t>
      </w:r>
      <w:r w:rsidRPr="000905A8">
        <w:t xml:space="preserve">it is likely to have on other large infrastructure projects in Vietnam. This achievement will </w:t>
      </w:r>
      <w:r w:rsidR="003E63B3">
        <w:t>ensure</w:t>
      </w:r>
      <w:r w:rsidR="003E63B3" w:rsidRPr="000905A8">
        <w:t xml:space="preserve"> </w:t>
      </w:r>
      <w:r w:rsidR="003E63B3">
        <w:t>the</w:t>
      </w:r>
      <w:r w:rsidRPr="000905A8">
        <w:t xml:space="preserve"> road is less prone to increased flooding </w:t>
      </w:r>
      <w:r w:rsidR="000C258A" w:rsidRPr="000905A8">
        <w:t>in the Mekong Delta</w:t>
      </w:r>
      <w:r w:rsidR="000C258A">
        <w:t>, which is</w:t>
      </w:r>
      <w:r w:rsidR="000C258A" w:rsidRPr="000905A8">
        <w:t xml:space="preserve"> </w:t>
      </w:r>
      <w:r w:rsidRPr="000905A8">
        <w:t xml:space="preserve">predicted due to a combination of sea-level rise and increased rainfall. </w:t>
      </w:r>
    </w:p>
    <w:p w14:paraId="62831B74" w14:textId="2D04D7D8" w:rsidR="00114751" w:rsidRPr="000905A8" w:rsidRDefault="00114751" w:rsidP="00565055">
      <w:pPr>
        <w:pStyle w:val="ListBullet"/>
      </w:pPr>
      <w:r w:rsidRPr="000905A8">
        <w:t>Improv</w:t>
      </w:r>
      <w:r w:rsidR="003E63B3">
        <w:t>ing</w:t>
      </w:r>
      <w:r w:rsidRPr="000905A8">
        <w:t xml:space="preserve"> design of treatments for soft-soil conditions to ensure the road is safer and easier to maintain. These improvements resulted from lessons learned on the Southern Coastal Corridor Project that </w:t>
      </w:r>
      <w:r w:rsidR="001F12A2">
        <w:t xml:space="preserve">the Australian Government </w:t>
      </w:r>
      <w:r w:rsidRPr="000905A8">
        <w:t>also co-finances with the A</w:t>
      </w:r>
      <w:r w:rsidR="003E63B3">
        <w:t xml:space="preserve">sian </w:t>
      </w:r>
      <w:r w:rsidRPr="000905A8">
        <w:t>D</w:t>
      </w:r>
      <w:r w:rsidR="003E63B3">
        <w:t xml:space="preserve">evelopment </w:t>
      </w:r>
      <w:r w:rsidRPr="000905A8">
        <w:t>B</w:t>
      </w:r>
      <w:r w:rsidR="003E63B3">
        <w:t>ank</w:t>
      </w:r>
      <w:r w:rsidR="000C258A">
        <w:t>,</w:t>
      </w:r>
      <w:r w:rsidRPr="000905A8">
        <w:t xml:space="preserve"> and can be applied by Vietnam to other projects in the Mekong Delta.</w:t>
      </w:r>
    </w:p>
    <w:p w14:paraId="5AC11D90" w14:textId="2DD938EF" w:rsidR="00114751" w:rsidRPr="000905A8" w:rsidRDefault="00114751" w:rsidP="00565055">
      <w:pPr>
        <w:pStyle w:val="ListBullet"/>
      </w:pPr>
      <w:r w:rsidRPr="000905A8">
        <w:t xml:space="preserve">Ensuring that management structures for implementation of the social development aspects of the project are robust and provide scope for </w:t>
      </w:r>
      <w:r w:rsidR="001F12A2">
        <w:t xml:space="preserve">DFAT </w:t>
      </w:r>
      <w:r w:rsidRPr="000905A8">
        <w:t>influence.</w:t>
      </w:r>
    </w:p>
    <w:p w14:paraId="08FD0FD6" w14:textId="5A17AF63" w:rsidR="00114751" w:rsidRDefault="00114751" w:rsidP="00565055">
      <w:pPr>
        <w:pStyle w:val="BodyText"/>
      </w:pPr>
      <w:r w:rsidRPr="00AA7256">
        <w:t xml:space="preserve">With the Cao Lanh Bridge Project moving into the civil works phase, Post has increased its resourcing </w:t>
      </w:r>
      <w:r w:rsidR="003E63B3">
        <w:t>to</w:t>
      </w:r>
      <w:r w:rsidR="003E63B3" w:rsidRPr="00AA7256">
        <w:t xml:space="preserve"> </w:t>
      </w:r>
      <w:r w:rsidRPr="00AA7256">
        <w:t>manage</w:t>
      </w:r>
      <w:r w:rsidR="003E63B3">
        <w:t xml:space="preserve"> </w:t>
      </w:r>
      <w:r w:rsidRPr="00AA7256">
        <w:t>this.</w:t>
      </w:r>
      <w:r w:rsidR="00710337">
        <w:t xml:space="preserve"> </w:t>
      </w:r>
      <w:r w:rsidRPr="00AA7256">
        <w:t xml:space="preserve">A </w:t>
      </w:r>
      <w:r w:rsidR="003E63B3" w:rsidRPr="00AA7256">
        <w:t xml:space="preserve">senior program manager: social development </w:t>
      </w:r>
      <w:r>
        <w:t xml:space="preserve">position has been established and is </w:t>
      </w:r>
      <w:r w:rsidRPr="00AA7256">
        <w:t xml:space="preserve">responsible for managing </w:t>
      </w:r>
      <w:r w:rsidR="001F12A2">
        <w:t>DFAT</w:t>
      </w:r>
      <w:r w:rsidRPr="00AA7256">
        <w:t xml:space="preserve">’s engagement on social development aspects </w:t>
      </w:r>
      <w:r>
        <w:t>of project implementation</w:t>
      </w:r>
      <w:r w:rsidR="003E63B3">
        <w:t xml:space="preserve">, including </w:t>
      </w:r>
      <w:r w:rsidRPr="00AA7256">
        <w:t xml:space="preserve">resettlement, livelihoods restoration, </w:t>
      </w:r>
      <w:r>
        <w:t xml:space="preserve">and </w:t>
      </w:r>
      <w:r w:rsidRPr="00AA7256">
        <w:t>HIV/AIDS mitigation.</w:t>
      </w:r>
      <w:r w:rsidR="00710337">
        <w:t xml:space="preserve"> </w:t>
      </w:r>
      <w:r w:rsidR="00D41D9A">
        <w:t>DFAT</w:t>
      </w:r>
      <w:r w:rsidRPr="00AA7256">
        <w:t xml:space="preserve"> has also successfully lobbied the </w:t>
      </w:r>
      <w:r w:rsidR="003E63B3" w:rsidRPr="003E63B3">
        <w:t xml:space="preserve">Asian Development Bank </w:t>
      </w:r>
      <w:r w:rsidRPr="00AA7256">
        <w:t>to strengthen its in-country management of this project</w:t>
      </w:r>
      <w:r>
        <w:t>.</w:t>
      </w:r>
      <w:r w:rsidR="00710337">
        <w:t xml:space="preserve"> </w:t>
      </w:r>
      <w:r>
        <w:t xml:space="preserve">As a result, </w:t>
      </w:r>
      <w:r w:rsidRPr="00AA7256">
        <w:t>senior transport and resettlement specialist</w:t>
      </w:r>
      <w:r w:rsidR="000C258A">
        <w:t>s</w:t>
      </w:r>
      <w:r w:rsidRPr="00AA7256">
        <w:t xml:space="preserve"> </w:t>
      </w:r>
      <w:r>
        <w:t>have been</w:t>
      </w:r>
      <w:r w:rsidRPr="00AA7256">
        <w:t xml:space="preserve"> deployed to the </w:t>
      </w:r>
      <w:r w:rsidR="003E63B3">
        <w:t>bank</w:t>
      </w:r>
      <w:r w:rsidR="006E7795">
        <w:t>’s</w:t>
      </w:r>
      <w:r w:rsidR="003E63B3" w:rsidRPr="00AA7256">
        <w:t xml:space="preserve"> resident mission </w:t>
      </w:r>
      <w:r w:rsidRPr="00AA7256">
        <w:t>in Hanoi.</w:t>
      </w:r>
      <w:r w:rsidR="00710337">
        <w:t xml:space="preserve"> </w:t>
      </w:r>
    </w:p>
    <w:p w14:paraId="3409E621" w14:textId="59B04CC5" w:rsidR="003E63B3" w:rsidRDefault="00D41D9A" w:rsidP="00565055">
      <w:pPr>
        <w:pStyle w:val="BodyText"/>
      </w:pPr>
      <w:r>
        <w:lastRenderedPageBreak/>
        <w:t>DFAT</w:t>
      </w:r>
      <w:r w:rsidR="00114751" w:rsidRPr="00AA7256">
        <w:t>’s investment</w:t>
      </w:r>
      <w:r w:rsidR="004B64F3">
        <w:t>s</w:t>
      </w:r>
      <w:r w:rsidR="00114751" w:rsidRPr="00AA7256">
        <w:t xml:space="preserve"> in the Southern Coastal Corridor </w:t>
      </w:r>
      <w:r w:rsidR="004B64F3">
        <w:t xml:space="preserve">project </w:t>
      </w:r>
      <w:r w:rsidR="00114751" w:rsidRPr="00AA7256">
        <w:t>(</w:t>
      </w:r>
      <w:r w:rsidR="00EA6D03">
        <w:t>co</w:t>
      </w:r>
      <w:r w:rsidR="004B64F3">
        <w:t>-</w:t>
      </w:r>
      <w:r w:rsidR="00EA6D03">
        <w:t xml:space="preserve">financed with </w:t>
      </w:r>
      <w:r w:rsidR="004B64F3">
        <w:t>the Asian Development Bank</w:t>
      </w:r>
      <w:r w:rsidR="00114751" w:rsidRPr="00AA7256">
        <w:t xml:space="preserve">) and </w:t>
      </w:r>
      <w:r w:rsidR="004B64F3">
        <w:t xml:space="preserve">the </w:t>
      </w:r>
      <w:r w:rsidR="00114751" w:rsidRPr="00AA7256">
        <w:t>Mekong Transport Infrastructure Development Project</w:t>
      </w:r>
      <w:r w:rsidR="004B64F3">
        <w:t xml:space="preserve"> (co-financed with the World Bank) continue. </w:t>
      </w:r>
      <w:r w:rsidR="003E63B3">
        <w:t xml:space="preserve">Both </w:t>
      </w:r>
      <w:r w:rsidR="004B64F3">
        <w:t>projects</w:t>
      </w:r>
      <w:r w:rsidR="003E63B3">
        <w:t xml:space="preserve"> are</w:t>
      </w:r>
      <w:r w:rsidR="00114751" w:rsidRPr="00AA7256">
        <w:t xml:space="preserve"> progress</w:t>
      </w:r>
      <w:r w:rsidR="003E63B3">
        <w:t>ing</w:t>
      </w:r>
      <w:r w:rsidR="00114751" w:rsidRPr="00AA7256">
        <w:t xml:space="preserve"> well</w:t>
      </w:r>
      <w:r w:rsidR="003E63B3">
        <w:t>.</w:t>
      </w:r>
    </w:p>
    <w:p w14:paraId="561D10EF" w14:textId="7780DF1D" w:rsidR="003E63B3" w:rsidRPr="00CD6D61" w:rsidRDefault="003E63B3" w:rsidP="00565055">
      <w:pPr>
        <w:pStyle w:val="BodyText"/>
        <w:rPr>
          <w:szCs w:val="22"/>
        </w:rPr>
      </w:pPr>
      <w:r>
        <w:t xml:space="preserve">For the </w:t>
      </w:r>
      <w:r w:rsidRPr="00AA7256">
        <w:t>Southern Coastal Corridor</w:t>
      </w:r>
      <w:r w:rsidDel="003E63B3">
        <w:t xml:space="preserve"> </w:t>
      </w:r>
      <w:r>
        <w:t xml:space="preserve">project, </w:t>
      </w:r>
      <w:r w:rsidR="00114751" w:rsidRPr="00AA7256">
        <w:t>71</w:t>
      </w:r>
      <w:r w:rsidR="00114751">
        <w:t xml:space="preserve"> per cent</w:t>
      </w:r>
      <w:r w:rsidR="00114751" w:rsidRPr="00AA7256">
        <w:t xml:space="preserve"> of ci</w:t>
      </w:r>
      <w:r w:rsidR="00114751">
        <w:t xml:space="preserve">vil works </w:t>
      </w:r>
      <w:r>
        <w:t xml:space="preserve">were </w:t>
      </w:r>
      <w:r w:rsidR="00114751" w:rsidRPr="00AA7256">
        <w:t>complete</w:t>
      </w:r>
      <w:r>
        <w:t>d</w:t>
      </w:r>
      <w:r w:rsidR="00114751" w:rsidRPr="00AA7256">
        <w:t xml:space="preserve"> </w:t>
      </w:r>
      <w:r>
        <w:t xml:space="preserve">at 30 </w:t>
      </w:r>
      <w:r w:rsidR="00114751" w:rsidRPr="00AA7256">
        <w:t>June 2013</w:t>
      </w:r>
      <w:r>
        <w:t xml:space="preserve">, </w:t>
      </w:r>
      <w:r w:rsidR="00114751" w:rsidRPr="00AA7256">
        <w:t xml:space="preserve">exceeding our </w:t>
      </w:r>
      <w:r>
        <w:t xml:space="preserve">performance assessment framework </w:t>
      </w:r>
      <w:r w:rsidR="00114751" w:rsidRPr="00AA7256">
        <w:t>milestone of 50</w:t>
      </w:r>
      <w:r w:rsidR="00114751">
        <w:t xml:space="preserve"> per cent</w:t>
      </w:r>
      <w:r w:rsidR="00114751" w:rsidRPr="00AA7256">
        <w:t xml:space="preserve">. </w:t>
      </w:r>
      <w:r w:rsidR="00114751" w:rsidRPr="000905A8">
        <w:t xml:space="preserve">Additional financing to cover the costs of improved </w:t>
      </w:r>
      <w:r w:rsidRPr="000905A8">
        <w:t xml:space="preserve">soft soils </w:t>
      </w:r>
      <w:r w:rsidR="00114751" w:rsidRPr="000905A8">
        <w:t xml:space="preserve">treatment (reported in last year’s </w:t>
      </w:r>
      <w:r>
        <w:t>annual program performance report</w:t>
      </w:r>
      <w:r w:rsidR="00114751" w:rsidRPr="000905A8">
        <w:t xml:space="preserve">) has been approved and road designs have been modified accordingly. Recent media reporting in Vietnam has emphasised the importance of the </w:t>
      </w:r>
      <w:r w:rsidRPr="00AA7256">
        <w:t>Southern Coastal Corridor</w:t>
      </w:r>
      <w:r w:rsidRPr="000905A8" w:rsidDel="003E63B3">
        <w:t xml:space="preserve"> </w:t>
      </w:r>
      <w:r w:rsidR="00114751" w:rsidRPr="000905A8">
        <w:t>as a key regional trade link</w:t>
      </w:r>
      <w:r w:rsidR="000905A8" w:rsidRPr="000905A8">
        <w:t xml:space="preserve"> and highlighted the link between a </w:t>
      </w:r>
      <w:r w:rsidR="000905A8" w:rsidRPr="00DD1011">
        <w:rPr>
          <w:szCs w:val="22"/>
        </w:rPr>
        <w:t>planned</w:t>
      </w:r>
      <w:r w:rsidR="00114751" w:rsidRPr="00310974">
        <w:rPr>
          <w:szCs w:val="22"/>
        </w:rPr>
        <w:t xml:space="preserve"> major deep-water port</w:t>
      </w:r>
      <w:r w:rsidR="000905A8" w:rsidRPr="00310974">
        <w:rPr>
          <w:szCs w:val="22"/>
        </w:rPr>
        <w:t xml:space="preserve"> and the </w:t>
      </w:r>
      <w:r w:rsidRPr="00310974">
        <w:rPr>
          <w:szCs w:val="22"/>
        </w:rPr>
        <w:t>corridor</w:t>
      </w:r>
      <w:r w:rsidR="00114751" w:rsidRPr="008568C0">
        <w:rPr>
          <w:szCs w:val="22"/>
        </w:rPr>
        <w:t>.</w:t>
      </w:r>
      <w:r w:rsidR="00710337" w:rsidRPr="00CD6D61">
        <w:rPr>
          <w:szCs w:val="22"/>
        </w:rPr>
        <w:t xml:space="preserve"> </w:t>
      </w:r>
    </w:p>
    <w:p w14:paraId="364A2216" w14:textId="77777777" w:rsidR="000C258A" w:rsidRPr="00DD1011" w:rsidRDefault="000C258A" w:rsidP="00565055">
      <w:pPr>
        <w:pStyle w:val="BodyText"/>
        <w:rPr>
          <w:szCs w:val="22"/>
        </w:rPr>
      </w:pPr>
      <w:r w:rsidRPr="00F40408">
        <w:rPr>
          <w:rFonts w:eastAsiaTheme="minorHAnsi"/>
          <w:iCs/>
          <w:szCs w:val="22"/>
          <w:lang w:val="en-US"/>
        </w:rPr>
        <w:t xml:space="preserve">Australia is co-financing </w:t>
      </w:r>
      <w:r w:rsidR="00BB58D3">
        <w:rPr>
          <w:rFonts w:eastAsiaTheme="minorHAnsi"/>
          <w:iCs/>
          <w:szCs w:val="22"/>
          <w:lang w:val="en-US"/>
        </w:rPr>
        <w:t>C</w:t>
      </w:r>
      <w:r w:rsidR="00BB58D3" w:rsidRPr="00F40408">
        <w:rPr>
          <w:rFonts w:eastAsiaTheme="minorHAnsi"/>
          <w:iCs/>
          <w:szCs w:val="22"/>
          <w:lang w:val="en-US"/>
        </w:rPr>
        <w:t>omponent C</w:t>
      </w:r>
      <w:r w:rsidR="00BB58D3" w:rsidRPr="00DD1011">
        <w:rPr>
          <w:szCs w:val="22"/>
        </w:rPr>
        <w:t xml:space="preserve"> </w:t>
      </w:r>
      <w:r w:rsidR="00BB58D3">
        <w:rPr>
          <w:szCs w:val="22"/>
        </w:rPr>
        <w:t xml:space="preserve">of the </w:t>
      </w:r>
      <w:r w:rsidRPr="00DD1011">
        <w:rPr>
          <w:szCs w:val="22"/>
        </w:rPr>
        <w:t>Mekong Transport Infrastructure Development Project</w:t>
      </w:r>
      <w:r w:rsidRPr="00F40408">
        <w:rPr>
          <w:rFonts w:eastAsiaTheme="minorHAnsi"/>
          <w:iCs/>
          <w:szCs w:val="22"/>
          <w:lang w:val="en-US"/>
        </w:rPr>
        <w:t>, which is upgrading secondary feeder roads to link poorer and more distant producers to the main supply corridors. Activities have been carried out in 10 out of 13 provinces and an additional 40 kilometres of rural roads were completed in 2012. The initiative’s HIV/AIDS mitigation project has demonstrated particularly good results over this reporting period. A total of 1500 construction workers and 1700 local people have benefited from a communication campaign and targeted activities for increasing awareness of HIV/AIDS and its prevention.</w:t>
      </w:r>
    </w:p>
    <w:p w14:paraId="0E0229A0" w14:textId="77777777" w:rsidR="00114751" w:rsidRPr="00AA7256" w:rsidRDefault="003E63B3" w:rsidP="00565055">
      <w:pPr>
        <w:pStyle w:val="BodyText"/>
      </w:pPr>
      <w:r>
        <w:t>Since the campaign began</w:t>
      </w:r>
      <w:r w:rsidR="00114751" w:rsidRPr="00AA7256">
        <w:t xml:space="preserve">: </w:t>
      </w:r>
    </w:p>
    <w:p w14:paraId="04039035" w14:textId="77777777" w:rsidR="00114751" w:rsidRPr="000905A8" w:rsidRDefault="003E63B3" w:rsidP="00565055">
      <w:pPr>
        <w:pStyle w:val="ListBullet"/>
      </w:pPr>
      <w:r>
        <w:t>t</w:t>
      </w:r>
      <w:r w:rsidRPr="00F51298">
        <w:t xml:space="preserve">he </w:t>
      </w:r>
      <w:r w:rsidR="00114751" w:rsidRPr="00F51298">
        <w:t xml:space="preserve">proportion of respondents who felt that they were at risk of </w:t>
      </w:r>
      <w:r>
        <w:t>contracting</w:t>
      </w:r>
      <w:r w:rsidRPr="00F51298">
        <w:t xml:space="preserve"> </w:t>
      </w:r>
      <w:r w:rsidR="00114751" w:rsidRPr="00F51298">
        <w:t>HIV</w:t>
      </w:r>
      <w:r>
        <w:t xml:space="preserve"> </w:t>
      </w:r>
      <w:r w:rsidR="00114751" w:rsidRPr="00F51298">
        <w:t>or a</w:t>
      </w:r>
      <w:r w:rsidR="00114751">
        <w:t xml:space="preserve"> sexually transmitted infection</w:t>
      </w:r>
      <w:r w:rsidR="00114751" w:rsidRPr="00F51298">
        <w:t xml:space="preserve"> </w:t>
      </w:r>
      <w:r w:rsidR="00114751">
        <w:t>increased</w:t>
      </w:r>
      <w:r w:rsidR="00114751" w:rsidRPr="00F51298">
        <w:t xml:space="preserve"> from 11</w:t>
      </w:r>
      <w:r w:rsidR="00114751">
        <w:t xml:space="preserve"> per cent</w:t>
      </w:r>
      <w:r w:rsidR="00114751" w:rsidRPr="00F51298">
        <w:t xml:space="preserve"> at the baseline to 60</w:t>
      </w:r>
      <w:r w:rsidR="00114751">
        <w:t xml:space="preserve"> per cent</w:t>
      </w:r>
      <w:r w:rsidR="00114751" w:rsidRPr="00F51298">
        <w:t xml:space="preserve"> at the end-</w:t>
      </w:r>
      <w:r w:rsidR="00114751" w:rsidRPr="000905A8">
        <w:t>line</w:t>
      </w:r>
      <w:r w:rsidR="002E5604">
        <w:t xml:space="preserve">, </w:t>
      </w:r>
      <w:r w:rsidR="00114751" w:rsidRPr="000905A8">
        <w:t>indicat</w:t>
      </w:r>
      <w:r w:rsidR="002E5604">
        <w:t>ing a</w:t>
      </w:r>
      <w:r w:rsidR="00114751" w:rsidRPr="000905A8">
        <w:t xml:space="preserve"> greater awareness of the risks</w:t>
      </w:r>
    </w:p>
    <w:p w14:paraId="17BFF3C2" w14:textId="77777777" w:rsidR="00114751" w:rsidRPr="00F51298" w:rsidRDefault="002E5604" w:rsidP="00565055">
      <w:pPr>
        <w:pStyle w:val="ListBullet"/>
      </w:pPr>
      <w:r>
        <w:t>g</w:t>
      </w:r>
      <w:r w:rsidRPr="000905A8">
        <w:t xml:space="preserve">eneral </w:t>
      </w:r>
      <w:r w:rsidR="00114751" w:rsidRPr="000905A8">
        <w:t xml:space="preserve">knowledge </w:t>
      </w:r>
      <w:r>
        <w:t>about</w:t>
      </w:r>
      <w:r w:rsidRPr="000905A8">
        <w:t xml:space="preserve"> </w:t>
      </w:r>
      <w:r w:rsidR="00114751" w:rsidRPr="000905A8">
        <w:t xml:space="preserve">HIV/AIDS and </w:t>
      </w:r>
      <w:r>
        <w:t>sexually transmitted infections</w:t>
      </w:r>
      <w:r w:rsidRPr="00F51298">
        <w:t xml:space="preserve"> </w:t>
      </w:r>
      <w:r w:rsidR="00114751" w:rsidRPr="00F51298">
        <w:t xml:space="preserve">among the construction workers </w:t>
      </w:r>
      <w:r w:rsidRPr="00F51298">
        <w:t xml:space="preserve">improved </w:t>
      </w:r>
      <w:r w:rsidR="00114751" w:rsidRPr="00F51298">
        <w:t xml:space="preserve">markedly. Awareness of </w:t>
      </w:r>
      <w:r>
        <w:t>a</w:t>
      </w:r>
      <w:r w:rsidRPr="00F51298">
        <w:t xml:space="preserve">ntiretroviral </w:t>
      </w:r>
      <w:r w:rsidR="00114751" w:rsidRPr="00F51298">
        <w:t>medicines rose from 27.7</w:t>
      </w:r>
      <w:r w:rsidR="00114751">
        <w:t xml:space="preserve"> per cent</w:t>
      </w:r>
      <w:r w:rsidR="00114751" w:rsidRPr="00F51298">
        <w:t xml:space="preserve"> to 79.3</w:t>
      </w:r>
      <w:r w:rsidR="00114751">
        <w:t xml:space="preserve"> per cent</w:t>
      </w:r>
      <w:r>
        <w:t xml:space="preserve">, awareness about </w:t>
      </w:r>
      <w:r w:rsidR="00114751" w:rsidRPr="00F51298">
        <w:t xml:space="preserve">the difference between HIV and AIDS </w:t>
      </w:r>
      <w:r>
        <w:t xml:space="preserve">increased </w:t>
      </w:r>
      <w:r w:rsidR="00114751" w:rsidRPr="00F51298">
        <w:t>from 27.1</w:t>
      </w:r>
      <w:r w:rsidR="00114751">
        <w:t xml:space="preserve"> per cent</w:t>
      </w:r>
      <w:r w:rsidR="00114751" w:rsidRPr="00F51298">
        <w:t xml:space="preserve"> to 58.7</w:t>
      </w:r>
      <w:r w:rsidR="00114751">
        <w:t xml:space="preserve"> per cent</w:t>
      </w:r>
      <w:r>
        <w:t>,</w:t>
      </w:r>
      <w:r w:rsidRPr="00F51298">
        <w:t xml:space="preserve"> and</w:t>
      </w:r>
      <w:r>
        <w:t xml:space="preserve"> understanding of</w:t>
      </w:r>
      <w:r w:rsidRPr="00F51298">
        <w:t xml:space="preserve"> </w:t>
      </w:r>
      <w:r w:rsidR="00114751" w:rsidRPr="00F51298">
        <w:t xml:space="preserve">the definition of </w:t>
      </w:r>
      <w:r>
        <w:t>sexually transmitted infections increased</w:t>
      </w:r>
      <w:r w:rsidRPr="00F51298">
        <w:t xml:space="preserve"> </w:t>
      </w:r>
      <w:r w:rsidR="00114751" w:rsidRPr="00F51298">
        <w:t>from 73.5</w:t>
      </w:r>
      <w:r w:rsidR="00114751">
        <w:t xml:space="preserve"> per cent</w:t>
      </w:r>
      <w:r w:rsidR="00114751" w:rsidRPr="00F51298">
        <w:t xml:space="preserve"> to 92</w:t>
      </w:r>
      <w:r w:rsidR="00114751">
        <w:t xml:space="preserve"> per cent</w:t>
      </w:r>
    </w:p>
    <w:p w14:paraId="39F71D4A" w14:textId="77777777" w:rsidR="00114751" w:rsidRPr="00F51298" w:rsidRDefault="00114751" w:rsidP="00565055">
      <w:pPr>
        <w:pStyle w:val="ListBullet"/>
      </w:pPr>
      <w:r>
        <w:t>a</w:t>
      </w:r>
      <w:r w:rsidRPr="00F51298">
        <w:t xml:space="preserve">wareness of </w:t>
      </w:r>
      <w:r>
        <w:t xml:space="preserve">how </w:t>
      </w:r>
      <w:r w:rsidRPr="00F51298">
        <w:t xml:space="preserve">HIV </w:t>
      </w:r>
      <w:r>
        <w:t>can be transmitted increased</w:t>
      </w:r>
      <w:r w:rsidRPr="00F51298">
        <w:t xml:space="preserve"> compared to the baseline survey: </w:t>
      </w:r>
      <w:r w:rsidR="00490BDE">
        <w:t xml:space="preserve">from an </w:t>
      </w:r>
      <w:r>
        <w:t xml:space="preserve">HIV positive </w:t>
      </w:r>
      <w:r w:rsidRPr="00F51298">
        <w:t>mother</w:t>
      </w:r>
      <w:r w:rsidR="00BE7D81">
        <w:t xml:space="preserve"> </w:t>
      </w:r>
      <w:r w:rsidRPr="00F51298">
        <w:t>to</w:t>
      </w:r>
      <w:r w:rsidR="00BE7D81">
        <w:t xml:space="preserve"> </w:t>
      </w:r>
      <w:r w:rsidRPr="00F51298">
        <w:t xml:space="preserve">child </w:t>
      </w:r>
      <w:r w:rsidR="00490BDE">
        <w:t xml:space="preserve">– </w:t>
      </w:r>
      <w:r w:rsidRPr="00F51298">
        <w:t>52.8</w:t>
      </w:r>
      <w:r>
        <w:t xml:space="preserve"> per cent</w:t>
      </w:r>
      <w:r w:rsidRPr="00F51298">
        <w:t xml:space="preserve"> to 81.3</w:t>
      </w:r>
      <w:r>
        <w:t xml:space="preserve"> per cent</w:t>
      </w:r>
      <w:r w:rsidR="00490BDE">
        <w:t>, from</w:t>
      </w:r>
      <w:r w:rsidR="00490BDE" w:rsidRPr="00F51298">
        <w:t xml:space="preserve"> </w:t>
      </w:r>
      <w:r w:rsidRPr="00F51298">
        <w:t xml:space="preserve">unprotected sex </w:t>
      </w:r>
      <w:r w:rsidR="00490BDE">
        <w:t xml:space="preserve">– </w:t>
      </w:r>
      <w:r w:rsidRPr="00F51298">
        <w:t>91.7</w:t>
      </w:r>
      <w:r>
        <w:t xml:space="preserve"> per cent</w:t>
      </w:r>
      <w:r w:rsidRPr="00F51298">
        <w:t xml:space="preserve"> to 96</w:t>
      </w:r>
      <w:r>
        <w:t xml:space="preserve"> per cent</w:t>
      </w:r>
      <w:r w:rsidR="00490BDE">
        <w:t>,</w:t>
      </w:r>
      <w:r w:rsidRPr="00F51298">
        <w:t xml:space="preserve"> and </w:t>
      </w:r>
      <w:r w:rsidR="00490BDE">
        <w:t xml:space="preserve">from </w:t>
      </w:r>
      <w:r>
        <w:t>i</w:t>
      </w:r>
      <w:r w:rsidRPr="00F51298">
        <w:t xml:space="preserve">njecting </w:t>
      </w:r>
      <w:r>
        <w:t>d</w:t>
      </w:r>
      <w:r w:rsidRPr="00F51298">
        <w:t xml:space="preserve">rug </w:t>
      </w:r>
      <w:r>
        <w:t>u</w:t>
      </w:r>
      <w:r w:rsidRPr="00F51298">
        <w:t xml:space="preserve">sers </w:t>
      </w:r>
      <w:r w:rsidR="00490BDE">
        <w:t xml:space="preserve">– </w:t>
      </w:r>
      <w:r w:rsidRPr="00F51298">
        <w:t>44.4</w:t>
      </w:r>
      <w:r>
        <w:t xml:space="preserve"> per cent</w:t>
      </w:r>
      <w:r w:rsidRPr="00F51298">
        <w:t xml:space="preserve"> to 74</w:t>
      </w:r>
      <w:r>
        <w:t xml:space="preserve"> per cent</w:t>
      </w:r>
      <w:r w:rsidRPr="00F51298">
        <w:t>.</w:t>
      </w:r>
    </w:p>
    <w:p w14:paraId="582B621E" w14:textId="21546DDD" w:rsidR="00114751" w:rsidRPr="00F55290" w:rsidRDefault="00114751" w:rsidP="00565055">
      <w:pPr>
        <w:pStyle w:val="BodyText"/>
      </w:pPr>
      <w:r w:rsidRPr="008532FB">
        <w:t xml:space="preserve">The Vietnam Country Strategy identifies as a priority </w:t>
      </w:r>
      <w:r w:rsidR="00490BDE" w:rsidRPr="008532FB">
        <w:t>Australia</w:t>
      </w:r>
      <w:r w:rsidR="00490BDE">
        <w:t>’s</w:t>
      </w:r>
      <w:r w:rsidR="00490BDE" w:rsidRPr="008532FB">
        <w:t xml:space="preserve"> </w:t>
      </w:r>
      <w:r w:rsidRPr="008532FB">
        <w:t xml:space="preserve">assistance to develop alternative models of infrastructure financing to help meet Vietnam’s pressing infrastructure needs. </w:t>
      </w:r>
      <w:r w:rsidR="00490BDE">
        <w:t>Public private partnership</w:t>
      </w:r>
      <w:r w:rsidR="00490BDE" w:rsidRPr="008532FB">
        <w:t xml:space="preserve"> </w:t>
      </w:r>
      <w:r w:rsidRPr="008532FB">
        <w:t xml:space="preserve">financing constitutes one important way of attracting private sector investment into infrastructure. </w:t>
      </w:r>
      <w:r w:rsidRPr="00AA7256">
        <w:t xml:space="preserve">As highlighted </w:t>
      </w:r>
      <w:r w:rsidR="000905A8">
        <w:t xml:space="preserve">in the transport sector context section </w:t>
      </w:r>
      <w:r w:rsidRPr="00AA7256">
        <w:t>above, the legal, regulatory, institutional an</w:t>
      </w:r>
      <w:r w:rsidRPr="000905A8">
        <w:t xml:space="preserve">d political environment for </w:t>
      </w:r>
      <w:r w:rsidR="00A01327">
        <w:t>these partnerships</w:t>
      </w:r>
      <w:r w:rsidR="00A01327" w:rsidRPr="000905A8">
        <w:t xml:space="preserve"> </w:t>
      </w:r>
      <w:r w:rsidRPr="000905A8">
        <w:t>in Vietnam is improving.</w:t>
      </w:r>
      <w:r w:rsidR="00445C4E">
        <w:t xml:space="preserve"> </w:t>
      </w:r>
      <w:r w:rsidR="00D41D9A">
        <w:t>DFAT</w:t>
      </w:r>
      <w:r w:rsidRPr="000905A8">
        <w:t>’s investments in this area are implemented with the World Bank and the Ministry of Transport.</w:t>
      </w:r>
      <w:r w:rsidR="00445C4E">
        <w:t xml:space="preserve"> </w:t>
      </w:r>
      <w:r w:rsidR="00D41D9A">
        <w:t>DFAT</w:t>
      </w:r>
      <w:r w:rsidRPr="000905A8">
        <w:t xml:space="preserve">’s </w:t>
      </w:r>
      <w:r w:rsidRPr="00F55290">
        <w:t>approach</w:t>
      </w:r>
      <w:r w:rsidRPr="000905A8">
        <w:t xml:space="preserve"> to </w:t>
      </w:r>
      <w:r w:rsidRPr="00F55290">
        <w:t xml:space="preserve">assisting the </w:t>
      </w:r>
      <w:r w:rsidR="00A01327">
        <w:t>g</w:t>
      </w:r>
      <w:r w:rsidR="00A01327" w:rsidRPr="00F55290">
        <w:t xml:space="preserve">overnment </w:t>
      </w:r>
      <w:r w:rsidRPr="00F55290">
        <w:t>is two pronged:</w:t>
      </w:r>
    </w:p>
    <w:p w14:paraId="1360089F" w14:textId="77777777" w:rsidR="00114751" w:rsidRPr="008532FB" w:rsidRDefault="00A01327" w:rsidP="00565055">
      <w:pPr>
        <w:pStyle w:val="ListNumber"/>
      </w:pPr>
      <w:r>
        <w:t>s</w:t>
      </w:r>
      <w:r w:rsidRPr="00F55290">
        <w:t xml:space="preserve">upport </w:t>
      </w:r>
      <w:r w:rsidR="00114751" w:rsidRPr="00F55290">
        <w:t>to develop a</w:t>
      </w:r>
      <w:r w:rsidR="00114751" w:rsidRPr="008532FB">
        <w:t xml:space="preserve"> </w:t>
      </w:r>
      <w:r>
        <w:t>public private partnership</w:t>
      </w:r>
      <w:r w:rsidRPr="008532FB">
        <w:t xml:space="preserve"> </w:t>
      </w:r>
      <w:r w:rsidR="00114751" w:rsidRPr="008532FB">
        <w:t>transaction to build an expressway in Vietnam. If this transaction is successful</w:t>
      </w:r>
      <w:r>
        <w:t>,</w:t>
      </w:r>
      <w:r w:rsidR="00114751" w:rsidRPr="008532FB">
        <w:t xml:space="preserve"> it will provide a model that can be drawn on to establish a working regulatory and legal framework for </w:t>
      </w:r>
      <w:r>
        <w:t>such partnerships</w:t>
      </w:r>
      <w:r w:rsidR="00114751" w:rsidRPr="008532FB">
        <w:t xml:space="preserve">. It will also demonstrate to international investors that Vietnam is capable of developing international good practice </w:t>
      </w:r>
      <w:r>
        <w:t>public private partnership</w:t>
      </w:r>
      <w:r w:rsidRPr="008532FB">
        <w:t xml:space="preserve"> </w:t>
      </w:r>
      <w:r w:rsidR="00114751" w:rsidRPr="008532FB">
        <w:t>transactions</w:t>
      </w:r>
    </w:p>
    <w:p w14:paraId="66376891" w14:textId="346B50C0" w:rsidR="00114751" w:rsidRPr="008532FB" w:rsidRDefault="00114751" w:rsidP="00565055">
      <w:pPr>
        <w:pStyle w:val="ListNumber"/>
      </w:pPr>
      <w:r w:rsidRPr="008532FB">
        <w:t xml:space="preserve">an activity to build the capacity of </w:t>
      </w:r>
      <w:r w:rsidR="00BE7D81">
        <w:t xml:space="preserve">the </w:t>
      </w:r>
      <w:r w:rsidRPr="008532FB">
        <w:t xml:space="preserve">Ministry of Transport to identify, prepare and manage </w:t>
      </w:r>
      <w:r w:rsidR="00091878">
        <w:t>public private partnership</w:t>
      </w:r>
      <w:r w:rsidR="00A01327">
        <w:t xml:space="preserve"> </w:t>
      </w:r>
      <w:r w:rsidRPr="008532FB">
        <w:t xml:space="preserve">transactions in the transport sector. </w:t>
      </w:r>
    </w:p>
    <w:p w14:paraId="76B37457" w14:textId="37F4B3A0" w:rsidR="00114751" w:rsidRPr="008532FB" w:rsidRDefault="00114751" w:rsidP="00565055">
      <w:pPr>
        <w:pStyle w:val="BodyText"/>
      </w:pPr>
      <w:r w:rsidRPr="008532FB">
        <w:t xml:space="preserve">The expressway transaction is progressing well </w:t>
      </w:r>
      <w:r w:rsidR="00A01327">
        <w:t>and is</w:t>
      </w:r>
      <w:r w:rsidRPr="008532FB">
        <w:t xml:space="preserve"> expected to be put to the market in the second half of 2013. The capacity building activity has been slow in </w:t>
      </w:r>
      <w:r w:rsidR="00091878">
        <w:t>progressing</w:t>
      </w:r>
      <w:r w:rsidRPr="008532FB">
        <w:t xml:space="preserve">. A key development that has impacted on this activity was, ironically, the establishment of a </w:t>
      </w:r>
      <w:r w:rsidR="00A01327" w:rsidRPr="00A01327">
        <w:t xml:space="preserve">public private </w:t>
      </w:r>
      <w:r w:rsidR="00A01327" w:rsidRPr="001B41CD">
        <w:t>partnership</w:t>
      </w:r>
      <w:r w:rsidRPr="00A01327">
        <w:t xml:space="preserve"> department within </w:t>
      </w:r>
      <w:r w:rsidR="00A01327">
        <w:t xml:space="preserve">the </w:t>
      </w:r>
      <w:r w:rsidR="00A01327" w:rsidRPr="00F40408">
        <w:t>Ministry of Transport</w:t>
      </w:r>
      <w:r w:rsidRPr="00A01327">
        <w:t>.</w:t>
      </w:r>
      <w:r w:rsidR="00710337" w:rsidRPr="00A01327">
        <w:t xml:space="preserve"> </w:t>
      </w:r>
      <w:r w:rsidRPr="00A01327">
        <w:t>This is a positive</w:t>
      </w:r>
      <w:r w:rsidRPr="008532FB">
        <w:t xml:space="preserve"> and necessary development but teething problems have slowed down approval</w:t>
      </w:r>
      <w:r w:rsidR="00A01327">
        <w:t>s</w:t>
      </w:r>
      <w:r w:rsidRPr="008532FB">
        <w:t xml:space="preserve">. However, this </w:t>
      </w:r>
      <w:r w:rsidRPr="008532FB">
        <w:lastRenderedPageBreak/>
        <w:t xml:space="preserve">development means we now have a stable and dedicated counterpart for our </w:t>
      </w:r>
      <w:r w:rsidR="00A01327" w:rsidRPr="00A01327">
        <w:t>public private partnership</w:t>
      </w:r>
      <w:r w:rsidR="00A01327">
        <w:t xml:space="preserve"> </w:t>
      </w:r>
      <w:r w:rsidRPr="008532FB">
        <w:t xml:space="preserve">investments with </w:t>
      </w:r>
      <w:r w:rsidR="00A01327">
        <w:t>the ministry</w:t>
      </w:r>
      <w:r w:rsidRPr="008532FB">
        <w:t>. This department is inexperienced and lacking in expertise</w:t>
      </w:r>
      <w:r w:rsidR="00BE7D81">
        <w:t>,</w:t>
      </w:r>
      <w:r w:rsidRPr="008532FB">
        <w:t xml:space="preserve"> so getting the capacity building activity up and running is a priority. We expect progress to accelerate substantially over the coming reporting period. </w:t>
      </w:r>
    </w:p>
    <w:p w14:paraId="5D831C7F" w14:textId="77777777" w:rsidR="00F55290" w:rsidRPr="00BB58D3" w:rsidRDefault="00114751" w:rsidP="00565055">
      <w:pPr>
        <w:pStyle w:val="Heading3"/>
      </w:pPr>
      <w:r>
        <w:t xml:space="preserve">Economic </w:t>
      </w:r>
      <w:r w:rsidR="00A01327">
        <w:t>reform</w:t>
      </w:r>
    </w:p>
    <w:p w14:paraId="09E92DC0" w14:textId="116E7B73" w:rsidR="00114751" w:rsidRDefault="00F55290" w:rsidP="00565055">
      <w:pPr>
        <w:pStyle w:val="BodyText"/>
      </w:pPr>
      <w:r>
        <w:t xml:space="preserve">2012 marked five years since </w:t>
      </w:r>
      <w:r w:rsidRPr="00737641">
        <w:t xml:space="preserve">Vietnam’s accession to the World Trade </w:t>
      </w:r>
      <w:r w:rsidR="00A01327" w:rsidRPr="00737641">
        <w:t>Organi</w:t>
      </w:r>
      <w:r w:rsidR="00A01327">
        <w:t>z</w:t>
      </w:r>
      <w:r w:rsidR="00A01327" w:rsidRPr="00737641">
        <w:t>ation</w:t>
      </w:r>
      <w:r w:rsidRPr="00737641">
        <w:t>.</w:t>
      </w:r>
      <w:r w:rsidR="00710337">
        <w:t xml:space="preserve"> </w:t>
      </w:r>
      <w:r w:rsidR="00114751" w:rsidRPr="00737641">
        <w:t>In assessing its performance in the area of economic integration over the last five years, Vietnam acknowledges that some important domestic policy and institutional reforms have been slow</w:t>
      </w:r>
      <w:r w:rsidR="00A01327">
        <w:t>––</w:t>
      </w:r>
      <w:r w:rsidR="000C258A">
        <w:t>s</w:t>
      </w:r>
      <w:r w:rsidR="00A01327" w:rsidRPr="00A01327">
        <w:t>tate-owned enterprise</w:t>
      </w:r>
      <w:r w:rsidR="00114751" w:rsidRPr="00737641">
        <w:t xml:space="preserve"> reform being a notable example</w:t>
      </w:r>
      <w:r w:rsidR="00A01327">
        <w:t>––</w:t>
      </w:r>
      <w:r w:rsidR="00114751" w:rsidRPr="00737641">
        <w:t xml:space="preserve">as a result of the need to deal with unstable global conditions. But Vietnam is seeing positive impacts </w:t>
      </w:r>
      <w:r w:rsidR="00A01327">
        <w:t>such as</w:t>
      </w:r>
      <w:r w:rsidR="00A01327" w:rsidRPr="00737641">
        <w:t xml:space="preserve"> </w:t>
      </w:r>
      <w:r w:rsidR="00114751" w:rsidRPr="00737641">
        <w:t>expanding export markets for its agricultural goods</w:t>
      </w:r>
      <w:r w:rsidR="00114751" w:rsidRPr="00AA7256">
        <w:t xml:space="preserve"> and improv</w:t>
      </w:r>
      <w:r w:rsidR="00A01327">
        <w:t>ing</w:t>
      </w:r>
      <w:r w:rsidR="00114751" w:rsidRPr="00AA7256">
        <w:t xml:space="preserve"> competi</w:t>
      </w:r>
      <w:r w:rsidR="00114751">
        <w:t>ti</w:t>
      </w:r>
      <w:r w:rsidR="00114751" w:rsidRPr="00AA7256">
        <w:t>veness and professionalism in its manufactu</w:t>
      </w:r>
      <w:r w:rsidR="00114751">
        <w:t xml:space="preserve">ring and agricultural sectors. </w:t>
      </w:r>
      <w:r w:rsidR="00114751" w:rsidRPr="008532FB">
        <w:t xml:space="preserve">This </w:t>
      </w:r>
      <w:r w:rsidR="00114751">
        <w:t>five</w:t>
      </w:r>
      <w:r w:rsidR="00091878">
        <w:t>-</w:t>
      </w:r>
      <w:r w:rsidR="00114751" w:rsidRPr="008532FB">
        <w:t xml:space="preserve">year assessment was undertaken by the Central Institute for Economic Management and funded by </w:t>
      </w:r>
      <w:r w:rsidR="00114751">
        <w:t>Australia’s</w:t>
      </w:r>
      <w:r w:rsidR="00114751" w:rsidRPr="008532FB">
        <w:t xml:space="preserve"> B</w:t>
      </w:r>
      <w:r w:rsidR="00114751">
        <w:t xml:space="preserve">eyond </w:t>
      </w:r>
      <w:r w:rsidR="00114751" w:rsidRPr="008532FB">
        <w:t>WTO Program.</w:t>
      </w:r>
      <w:r w:rsidR="00114751">
        <w:t xml:space="preserve"> </w:t>
      </w:r>
    </w:p>
    <w:p w14:paraId="214779CE" w14:textId="77777777" w:rsidR="00114751" w:rsidRPr="00AA7256" w:rsidRDefault="00114751" w:rsidP="00565055">
      <w:pPr>
        <w:pStyle w:val="BodyText"/>
      </w:pPr>
      <w:r w:rsidRPr="00E528EB">
        <w:t xml:space="preserve">Jostling between the </w:t>
      </w:r>
      <w:r w:rsidR="00E528EB" w:rsidRPr="00F40408">
        <w:t xml:space="preserve">Communist Party of Vietnam </w:t>
      </w:r>
      <w:r w:rsidRPr="00E528EB">
        <w:t xml:space="preserve">and </w:t>
      </w:r>
      <w:r w:rsidR="00E528EB">
        <w:t>the G</w:t>
      </w:r>
      <w:r w:rsidR="00A01327" w:rsidRPr="00E528EB">
        <w:t>overnment</w:t>
      </w:r>
      <w:r w:rsidR="00E528EB">
        <w:t xml:space="preserve"> of Vietnam</w:t>
      </w:r>
      <w:r w:rsidR="00A01327" w:rsidRPr="00E528EB">
        <w:t xml:space="preserve"> </w:t>
      </w:r>
      <w:r w:rsidRPr="00E528EB">
        <w:t>has impacted on the institutional and policy environment in the area of economic integration.</w:t>
      </w:r>
      <w:r w:rsidR="00710337" w:rsidRPr="00E528EB">
        <w:t xml:space="preserve"> </w:t>
      </w:r>
      <w:r w:rsidRPr="00E528EB">
        <w:t xml:space="preserve">The </w:t>
      </w:r>
      <w:r w:rsidR="00E528EB" w:rsidRPr="00E528EB">
        <w:t xml:space="preserve">government’s </w:t>
      </w:r>
      <w:r w:rsidRPr="00E528EB">
        <w:t xml:space="preserve">resolution on integration remains in draft form. The </w:t>
      </w:r>
      <w:r w:rsidR="009D5236">
        <w:t xml:space="preserve">communist </w:t>
      </w:r>
      <w:r w:rsidR="00E528EB" w:rsidRPr="00E528EB">
        <w:t>party</w:t>
      </w:r>
      <w:r w:rsidRPr="00E528EB">
        <w:t>, on the other hand, approved its resolution on integration in April 2013.</w:t>
      </w:r>
      <w:r>
        <w:t xml:space="preserve"> </w:t>
      </w:r>
    </w:p>
    <w:p w14:paraId="22DD0241" w14:textId="77777777" w:rsidR="00114751" w:rsidRPr="00AA7256" w:rsidRDefault="00114751" w:rsidP="00565055">
      <w:pPr>
        <w:pStyle w:val="BodyText"/>
      </w:pPr>
      <w:r>
        <w:t>Vietnam’s</w:t>
      </w:r>
      <w:r w:rsidRPr="00AA7256">
        <w:t xml:space="preserve"> banking sector is heaving under the weight of bad debts, constraining access to much needed capital for </w:t>
      </w:r>
      <w:r w:rsidR="00E528EB">
        <w:t>the</w:t>
      </w:r>
      <w:r w:rsidR="00E528EB" w:rsidRPr="00AA7256">
        <w:t xml:space="preserve"> </w:t>
      </w:r>
      <w:r w:rsidRPr="00AA7256">
        <w:t>private sector.</w:t>
      </w:r>
      <w:r w:rsidR="00710337">
        <w:t xml:space="preserve"> </w:t>
      </w:r>
      <w:r w:rsidRPr="00AA7256">
        <w:t xml:space="preserve">The </w:t>
      </w:r>
      <w:r w:rsidR="00E528EB">
        <w:t>g</w:t>
      </w:r>
      <w:r w:rsidR="00E528EB" w:rsidRPr="00AA7256">
        <w:t xml:space="preserve">overnment </w:t>
      </w:r>
      <w:r w:rsidRPr="00AA7256">
        <w:t xml:space="preserve">and </w:t>
      </w:r>
      <w:r w:rsidR="00E528EB">
        <w:t>p</w:t>
      </w:r>
      <w:r w:rsidR="00E528EB" w:rsidRPr="00AA7256">
        <w:t xml:space="preserve">arty </w:t>
      </w:r>
      <w:r w:rsidRPr="00AA7256">
        <w:t xml:space="preserve">have </w:t>
      </w:r>
      <w:r w:rsidR="00E528EB" w:rsidRPr="00AA7256">
        <w:t>recogni</w:t>
      </w:r>
      <w:r w:rsidR="00E528EB">
        <w:t>s</w:t>
      </w:r>
      <w:r w:rsidR="00E528EB" w:rsidRPr="00AA7256">
        <w:t xml:space="preserve">ed </w:t>
      </w:r>
      <w:r w:rsidRPr="00AA7256">
        <w:t>this problem and have this year taken tentative steps to addressing it.</w:t>
      </w:r>
      <w:r w:rsidR="00710337">
        <w:t xml:space="preserve"> </w:t>
      </w:r>
      <w:r w:rsidRPr="00AA7256">
        <w:t xml:space="preserve">Vietnam agreed to and underwent a Financial Sector Assessment Program (conducted by </w:t>
      </w:r>
      <w:r>
        <w:t>the World Bank</w:t>
      </w:r>
      <w:r w:rsidRPr="00AA7256">
        <w:t xml:space="preserve"> and I</w:t>
      </w:r>
      <w:r>
        <w:t xml:space="preserve">nternational </w:t>
      </w:r>
      <w:r w:rsidRPr="00AA7256">
        <w:t>M</w:t>
      </w:r>
      <w:r>
        <w:t>onetary Fund</w:t>
      </w:r>
      <w:r w:rsidRPr="00AA7256">
        <w:t>)</w:t>
      </w:r>
      <w:r w:rsidR="00E528EB">
        <w:t>, t</w:t>
      </w:r>
      <w:r w:rsidRPr="00AA7256">
        <w:t xml:space="preserve">he findings of </w:t>
      </w:r>
      <w:r w:rsidR="00E528EB">
        <w:t xml:space="preserve">which </w:t>
      </w:r>
      <w:r w:rsidRPr="00AA7256">
        <w:t>have not yet been released</w:t>
      </w:r>
      <w:r>
        <w:t>.</w:t>
      </w:r>
      <w:r w:rsidRPr="00AA7256">
        <w:t xml:space="preserve"> </w:t>
      </w:r>
      <w:r>
        <w:t>T</w:t>
      </w:r>
      <w:r w:rsidRPr="00AA7256">
        <w:t xml:space="preserve">he willingness of Vietnam to release the report will be a key signal to international and domestic stakeholders </w:t>
      </w:r>
      <w:r w:rsidR="00E528EB">
        <w:t xml:space="preserve">on its </w:t>
      </w:r>
      <w:r>
        <w:t>commitment to reform</w:t>
      </w:r>
      <w:r w:rsidRPr="00AA7256">
        <w:t>.</w:t>
      </w:r>
    </w:p>
    <w:p w14:paraId="5430C726" w14:textId="0E897A7A" w:rsidR="00114751" w:rsidRDefault="00114751" w:rsidP="00565055">
      <w:pPr>
        <w:pStyle w:val="BodyText"/>
      </w:pPr>
      <w:r w:rsidRPr="00AA7256">
        <w:t xml:space="preserve">Land use and land management is another </w:t>
      </w:r>
      <w:r>
        <w:t xml:space="preserve">critical policy </w:t>
      </w:r>
      <w:r w:rsidR="00F55290">
        <w:t xml:space="preserve">reform </w:t>
      </w:r>
      <w:r w:rsidRPr="00AA7256">
        <w:t>area of ongoing debate.</w:t>
      </w:r>
      <w:r w:rsidR="00710337">
        <w:t xml:space="preserve"> </w:t>
      </w:r>
      <w:r w:rsidRPr="00AA7256">
        <w:t xml:space="preserve">The </w:t>
      </w:r>
      <w:r w:rsidR="000C258A">
        <w:t>l</w:t>
      </w:r>
      <w:r w:rsidR="000C258A" w:rsidRPr="00AA7256">
        <w:t xml:space="preserve">and </w:t>
      </w:r>
      <w:r w:rsidR="000C258A">
        <w:t>l</w:t>
      </w:r>
      <w:r w:rsidR="000C258A" w:rsidRPr="00AA7256">
        <w:t xml:space="preserve">aw </w:t>
      </w:r>
      <w:r w:rsidRPr="00AA7256">
        <w:t xml:space="preserve">revision process has been drawn-out as can be seen from previous </w:t>
      </w:r>
      <w:r w:rsidR="00E528EB">
        <w:t xml:space="preserve">annual program performance </w:t>
      </w:r>
      <w:r w:rsidR="0060117A">
        <w:t>reports</w:t>
      </w:r>
      <w:r w:rsidRPr="00AA7256">
        <w:t>. However, there are some encouraging signs of possible changes that should support more efficient allocation and use of land in Vietnam. These changes will help establish a level playing field between the public and private sectors and ensur</w:t>
      </w:r>
      <w:r w:rsidR="00E528EB">
        <w:t>e</w:t>
      </w:r>
      <w:r w:rsidRPr="00AA7256">
        <w:t xml:space="preserve"> fairness in the way land is acquired by the state for public interest projects like major transport infrastructure. </w:t>
      </w:r>
    </w:p>
    <w:p w14:paraId="6E54E04F" w14:textId="3F078DFA" w:rsidR="00114751" w:rsidRPr="00AA7256" w:rsidRDefault="00D41D9A" w:rsidP="00565055">
      <w:pPr>
        <w:pStyle w:val="Heading3"/>
      </w:pPr>
      <w:r>
        <w:t>DFAT</w:t>
      </w:r>
      <w:r w:rsidR="00114751">
        <w:t xml:space="preserve">’s </w:t>
      </w:r>
      <w:r w:rsidR="00542718">
        <w:t>engagement</w:t>
      </w:r>
      <w:r w:rsidR="00114751">
        <w:t xml:space="preserve"> on economic reform</w:t>
      </w:r>
    </w:p>
    <w:p w14:paraId="492E18EE" w14:textId="7DC57BDF" w:rsidR="00114751" w:rsidRPr="00AA7256" w:rsidRDefault="00114751" w:rsidP="00565055">
      <w:pPr>
        <w:pStyle w:val="BodyText"/>
      </w:pPr>
      <w:r w:rsidRPr="00AA7256">
        <w:t>Ongoing instability in the policy and institutional arrangements for economic integration in Vietnam has impacted on our engagement.</w:t>
      </w:r>
      <w:r w:rsidR="00710337">
        <w:t xml:space="preserve"> </w:t>
      </w:r>
      <w:r w:rsidR="00270898">
        <w:t>E</w:t>
      </w:r>
      <w:r w:rsidR="00A62E17">
        <w:t xml:space="preserve">ntrenched inefficiencies in the design of the Beyond WTO Program, as </w:t>
      </w:r>
      <w:r w:rsidR="00E528EB">
        <w:t xml:space="preserve">detailed </w:t>
      </w:r>
      <w:r w:rsidR="00A62E17">
        <w:t xml:space="preserve">in last year’s </w:t>
      </w:r>
      <w:r w:rsidR="009D5236">
        <w:t xml:space="preserve">annual program performance </w:t>
      </w:r>
      <w:r w:rsidR="0060117A">
        <w:t>report</w:t>
      </w:r>
      <w:r w:rsidR="00A62E17">
        <w:t>, have also hampered effectiveness.</w:t>
      </w:r>
      <w:r w:rsidR="00710337">
        <w:t xml:space="preserve"> </w:t>
      </w:r>
      <w:r w:rsidRPr="008532FB">
        <w:t xml:space="preserve">A mid-term review of the </w:t>
      </w:r>
      <w:r w:rsidR="00E528EB">
        <w:t>Beyond WTO Program</w:t>
      </w:r>
      <w:r w:rsidR="00E528EB" w:rsidRPr="008532FB" w:rsidDel="00E528EB">
        <w:t xml:space="preserve"> </w:t>
      </w:r>
      <w:r w:rsidRPr="008532FB">
        <w:t xml:space="preserve">in 2012 found that </w:t>
      </w:r>
      <w:r w:rsidR="00E528EB">
        <w:t>it</w:t>
      </w:r>
      <w:r w:rsidRPr="008532FB">
        <w:t xml:space="preserve"> has achieved some good discrete results that are likely to have a lasting impact, but that </w:t>
      </w:r>
      <w:r w:rsidR="00E528EB">
        <w:t>its</w:t>
      </w:r>
      <w:r w:rsidR="00E528EB" w:rsidRPr="008532FB">
        <w:t xml:space="preserve"> </w:t>
      </w:r>
      <w:r w:rsidRPr="008532FB">
        <w:t>effectiveness has been compromised by a broad agenda and a</w:t>
      </w:r>
      <w:r w:rsidRPr="00AA7256">
        <w:t xml:space="preserve"> large number of diverse projects of varying scale with few linkages or collaboration between different agencies. While the mid-term review did provide some options for reforming and continuing with </w:t>
      </w:r>
      <w:r w:rsidR="00270898">
        <w:t>the initiative</w:t>
      </w:r>
      <w:r w:rsidRPr="00AA7256">
        <w:t xml:space="preserve">, </w:t>
      </w:r>
      <w:r>
        <w:t xml:space="preserve">the Vietnam program </w:t>
      </w:r>
      <w:r w:rsidRPr="00AA7256">
        <w:t>has decided to close it and work towards building a smaller</w:t>
      </w:r>
      <w:r w:rsidR="00E528EB">
        <w:t>,</w:t>
      </w:r>
      <w:r w:rsidRPr="00AA7256">
        <w:t xml:space="preserve"> more focused engagement on important economic integration issues that draw on the </w:t>
      </w:r>
      <w:r w:rsidR="00E528EB">
        <w:t xml:space="preserve">program’s </w:t>
      </w:r>
      <w:r w:rsidRPr="00AA7256">
        <w:t>lessons and build on some of its notable achievements.</w:t>
      </w:r>
      <w:r w:rsidR="00710337">
        <w:t xml:space="preserve"> </w:t>
      </w:r>
      <w:r w:rsidRPr="00AA7256">
        <w:t xml:space="preserve">This transition will be a key management action over the coming reporting period. </w:t>
      </w:r>
    </w:p>
    <w:p w14:paraId="14FC9EDA" w14:textId="77777777" w:rsidR="00114751" w:rsidRPr="00AA7256" w:rsidRDefault="00114751" w:rsidP="00565055">
      <w:pPr>
        <w:pStyle w:val="BodyText"/>
      </w:pPr>
      <w:r w:rsidRPr="00AA7256">
        <w:t>Notable achievements of</w:t>
      </w:r>
      <w:r w:rsidR="00E528EB">
        <w:t xml:space="preserve"> the</w:t>
      </w:r>
      <w:r w:rsidRPr="00AA7256">
        <w:t xml:space="preserve"> </w:t>
      </w:r>
      <w:r w:rsidR="00E528EB">
        <w:t>Beyond WTO Program</w:t>
      </w:r>
      <w:r w:rsidR="00E528EB" w:rsidRPr="008532FB" w:rsidDel="00E528EB">
        <w:t xml:space="preserve"> </w:t>
      </w:r>
      <w:r w:rsidRPr="00AA7256">
        <w:t>during this reporting period include:</w:t>
      </w:r>
    </w:p>
    <w:p w14:paraId="1781DEE5" w14:textId="77777777" w:rsidR="00114751" w:rsidRPr="00AA7256" w:rsidRDefault="00E528EB" w:rsidP="00565055">
      <w:pPr>
        <w:pStyle w:val="ListBullet"/>
      </w:pPr>
      <w:r>
        <w:t>s</w:t>
      </w:r>
      <w:r w:rsidRPr="00AA7256">
        <w:t xml:space="preserve">upporting </w:t>
      </w:r>
      <w:r>
        <w:t>state-owned enterprise g</w:t>
      </w:r>
      <w:r w:rsidR="00114751" w:rsidRPr="00AA7256">
        <w:t xml:space="preserve">overnance reform </w:t>
      </w:r>
      <w:r w:rsidR="009D5236">
        <w:t>by</w:t>
      </w:r>
      <w:r w:rsidR="00270898" w:rsidRPr="00AA7256">
        <w:t xml:space="preserve"> </w:t>
      </w:r>
      <w:r w:rsidR="00114751" w:rsidRPr="00AA7256">
        <w:t xml:space="preserve">funding a study and consultations on a decree to strengthen governance and performance by separating </w:t>
      </w:r>
      <w:r>
        <w:t>s</w:t>
      </w:r>
      <w:r w:rsidRPr="00AA7256">
        <w:t xml:space="preserve">tate </w:t>
      </w:r>
      <w:r w:rsidR="00114751" w:rsidRPr="00AA7256">
        <w:t xml:space="preserve">ownership </w:t>
      </w:r>
      <w:r>
        <w:t>and</w:t>
      </w:r>
      <w:r w:rsidRPr="00AA7256">
        <w:t xml:space="preserve"> </w:t>
      </w:r>
      <w:r w:rsidR="00114751" w:rsidRPr="00AA7256">
        <w:t>management responsibilities.</w:t>
      </w:r>
      <w:r w:rsidR="00710337">
        <w:t xml:space="preserve"> </w:t>
      </w:r>
      <w:r w:rsidR="00114751" w:rsidRPr="00AA7256">
        <w:t xml:space="preserve">The </w:t>
      </w:r>
      <w:r>
        <w:t>n</w:t>
      </w:r>
      <w:r w:rsidRPr="00AA7256">
        <w:t xml:space="preserve">ew </w:t>
      </w:r>
      <w:r w:rsidR="00114751" w:rsidRPr="00AA7256">
        <w:t>decree</w:t>
      </w:r>
      <w:r>
        <w:t xml:space="preserve">, which was </w:t>
      </w:r>
      <w:r w:rsidR="00114751" w:rsidRPr="00AA7256">
        <w:t xml:space="preserve">issued </w:t>
      </w:r>
      <w:r>
        <w:t xml:space="preserve">in </w:t>
      </w:r>
      <w:r w:rsidR="00114751" w:rsidRPr="00AA7256">
        <w:t>Nov</w:t>
      </w:r>
      <w:r>
        <w:t xml:space="preserve">ember </w:t>
      </w:r>
      <w:r w:rsidR="00114751" w:rsidRPr="00AA7256">
        <w:t>2012</w:t>
      </w:r>
      <w:r>
        <w:t>,</w:t>
      </w:r>
      <w:r w:rsidR="00114751" w:rsidRPr="00AA7256">
        <w:t xml:space="preserve"> is an important step </w:t>
      </w:r>
      <w:r w:rsidR="00270898">
        <w:t>to</w:t>
      </w:r>
      <w:r w:rsidR="00270898" w:rsidRPr="00AA7256">
        <w:t xml:space="preserve"> </w:t>
      </w:r>
      <w:r w:rsidR="00114751" w:rsidRPr="00AA7256">
        <w:t>buil</w:t>
      </w:r>
      <w:r w:rsidR="00114751">
        <w:t xml:space="preserve">ding the policy and regulatory </w:t>
      </w:r>
      <w:r w:rsidRPr="00AA7256">
        <w:t xml:space="preserve">reform </w:t>
      </w:r>
      <w:r w:rsidR="00114751" w:rsidRPr="00AA7256">
        <w:t>environment</w:t>
      </w:r>
    </w:p>
    <w:p w14:paraId="6C50B9A7" w14:textId="77777777" w:rsidR="00114751" w:rsidRPr="00AA7256" w:rsidRDefault="00E528EB" w:rsidP="00565055">
      <w:pPr>
        <w:pStyle w:val="ListBullet"/>
      </w:pPr>
      <w:r>
        <w:lastRenderedPageBreak/>
        <w:t>h</w:t>
      </w:r>
      <w:r w:rsidRPr="00AA7256">
        <w:t xml:space="preserve">elping </w:t>
      </w:r>
      <w:r w:rsidR="00114751" w:rsidRPr="00AA7256">
        <w:t>farmers by improving their understanding of export regulatory standards and value chain opportunities.</w:t>
      </w:r>
      <w:r w:rsidR="00710337">
        <w:t xml:space="preserve"> </w:t>
      </w:r>
      <w:r w:rsidR="00114751" w:rsidRPr="00AA7256">
        <w:t xml:space="preserve">This will help improve their incomes </w:t>
      </w:r>
      <w:r>
        <w:t>by</w:t>
      </w:r>
      <w:r w:rsidRPr="00AA7256">
        <w:t xml:space="preserve"> </w:t>
      </w:r>
      <w:r w:rsidR="00114751" w:rsidRPr="00AA7256">
        <w:t>moving to higher value niches in the market</w:t>
      </w:r>
      <w:r>
        <w:t xml:space="preserve">, such as </w:t>
      </w:r>
      <w:r w:rsidR="00114751" w:rsidRPr="00AA7256">
        <w:t>higher quality rice</w:t>
      </w:r>
    </w:p>
    <w:p w14:paraId="6FEF19ED" w14:textId="446A8D2D" w:rsidR="00114751" w:rsidRPr="00AA7256" w:rsidRDefault="00E528EB" w:rsidP="00565055">
      <w:pPr>
        <w:pStyle w:val="ListBullet"/>
      </w:pPr>
      <w:r>
        <w:t>s</w:t>
      </w:r>
      <w:r w:rsidRPr="00AA7256">
        <w:t xml:space="preserve">upporting </w:t>
      </w:r>
      <w:r w:rsidR="00821A06" w:rsidRPr="00AA7256">
        <w:t xml:space="preserve">land use and management </w:t>
      </w:r>
      <w:r w:rsidR="00114751" w:rsidRPr="00AA7256">
        <w:t xml:space="preserve">reform by funding consultations with the public and private sectors and civil society on the revision of the </w:t>
      </w:r>
      <w:r>
        <w:t>l</w:t>
      </w:r>
      <w:r w:rsidRPr="00AA7256">
        <w:t xml:space="preserve">and </w:t>
      </w:r>
      <w:r>
        <w:t>l</w:t>
      </w:r>
      <w:r w:rsidRPr="00AA7256">
        <w:t>aw</w:t>
      </w:r>
      <w:r w:rsidR="00114751" w:rsidRPr="00AA7256">
        <w:t>.</w:t>
      </w:r>
      <w:r w:rsidR="00710337">
        <w:t xml:space="preserve"> </w:t>
      </w:r>
      <w:r w:rsidR="00114751" w:rsidRPr="00AA7256">
        <w:t>Key areas of focus for these included strengthening land use rights and red</w:t>
      </w:r>
      <w:r w:rsidR="00091878">
        <w:t>ucing inequities and corruption</w:t>
      </w:r>
    </w:p>
    <w:p w14:paraId="42C2866B" w14:textId="77777777" w:rsidR="00114751" w:rsidRDefault="00E528EB" w:rsidP="00565055">
      <w:pPr>
        <w:pStyle w:val="ListBullet"/>
      </w:pPr>
      <w:r>
        <w:t>s</w:t>
      </w:r>
      <w:r w:rsidRPr="00AA7256">
        <w:t xml:space="preserve">upporting </w:t>
      </w:r>
      <w:r w:rsidR="00114751" w:rsidRPr="00AA7256">
        <w:t>take-up of new opportunities in a global marketplace by supporting W</w:t>
      </w:r>
      <w:r>
        <w:t xml:space="preserve">orld </w:t>
      </w:r>
      <w:r w:rsidR="00114751" w:rsidRPr="00AA7256">
        <w:t>T</w:t>
      </w:r>
      <w:r>
        <w:t xml:space="preserve">rade </w:t>
      </w:r>
      <w:r w:rsidR="00114751" w:rsidRPr="00AA7256">
        <w:t>O</w:t>
      </w:r>
      <w:r>
        <w:t>rganization</w:t>
      </w:r>
      <w:r w:rsidR="00114751" w:rsidRPr="00AA7256">
        <w:t xml:space="preserve"> centres in Danang and </w:t>
      </w:r>
      <w:r w:rsidR="009D5236">
        <w:t>Ho Chi Min</w:t>
      </w:r>
      <w:r>
        <w:t>h City</w:t>
      </w:r>
      <w:r w:rsidR="00114751" w:rsidRPr="00AA7256">
        <w:t>.</w:t>
      </w:r>
      <w:r w:rsidR="00710337">
        <w:t xml:space="preserve"> </w:t>
      </w:r>
      <w:r w:rsidR="00114751" w:rsidRPr="00AA7256">
        <w:t xml:space="preserve">These centres support local authorities and the business community to identify opportunities and challenges presented by Vietnam’s membership of the </w:t>
      </w:r>
      <w:r w:rsidRPr="00AA7256">
        <w:t>W</w:t>
      </w:r>
      <w:r>
        <w:t xml:space="preserve">orld </w:t>
      </w:r>
      <w:r w:rsidRPr="00AA7256">
        <w:t>T</w:t>
      </w:r>
      <w:r>
        <w:t xml:space="preserve">rade </w:t>
      </w:r>
      <w:r w:rsidRPr="00AA7256">
        <w:t>O</w:t>
      </w:r>
      <w:r>
        <w:t>rganization</w:t>
      </w:r>
      <w:r w:rsidR="00114751" w:rsidRPr="00AA7256">
        <w:t xml:space="preserve">. </w:t>
      </w:r>
    </w:p>
    <w:p w14:paraId="3FF266C1" w14:textId="77777777" w:rsidR="006E327C" w:rsidRPr="006E327C" w:rsidRDefault="006E327C" w:rsidP="00565055">
      <w:pPr>
        <w:pStyle w:val="BodyText"/>
        <w:rPr>
          <w:szCs w:val="22"/>
        </w:rPr>
      </w:pPr>
      <w:r w:rsidRPr="008532FB">
        <w:t xml:space="preserve">The </w:t>
      </w:r>
      <w:r w:rsidR="00E528EB">
        <w:t xml:space="preserve">performance assessment framework </w:t>
      </w:r>
      <w:r w:rsidRPr="008532FB">
        <w:t xml:space="preserve">milestone for </w:t>
      </w:r>
      <w:r w:rsidR="00E528EB">
        <w:t>the</w:t>
      </w:r>
      <w:r w:rsidR="00E528EB" w:rsidRPr="00AA7256">
        <w:t xml:space="preserve"> </w:t>
      </w:r>
      <w:r w:rsidR="00E528EB">
        <w:t>Beyond WTO Program</w:t>
      </w:r>
      <w:r w:rsidR="00E528EB" w:rsidRPr="008532FB" w:rsidDel="00E528EB">
        <w:t xml:space="preserve"> </w:t>
      </w:r>
      <w:r w:rsidRPr="008532FB">
        <w:t>was partially achieved</w:t>
      </w:r>
      <w:r w:rsidR="00E528EB">
        <w:t>. E</w:t>
      </w:r>
      <w:r w:rsidRPr="008532FB">
        <w:t xml:space="preserve">lements of an assessment funded under the </w:t>
      </w:r>
      <w:r w:rsidR="00E528EB">
        <w:t>p</w:t>
      </w:r>
      <w:r w:rsidR="00E528EB" w:rsidRPr="008532FB">
        <w:t xml:space="preserve">rogram </w:t>
      </w:r>
      <w:r w:rsidRPr="008532FB">
        <w:t xml:space="preserve">were included in a resolution on integration issued by the </w:t>
      </w:r>
      <w:r w:rsidR="00E528EB">
        <w:t>c</w:t>
      </w:r>
      <w:r w:rsidR="00E528EB" w:rsidRPr="008532FB">
        <w:t xml:space="preserve">ommunist </w:t>
      </w:r>
      <w:r w:rsidR="00E528EB">
        <w:t>p</w:t>
      </w:r>
      <w:r w:rsidR="00E528EB" w:rsidRPr="008532FB">
        <w:t>arty</w:t>
      </w:r>
      <w:r w:rsidRPr="008532FB">
        <w:t xml:space="preserve">. The </w:t>
      </w:r>
      <w:r w:rsidR="00E528EB">
        <w:t>g</w:t>
      </w:r>
      <w:r w:rsidR="00E528EB" w:rsidRPr="008532FB">
        <w:t xml:space="preserve">overnment </w:t>
      </w:r>
      <w:r w:rsidRPr="008532FB">
        <w:t>resolution has not yet been issued.</w:t>
      </w:r>
    </w:p>
    <w:p w14:paraId="515CD8E6" w14:textId="1FDE8FBB" w:rsidR="00114751" w:rsidRDefault="00114751" w:rsidP="00565055">
      <w:pPr>
        <w:pStyle w:val="BodyText"/>
      </w:pPr>
      <w:r>
        <w:t xml:space="preserve">As foreshadowed in last year’s </w:t>
      </w:r>
      <w:r w:rsidR="00821A06">
        <w:t xml:space="preserve">annual program performance </w:t>
      </w:r>
      <w:r w:rsidR="00091878">
        <w:t>report</w:t>
      </w:r>
      <w:r>
        <w:t>, support is being provided under the</w:t>
      </w:r>
      <w:r w:rsidR="00445C4E">
        <w:t xml:space="preserve"> </w:t>
      </w:r>
      <w:r w:rsidR="00D41D9A">
        <w:t>DFAT</w:t>
      </w:r>
      <w:r w:rsidR="00821A06">
        <w:t>–</w:t>
      </w:r>
      <w:r>
        <w:t>World Bank country partnership for improved economic management and banking and financial sector reform.</w:t>
      </w:r>
      <w:r w:rsidR="00710337">
        <w:t xml:space="preserve"> </w:t>
      </w:r>
      <w:r>
        <w:t>In 2012</w:t>
      </w:r>
      <w:r w:rsidR="00821A06">
        <w:t>–</w:t>
      </w:r>
      <w:r>
        <w:t xml:space="preserve">13, work commenced on banking governance reform, </w:t>
      </w:r>
      <w:r w:rsidRPr="00AA7256">
        <w:t>develop</w:t>
      </w:r>
      <w:r>
        <w:t>ing</w:t>
      </w:r>
      <w:r w:rsidRPr="00AA7256">
        <w:t xml:space="preserve"> an insolvency and creditor rights framework and strengthening financial inclusion to provide better access to credit across the full breadth of the economy.</w:t>
      </w:r>
      <w:r w:rsidR="00710337">
        <w:t xml:space="preserve"> </w:t>
      </w:r>
      <w:r w:rsidRPr="00AA7256">
        <w:t>This work is only in the early stages but</w:t>
      </w:r>
      <w:r w:rsidR="00270898">
        <w:t>,</w:t>
      </w:r>
      <w:r w:rsidRPr="00AA7256">
        <w:t xml:space="preserve"> in combination with the Financ</w:t>
      </w:r>
      <w:r>
        <w:t>ial Sector Assessment Program</w:t>
      </w:r>
      <w:r w:rsidR="00270898">
        <w:t>,</w:t>
      </w:r>
      <w:r w:rsidRPr="00AA7256">
        <w:t xml:space="preserve"> is helping build an understanding of weaknesses in the banking and finance system and providing international experience to </w:t>
      </w:r>
      <w:r w:rsidR="00821A06">
        <w:t>help</w:t>
      </w:r>
      <w:r w:rsidR="00821A06" w:rsidRPr="00AA7256">
        <w:t xml:space="preserve"> </w:t>
      </w:r>
      <w:r w:rsidRPr="00AA7256">
        <w:t xml:space="preserve">the </w:t>
      </w:r>
      <w:r w:rsidR="00821A06">
        <w:t>g</w:t>
      </w:r>
      <w:r w:rsidR="00821A06" w:rsidRPr="00AA7256">
        <w:t xml:space="preserve">overnment </w:t>
      </w:r>
      <w:r w:rsidRPr="00AA7256">
        <w:t xml:space="preserve">address these. </w:t>
      </w:r>
    </w:p>
    <w:p w14:paraId="1565683D" w14:textId="383CBF97" w:rsidR="00114751" w:rsidRDefault="00114751" w:rsidP="00565055">
      <w:pPr>
        <w:pStyle w:val="BodyText"/>
      </w:pPr>
      <w:r>
        <w:t>The</w:t>
      </w:r>
      <w:r w:rsidR="00445C4E">
        <w:t xml:space="preserve"> </w:t>
      </w:r>
      <w:r w:rsidR="00D41D9A">
        <w:t>DFAT</w:t>
      </w:r>
      <w:r w:rsidR="00821A06">
        <w:t>–</w:t>
      </w:r>
      <w:r>
        <w:t xml:space="preserve">World Bank program is also undertaking </w:t>
      </w:r>
      <w:r w:rsidRPr="008532FB">
        <w:t>analytical work to inform a US</w:t>
      </w:r>
      <w:r w:rsidR="00821A06">
        <w:t>D</w:t>
      </w:r>
      <w:r w:rsidRPr="008532FB">
        <w:t>750 million policy-based budget support operation led by the W</w:t>
      </w:r>
      <w:r>
        <w:t>orld Bank</w:t>
      </w:r>
      <w:r w:rsidRPr="008532FB">
        <w:t xml:space="preserve">. This work will </w:t>
      </w:r>
      <w:r w:rsidR="00821A06">
        <w:t>help</w:t>
      </w:r>
      <w:r w:rsidR="00821A06" w:rsidRPr="008532FB">
        <w:t xml:space="preserve"> </w:t>
      </w:r>
      <w:r w:rsidRPr="008532FB">
        <w:t>identif</w:t>
      </w:r>
      <w:r w:rsidR="00821A06">
        <w:t xml:space="preserve">y </w:t>
      </w:r>
      <w:r>
        <w:t>economic management p</w:t>
      </w:r>
      <w:r w:rsidRPr="008532FB">
        <w:t xml:space="preserve">olicy triggers </w:t>
      </w:r>
      <w:r>
        <w:t>and</w:t>
      </w:r>
      <w:r w:rsidRPr="008532FB">
        <w:t xml:space="preserve"> help the </w:t>
      </w:r>
      <w:r w:rsidR="00821A06">
        <w:t>g</w:t>
      </w:r>
      <w:r w:rsidR="00821A06" w:rsidRPr="008532FB">
        <w:t xml:space="preserve">overnment </w:t>
      </w:r>
      <w:r w:rsidRPr="008532FB">
        <w:t>and donors understand the impacts</w:t>
      </w:r>
      <w:r w:rsidR="0072495B">
        <w:t xml:space="preserve">––both </w:t>
      </w:r>
      <w:r w:rsidRPr="008532FB">
        <w:t>positive and negative</w:t>
      </w:r>
      <w:r w:rsidR="0072495B">
        <w:t>––</w:t>
      </w:r>
      <w:r w:rsidRPr="008532FB">
        <w:t xml:space="preserve">of policy actions that the </w:t>
      </w:r>
      <w:r w:rsidR="00821A06">
        <w:t>o</w:t>
      </w:r>
      <w:r w:rsidR="00821A06" w:rsidRPr="008532FB">
        <w:t xml:space="preserve">peration </w:t>
      </w:r>
      <w:r w:rsidRPr="008532FB">
        <w:t>will support.</w:t>
      </w:r>
      <w:r w:rsidR="00710337">
        <w:t xml:space="preserve"> </w:t>
      </w:r>
      <w:r w:rsidRPr="008532FB">
        <w:t xml:space="preserve">A good example is a piece of analytical work that looks at the social impacts </w:t>
      </w:r>
      <w:r w:rsidR="00821A06" w:rsidRPr="008532FB">
        <w:t xml:space="preserve">of policy actions aimed at making </w:t>
      </w:r>
      <w:r w:rsidR="00821A06">
        <w:t>s</w:t>
      </w:r>
      <w:r w:rsidR="00821A06" w:rsidRPr="008532FB">
        <w:t>tate</w:t>
      </w:r>
      <w:r w:rsidR="00821A06">
        <w:t>-o</w:t>
      </w:r>
      <w:r w:rsidR="00821A06" w:rsidRPr="008532FB">
        <w:t xml:space="preserve">wned </w:t>
      </w:r>
      <w:r w:rsidR="00821A06">
        <w:t>e</w:t>
      </w:r>
      <w:r w:rsidR="00821A06" w:rsidRPr="008532FB">
        <w:t>nterprises more efficient</w:t>
      </w:r>
      <w:r w:rsidR="0072495B">
        <w:t xml:space="preserve">, including </w:t>
      </w:r>
      <w:r w:rsidRPr="008532FB">
        <w:t>unemployment</w:t>
      </w:r>
      <w:r w:rsidR="0072495B">
        <w:t xml:space="preserve"> and</w:t>
      </w:r>
      <w:r w:rsidRPr="008532FB">
        <w:t xml:space="preserve"> social security.</w:t>
      </w:r>
      <w:r w:rsidR="00710337">
        <w:t xml:space="preserve"> </w:t>
      </w:r>
    </w:p>
    <w:p w14:paraId="6E5CACD2" w14:textId="77777777" w:rsidR="00506A51" w:rsidRPr="00565055" w:rsidRDefault="00506A51" w:rsidP="00565055">
      <w:pPr>
        <w:pStyle w:val="Heading2"/>
      </w:pPr>
      <w:r w:rsidRPr="00565055">
        <w:t xml:space="preserve">Strategy </w:t>
      </w:r>
      <w:r w:rsidR="0072495B" w:rsidRPr="00565055">
        <w:t xml:space="preserve">objective </w:t>
      </w:r>
      <w:r w:rsidRPr="00565055">
        <w:t xml:space="preserve">3: Increase rural access to clean water and sanitation </w:t>
      </w:r>
    </w:p>
    <w:p w14:paraId="745EEB1F" w14:textId="3E2C41BF" w:rsidR="00CD0BF5" w:rsidRPr="006C382A" w:rsidRDefault="00CD0BF5" w:rsidP="00565055">
      <w:pPr>
        <w:pStyle w:val="BodyText"/>
      </w:pPr>
      <w:r>
        <w:t>Vietnam</w:t>
      </w:r>
      <w:r w:rsidR="00FD0CB0">
        <w:t xml:space="preserve"> </w:t>
      </w:r>
      <w:r w:rsidR="00091878">
        <w:t>d</w:t>
      </w:r>
      <w:r w:rsidR="00FD0CB0">
        <w:t xml:space="preserve">evelopment </w:t>
      </w:r>
      <w:r w:rsidR="00091878">
        <w:t>g</w:t>
      </w:r>
      <w:r w:rsidR="00FD0CB0">
        <w:t>oal: Reduced incidence of waterborne diseases</w:t>
      </w:r>
    </w:p>
    <w:tbl>
      <w:tblPr>
        <w:tblStyle w:val="APPR"/>
        <w:tblW w:w="5000" w:type="pct"/>
        <w:tblLook w:val="01E0" w:firstRow="1" w:lastRow="1" w:firstColumn="1" w:lastColumn="1" w:noHBand="0" w:noVBand="0"/>
      </w:tblPr>
      <w:tblGrid>
        <w:gridCol w:w="6894"/>
        <w:gridCol w:w="1712"/>
      </w:tblGrid>
      <w:tr w:rsidR="00CD0BF5" w:rsidRPr="006C382A" w14:paraId="7730FC70" w14:textId="77777777" w:rsidTr="00565055">
        <w:trPr>
          <w:cnfStyle w:val="100000000000" w:firstRow="1" w:lastRow="0" w:firstColumn="0" w:lastColumn="0" w:oddVBand="0" w:evenVBand="0" w:oddHBand="0" w:evenHBand="0" w:firstRowFirstColumn="0" w:firstRowLastColumn="0" w:lastRowFirstColumn="0" w:lastRowLastColumn="0"/>
          <w:cantSplit/>
          <w:tblHeader w:val="0"/>
        </w:trPr>
        <w:tc>
          <w:tcPr>
            <w:tcW w:w="3973" w:type="pct"/>
          </w:tcPr>
          <w:p w14:paraId="786F07C2" w14:textId="77777777" w:rsidR="00CD0BF5" w:rsidRPr="00565055" w:rsidRDefault="00CD0BF5" w:rsidP="00565055">
            <w:pPr>
              <w:pStyle w:val="TableTextColumnHeading"/>
              <w:rPr>
                <w:rFonts w:eastAsia="Calibri"/>
                <w:b/>
              </w:rPr>
            </w:pPr>
            <w:r w:rsidRPr="00565055">
              <w:rPr>
                <w:rFonts w:eastAsia="Calibri"/>
                <w:b/>
              </w:rPr>
              <w:t>Objective</w:t>
            </w:r>
          </w:p>
        </w:tc>
        <w:tc>
          <w:tcPr>
            <w:tcW w:w="968" w:type="pct"/>
          </w:tcPr>
          <w:p w14:paraId="56899549" w14:textId="77777777" w:rsidR="00CD0BF5" w:rsidRPr="00565055" w:rsidRDefault="00CD0BF5" w:rsidP="00565055">
            <w:pPr>
              <w:pStyle w:val="TableTextColumnHeading"/>
              <w:rPr>
                <w:rFonts w:eastAsia="Calibri"/>
                <w:b/>
              </w:rPr>
            </w:pPr>
            <w:r w:rsidRPr="00565055">
              <w:rPr>
                <w:rFonts w:eastAsia="Calibri"/>
                <w:b/>
              </w:rPr>
              <w:t xml:space="preserve">Current rating </w:t>
            </w:r>
          </w:p>
        </w:tc>
      </w:tr>
      <w:tr w:rsidR="00CD0BF5" w:rsidRPr="006C382A" w14:paraId="1ED2E25F" w14:textId="77777777" w:rsidTr="00565055">
        <w:trPr>
          <w:cantSplit/>
          <w:tblHeader w:val="0"/>
        </w:trPr>
        <w:tc>
          <w:tcPr>
            <w:tcW w:w="3973" w:type="pct"/>
          </w:tcPr>
          <w:p w14:paraId="2D515C9C" w14:textId="7858D4CE" w:rsidR="00CD0BF5" w:rsidRPr="00565055" w:rsidRDefault="00CD0BF5" w:rsidP="00565055">
            <w:pPr>
              <w:pStyle w:val="TableTextEntries"/>
              <w:rPr>
                <w:rFonts w:eastAsia="Calibri"/>
              </w:rPr>
            </w:pPr>
            <w:r w:rsidRPr="00565055">
              <w:rPr>
                <w:rFonts w:eastAsia="Calibri"/>
              </w:rPr>
              <w:t xml:space="preserve">Objective </w:t>
            </w:r>
            <w:r w:rsidR="00FD0CB0" w:rsidRPr="00565055">
              <w:rPr>
                <w:rFonts w:eastAsia="Calibri"/>
              </w:rPr>
              <w:t>3</w:t>
            </w:r>
            <w:r w:rsidR="00091878" w:rsidRPr="00565055">
              <w:t xml:space="preserve"> </w:t>
            </w:r>
            <w:r w:rsidRPr="00565055">
              <w:rPr>
                <w:rFonts w:eastAsia="Calibri"/>
              </w:rPr>
              <w:t>I</w:t>
            </w:r>
            <w:r w:rsidR="00FD0CB0" w:rsidRPr="00565055">
              <w:rPr>
                <w:rFonts w:eastAsia="Calibri"/>
              </w:rPr>
              <w:t>ncrease rural access to clean water and hygienic sanitation</w:t>
            </w:r>
          </w:p>
        </w:tc>
        <w:tc>
          <w:tcPr>
            <w:tcW w:w="968" w:type="pct"/>
            <w:tcBorders>
              <w:top w:val="nil"/>
              <w:bottom w:val="nil"/>
            </w:tcBorders>
            <w:shd w:val="clear" w:color="auto" w:fill="92D050"/>
          </w:tcPr>
          <w:p w14:paraId="255A9355" w14:textId="08B22DA7" w:rsidR="00CD0BF5" w:rsidRPr="00565055" w:rsidRDefault="00CD0BF5" w:rsidP="00565055">
            <w:pPr>
              <w:pStyle w:val="TableTextEntries"/>
              <w:rPr>
                <w:rFonts w:eastAsia="Calibri"/>
              </w:rPr>
            </w:pPr>
            <w:r w:rsidRPr="00565055">
              <w:rPr>
                <w:rFonts w:eastAsia="Calibri"/>
              </w:rPr>
              <w:t>green</w:t>
            </w:r>
          </w:p>
        </w:tc>
      </w:tr>
    </w:tbl>
    <w:p w14:paraId="1B431CB9" w14:textId="77777777" w:rsidR="00CD0BF5" w:rsidRPr="006C382A" w:rsidRDefault="00CD0BF5" w:rsidP="00565055">
      <w:pPr>
        <w:pStyle w:val="Heading3"/>
      </w:pPr>
      <w:r w:rsidRPr="006C382A">
        <w:t>Annual milestone targets 2012</w:t>
      </w:r>
    </w:p>
    <w:p w14:paraId="78B1A03F" w14:textId="77777777" w:rsidR="00CD0BF5" w:rsidRPr="006C382A" w:rsidRDefault="00270898" w:rsidP="00565055">
      <w:pPr>
        <w:pStyle w:val="ListBullet"/>
      </w:pPr>
      <w:r>
        <w:t xml:space="preserve">A total of </w:t>
      </w:r>
      <w:r w:rsidR="00FD0CB0">
        <w:t>80</w:t>
      </w:r>
      <w:r w:rsidR="007069F7">
        <w:t xml:space="preserve"> per cent</w:t>
      </w:r>
      <w:r w:rsidR="00FD0CB0">
        <w:t xml:space="preserve"> of rural population has access to hygienic water (achieved</w:t>
      </w:r>
      <w:r w:rsidR="0072495B">
        <w:t xml:space="preserve">), </w:t>
      </w:r>
      <w:r w:rsidR="00FD0CB0">
        <w:t>5</w:t>
      </w:r>
      <w:r w:rsidR="005157C1">
        <w:t>5.5</w:t>
      </w:r>
      <w:r w:rsidR="007069F7">
        <w:t xml:space="preserve"> per cent</w:t>
      </w:r>
      <w:r w:rsidR="00FD0CB0">
        <w:t xml:space="preserve"> </w:t>
      </w:r>
      <w:r w:rsidR="0072495B">
        <w:t xml:space="preserve">has </w:t>
      </w:r>
      <w:r w:rsidR="00FD0CB0">
        <w:t>access to hygienic</w:t>
      </w:r>
      <w:r w:rsidR="005157C1">
        <w:t xml:space="preserve"> latrines (achieved</w:t>
      </w:r>
      <w:r w:rsidR="0072495B">
        <w:t xml:space="preserve">), </w:t>
      </w:r>
      <w:r w:rsidR="00FD0CB0">
        <w:t>8</w:t>
      </w:r>
      <w:r w:rsidR="005157C1">
        <w:t>0</w:t>
      </w:r>
      <w:r w:rsidR="007069F7">
        <w:t xml:space="preserve"> per cent</w:t>
      </w:r>
      <w:r w:rsidR="00FD0CB0">
        <w:t xml:space="preserve"> of rural primary schools have access to hygienic water and latr</w:t>
      </w:r>
      <w:r w:rsidR="005157C1">
        <w:t>ines (achieved</w:t>
      </w:r>
      <w:r w:rsidR="0072495B">
        <w:t xml:space="preserve">), </w:t>
      </w:r>
      <w:r w:rsidR="00FD0CB0">
        <w:t>9</w:t>
      </w:r>
      <w:r w:rsidR="005157C1">
        <w:t>0</w:t>
      </w:r>
      <w:r w:rsidR="007069F7">
        <w:t xml:space="preserve"> per cent</w:t>
      </w:r>
      <w:r w:rsidR="00FD0CB0">
        <w:t xml:space="preserve"> of commune clinics have access to hygienic water and</w:t>
      </w:r>
      <w:r w:rsidR="005157C1">
        <w:t xml:space="preserve"> latrines (achieved</w:t>
      </w:r>
      <w:r w:rsidR="00FD0CB0">
        <w:t>)</w:t>
      </w:r>
      <w:r w:rsidR="0072495B">
        <w:t>.</w:t>
      </w:r>
    </w:p>
    <w:p w14:paraId="515D962F" w14:textId="444F3874" w:rsidR="00CD0BF5" w:rsidRPr="006C382A" w:rsidRDefault="0072495B" w:rsidP="00565055">
      <w:pPr>
        <w:pStyle w:val="ListBullet"/>
      </w:pPr>
      <w:r>
        <w:t>Ministry of Agriculture and Rural Development to i</w:t>
      </w:r>
      <w:r w:rsidR="00FD0CB0">
        <w:t>ssu</w:t>
      </w:r>
      <w:r>
        <w:t>e a</w:t>
      </w:r>
      <w:r w:rsidR="00FD0CB0">
        <w:t xml:space="preserve"> standard procedure for monitoring and supervision of</w:t>
      </w:r>
      <w:r w:rsidR="001E4BDE">
        <w:t xml:space="preserve"> </w:t>
      </w:r>
      <w:r w:rsidRPr="00D104EE">
        <w:rPr>
          <w:lang w:val="en-GB"/>
        </w:rPr>
        <w:t>Vietnam</w:t>
      </w:r>
      <w:r w:rsidR="001E4BDE">
        <w:rPr>
          <w:lang w:val="en-GB"/>
        </w:rPr>
        <w:t>’s</w:t>
      </w:r>
      <w:r w:rsidRPr="00D104EE">
        <w:rPr>
          <w:lang w:val="en-GB"/>
        </w:rPr>
        <w:t xml:space="preserve"> National </w:t>
      </w:r>
      <w:r w:rsidRPr="00D104EE">
        <w:t>Target Program for Rural Water Supply an</w:t>
      </w:r>
      <w:r w:rsidR="00091878">
        <w:t>d Sanitation Phase 3</w:t>
      </w:r>
      <w:r w:rsidDel="0072495B">
        <w:t xml:space="preserve"> </w:t>
      </w:r>
      <w:r w:rsidR="00FD0CB0">
        <w:t>(partly achieved – procedure has been drafted but not yet issued)</w:t>
      </w:r>
      <w:r>
        <w:t>.</w:t>
      </w:r>
    </w:p>
    <w:p w14:paraId="0E576850" w14:textId="77777777" w:rsidR="00CD0BF5" w:rsidRDefault="00CD0BF5" w:rsidP="00565055">
      <w:pPr>
        <w:pStyle w:val="ListBullet"/>
      </w:pPr>
      <w:r>
        <w:t xml:space="preserve">Update </w:t>
      </w:r>
      <w:r w:rsidR="00FD0CB0">
        <w:t xml:space="preserve">and revise the rural water supply and sanitation procurement manual (delayed as </w:t>
      </w:r>
      <w:r w:rsidR="00877D87">
        <w:t xml:space="preserve">this </w:t>
      </w:r>
      <w:r w:rsidR="00FD0CB0">
        <w:t xml:space="preserve">cannot be finalised until </w:t>
      </w:r>
      <w:r w:rsidR="001E4BDE">
        <w:t xml:space="preserve">the Ministry of Planning and Investment undertakes its </w:t>
      </w:r>
      <w:r w:rsidR="00FD0CB0">
        <w:t xml:space="preserve">broader revision of </w:t>
      </w:r>
      <w:r w:rsidR="00877D87">
        <w:t xml:space="preserve">the </w:t>
      </w:r>
      <w:r w:rsidR="001E4BDE">
        <w:t>public procurement law</w:t>
      </w:r>
      <w:r w:rsidR="00FD0CB0">
        <w:t>)</w:t>
      </w:r>
      <w:r w:rsidR="0072495B">
        <w:t>.</w:t>
      </w:r>
    </w:p>
    <w:p w14:paraId="4A49735E" w14:textId="77777777" w:rsidR="00CD0BF5" w:rsidRPr="00712349" w:rsidRDefault="00D27373" w:rsidP="00565055">
      <w:pPr>
        <w:pStyle w:val="ListBullet"/>
      </w:pPr>
      <w:r w:rsidRPr="00D27373">
        <w:lastRenderedPageBreak/>
        <w:t xml:space="preserve">Work with Ministry of Health and Women’s Union to </w:t>
      </w:r>
      <w:r w:rsidR="0072495B">
        <w:t>increase</w:t>
      </w:r>
      <w:r w:rsidRPr="00D27373">
        <w:t xml:space="preserve"> output-based sanitation approaches (achieved)</w:t>
      </w:r>
      <w:r w:rsidR="0072495B">
        <w:t>.</w:t>
      </w:r>
    </w:p>
    <w:p w14:paraId="7EDBC0BA" w14:textId="2AE1B82D" w:rsidR="00506A51" w:rsidRPr="00D104EE" w:rsidRDefault="00D27373" w:rsidP="00565055">
      <w:pPr>
        <w:pStyle w:val="BodyText"/>
      </w:pPr>
      <w:r>
        <w:t>A</w:t>
      </w:r>
      <w:r w:rsidR="004C36CF">
        <w:t xml:space="preserve">t the </w:t>
      </w:r>
      <w:r w:rsidR="00506A51" w:rsidRPr="00D104EE">
        <w:t>end of 2012, 19.5</w:t>
      </w:r>
      <w:r w:rsidR="007069F7">
        <w:t xml:space="preserve"> per cent</w:t>
      </w:r>
      <w:r w:rsidR="00506A51" w:rsidRPr="00D104EE">
        <w:t xml:space="preserve"> of </w:t>
      </w:r>
      <w:r w:rsidR="004C36CF">
        <w:t xml:space="preserve">the </w:t>
      </w:r>
      <w:r w:rsidR="00506A51" w:rsidRPr="00D104EE">
        <w:t xml:space="preserve">rural population still </w:t>
      </w:r>
      <w:r w:rsidR="0072495B">
        <w:t>did</w:t>
      </w:r>
      <w:r w:rsidR="0072495B" w:rsidRPr="00D104EE">
        <w:t xml:space="preserve"> </w:t>
      </w:r>
      <w:r w:rsidR="00506A51" w:rsidRPr="00D104EE">
        <w:t>not have access to hygienic water and 44.5</w:t>
      </w:r>
      <w:r w:rsidR="007069F7">
        <w:t xml:space="preserve"> per cent</w:t>
      </w:r>
      <w:r w:rsidR="00506A51" w:rsidRPr="00D104EE">
        <w:t xml:space="preserve"> </w:t>
      </w:r>
      <w:r w:rsidR="004C36CF">
        <w:t xml:space="preserve">of </w:t>
      </w:r>
      <w:r w:rsidR="00506A51" w:rsidRPr="00D104EE">
        <w:t>rural households lack</w:t>
      </w:r>
      <w:r w:rsidR="00270898">
        <w:t>ed</w:t>
      </w:r>
      <w:r w:rsidR="00506A51" w:rsidRPr="00D104EE">
        <w:t xml:space="preserve"> hygienic latrines.</w:t>
      </w:r>
      <w:r w:rsidR="00710337">
        <w:t xml:space="preserve"> </w:t>
      </w:r>
      <w:r w:rsidR="00506A51" w:rsidRPr="00D104EE">
        <w:t xml:space="preserve">This lack of access combined with </w:t>
      </w:r>
      <w:r w:rsidR="001E4BDE">
        <w:t>poor</w:t>
      </w:r>
      <w:r w:rsidR="00506A51" w:rsidRPr="00D104EE">
        <w:t xml:space="preserve"> </w:t>
      </w:r>
      <w:r w:rsidR="0072495B" w:rsidRPr="00D104EE">
        <w:t xml:space="preserve">knowledge </w:t>
      </w:r>
      <w:r w:rsidR="0072495B">
        <w:t>about</w:t>
      </w:r>
      <w:r w:rsidR="00506A51" w:rsidRPr="00D104EE">
        <w:t xml:space="preserve"> hygiene means waterborne diseases remain an issue affecting people’s health</w:t>
      </w:r>
      <w:r w:rsidR="0072495B">
        <w:t>,</w:t>
      </w:r>
      <w:r w:rsidR="00506A51" w:rsidRPr="00D104EE">
        <w:t xml:space="preserve"> with associated impacts on education outcomes and rural economic growth.</w:t>
      </w:r>
      <w:r w:rsidR="00710337">
        <w:t xml:space="preserve"> </w:t>
      </w:r>
      <w:r w:rsidR="00506A51" w:rsidRPr="00D104EE">
        <w:t>In March 2012, the Go</w:t>
      </w:r>
      <w:r w:rsidR="0072495B">
        <w:t xml:space="preserve">vernment of </w:t>
      </w:r>
      <w:r w:rsidR="00506A51" w:rsidRPr="00D104EE">
        <w:t>V</w:t>
      </w:r>
      <w:r w:rsidR="0072495B">
        <w:t>ietnam</w:t>
      </w:r>
      <w:r w:rsidR="00506A51" w:rsidRPr="00D104EE">
        <w:t xml:space="preserve"> launched </w:t>
      </w:r>
      <w:r w:rsidR="001E4BDE">
        <w:t>its</w:t>
      </w:r>
      <w:r w:rsidR="00506A51" w:rsidRPr="00D104EE">
        <w:rPr>
          <w:lang w:val="en-GB"/>
        </w:rPr>
        <w:t xml:space="preserve"> National </w:t>
      </w:r>
      <w:r w:rsidR="00506A51" w:rsidRPr="00D104EE">
        <w:t>Target Program for Rural Water Supply and Sanitation 2012</w:t>
      </w:r>
      <w:r w:rsidR="00270898">
        <w:t>–</w:t>
      </w:r>
      <w:r w:rsidR="00091878">
        <w:t>2015 Phase 3</w:t>
      </w:r>
      <w:r w:rsidR="00506A51" w:rsidRPr="00D104EE">
        <w:t xml:space="preserve">, confirming its commitment to achieve MDG7 on environmental sustainability by 2015. </w:t>
      </w:r>
    </w:p>
    <w:p w14:paraId="4F7D88C5" w14:textId="664832FC" w:rsidR="004C36CF" w:rsidRDefault="00506A51" w:rsidP="00565055">
      <w:pPr>
        <w:pStyle w:val="BodyText"/>
      </w:pPr>
      <w:r w:rsidRPr="00270898">
        <w:rPr>
          <w:lang w:val="en-GB"/>
        </w:rPr>
        <w:t xml:space="preserve">Australia </w:t>
      </w:r>
      <w:r w:rsidR="004C36CF" w:rsidRPr="00270898">
        <w:rPr>
          <w:lang w:val="en-GB"/>
        </w:rPr>
        <w:t>is providing $</w:t>
      </w:r>
      <w:r w:rsidRPr="00270898">
        <w:rPr>
          <w:lang w:val="en-GB"/>
        </w:rPr>
        <w:t xml:space="preserve">65 million to </w:t>
      </w:r>
      <w:r w:rsidR="00091878">
        <w:rPr>
          <w:lang w:val="en-GB"/>
        </w:rPr>
        <w:t>this program</w:t>
      </w:r>
      <w:r w:rsidR="004C36CF" w:rsidRPr="00270898">
        <w:rPr>
          <w:lang w:val="en-GB"/>
        </w:rPr>
        <w:t xml:space="preserve">, </w:t>
      </w:r>
      <w:r w:rsidRPr="00270898">
        <w:t xml:space="preserve">delivered </w:t>
      </w:r>
      <w:r w:rsidRPr="00270898">
        <w:rPr>
          <w:lang w:val="en-GB"/>
        </w:rPr>
        <w:t>through a combination of targeted program budget support (80</w:t>
      </w:r>
      <w:r w:rsidR="007069F7" w:rsidRPr="00270898">
        <w:rPr>
          <w:lang w:val="en-GB"/>
        </w:rPr>
        <w:t xml:space="preserve"> per cent</w:t>
      </w:r>
      <w:r w:rsidRPr="00270898">
        <w:rPr>
          <w:lang w:val="en-GB"/>
        </w:rPr>
        <w:t>) and technical assistance (20</w:t>
      </w:r>
      <w:r w:rsidR="007069F7" w:rsidRPr="00270898">
        <w:rPr>
          <w:lang w:val="en-GB"/>
        </w:rPr>
        <w:t xml:space="preserve"> per cent</w:t>
      </w:r>
      <w:r w:rsidRPr="00270898">
        <w:rPr>
          <w:lang w:val="en-GB"/>
        </w:rPr>
        <w:t>).</w:t>
      </w:r>
      <w:r w:rsidR="00710337" w:rsidRPr="00270898">
        <w:rPr>
          <w:lang w:val="en-GB"/>
        </w:rPr>
        <w:t xml:space="preserve"> </w:t>
      </w:r>
      <w:r w:rsidRPr="00270898">
        <w:rPr>
          <w:lang w:val="en-GB"/>
        </w:rPr>
        <w:t xml:space="preserve">Total bilateral donor support </w:t>
      </w:r>
      <w:r w:rsidR="00462000" w:rsidRPr="00270898">
        <w:rPr>
          <w:lang w:val="en-GB"/>
        </w:rPr>
        <w:t xml:space="preserve">from </w:t>
      </w:r>
      <w:r w:rsidRPr="00270898">
        <w:rPr>
          <w:lang w:val="en-GB"/>
        </w:rPr>
        <w:t>Australia, Denmark</w:t>
      </w:r>
      <w:r w:rsidR="00462000" w:rsidRPr="00270898">
        <w:rPr>
          <w:lang w:val="en-GB"/>
        </w:rPr>
        <w:t xml:space="preserve"> and the </w:t>
      </w:r>
      <w:r w:rsidRPr="00270898">
        <w:rPr>
          <w:lang w:val="en-GB"/>
        </w:rPr>
        <w:t>U</w:t>
      </w:r>
      <w:r w:rsidR="00462000" w:rsidRPr="00270898">
        <w:rPr>
          <w:lang w:val="en-GB"/>
        </w:rPr>
        <w:t xml:space="preserve">nited </w:t>
      </w:r>
      <w:r w:rsidRPr="00270898">
        <w:rPr>
          <w:lang w:val="en-GB"/>
        </w:rPr>
        <w:t>K</w:t>
      </w:r>
      <w:r w:rsidR="00462000" w:rsidRPr="00270898">
        <w:rPr>
          <w:lang w:val="en-GB"/>
        </w:rPr>
        <w:t>ingdom</w:t>
      </w:r>
      <w:r w:rsidRPr="00270898">
        <w:rPr>
          <w:lang w:val="en-GB"/>
        </w:rPr>
        <w:t xml:space="preserve"> is estimated at USD100 million or about 5 per cent of the total planned budget.</w:t>
      </w:r>
      <w:r w:rsidR="00710337" w:rsidRPr="00270898">
        <w:rPr>
          <w:lang w:val="en-GB"/>
        </w:rPr>
        <w:t xml:space="preserve"> </w:t>
      </w:r>
      <w:r w:rsidRPr="00270898">
        <w:t>Donor funding is combined with the state budget and allocated to individual provinces to implement water supply and sanitation programs.</w:t>
      </w:r>
      <w:r w:rsidR="00710337" w:rsidRPr="00270898">
        <w:t xml:space="preserve"> </w:t>
      </w:r>
      <w:r w:rsidRPr="00270898">
        <w:t>Provincial steering committees oversee delivery of the program.</w:t>
      </w:r>
      <w:r w:rsidR="00710337" w:rsidRPr="00270898">
        <w:t xml:space="preserve"> </w:t>
      </w:r>
      <w:r w:rsidRPr="00270898">
        <w:t>Australia also provided funding for the second phase of th</w:t>
      </w:r>
      <w:r w:rsidR="00091878">
        <w:t>e</w:t>
      </w:r>
      <w:r w:rsidRPr="00270898">
        <w:t xml:space="preserve"> program</w:t>
      </w:r>
      <w:r w:rsidR="003743C8">
        <w:t>,</w:t>
      </w:r>
      <w:r w:rsidRPr="00270898">
        <w:t xml:space="preserve"> which ran from 2006</w:t>
      </w:r>
      <w:r w:rsidR="00462000" w:rsidRPr="00270898">
        <w:t>–</w:t>
      </w:r>
      <w:r w:rsidRPr="00270898">
        <w:t>2011.</w:t>
      </w:r>
      <w:r w:rsidRPr="00D104EE">
        <w:t xml:space="preserve"> </w:t>
      </w:r>
    </w:p>
    <w:p w14:paraId="1DF4C84F" w14:textId="5BD3E943" w:rsidR="00506A51" w:rsidRPr="00D104EE" w:rsidRDefault="00506A51" w:rsidP="00565055">
      <w:pPr>
        <w:pStyle w:val="BodyText"/>
      </w:pPr>
      <w:r w:rsidRPr="00D104EE">
        <w:t xml:space="preserve">Sustainability </w:t>
      </w:r>
      <w:r w:rsidR="009126A4">
        <w:t xml:space="preserve">is </w:t>
      </w:r>
      <w:r w:rsidRPr="00D104EE">
        <w:t xml:space="preserve">a great challenge given the sector is directly and indirectly affected by </w:t>
      </w:r>
      <w:r w:rsidR="009126A4">
        <w:t xml:space="preserve">issues such as natural disasters and </w:t>
      </w:r>
      <w:r w:rsidRPr="00D104EE">
        <w:t xml:space="preserve">climate change. There have been significant changes in water resources especially in relation to </w:t>
      </w:r>
      <w:r w:rsidR="00927978">
        <w:t xml:space="preserve">contamination of </w:t>
      </w:r>
      <w:r w:rsidRPr="00D104EE">
        <w:t xml:space="preserve">underground and surface water. The functionality of the water supply schemes are very much affected by natural disasters </w:t>
      </w:r>
      <w:r w:rsidR="009126A4">
        <w:t xml:space="preserve">such </w:t>
      </w:r>
      <w:r w:rsidRPr="00D104EE">
        <w:t>as landslides</w:t>
      </w:r>
      <w:r w:rsidR="009126A4">
        <w:t xml:space="preserve"> and</w:t>
      </w:r>
      <w:r w:rsidRPr="00D104EE">
        <w:t xml:space="preserve"> flood</w:t>
      </w:r>
      <w:r w:rsidR="007311E0">
        <w:t>,</w:t>
      </w:r>
      <w:r w:rsidR="009126A4">
        <w:t xml:space="preserve"> as well </w:t>
      </w:r>
      <w:r w:rsidRPr="00D104EE">
        <w:t xml:space="preserve">negative impacts by large investment projects </w:t>
      </w:r>
      <w:r w:rsidR="009126A4">
        <w:t xml:space="preserve">such </w:t>
      </w:r>
      <w:r w:rsidRPr="00D104EE">
        <w:t xml:space="preserve">as hydro-electricity plants. Investment in coming years </w:t>
      </w:r>
      <w:r w:rsidR="009126A4">
        <w:t>needs to be</w:t>
      </w:r>
      <w:r w:rsidRPr="00D104EE">
        <w:t xml:space="preserve"> </w:t>
      </w:r>
      <w:r w:rsidR="00462000" w:rsidRPr="00D104EE">
        <w:t>prioriti</w:t>
      </w:r>
      <w:r w:rsidR="00462000">
        <w:t>s</w:t>
      </w:r>
      <w:r w:rsidR="00462000" w:rsidRPr="00D104EE">
        <w:t xml:space="preserve">ed </w:t>
      </w:r>
      <w:r w:rsidRPr="00D104EE">
        <w:t xml:space="preserve">to enhance </w:t>
      </w:r>
      <w:r w:rsidR="00091878">
        <w:t>the program’s</w:t>
      </w:r>
      <w:r w:rsidR="009126A4">
        <w:t xml:space="preserve"> </w:t>
      </w:r>
      <w:r w:rsidRPr="00D104EE">
        <w:t xml:space="preserve">sustainability, water quality and functionality rather than </w:t>
      </w:r>
      <w:r w:rsidR="009126A4">
        <w:t xml:space="preserve">simply </w:t>
      </w:r>
      <w:r w:rsidRPr="00D104EE">
        <w:t xml:space="preserve">to increase coverage. In addition to this, </w:t>
      </w:r>
      <w:r w:rsidR="009126A4">
        <w:t xml:space="preserve">continued </w:t>
      </w:r>
      <w:r w:rsidRPr="00D104EE">
        <w:t xml:space="preserve">attention </w:t>
      </w:r>
      <w:r w:rsidR="009126A4">
        <w:t xml:space="preserve">to </w:t>
      </w:r>
      <w:r w:rsidRPr="00D104EE">
        <w:t xml:space="preserve">sanitation and hygiene </w:t>
      </w:r>
      <w:r w:rsidR="009126A4">
        <w:t xml:space="preserve">is required if MDG targets are to be met </w:t>
      </w:r>
      <w:r w:rsidRPr="00D104EE">
        <w:t>by 2015.</w:t>
      </w:r>
      <w:r w:rsidR="00710337">
        <w:t xml:space="preserve"> </w:t>
      </w:r>
    </w:p>
    <w:p w14:paraId="52B530E6" w14:textId="3B7E1D11" w:rsidR="00506A51" w:rsidRPr="00D104EE" w:rsidRDefault="00506A51" w:rsidP="00565055">
      <w:pPr>
        <w:pStyle w:val="BodyText"/>
      </w:pPr>
      <w:r w:rsidRPr="00D104EE">
        <w:t>Off-budget technical assistance is provided by Australia, Denmark and the U</w:t>
      </w:r>
      <w:r w:rsidR="00462000">
        <w:t xml:space="preserve">nited </w:t>
      </w:r>
      <w:r w:rsidRPr="00D104EE">
        <w:t>K</w:t>
      </w:r>
      <w:r w:rsidR="00462000">
        <w:t>ingdom</w:t>
      </w:r>
      <w:r w:rsidRPr="00D104EE">
        <w:t>. With agreed labour division amongst the three donors, Australia plays a lead role in working with the Go</w:t>
      </w:r>
      <w:r w:rsidR="00462000">
        <w:t xml:space="preserve">vernment of </w:t>
      </w:r>
      <w:r w:rsidRPr="00D104EE">
        <w:t>V</w:t>
      </w:r>
      <w:r w:rsidR="00462000">
        <w:t>ietnam</w:t>
      </w:r>
      <w:r w:rsidRPr="00D104EE">
        <w:t xml:space="preserve"> on the improvement of water quality, fiduciary risk management, budget and planning, and investment sustainability elements of </w:t>
      </w:r>
      <w:r w:rsidR="00091878">
        <w:t>the program</w:t>
      </w:r>
      <w:r w:rsidRPr="00D104EE">
        <w:t>.</w:t>
      </w:r>
      <w:r w:rsidR="00710337">
        <w:t xml:space="preserve"> </w:t>
      </w:r>
      <w:r w:rsidRPr="00D104EE">
        <w:t xml:space="preserve">Australia will need to increase involvement on sanitation elements of the </w:t>
      </w:r>
      <w:r w:rsidR="00462000">
        <w:t>program</w:t>
      </w:r>
      <w:r w:rsidR="00462000" w:rsidRPr="00D104EE">
        <w:t xml:space="preserve"> </w:t>
      </w:r>
      <w:r w:rsidRPr="00D104EE">
        <w:t>as other donors exit in 2013 and 2014</w:t>
      </w:r>
      <w:r w:rsidR="007311E0">
        <w:t xml:space="preserve">, and </w:t>
      </w:r>
      <w:r w:rsidRPr="00D104EE">
        <w:t>is well placed to do this.</w:t>
      </w:r>
    </w:p>
    <w:p w14:paraId="0C21DC39" w14:textId="7634A863" w:rsidR="00506A51" w:rsidRPr="00D104EE" w:rsidRDefault="00506A51" w:rsidP="00565055">
      <w:pPr>
        <w:pStyle w:val="BodyText"/>
      </w:pPr>
      <w:r w:rsidRPr="00D104EE">
        <w:t xml:space="preserve">The </w:t>
      </w:r>
      <w:r w:rsidR="00462000" w:rsidRPr="00462000">
        <w:t xml:space="preserve">Government of Vietnam </w:t>
      </w:r>
      <w:r w:rsidRPr="00D104EE">
        <w:t xml:space="preserve">formally </w:t>
      </w:r>
      <w:r w:rsidRPr="00091878">
        <w:t xml:space="preserve">approved </w:t>
      </w:r>
      <w:r w:rsidR="00091878">
        <w:t xml:space="preserve">the </w:t>
      </w:r>
      <w:r w:rsidR="00091878" w:rsidRPr="00091878">
        <w:rPr>
          <w:lang w:val="en-GB"/>
        </w:rPr>
        <w:t xml:space="preserve">National </w:t>
      </w:r>
      <w:r w:rsidR="00091878" w:rsidRPr="00091878">
        <w:t>Target Program for Rural Water Supply and Sanitation 2012–</w:t>
      </w:r>
      <w:r w:rsidR="00091878">
        <w:t xml:space="preserve">2015 Phase 3 </w:t>
      </w:r>
      <w:r w:rsidRPr="00091878">
        <w:t>in late March 201</w:t>
      </w:r>
      <w:r w:rsidRPr="00D104EE">
        <w:t>2</w:t>
      </w:r>
      <w:r w:rsidR="009126A4">
        <w:t xml:space="preserve">, allowing </w:t>
      </w:r>
      <w:r w:rsidRPr="00D104EE">
        <w:t xml:space="preserve">only </w:t>
      </w:r>
      <w:r w:rsidR="00462000">
        <w:t>nine</w:t>
      </w:r>
      <w:r w:rsidR="00462000" w:rsidRPr="00D104EE">
        <w:t xml:space="preserve"> </w:t>
      </w:r>
      <w:r w:rsidRPr="00D104EE">
        <w:t xml:space="preserve">months to implement </w:t>
      </w:r>
      <w:r w:rsidR="009126A4">
        <w:t xml:space="preserve">the </w:t>
      </w:r>
      <w:r w:rsidRPr="00D104EE">
        <w:t>2013 plan.</w:t>
      </w:r>
      <w:r w:rsidR="00710337">
        <w:t xml:space="preserve"> </w:t>
      </w:r>
      <w:r w:rsidR="009126A4">
        <w:t xml:space="preserve">Despite the shorter timeframe, </w:t>
      </w:r>
      <w:r w:rsidRPr="00D104EE">
        <w:t xml:space="preserve">the following results </w:t>
      </w:r>
      <w:r w:rsidR="00091878">
        <w:t xml:space="preserve">were </w:t>
      </w:r>
      <w:r w:rsidR="00091878" w:rsidRPr="00D104EE">
        <w:t xml:space="preserve">achieved </w:t>
      </w:r>
      <w:r w:rsidRPr="00D104EE">
        <w:t xml:space="preserve">by 31 December 2012, well ahead of targets set by </w:t>
      </w:r>
      <w:r w:rsidR="00462000">
        <w:t>government,</w:t>
      </w:r>
      <w:r w:rsidR="00462000" w:rsidRPr="00D104EE">
        <w:t xml:space="preserve"> </w:t>
      </w:r>
      <w:r w:rsidRPr="00D104EE">
        <w:t>especially on sanitation:</w:t>
      </w:r>
    </w:p>
    <w:p w14:paraId="0A0A2311" w14:textId="77777777" w:rsidR="00506A51" w:rsidRPr="00D104EE" w:rsidRDefault="00506A51" w:rsidP="00565055">
      <w:pPr>
        <w:pStyle w:val="ListBullet"/>
      </w:pPr>
      <w:r w:rsidRPr="00D104EE">
        <w:t>80.5</w:t>
      </w:r>
      <w:r w:rsidR="007069F7">
        <w:t xml:space="preserve"> per cent</w:t>
      </w:r>
      <w:r w:rsidRPr="00D104EE">
        <w:t xml:space="preserve"> of rural population having access to hygienic water (</w:t>
      </w:r>
      <w:r w:rsidR="00462000">
        <w:t xml:space="preserve">an </w:t>
      </w:r>
      <w:r w:rsidRPr="00D104EE">
        <w:t xml:space="preserve">additional </w:t>
      </w:r>
      <w:r w:rsidR="00462000">
        <w:br/>
      </w:r>
      <w:r w:rsidRPr="00D104EE">
        <w:t>1</w:t>
      </w:r>
      <w:r w:rsidR="00462000">
        <w:t xml:space="preserve"> </w:t>
      </w:r>
      <w:r w:rsidRPr="00D104EE">
        <w:t>645</w:t>
      </w:r>
      <w:r w:rsidR="00462000">
        <w:t xml:space="preserve"> </w:t>
      </w:r>
      <w:r w:rsidRPr="00D104EE">
        <w:t xml:space="preserve">000 people </w:t>
      </w:r>
      <w:r w:rsidR="00462000">
        <w:t>had</w:t>
      </w:r>
      <w:r w:rsidR="00462000" w:rsidRPr="00D104EE">
        <w:t xml:space="preserve"> </w:t>
      </w:r>
      <w:r w:rsidRPr="00D104EE">
        <w:t>acc</w:t>
      </w:r>
      <w:r w:rsidR="005157C1">
        <w:t>ess to hygienic water in 2012</w:t>
      </w:r>
      <w:r w:rsidRPr="00D104EE">
        <w:t>)</w:t>
      </w:r>
    </w:p>
    <w:p w14:paraId="41F00B08" w14:textId="77777777" w:rsidR="00506A51" w:rsidRPr="00D104EE" w:rsidRDefault="00506A51" w:rsidP="00565055">
      <w:pPr>
        <w:pStyle w:val="ListBullet"/>
      </w:pPr>
      <w:r w:rsidRPr="00D104EE">
        <w:t>56</w:t>
      </w:r>
      <w:r w:rsidR="007069F7">
        <w:t xml:space="preserve"> per cent</w:t>
      </w:r>
      <w:r w:rsidRPr="00D104EE">
        <w:t xml:space="preserve"> of rural households having hygienic latrines</w:t>
      </w:r>
      <w:r w:rsidR="00710337">
        <w:t xml:space="preserve"> </w:t>
      </w:r>
      <w:r w:rsidRPr="00D104EE">
        <w:t>(</w:t>
      </w:r>
      <w:r w:rsidR="009B5381">
        <w:t xml:space="preserve">an </w:t>
      </w:r>
      <w:r w:rsidRPr="00D104EE">
        <w:t>additional 491</w:t>
      </w:r>
      <w:r w:rsidR="007167AE">
        <w:t xml:space="preserve"> </w:t>
      </w:r>
      <w:r w:rsidRPr="00D104EE">
        <w:t xml:space="preserve">447 households built new hygienic </w:t>
      </w:r>
      <w:r w:rsidR="005157C1">
        <w:t>latrines in 2012</w:t>
      </w:r>
      <w:r w:rsidRPr="00D104EE">
        <w:t>)</w:t>
      </w:r>
    </w:p>
    <w:p w14:paraId="30E4132A" w14:textId="77777777" w:rsidR="00506A51" w:rsidRPr="00D104EE" w:rsidRDefault="00506A51" w:rsidP="00565055">
      <w:pPr>
        <w:pStyle w:val="ListBullet"/>
      </w:pPr>
      <w:r w:rsidRPr="00D104EE">
        <w:t>81</w:t>
      </w:r>
      <w:r w:rsidR="007069F7">
        <w:t xml:space="preserve"> per cent</w:t>
      </w:r>
      <w:r w:rsidRPr="00D104EE">
        <w:t xml:space="preserve"> </w:t>
      </w:r>
      <w:r w:rsidR="004E6A61">
        <w:t xml:space="preserve">of </w:t>
      </w:r>
      <w:r w:rsidRPr="00D104EE">
        <w:t>schools equipped with water supply and sanitation facilities (5700 water</w:t>
      </w:r>
      <w:r w:rsidR="007167AE">
        <w:t xml:space="preserve"> </w:t>
      </w:r>
      <w:r w:rsidRPr="00D104EE">
        <w:t xml:space="preserve">or sanitation facilities </w:t>
      </w:r>
      <w:r w:rsidR="00F56CA9">
        <w:t xml:space="preserve">were </w:t>
      </w:r>
      <w:r w:rsidRPr="00D104EE">
        <w:t>newly built or upgraded in 2012) and 91</w:t>
      </w:r>
      <w:r w:rsidR="007069F7">
        <w:t xml:space="preserve"> per cent</w:t>
      </w:r>
      <w:r w:rsidRPr="00D104EE">
        <w:t xml:space="preserve"> </w:t>
      </w:r>
      <w:r w:rsidR="00F56CA9">
        <w:t xml:space="preserve">of </w:t>
      </w:r>
      <w:r w:rsidRPr="00D104EE">
        <w:t xml:space="preserve">clinics equipped with water supply and sanitation facilities (1335 water </w:t>
      </w:r>
      <w:r w:rsidR="00F56CA9">
        <w:t>or</w:t>
      </w:r>
      <w:r w:rsidRPr="00D104EE">
        <w:t xml:space="preserve"> sanitation facilities </w:t>
      </w:r>
      <w:r w:rsidR="00F56CA9">
        <w:t xml:space="preserve">were </w:t>
      </w:r>
      <w:r w:rsidRPr="00D104EE">
        <w:t>newly built or upgraded in 2012).</w:t>
      </w:r>
    </w:p>
    <w:p w14:paraId="3949BC04" w14:textId="3E825453" w:rsidR="00506A51" w:rsidRPr="00D104EE" w:rsidRDefault="00506A51" w:rsidP="00F40408">
      <w:pPr>
        <w:rPr>
          <w:sz w:val="22"/>
          <w:szCs w:val="22"/>
        </w:rPr>
      </w:pPr>
      <w:r w:rsidRPr="00D104EE">
        <w:rPr>
          <w:sz w:val="22"/>
          <w:szCs w:val="22"/>
        </w:rPr>
        <w:t xml:space="preserve">Australia funded </w:t>
      </w:r>
      <w:r w:rsidR="00F56CA9">
        <w:rPr>
          <w:sz w:val="22"/>
          <w:szCs w:val="22"/>
        </w:rPr>
        <w:t>seven</w:t>
      </w:r>
      <w:r w:rsidR="00F56CA9" w:rsidRPr="00D104EE">
        <w:rPr>
          <w:sz w:val="22"/>
          <w:szCs w:val="22"/>
        </w:rPr>
        <w:t xml:space="preserve"> </w:t>
      </w:r>
      <w:r w:rsidR="007069F7">
        <w:rPr>
          <w:sz w:val="22"/>
          <w:szCs w:val="22"/>
        </w:rPr>
        <w:t>per cent</w:t>
      </w:r>
      <w:r w:rsidRPr="00D104EE">
        <w:rPr>
          <w:sz w:val="22"/>
          <w:szCs w:val="22"/>
        </w:rPr>
        <w:t xml:space="preserve"> of the </w:t>
      </w:r>
      <w:r w:rsidR="00131FF0">
        <w:rPr>
          <w:sz w:val="22"/>
          <w:szCs w:val="22"/>
        </w:rPr>
        <w:t xml:space="preserve">program’s </w:t>
      </w:r>
      <w:r w:rsidRPr="00D104EE">
        <w:rPr>
          <w:sz w:val="22"/>
          <w:szCs w:val="22"/>
        </w:rPr>
        <w:t xml:space="preserve">2012 budget (including </w:t>
      </w:r>
      <w:r w:rsidR="007311E0">
        <w:rPr>
          <w:sz w:val="22"/>
          <w:szCs w:val="22"/>
        </w:rPr>
        <w:t xml:space="preserve">the </w:t>
      </w:r>
      <w:r w:rsidRPr="00D104EE">
        <w:rPr>
          <w:sz w:val="22"/>
          <w:szCs w:val="22"/>
        </w:rPr>
        <w:t>state budget, provincial budget, donor contribution</w:t>
      </w:r>
      <w:r w:rsidR="007311E0">
        <w:rPr>
          <w:sz w:val="22"/>
          <w:szCs w:val="22"/>
        </w:rPr>
        <w:t>s</w:t>
      </w:r>
      <w:r w:rsidRPr="00D104EE">
        <w:rPr>
          <w:sz w:val="22"/>
          <w:szCs w:val="22"/>
        </w:rPr>
        <w:t>, loan</w:t>
      </w:r>
      <w:r w:rsidR="009126A4">
        <w:rPr>
          <w:sz w:val="22"/>
          <w:szCs w:val="22"/>
        </w:rPr>
        <w:t>s</w:t>
      </w:r>
      <w:r w:rsidRPr="00D104EE">
        <w:rPr>
          <w:sz w:val="22"/>
          <w:szCs w:val="22"/>
        </w:rPr>
        <w:t xml:space="preserve"> from </w:t>
      </w:r>
      <w:r w:rsidR="00F56CA9">
        <w:rPr>
          <w:sz w:val="22"/>
          <w:szCs w:val="22"/>
        </w:rPr>
        <w:t xml:space="preserve">the </w:t>
      </w:r>
      <w:r w:rsidRPr="00D104EE">
        <w:rPr>
          <w:sz w:val="22"/>
          <w:szCs w:val="22"/>
        </w:rPr>
        <w:t xml:space="preserve">Social </w:t>
      </w:r>
      <w:r w:rsidR="009126A4">
        <w:rPr>
          <w:sz w:val="22"/>
          <w:szCs w:val="22"/>
        </w:rPr>
        <w:t>P</w:t>
      </w:r>
      <w:r w:rsidRPr="00D104EE">
        <w:rPr>
          <w:sz w:val="22"/>
          <w:szCs w:val="22"/>
        </w:rPr>
        <w:t>olicy Bank, and people’s contribution</w:t>
      </w:r>
      <w:r w:rsidR="007311E0">
        <w:rPr>
          <w:sz w:val="22"/>
          <w:szCs w:val="22"/>
        </w:rPr>
        <w:t>s</w:t>
      </w:r>
      <w:r w:rsidRPr="00D104EE">
        <w:rPr>
          <w:sz w:val="22"/>
          <w:szCs w:val="22"/>
        </w:rPr>
        <w:t>). This enabled an additional 115</w:t>
      </w:r>
      <w:r w:rsidR="00F56CA9">
        <w:rPr>
          <w:sz w:val="22"/>
          <w:szCs w:val="22"/>
        </w:rPr>
        <w:t xml:space="preserve"> </w:t>
      </w:r>
      <w:r w:rsidRPr="00D104EE">
        <w:rPr>
          <w:sz w:val="22"/>
          <w:szCs w:val="22"/>
        </w:rPr>
        <w:t xml:space="preserve">000 people to have access to clean water and provided an additional </w:t>
      </w:r>
      <w:r w:rsidR="007311E0">
        <w:rPr>
          <w:sz w:val="22"/>
          <w:szCs w:val="22"/>
        </w:rPr>
        <w:br/>
      </w:r>
      <w:r w:rsidRPr="00D104EE">
        <w:rPr>
          <w:sz w:val="22"/>
          <w:szCs w:val="22"/>
        </w:rPr>
        <w:t>155</w:t>
      </w:r>
      <w:r w:rsidR="00F56CA9">
        <w:rPr>
          <w:sz w:val="22"/>
          <w:szCs w:val="22"/>
        </w:rPr>
        <w:t xml:space="preserve"> </w:t>
      </w:r>
      <w:r w:rsidRPr="00D104EE">
        <w:rPr>
          <w:sz w:val="22"/>
          <w:szCs w:val="22"/>
        </w:rPr>
        <w:t>000 people with increased access to basic sanitation</w:t>
      </w:r>
      <w:r w:rsidR="00D5255B">
        <w:rPr>
          <w:sz w:val="22"/>
          <w:szCs w:val="22"/>
        </w:rPr>
        <w:t>.</w:t>
      </w:r>
      <w:r w:rsidRPr="00D104EE">
        <w:rPr>
          <w:sz w:val="22"/>
          <w:szCs w:val="22"/>
        </w:rPr>
        <w:t xml:space="preserve"> </w:t>
      </w:r>
    </w:p>
    <w:p w14:paraId="1ACF082A" w14:textId="28E9D590" w:rsidR="00506A51" w:rsidRPr="004E702A" w:rsidRDefault="00506A51" w:rsidP="004E702A">
      <w:pPr>
        <w:pStyle w:val="BodyText"/>
      </w:pPr>
      <w:r w:rsidRPr="004E702A">
        <w:lastRenderedPageBreak/>
        <w:t xml:space="preserve">To align with the above strategy of assistance, in addition to increased access to water supply and sanitation services, </w:t>
      </w:r>
      <w:r w:rsidR="00D41D9A">
        <w:t xml:space="preserve">DFAT </w:t>
      </w:r>
      <w:r w:rsidRPr="004E702A">
        <w:t xml:space="preserve">policy dialogue and technical assistance to </w:t>
      </w:r>
      <w:r w:rsidR="00131FF0" w:rsidRPr="004E702A">
        <w:t xml:space="preserve">the </w:t>
      </w:r>
      <w:r w:rsidR="002C1E00" w:rsidRPr="004E702A">
        <w:t xml:space="preserve">previous program––the </w:t>
      </w:r>
      <w:r w:rsidR="00131FF0" w:rsidRPr="004E702A">
        <w:t>National Target Program for Rural Water Supply and Sanitation 2012–2015 Phase 2</w:t>
      </w:r>
      <w:r w:rsidR="002C1E00" w:rsidRPr="004E702A">
        <w:t>––</w:t>
      </w:r>
      <w:r w:rsidRPr="004E702A">
        <w:t xml:space="preserve">resulted in </w:t>
      </w:r>
      <w:r w:rsidR="009126A4" w:rsidRPr="004E702A">
        <w:t xml:space="preserve">the </w:t>
      </w:r>
      <w:r w:rsidRPr="004E702A">
        <w:t>following areas of significant improvement</w:t>
      </w:r>
      <w:r w:rsidR="00697C69" w:rsidRPr="004E702A">
        <w:t xml:space="preserve"> in 2012</w:t>
      </w:r>
      <w:r w:rsidR="00F56CA9" w:rsidRPr="004E702A">
        <w:t>–</w:t>
      </w:r>
      <w:r w:rsidR="00697C69" w:rsidRPr="004E702A">
        <w:t>13</w:t>
      </w:r>
      <w:r w:rsidRPr="004E702A">
        <w:t xml:space="preserve">: </w:t>
      </w:r>
    </w:p>
    <w:p w14:paraId="1378F892" w14:textId="1B81CE8E" w:rsidR="00506A51" w:rsidRPr="00D104EE" w:rsidRDefault="00506A51" w:rsidP="004E702A">
      <w:pPr>
        <w:pStyle w:val="ListBullet"/>
      </w:pPr>
      <w:r w:rsidRPr="00D104EE">
        <w:t xml:space="preserve">A significant change in the </w:t>
      </w:r>
      <w:r w:rsidR="00131FF0">
        <w:t xml:space="preserve">program’s </w:t>
      </w:r>
      <w:r w:rsidRPr="00D104EE">
        <w:t xml:space="preserve">design </w:t>
      </w:r>
      <w:r w:rsidR="00131FF0">
        <w:t xml:space="preserve">between phase 2 and phase 3 </w:t>
      </w:r>
      <w:r w:rsidRPr="00D104EE">
        <w:t>was establish</w:t>
      </w:r>
      <w:r w:rsidR="007311E0">
        <w:t xml:space="preserve">ing </w:t>
      </w:r>
      <w:r w:rsidRPr="00D104EE">
        <w:t>a separate sub-project on sanitation.</w:t>
      </w:r>
      <w:r w:rsidR="00710337">
        <w:t xml:space="preserve"> </w:t>
      </w:r>
      <w:r w:rsidRPr="00D104EE">
        <w:t xml:space="preserve">This was important </w:t>
      </w:r>
      <w:r w:rsidR="00F56CA9">
        <w:t>to</w:t>
      </w:r>
      <w:r w:rsidRPr="00D104EE">
        <w:t xml:space="preserve"> enabl</w:t>
      </w:r>
      <w:r w:rsidR="00F56CA9">
        <w:t>e</w:t>
      </w:r>
      <w:r w:rsidRPr="00D104EE">
        <w:t xml:space="preserve"> a greater focus on sanitation with significant increased allocated budget in </w:t>
      </w:r>
      <w:r w:rsidR="00131FF0">
        <w:t>phase 3</w:t>
      </w:r>
      <w:r w:rsidRPr="00D104EE">
        <w:t>.</w:t>
      </w:r>
    </w:p>
    <w:p w14:paraId="22E4AD31" w14:textId="77777777" w:rsidR="00506A51" w:rsidRPr="00D104EE" w:rsidRDefault="00F56CA9" w:rsidP="004E702A">
      <w:pPr>
        <w:pStyle w:val="ListBullet"/>
      </w:pPr>
      <w:r>
        <w:t xml:space="preserve">The </w:t>
      </w:r>
      <w:r w:rsidRPr="00D104EE">
        <w:t xml:space="preserve">Ministry of Finance has issued </w:t>
      </w:r>
      <w:r>
        <w:t>a</w:t>
      </w:r>
      <w:r w:rsidRPr="00D104EE">
        <w:t xml:space="preserve"> </w:t>
      </w:r>
      <w:r w:rsidR="00506A51" w:rsidRPr="00D104EE">
        <w:t xml:space="preserve">circular on </w:t>
      </w:r>
      <w:r w:rsidR="009126A4">
        <w:t>rural water supply and sanitation</w:t>
      </w:r>
      <w:r w:rsidR="00506A51" w:rsidRPr="00D104EE">
        <w:t xml:space="preserve"> asset management and ownership</w:t>
      </w:r>
      <w:r>
        <w:t>. This</w:t>
      </w:r>
      <w:r w:rsidR="00506A51" w:rsidRPr="00D104EE">
        <w:t xml:space="preserve"> </w:t>
      </w:r>
      <w:r>
        <w:t>is</w:t>
      </w:r>
      <w:r w:rsidR="00506A51" w:rsidRPr="00D104EE">
        <w:t xml:space="preserve"> an important basis for better and more systematic asset management with clear</w:t>
      </w:r>
      <w:r w:rsidR="009126A4">
        <w:t>ly</w:t>
      </w:r>
      <w:r w:rsidR="00506A51" w:rsidRPr="00D104EE">
        <w:t xml:space="preserve"> defined ownership </w:t>
      </w:r>
      <w:r w:rsidR="009126A4">
        <w:t xml:space="preserve">enabling funding for </w:t>
      </w:r>
      <w:r w:rsidR="00506A51" w:rsidRPr="00D104EE">
        <w:t xml:space="preserve">future operation and maintenance of </w:t>
      </w:r>
      <w:r>
        <w:t>these</w:t>
      </w:r>
      <w:r w:rsidRPr="00D104EE">
        <w:t xml:space="preserve"> </w:t>
      </w:r>
      <w:r w:rsidR="00506A51" w:rsidRPr="00D104EE">
        <w:t xml:space="preserve">assets. </w:t>
      </w:r>
    </w:p>
    <w:p w14:paraId="39D4F476" w14:textId="2955890D" w:rsidR="00506A51" w:rsidRPr="00D104EE" w:rsidRDefault="00506A51" w:rsidP="004E702A">
      <w:pPr>
        <w:pStyle w:val="ListBullet"/>
      </w:pPr>
      <w:r w:rsidRPr="00D104EE">
        <w:t xml:space="preserve">A draft supervision and inspection manual for </w:t>
      </w:r>
      <w:r w:rsidR="00131FF0">
        <w:t>p</w:t>
      </w:r>
      <w:r w:rsidR="00131FF0" w:rsidRPr="00D104EE">
        <w:t xml:space="preserve">hase 3 </w:t>
      </w:r>
      <w:r w:rsidR="00131FF0">
        <w:t xml:space="preserve">of the program </w:t>
      </w:r>
      <w:r w:rsidRPr="00D104EE">
        <w:t xml:space="preserve">has been prepared to reflect </w:t>
      </w:r>
      <w:r w:rsidR="0018305E">
        <w:t>the Ministry of Agriculture and Rural Development’s</w:t>
      </w:r>
      <w:r w:rsidR="0018305E" w:rsidRPr="00D104EE">
        <w:t xml:space="preserve"> </w:t>
      </w:r>
      <w:r w:rsidRPr="00D104EE">
        <w:t xml:space="preserve">intention to improve </w:t>
      </w:r>
      <w:r w:rsidR="007311E0">
        <w:t>these aspects</w:t>
      </w:r>
      <w:r w:rsidR="0018305E">
        <w:t xml:space="preserve">, </w:t>
      </w:r>
      <w:r w:rsidRPr="00D104EE">
        <w:t>thereby increasing efficiency and transparency</w:t>
      </w:r>
      <w:r w:rsidR="00F56CA9">
        <w:t>.</w:t>
      </w:r>
    </w:p>
    <w:p w14:paraId="29E68C01" w14:textId="513D46C2" w:rsidR="00506A51" w:rsidRPr="00D104EE" w:rsidRDefault="0018305E" w:rsidP="004E702A">
      <w:pPr>
        <w:pStyle w:val="BodyText"/>
        <w:rPr>
          <w:color w:val="000000"/>
          <w:lang w:val="en-GB"/>
        </w:rPr>
      </w:pPr>
      <w:r w:rsidRPr="00E56A3E">
        <w:t xml:space="preserve">As well as </w:t>
      </w:r>
      <w:r w:rsidR="009126A4" w:rsidRPr="00E56A3E">
        <w:t xml:space="preserve">our support for </w:t>
      </w:r>
      <w:r w:rsidR="00131FF0" w:rsidRPr="00E56A3E">
        <w:rPr>
          <w:lang w:val="en-GB"/>
        </w:rPr>
        <w:t xml:space="preserve">National </w:t>
      </w:r>
      <w:r w:rsidR="00131FF0" w:rsidRPr="00E56A3E">
        <w:t>Target Program for Rural Water Supply and Sanitation 2012–2015 Phase 3</w:t>
      </w:r>
      <w:r w:rsidR="009126A4" w:rsidRPr="00E56A3E">
        <w:t xml:space="preserve">, </w:t>
      </w:r>
      <w:r w:rsidR="00D41D9A">
        <w:t xml:space="preserve">DFAT </w:t>
      </w:r>
      <w:r w:rsidR="00506A51" w:rsidRPr="00E56A3E">
        <w:t xml:space="preserve">has </w:t>
      </w:r>
      <w:r w:rsidRPr="00E56A3E">
        <w:t xml:space="preserve">been </w:t>
      </w:r>
      <w:r w:rsidR="00506A51" w:rsidRPr="00E56A3E">
        <w:t>promot</w:t>
      </w:r>
      <w:r w:rsidRPr="00E56A3E">
        <w:t>ing</w:t>
      </w:r>
      <w:r w:rsidR="00506A51" w:rsidRPr="00E56A3E">
        <w:t xml:space="preserve"> new approaches in </w:t>
      </w:r>
      <w:r w:rsidRPr="00E56A3E">
        <w:t xml:space="preserve">rural water </w:t>
      </w:r>
      <w:r w:rsidR="00CD7D66" w:rsidRPr="00E56A3E">
        <w:t xml:space="preserve">supply </w:t>
      </w:r>
      <w:r w:rsidRPr="00E56A3E">
        <w:t>and sanitation through</w:t>
      </w:r>
      <w:r w:rsidR="00CD1BCD" w:rsidRPr="00E56A3E">
        <w:t xml:space="preserve"> output-</w:t>
      </w:r>
      <w:r w:rsidR="008532FB" w:rsidRPr="00E56A3E">
        <w:t>based aid.</w:t>
      </w:r>
      <w:r w:rsidR="00710337" w:rsidRPr="00E56A3E">
        <w:t xml:space="preserve"> </w:t>
      </w:r>
      <w:r w:rsidR="00A27E2B" w:rsidRPr="00E56A3E">
        <w:t xml:space="preserve">The civil society organisation </w:t>
      </w:r>
      <w:r w:rsidR="00DF169D" w:rsidRPr="00E56A3E">
        <w:t xml:space="preserve">East Meets West Foundation ran a </w:t>
      </w:r>
      <w:r w:rsidR="00506A51" w:rsidRPr="00E56A3E">
        <w:t xml:space="preserve">successful pilot </w:t>
      </w:r>
      <w:r w:rsidR="00CD1BCD" w:rsidRPr="00E56A3E">
        <w:t xml:space="preserve">of this approach </w:t>
      </w:r>
      <w:r w:rsidR="00506A51" w:rsidRPr="00E56A3E">
        <w:t xml:space="preserve">in two </w:t>
      </w:r>
      <w:r w:rsidR="00DF169D" w:rsidRPr="00E56A3E">
        <w:t>provinces––</w:t>
      </w:r>
      <w:r w:rsidR="00506A51" w:rsidRPr="00E56A3E">
        <w:t>Ti</w:t>
      </w:r>
      <w:r w:rsidR="00081F4E" w:rsidRPr="00E56A3E">
        <w:t xml:space="preserve">en Giang and Dong </w:t>
      </w:r>
      <w:r w:rsidR="00DF169D" w:rsidRPr="00E56A3E">
        <w:t>Thap––</w:t>
      </w:r>
      <w:r w:rsidR="00081F4E" w:rsidRPr="00E56A3E">
        <w:t xml:space="preserve">with </w:t>
      </w:r>
      <w:r w:rsidR="00DF169D" w:rsidRPr="00E56A3E">
        <w:t>$1</w:t>
      </w:r>
      <w:r w:rsidR="00506A51" w:rsidRPr="00E56A3E">
        <w:t>.6 million from</w:t>
      </w:r>
      <w:r w:rsidR="00445C4E">
        <w:t xml:space="preserve"> </w:t>
      </w:r>
      <w:r w:rsidR="00D41D9A">
        <w:t>the Australian Government</w:t>
      </w:r>
      <w:r w:rsidR="00CD7D66" w:rsidRPr="00E56A3E">
        <w:t>’s first Civil Society Water, Sanitation and Hygiene Fund in 2010</w:t>
      </w:r>
      <w:r w:rsidR="00A27E2B" w:rsidRPr="00E56A3E">
        <w:t>. The organisation</w:t>
      </w:r>
      <w:r w:rsidR="00506A51" w:rsidRPr="00E56A3E">
        <w:t xml:space="preserve"> has </w:t>
      </w:r>
      <w:r w:rsidR="008532FB" w:rsidRPr="00E56A3E">
        <w:t xml:space="preserve">now received </w:t>
      </w:r>
      <w:r w:rsidR="00506A51" w:rsidRPr="00E56A3E">
        <w:t xml:space="preserve">USD10 million from </w:t>
      </w:r>
      <w:r w:rsidR="008532FB" w:rsidRPr="00E56A3E">
        <w:t xml:space="preserve">the </w:t>
      </w:r>
      <w:r w:rsidR="00CD1BCD" w:rsidRPr="00E56A3E">
        <w:t xml:space="preserve">Bill and Melinda </w:t>
      </w:r>
      <w:r w:rsidR="00506A51" w:rsidRPr="00E56A3E">
        <w:t xml:space="preserve">Gates Foundation under </w:t>
      </w:r>
      <w:r w:rsidR="003A27D2" w:rsidRPr="00E56A3E">
        <w:t>the</w:t>
      </w:r>
      <w:r w:rsidR="00CD1BCD" w:rsidRPr="00E56A3E">
        <w:t xml:space="preserve"> </w:t>
      </w:r>
      <w:r w:rsidR="00506A51" w:rsidRPr="00E56A3E">
        <w:t xml:space="preserve">Community Hygiene </w:t>
      </w:r>
      <w:r w:rsidR="00CD1BCD" w:rsidRPr="00E56A3E">
        <w:t>Output-</w:t>
      </w:r>
      <w:r w:rsidR="00506A51" w:rsidRPr="00E56A3E">
        <w:t xml:space="preserve">Based </w:t>
      </w:r>
      <w:r w:rsidR="002C1E00" w:rsidRPr="00E56A3E">
        <w:t>Aid</w:t>
      </w:r>
      <w:r w:rsidR="00506A51" w:rsidRPr="00E56A3E">
        <w:t xml:space="preserve"> </w:t>
      </w:r>
      <w:r w:rsidR="00CD1BCD" w:rsidRPr="00E56A3E">
        <w:t>p</w:t>
      </w:r>
      <w:r w:rsidR="00506A51" w:rsidRPr="00E56A3E">
        <w:t xml:space="preserve">rogram to scale up </w:t>
      </w:r>
      <w:r w:rsidR="002C1E00" w:rsidRPr="00E56A3E">
        <w:t>its</w:t>
      </w:r>
      <w:r w:rsidR="00506A51" w:rsidRPr="00E56A3E">
        <w:t xml:space="preserve"> </w:t>
      </w:r>
      <w:r w:rsidR="002C1E00" w:rsidRPr="00E56A3E">
        <w:t xml:space="preserve">output-based aid </w:t>
      </w:r>
      <w:r w:rsidR="00CD1BCD" w:rsidRPr="00E56A3E">
        <w:t>pilot</w:t>
      </w:r>
      <w:r w:rsidR="00506A51" w:rsidRPr="00E56A3E">
        <w:t xml:space="preserve"> in </w:t>
      </w:r>
      <w:r w:rsidR="00A27E2B" w:rsidRPr="00E56A3E">
        <w:t xml:space="preserve">eight </w:t>
      </w:r>
      <w:r w:rsidR="00506A51" w:rsidRPr="00E56A3E">
        <w:t>provinces.</w:t>
      </w:r>
      <w:r w:rsidR="00710337" w:rsidRPr="00E56A3E">
        <w:t xml:space="preserve"> </w:t>
      </w:r>
      <w:r w:rsidR="00697C69" w:rsidRPr="00E56A3E">
        <w:t>In 2012</w:t>
      </w:r>
      <w:r w:rsidR="00A27E2B" w:rsidRPr="00E56A3E">
        <w:t>–</w:t>
      </w:r>
      <w:r w:rsidR="00697C69" w:rsidRPr="00E56A3E">
        <w:t xml:space="preserve">13, </w:t>
      </w:r>
      <w:r w:rsidR="00D41D9A">
        <w:t xml:space="preserve">the Australian </w:t>
      </w:r>
      <w:r w:rsidR="00692EB1">
        <w:t>Government</w:t>
      </w:r>
      <w:r w:rsidR="00D41D9A">
        <w:t xml:space="preserve"> </w:t>
      </w:r>
      <w:r w:rsidR="008532FB" w:rsidRPr="00E56A3E">
        <w:t>fund</w:t>
      </w:r>
      <w:r w:rsidR="002C1E00" w:rsidRPr="00E56A3E">
        <w:t xml:space="preserve">ed </w:t>
      </w:r>
      <w:r w:rsidR="007311E0" w:rsidRPr="00E56A3E">
        <w:t xml:space="preserve">the </w:t>
      </w:r>
      <w:r w:rsidR="00506A51" w:rsidRPr="00E56A3E">
        <w:t>M</w:t>
      </w:r>
      <w:r w:rsidR="008532FB" w:rsidRPr="00E56A3E">
        <w:t>inistry of Health a</w:t>
      </w:r>
      <w:r w:rsidR="00506A51" w:rsidRPr="00E56A3E">
        <w:t xml:space="preserve">nd the </w:t>
      </w:r>
      <w:r w:rsidR="00FE68CD" w:rsidRPr="00E56A3E">
        <w:t>Women’s</w:t>
      </w:r>
      <w:r w:rsidR="00506A51" w:rsidRPr="00E56A3E">
        <w:t xml:space="preserve"> Union in </w:t>
      </w:r>
      <w:r w:rsidR="00A27E2B" w:rsidRPr="00E56A3E">
        <w:t xml:space="preserve">eight </w:t>
      </w:r>
      <w:r w:rsidR="00506A51" w:rsidRPr="00E56A3E">
        <w:t xml:space="preserve">provinces to implement </w:t>
      </w:r>
      <w:r w:rsidR="002C1E00" w:rsidRPr="00E56A3E">
        <w:t xml:space="preserve">output-based aid </w:t>
      </w:r>
      <w:r w:rsidR="003A27D2" w:rsidRPr="00E56A3E">
        <w:t>with</w:t>
      </w:r>
      <w:r w:rsidR="00506A51" w:rsidRPr="00E56A3E">
        <w:t xml:space="preserve"> </w:t>
      </w:r>
      <w:r w:rsidR="00A27E2B" w:rsidRPr="00E56A3E">
        <w:t xml:space="preserve">East Meets West Foundation </w:t>
      </w:r>
      <w:r w:rsidR="002C1E00" w:rsidRPr="00E56A3E">
        <w:t xml:space="preserve">and </w:t>
      </w:r>
      <w:r w:rsidR="00506A51" w:rsidRPr="00E56A3E">
        <w:t xml:space="preserve">to ensure that </w:t>
      </w:r>
      <w:r w:rsidR="003A27D2" w:rsidRPr="00E56A3E">
        <w:t>the program</w:t>
      </w:r>
      <w:r w:rsidR="00506A51" w:rsidRPr="00E56A3E">
        <w:t xml:space="preserve"> helps implement </w:t>
      </w:r>
      <w:r w:rsidR="00697C69" w:rsidRPr="00E56A3E">
        <w:t xml:space="preserve">the </w:t>
      </w:r>
      <w:r w:rsidR="00506A51" w:rsidRPr="00E56A3E">
        <w:t xml:space="preserve">sanitation component of </w:t>
      </w:r>
      <w:r w:rsidR="00131FF0" w:rsidRPr="00E56A3E">
        <w:t xml:space="preserve">the </w:t>
      </w:r>
      <w:r w:rsidR="00131FF0" w:rsidRPr="00E56A3E">
        <w:rPr>
          <w:lang w:val="en-GB"/>
        </w:rPr>
        <w:t xml:space="preserve">National </w:t>
      </w:r>
      <w:r w:rsidR="00131FF0" w:rsidRPr="00E56A3E">
        <w:t>Target Program for Rural Water Supply and Sanitation</w:t>
      </w:r>
      <w:r w:rsidR="00506A51" w:rsidRPr="00E56A3E">
        <w:t>.</w:t>
      </w:r>
      <w:r w:rsidR="00710337" w:rsidRPr="00E56A3E">
        <w:t xml:space="preserve"> </w:t>
      </w:r>
      <w:r w:rsidR="003A27D2" w:rsidRPr="00E56A3E">
        <w:t xml:space="preserve">East Meets West Foundation </w:t>
      </w:r>
      <w:r w:rsidR="008532FB" w:rsidRPr="00E56A3E">
        <w:t>has again received funding through</w:t>
      </w:r>
      <w:r w:rsidR="00445C4E">
        <w:t xml:space="preserve"> </w:t>
      </w:r>
      <w:r w:rsidR="00D41D9A">
        <w:t>DFAT</w:t>
      </w:r>
      <w:r w:rsidR="003A27D2" w:rsidRPr="00E56A3E">
        <w:t>’s</w:t>
      </w:r>
      <w:r w:rsidR="00506A51" w:rsidRPr="00E56A3E">
        <w:t xml:space="preserve"> </w:t>
      </w:r>
      <w:r w:rsidR="003A27D2" w:rsidRPr="00E56A3E">
        <w:t xml:space="preserve">second </w:t>
      </w:r>
      <w:r w:rsidR="00506A51" w:rsidRPr="00E56A3E">
        <w:t>C</w:t>
      </w:r>
      <w:r w:rsidR="003A27D2" w:rsidRPr="00E56A3E">
        <w:t xml:space="preserve">ivil </w:t>
      </w:r>
      <w:r w:rsidR="00506A51" w:rsidRPr="00E56A3E">
        <w:t>S</w:t>
      </w:r>
      <w:r w:rsidR="003A27D2" w:rsidRPr="00E56A3E">
        <w:t xml:space="preserve">ociety </w:t>
      </w:r>
      <w:r w:rsidR="004C59EA" w:rsidRPr="00E56A3E">
        <w:t xml:space="preserve">Water, Sanitation and Hygiene Fund </w:t>
      </w:r>
      <w:r w:rsidR="00506A51" w:rsidRPr="00E56A3E">
        <w:t xml:space="preserve">to </w:t>
      </w:r>
      <w:r w:rsidR="008532FB" w:rsidRPr="00E56A3E">
        <w:t xml:space="preserve">implement </w:t>
      </w:r>
      <w:r w:rsidR="003A27D2" w:rsidRPr="00E56A3E">
        <w:t>output-</w:t>
      </w:r>
      <w:r w:rsidR="00506A51" w:rsidRPr="00E56A3E">
        <w:t>based approach</w:t>
      </w:r>
      <w:r w:rsidR="008532FB" w:rsidRPr="00E56A3E">
        <w:t>es.</w:t>
      </w:r>
    </w:p>
    <w:p w14:paraId="6B10F55D" w14:textId="2993FC12" w:rsidR="00506A51" w:rsidRPr="00D104EE" w:rsidRDefault="00506A51" w:rsidP="004E702A">
      <w:pPr>
        <w:pStyle w:val="BodyText"/>
      </w:pPr>
      <w:r w:rsidRPr="00D104EE">
        <w:rPr>
          <w:color w:val="000000"/>
          <w:lang w:val="en-GB"/>
        </w:rPr>
        <w:t>In 2012, the W</w:t>
      </w:r>
      <w:r w:rsidR="008532FB">
        <w:rPr>
          <w:color w:val="000000"/>
          <w:lang w:val="en-GB"/>
        </w:rPr>
        <w:t xml:space="preserve">orld </w:t>
      </w:r>
      <w:r w:rsidRPr="00D104EE">
        <w:rPr>
          <w:color w:val="000000"/>
          <w:lang w:val="en-GB"/>
        </w:rPr>
        <w:t>B</w:t>
      </w:r>
      <w:r w:rsidR="008532FB">
        <w:rPr>
          <w:color w:val="000000"/>
          <w:lang w:val="en-GB"/>
        </w:rPr>
        <w:t>ank</w:t>
      </w:r>
      <w:r w:rsidRPr="00D104EE">
        <w:rPr>
          <w:color w:val="000000"/>
          <w:lang w:val="en-GB"/>
        </w:rPr>
        <w:t xml:space="preserve"> launched a new USD200 million Program for Result</w:t>
      </w:r>
      <w:r w:rsidR="008532FB">
        <w:rPr>
          <w:color w:val="000000"/>
          <w:lang w:val="en-GB"/>
        </w:rPr>
        <w:t xml:space="preserve">s </w:t>
      </w:r>
      <w:r w:rsidRPr="00D104EE">
        <w:rPr>
          <w:color w:val="000000"/>
          <w:lang w:val="en-GB"/>
        </w:rPr>
        <w:t xml:space="preserve">to help increase </w:t>
      </w:r>
      <w:r w:rsidRPr="00D104EE">
        <w:t xml:space="preserve">access to </w:t>
      </w:r>
      <w:r w:rsidR="007B0EBF">
        <w:t>better</w:t>
      </w:r>
      <w:r w:rsidR="007B0EBF" w:rsidRPr="00D104EE">
        <w:t xml:space="preserve"> </w:t>
      </w:r>
      <w:r w:rsidRPr="00D104EE">
        <w:t xml:space="preserve">water and sanitation in the Red River Delta </w:t>
      </w:r>
      <w:r w:rsidR="009D104E">
        <w:t xml:space="preserve">as part of </w:t>
      </w:r>
      <w:r w:rsidR="00131FF0" w:rsidRPr="00131FF0">
        <w:t xml:space="preserve">the </w:t>
      </w:r>
      <w:r w:rsidR="00131FF0" w:rsidRPr="00131FF0">
        <w:rPr>
          <w:lang w:val="en-GB"/>
        </w:rPr>
        <w:t xml:space="preserve">National </w:t>
      </w:r>
      <w:r w:rsidR="00131FF0" w:rsidRPr="00131FF0">
        <w:t>Target Program for Rural Water Supply and Sanitation</w:t>
      </w:r>
      <w:r w:rsidR="00131FF0">
        <w:t xml:space="preserve"> </w:t>
      </w:r>
      <w:r w:rsidR="009D104E">
        <w:t xml:space="preserve">in these </w:t>
      </w:r>
      <w:r w:rsidRPr="00D104EE">
        <w:t>provinces.</w:t>
      </w:r>
      <w:r w:rsidR="00710337">
        <w:rPr>
          <w:color w:val="000000"/>
          <w:lang w:val="en-GB"/>
        </w:rPr>
        <w:t xml:space="preserve"> </w:t>
      </w:r>
      <w:r w:rsidR="007B0EBF" w:rsidRPr="00D104EE">
        <w:rPr>
          <w:color w:val="000000"/>
          <w:lang w:val="en-GB"/>
        </w:rPr>
        <w:t>Program for Result</w:t>
      </w:r>
      <w:r w:rsidR="007B0EBF">
        <w:rPr>
          <w:color w:val="000000"/>
          <w:lang w:val="en-GB"/>
        </w:rPr>
        <w:t xml:space="preserve">s </w:t>
      </w:r>
      <w:r w:rsidR="009D104E">
        <w:rPr>
          <w:color w:val="000000"/>
          <w:lang w:val="en-GB"/>
        </w:rPr>
        <w:t>is a new lending instrument which provide</w:t>
      </w:r>
      <w:r w:rsidR="007B0EBF">
        <w:rPr>
          <w:color w:val="000000"/>
          <w:lang w:val="en-GB"/>
        </w:rPr>
        <w:t>s</w:t>
      </w:r>
      <w:r w:rsidR="009D104E">
        <w:rPr>
          <w:color w:val="000000"/>
          <w:lang w:val="en-GB"/>
        </w:rPr>
        <w:t xml:space="preserve"> funding linked to the achievement of agreed results.</w:t>
      </w:r>
      <w:r w:rsidR="00710337">
        <w:rPr>
          <w:color w:val="000000"/>
          <w:lang w:val="en-GB"/>
        </w:rPr>
        <w:t xml:space="preserve"> </w:t>
      </w:r>
      <w:r w:rsidR="00953CAB">
        <w:rPr>
          <w:color w:val="000000"/>
          <w:lang w:val="en-GB"/>
        </w:rPr>
        <w:t>Under the</w:t>
      </w:r>
      <w:r w:rsidR="00445C4E">
        <w:rPr>
          <w:color w:val="000000"/>
          <w:lang w:val="en-GB"/>
        </w:rPr>
        <w:t xml:space="preserve"> </w:t>
      </w:r>
      <w:r w:rsidR="00D41D9A">
        <w:rPr>
          <w:color w:val="000000"/>
          <w:lang w:val="en-GB"/>
        </w:rPr>
        <w:t>DFAT</w:t>
      </w:r>
      <w:r w:rsidR="007B0EBF">
        <w:rPr>
          <w:color w:val="000000"/>
          <w:lang w:val="en-GB"/>
        </w:rPr>
        <w:t>–</w:t>
      </w:r>
      <w:r w:rsidR="00953CAB">
        <w:rPr>
          <w:color w:val="000000"/>
          <w:lang w:val="en-GB"/>
        </w:rPr>
        <w:t xml:space="preserve">World Bank country partnership, </w:t>
      </w:r>
      <w:r w:rsidR="00D41D9A">
        <w:rPr>
          <w:color w:val="000000"/>
          <w:lang w:val="en-GB"/>
        </w:rPr>
        <w:t xml:space="preserve">DFAT </w:t>
      </w:r>
      <w:r w:rsidR="00953CAB">
        <w:rPr>
          <w:color w:val="000000"/>
          <w:lang w:val="en-GB"/>
        </w:rPr>
        <w:t>is contributing</w:t>
      </w:r>
      <w:r w:rsidRPr="00D104EE">
        <w:rPr>
          <w:lang w:val="en"/>
        </w:rPr>
        <w:t xml:space="preserve"> </w:t>
      </w:r>
      <w:r w:rsidR="007B0EBF">
        <w:rPr>
          <w:lang w:val="en"/>
        </w:rPr>
        <w:t>$</w:t>
      </w:r>
      <w:r w:rsidRPr="00D104EE">
        <w:rPr>
          <w:lang w:val="en"/>
        </w:rPr>
        <w:t xml:space="preserve">8 million for technical assistance to support </w:t>
      </w:r>
      <w:r w:rsidR="007B0EBF" w:rsidRPr="00D104EE">
        <w:rPr>
          <w:color w:val="000000"/>
          <w:lang w:val="en-GB"/>
        </w:rPr>
        <w:t>Program for Result</w:t>
      </w:r>
      <w:r w:rsidR="007B0EBF">
        <w:rPr>
          <w:color w:val="000000"/>
          <w:lang w:val="en-GB"/>
        </w:rPr>
        <w:t xml:space="preserve">s </w:t>
      </w:r>
      <w:r w:rsidRPr="00D104EE">
        <w:rPr>
          <w:lang w:val="en"/>
        </w:rPr>
        <w:t xml:space="preserve">and </w:t>
      </w:r>
      <w:r w:rsidR="007B0EBF" w:rsidRPr="00D104EE">
        <w:rPr>
          <w:lang w:val="en"/>
        </w:rPr>
        <w:t>maximi</w:t>
      </w:r>
      <w:r w:rsidR="007B0EBF">
        <w:rPr>
          <w:lang w:val="en"/>
        </w:rPr>
        <w:t>s</w:t>
      </w:r>
      <w:r w:rsidR="007B0EBF" w:rsidRPr="00D104EE">
        <w:rPr>
          <w:lang w:val="en"/>
        </w:rPr>
        <w:t xml:space="preserve">e </w:t>
      </w:r>
      <w:r w:rsidRPr="00D104EE">
        <w:rPr>
          <w:lang w:val="en"/>
        </w:rPr>
        <w:t>its effectiveness.</w:t>
      </w:r>
      <w:r w:rsidR="00710337">
        <w:rPr>
          <w:lang w:val="en"/>
        </w:rPr>
        <w:t xml:space="preserve"> </w:t>
      </w:r>
      <w:r w:rsidR="00D41D9A">
        <w:rPr>
          <w:lang w:val="en"/>
        </w:rPr>
        <w:t xml:space="preserve">DFAT </w:t>
      </w:r>
      <w:r w:rsidR="009D104E">
        <w:rPr>
          <w:lang w:val="en"/>
        </w:rPr>
        <w:t xml:space="preserve">is working </w:t>
      </w:r>
      <w:r w:rsidRPr="00D104EE">
        <w:rPr>
          <w:lang w:val="en"/>
        </w:rPr>
        <w:t xml:space="preserve">with </w:t>
      </w:r>
      <w:r w:rsidR="007B0EBF">
        <w:rPr>
          <w:lang w:val="en"/>
        </w:rPr>
        <w:t xml:space="preserve">the </w:t>
      </w:r>
      <w:r w:rsidR="007B0EBF" w:rsidRPr="007B0EBF">
        <w:t>Ministry of Agriculture and Rural Development</w:t>
      </w:r>
      <w:r w:rsidR="007B0EBF" w:rsidRPr="00D104EE">
        <w:rPr>
          <w:lang w:val="en"/>
        </w:rPr>
        <w:t xml:space="preserve"> </w:t>
      </w:r>
      <w:r w:rsidRPr="00D104EE">
        <w:rPr>
          <w:lang w:val="en"/>
        </w:rPr>
        <w:t xml:space="preserve">and the World Bank </w:t>
      </w:r>
      <w:r w:rsidR="009D104E">
        <w:rPr>
          <w:lang w:val="en"/>
        </w:rPr>
        <w:t xml:space="preserve">to ensure that </w:t>
      </w:r>
      <w:r w:rsidRPr="00D104EE">
        <w:rPr>
          <w:lang w:val="en"/>
        </w:rPr>
        <w:t>the technical assistance is well d</w:t>
      </w:r>
      <w:r w:rsidR="009D104E">
        <w:rPr>
          <w:lang w:val="en"/>
        </w:rPr>
        <w:t>esigned</w:t>
      </w:r>
      <w:r w:rsidR="007B0EBF">
        <w:rPr>
          <w:lang w:val="en"/>
        </w:rPr>
        <w:t>,</w:t>
      </w:r>
      <w:r w:rsidR="007B0EBF" w:rsidRPr="00D104EE">
        <w:rPr>
          <w:lang w:val="en"/>
        </w:rPr>
        <w:t xml:space="preserve"> </w:t>
      </w:r>
      <w:r w:rsidRPr="00D104EE">
        <w:rPr>
          <w:lang w:val="en"/>
        </w:rPr>
        <w:t xml:space="preserve">coordinated with other assistance being provided to </w:t>
      </w:r>
      <w:r w:rsidR="00131FF0" w:rsidRPr="00131FF0">
        <w:t xml:space="preserve">the </w:t>
      </w:r>
      <w:r w:rsidR="00131FF0" w:rsidRPr="00131FF0">
        <w:rPr>
          <w:lang w:val="en-GB"/>
        </w:rPr>
        <w:t xml:space="preserve">National </w:t>
      </w:r>
      <w:r w:rsidR="00131FF0" w:rsidRPr="00131FF0">
        <w:t>Target Program for Rural Water Supply and Sanitation</w:t>
      </w:r>
      <w:r w:rsidR="007B0EBF">
        <w:rPr>
          <w:lang w:val="en"/>
        </w:rPr>
        <w:t>,</w:t>
      </w:r>
      <w:r w:rsidR="007B0EBF" w:rsidRPr="00D104EE">
        <w:rPr>
          <w:lang w:val="en"/>
        </w:rPr>
        <w:t xml:space="preserve"> </w:t>
      </w:r>
      <w:r w:rsidRPr="00D104EE">
        <w:rPr>
          <w:lang w:val="en"/>
        </w:rPr>
        <w:t xml:space="preserve">and that lessons learnt from </w:t>
      </w:r>
      <w:r w:rsidR="007B0EBF" w:rsidRPr="00D104EE">
        <w:rPr>
          <w:color w:val="000000"/>
          <w:lang w:val="en-GB"/>
        </w:rPr>
        <w:t>Program for Result</w:t>
      </w:r>
      <w:r w:rsidR="007B0EBF">
        <w:rPr>
          <w:color w:val="000000"/>
          <w:lang w:val="en-GB"/>
        </w:rPr>
        <w:t xml:space="preserve">s </w:t>
      </w:r>
      <w:r w:rsidR="00131FF0">
        <w:rPr>
          <w:lang w:val="en"/>
        </w:rPr>
        <w:t xml:space="preserve">are introduced to the water and sanitation program </w:t>
      </w:r>
      <w:r w:rsidRPr="00D104EE">
        <w:rPr>
          <w:lang w:val="en"/>
        </w:rPr>
        <w:t>and vice versa.</w:t>
      </w:r>
      <w:r w:rsidR="00710337">
        <w:rPr>
          <w:lang w:val="en"/>
        </w:rPr>
        <w:t xml:space="preserve"> </w:t>
      </w:r>
    </w:p>
    <w:p w14:paraId="04A1E288" w14:textId="77777777" w:rsidR="00506A51" w:rsidRPr="004E702A" w:rsidRDefault="00506A51" w:rsidP="004E702A">
      <w:pPr>
        <w:pStyle w:val="Heading2"/>
      </w:pPr>
      <w:r w:rsidRPr="004E702A">
        <w:t xml:space="preserve">Strategy </w:t>
      </w:r>
      <w:r w:rsidR="007B0EBF" w:rsidRPr="004E702A">
        <w:t xml:space="preserve">objective </w:t>
      </w:r>
      <w:r w:rsidRPr="004E702A">
        <w:t>4: Advance climate change adaption (focusing on the Mekong Delta) and mitigation</w:t>
      </w:r>
    </w:p>
    <w:p w14:paraId="517C24B1" w14:textId="07848647" w:rsidR="00D27373" w:rsidRPr="006C382A" w:rsidRDefault="00D27373" w:rsidP="004E702A">
      <w:pPr>
        <w:pStyle w:val="BodyText"/>
      </w:pPr>
      <w:r>
        <w:t>Vietnam</w:t>
      </w:r>
      <w:r w:rsidRPr="006C382A">
        <w:t xml:space="preserve"> </w:t>
      </w:r>
      <w:r w:rsidR="00131FF0">
        <w:t>d</w:t>
      </w:r>
      <w:r w:rsidRPr="006C382A">
        <w:t xml:space="preserve">evelopment </w:t>
      </w:r>
      <w:r w:rsidR="00131FF0">
        <w:t>g</w:t>
      </w:r>
      <w:r w:rsidRPr="006C382A">
        <w:t xml:space="preserve">oal: </w:t>
      </w:r>
      <w:r>
        <w:t>Reduced human, economic and environmental losses associated with climate change, including natural disasters</w:t>
      </w:r>
    </w:p>
    <w:tbl>
      <w:tblPr>
        <w:tblStyle w:val="APPR"/>
        <w:tblW w:w="5000" w:type="pct"/>
        <w:tblLook w:val="01E0" w:firstRow="1" w:lastRow="1" w:firstColumn="1" w:lastColumn="1" w:noHBand="0" w:noVBand="0"/>
      </w:tblPr>
      <w:tblGrid>
        <w:gridCol w:w="6894"/>
        <w:gridCol w:w="1712"/>
      </w:tblGrid>
      <w:tr w:rsidR="00D27373" w:rsidRPr="006C382A" w14:paraId="6DF61A6F" w14:textId="77777777" w:rsidTr="000E4573">
        <w:trPr>
          <w:cnfStyle w:val="100000000000" w:firstRow="1" w:lastRow="0" w:firstColumn="0" w:lastColumn="0" w:oddVBand="0" w:evenVBand="0" w:oddHBand="0" w:evenHBand="0" w:firstRowFirstColumn="0" w:firstRowLastColumn="0" w:lastRowFirstColumn="0" w:lastRowLastColumn="0"/>
          <w:cantSplit/>
          <w:tblHeader w:val="0"/>
        </w:trPr>
        <w:tc>
          <w:tcPr>
            <w:tcW w:w="3973" w:type="pct"/>
          </w:tcPr>
          <w:p w14:paraId="2298775D" w14:textId="77777777" w:rsidR="00D27373" w:rsidRPr="000E4573" w:rsidRDefault="00D27373" w:rsidP="000E4573">
            <w:pPr>
              <w:pStyle w:val="TableTextColumnHeading"/>
              <w:rPr>
                <w:rFonts w:eastAsia="Calibri"/>
                <w:b/>
              </w:rPr>
            </w:pPr>
            <w:r w:rsidRPr="000E4573">
              <w:rPr>
                <w:rFonts w:eastAsia="Calibri"/>
                <w:b/>
              </w:rPr>
              <w:t>Objective</w:t>
            </w:r>
          </w:p>
        </w:tc>
        <w:tc>
          <w:tcPr>
            <w:tcW w:w="968" w:type="pct"/>
          </w:tcPr>
          <w:p w14:paraId="4E27F530" w14:textId="77777777" w:rsidR="00D27373" w:rsidRPr="000E4573" w:rsidRDefault="00D27373" w:rsidP="000E4573">
            <w:pPr>
              <w:pStyle w:val="TableTextColumnHeading"/>
              <w:rPr>
                <w:rFonts w:eastAsia="Calibri"/>
                <w:b/>
              </w:rPr>
            </w:pPr>
            <w:r w:rsidRPr="000E4573">
              <w:rPr>
                <w:rFonts w:eastAsia="Calibri"/>
                <w:b/>
              </w:rPr>
              <w:t xml:space="preserve">Current rating </w:t>
            </w:r>
          </w:p>
        </w:tc>
      </w:tr>
      <w:tr w:rsidR="00D27373" w:rsidRPr="006C382A" w14:paraId="1772072F" w14:textId="77777777" w:rsidTr="000E4573">
        <w:trPr>
          <w:cantSplit/>
          <w:tblHeader w:val="0"/>
        </w:trPr>
        <w:tc>
          <w:tcPr>
            <w:tcW w:w="3973" w:type="pct"/>
          </w:tcPr>
          <w:p w14:paraId="15611906" w14:textId="1D977E26" w:rsidR="00D27373" w:rsidRPr="000E4573" w:rsidRDefault="00D27373" w:rsidP="000E4573">
            <w:pPr>
              <w:pStyle w:val="TableTextEntries"/>
              <w:rPr>
                <w:rFonts w:eastAsia="Calibri"/>
              </w:rPr>
            </w:pPr>
            <w:r w:rsidRPr="000E4573">
              <w:rPr>
                <w:rFonts w:eastAsia="Calibri"/>
              </w:rPr>
              <w:t>Objective 4</w:t>
            </w:r>
            <w:r w:rsidR="00131FF0" w:rsidRPr="000E4573">
              <w:t xml:space="preserve"> </w:t>
            </w:r>
            <w:r w:rsidRPr="000E4573">
              <w:rPr>
                <w:rFonts w:eastAsia="Calibri"/>
              </w:rPr>
              <w:t>Advance climate change adaptation (focusing on the Mekong Delta) and mitigation</w:t>
            </w:r>
          </w:p>
        </w:tc>
        <w:tc>
          <w:tcPr>
            <w:tcW w:w="968" w:type="pct"/>
            <w:tcBorders>
              <w:top w:val="nil"/>
              <w:bottom w:val="nil"/>
            </w:tcBorders>
            <w:shd w:val="clear" w:color="auto" w:fill="92D050"/>
          </w:tcPr>
          <w:p w14:paraId="4909C908" w14:textId="0C848EB6" w:rsidR="00D27373" w:rsidRPr="000E4573" w:rsidRDefault="00D27373" w:rsidP="000E4573">
            <w:pPr>
              <w:pStyle w:val="TableTextEntries"/>
              <w:rPr>
                <w:rFonts w:eastAsia="Calibri"/>
              </w:rPr>
            </w:pPr>
            <w:r w:rsidRPr="000E4573">
              <w:rPr>
                <w:rFonts w:eastAsia="Calibri"/>
              </w:rPr>
              <w:t>green</w:t>
            </w:r>
          </w:p>
        </w:tc>
      </w:tr>
    </w:tbl>
    <w:p w14:paraId="0C8A504C" w14:textId="77777777" w:rsidR="00D27373" w:rsidRPr="006C382A" w:rsidRDefault="00D27373" w:rsidP="000E4573">
      <w:pPr>
        <w:pStyle w:val="Heading3"/>
      </w:pPr>
      <w:r w:rsidRPr="006C382A">
        <w:lastRenderedPageBreak/>
        <w:t>Annual milestone targets 2012</w:t>
      </w:r>
    </w:p>
    <w:p w14:paraId="31372C42" w14:textId="77777777" w:rsidR="00D27373" w:rsidRPr="006C382A" w:rsidRDefault="003279FD" w:rsidP="000E4573">
      <w:pPr>
        <w:pStyle w:val="ListBullet"/>
      </w:pPr>
      <w:r>
        <w:t xml:space="preserve">Six new </w:t>
      </w:r>
      <w:r w:rsidR="00A33B7B">
        <w:t xml:space="preserve">community-based climate change action grants </w:t>
      </w:r>
      <w:r>
        <w:t>commenced in 2012 that will directly assist 270</w:t>
      </w:r>
      <w:r w:rsidR="007B0EBF">
        <w:t xml:space="preserve"> </w:t>
      </w:r>
      <w:r>
        <w:t>000 people to build their resilience to climate change and natural disasters</w:t>
      </w:r>
      <w:r w:rsidR="00D27373">
        <w:t xml:space="preserve"> (achieved)</w:t>
      </w:r>
      <w:r w:rsidR="007B0EBF">
        <w:t>.</w:t>
      </w:r>
    </w:p>
    <w:p w14:paraId="2CA99FBE" w14:textId="77777777" w:rsidR="00D27373" w:rsidRPr="006C382A" w:rsidRDefault="003279FD" w:rsidP="000E4573">
      <w:pPr>
        <w:pStyle w:val="ListBullet"/>
      </w:pPr>
      <w:r>
        <w:t>Climate change and coastal ecosystems program baseline established and implementation plans agreed with each province</w:t>
      </w:r>
      <w:r w:rsidR="00D27373">
        <w:t xml:space="preserve"> (achieved)</w:t>
      </w:r>
      <w:r w:rsidR="007B0EBF">
        <w:t>.</w:t>
      </w:r>
    </w:p>
    <w:p w14:paraId="0262059B" w14:textId="77777777" w:rsidR="00D27373" w:rsidRDefault="007311E0" w:rsidP="000E4573">
      <w:pPr>
        <w:pStyle w:val="ListBullet"/>
      </w:pPr>
      <w:r>
        <w:t>N</w:t>
      </w:r>
      <w:r w:rsidR="003279FD">
        <w:t>ational mechanism to enhance disaster risk reduction/climate change adaptation coordination</w:t>
      </w:r>
      <w:r>
        <w:t xml:space="preserve"> is established </w:t>
      </w:r>
      <w:r w:rsidR="003279FD">
        <w:t>(ongoing</w:t>
      </w:r>
      <w:r w:rsidR="00F62CFC">
        <w:t xml:space="preserve"> – to be launched by end 2013</w:t>
      </w:r>
      <w:r w:rsidR="003279FD">
        <w:t>)</w:t>
      </w:r>
      <w:r w:rsidR="007B0EBF">
        <w:t>.</w:t>
      </w:r>
    </w:p>
    <w:p w14:paraId="057DCD06" w14:textId="77777777" w:rsidR="00D27373" w:rsidRDefault="003279FD" w:rsidP="000E4573">
      <w:pPr>
        <w:pStyle w:val="ListBullet"/>
      </w:pPr>
      <w:r>
        <w:t>Completion of A</w:t>
      </w:r>
      <w:r w:rsidR="007B0EBF">
        <w:t xml:space="preserve">sian </w:t>
      </w:r>
      <w:r>
        <w:t>D</w:t>
      </w:r>
      <w:r w:rsidR="007B0EBF">
        <w:t xml:space="preserve">evelopment </w:t>
      </w:r>
      <w:r>
        <w:t>B</w:t>
      </w:r>
      <w:r w:rsidR="007B0EBF">
        <w:t>ank</w:t>
      </w:r>
      <w:r>
        <w:t xml:space="preserve"> Climate Change Impact Study in the Mekong Delta </w:t>
      </w:r>
      <w:r w:rsidR="00D27373">
        <w:t>(achieved)</w:t>
      </w:r>
      <w:r w:rsidR="007B0EBF">
        <w:t>.</w:t>
      </w:r>
    </w:p>
    <w:p w14:paraId="462F1E1F" w14:textId="77777777" w:rsidR="003279FD" w:rsidRPr="006C382A" w:rsidRDefault="003279FD" w:rsidP="000E4573">
      <w:pPr>
        <w:pStyle w:val="ListBullet"/>
      </w:pPr>
      <w:r>
        <w:t>CSIRO down-scale projections commence</w:t>
      </w:r>
      <w:r w:rsidR="007B0EBF">
        <w:t>d</w:t>
      </w:r>
      <w:r>
        <w:t xml:space="preserve"> in partnership with the Ministry of Natural Resources and Environment’s science institute (achieved)</w:t>
      </w:r>
      <w:r w:rsidR="007B0EBF">
        <w:t>.</w:t>
      </w:r>
    </w:p>
    <w:p w14:paraId="18A36BEA" w14:textId="77777777" w:rsidR="00D27373" w:rsidRPr="006C382A" w:rsidRDefault="003279FD" w:rsidP="000E4573">
      <w:pPr>
        <w:pStyle w:val="ListBullet"/>
      </w:pPr>
      <w:r>
        <w:t xml:space="preserve">Value chain analysis </w:t>
      </w:r>
      <w:r w:rsidR="00420E02">
        <w:t xml:space="preserve">on </w:t>
      </w:r>
      <w:r w:rsidR="003D44F4">
        <w:t xml:space="preserve">low-carbon pathways in agricultural production </w:t>
      </w:r>
      <w:r w:rsidR="00D27373" w:rsidRPr="00AF5D66">
        <w:t xml:space="preserve">(achieved). </w:t>
      </w:r>
    </w:p>
    <w:p w14:paraId="506FA056" w14:textId="77777777" w:rsidR="00506A51" w:rsidRPr="00294CBF" w:rsidRDefault="00506A51" w:rsidP="000E4573">
      <w:pPr>
        <w:pStyle w:val="BodyText"/>
      </w:pPr>
      <w:r w:rsidRPr="00294CBF">
        <w:t>Climate change continues as a pressing development issue in Vietnam where rising sea levels, salt water intrusion and flooding are already affecting vulnerable coastal communities, particularly in the Mekong Delta region.</w:t>
      </w:r>
      <w:r w:rsidR="00710337">
        <w:t xml:space="preserve"> </w:t>
      </w:r>
      <w:r w:rsidRPr="00294CBF">
        <w:t>In 2012 natural disasters</w:t>
      </w:r>
      <w:r w:rsidR="007B0EBF">
        <w:t>––</w:t>
      </w:r>
      <w:r w:rsidRPr="00294CBF">
        <w:t>which are anticipated to become more intense with a changing climate</w:t>
      </w:r>
      <w:r w:rsidR="007B0EBF">
        <w:t>––</w:t>
      </w:r>
      <w:r w:rsidRPr="00294CBF">
        <w:t xml:space="preserve">continued to impact on Vietnamese livelihoods and infrastructure, with 258 recorded deaths and an estimated damage bill of USD780 million. </w:t>
      </w:r>
    </w:p>
    <w:p w14:paraId="372515D4" w14:textId="77777777" w:rsidR="00506A51" w:rsidRDefault="00506A51" w:rsidP="000E4573">
      <w:pPr>
        <w:pStyle w:val="BodyText"/>
      </w:pPr>
      <w:r w:rsidRPr="00294CBF">
        <w:t xml:space="preserve">Over the last 18 months there has been a sustained effort to move forward on the </w:t>
      </w:r>
      <w:r w:rsidR="007B0EBF">
        <w:t>Government of Vietnam’s</w:t>
      </w:r>
      <w:r w:rsidR="007B0EBF" w:rsidRPr="00294CBF">
        <w:t xml:space="preserve"> </w:t>
      </w:r>
      <w:r w:rsidRPr="00294CBF">
        <w:t xml:space="preserve">commitment to address climate change through its policies, programs and investment. Key policy developments during this period were the establishment of the National Committee for Climate Change in January 2012, </w:t>
      </w:r>
      <w:r w:rsidR="007B0EBF">
        <w:t xml:space="preserve">which is </w:t>
      </w:r>
      <w:r w:rsidRPr="00294CBF">
        <w:t xml:space="preserve">chaired by the </w:t>
      </w:r>
      <w:r w:rsidR="007B0EBF">
        <w:t>p</w:t>
      </w:r>
      <w:r w:rsidR="007B0EBF" w:rsidRPr="00294CBF">
        <w:t xml:space="preserve">rime </w:t>
      </w:r>
      <w:r w:rsidR="007B0EBF">
        <w:t>m</w:t>
      </w:r>
      <w:r w:rsidR="007B0EBF" w:rsidRPr="00294CBF">
        <w:t xml:space="preserve">inister </w:t>
      </w:r>
      <w:r w:rsidRPr="00294CBF">
        <w:t xml:space="preserve">to strengthen the inter-ministerial coordination required for a comprehensive climate change response. The </w:t>
      </w:r>
      <w:r w:rsidR="007B0EBF">
        <w:t>committee</w:t>
      </w:r>
      <w:r w:rsidR="007B0EBF" w:rsidRPr="00294CBF">
        <w:t xml:space="preserve"> </w:t>
      </w:r>
      <w:r w:rsidRPr="00294CBF">
        <w:t xml:space="preserve">endorsed </w:t>
      </w:r>
      <w:r w:rsidR="007B0EBF">
        <w:t>an</w:t>
      </w:r>
      <w:r w:rsidR="007B0EBF" w:rsidRPr="00294CBF">
        <w:t xml:space="preserve"> </w:t>
      </w:r>
      <w:r w:rsidR="007B0EBF">
        <w:t>a</w:t>
      </w:r>
      <w:r w:rsidR="007B0EBF" w:rsidRPr="00294CBF">
        <w:t xml:space="preserve">ction </w:t>
      </w:r>
      <w:r w:rsidR="007B0EBF">
        <w:t>p</w:t>
      </w:r>
      <w:r w:rsidRPr="00294CBF">
        <w:t xml:space="preserve">lan in October 2012 </w:t>
      </w:r>
      <w:r w:rsidR="00420E02">
        <w:t>for</w:t>
      </w:r>
      <w:r w:rsidRPr="00294CBF">
        <w:t xml:space="preserve"> the National Climate Change Strategy. </w:t>
      </w:r>
    </w:p>
    <w:p w14:paraId="6D5C556F" w14:textId="28787667" w:rsidR="00506A51" w:rsidRPr="00294CBF" w:rsidRDefault="00D41D9A" w:rsidP="000E4573">
      <w:pPr>
        <w:pStyle w:val="BodyText"/>
      </w:pPr>
      <w:r>
        <w:t xml:space="preserve">DFAT </w:t>
      </w:r>
      <w:r w:rsidR="00506A51" w:rsidRPr="00294CBF">
        <w:t xml:space="preserve">has been engaged in these policy developments through a process of structured dialogue with the </w:t>
      </w:r>
      <w:r w:rsidR="007B0EBF">
        <w:t>government</w:t>
      </w:r>
      <w:r w:rsidR="007B0EBF" w:rsidRPr="00294CBF">
        <w:t xml:space="preserve"> </w:t>
      </w:r>
      <w:r w:rsidR="00506A51" w:rsidRPr="00294CBF">
        <w:t>under the Support Program to Respond to Climate Change</w:t>
      </w:r>
      <w:r w:rsidR="00A14E44">
        <w:t xml:space="preserve">. This has been undertaken </w:t>
      </w:r>
      <w:r w:rsidR="00506A51" w:rsidRPr="00294CBF">
        <w:t>together with Japan, France, South Korea, the World Bank and Canada.</w:t>
      </w:r>
      <w:r w:rsidR="00710337">
        <w:t xml:space="preserve"> </w:t>
      </w:r>
      <w:r w:rsidR="00A14E44">
        <w:t xml:space="preserve">The </w:t>
      </w:r>
      <w:r w:rsidR="007311E0">
        <w:t>p</w:t>
      </w:r>
      <w:r w:rsidR="00A14E44" w:rsidRPr="00294CBF">
        <w:t xml:space="preserve">rogram </w:t>
      </w:r>
      <w:r w:rsidR="008E44A5">
        <w:t>is</w:t>
      </w:r>
      <w:r w:rsidR="00506A51" w:rsidRPr="00294CBF">
        <w:t xml:space="preserve"> a platform for donors and government to work together on a prioritised roadmap of policy actions</w:t>
      </w:r>
      <w:r w:rsidR="008E44A5">
        <w:t>.</w:t>
      </w:r>
      <w:r w:rsidR="00506A51" w:rsidRPr="00294CBF">
        <w:t xml:space="preserve"> </w:t>
      </w:r>
      <w:r>
        <w:t xml:space="preserve">The Australian Government </w:t>
      </w:r>
      <w:r w:rsidR="00506A51" w:rsidRPr="00294CBF">
        <w:t xml:space="preserve">released its first $8 million contribution to the </w:t>
      </w:r>
      <w:r w:rsidR="00A14E44">
        <w:t>program</w:t>
      </w:r>
      <w:r w:rsidR="00506A51" w:rsidRPr="00294CBF">
        <w:t xml:space="preserve"> </w:t>
      </w:r>
      <w:r w:rsidR="00A14E44" w:rsidRPr="00294CBF">
        <w:t>in 2012</w:t>
      </w:r>
      <w:r w:rsidR="00A14E44">
        <w:t>, which was</w:t>
      </w:r>
      <w:r w:rsidR="00A14E44" w:rsidRPr="00294CBF">
        <w:t xml:space="preserve"> </w:t>
      </w:r>
      <w:r w:rsidR="00506A51" w:rsidRPr="00294CBF">
        <w:t>earmarked for climate change planning and investment</w:t>
      </w:r>
      <w:r w:rsidR="00A14E44">
        <w:t xml:space="preserve">. This </w:t>
      </w:r>
      <w:r w:rsidR="00506A51" w:rsidRPr="00294CBF">
        <w:t>follow</w:t>
      </w:r>
      <w:r w:rsidR="00A14E44">
        <w:t>ed</w:t>
      </w:r>
      <w:r w:rsidR="00506A51" w:rsidRPr="00294CBF">
        <w:t xml:space="preserve"> a joint donor evaluation confirming satisfactory progress against the 2011 policy cycle</w:t>
      </w:r>
      <w:r w:rsidR="00203BCC">
        <w:t>,</w:t>
      </w:r>
      <w:r w:rsidR="008E44A5">
        <w:t xml:space="preserve"> </w:t>
      </w:r>
      <w:r w:rsidR="00506A51" w:rsidRPr="00294CBF">
        <w:t xml:space="preserve">including the establishment of the National Climate Change </w:t>
      </w:r>
      <w:r w:rsidR="00420E02">
        <w:t>Strategy</w:t>
      </w:r>
      <w:r w:rsidR="00203BCC" w:rsidRPr="00294CBF">
        <w:t xml:space="preserve">. </w:t>
      </w:r>
    </w:p>
    <w:p w14:paraId="499338DE" w14:textId="66420805" w:rsidR="00506A51" w:rsidRDefault="00D41D9A" w:rsidP="000E4573">
      <w:pPr>
        <w:pStyle w:val="BodyText"/>
      </w:pPr>
      <w:r>
        <w:t xml:space="preserve">The Australian Government </w:t>
      </w:r>
      <w:r w:rsidR="00506A51" w:rsidRPr="00294CBF">
        <w:t>joined contributing donors in the evaluation of the 2012 policy cycle that has confirmed significant progress on key policy actions including finalisation of the</w:t>
      </w:r>
      <w:r w:rsidR="00097B02">
        <w:t xml:space="preserve"> National Action Plan to Respond to Climate Change, the</w:t>
      </w:r>
      <w:r w:rsidR="00506A51" w:rsidRPr="00294CBF">
        <w:t xml:space="preserve"> Law on Natural Disaster Prevention and Mitigation</w:t>
      </w:r>
      <w:r w:rsidR="00A14E44">
        <w:t>,</w:t>
      </w:r>
      <w:r w:rsidR="00506A51" w:rsidRPr="00294CBF">
        <w:t xml:space="preserve"> and establishment of a financing mechanism that allows additional funds to be mobilised for priority climate change investment projects. </w:t>
      </w:r>
      <w:r w:rsidR="00097B02">
        <w:t>T</w:t>
      </w:r>
      <w:r w:rsidR="00097B02" w:rsidRPr="00294CBF">
        <w:t xml:space="preserve">here </w:t>
      </w:r>
      <w:r w:rsidR="00506A51" w:rsidRPr="00294CBF">
        <w:t>are still some outstanding policy actions that need to be addressed before funds are released later in 2013. This includes establish</w:t>
      </w:r>
      <w:r w:rsidR="00A14E44">
        <w:t xml:space="preserve">ing </w:t>
      </w:r>
      <w:r w:rsidR="00506A51" w:rsidRPr="00294CBF">
        <w:t>a platform to facilitate stakeholder coordination for disaster risk reduction and climate change adaptation</w:t>
      </w:r>
      <w:r w:rsidR="00A14E44">
        <w:t>,</w:t>
      </w:r>
      <w:r w:rsidR="00506A51" w:rsidRPr="00294CBF">
        <w:t xml:space="preserve"> which now looks like it will be launched in</w:t>
      </w:r>
      <w:r w:rsidR="00710337">
        <w:t xml:space="preserve"> </w:t>
      </w:r>
      <w:r w:rsidR="00097B02">
        <w:t xml:space="preserve">October </w:t>
      </w:r>
      <w:r w:rsidR="00506A51" w:rsidRPr="00294CBF">
        <w:t>2013</w:t>
      </w:r>
      <w:r w:rsidR="00F907B5">
        <w:t xml:space="preserve"> (2012</w:t>
      </w:r>
      <w:r w:rsidR="00A14E44">
        <w:t>–</w:t>
      </w:r>
      <w:r w:rsidR="00F907B5">
        <w:t xml:space="preserve">13 </w:t>
      </w:r>
      <w:r w:rsidR="00A14E44">
        <w:t xml:space="preserve">performance assessment </w:t>
      </w:r>
      <w:r w:rsidR="005208AC">
        <w:t xml:space="preserve">framework </w:t>
      </w:r>
      <w:r w:rsidR="00F907B5">
        <w:t>milestone)</w:t>
      </w:r>
      <w:r w:rsidR="00506A51" w:rsidRPr="00294CBF">
        <w:t xml:space="preserve">. </w:t>
      </w:r>
      <w:r>
        <w:t xml:space="preserve">DFAT </w:t>
      </w:r>
      <w:r w:rsidR="00506A51" w:rsidRPr="00294CBF">
        <w:t>is continuing to monitor the completion of outstanding actions before we release our next contribution under this multi-donor program</w:t>
      </w:r>
      <w:r w:rsidR="004D0699">
        <w:t xml:space="preserve">, including </w:t>
      </w:r>
      <w:r w:rsidR="00122038">
        <w:t>mobilising funds for targeted technical assistance to support priority policy actions</w:t>
      </w:r>
      <w:r w:rsidR="00506A51" w:rsidRPr="00294CBF">
        <w:t>.</w:t>
      </w:r>
    </w:p>
    <w:p w14:paraId="2FF97BCF" w14:textId="77777777" w:rsidR="00506A51" w:rsidRPr="00506A51" w:rsidRDefault="00542718" w:rsidP="000E4573">
      <w:pPr>
        <w:pStyle w:val="Heading3"/>
      </w:pPr>
      <w:r>
        <w:t xml:space="preserve">Building </w:t>
      </w:r>
      <w:r w:rsidR="00A14E44">
        <w:t>community resilience to the impacts of climate change</w:t>
      </w:r>
    </w:p>
    <w:p w14:paraId="110F81E7" w14:textId="7630B454" w:rsidR="00506A51" w:rsidRPr="00294CBF" w:rsidRDefault="00D41D9A" w:rsidP="000E4573">
      <w:pPr>
        <w:pStyle w:val="BodyText"/>
      </w:pPr>
      <w:r>
        <w:lastRenderedPageBreak/>
        <w:t>DFAT</w:t>
      </w:r>
      <w:r w:rsidR="00542718">
        <w:t>’s</w:t>
      </w:r>
      <w:r w:rsidR="00506A51" w:rsidRPr="00294CBF">
        <w:t xml:space="preserve"> </w:t>
      </w:r>
      <w:r w:rsidR="00122038">
        <w:t xml:space="preserve">recently approved </w:t>
      </w:r>
      <w:r w:rsidR="008E44A5">
        <w:t xml:space="preserve">Vietnam </w:t>
      </w:r>
      <w:r w:rsidR="00506A51" w:rsidRPr="00294CBF">
        <w:t>Climate Change Delivery Strategy (2011</w:t>
      </w:r>
      <w:r w:rsidR="00A14E44">
        <w:t>–</w:t>
      </w:r>
      <w:r w:rsidR="00506A51" w:rsidRPr="00294CBF">
        <w:t>2016)</w:t>
      </w:r>
      <w:r w:rsidR="00542718">
        <w:t xml:space="preserve"> includes </w:t>
      </w:r>
      <w:r w:rsidR="00506A51" w:rsidRPr="00294CBF">
        <w:t>a focus on building community resilience</w:t>
      </w:r>
      <w:r w:rsidR="00542718">
        <w:t xml:space="preserve"> </w:t>
      </w:r>
      <w:r w:rsidR="00A14E44">
        <w:t>as</w:t>
      </w:r>
      <w:r w:rsidR="00506A51" w:rsidRPr="00294CBF">
        <w:t xml:space="preserve"> the poorest in communities are often living in areas that are the most exposed to </w:t>
      </w:r>
      <w:r w:rsidR="004D0699">
        <w:t>weather related disasters</w:t>
      </w:r>
      <w:r w:rsidR="00A14E44">
        <w:t>. T</w:t>
      </w:r>
      <w:r w:rsidR="00097B02">
        <w:t>hese are likely to intensify with a changing climate</w:t>
      </w:r>
      <w:r w:rsidR="00506A51" w:rsidRPr="00294CBF">
        <w:t xml:space="preserve">. </w:t>
      </w:r>
      <w:r>
        <w:t xml:space="preserve">The Australian aid </w:t>
      </w:r>
      <w:r w:rsidR="00945130">
        <w:t>program</w:t>
      </w:r>
      <w:r>
        <w:t xml:space="preserve"> </w:t>
      </w:r>
      <w:r w:rsidR="00506A51" w:rsidRPr="00294CBF">
        <w:t xml:space="preserve">mobilised a new program of </w:t>
      </w:r>
      <w:r w:rsidR="003743C8">
        <w:t>c</w:t>
      </w:r>
      <w:r w:rsidR="00506A51" w:rsidRPr="00294CBF">
        <w:t xml:space="preserve">ommunity-based </w:t>
      </w:r>
      <w:r w:rsidR="003743C8" w:rsidRPr="00294CBF">
        <w:t>climate change action grants</w:t>
      </w:r>
      <w:r w:rsidR="003743C8">
        <w:t xml:space="preserve"> </w:t>
      </w:r>
      <w:r w:rsidR="00506A51" w:rsidRPr="00294CBF">
        <w:t xml:space="preserve">in 2012 to help build </w:t>
      </w:r>
      <w:r w:rsidR="00A14E44">
        <w:t xml:space="preserve">the </w:t>
      </w:r>
      <w:r w:rsidR="00A14E44" w:rsidRPr="00294CBF">
        <w:t xml:space="preserve">resilience </w:t>
      </w:r>
      <w:r w:rsidR="00A14E44">
        <w:t xml:space="preserve">of </w:t>
      </w:r>
      <w:r w:rsidR="00506A51" w:rsidRPr="00294CBF">
        <w:t>vulnerable communities to climate change. We are also continuing our partnership with Germany under the Climate Change and Coastal Ecosystems Program to work directly with the provincial governments on adaptation measures to protect and promote people</w:t>
      </w:r>
      <w:r w:rsidR="00A14E44">
        <w:t>’</w:t>
      </w:r>
      <w:r w:rsidR="00506A51" w:rsidRPr="00294CBF">
        <w:t>s livelihoods.</w:t>
      </w:r>
    </w:p>
    <w:p w14:paraId="19CF7271" w14:textId="77777777" w:rsidR="00BC432E" w:rsidRDefault="00506A51" w:rsidP="000E4573">
      <w:pPr>
        <w:pStyle w:val="BodyText"/>
      </w:pPr>
      <w:r w:rsidRPr="00294CBF">
        <w:t xml:space="preserve">Australia and Germany’s partnership under </w:t>
      </w:r>
      <w:r w:rsidR="00A14E44" w:rsidRPr="00294CBF">
        <w:t>the Climate Change and Coastal Ecosystems Program</w:t>
      </w:r>
      <w:r w:rsidR="00A14E44" w:rsidRPr="00294CBF" w:rsidDel="00A14E44">
        <w:t xml:space="preserve"> </w:t>
      </w:r>
      <w:r w:rsidRPr="00294CBF">
        <w:t xml:space="preserve">in Vietnam’s Mekong Delta region has been mobilised over the reporting period. Significant work has been undertaken to consolidate the lessons learned from the initial pilots in Kien Giang, Bac Lieu and Soc Trang and to agree on approaches for promoting the expansion into the two new provinces of Ca Mau and An Giang. </w:t>
      </w:r>
      <w:r w:rsidR="00BC432E">
        <w:t>All 2012</w:t>
      </w:r>
      <w:r w:rsidR="00A14E44">
        <w:t>–</w:t>
      </w:r>
      <w:r w:rsidR="00BC432E">
        <w:t xml:space="preserve">13 </w:t>
      </w:r>
      <w:r w:rsidR="00A14E44">
        <w:t xml:space="preserve">performance assessment framework </w:t>
      </w:r>
      <w:r w:rsidR="00BC432E">
        <w:t xml:space="preserve">milestones for </w:t>
      </w:r>
      <w:r w:rsidR="00A14E44">
        <w:t xml:space="preserve">the program </w:t>
      </w:r>
      <w:r w:rsidR="00BC432E">
        <w:t xml:space="preserve">have been met: </w:t>
      </w:r>
    </w:p>
    <w:p w14:paraId="466610F2" w14:textId="77777777" w:rsidR="00BC432E" w:rsidRDefault="00BC432E" w:rsidP="000E4573">
      <w:pPr>
        <w:pStyle w:val="ListBullet"/>
      </w:pPr>
      <w:r w:rsidRPr="00BC432E">
        <w:t>b</w:t>
      </w:r>
      <w:r w:rsidR="00506A51" w:rsidRPr="00BC432E">
        <w:t>aseline surveys have been completed to confirm the current situation</w:t>
      </w:r>
      <w:r w:rsidR="00A14E44">
        <w:t>,</w:t>
      </w:r>
      <w:r w:rsidR="00506A51" w:rsidRPr="00BC432E">
        <w:t xml:space="preserve"> including policy conditions, the status of protected forests, the socio-economic situation, the level of climate change awareness, and gender dynamics</w:t>
      </w:r>
      <w:r w:rsidRPr="00BC432E">
        <w:t xml:space="preserve"> </w:t>
      </w:r>
    </w:p>
    <w:p w14:paraId="54A50115" w14:textId="77777777" w:rsidR="00BC432E" w:rsidRDefault="00BC432E" w:rsidP="000E4573">
      <w:pPr>
        <w:pStyle w:val="ListBullet"/>
      </w:pPr>
      <w:r w:rsidRPr="00BC432E">
        <w:t>o</w:t>
      </w:r>
      <w:r w:rsidR="00506A51" w:rsidRPr="00BC432E">
        <w:t>perational plans have been agreed to in all five provinces and at the national level</w:t>
      </w:r>
      <w:r>
        <w:t xml:space="preserve"> to guide implementation.</w:t>
      </w:r>
      <w:r w:rsidR="00202E4E" w:rsidRPr="00BC432E">
        <w:t xml:space="preserve"> </w:t>
      </w:r>
    </w:p>
    <w:p w14:paraId="5927756B" w14:textId="6222099C" w:rsidR="00506A51" w:rsidRDefault="00506A51" w:rsidP="000E4573">
      <w:pPr>
        <w:pStyle w:val="BodyText"/>
      </w:pPr>
      <w:r w:rsidRPr="00BC432E">
        <w:t xml:space="preserve">The late signing of the implementation agreement between </w:t>
      </w:r>
      <w:r w:rsidR="002363D9">
        <w:t xml:space="preserve">German aid agency </w:t>
      </w:r>
      <w:r w:rsidRPr="00BC432E">
        <w:t xml:space="preserve">GIZ and the </w:t>
      </w:r>
      <w:r w:rsidR="00A14E44" w:rsidRPr="00A14E44">
        <w:t xml:space="preserve">Ministry of Agriculture and Rural Development </w:t>
      </w:r>
      <w:r w:rsidRPr="00BC432E">
        <w:t>in early 2013 has delayed full mobilisation of the national level component that is designed to draw on provincial experience to inform national policies and resourcing decisions. However, this has not impacted greatly on the continuation of activities at the provincial level</w:t>
      </w:r>
      <w:r w:rsidR="00A14E44">
        <w:t>,</w:t>
      </w:r>
      <w:r w:rsidRPr="00BC432E">
        <w:t xml:space="preserve"> with the two new provinces moving forward on the institutional arrangements and preparation activities.</w:t>
      </w:r>
    </w:p>
    <w:p w14:paraId="2C207CAF" w14:textId="4582F58C" w:rsidR="00A14E44" w:rsidRDefault="00506A51" w:rsidP="000E4573">
      <w:pPr>
        <w:pStyle w:val="BodyText"/>
      </w:pPr>
      <w:r w:rsidRPr="00294CBF">
        <w:t xml:space="preserve">A key challenge has been in transitioning from the pilot projects to a program that successfully brings together the various activities under a coherent approach. </w:t>
      </w:r>
      <w:r w:rsidR="00D41D9A">
        <w:t xml:space="preserve">DFAT </w:t>
      </w:r>
      <w:r w:rsidRPr="00294CBF">
        <w:t>and GIZ have jointly undertaken an independent progress review that has made a number of recommendations around</w:t>
      </w:r>
      <w:r w:rsidR="00A14E44">
        <w:t>:</w:t>
      </w:r>
    </w:p>
    <w:p w14:paraId="755C1D76" w14:textId="4C12DF70" w:rsidR="00A14E44" w:rsidRPr="005C661F" w:rsidRDefault="00506A51" w:rsidP="000E4573">
      <w:pPr>
        <w:pStyle w:val="ListBullet"/>
      </w:pPr>
      <w:r w:rsidRPr="001B41CD">
        <w:t>align</w:t>
      </w:r>
      <w:r w:rsidR="003743C8">
        <w:t xml:space="preserve">ing </w:t>
      </w:r>
      <w:r w:rsidR="00D41D9A">
        <w:t xml:space="preserve">DFAT </w:t>
      </w:r>
      <w:r w:rsidRPr="001B41CD">
        <w:t>and GIZ reporting and commitment phases</w:t>
      </w:r>
    </w:p>
    <w:p w14:paraId="69E33A8A" w14:textId="77777777" w:rsidR="00A14E44" w:rsidRPr="00310974" w:rsidRDefault="00506A51" w:rsidP="000E4573">
      <w:pPr>
        <w:pStyle w:val="ListBullet"/>
      </w:pPr>
      <w:r w:rsidRPr="00DD1011">
        <w:t xml:space="preserve">strengthening </w:t>
      </w:r>
      <w:r w:rsidRPr="00310974">
        <w:t>institutional arrangements</w:t>
      </w:r>
    </w:p>
    <w:p w14:paraId="4D49B7F1" w14:textId="77777777" w:rsidR="00A14E44" w:rsidRPr="00F40408" w:rsidRDefault="00506A51" w:rsidP="000E4573">
      <w:pPr>
        <w:pStyle w:val="ListBullet"/>
      </w:pPr>
      <w:r w:rsidRPr="008568C0">
        <w:t xml:space="preserve">clarifying </w:t>
      </w:r>
      <w:r w:rsidRPr="00CD6D61">
        <w:t>coordination arrangements between the five provinces and the national comp</w:t>
      </w:r>
      <w:r w:rsidRPr="0059461A">
        <w:t>onent</w:t>
      </w:r>
    </w:p>
    <w:p w14:paraId="20228367" w14:textId="2081D11E" w:rsidR="00A14E44" w:rsidRPr="00F40408" w:rsidRDefault="00506A51" w:rsidP="000E4573">
      <w:pPr>
        <w:pStyle w:val="ListBullet"/>
      </w:pPr>
      <w:r w:rsidRPr="00F40408">
        <w:t>consolidating the main intervention areas to facilitate scale</w:t>
      </w:r>
      <w:r w:rsidR="003743C8">
        <w:t xml:space="preserve"> </w:t>
      </w:r>
      <w:r w:rsidRPr="00F40408">
        <w:t xml:space="preserve">up. </w:t>
      </w:r>
    </w:p>
    <w:p w14:paraId="14601693" w14:textId="0B12B4E4" w:rsidR="00506A51" w:rsidRPr="00294CBF" w:rsidRDefault="00D41D9A" w:rsidP="000E4573">
      <w:pPr>
        <w:pStyle w:val="BodyText"/>
      </w:pPr>
      <w:r>
        <w:t xml:space="preserve">DFAT </w:t>
      </w:r>
      <w:r w:rsidR="00506A51" w:rsidRPr="00294CBF">
        <w:t>will continue to work closely with GIZ in addressing these recommendations.</w:t>
      </w:r>
    </w:p>
    <w:p w14:paraId="7798E719" w14:textId="77777777" w:rsidR="00542718" w:rsidRPr="00420E02" w:rsidRDefault="00506A51" w:rsidP="000E4573">
      <w:pPr>
        <w:pStyle w:val="BodyText"/>
      </w:pPr>
      <w:r w:rsidRPr="00294CBF">
        <w:t>While it is too early to report on program level outcomes, there are positive signals that our expanded partnership with Germany will achieve the intended results</w:t>
      </w:r>
      <w:r w:rsidR="00542718">
        <w:t>:</w:t>
      </w:r>
    </w:p>
    <w:p w14:paraId="3FE69F58" w14:textId="77777777" w:rsidR="00542718" w:rsidRDefault="00C5255D" w:rsidP="000E4573">
      <w:pPr>
        <w:pStyle w:val="ListBullet"/>
      </w:pPr>
      <w:r>
        <w:t>i</w:t>
      </w:r>
      <w:r w:rsidRPr="00542718">
        <w:t xml:space="preserve">n </w:t>
      </w:r>
      <w:r w:rsidR="00506A51" w:rsidRPr="00542718">
        <w:t xml:space="preserve">Kien Giang there is already evidence that the livelihood demonstration activities under the pilot are being adopted more broadly </w:t>
      </w:r>
      <w:r w:rsidR="00420E02">
        <w:t>in</w:t>
      </w:r>
      <w:r w:rsidR="00506A51" w:rsidRPr="00542718">
        <w:t xml:space="preserve"> vulnerable coastal communities</w:t>
      </w:r>
    </w:p>
    <w:p w14:paraId="0D7BD727" w14:textId="4B79069B" w:rsidR="00542718" w:rsidRDefault="00C5255D" w:rsidP="000E4573">
      <w:pPr>
        <w:pStyle w:val="ListBullet"/>
      </w:pPr>
      <w:r>
        <w:t>a</w:t>
      </w:r>
      <w:r w:rsidRPr="00542718">
        <w:t xml:space="preserve"> </w:t>
      </w:r>
      <w:r w:rsidR="00506A51" w:rsidRPr="00542718">
        <w:t xml:space="preserve">new variety of coconut has proven to be more </w:t>
      </w:r>
      <w:r w:rsidR="00147846">
        <w:t xml:space="preserve">salt </w:t>
      </w:r>
      <w:r w:rsidR="00506A51" w:rsidRPr="00542718">
        <w:t>resilient</w:t>
      </w:r>
      <w:r w:rsidR="00420E02">
        <w:t xml:space="preserve"> </w:t>
      </w:r>
      <w:r w:rsidR="00506A51" w:rsidRPr="00542718">
        <w:t xml:space="preserve">and the fruit is being sold at a much higher value </w:t>
      </w:r>
      <w:r w:rsidRPr="00542718">
        <w:t>(</w:t>
      </w:r>
      <w:r>
        <w:t xml:space="preserve">more than </w:t>
      </w:r>
      <w:r w:rsidR="00506A51" w:rsidRPr="00542718">
        <w:t>50</w:t>
      </w:r>
      <w:r w:rsidR="007069F7" w:rsidRPr="00542718">
        <w:t xml:space="preserve"> per cent</w:t>
      </w:r>
      <w:r w:rsidR="00506A51" w:rsidRPr="00542718">
        <w:t xml:space="preserve">) compared to traditional varieties. Farmers are preparing to plant an additional 20 hectares with support from </w:t>
      </w:r>
      <w:r w:rsidR="00147846">
        <w:t>local</w:t>
      </w:r>
      <w:r w:rsidR="00506A51" w:rsidRPr="00542718">
        <w:t xml:space="preserve"> government, including the establishment of a nursery </w:t>
      </w:r>
      <w:r w:rsidR="00147846">
        <w:t xml:space="preserve">providing </w:t>
      </w:r>
      <w:r w:rsidR="00506A51" w:rsidRPr="00542718">
        <w:t>15</w:t>
      </w:r>
      <w:r>
        <w:t xml:space="preserve"> </w:t>
      </w:r>
      <w:r w:rsidR="003743C8">
        <w:t>000 seedlings for farmers</w:t>
      </w:r>
      <w:r w:rsidR="00506A51" w:rsidRPr="00542718">
        <w:t xml:space="preserve"> use</w:t>
      </w:r>
    </w:p>
    <w:p w14:paraId="62F9A106" w14:textId="77777777" w:rsidR="00542718" w:rsidRDefault="00C5255D" w:rsidP="000E4573">
      <w:pPr>
        <w:pStyle w:val="ListBullet"/>
      </w:pPr>
      <w:r>
        <w:t>o</w:t>
      </w:r>
      <w:r w:rsidR="00506A51" w:rsidRPr="00542718">
        <w:t>ther livelihood activities are being replicated with government and community resources, includ</w:t>
      </w:r>
      <w:r w:rsidR="00147846">
        <w:t xml:space="preserve">ing an additional 37 households </w:t>
      </w:r>
      <w:r>
        <w:t xml:space="preserve">that are </w:t>
      </w:r>
      <w:r w:rsidR="00506A51" w:rsidRPr="00542718">
        <w:t>preparing to engage in sustainable fish farming of a variety that has proven to increase income up to 40</w:t>
      </w:r>
      <w:r w:rsidR="007069F7" w:rsidRPr="00542718">
        <w:t xml:space="preserve"> per cent</w:t>
      </w:r>
    </w:p>
    <w:p w14:paraId="1DA34351" w14:textId="77777777" w:rsidR="00506A51" w:rsidRPr="00420E02" w:rsidRDefault="00C5255D" w:rsidP="000E4573">
      <w:pPr>
        <w:pStyle w:val="ListBullet"/>
      </w:pPr>
      <w:r>
        <w:lastRenderedPageBreak/>
        <w:t>p</w:t>
      </w:r>
      <w:r w:rsidRPr="00542718">
        <w:t xml:space="preserve">rovincial </w:t>
      </w:r>
      <w:r w:rsidR="00506A51" w:rsidRPr="00542718">
        <w:t>governments in Kien Giang, Bac Lieu and Soc Trang have also dedicated their own funds to adopt the low cost coastal protection measures developed under the pilots, resulting in an additional 10</w:t>
      </w:r>
      <w:r>
        <w:t xml:space="preserve"> kilometres</w:t>
      </w:r>
      <w:r w:rsidRPr="00542718">
        <w:t xml:space="preserve"> </w:t>
      </w:r>
      <w:r w:rsidR="00506A51" w:rsidRPr="00542718">
        <w:t xml:space="preserve">of fences being built to help reduce coastline erosion. </w:t>
      </w:r>
    </w:p>
    <w:p w14:paraId="1B5A2FA1" w14:textId="77777777" w:rsidR="00506A51" w:rsidRPr="00420E02" w:rsidRDefault="00506A51" w:rsidP="000E4573">
      <w:pPr>
        <w:pStyle w:val="BodyText"/>
      </w:pPr>
      <w:r w:rsidRPr="00420E02">
        <w:t xml:space="preserve">These examples highlight that provincial government and the community have the ability to mobilise additional resources once the benefits of an activity have been demonstrated under the project. </w:t>
      </w:r>
      <w:r w:rsidR="00C5255D">
        <w:t xml:space="preserve">The </w:t>
      </w:r>
      <w:r w:rsidR="00C5255D" w:rsidRPr="00294CBF">
        <w:t>Climate Change and Coastal Ecosystems Program</w:t>
      </w:r>
      <w:r w:rsidR="00C5255D" w:rsidRPr="00420E02">
        <w:t xml:space="preserve"> </w:t>
      </w:r>
      <w:r w:rsidRPr="00420E02">
        <w:t xml:space="preserve">will continue to use this demonstration approach by working alongside provincial authorities and stakeholders to promote broader adoption of proven models. </w:t>
      </w:r>
    </w:p>
    <w:p w14:paraId="0E32A5BC" w14:textId="009BC17E" w:rsidR="00506A51" w:rsidRPr="00294CBF" w:rsidRDefault="00506A51" w:rsidP="000E4573">
      <w:pPr>
        <w:pStyle w:val="BodyText"/>
      </w:pPr>
      <w:r w:rsidRPr="00294CBF">
        <w:t xml:space="preserve">A key </w:t>
      </w:r>
      <w:r w:rsidR="00C5255D">
        <w:t xml:space="preserve">performance assessment </w:t>
      </w:r>
      <w:r w:rsidR="00202E4E">
        <w:t xml:space="preserve">milestone </w:t>
      </w:r>
      <w:r w:rsidR="0067299B">
        <w:t>achieved in</w:t>
      </w:r>
      <w:r w:rsidR="00D802BD">
        <w:t xml:space="preserve"> </w:t>
      </w:r>
      <w:r w:rsidRPr="00294CBF">
        <w:t xml:space="preserve">2012 has been the mobilisation of six </w:t>
      </w:r>
      <w:r w:rsidR="001A374B" w:rsidRPr="008220F3">
        <w:t>community-based climate change action grants</w:t>
      </w:r>
      <w:r w:rsidR="001A374B">
        <w:t xml:space="preserve"> </w:t>
      </w:r>
      <w:r w:rsidRPr="00294CBF">
        <w:t xml:space="preserve">valued at around $15 million </w:t>
      </w:r>
      <w:r w:rsidR="00C5255D">
        <w:t>which will</w:t>
      </w:r>
      <w:r w:rsidR="00C5255D" w:rsidRPr="00294CBF">
        <w:t xml:space="preserve"> </w:t>
      </w:r>
      <w:r w:rsidRPr="00294CBF">
        <w:t>help vulnerabl</w:t>
      </w:r>
      <w:r w:rsidR="00147846">
        <w:t xml:space="preserve">e communities in Vietnam manage </w:t>
      </w:r>
      <w:r w:rsidRPr="00294CBF">
        <w:t xml:space="preserve">the impacts of climate change. Six organisations and their partners have been awarded </w:t>
      </w:r>
      <w:r w:rsidR="001A374B">
        <w:t>c</w:t>
      </w:r>
      <w:r w:rsidR="00C5255D" w:rsidRPr="00294CBF">
        <w:t xml:space="preserve">ommunity-based </w:t>
      </w:r>
      <w:r w:rsidR="001A374B">
        <w:t>c</w:t>
      </w:r>
      <w:r w:rsidR="00C5255D" w:rsidRPr="00294CBF">
        <w:t xml:space="preserve">limate </w:t>
      </w:r>
      <w:r w:rsidR="001A374B">
        <w:t>c</w:t>
      </w:r>
      <w:r w:rsidR="00C5255D" w:rsidRPr="00294CBF">
        <w:t xml:space="preserve">hange </w:t>
      </w:r>
      <w:r w:rsidR="001A374B">
        <w:t>a</w:t>
      </w:r>
      <w:r w:rsidR="00C5255D" w:rsidRPr="00294CBF">
        <w:t xml:space="preserve">ction </w:t>
      </w:r>
      <w:r w:rsidR="001A374B">
        <w:t>g</w:t>
      </w:r>
      <w:r w:rsidR="00C5255D" w:rsidRPr="00294CBF">
        <w:t>rants</w:t>
      </w:r>
      <w:r w:rsidR="00C5255D">
        <w:t xml:space="preserve"> </w:t>
      </w:r>
      <w:r w:rsidR="003743C8">
        <w:t>including</w:t>
      </w:r>
      <w:r w:rsidRPr="00294CBF">
        <w:t>:</w:t>
      </w:r>
    </w:p>
    <w:p w14:paraId="480CCDC6" w14:textId="77777777" w:rsidR="00506A51" w:rsidRPr="00294CBF" w:rsidRDefault="00C5255D" w:rsidP="000E4573">
      <w:pPr>
        <w:pStyle w:val="ListBullet"/>
      </w:pPr>
      <w:r>
        <w:t>f</w:t>
      </w:r>
      <w:r w:rsidRPr="00294CBF">
        <w:t xml:space="preserve">our </w:t>
      </w:r>
      <w:r w:rsidR="004E570D">
        <w:t xml:space="preserve">climate change </w:t>
      </w:r>
      <w:r w:rsidR="00506A51" w:rsidRPr="00294CBF">
        <w:t xml:space="preserve">adaptation partnerships led by </w:t>
      </w:r>
      <w:r>
        <w:t xml:space="preserve">the </w:t>
      </w:r>
      <w:r w:rsidR="00506A51" w:rsidRPr="00294CBF">
        <w:t>Australian Red Cross, Care, Oxfam and Save the Children</w:t>
      </w:r>
      <w:r>
        <w:t>, which</w:t>
      </w:r>
      <w:r w:rsidR="00506A51" w:rsidRPr="00294CBF">
        <w:t xml:space="preserve"> will help to promote an integrated approach to climate change adaption and disaster risk reduction at the community-level</w:t>
      </w:r>
    </w:p>
    <w:p w14:paraId="2E3F12C7" w14:textId="1958D6C0" w:rsidR="00506A51" w:rsidRPr="00294CBF" w:rsidRDefault="00C5255D" w:rsidP="000E4573">
      <w:pPr>
        <w:pStyle w:val="ListBullet"/>
      </w:pPr>
      <w:r>
        <w:t>t</w:t>
      </w:r>
      <w:r w:rsidRPr="00294CBF">
        <w:t xml:space="preserve">wo </w:t>
      </w:r>
      <w:r w:rsidR="004E570D">
        <w:t xml:space="preserve">climate change </w:t>
      </w:r>
      <w:r w:rsidR="00506A51" w:rsidRPr="00294CBF">
        <w:t xml:space="preserve">mitigation partnerships led by the Environmental Defense Fund and the SNV Netherlands Development Organisation </w:t>
      </w:r>
      <w:r w:rsidR="002363D9">
        <w:t xml:space="preserve">which </w:t>
      </w:r>
      <w:r w:rsidR="00506A51" w:rsidRPr="00294CBF">
        <w:t xml:space="preserve">will help build the capacity of smallholder rice producers and provincial agencies to reduce greenhouse gas emissions and improve benefits from rice production in Vietnam’s Mekong Delta and </w:t>
      </w:r>
      <w:r w:rsidR="003743C8">
        <w:t>c</w:t>
      </w:r>
      <w:r w:rsidR="00506A51" w:rsidRPr="00294CBF">
        <w:t xml:space="preserve">entral </w:t>
      </w:r>
      <w:r>
        <w:t>r</w:t>
      </w:r>
      <w:r w:rsidRPr="00294CBF">
        <w:t>egion</w:t>
      </w:r>
      <w:r>
        <w:t>s</w:t>
      </w:r>
      <w:r w:rsidR="00506A51" w:rsidRPr="00294CBF">
        <w:t>.</w:t>
      </w:r>
    </w:p>
    <w:p w14:paraId="44C01AB5" w14:textId="67B24333" w:rsidR="00506A51" w:rsidRPr="00294CBF" w:rsidRDefault="00506A51" w:rsidP="000E4573">
      <w:pPr>
        <w:pStyle w:val="BodyText"/>
      </w:pPr>
      <w:r w:rsidRPr="00294CBF">
        <w:t>These activities will directly assist 270</w:t>
      </w:r>
      <w:r w:rsidR="00C5255D">
        <w:t xml:space="preserve"> </w:t>
      </w:r>
      <w:r w:rsidRPr="00294CBF">
        <w:t>000 people to build their resilience to climate change and weather-based disasters, contributing to the 750</w:t>
      </w:r>
      <w:r w:rsidR="00C5255D">
        <w:t xml:space="preserve"> </w:t>
      </w:r>
      <w:r w:rsidRPr="00294CBF">
        <w:t xml:space="preserve">000 target under the Joint Aid Program Strategy Performance Assessment Framework. The overall target will also be supported through our flood and drought mitigation partnership with </w:t>
      </w:r>
      <w:r w:rsidR="00C5255D">
        <w:t xml:space="preserve">the </w:t>
      </w:r>
      <w:r w:rsidRPr="00294CBF">
        <w:t>A</w:t>
      </w:r>
      <w:r w:rsidR="00C5255D">
        <w:t xml:space="preserve">sian </w:t>
      </w:r>
      <w:r w:rsidRPr="00294CBF">
        <w:t>D</w:t>
      </w:r>
      <w:r w:rsidR="00C5255D">
        <w:t xml:space="preserve">evelopment </w:t>
      </w:r>
      <w:r w:rsidRPr="00294CBF">
        <w:t>B</w:t>
      </w:r>
      <w:r w:rsidR="00C5255D">
        <w:t>ank</w:t>
      </w:r>
      <w:r w:rsidRPr="00294CBF">
        <w:t xml:space="preserve"> that will </w:t>
      </w:r>
      <w:r w:rsidR="00C5255D">
        <w:t>start</w:t>
      </w:r>
      <w:r w:rsidR="00C5255D" w:rsidRPr="00294CBF">
        <w:t xml:space="preserve"> </w:t>
      </w:r>
      <w:r w:rsidRPr="00294CBF">
        <w:t>in 20</w:t>
      </w:r>
      <w:r w:rsidR="00F907B5">
        <w:t>13</w:t>
      </w:r>
      <w:r w:rsidR="00C5255D">
        <w:t>–</w:t>
      </w:r>
      <w:r w:rsidRPr="00294CBF">
        <w:t xml:space="preserve">14. </w:t>
      </w:r>
      <w:r w:rsidR="00D41D9A">
        <w:t xml:space="preserve">DFAT </w:t>
      </w:r>
      <w:r w:rsidRPr="00294CBF">
        <w:t xml:space="preserve">has facilitated communication between our </w:t>
      </w:r>
      <w:r w:rsidR="00C5255D">
        <w:t>non-government</w:t>
      </w:r>
      <w:r w:rsidR="00C5255D" w:rsidRPr="00294CBF">
        <w:t xml:space="preserve"> </w:t>
      </w:r>
      <w:r w:rsidRPr="00294CBF">
        <w:t xml:space="preserve">partners, GIZ and the </w:t>
      </w:r>
      <w:r w:rsidR="00C5255D" w:rsidRPr="00294CBF">
        <w:t>A</w:t>
      </w:r>
      <w:r w:rsidR="00C5255D">
        <w:t xml:space="preserve">sian </w:t>
      </w:r>
      <w:r w:rsidR="00C5255D" w:rsidRPr="00294CBF">
        <w:t>D</w:t>
      </w:r>
      <w:r w:rsidR="00C5255D">
        <w:t xml:space="preserve">evelopment </w:t>
      </w:r>
      <w:r w:rsidR="00C5255D" w:rsidRPr="00294CBF">
        <w:t>B</w:t>
      </w:r>
      <w:r w:rsidR="00C5255D">
        <w:t>ank</w:t>
      </w:r>
      <w:r w:rsidR="00C5255D" w:rsidRPr="00294CBF">
        <w:t xml:space="preserve"> </w:t>
      </w:r>
      <w:r w:rsidRPr="00294CBF">
        <w:t>where they are working in the same provinces to encourage sharing of community experience to inform provincial-level adaptation approaches.</w:t>
      </w:r>
    </w:p>
    <w:p w14:paraId="18CD775C" w14:textId="77777777" w:rsidR="00506A51" w:rsidRPr="00506A51" w:rsidRDefault="00DA62C5" w:rsidP="000E4573">
      <w:pPr>
        <w:pStyle w:val="Heading3"/>
      </w:pPr>
      <w:r>
        <w:t>Promoting low-carbon growth</w:t>
      </w:r>
    </w:p>
    <w:p w14:paraId="1D68C397" w14:textId="3CC8FA75" w:rsidR="00506A51" w:rsidRDefault="00506A51" w:rsidP="000E4573">
      <w:pPr>
        <w:pStyle w:val="BodyText"/>
      </w:pPr>
      <w:r w:rsidRPr="00294CBF">
        <w:t>Vietnam launched its first Green Growth Strategy in September 2012</w:t>
      </w:r>
      <w:r w:rsidR="003743C8">
        <w:t>,</w:t>
      </w:r>
      <w:r w:rsidRPr="00294CBF">
        <w:t xml:space="preserve"> which sets out voluntary targets for </w:t>
      </w:r>
      <w:r w:rsidR="00C5255D" w:rsidRPr="00294CBF">
        <w:t>reduc</w:t>
      </w:r>
      <w:r w:rsidR="00C5255D">
        <w:t>ing</w:t>
      </w:r>
      <w:r w:rsidR="00C5255D" w:rsidRPr="00294CBF">
        <w:t xml:space="preserve"> </w:t>
      </w:r>
      <w:r w:rsidR="00C5255D">
        <w:t>greenhouse gas</w:t>
      </w:r>
      <w:r w:rsidR="00C5255D" w:rsidRPr="00294CBF">
        <w:t xml:space="preserve"> </w:t>
      </w:r>
      <w:r w:rsidRPr="00294CBF">
        <w:t>emission</w:t>
      </w:r>
      <w:r w:rsidR="00C5255D">
        <w:t>s</w:t>
      </w:r>
      <w:r w:rsidRPr="00294CBF">
        <w:t xml:space="preserve"> by </w:t>
      </w:r>
      <w:r w:rsidR="00C5255D">
        <w:t xml:space="preserve">eight to </w:t>
      </w:r>
      <w:r w:rsidRPr="00294CBF">
        <w:t xml:space="preserve">10 per cent by 2020 compared to 2010 levels. This new strategy </w:t>
      </w:r>
      <w:r w:rsidR="00C5255D">
        <w:t xml:space="preserve">has a </w:t>
      </w:r>
      <w:r w:rsidR="00C5255D" w:rsidRPr="00294CBF">
        <w:t xml:space="preserve">particular focus on the energy sector </w:t>
      </w:r>
      <w:r w:rsidR="00C5255D">
        <w:t xml:space="preserve">and will </w:t>
      </w:r>
      <w:r w:rsidRPr="00294CBF">
        <w:t>further</w:t>
      </w:r>
      <w:r w:rsidR="00C5255D">
        <w:t xml:space="preserve"> </w:t>
      </w:r>
      <w:r w:rsidRPr="00294CBF">
        <w:t xml:space="preserve">Vietnam’s commitment to join international efforts in mitigating the future impacts of climate change while promoting a low-carbon model for sustainable economic development. Aligned with the priority tasks under the Green Growth Strategy, </w:t>
      </w:r>
      <w:r w:rsidR="00D41D9A">
        <w:t xml:space="preserve">DFAT </w:t>
      </w:r>
      <w:r w:rsidRPr="00294CBF">
        <w:t>has continued to develop our program of assistance to help Vietnam harness opportunities for productive green growth through the application of clean technologies and low carbon measures in the energy sector.</w:t>
      </w:r>
    </w:p>
    <w:p w14:paraId="22544568" w14:textId="0199E3B8" w:rsidR="00506A51" w:rsidRPr="00294CBF" w:rsidRDefault="00864874" w:rsidP="000E4573">
      <w:pPr>
        <w:pStyle w:val="BodyText"/>
      </w:pPr>
      <w:r>
        <w:t>U</w:t>
      </w:r>
      <w:r w:rsidRPr="00294CBF">
        <w:t xml:space="preserve">nder </w:t>
      </w:r>
      <w:r>
        <w:t>the</w:t>
      </w:r>
      <w:r w:rsidR="00D41D9A">
        <w:rPr>
          <w:color w:val="000000"/>
          <w:lang w:val="en-GB"/>
        </w:rPr>
        <w:t>DFAT</w:t>
      </w:r>
      <w:r>
        <w:rPr>
          <w:color w:val="000000"/>
          <w:lang w:val="en-GB"/>
        </w:rPr>
        <w:t>–World Bank country partnership,</w:t>
      </w:r>
      <w:r w:rsidRPr="00294CBF">
        <w:t xml:space="preserve"> </w:t>
      </w:r>
      <w:r w:rsidR="00D41D9A">
        <w:t xml:space="preserve">DFAT </w:t>
      </w:r>
      <w:r w:rsidR="00506A51" w:rsidRPr="00294CBF">
        <w:t>has identified energy efficiency as an area for collaboration to support V</w:t>
      </w:r>
      <w:r w:rsidR="00147846">
        <w:t>ietnam’s Green Growth ambition.</w:t>
      </w:r>
      <w:r>
        <w:t xml:space="preserve"> </w:t>
      </w:r>
      <w:r w:rsidR="00D41D9A">
        <w:t xml:space="preserve">DFAT </w:t>
      </w:r>
      <w:r w:rsidR="00DA62C5">
        <w:t>is funding</w:t>
      </w:r>
      <w:r w:rsidR="00506A51" w:rsidRPr="00294CBF">
        <w:t xml:space="preserve"> the technical assistance component under the W</w:t>
      </w:r>
      <w:r w:rsidR="008E44A5">
        <w:t xml:space="preserve">orld </w:t>
      </w:r>
      <w:r w:rsidR="00506A51" w:rsidRPr="00294CBF">
        <w:t>B</w:t>
      </w:r>
      <w:r w:rsidR="008E44A5">
        <w:t>ank</w:t>
      </w:r>
      <w:r w:rsidR="00506A51" w:rsidRPr="00294CBF">
        <w:t xml:space="preserve">’s Distribution Efficiency Project to build the capacity of Vietnam’s power corporations and regulatory authority. This includes the introduction of measures that increase efficiency and help regulate energy use during peak times, including through the use of smart-grid technologies. Reducing power losses through a </w:t>
      </w:r>
      <w:r w:rsidR="00637549" w:rsidRPr="00294CBF">
        <w:t>well</w:t>
      </w:r>
      <w:r w:rsidR="00637549">
        <w:t>-</w:t>
      </w:r>
      <w:r w:rsidR="00506A51" w:rsidRPr="00294CBF">
        <w:t xml:space="preserve">regulated distribution system will also help address avoidable </w:t>
      </w:r>
      <w:r w:rsidR="00637549">
        <w:t>greenhouse gas</w:t>
      </w:r>
      <w:r w:rsidR="00637549" w:rsidRPr="00294CBF">
        <w:t xml:space="preserve"> </w:t>
      </w:r>
      <w:r w:rsidR="00506A51" w:rsidRPr="00294CBF">
        <w:t xml:space="preserve">emissions. </w:t>
      </w:r>
      <w:r w:rsidR="00D41D9A">
        <w:t xml:space="preserve">DFAT </w:t>
      </w:r>
      <w:r w:rsidR="00506A51" w:rsidRPr="00294CBF">
        <w:t xml:space="preserve">is also exploring further opportunities to partner with the World Bank on </w:t>
      </w:r>
      <w:r w:rsidR="00637549">
        <w:t>its</w:t>
      </w:r>
      <w:r w:rsidR="00637549" w:rsidRPr="00294CBF">
        <w:t xml:space="preserve"> </w:t>
      </w:r>
      <w:r w:rsidR="00506A51" w:rsidRPr="00294CBF">
        <w:t>energy efficiency program for commencement in 2013</w:t>
      </w:r>
      <w:r w:rsidR="00637549">
        <w:t>–</w:t>
      </w:r>
      <w:r w:rsidR="00506A51" w:rsidRPr="00294CBF">
        <w:t>14.</w:t>
      </w:r>
    </w:p>
    <w:p w14:paraId="4E933909" w14:textId="07C1CAE3" w:rsidR="00506A51" w:rsidRPr="00294CBF" w:rsidRDefault="00D41D9A" w:rsidP="000E4573">
      <w:pPr>
        <w:pStyle w:val="BodyText"/>
      </w:pPr>
      <w:r>
        <w:lastRenderedPageBreak/>
        <w:t xml:space="preserve">DFAT </w:t>
      </w:r>
      <w:r w:rsidR="00506A51" w:rsidRPr="00294CBF">
        <w:t xml:space="preserve">entered into </w:t>
      </w:r>
      <w:r w:rsidR="00637549">
        <w:t xml:space="preserve">a </w:t>
      </w:r>
      <w:r w:rsidR="00506A51" w:rsidRPr="00294CBF">
        <w:t xml:space="preserve">partnership between </w:t>
      </w:r>
      <w:r w:rsidR="009475F3">
        <w:t>Australia’s</w:t>
      </w:r>
      <w:r w:rsidR="009475F3" w:rsidRPr="00294CBF">
        <w:t xml:space="preserve"> </w:t>
      </w:r>
      <w:r w:rsidR="00506A51" w:rsidRPr="00294CBF">
        <w:t xml:space="preserve">then Department of Resources, Energy and Tourism and Vietnam’s Ministry of Industry and Trade to </w:t>
      </w:r>
      <w:r w:rsidR="009475F3">
        <w:t>help</w:t>
      </w:r>
      <w:r w:rsidR="009475F3" w:rsidRPr="00294CBF">
        <w:t xml:space="preserve"> </w:t>
      </w:r>
      <w:r w:rsidR="00506A51" w:rsidRPr="00294CBF">
        <w:t xml:space="preserve">Vietnam develop and implement lighting and appliance energy efficiency standards, registration, labelling, testing, compliance and monitoring mechanisms. Australia has over 20 years experience in appliance labelling and is providing technical assistance to </w:t>
      </w:r>
      <w:r w:rsidR="009475F3">
        <w:t>the ministry</w:t>
      </w:r>
      <w:r w:rsidR="009475F3" w:rsidRPr="00294CBF">
        <w:t xml:space="preserve"> </w:t>
      </w:r>
      <w:r w:rsidR="009475F3">
        <w:t>to</w:t>
      </w:r>
      <w:r w:rsidR="009475F3" w:rsidRPr="00294CBF">
        <w:t xml:space="preserve"> </w:t>
      </w:r>
      <w:r w:rsidR="00506A51" w:rsidRPr="00294CBF">
        <w:t>implement</w:t>
      </w:r>
      <w:r w:rsidR="009475F3">
        <w:t xml:space="preserve"> its </w:t>
      </w:r>
      <w:r w:rsidR="00506A51" w:rsidRPr="00294CBF">
        <w:t xml:space="preserve">ambitious </w:t>
      </w:r>
      <w:r w:rsidR="009475F3">
        <w:t>plan</w:t>
      </w:r>
      <w:r w:rsidR="00506A51" w:rsidRPr="00294CBF">
        <w:t xml:space="preserve"> for a mandatory labelling scheme to promote the use of energy efficient appliances throughout Vietnam.</w:t>
      </w:r>
    </w:p>
    <w:p w14:paraId="739AF5CD" w14:textId="47AEA5F8" w:rsidR="00506A51" w:rsidRPr="00294CBF" w:rsidRDefault="00506A51" w:rsidP="000E4573">
      <w:pPr>
        <w:pStyle w:val="BodyText"/>
      </w:pPr>
      <w:r w:rsidRPr="00294CBF">
        <w:t xml:space="preserve">Another area of engagement identified in the </w:t>
      </w:r>
      <w:r w:rsidR="009475F3">
        <w:t>d</w:t>
      </w:r>
      <w:r w:rsidR="009475F3" w:rsidRPr="00294CBF">
        <w:t xml:space="preserve">elivery </w:t>
      </w:r>
      <w:r w:rsidR="009475F3">
        <w:t>s</w:t>
      </w:r>
      <w:r w:rsidR="009475F3" w:rsidRPr="00294CBF">
        <w:t xml:space="preserve">trategy </w:t>
      </w:r>
      <w:r w:rsidRPr="00294CBF">
        <w:t xml:space="preserve">is the promotion of clean technologies. With the reorientation to a more resource efficient economy, the </w:t>
      </w:r>
      <w:r w:rsidR="009475F3">
        <w:t>Government of Vietnam</w:t>
      </w:r>
      <w:r w:rsidR="009475F3" w:rsidRPr="00294CBF">
        <w:t xml:space="preserve"> </w:t>
      </w:r>
      <w:r w:rsidRPr="00294CBF">
        <w:t xml:space="preserve">considers the development, deployment and transfer of emerging climate and clean energy technologies as crucial to achieving its Green Growth objectives and stimulating investment and private sector activity. </w:t>
      </w:r>
      <w:r w:rsidR="00031EB5">
        <w:t>In 2013</w:t>
      </w:r>
      <w:r w:rsidR="00467CE4">
        <w:t>,</w:t>
      </w:r>
      <w:r w:rsidR="00031EB5">
        <w:t xml:space="preserve"> </w:t>
      </w:r>
      <w:r w:rsidR="00D41D9A">
        <w:t xml:space="preserve">DFAT </w:t>
      </w:r>
      <w:r w:rsidR="00031EB5">
        <w:t>agreed to support the establishment of a Climate Innovation Centre in Vietnam</w:t>
      </w:r>
      <w:r w:rsidR="00DA62C5">
        <w:t xml:space="preserve"> that will support business development of clean technologies</w:t>
      </w:r>
      <w:r w:rsidR="00031EB5">
        <w:t>.</w:t>
      </w:r>
      <w:r w:rsidR="00031EB5" w:rsidRPr="00031EB5">
        <w:t xml:space="preserve"> </w:t>
      </w:r>
      <w:r w:rsidR="009475F3">
        <w:t>The initiative</w:t>
      </w:r>
      <w:r w:rsidRPr="00294CBF">
        <w:t xml:space="preserve"> has been welcomed by the </w:t>
      </w:r>
      <w:r w:rsidR="00864874">
        <w:t>G</w:t>
      </w:r>
      <w:r w:rsidR="009475F3">
        <w:t>overnment</w:t>
      </w:r>
      <w:r w:rsidR="009475F3" w:rsidRPr="00294CBF">
        <w:t xml:space="preserve"> </w:t>
      </w:r>
      <w:r w:rsidR="00864874">
        <w:t xml:space="preserve">of Vietnam </w:t>
      </w:r>
      <w:r w:rsidRPr="00294CBF">
        <w:t>and is attracting interest from the U</w:t>
      </w:r>
      <w:r w:rsidR="009475F3">
        <w:t xml:space="preserve">nited </w:t>
      </w:r>
      <w:r w:rsidRPr="00294CBF">
        <w:t>K</w:t>
      </w:r>
      <w:r w:rsidR="009475F3">
        <w:t>ingdom</w:t>
      </w:r>
      <w:r w:rsidRPr="00294CBF">
        <w:t xml:space="preserve"> to co-fund its establishment. </w:t>
      </w:r>
    </w:p>
    <w:p w14:paraId="1AD49D48" w14:textId="77777777" w:rsidR="00506A51" w:rsidRPr="00506A51" w:rsidRDefault="00506A51" w:rsidP="000E4573">
      <w:pPr>
        <w:pStyle w:val="Heading3"/>
      </w:pPr>
      <w:r w:rsidRPr="002C1E00">
        <w:t xml:space="preserve">Enabling an effective climate change response: </w:t>
      </w:r>
      <w:r w:rsidR="009475F3" w:rsidRPr="002C1E00">
        <w:t>climate change projections and research</w:t>
      </w:r>
    </w:p>
    <w:p w14:paraId="69A29012" w14:textId="1221EF0E" w:rsidR="00506A51" w:rsidRPr="00294CBF" w:rsidRDefault="00506A51" w:rsidP="000E4573">
      <w:pPr>
        <w:pStyle w:val="BodyText"/>
      </w:pPr>
      <w:r w:rsidRPr="00294CBF">
        <w:t xml:space="preserve">In addition to direct support for climate change adaptation and mitigation, Australia is also working with the </w:t>
      </w:r>
      <w:r w:rsidR="009475F3">
        <w:t>Government of Vietnam</w:t>
      </w:r>
      <w:r w:rsidR="009475F3" w:rsidRPr="00294CBF">
        <w:t xml:space="preserve"> </w:t>
      </w:r>
      <w:r w:rsidRPr="00294CBF">
        <w:t xml:space="preserve">and relevant research institutions to help build knowledge and understanding of climate change. </w:t>
      </w:r>
      <w:r w:rsidR="00864874">
        <w:t>I</w:t>
      </w:r>
      <w:r w:rsidR="00DA62C5">
        <w:t xml:space="preserve">n 2012 </w:t>
      </w:r>
      <w:r w:rsidR="00D41D9A">
        <w:t xml:space="preserve">the Australian Government </w:t>
      </w:r>
      <w:r w:rsidR="00864874">
        <w:t>began</w:t>
      </w:r>
      <w:r w:rsidR="009475F3" w:rsidRPr="00294CBF">
        <w:t xml:space="preserve"> </w:t>
      </w:r>
      <w:r w:rsidRPr="00294CBF">
        <w:t>fund</w:t>
      </w:r>
      <w:r w:rsidR="009475F3">
        <w:t>ing</w:t>
      </w:r>
      <w:r w:rsidRPr="00294CBF">
        <w:t xml:space="preserve"> a new partnership between Australian and Vietnamese climate scientists to better understand and plan for the impacts of climate change, building on the existing relationship between the CSIRO and scientists from Vietnam's Ministry for Natural Resource</w:t>
      </w:r>
      <w:r w:rsidR="004E6A61">
        <w:t>s</w:t>
      </w:r>
      <w:r w:rsidRPr="00294CBF">
        <w:t xml:space="preserve"> and Environment and the Hanoi University of Science</w:t>
      </w:r>
      <w:r w:rsidR="00031EB5">
        <w:t xml:space="preserve"> (2012</w:t>
      </w:r>
      <w:r w:rsidR="009475F3">
        <w:t>–</w:t>
      </w:r>
      <w:r w:rsidR="00031EB5">
        <w:t xml:space="preserve">13 </w:t>
      </w:r>
      <w:r w:rsidR="009475F3">
        <w:t xml:space="preserve">performance assessment framework </w:t>
      </w:r>
      <w:r w:rsidR="00031EB5">
        <w:t>milestone)</w:t>
      </w:r>
      <w:r w:rsidRPr="00294CBF">
        <w:t xml:space="preserve">. The project will provide updated and detailed climate change projections for a range of </w:t>
      </w:r>
      <w:r w:rsidR="00864874">
        <w:t xml:space="preserve">high and low </w:t>
      </w:r>
      <w:r w:rsidRPr="00294CBF">
        <w:t xml:space="preserve">emission scenarios throughout Vietnam that will inform the next update of the National Climate Change and Sea Level Rise Scenarios in 2014. </w:t>
      </w:r>
      <w:r w:rsidR="00DA62C5">
        <w:t xml:space="preserve">Plans are underway to </w:t>
      </w:r>
      <w:r w:rsidRPr="00294CBF">
        <w:t>pilot the application of these more detailed projections to inform planning and investment decisions at the provincial level</w:t>
      </w:r>
      <w:r w:rsidR="009475F3">
        <w:t>,</w:t>
      </w:r>
      <w:r w:rsidRPr="00294CBF">
        <w:t xml:space="preserve"> drawing on our partnership with Germany under </w:t>
      </w:r>
      <w:r w:rsidR="009475F3">
        <w:t xml:space="preserve">the </w:t>
      </w:r>
      <w:r w:rsidR="009475F3" w:rsidRPr="00294CBF">
        <w:t>Climate Change and Coastal Ecosystems Program</w:t>
      </w:r>
      <w:r w:rsidRPr="00294CBF">
        <w:t xml:space="preserve">. </w:t>
      </w:r>
    </w:p>
    <w:p w14:paraId="275BFA4B" w14:textId="416B594C" w:rsidR="00506A51" w:rsidRPr="00294CBF" w:rsidRDefault="009475F3" w:rsidP="000E4573">
      <w:pPr>
        <w:pStyle w:val="BodyText"/>
      </w:pPr>
      <w:r>
        <w:t xml:space="preserve">In </w:t>
      </w:r>
      <w:r w:rsidR="00506A51" w:rsidRPr="00294CBF">
        <w:t>2012</w:t>
      </w:r>
      <w:r>
        <w:t>,</w:t>
      </w:r>
      <w:r w:rsidR="00506A51" w:rsidRPr="00294CBF">
        <w:t xml:space="preserve"> two </w:t>
      </w:r>
      <w:r w:rsidR="00D41D9A">
        <w:t>Australian Government</w:t>
      </w:r>
      <w:r>
        <w:t>-</w:t>
      </w:r>
      <w:r w:rsidR="00506A51" w:rsidRPr="00294CBF">
        <w:t>funded studies</w:t>
      </w:r>
      <w:r>
        <w:t xml:space="preserve"> were completed </w:t>
      </w:r>
      <w:r w:rsidR="00506A51" w:rsidRPr="00294CBF">
        <w:t>to support our climate change engagement</w:t>
      </w:r>
      <w:r w:rsidR="00031EB5">
        <w:t xml:space="preserve"> identified in the </w:t>
      </w:r>
      <w:r>
        <w:t xml:space="preserve">performance assessment framework </w:t>
      </w:r>
      <w:r w:rsidR="00031EB5">
        <w:t>milestones for 2012</w:t>
      </w:r>
      <w:r>
        <w:t>–</w:t>
      </w:r>
      <w:r w:rsidR="00031EB5">
        <w:t>13.</w:t>
      </w:r>
      <w:r w:rsidR="00506A51" w:rsidRPr="00294CBF">
        <w:t xml:space="preserve"> </w:t>
      </w:r>
      <w:r w:rsidR="00D41D9A">
        <w:t xml:space="preserve">the Australian Government </w:t>
      </w:r>
      <w:r w:rsidR="00506A51" w:rsidRPr="00294CBF">
        <w:t>co-funded a study with the A</w:t>
      </w:r>
      <w:r>
        <w:t xml:space="preserve">sian </w:t>
      </w:r>
      <w:r w:rsidR="00506A51" w:rsidRPr="00294CBF">
        <w:t>D</w:t>
      </w:r>
      <w:r>
        <w:t xml:space="preserve">evelopment </w:t>
      </w:r>
      <w:r w:rsidR="00506A51" w:rsidRPr="00294CBF">
        <w:t>B</w:t>
      </w:r>
      <w:r>
        <w:t>ank</w:t>
      </w:r>
      <w:r w:rsidR="00506A51" w:rsidRPr="00294CBF">
        <w:t xml:space="preserve"> to undertake a climate change risk and vulnerability assessment for Ca Mau and Kien Giang </w:t>
      </w:r>
      <w:r w:rsidR="00544CCD">
        <w:t xml:space="preserve">provinces </w:t>
      </w:r>
      <w:r w:rsidR="00506A51" w:rsidRPr="00294CBF">
        <w:t xml:space="preserve">that is being used to identify prioritised adaptation options for future investment. </w:t>
      </w:r>
      <w:r>
        <w:t xml:space="preserve">The </w:t>
      </w:r>
      <w:r w:rsidR="00506A51" w:rsidRPr="00294CBF">
        <w:t>A</w:t>
      </w:r>
      <w:r>
        <w:t xml:space="preserve">sian </w:t>
      </w:r>
      <w:r w:rsidR="00506A51" w:rsidRPr="00294CBF">
        <w:t>D</w:t>
      </w:r>
      <w:r>
        <w:t xml:space="preserve">evelopment </w:t>
      </w:r>
      <w:r w:rsidR="00506A51" w:rsidRPr="00294CBF">
        <w:t>B</w:t>
      </w:r>
      <w:r>
        <w:t>ank</w:t>
      </w:r>
      <w:r w:rsidR="00506A51" w:rsidRPr="00294CBF">
        <w:t xml:space="preserve"> has worked closely with </w:t>
      </w:r>
      <w:r w:rsidRPr="00294CBF">
        <w:t>Climate Change and Coastal Ecosystems Program</w:t>
      </w:r>
      <w:r w:rsidRPr="00294CBF" w:rsidDel="009475F3">
        <w:t xml:space="preserve"> </w:t>
      </w:r>
      <w:r w:rsidR="00506A51" w:rsidRPr="00294CBF">
        <w:t>with a view to complement the coastal protection measures that</w:t>
      </w:r>
      <w:r>
        <w:t xml:space="preserve"> </w:t>
      </w:r>
      <w:r w:rsidR="00506A51" w:rsidRPr="00294CBF">
        <w:t xml:space="preserve">have been developed under the program. The second study was undertaken to support Vietnam’s vision of reducing </w:t>
      </w:r>
      <w:r>
        <w:t>greenhouse gas</w:t>
      </w:r>
      <w:r w:rsidRPr="00294CBF">
        <w:t xml:space="preserve"> </w:t>
      </w:r>
      <w:r w:rsidR="00506A51" w:rsidRPr="00294CBF">
        <w:t xml:space="preserve">emissions in the agriculture sector by applying a value-chain approach to identify low-carbon opportunities in tea and rice production. This study has been shared with donors and government and is being used to inform the </w:t>
      </w:r>
      <w:r w:rsidR="00D41D9A">
        <w:t>DFAT</w:t>
      </w:r>
      <w:r w:rsidR="00544CCD">
        <w:t xml:space="preserve">-funded </w:t>
      </w:r>
      <w:r w:rsidR="00506A51" w:rsidRPr="00294CBF">
        <w:t xml:space="preserve">low-carbon rice projects with </w:t>
      </w:r>
      <w:r>
        <w:t xml:space="preserve">the </w:t>
      </w:r>
      <w:r w:rsidRPr="00F40408">
        <w:rPr>
          <w:iCs/>
        </w:rPr>
        <w:t>Environmental Defense Fund</w:t>
      </w:r>
      <w:r w:rsidRPr="00294CBF">
        <w:t xml:space="preserve"> </w:t>
      </w:r>
      <w:r w:rsidR="00506A51" w:rsidRPr="00294CBF">
        <w:t>and SNV</w:t>
      </w:r>
      <w:r w:rsidR="00544CCD">
        <w:t xml:space="preserve"> under the </w:t>
      </w:r>
      <w:r w:rsidR="00544CCD" w:rsidRPr="00294CBF">
        <w:t>Community-based Climate Change Action Grants</w:t>
      </w:r>
      <w:r w:rsidR="00506A51" w:rsidRPr="00294CBF">
        <w:t>.</w:t>
      </w:r>
    </w:p>
    <w:p w14:paraId="5A996773" w14:textId="3005DD14" w:rsidR="004D0699" w:rsidRPr="00294CBF" w:rsidRDefault="009475F3" w:rsidP="000E4573">
      <w:pPr>
        <w:pStyle w:val="BodyText"/>
      </w:pPr>
      <w:r>
        <w:t xml:space="preserve">The Australian Centre for International </w:t>
      </w:r>
      <w:r w:rsidR="00506A51" w:rsidRPr="00294CBF">
        <w:t>A</w:t>
      </w:r>
      <w:r>
        <w:t xml:space="preserve">gricultural Research </w:t>
      </w:r>
      <w:r w:rsidR="00506A51" w:rsidRPr="00294CBF">
        <w:t xml:space="preserve">is continuing its work in piloting climate adaptation in rice-cropping systems (the CLUES project). Rice breeding activities led by </w:t>
      </w:r>
      <w:r w:rsidR="00133AAD">
        <w:t>the Mekong Delta Rice Research I</w:t>
      </w:r>
      <w:r w:rsidR="00506A51" w:rsidRPr="00294CBF">
        <w:t xml:space="preserve">nstitute have shown some promising results in identifying varieties that cope with stress environments such as salt water intrusion and continual flooding. </w:t>
      </w:r>
      <w:r w:rsidR="00543224">
        <w:t xml:space="preserve">The </w:t>
      </w:r>
      <w:r w:rsidR="00543224" w:rsidRPr="00294CBF">
        <w:t xml:space="preserve">Climate Change and Coastal Ecosystems Program </w:t>
      </w:r>
      <w:r w:rsidR="004D0699" w:rsidRPr="00294CBF">
        <w:t xml:space="preserve">is engaging with CLUES on this research, including </w:t>
      </w:r>
      <w:r w:rsidR="00543224">
        <w:t>by</w:t>
      </w:r>
      <w:r w:rsidR="00543224" w:rsidRPr="00294CBF">
        <w:t xml:space="preserve"> </w:t>
      </w:r>
      <w:r w:rsidR="004D0699" w:rsidRPr="00294CBF">
        <w:t>expanding the trials in Bac Lieu province with the dissemination of rice varieties and adap</w:t>
      </w:r>
      <w:r w:rsidR="002C1E00">
        <w:t>tation practices through farmer</w:t>
      </w:r>
      <w:r w:rsidR="004D0699" w:rsidRPr="00294CBF">
        <w:t xml:space="preserve"> groups</w:t>
      </w:r>
      <w:r w:rsidR="00543224" w:rsidRPr="00543224">
        <w:t xml:space="preserve"> </w:t>
      </w:r>
      <w:r w:rsidR="00543224" w:rsidRPr="00294CBF">
        <w:t>supported</w:t>
      </w:r>
      <w:r w:rsidR="00543224">
        <w:t xml:space="preserve"> by the program</w:t>
      </w:r>
      <w:r w:rsidR="004D0699" w:rsidRPr="00294CBF">
        <w:t xml:space="preserve">. </w:t>
      </w:r>
    </w:p>
    <w:p w14:paraId="4A227F31" w14:textId="77777777" w:rsidR="0012429A" w:rsidRPr="000E4573" w:rsidRDefault="0012429A" w:rsidP="000E4573">
      <w:pPr>
        <w:pStyle w:val="Heading1"/>
      </w:pPr>
      <w:r w:rsidRPr="000E4573">
        <w:lastRenderedPageBreak/>
        <w:t>Quality at Implementation ratings</w:t>
      </w:r>
    </w:p>
    <w:p w14:paraId="28766187" w14:textId="4E4D8C74" w:rsidR="0099677B" w:rsidRDefault="00C9326B" w:rsidP="000E4573">
      <w:pPr>
        <w:pStyle w:val="BodyText"/>
      </w:pPr>
      <w:r>
        <w:t xml:space="preserve">The Vietnam program uses a performance assessment framework (Annex </w:t>
      </w:r>
      <w:r w:rsidR="00D802BD">
        <w:t>F</w:t>
      </w:r>
      <w:r>
        <w:t>) that provides milestones against which performance is assessed each year.</w:t>
      </w:r>
      <w:r w:rsidR="00710337">
        <w:t xml:space="preserve"> </w:t>
      </w:r>
      <w:r w:rsidR="0099677B">
        <w:t>Quality at Implementation (QAI) assessment and reporting is a key component of</w:t>
      </w:r>
      <w:r w:rsidR="00445C4E">
        <w:t xml:space="preserve"> </w:t>
      </w:r>
      <w:r w:rsidR="00D41D9A">
        <w:t>DFAT</w:t>
      </w:r>
      <w:r w:rsidR="0099677B">
        <w:t>’s system for monitoring and improving the quality of Australian aid.</w:t>
      </w:r>
      <w:r w:rsidR="00710337">
        <w:t xml:space="preserve"> </w:t>
      </w:r>
      <w:r w:rsidR="0099677B">
        <w:t>It provides managers with a tool to review how well initiatives are performing against the quality criteria for Australia aid, drawing on ongoing performance information.</w:t>
      </w:r>
      <w:r w:rsidR="005208AC">
        <w:t xml:space="preserve"> </w:t>
      </w:r>
    </w:p>
    <w:p w14:paraId="68E53AD5" w14:textId="22A758EA" w:rsidR="00C9326B" w:rsidRDefault="005208AC" w:rsidP="000E4573">
      <w:pPr>
        <w:pStyle w:val="BodyText"/>
      </w:pPr>
      <w:r>
        <w:t xml:space="preserve">The Vietnam program </w:t>
      </w:r>
      <w:r w:rsidR="001C7DDD">
        <w:t xml:space="preserve">completed QAI reports for </w:t>
      </w:r>
      <w:r>
        <w:t>16 initiatives</w:t>
      </w:r>
      <w:r w:rsidR="001C7DDD">
        <w:t xml:space="preserve"> in 2012–13, which accounts</w:t>
      </w:r>
      <w:r>
        <w:t xml:space="preserve"> for 93.6 per cent of </w:t>
      </w:r>
      <w:r w:rsidR="001C7DDD">
        <w:t xml:space="preserve">the </w:t>
      </w:r>
      <w:r>
        <w:t>2012–13 bilateral program expenditure.</w:t>
      </w:r>
      <w:r w:rsidR="00445C4E">
        <w:t xml:space="preserve"> The</w:t>
      </w:r>
      <w:r w:rsidR="00D41D9A">
        <w:t xml:space="preserve"> aid </w:t>
      </w:r>
      <w:r w:rsidR="00945130">
        <w:t>program</w:t>
      </w:r>
      <w:r w:rsidR="00C9326B">
        <w:t>’s Quality Performance and Results Branch moderated the</w:t>
      </w:r>
      <w:r w:rsidR="001C7DDD">
        <w:t>se</w:t>
      </w:r>
      <w:r w:rsidR="00C9326B">
        <w:t xml:space="preserve"> </w:t>
      </w:r>
      <w:r w:rsidR="001C7DDD">
        <w:t>reports</w:t>
      </w:r>
      <w:r w:rsidR="00C9326B">
        <w:t>.</w:t>
      </w:r>
      <w:r w:rsidR="00710337">
        <w:t xml:space="preserve"> </w:t>
      </w:r>
      <w:r w:rsidR="001C7DDD">
        <w:t xml:space="preserve">These quality assessments rated 15 of the 16 Vietnam program monitored initiatives as very high, good or adequate in terms of effectiveness. One initiative was rated as ‘needs improvement’. </w:t>
      </w:r>
      <w:r w:rsidR="0099677B">
        <w:t>Most of the 2012</w:t>
      </w:r>
      <w:r w:rsidR="00543224">
        <w:t>–</w:t>
      </w:r>
      <w:r w:rsidR="0099677B">
        <w:t xml:space="preserve">13 </w:t>
      </w:r>
      <w:r w:rsidR="00543224">
        <w:t xml:space="preserve">performance assessment framework </w:t>
      </w:r>
      <w:r w:rsidR="0099677B">
        <w:t>milestones were achieved.</w:t>
      </w:r>
      <w:r w:rsidR="00710337">
        <w:t xml:space="preserve"> </w:t>
      </w:r>
      <w:r w:rsidR="00C9326B">
        <w:t>A summary table of QAI ratings for 2012</w:t>
      </w:r>
      <w:r w:rsidR="00543224">
        <w:t>–</w:t>
      </w:r>
      <w:r w:rsidR="00C9326B">
        <w:t>13 is provided in A</w:t>
      </w:r>
      <w:r w:rsidR="00D802BD">
        <w:t>nnex</w:t>
      </w:r>
      <w:r w:rsidR="00C9326B">
        <w:t xml:space="preserve"> B.</w:t>
      </w:r>
      <w:r w:rsidR="00710337">
        <w:t xml:space="preserve"> </w:t>
      </w:r>
      <w:r w:rsidR="00C9326B">
        <w:t>The table also provides a comparison with 2011 ratings.</w:t>
      </w:r>
      <w:r w:rsidR="00710337">
        <w:t xml:space="preserve"> </w:t>
      </w:r>
    </w:p>
    <w:p w14:paraId="7F8E180D" w14:textId="77777777" w:rsidR="005732BD" w:rsidRDefault="005732BD" w:rsidP="000E4573">
      <w:pPr>
        <w:pStyle w:val="BodyText"/>
      </w:pPr>
      <w:r>
        <w:t xml:space="preserve">QAI reports were completed in both the 2011 and 2012 QAI rounds </w:t>
      </w:r>
      <w:r w:rsidR="00F31315">
        <w:t xml:space="preserve">for </w:t>
      </w:r>
      <w:r w:rsidR="00543224">
        <w:t xml:space="preserve">nine </w:t>
      </w:r>
      <w:r w:rsidR="00F31315">
        <w:t xml:space="preserve">initiatives </w:t>
      </w:r>
      <w:r>
        <w:t>(</w:t>
      </w:r>
      <w:r w:rsidR="00CE2C6E">
        <w:t xml:space="preserve">Annex </w:t>
      </w:r>
      <w:r>
        <w:t>B).</w:t>
      </w:r>
      <w:r w:rsidR="00710337">
        <w:t xml:space="preserve"> </w:t>
      </w:r>
      <w:r>
        <w:t xml:space="preserve">Of these, </w:t>
      </w:r>
      <w:r w:rsidR="00543224">
        <w:t xml:space="preserve">two </w:t>
      </w:r>
      <w:r>
        <w:t xml:space="preserve">improved in quality and moved into a higher </w:t>
      </w:r>
      <w:r w:rsidR="001C7DDD">
        <w:t xml:space="preserve">rating </w:t>
      </w:r>
      <w:r>
        <w:t xml:space="preserve">(including INH507 Vietnam: delivering better health, which improved from its previous </w:t>
      </w:r>
      <w:r w:rsidR="00543224">
        <w:t>‘</w:t>
      </w:r>
      <w:r>
        <w:t xml:space="preserve">needs improvement’ rating), </w:t>
      </w:r>
      <w:r w:rsidR="00543224">
        <w:t xml:space="preserve">six </w:t>
      </w:r>
      <w:r>
        <w:t xml:space="preserve">remained static and </w:t>
      </w:r>
      <w:r w:rsidR="00543224">
        <w:t xml:space="preserve">one </w:t>
      </w:r>
      <w:r>
        <w:t>declined</w:t>
      </w:r>
      <w:r w:rsidR="00A82DF8">
        <w:t xml:space="preserve"> (but was still of adequate quality)</w:t>
      </w:r>
      <w:r>
        <w:t>.</w:t>
      </w:r>
      <w:r w:rsidR="00710337">
        <w:t xml:space="preserve"> </w:t>
      </w:r>
      <w:r w:rsidR="00FF6A90">
        <w:t>All seven initiatives which had QAI assessment</w:t>
      </w:r>
      <w:r w:rsidR="00A82DF8">
        <w:t>s</w:t>
      </w:r>
      <w:r w:rsidR="00FF6A90">
        <w:t xml:space="preserve"> prepared for the first time were rated adequate quality or higher.</w:t>
      </w:r>
    </w:p>
    <w:p w14:paraId="1F4BA6FB" w14:textId="77777777" w:rsidR="005732BD" w:rsidRDefault="001C7DDD" w:rsidP="000E4573">
      <w:pPr>
        <w:pStyle w:val="BodyText"/>
      </w:pPr>
      <w:r>
        <w:t xml:space="preserve">The </w:t>
      </w:r>
      <w:r w:rsidR="005732BD">
        <w:t xml:space="preserve">Beyond WTO </w:t>
      </w:r>
      <w:r>
        <w:t xml:space="preserve">Program </w:t>
      </w:r>
      <w:r w:rsidR="005732BD">
        <w:t xml:space="preserve">was again categorised as </w:t>
      </w:r>
      <w:r w:rsidR="00543224">
        <w:t>‘</w:t>
      </w:r>
      <w:r w:rsidR="005732BD">
        <w:t>needs improvement</w:t>
      </w:r>
      <w:r w:rsidR="00543224">
        <w:t>’</w:t>
      </w:r>
      <w:r w:rsidR="005732BD">
        <w:t>.</w:t>
      </w:r>
      <w:r w:rsidR="00710337">
        <w:t xml:space="preserve"> </w:t>
      </w:r>
      <w:r w:rsidR="005732BD" w:rsidRPr="008532FB">
        <w:t xml:space="preserve">A mid-term review of the program in 2012 found that </w:t>
      </w:r>
      <w:r w:rsidR="00543224">
        <w:t>it</w:t>
      </w:r>
      <w:r w:rsidR="005732BD" w:rsidRPr="008532FB">
        <w:t xml:space="preserve"> has achieved some good discrete results that are likely to have a lasting impact, but that </w:t>
      </w:r>
      <w:r w:rsidR="00543224">
        <w:t>its</w:t>
      </w:r>
      <w:r w:rsidR="00543224" w:rsidRPr="008532FB">
        <w:t xml:space="preserve"> </w:t>
      </w:r>
      <w:r w:rsidR="005732BD" w:rsidRPr="008532FB">
        <w:t>effectiveness has been compromised by a broad agenda and a</w:t>
      </w:r>
      <w:r w:rsidR="005732BD" w:rsidRPr="00AA7256">
        <w:t xml:space="preserve"> large number of diverse projects of varying scale with few linkages or collaboration between different agencies. While the mid-term review did provide some options for reforming and continuing with </w:t>
      </w:r>
      <w:r>
        <w:t>this initiative</w:t>
      </w:r>
      <w:r w:rsidR="005732BD" w:rsidRPr="00AA7256">
        <w:t xml:space="preserve">, </w:t>
      </w:r>
      <w:r w:rsidR="005732BD">
        <w:t xml:space="preserve">the Vietnam program </w:t>
      </w:r>
      <w:r w:rsidR="005732BD" w:rsidRPr="00AA7256">
        <w:t>decided to close it and work towards building a smaller</w:t>
      </w:r>
      <w:r>
        <w:t xml:space="preserve"> and</w:t>
      </w:r>
      <w:r w:rsidR="005732BD" w:rsidRPr="00AA7256">
        <w:t xml:space="preserve"> more focused engagement on important economic integration issues that draws on the lessons of </w:t>
      </w:r>
      <w:r>
        <w:t xml:space="preserve">the </w:t>
      </w:r>
      <w:r w:rsidR="002363D9">
        <w:t xml:space="preserve">Beyond WTO </w:t>
      </w:r>
      <w:r>
        <w:t xml:space="preserve">Program </w:t>
      </w:r>
      <w:r w:rsidR="005732BD" w:rsidRPr="00AA7256">
        <w:t>and builds on some of its notable achievements</w:t>
      </w:r>
      <w:r w:rsidR="002363D9">
        <w:t>.</w:t>
      </w:r>
    </w:p>
    <w:p w14:paraId="3BDB9893" w14:textId="77777777" w:rsidR="00F31315" w:rsidRDefault="00F31315" w:rsidP="000E4573">
      <w:pPr>
        <w:pStyle w:val="BodyText"/>
      </w:pPr>
      <w:r>
        <w:t>Compar</w:t>
      </w:r>
      <w:r w:rsidR="00EC71ED">
        <w:t>ed</w:t>
      </w:r>
      <w:r>
        <w:t xml:space="preserve"> with 2011, the number of QAI </w:t>
      </w:r>
      <w:r w:rsidR="001C7DDD">
        <w:t xml:space="preserve">reports </w:t>
      </w:r>
      <w:r>
        <w:t>with good and excellent rating</w:t>
      </w:r>
      <w:r w:rsidR="00543224">
        <w:t>s</w:t>
      </w:r>
      <w:r>
        <w:t xml:space="preserve"> </w:t>
      </w:r>
      <w:r w:rsidR="00EC71ED">
        <w:t>for</w:t>
      </w:r>
      <w:r>
        <w:t xml:space="preserve"> relevan</w:t>
      </w:r>
      <w:r w:rsidR="00EC71ED">
        <w:t>ce</w:t>
      </w:r>
      <w:r>
        <w:t xml:space="preserve"> criteria increased significantly in 2012. This shows that the program is well aligned with the country strategy an</w:t>
      </w:r>
      <w:r w:rsidR="00B9749F">
        <w:t>d Vietnam’s development priorities</w:t>
      </w:r>
      <w:r>
        <w:t>.</w:t>
      </w:r>
    </w:p>
    <w:p w14:paraId="28A529E6" w14:textId="2ECC5E5F" w:rsidR="0012429A" w:rsidRPr="00291F1C" w:rsidRDefault="0012429A" w:rsidP="000E4573">
      <w:pPr>
        <w:pStyle w:val="BodyText"/>
        <w:rPr>
          <w:szCs w:val="22"/>
        </w:rPr>
      </w:pPr>
      <w:r w:rsidRPr="00291F1C">
        <w:rPr>
          <w:szCs w:val="22"/>
        </w:rPr>
        <w:t xml:space="preserve">In this </w:t>
      </w:r>
      <w:r w:rsidR="007D5D8D">
        <w:rPr>
          <w:szCs w:val="22"/>
        </w:rPr>
        <w:t xml:space="preserve">reporting </w:t>
      </w:r>
      <w:r w:rsidRPr="00291F1C">
        <w:rPr>
          <w:szCs w:val="22"/>
        </w:rPr>
        <w:t xml:space="preserve">period, </w:t>
      </w:r>
      <w:r w:rsidR="007D5D8D">
        <w:rPr>
          <w:szCs w:val="22"/>
        </w:rPr>
        <w:t xml:space="preserve">the </w:t>
      </w:r>
      <w:r w:rsidRPr="00291F1C">
        <w:rPr>
          <w:szCs w:val="22"/>
        </w:rPr>
        <w:t xml:space="preserve">Vietnam </w:t>
      </w:r>
      <w:r w:rsidR="00543224">
        <w:rPr>
          <w:szCs w:val="22"/>
        </w:rPr>
        <w:t>p</w:t>
      </w:r>
      <w:r w:rsidR="00543224" w:rsidRPr="00291F1C">
        <w:rPr>
          <w:szCs w:val="22"/>
        </w:rPr>
        <w:t xml:space="preserve">rogram </w:t>
      </w:r>
      <w:r w:rsidRPr="00291F1C">
        <w:rPr>
          <w:szCs w:val="22"/>
        </w:rPr>
        <w:t>still has initiatives with unsatisfactory rating</w:t>
      </w:r>
      <w:r w:rsidR="00543224">
        <w:rPr>
          <w:szCs w:val="22"/>
        </w:rPr>
        <w:t>s</w:t>
      </w:r>
      <w:r w:rsidRPr="00291F1C">
        <w:rPr>
          <w:szCs w:val="22"/>
        </w:rPr>
        <w:t xml:space="preserve"> in the criteria of </w:t>
      </w:r>
      <w:r w:rsidR="007D5D8D">
        <w:rPr>
          <w:szCs w:val="22"/>
        </w:rPr>
        <w:t>e</w:t>
      </w:r>
      <w:r w:rsidRPr="00291F1C">
        <w:rPr>
          <w:szCs w:val="22"/>
        </w:rPr>
        <w:t xml:space="preserve">ffectiveness, efficiency, </w:t>
      </w:r>
      <w:r w:rsidR="00543224">
        <w:rPr>
          <w:szCs w:val="22"/>
        </w:rPr>
        <w:t>monitoring and evaluation,</w:t>
      </w:r>
      <w:r w:rsidRPr="00291F1C">
        <w:rPr>
          <w:szCs w:val="22"/>
        </w:rPr>
        <w:t xml:space="preserve"> and gender equality. </w:t>
      </w:r>
      <w:r w:rsidR="007D5D8D">
        <w:rPr>
          <w:szCs w:val="22"/>
        </w:rPr>
        <w:t>The p</w:t>
      </w:r>
      <w:r w:rsidRPr="00291F1C">
        <w:rPr>
          <w:szCs w:val="22"/>
        </w:rPr>
        <w:t>ercentage of initiative</w:t>
      </w:r>
      <w:r w:rsidR="007D5D8D">
        <w:rPr>
          <w:szCs w:val="22"/>
        </w:rPr>
        <w:t>s</w:t>
      </w:r>
      <w:r w:rsidRPr="00291F1C">
        <w:rPr>
          <w:szCs w:val="22"/>
        </w:rPr>
        <w:t xml:space="preserve"> with </w:t>
      </w:r>
      <w:r w:rsidR="00543224">
        <w:rPr>
          <w:szCs w:val="22"/>
        </w:rPr>
        <w:t xml:space="preserve">an </w:t>
      </w:r>
      <w:r w:rsidRPr="00291F1C">
        <w:rPr>
          <w:szCs w:val="22"/>
        </w:rPr>
        <w:t>unsatisfactory rating on effectiveness reduced from 1</w:t>
      </w:r>
      <w:r w:rsidR="00B9749F">
        <w:rPr>
          <w:szCs w:val="22"/>
        </w:rPr>
        <w:t>9</w:t>
      </w:r>
      <w:r w:rsidR="007069F7">
        <w:rPr>
          <w:szCs w:val="22"/>
        </w:rPr>
        <w:t xml:space="preserve"> per cent</w:t>
      </w:r>
      <w:r w:rsidRPr="00291F1C">
        <w:rPr>
          <w:szCs w:val="22"/>
        </w:rPr>
        <w:t xml:space="preserve"> in 2011 to 6</w:t>
      </w:r>
      <w:r w:rsidR="007069F7">
        <w:rPr>
          <w:szCs w:val="22"/>
        </w:rPr>
        <w:t xml:space="preserve"> per cent</w:t>
      </w:r>
      <w:r w:rsidRPr="00291F1C">
        <w:rPr>
          <w:szCs w:val="22"/>
        </w:rPr>
        <w:t xml:space="preserve"> in 2012</w:t>
      </w:r>
      <w:r w:rsidR="00FA344A">
        <w:rPr>
          <w:szCs w:val="22"/>
        </w:rPr>
        <w:t>,</w:t>
      </w:r>
      <w:r w:rsidRPr="00291F1C">
        <w:rPr>
          <w:szCs w:val="22"/>
        </w:rPr>
        <w:t xml:space="preserve"> while in the </w:t>
      </w:r>
      <w:r w:rsidR="00543224">
        <w:rPr>
          <w:szCs w:val="22"/>
        </w:rPr>
        <w:t>monitoring and evaluation</w:t>
      </w:r>
      <w:r w:rsidRPr="00291F1C">
        <w:rPr>
          <w:szCs w:val="22"/>
        </w:rPr>
        <w:t xml:space="preserve"> area the percentage of initiative</w:t>
      </w:r>
      <w:r w:rsidR="00543224">
        <w:rPr>
          <w:szCs w:val="22"/>
        </w:rPr>
        <w:t>s</w:t>
      </w:r>
      <w:r w:rsidRPr="00291F1C">
        <w:rPr>
          <w:szCs w:val="22"/>
        </w:rPr>
        <w:t xml:space="preserve"> with </w:t>
      </w:r>
      <w:r w:rsidR="002C1E00">
        <w:rPr>
          <w:szCs w:val="22"/>
        </w:rPr>
        <w:t xml:space="preserve">an </w:t>
      </w:r>
      <w:r w:rsidRPr="00291F1C">
        <w:rPr>
          <w:szCs w:val="22"/>
        </w:rPr>
        <w:t>unsatisfactory rating increased from 1</w:t>
      </w:r>
      <w:r w:rsidR="00B9749F">
        <w:rPr>
          <w:szCs w:val="22"/>
        </w:rPr>
        <w:t>3</w:t>
      </w:r>
      <w:r w:rsidR="007069F7">
        <w:rPr>
          <w:szCs w:val="22"/>
        </w:rPr>
        <w:t xml:space="preserve"> per cent</w:t>
      </w:r>
      <w:r w:rsidRPr="00291F1C">
        <w:rPr>
          <w:szCs w:val="22"/>
        </w:rPr>
        <w:t xml:space="preserve"> to 1</w:t>
      </w:r>
      <w:r w:rsidR="00B9749F">
        <w:rPr>
          <w:szCs w:val="22"/>
        </w:rPr>
        <w:t>9</w:t>
      </w:r>
      <w:r w:rsidR="007069F7">
        <w:rPr>
          <w:szCs w:val="22"/>
        </w:rPr>
        <w:t xml:space="preserve"> per cent</w:t>
      </w:r>
      <w:r w:rsidRPr="00291F1C">
        <w:rPr>
          <w:szCs w:val="22"/>
        </w:rPr>
        <w:t>. The program has taken measures to improve effectiveness</w:t>
      </w:r>
      <w:r w:rsidR="00737641">
        <w:rPr>
          <w:szCs w:val="22"/>
        </w:rPr>
        <w:t xml:space="preserve"> with the </w:t>
      </w:r>
      <w:r w:rsidRPr="00291F1C">
        <w:rPr>
          <w:szCs w:val="22"/>
        </w:rPr>
        <w:t xml:space="preserve">Delivering </w:t>
      </w:r>
      <w:r w:rsidR="00737641">
        <w:rPr>
          <w:szCs w:val="22"/>
        </w:rPr>
        <w:t>B</w:t>
      </w:r>
      <w:r w:rsidRPr="00291F1C">
        <w:rPr>
          <w:szCs w:val="22"/>
        </w:rPr>
        <w:t xml:space="preserve">etter </w:t>
      </w:r>
      <w:r w:rsidR="00737641">
        <w:rPr>
          <w:szCs w:val="22"/>
        </w:rPr>
        <w:t>H</w:t>
      </w:r>
      <w:r w:rsidRPr="00291F1C">
        <w:rPr>
          <w:szCs w:val="22"/>
        </w:rPr>
        <w:t xml:space="preserve">ealth </w:t>
      </w:r>
      <w:r w:rsidR="00737641">
        <w:rPr>
          <w:szCs w:val="22"/>
        </w:rPr>
        <w:t>I</w:t>
      </w:r>
      <w:r w:rsidRPr="00291F1C">
        <w:rPr>
          <w:szCs w:val="22"/>
        </w:rPr>
        <w:t xml:space="preserve">nitiative </w:t>
      </w:r>
      <w:r w:rsidR="00737641">
        <w:rPr>
          <w:szCs w:val="22"/>
        </w:rPr>
        <w:t xml:space="preserve">no longer </w:t>
      </w:r>
      <w:r w:rsidRPr="00291F1C">
        <w:rPr>
          <w:szCs w:val="22"/>
        </w:rPr>
        <w:t>classified as requiring improvement in 201</w:t>
      </w:r>
      <w:r w:rsidR="00737641">
        <w:rPr>
          <w:szCs w:val="22"/>
        </w:rPr>
        <w:t>2</w:t>
      </w:r>
      <w:r w:rsidRPr="00291F1C">
        <w:rPr>
          <w:szCs w:val="22"/>
        </w:rPr>
        <w:t xml:space="preserve">. </w:t>
      </w:r>
    </w:p>
    <w:p w14:paraId="6E7032F3" w14:textId="77777777" w:rsidR="0012429A" w:rsidRDefault="00647FBA" w:rsidP="000E4573">
      <w:pPr>
        <w:pStyle w:val="BodyText"/>
      </w:pPr>
      <w:r>
        <w:rPr>
          <w:szCs w:val="22"/>
        </w:rPr>
        <w:t xml:space="preserve">The </w:t>
      </w:r>
      <w:r w:rsidR="00FA344A">
        <w:rPr>
          <w:szCs w:val="22"/>
        </w:rPr>
        <w:t>monitoring and evaluation</w:t>
      </w:r>
      <w:r w:rsidR="0012429A" w:rsidRPr="00291F1C">
        <w:rPr>
          <w:szCs w:val="22"/>
        </w:rPr>
        <w:t xml:space="preserve"> rating of </w:t>
      </w:r>
      <w:r w:rsidR="00FA344A">
        <w:rPr>
          <w:szCs w:val="22"/>
        </w:rPr>
        <w:t xml:space="preserve">the </w:t>
      </w:r>
      <w:r w:rsidR="0012429A" w:rsidRPr="00291F1C">
        <w:rPr>
          <w:szCs w:val="22"/>
        </w:rPr>
        <w:t xml:space="preserve">Mekong </w:t>
      </w:r>
      <w:r w:rsidR="00F31315">
        <w:rPr>
          <w:szCs w:val="22"/>
        </w:rPr>
        <w:t>T</w:t>
      </w:r>
      <w:r w:rsidR="00F31315" w:rsidRPr="00291F1C">
        <w:rPr>
          <w:szCs w:val="22"/>
        </w:rPr>
        <w:t xml:space="preserve">ransport </w:t>
      </w:r>
      <w:r w:rsidR="00F31315">
        <w:rPr>
          <w:szCs w:val="22"/>
        </w:rPr>
        <w:t>I</w:t>
      </w:r>
      <w:r w:rsidR="00F31315" w:rsidRPr="00291F1C">
        <w:rPr>
          <w:szCs w:val="22"/>
        </w:rPr>
        <w:t xml:space="preserve">nfrastructure </w:t>
      </w:r>
      <w:r w:rsidR="00B9749F">
        <w:rPr>
          <w:szCs w:val="22"/>
        </w:rPr>
        <w:t xml:space="preserve">Development </w:t>
      </w:r>
      <w:r w:rsidR="00F31315">
        <w:rPr>
          <w:szCs w:val="22"/>
        </w:rPr>
        <w:t>P</w:t>
      </w:r>
      <w:r w:rsidR="00F31315" w:rsidRPr="00291F1C">
        <w:rPr>
          <w:szCs w:val="22"/>
        </w:rPr>
        <w:t xml:space="preserve">roject </w:t>
      </w:r>
      <w:r w:rsidR="0012429A" w:rsidRPr="00291F1C">
        <w:rPr>
          <w:szCs w:val="22"/>
        </w:rPr>
        <w:t xml:space="preserve">dropped from satisfactory to unsatisfactory in 2012 as the quality of </w:t>
      </w:r>
      <w:r w:rsidR="00ED7B38" w:rsidRPr="00291F1C">
        <w:rPr>
          <w:szCs w:val="22"/>
        </w:rPr>
        <w:t>the project</w:t>
      </w:r>
      <w:r w:rsidR="00ED7B38">
        <w:rPr>
          <w:szCs w:val="22"/>
        </w:rPr>
        <w:t>’s</w:t>
      </w:r>
      <w:r w:rsidR="00ED7B38" w:rsidRPr="00291F1C">
        <w:rPr>
          <w:szCs w:val="22"/>
        </w:rPr>
        <w:t xml:space="preserve"> </w:t>
      </w:r>
      <w:r w:rsidR="0012429A" w:rsidRPr="00291F1C">
        <w:rPr>
          <w:szCs w:val="22"/>
        </w:rPr>
        <w:t xml:space="preserve">benefits monitoring remains poor despite efforts to encourage </w:t>
      </w:r>
      <w:r w:rsidR="00ED7B38">
        <w:rPr>
          <w:szCs w:val="22"/>
        </w:rPr>
        <w:t xml:space="preserve">the </w:t>
      </w:r>
      <w:r w:rsidR="0012429A" w:rsidRPr="00291F1C">
        <w:rPr>
          <w:szCs w:val="22"/>
        </w:rPr>
        <w:t>W</w:t>
      </w:r>
      <w:r w:rsidR="007D5D8D">
        <w:rPr>
          <w:szCs w:val="22"/>
        </w:rPr>
        <w:t xml:space="preserve">orld </w:t>
      </w:r>
      <w:r w:rsidR="0012429A" w:rsidRPr="00291F1C">
        <w:rPr>
          <w:szCs w:val="22"/>
        </w:rPr>
        <w:t>B</w:t>
      </w:r>
      <w:r w:rsidR="007D5D8D">
        <w:rPr>
          <w:szCs w:val="22"/>
        </w:rPr>
        <w:t>ank</w:t>
      </w:r>
      <w:r w:rsidR="0012429A" w:rsidRPr="00291F1C">
        <w:rPr>
          <w:szCs w:val="22"/>
        </w:rPr>
        <w:t xml:space="preserve"> to </w:t>
      </w:r>
      <w:r w:rsidR="002363D9">
        <w:rPr>
          <w:szCs w:val="22"/>
        </w:rPr>
        <w:t>make</w:t>
      </w:r>
      <w:r w:rsidR="002363D9" w:rsidRPr="00291F1C">
        <w:rPr>
          <w:szCs w:val="22"/>
        </w:rPr>
        <w:t xml:space="preserve"> </w:t>
      </w:r>
      <w:r w:rsidR="0012429A" w:rsidRPr="00291F1C">
        <w:rPr>
          <w:szCs w:val="22"/>
        </w:rPr>
        <w:t>improvement</w:t>
      </w:r>
      <w:r w:rsidR="002363D9">
        <w:rPr>
          <w:szCs w:val="22"/>
        </w:rPr>
        <w:t>s</w:t>
      </w:r>
      <w:r w:rsidR="0012429A" w:rsidRPr="00291F1C">
        <w:rPr>
          <w:szCs w:val="22"/>
        </w:rPr>
        <w:t xml:space="preserve">. </w:t>
      </w:r>
      <w:r>
        <w:rPr>
          <w:szCs w:val="22"/>
        </w:rPr>
        <w:t xml:space="preserve">The rating for the </w:t>
      </w:r>
      <w:r w:rsidR="00F31315">
        <w:rPr>
          <w:szCs w:val="22"/>
        </w:rPr>
        <w:t xml:space="preserve">Supported Program to Respond to Climate Change </w:t>
      </w:r>
      <w:r w:rsidR="0012429A" w:rsidRPr="00291F1C">
        <w:rPr>
          <w:szCs w:val="22"/>
        </w:rPr>
        <w:t xml:space="preserve">is also </w:t>
      </w:r>
      <w:r>
        <w:rPr>
          <w:szCs w:val="22"/>
        </w:rPr>
        <w:t xml:space="preserve">unsatisfactory with donors and government currently working to strengthen the policy </w:t>
      </w:r>
      <w:r w:rsidR="0012429A" w:rsidRPr="00291F1C">
        <w:rPr>
          <w:szCs w:val="22"/>
        </w:rPr>
        <w:t xml:space="preserve">outcome matrix for </w:t>
      </w:r>
      <w:r w:rsidR="0012429A" w:rsidRPr="00710059">
        <w:rPr>
          <w:szCs w:val="22"/>
        </w:rPr>
        <w:t>2013–2015</w:t>
      </w:r>
      <w:r w:rsidR="002C639B">
        <w:t>.</w:t>
      </w:r>
    </w:p>
    <w:p w14:paraId="615F96BA" w14:textId="77777777" w:rsidR="00F31315" w:rsidRPr="000E4573" w:rsidRDefault="00F31315" w:rsidP="000E4573">
      <w:pPr>
        <w:pStyle w:val="Caption"/>
      </w:pPr>
      <w:r w:rsidRPr="000E4573">
        <w:lastRenderedPageBreak/>
        <w:t>Figure 1: QAI rating distribution in 2011 and 2012</w:t>
      </w:r>
    </w:p>
    <w:p w14:paraId="75873909" w14:textId="77777777" w:rsidR="002C639B" w:rsidRDefault="002C639B" w:rsidP="002C639B">
      <w:pPr>
        <w:ind w:left="-292"/>
        <w:jc w:val="both"/>
        <w:rPr>
          <w:sz w:val="22"/>
          <w:szCs w:val="22"/>
        </w:rPr>
      </w:pPr>
      <w:r>
        <w:rPr>
          <w:noProof/>
        </w:rPr>
        <w:drawing>
          <wp:inline distT="0" distB="0" distL="0" distR="0" wp14:anchorId="74EA2AF6" wp14:editId="2A223A5F">
            <wp:extent cx="5613621" cy="2178657"/>
            <wp:effectExtent l="0" t="0" r="63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1F9177" w14:textId="1229D457" w:rsidR="009A290D" w:rsidRPr="000E4573" w:rsidRDefault="00CD1089" w:rsidP="000E4573">
      <w:pPr>
        <w:pStyle w:val="BodyText"/>
      </w:pPr>
      <w:r w:rsidRPr="000E4573">
        <w:t>Australia’s policy is to encourage a consolidation of Australian aid with fewer larger initiatives, as fragmentation can impose significant transaction costs on both Australian and partner governments.</w:t>
      </w:r>
      <w:r w:rsidR="00710337" w:rsidRPr="000E4573">
        <w:t xml:space="preserve"> </w:t>
      </w:r>
      <w:r w:rsidRPr="000E4573">
        <w:t xml:space="preserve">The Vietnam program has consolidated the majority of its expenditure </w:t>
      </w:r>
      <w:r w:rsidR="009A290D" w:rsidRPr="000E4573">
        <w:t>(</w:t>
      </w:r>
      <w:r w:rsidR="004E6924" w:rsidRPr="000E4573">
        <w:t>92.5</w:t>
      </w:r>
      <w:r w:rsidR="007069F7" w:rsidRPr="000E4573">
        <w:t xml:space="preserve"> per cent</w:t>
      </w:r>
      <w:r w:rsidR="009A290D" w:rsidRPr="000E4573">
        <w:t xml:space="preserve">) </w:t>
      </w:r>
      <w:r w:rsidRPr="000E4573">
        <w:t>under the four strategic objectives reported in th</w:t>
      </w:r>
      <w:r w:rsidR="00ED7B38" w:rsidRPr="000E4573">
        <w:t xml:space="preserve">is </w:t>
      </w:r>
      <w:r w:rsidR="00596C75">
        <w:t xml:space="preserve">aid </w:t>
      </w:r>
      <w:r w:rsidR="00ED7B38" w:rsidRPr="000E4573">
        <w:t>program performanc</w:t>
      </w:r>
      <w:r w:rsidRPr="000E4573">
        <w:t>e</w:t>
      </w:r>
      <w:r w:rsidR="00ED7B38" w:rsidRPr="000E4573">
        <w:t xml:space="preserve"> </w:t>
      </w:r>
      <w:r w:rsidR="002C1E00" w:rsidRPr="000E4573">
        <w:t>report</w:t>
      </w:r>
      <w:r w:rsidR="009A290D" w:rsidRPr="000E4573">
        <w:t>.</w:t>
      </w:r>
      <w:r w:rsidR="00710337" w:rsidRPr="000E4573">
        <w:t xml:space="preserve"> </w:t>
      </w:r>
      <w:r w:rsidR="009A290D" w:rsidRPr="000E4573">
        <w:t xml:space="preserve">The number of overall initiatives has been reduced from 40 in 2011 to </w:t>
      </w:r>
      <w:r w:rsidR="00D122E5" w:rsidRPr="000E4573">
        <w:t>29</w:t>
      </w:r>
      <w:r w:rsidR="009A290D" w:rsidRPr="000E4573">
        <w:t xml:space="preserve"> at the end of 2012</w:t>
      </w:r>
      <w:r w:rsidR="00ED7B38" w:rsidRPr="000E4573">
        <w:t>–</w:t>
      </w:r>
      <w:r w:rsidR="009A290D" w:rsidRPr="000E4573">
        <w:t>13.</w:t>
      </w:r>
      <w:r w:rsidR="00710337" w:rsidRPr="000E4573">
        <w:t xml:space="preserve"> </w:t>
      </w:r>
    </w:p>
    <w:p w14:paraId="21CEA9B1" w14:textId="77777777" w:rsidR="0012429A" w:rsidRPr="000E4573" w:rsidRDefault="00CD1089" w:rsidP="000E4573">
      <w:pPr>
        <w:pStyle w:val="BodyText"/>
      </w:pPr>
      <w:r w:rsidRPr="000E4573">
        <w:t>In 2012</w:t>
      </w:r>
      <w:r w:rsidR="00ED7B38" w:rsidRPr="000E4573">
        <w:t>–</w:t>
      </w:r>
      <w:r w:rsidRPr="000E4573">
        <w:t xml:space="preserve">13, </w:t>
      </w:r>
      <w:r w:rsidR="004E6924" w:rsidRPr="000E4573">
        <w:t>a</w:t>
      </w:r>
      <w:r w:rsidR="0012429A" w:rsidRPr="000E4573">
        <w:t xml:space="preserve">mong the implementing agency groups, partner government agencies have </w:t>
      </w:r>
      <w:r w:rsidR="00ED7B38" w:rsidRPr="000E4573">
        <w:t xml:space="preserve">the </w:t>
      </w:r>
      <w:r w:rsidR="0012429A" w:rsidRPr="000E4573">
        <w:t>lowest rating in efficiency with two out of three initiat</w:t>
      </w:r>
      <w:r w:rsidR="00B73156" w:rsidRPr="000E4573">
        <w:t>ives rated as unsatisfactory—</w:t>
      </w:r>
      <w:r w:rsidR="0012429A" w:rsidRPr="000E4573">
        <w:t>Beyond WTO with Ministry of Industry and Trade</w:t>
      </w:r>
      <w:r w:rsidR="00ED7B38" w:rsidRPr="000E4573">
        <w:t>,</w:t>
      </w:r>
      <w:r w:rsidR="0012429A" w:rsidRPr="000E4573">
        <w:t xml:space="preserve"> and Support to Climate Change National Targeted Program with Ministry of Na</w:t>
      </w:r>
      <w:r w:rsidR="00B73156" w:rsidRPr="000E4573">
        <w:t>tural Resource</w:t>
      </w:r>
      <w:r w:rsidR="004E6A61" w:rsidRPr="000E4573">
        <w:t>s</w:t>
      </w:r>
      <w:r w:rsidR="00B73156" w:rsidRPr="000E4573">
        <w:t xml:space="preserve"> and Environment</w:t>
      </w:r>
      <w:r w:rsidR="0012429A" w:rsidRPr="000E4573">
        <w:t xml:space="preserve">. </w:t>
      </w:r>
      <w:r w:rsidR="00A82DF8" w:rsidRPr="000E4573">
        <w:t>A k</w:t>
      </w:r>
      <w:r w:rsidR="0012429A" w:rsidRPr="000E4573">
        <w:t>ey challenge for both program</w:t>
      </w:r>
      <w:r w:rsidR="00A82DF8" w:rsidRPr="000E4573">
        <w:t>s</w:t>
      </w:r>
      <w:r w:rsidR="0012429A" w:rsidRPr="000E4573">
        <w:t xml:space="preserve"> </w:t>
      </w:r>
      <w:r w:rsidR="00A82DF8" w:rsidRPr="000E4573">
        <w:t xml:space="preserve">has been </w:t>
      </w:r>
      <w:r w:rsidR="0012429A" w:rsidRPr="000E4573">
        <w:t>establishing an efficient institutional structure for line-ministries to participate and contribute to the success of the program.</w:t>
      </w:r>
      <w:r w:rsidR="00710337" w:rsidRPr="000E4573">
        <w:t xml:space="preserve"> </w:t>
      </w:r>
      <w:r w:rsidR="00ED7B38" w:rsidRPr="000E4573">
        <w:t xml:space="preserve">Multilateral development </w:t>
      </w:r>
      <w:r w:rsidR="00BC6C8B" w:rsidRPr="000E4573">
        <w:t>b</w:t>
      </w:r>
      <w:r w:rsidR="00ED7B38" w:rsidRPr="000E4573">
        <w:t xml:space="preserve">anks </w:t>
      </w:r>
      <w:r w:rsidR="0012429A" w:rsidRPr="000E4573">
        <w:t xml:space="preserve">have </w:t>
      </w:r>
      <w:r w:rsidR="00D122E5" w:rsidRPr="000E4573">
        <w:t xml:space="preserve">the </w:t>
      </w:r>
      <w:r w:rsidR="0012429A" w:rsidRPr="000E4573">
        <w:t xml:space="preserve">lowest </w:t>
      </w:r>
      <w:r w:rsidR="00D122E5" w:rsidRPr="000E4573">
        <w:t xml:space="preserve">monitoring and evaluation </w:t>
      </w:r>
      <w:r w:rsidR="0012429A" w:rsidRPr="000E4573">
        <w:t>rating</w:t>
      </w:r>
      <w:r w:rsidR="00D122E5" w:rsidRPr="000E4573">
        <w:t xml:space="preserve">s </w:t>
      </w:r>
      <w:r w:rsidR="0012429A" w:rsidRPr="000E4573">
        <w:t>with two out of six initiatives rated as unsatisfactory. Both initiatives</w:t>
      </w:r>
      <w:r w:rsidR="00ED7B38" w:rsidRPr="000E4573">
        <w:t>––</w:t>
      </w:r>
      <w:r w:rsidR="0012429A" w:rsidRPr="000E4573">
        <w:t xml:space="preserve">Mekong transport infrastructure and </w:t>
      </w:r>
      <w:r w:rsidR="00BC6C8B" w:rsidRPr="000E4573">
        <w:t>rural energy distribut</w:t>
      </w:r>
      <w:r w:rsidR="0012429A" w:rsidRPr="000E4573">
        <w:t>ion</w:t>
      </w:r>
      <w:r w:rsidR="00ED7B38" w:rsidRPr="000E4573">
        <w:t>––</w:t>
      </w:r>
      <w:r w:rsidR="0012429A" w:rsidRPr="000E4573">
        <w:t xml:space="preserve">are implemented by </w:t>
      </w:r>
      <w:r w:rsidR="00A82DF8" w:rsidRPr="000E4573">
        <w:t xml:space="preserve">the </w:t>
      </w:r>
      <w:r w:rsidR="0012429A" w:rsidRPr="000E4573">
        <w:t>W</w:t>
      </w:r>
      <w:r w:rsidR="00A82DF8" w:rsidRPr="000E4573">
        <w:t xml:space="preserve">orld </w:t>
      </w:r>
      <w:r w:rsidR="0012429A" w:rsidRPr="000E4573">
        <w:t>B</w:t>
      </w:r>
      <w:r w:rsidR="00A82DF8" w:rsidRPr="000E4573">
        <w:t>ank</w:t>
      </w:r>
      <w:r w:rsidR="0012429A" w:rsidRPr="000E4573">
        <w:t xml:space="preserve">. </w:t>
      </w:r>
    </w:p>
    <w:p w14:paraId="1050A48D" w14:textId="77777777" w:rsidR="0012429A" w:rsidRDefault="0012429A">
      <w:pPr>
        <w:pStyle w:val="Caption"/>
      </w:pPr>
      <w:r>
        <w:lastRenderedPageBreak/>
        <w:t xml:space="preserve">Figure </w:t>
      </w:r>
      <w:r w:rsidR="00F31315">
        <w:t>2</w:t>
      </w:r>
      <w:r>
        <w:t xml:space="preserve">: </w:t>
      </w:r>
      <w:r w:rsidR="00F31315">
        <w:t>Rating distribution of implementing agency groups</w:t>
      </w:r>
    </w:p>
    <w:p w14:paraId="00C56003" w14:textId="77777777" w:rsidR="00E10BA8" w:rsidRPr="002911A4" w:rsidRDefault="00E10BA8" w:rsidP="002911A4">
      <w:r>
        <w:rPr>
          <w:noProof/>
        </w:rPr>
        <w:drawing>
          <wp:inline distT="0" distB="0" distL="0" distR="0" wp14:anchorId="66862ECD" wp14:editId="44BE5679">
            <wp:extent cx="5405933" cy="3986784"/>
            <wp:effectExtent l="0" t="0" r="23495"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00FBB4" w14:textId="77777777" w:rsidR="00D91885" w:rsidRPr="000E4573" w:rsidRDefault="00D91885" w:rsidP="000E4573">
      <w:pPr>
        <w:pStyle w:val="Heading1"/>
      </w:pPr>
      <w:r w:rsidRPr="00BD2FEE">
        <w:t>Multilateral</w:t>
      </w:r>
      <w:r w:rsidRPr="000E4573">
        <w:t xml:space="preserve"> </w:t>
      </w:r>
      <w:r w:rsidR="006C2232" w:rsidRPr="000E4573">
        <w:t>relationships</w:t>
      </w:r>
    </w:p>
    <w:p w14:paraId="53C4ED1A" w14:textId="77777777" w:rsidR="00D91885" w:rsidRPr="00EA70E9" w:rsidRDefault="00D91885" w:rsidP="000E4573">
      <w:pPr>
        <w:pStyle w:val="BodyText"/>
      </w:pPr>
      <w:r>
        <w:t>During 2012</w:t>
      </w:r>
      <w:r w:rsidR="00ED7B38">
        <w:t>–</w:t>
      </w:r>
      <w:r>
        <w:t>13, the Asian Development Bank organised consultations with Vietnam and development partners on its draft Vietnam Country Partnership Strategy 2012</w:t>
      </w:r>
      <w:r w:rsidR="00ED7B38">
        <w:t>–20</w:t>
      </w:r>
      <w:r>
        <w:t>15 which was finalised in 2012.</w:t>
      </w:r>
      <w:r w:rsidR="00710337">
        <w:t xml:space="preserve"> </w:t>
      </w:r>
      <w:r w:rsidRPr="00EA70E9">
        <w:t xml:space="preserve">An important issue for the World Bank and Asian Development Bank </w:t>
      </w:r>
      <w:r>
        <w:t>i</w:t>
      </w:r>
      <w:r w:rsidRPr="00EA70E9">
        <w:t>s demonstrating selectivity of investments based on comparative advantage and division of labour with other leading donors.</w:t>
      </w:r>
    </w:p>
    <w:p w14:paraId="44C8D314" w14:textId="77777777" w:rsidR="00D91885" w:rsidRPr="00EA70E9" w:rsidRDefault="00D91885" w:rsidP="000E4573">
      <w:pPr>
        <w:pStyle w:val="BodyText"/>
      </w:pPr>
      <w:r w:rsidRPr="00EA70E9">
        <w:t>The World Bank office in Hanoi is one of the most decentralised offices across the organisation. We believe this is very positive and contributes to the effectiveness of the bank’s program and engagement with development partners.</w:t>
      </w:r>
      <w:r w:rsidR="00710337">
        <w:t xml:space="preserve"> </w:t>
      </w:r>
      <w:r w:rsidRPr="00EA70E9">
        <w:t>In contrast, the majority of the Asian Development Bank's task team leaders for Vietnam are based in Manila</w:t>
      </w:r>
      <w:r>
        <w:t>.</w:t>
      </w:r>
      <w:r w:rsidR="00710337">
        <w:t xml:space="preserve"> </w:t>
      </w:r>
      <w:r w:rsidRPr="00EA70E9">
        <w:t>Both the World Bank and Asian Development Bank have good economic expertise in their country offices and both organisations participate in key economic discussions with government and donors.</w:t>
      </w:r>
    </w:p>
    <w:p w14:paraId="67567324" w14:textId="0131D612" w:rsidR="006C2232" w:rsidRPr="006C2232" w:rsidRDefault="00D41D9A" w:rsidP="000E4573">
      <w:pPr>
        <w:pStyle w:val="BodyText"/>
      </w:pPr>
      <w:r>
        <w:t>DFAT</w:t>
      </w:r>
      <w:r w:rsidR="00D91885" w:rsidRPr="006C2232">
        <w:t xml:space="preserve">’s country level partnership with the World </w:t>
      </w:r>
      <w:r w:rsidR="006C2232" w:rsidRPr="006C2232">
        <w:t>B</w:t>
      </w:r>
      <w:r w:rsidR="00D91885" w:rsidRPr="006C2232">
        <w:t xml:space="preserve">ank </w:t>
      </w:r>
      <w:r w:rsidR="006C2232" w:rsidRPr="006C2232">
        <w:t>enables joint analytical work, directing larger resource flows to shared priorities and responding to the aid effectiveness agenda.</w:t>
      </w:r>
      <w:r w:rsidR="00710337">
        <w:t xml:space="preserve"> </w:t>
      </w:r>
      <w:r w:rsidR="006C2232" w:rsidRPr="006C2232">
        <w:t>It also allows greater resourcing for activity design/preparation, supervision and evaluation</w:t>
      </w:r>
      <w:r w:rsidR="00057589">
        <w:t>,</w:t>
      </w:r>
      <w:r w:rsidR="006C2232" w:rsidRPr="006C2232">
        <w:t xml:space="preserve"> thereby enhancing the prospects for activity effectiveness and lesson learning. The first year of the partnership has primarily focused on the identification and development of individual activities.</w:t>
      </w:r>
      <w:r w:rsidR="00710337">
        <w:t xml:space="preserve"> </w:t>
      </w:r>
      <w:r>
        <w:t xml:space="preserve">The Australian Government </w:t>
      </w:r>
      <w:r w:rsidR="006C2232" w:rsidRPr="006C2232">
        <w:t xml:space="preserve">and World Bank management expressed satisfaction with the operation of the partnership at </w:t>
      </w:r>
      <w:r w:rsidR="00B73156">
        <w:t xml:space="preserve">the </w:t>
      </w:r>
      <w:r w:rsidR="00ED7B38">
        <w:t>s</w:t>
      </w:r>
      <w:r w:rsidR="00ED7B38" w:rsidRPr="006C2232">
        <w:t xml:space="preserve">teering </w:t>
      </w:r>
      <w:r w:rsidR="00ED7B38">
        <w:t>c</w:t>
      </w:r>
      <w:r w:rsidR="00ED7B38" w:rsidRPr="006C2232">
        <w:t xml:space="preserve">ommittee </w:t>
      </w:r>
      <w:r w:rsidR="00ED7B38">
        <w:t>meeting in</w:t>
      </w:r>
      <w:r w:rsidR="00ED7B38" w:rsidRPr="006C2232">
        <w:t xml:space="preserve"> </w:t>
      </w:r>
      <w:r w:rsidR="006C2232" w:rsidRPr="006C2232">
        <w:t>De</w:t>
      </w:r>
      <w:r w:rsidR="00B73156">
        <w:t>cember 2012</w:t>
      </w:r>
      <w:r w:rsidR="006C2232" w:rsidRPr="006C2232">
        <w:t>.</w:t>
      </w:r>
    </w:p>
    <w:p w14:paraId="7A8C13DA" w14:textId="77777777" w:rsidR="0012429A" w:rsidRPr="002C639B" w:rsidRDefault="0012429A" w:rsidP="002911A4">
      <w:pPr>
        <w:pStyle w:val="Heading1"/>
      </w:pPr>
      <w:r w:rsidRPr="00201174">
        <w:lastRenderedPageBreak/>
        <w:t xml:space="preserve">Aid </w:t>
      </w:r>
      <w:r w:rsidR="00ED7B38" w:rsidRPr="00201174">
        <w:t>effectiveness</w:t>
      </w:r>
    </w:p>
    <w:p w14:paraId="6AE281FC" w14:textId="1BA6B920" w:rsidR="0012429A" w:rsidRPr="00712349" w:rsidRDefault="0012429A" w:rsidP="00BD2FEE">
      <w:pPr>
        <w:pStyle w:val="BodyText"/>
      </w:pPr>
      <w:r w:rsidRPr="00712349">
        <w:t>Vietnam continues to take ownership and leadership of the aid effectiveness agenda.</w:t>
      </w:r>
      <w:r w:rsidR="00710337">
        <w:t xml:space="preserve"> </w:t>
      </w:r>
      <w:r w:rsidRPr="00712349">
        <w:t>The Busan Partnership Document</w:t>
      </w:r>
      <w:r w:rsidR="002441D5">
        <w:t>,</w:t>
      </w:r>
      <w:r w:rsidRPr="00712349">
        <w:t xml:space="preserve"> which was </w:t>
      </w:r>
      <w:r w:rsidR="002441D5" w:rsidRPr="00712349">
        <w:t>locali</w:t>
      </w:r>
      <w:r w:rsidR="002441D5">
        <w:t>s</w:t>
      </w:r>
      <w:r w:rsidR="002441D5" w:rsidRPr="00712349">
        <w:t xml:space="preserve">ed </w:t>
      </w:r>
      <w:r w:rsidRPr="00712349">
        <w:t>earl</w:t>
      </w:r>
      <w:r w:rsidR="002441D5">
        <w:t>ier</w:t>
      </w:r>
      <w:r w:rsidRPr="00712349">
        <w:t xml:space="preserve"> this year with a robust monitoring framework</w:t>
      </w:r>
      <w:r w:rsidR="002441D5">
        <w:t>,</w:t>
      </w:r>
      <w:r w:rsidRPr="00712349">
        <w:t xml:space="preserve"> creates a great deal of energy and goodwill between both the Government of Vietnam and its development partners.</w:t>
      </w:r>
      <w:r w:rsidR="00710337">
        <w:t xml:space="preserve"> </w:t>
      </w:r>
      <w:r w:rsidRPr="00712349">
        <w:t xml:space="preserve">A comprehensive set of structures and processes have been </w:t>
      </w:r>
      <w:r w:rsidR="002441D5" w:rsidRPr="00712349">
        <w:t>set</w:t>
      </w:r>
      <w:r w:rsidR="00B73156">
        <w:t xml:space="preserve"> </w:t>
      </w:r>
      <w:r w:rsidRPr="00712349">
        <w:t>up and maintained to support implementation of the aid effectiveness commitments under the leadership of the Aid Effectiveness Forum.</w:t>
      </w:r>
      <w:r w:rsidR="00710337">
        <w:t xml:space="preserve"> </w:t>
      </w:r>
      <w:r w:rsidRPr="00712349">
        <w:t xml:space="preserve">The </w:t>
      </w:r>
      <w:r w:rsidR="002441D5" w:rsidRPr="00712349">
        <w:t xml:space="preserve">Government of Vietnam </w:t>
      </w:r>
      <w:r w:rsidRPr="00712349">
        <w:t xml:space="preserve">also </w:t>
      </w:r>
      <w:r w:rsidR="002441D5">
        <w:t>has</w:t>
      </w:r>
      <w:r w:rsidR="002441D5" w:rsidRPr="00712349">
        <w:t xml:space="preserve"> </w:t>
      </w:r>
      <w:r w:rsidRPr="00712349">
        <w:t>in place an independent monitoring mechanism to provide evidence and analytical inputs into higher policy discussion.</w:t>
      </w:r>
      <w:r w:rsidR="00710337">
        <w:t xml:space="preserve"> </w:t>
      </w:r>
      <w:r w:rsidRPr="00712349">
        <w:t>In addition, Vietnam has established the building blocks for taking forward Aid for Trade</w:t>
      </w:r>
      <w:r w:rsidR="00D5255B">
        <w:t xml:space="preserve"> and</w:t>
      </w:r>
      <w:r w:rsidRPr="00712349">
        <w:t xml:space="preserve"> Green Growth.</w:t>
      </w:r>
      <w:r w:rsidR="00710337">
        <w:t xml:space="preserve"> </w:t>
      </w:r>
      <w:r w:rsidRPr="00712349">
        <w:t>Donors in Vietnam have aligned their programs and approaches with Vietnam</w:t>
      </w:r>
      <w:r w:rsidR="002441D5">
        <w:t>’s</w:t>
      </w:r>
      <w:r w:rsidRPr="00712349">
        <w:t xml:space="preserve"> development strategies.</w:t>
      </w:r>
      <w:r w:rsidR="00710337">
        <w:t xml:space="preserve"> </w:t>
      </w:r>
      <w:r w:rsidRPr="00712349">
        <w:t xml:space="preserve">Donors are generally well coordinated in their preparation of analytical work and policy advice, and there has </w:t>
      </w:r>
      <w:r w:rsidR="0010729C">
        <w:t xml:space="preserve">also </w:t>
      </w:r>
      <w:r w:rsidRPr="00712349">
        <w:t>been an increasing volume of joint programming</w:t>
      </w:r>
      <w:r w:rsidR="002441D5">
        <w:t>.</w:t>
      </w:r>
    </w:p>
    <w:p w14:paraId="69AC36FA" w14:textId="6DF51B72" w:rsidR="0012429A" w:rsidRPr="002C639B" w:rsidRDefault="005F15ED" w:rsidP="00BD2FEE">
      <w:pPr>
        <w:pStyle w:val="BodyText"/>
        <w:rPr>
          <w:rFonts w:ascii="Times Roman" w:hAnsi="Times Roman"/>
        </w:rPr>
      </w:pPr>
      <w:r>
        <w:t>DFAT</w:t>
      </w:r>
      <w:r w:rsidR="003167E5" w:rsidRPr="00712349">
        <w:t xml:space="preserve"> Hanoi has </w:t>
      </w:r>
      <w:r w:rsidR="002441D5">
        <w:t xml:space="preserve">a </w:t>
      </w:r>
      <w:r w:rsidR="003167E5" w:rsidRPr="00712349">
        <w:t xml:space="preserve">dedicated resource for aid effectiveness that includes partnership with </w:t>
      </w:r>
      <w:r w:rsidR="002441D5">
        <w:t>multilateral development banks and</w:t>
      </w:r>
      <w:r w:rsidR="003167E5" w:rsidRPr="00712349">
        <w:t xml:space="preserve"> U</w:t>
      </w:r>
      <w:r w:rsidR="002441D5">
        <w:t xml:space="preserve">nited </w:t>
      </w:r>
      <w:r w:rsidR="003167E5" w:rsidRPr="00712349">
        <w:t>N</w:t>
      </w:r>
      <w:r w:rsidR="002441D5">
        <w:t>ations agencies</w:t>
      </w:r>
      <w:r w:rsidR="005110C3" w:rsidRPr="00712349">
        <w:t xml:space="preserve">, </w:t>
      </w:r>
      <w:r w:rsidR="0012429A" w:rsidRPr="00712349">
        <w:t>lead</w:t>
      </w:r>
      <w:r w:rsidR="005110C3" w:rsidRPr="00712349">
        <w:t>ing</w:t>
      </w:r>
      <w:r w:rsidR="0012429A" w:rsidRPr="00712349">
        <w:t xml:space="preserve"> </w:t>
      </w:r>
      <w:r w:rsidR="0010729C">
        <w:t xml:space="preserve">the </w:t>
      </w:r>
      <w:r w:rsidR="0012429A" w:rsidRPr="00712349">
        <w:t>L</w:t>
      </w:r>
      <w:r w:rsidR="003167E5" w:rsidRPr="00712349">
        <w:t xml:space="preserve">ike </w:t>
      </w:r>
      <w:r w:rsidR="0012429A" w:rsidRPr="00712349">
        <w:t>M</w:t>
      </w:r>
      <w:r w:rsidR="003167E5" w:rsidRPr="00712349">
        <w:t xml:space="preserve">inded </w:t>
      </w:r>
      <w:r w:rsidR="0012429A" w:rsidRPr="00712349">
        <w:t>D</w:t>
      </w:r>
      <w:r w:rsidR="003167E5" w:rsidRPr="00712349">
        <w:t xml:space="preserve">onor </w:t>
      </w:r>
      <w:r w:rsidR="0012429A" w:rsidRPr="00712349">
        <w:t>G</w:t>
      </w:r>
      <w:r w:rsidR="003167E5" w:rsidRPr="00712349">
        <w:t>roup</w:t>
      </w:r>
      <w:r w:rsidR="0012429A" w:rsidRPr="00712349">
        <w:t xml:space="preserve">’s involvement in the </w:t>
      </w:r>
      <w:r w:rsidR="002441D5" w:rsidRPr="00712349">
        <w:t xml:space="preserve">Aid Effectiveness Forum </w:t>
      </w:r>
      <w:r w:rsidR="0012429A" w:rsidRPr="00712349">
        <w:t>Executive Committee</w:t>
      </w:r>
      <w:r w:rsidR="002441D5">
        <w:t>,</w:t>
      </w:r>
      <w:r w:rsidR="005110C3" w:rsidRPr="00712349">
        <w:t xml:space="preserve"> and</w:t>
      </w:r>
      <w:r w:rsidR="0012429A" w:rsidRPr="00712349">
        <w:t xml:space="preserve"> supporting </w:t>
      </w:r>
      <w:r w:rsidR="002441D5">
        <w:t>the Government of Vietnam</w:t>
      </w:r>
      <w:r w:rsidR="002441D5" w:rsidRPr="00712349">
        <w:t xml:space="preserve"> </w:t>
      </w:r>
      <w:r w:rsidR="005110C3" w:rsidRPr="00712349">
        <w:t>in</w:t>
      </w:r>
      <w:r w:rsidR="0012429A" w:rsidRPr="00712349">
        <w:t xml:space="preserve"> promoting and monitoring aid effectiveness.</w:t>
      </w:r>
      <w:r w:rsidR="00710337">
        <w:t xml:space="preserve"> </w:t>
      </w:r>
      <w:r>
        <w:t>DFAT</w:t>
      </w:r>
      <w:r w:rsidR="0012429A" w:rsidRPr="00712349">
        <w:t xml:space="preserve"> </w:t>
      </w:r>
      <w:r w:rsidR="00201174">
        <w:t>is</w:t>
      </w:r>
      <w:r w:rsidR="0012429A" w:rsidRPr="00712349">
        <w:t xml:space="preserve"> also an active member of the Secretariat for the Vietnam Development Partnership Forum </w:t>
      </w:r>
      <w:r w:rsidR="003167E5" w:rsidRPr="00712349">
        <w:t xml:space="preserve">(together with </w:t>
      </w:r>
      <w:r w:rsidR="002441D5">
        <w:t xml:space="preserve">the </w:t>
      </w:r>
      <w:r w:rsidR="003167E5" w:rsidRPr="00712349">
        <w:t>W</w:t>
      </w:r>
      <w:r w:rsidR="002441D5">
        <w:t xml:space="preserve">orld </w:t>
      </w:r>
      <w:r w:rsidR="003167E5" w:rsidRPr="00712349">
        <w:t>B</w:t>
      </w:r>
      <w:r w:rsidR="002441D5">
        <w:t xml:space="preserve">ank </w:t>
      </w:r>
      <w:r w:rsidR="003167E5" w:rsidRPr="00712349">
        <w:t xml:space="preserve">and </w:t>
      </w:r>
      <w:r w:rsidR="002441D5" w:rsidRPr="00F40408">
        <w:rPr>
          <w:iCs/>
        </w:rPr>
        <w:t>Japan</w:t>
      </w:r>
      <w:r w:rsidR="0050439B">
        <w:rPr>
          <w:iCs/>
        </w:rPr>
        <w:t>’s</w:t>
      </w:r>
      <w:r w:rsidR="002441D5" w:rsidRPr="00F40408">
        <w:rPr>
          <w:iCs/>
        </w:rPr>
        <w:t xml:space="preserve"> </w:t>
      </w:r>
      <w:r w:rsidR="0050439B">
        <w:rPr>
          <w:iCs/>
        </w:rPr>
        <w:t>aid agency</w:t>
      </w:r>
      <w:r w:rsidR="003167E5" w:rsidRPr="00712349">
        <w:t>)</w:t>
      </w:r>
      <w:r w:rsidR="00201174">
        <w:t>,</w:t>
      </w:r>
      <w:r w:rsidR="003167E5" w:rsidRPr="00712349">
        <w:t xml:space="preserve"> </w:t>
      </w:r>
      <w:r w:rsidR="0012429A" w:rsidRPr="00712349">
        <w:t xml:space="preserve">which is a high level forum for policy dialogue between </w:t>
      </w:r>
      <w:r w:rsidR="002F54F3">
        <w:t xml:space="preserve">the </w:t>
      </w:r>
      <w:r w:rsidR="0012429A" w:rsidRPr="00712349">
        <w:t>Government of Vietnam and development partners.</w:t>
      </w:r>
    </w:p>
    <w:p w14:paraId="5EA30A0D" w14:textId="5C2C8C29" w:rsidR="00F31315" w:rsidRPr="00057589" w:rsidRDefault="005F15ED" w:rsidP="00BD2FEE">
      <w:pPr>
        <w:pStyle w:val="BodyText"/>
        <w:rPr>
          <w:rFonts w:ascii="Times Roman" w:hAnsi="Times Roman"/>
        </w:rPr>
      </w:pPr>
      <w:r>
        <w:t>DFAT</w:t>
      </w:r>
      <w:r w:rsidR="0050439B">
        <w:t>’s</w:t>
      </w:r>
      <w:r w:rsidR="00F31315" w:rsidRPr="00057589">
        <w:t xml:space="preserve"> </w:t>
      </w:r>
      <w:r w:rsidR="0050439B">
        <w:t>Vietnam–</w:t>
      </w:r>
      <w:r w:rsidR="0050439B" w:rsidRPr="00057589">
        <w:t xml:space="preserve">Australia Monitoring and Evaluation Strengthening Project </w:t>
      </w:r>
      <w:r w:rsidR="00F31315" w:rsidRPr="00057589">
        <w:t>supported</w:t>
      </w:r>
      <w:r w:rsidR="0010729C">
        <w:t xml:space="preserve"> </w:t>
      </w:r>
      <w:r w:rsidR="00F31315" w:rsidRPr="00057589">
        <w:t xml:space="preserve">the Government of Vietnam to develop a national system </w:t>
      </w:r>
      <w:r w:rsidR="0050439B">
        <w:t xml:space="preserve">and capacity </w:t>
      </w:r>
      <w:r w:rsidR="00F31315" w:rsidRPr="00057589">
        <w:t xml:space="preserve">for monitoring and evaluation of </w:t>
      </w:r>
      <w:r w:rsidR="002F54F3" w:rsidRPr="00057589">
        <w:t xml:space="preserve">official development assistance </w:t>
      </w:r>
      <w:r w:rsidR="00F31315" w:rsidRPr="00057589">
        <w:t xml:space="preserve">programs and projects </w:t>
      </w:r>
      <w:r w:rsidR="0050439B">
        <w:t>at all levels</w:t>
      </w:r>
      <w:r w:rsidR="00F31315" w:rsidRPr="00057589">
        <w:t xml:space="preserve">. </w:t>
      </w:r>
      <w:r w:rsidR="0050439B">
        <w:t>Given success to date, t</w:t>
      </w:r>
      <w:r w:rsidR="00F31315" w:rsidRPr="00057589">
        <w:t>h</w:t>
      </w:r>
      <w:r w:rsidR="002F54F3" w:rsidRPr="00057589">
        <w:t xml:space="preserve">e </w:t>
      </w:r>
      <w:r w:rsidR="00F31315" w:rsidRPr="00057589">
        <w:t xml:space="preserve">Ministry of Planning and Investment </w:t>
      </w:r>
      <w:r w:rsidR="00844C87">
        <w:t xml:space="preserve">showed interest in replicating this system for public investments. </w:t>
      </w:r>
      <w:r>
        <w:t xml:space="preserve">DFAT </w:t>
      </w:r>
      <w:r w:rsidR="00F31315" w:rsidRPr="00057589">
        <w:t xml:space="preserve">is </w:t>
      </w:r>
      <w:r w:rsidR="00EC71ED" w:rsidRPr="00057589">
        <w:t xml:space="preserve">providing </w:t>
      </w:r>
      <w:r w:rsidR="00F31315" w:rsidRPr="00057589">
        <w:t xml:space="preserve">technical assistance to </w:t>
      </w:r>
      <w:r w:rsidR="002F54F3" w:rsidRPr="00057589">
        <w:t xml:space="preserve">the ministry </w:t>
      </w:r>
      <w:r w:rsidR="00057589" w:rsidRPr="00F40408">
        <w:t xml:space="preserve">for a </w:t>
      </w:r>
      <w:r w:rsidR="0010729C">
        <w:t xml:space="preserve">small-scale </w:t>
      </w:r>
      <w:r w:rsidR="00F31315" w:rsidRPr="00057589">
        <w:t>pilot</w:t>
      </w:r>
      <w:r w:rsidR="00844C87">
        <w:t xml:space="preserve">, which </w:t>
      </w:r>
      <w:r w:rsidR="00057589" w:rsidRPr="00F40408">
        <w:t xml:space="preserve">will </w:t>
      </w:r>
      <w:r w:rsidR="00844C87">
        <w:t xml:space="preserve">strengthen </w:t>
      </w:r>
      <w:r w:rsidR="00057589" w:rsidRPr="00F40408">
        <w:t>monitoring and evaluation</w:t>
      </w:r>
      <w:r w:rsidR="00057589" w:rsidRPr="00F40408" w:rsidDel="00057589">
        <w:t xml:space="preserve"> </w:t>
      </w:r>
      <w:r w:rsidR="00844C87">
        <w:t xml:space="preserve">of </w:t>
      </w:r>
      <w:r w:rsidR="00F31315" w:rsidRPr="00057589">
        <w:t>public investment</w:t>
      </w:r>
      <w:r w:rsidR="00844C87">
        <w:t xml:space="preserve"> in Vietnam and support development of a </w:t>
      </w:r>
      <w:r w:rsidR="00F31315" w:rsidRPr="00057589">
        <w:t xml:space="preserve">strategic framework for </w:t>
      </w:r>
      <w:r w:rsidR="00844C87">
        <w:t xml:space="preserve">this </w:t>
      </w:r>
      <w:r w:rsidR="00F31315" w:rsidRPr="00057589">
        <w:t>for the period 2011–2015.</w:t>
      </w:r>
    </w:p>
    <w:p w14:paraId="45C4A9C0" w14:textId="3409E8F9" w:rsidR="00844C87" w:rsidRDefault="00844C87" w:rsidP="00BD2FEE">
      <w:pPr>
        <w:pStyle w:val="BodyText"/>
      </w:pPr>
      <w:r>
        <w:t xml:space="preserve">In cooperation with other donors, </w:t>
      </w:r>
      <w:r w:rsidR="005F15ED">
        <w:t xml:space="preserve">DFAT </w:t>
      </w:r>
      <w:r w:rsidR="0012429A" w:rsidRPr="00057589">
        <w:t>Hanoi</w:t>
      </w:r>
      <w:r>
        <w:t xml:space="preserve"> has </w:t>
      </w:r>
      <w:r w:rsidRPr="00844C87">
        <w:t xml:space="preserve">facilitated exchanges </w:t>
      </w:r>
      <w:r>
        <w:t>among</w:t>
      </w:r>
      <w:r w:rsidRPr="00844C87">
        <w:t xml:space="preserve"> countries in the region on aid effectiveness. For example, Laos and Cambodia studied </w:t>
      </w:r>
      <w:r w:rsidR="00A018E7">
        <w:t>Vietnam’s monitoring and evaluation of official development assistance</w:t>
      </w:r>
      <w:r w:rsidRPr="00844C87">
        <w:t xml:space="preserve">. Myanmar has also learnt lessons from Vietnam’s experience </w:t>
      </w:r>
      <w:r w:rsidR="00A018E7">
        <w:t xml:space="preserve">managing official development assistance, </w:t>
      </w:r>
      <w:r w:rsidRPr="00844C87">
        <w:t>including high</w:t>
      </w:r>
      <w:r w:rsidR="00201174">
        <w:t>-</w:t>
      </w:r>
      <w:r w:rsidRPr="00844C87">
        <w:t>level donor dialogues.</w:t>
      </w:r>
    </w:p>
    <w:p w14:paraId="24B0FE86" w14:textId="77777777" w:rsidR="002911A4" w:rsidRPr="00BD2FEE" w:rsidRDefault="002911A4" w:rsidP="00BD2FEE">
      <w:pPr>
        <w:pStyle w:val="Heading1"/>
      </w:pPr>
      <w:r w:rsidRPr="00BD2FEE">
        <w:t>Cross-cutting issues</w:t>
      </w:r>
    </w:p>
    <w:p w14:paraId="35211101" w14:textId="77777777" w:rsidR="002911A4" w:rsidRPr="00201174" w:rsidRDefault="002911A4" w:rsidP="00BD2FEE">
      <w:pPr>
        <w:pStyle w:val="BodyText"/>
      </w:pPr>
      <w:r w:rsidRPr="00201174">
        <w:t>The Vietnam program’s progress on several cross-cutting issues is outlined below.</w:t>
      </w:r>
    </w:p>
    <w:p w14:paraId="5096214A" w14:textId="77777777" w:rsidR="00E742BC" w:rsidRPr="00BD2FEE" w:rsidRDefault="00E742BC" w:rsidP="00BD2FEE">
      <w:pPr>
        <w:pStyle w:val="Heading2"/>
      </w:pPr>
      <w:r w:rsidRPr="00BD2FEE">
        <w:t xml:space="preserve">Anti-corruption </w:t>
      </w:r>
    </w:p>
    <w:p w14:paraId="2A87EA20" w14:textId="77777777" w:rsidR="00E742BC" w:rsidRDefault="00E742BC" w:rsidP="00BD2FEE">
      <w:pPr>
        <w:pStyle w:val="BodyText"/>
      </w:pPr>
      <w:r w:rsidRPr="00712349">
        <w:t>Vietnam’s Corruption Perceptions Index for 2012 was 31 out of 100</w:t>
      </w:r>
      <w:r w:rsidR="00D122E5">
        <w:t xml:space="preserve">, </w:t>
      </w:r>
      <w:r w:rsidR="001B41CD">
        <w:t xml:space="preserve">which </w:t>
      </w:r>
      <w:r w:rsidR="00D122E5">
        <w:t>rank</w:t>
      </w:r>
      <w:r w:rsidR="001B41CD">
        <w:t>ed</w:t>
      </w:r>
      <w:r w:rsidR="00D122E5">
        <w:t xml:space="preserve"> </w:t>
      </w:r>
      <w:r w:rsidRPr="00712349">
        <w:t xml:space="preserve">behind countries </w:t>
      </w:r>
      <w:r w:rsidR="001B41CD">
        <w:t xml:space="preserve">including </w:t>
      </w:r>
      <w:r w:rsidR="00A018E7" w:rsidRPr="00712349">
        <w:t>China (39)</w:t>
      </w:r>
      <w:r w:rsidR="00A018E7">
        <w:t xml:space="preserve"> and </w:t>
      </w:r>
      <w:r w:rsidRPr="00712349">
        <w:t>Thailand (37)</w:t>
      </w:r>
      <w:r w:rsidR="00A018E7">
        <w:t>,</w:t>
      </w:r>
      <w:r w:rsidR="00D122E5">
        <w:t xml:space="preserve"> </w:t>
      </w:r>
      <w:r w:rsidRPr="00712349">
        <w:t>but above Cambodia (22) and Laos (21).</w:t>
      </w:r>
    </w:p>
    <w:p w14:paraId="61E2ED60" w14:textId="77777777" w:rsidR="00E742BC" w:rsidRDefault="00E742BC" w:rsidP="00BD2FEE">
      <w:pPr>
        <w:pStyle w:val="BodyText"/>
      </w:pPr>
      <w:r w:rsidRPr="00712349">
        <w:t xml:space="preserve">Vietnam has made significant changes to the institutional and legal settings for its anti-corruption efforts. In late 2012, the 2005 anti-corruption law was revised. In early 2013, the National Steering Committee on Anti-corruption, led by the </w:t>
      </w:r>
      <w:r w:rsidR="00057589">
        <w:t>p</w:t>
      </w:r>
      <w:r w:rsidR="00057589" w:rsidRPr="00712349">
        <w:t xml:space="preserve">rime </w:t>
      </w:r>
      <w:r w:rsidR="00057589">
        <w:t>m</w:t>
      </w:r>
      <w:r w:rsidR="00057589" w:rsidRPr="00712349">
        <w:t>inister</w:t>
      </w:r>
      <w:r w:rsidRPr="00712349">
        <w:t xml:space="preserve">, was restructured into a new Internal Affairs Commission, </w:t>
      </w:r>
      <w:r w:rsidR="001B41CD">
        <w:t xml:space="preserve">which is </w:t>
      </w:r>
      <w:r w:rsidRPr="00712349">
        <w:t xml:space="preserve">led by </w:t>
      </w:r>
      <w:r w:rsidR="00412707">
        <w:t xml:space="preserve">the </w:t>
      </w:r>
      <w:r w:rsidR="00C96A47">
        <w:t>g</w:t>
      </w:r>
      <w:r w:rsidR="00C96A47" w:rsidRPr="00712349">
        <w:t xml:space="preserve">eneral </w:t>
      </w:r>
      <w:r w:rsidR="00C96A47">
        <w:t>s</w:t>
      </w:r>
      <w:r w:rsidR="00C96A47" w:rsidRPr="00712349">
        <w:t xml:space="preserve">ecretary </w:t>
      </w:r>
      <w:r w:rsidRPr="00712349">
        <w:t>of the Communist Party of Vietnam.</w:t>
      </w:r>
      <w:r w:rsidR="00710337">
        <w:t xml:space="preserve"> </w:t>
      </w:r>
    </w:p>
    <w:p w14:paraId="376A7006" w14:textId="7B3B5765" w:rsidR="00D122E5" w:rsidRDefault="00E742BC" w:rsidP="00BD2FEE">
      <w:pPr>
        <w:pStyle w:val="BodyText"/>
      </w:pPr>
      <w:r w:rsidRPr="00712349">
        <w:t>Australia was an active partner in the annual anti-corruption dialogue in 2012</w:t>
      </w:r>
      <w:r w:rsidR="001B41CD">
        <w:t>,</w:t>
      </w:r>
      <w:r w:rsidRPr="00712349">
        <w:t xml:space="preserve"> which focused on strengthening the fight against corruption at the local level. Australia drew on </w:t>
      </w:r>
      <w:r w:rsidR="005F15ED">
        <w:t>it</w:t>
      </w:r>
      <w:r w:rsidRPr="00712349">
        <w:t xml:space="preserve">s unique experience working on anticorruption with the Communist Party Inspectorate </w:t>
      </w:r>
      <w:r w:rsidR="001B41CD" w:rsidRPr="00712349">
        <w:t xml:space="preserve">(Vietnam’s </w:t>
      </w:r>
      <w:r w:rsidR="001B41CD" w:rsidRPr="00712349">
        <w:lastRenderedPageBreak/>
        <w:t xml:space="preserve">highest level anti-corruption body), </w:t>
      </w:r>
      <w:r w:rsidRPr="00712349">
        <w:t xml:space="preserve">to provide insight during provincial level discussions on coordination mechanisms between </w:t>
      </w:r>
      <w:r w:rsidR="001B41CD">
        <w:t>government</w:t>
      </w:r>
      <w:r w:rsidR="001B41CD" w:rsidRPr="00712349">
        <w:t xml:space="preserve"> </w:t>
      </w:r>
      <w:r w:rsidRPr="00712349">
        <w:t xml:space="preserve">and </w:t>
      </w:r>
      <w:r w:rsidR="00412707">
        <w:t xml:space="preserve">communist </w:t>
      </w:r>
      <w:r w:rsidR="001B41CD">
        <w:t>p</w:t>
      </w:r>
      <w:r w:rsidRPr="00712349">
        <w:t>arty anticorruption institutions</w:t>
      </w:r>
      <w:r w:rsidR="001B41CD">
        <w:t>, as well as</w:t>
      </w:r>
      <w:r w:rsidRPr="00712349">
        <w:t xml:space="preserve"> their implications for anticorruption efforts at the local level.</w:t>
      </w:r>
    </w:p>
    <w:p w14:paraId="1D7887E7" w14:textId="2E94ADB6" w:rsidR="00E742BC" w:rsidRDefault="00E742BC" w:rsidP="00BD2FEE">
      <w:pPr>
        <w:pStyle w:val="BodyText"/>
      </w:pPr>
      <w:r w:rsidRPr="00712349">
        <w:t>In 2012,</w:t>
      </w:r>
      <w:r w:rsidR="005F15ED">
        <w:t>the Australian Government</w:t>
      </w:r>
      <w:r w:rsidR="001B41CD">
        <w:t>’s</w:t>
      </w:r>
      <w:r w:rsidRPr="00712349">
        <w:t xml:space="preserve"> three-year anti-corruption training program for </w:t>
      </w:r>
      <w:r w:rsidR="001B41CD" w:rsidRPr="00712349">
        <w:t>high</w:t>
      </w:r>
      <w:r w:rsidR="001B41CD">
        <w:t>-</w:t>
      </w:r>
      <w:r w:rsidRPr="00712349">
        <w:t xml:space="preserve">level </w:t>
      </w:r>
      <w:r w:rsidR="001B41CD" w:rsidRPr="00712349">
        <w:t xml:space="preserve">Communist Party Inspectorate </w:t>
      </w:r>
      <w:r w:rsidRPr="00712349">
        <w:t>officials reached its mid-point.</w:t>
      </w:r>
      <w:r w:rsidR="00710337">
        <w:t xml:space="preserve"> </w:t>
      </w:r>
      <w:r w:rsidRPr="00712349">
        <w:t>By March 2013, the program had trained 139 senior officials.</w:t>
      </w:r>
      <w:r w:rsidR="00710337">
        <w:t xml:space="preserve"> </w:t>
      </w:r>
      <w:r w:rsidRPr="00712349">
        <w:t xml:space="preserve">The program helps to strengthen Vietnam’s fight against corruption by bringing together anticorruption policy makers and practitioners from Australia and Vietnam. The program has realised significant gains, particularly in regard to the separation of executive and political powers in the development, application and institutionalisation of anti-corruption practices at the national and provincial levels. </w:t>
      </w:r>
    </w:p>
    <w:p w14:paraId="5901477A" w14:textId="77777777" w:rsidR="00E742BC" w:rsidRDefault="00D122E5" w:rsidP="00BD2FEE">
      <w:pPr>
        <w:pStyle w:val="BodyText"/>
      </w:pPr>
      <w:r>
        <w:t xml:space="preserve">The </w:t>
      </w:r>
      <w:r w:rsidR="001B41CD" w:rsidRPr="00712349">
        <w:t xml:space="preserve">Communist </w:t>
      </w:r>
      <w:r w:rsidR="00E742BC" w:rsidRPr="00712349">
        <w:t>P</w:t>
      </w:r>
      <w:r>
        <w:t xml:space="preserve">arty </w:t>
      </w:r>
      <w:r w:rsidR="00E742BC" w:rsidRPr="00712349">
        <w:t>I</w:t>
      </w:r>
      <w:r>
        <w:t>nspectorate</w:t>
      </w:r>
      <w:r w:rsidR="001B41CD">
        <w:t>’s</w:t>
      </w:r>
      <w:r>
        <w:t xml:space="preserve"> </w:t>
      </w:r>
      <w:r w:rsidR="00E742BC" w:rsidRPr="00712349">
        <w:t>decision to restructure Vietnam’s anti</w:t>
      </w:r>
      <w:r w:rsidR="004E6A61">
        <w:t>-</w:t>
      </w:r>
      <w:r w:rsidR="00E742BC" w:rsidRPr="00712349">
        <w:t xml:space="preserve">corruption institutional structure </w:t>
      </w:r>
      <w:r w:rsidR="001B41CD">
        <w:t>was on the basis of</w:t>
      </w:r>
      <w:r w:rsidR="00E742BC" w:rsidRPr="00712349">
        <w:t xml:space="preserve"> expert advice provided under the training program. There were clearly political and institutional drivers behind this restructure</w:t>
      </w:r>
      <w:r w:rsidR="001B41CD">
        <w:t>,</w:t>
      </w:r>
      <w:r w:rsidR="00E742BC" w:rsidRPr="00712349">
        <w:t xml:space="preserve"> but the fact that the </w:t>
      </w:r>
      <w:r w:rsidR="001B41CD">
        <w:t>p</w:t>
      </w:r>
      <w:r w:rsidR="001B41CD" w:rsidRPr="00712349">
        <w:t xml:space="preserve">rogram </w:t>
      </w:r>
      <w:r w:rsidR="00E742BC" w:rsidRPr="00712349">
        <w:t>was able to influence the nature of the restructure is significant.</w:t>
      </w:r>
    </w:p>
    <w:p w14:paraId="6041B66B" w14:textId="77777777" w:rsidR="00E742BC" w:rsidRDefault="00E742BC" w:rsidP="00BD2FEE">
      <w:pPr>
        <w:pStyle w:val="BodyText"/>
      </w:pPr>
      <w:r w:rsidRPr="00712349">
        <w:t xml:space="preserve">The program has also helped improve </w:t>
      </w:r>
      <w:r w:rsidR="001B41CD">
        <w:t>p</w:t>
      </w:r>
      <w:r w:rsidR="001B41CD" w:rsidRPr="00712349">
        <w:t xml:space="preserve">arty </w:t>
      </w:r>
      <w:r w:rsidRPr="00712349">
        <w:t xml:space="preserve">officials’ understanding of different approaches and implementation challenges relating to governance and anti-corruption in land management and the extractive industries. </w:t>
      </w:r>
      <w:r w:rsidR="00D122E5">
        <w:t xml:space="preserve">The </w:t>
      </w:r>
      <w:r w:rsidR="008540F0" w:rsidRPr="00712349">
        <w:t>Communist P</w:t>
      </w:r>
      <w:r w:rsidR="008540F0">
        <w:t xml:space="preserve">arty </w:t>
      </w:r>
      <w:r w:rsidR="008540F0" w:rsidRPr="00712349">
        <w:t>I</w:t>
      </w:r>
      <w:r w:rsidR="008540F0">
        <w:t>nspectorate</w:t>
      </w:r>
      <w:r w:rsidR="008540F0" w:rsidRPr="00712349">
        <w:t xml:space="preserve"> </w:t>
      </w:r>
      <w:r w:rsidRPr="00712349">
        <w:t xml:space="preserve">has identified improvements in the way </w:t>
      </w:r>
      <w:r w:rsidR="001B41CD">
        <w:t>its</w:t>
      </w:r>
      <w:r w:rsidR="001B41CD" w:rsidRPr="00712349">
        <w:t xml:space="preserve"> </w:t>
      </w:r>
      <w:r w:rsidRPr="00712349">
        <w:t xml:space="preserve">land and extractive industries inspection teams target and carry out their </w:t>
      </w:r>
      <w:r w:rsidR="00FB3748" w:rsidRPr="00712349">
        <w:t>inspections</w:t>
      </w:r>
      <w:r w:rsidR="00D122E5">
        <w:t>.</w:t>
      </w:r>
    </w:p>
    <w:p w14:paraId="23134AA8" w14:textId="18D8E7E0" w:rsidR="00E742BC" w:rsidRPr="00712349" w:rsidRDefault="00E742BC" w:rsidP="00BD2FEE">
      <w:pPr>
        <w:pStyle w:val="BodyText"/>
      </w:pPr>
      <w:r w:rsidRPr="00712349">
        <w:t xml:space="preserve">The program includes an alumni mechanism that helps </w:t>
      </w:r>
      <w:r w:rsidR="005F15ED">
        <w:t xml:space="preserve">DFAT </w:t>
      </w:r>
      <w:r w:rsidRPr="00712349">
        <w:t>monitor ongoing impacts while also providing a structure to maintain and strengthen links between Australian and Vietnamese anti</w:t>
      </w:r>
      <w:r w:rsidR="004E6A61">
        <w:t>-</w:t>
      </w:r>
      <w:r w:rsidRPr="00712349">
        <w:t xml:space="preserve">corruption institutions. </w:t>
      </w:r>
    </w:p>
    <w:p w14:paraId="3623D59D" w14:textId="77777777" w:rsidR="00E742BC" w:rsidRPr="0001007E" w:rsidRDefault="00E742BC" w:rsidP="00BD2FEE">
      <w:pPr>
        <w:pStyle w:val="Heading2"/>
      </w:pPr>
      <w:r w:rsidRPr="00A458B3">
        <w:t>Human Rights Technical Cooperation Program</w:t>
      </w:r>
    </w:p>
    <w:p w14:paraId="17C6C5EC" w14:textId="77777777" w:rsidR="00E742BC" w:rsidRPr="00BD2FEE" w:rsidRDefault="00E742BC" w:rsidP="00BD2FEE">
      <w:pPr>
        <w:pStyle w:val="BodyText"/>
      </w:pPr>
      <w:r w:rsidRPr="00BD2FEE">
        <w:t xml:space="preserve">Phase 4 of the Human Rights Technical Cooperation Program commenced in mid 2012. By March 2013, half of the 27 planned activities were complete, providing </w:t>
      </w:r>
      <w:r w:rsidRPr="00BD2FEE">
        <w:rPr>
          <w:rFonts w:eastAsia="SimSun"/>
        </w:rPr>
        <w:t>training and other capacity building activities to approximately 320 Vietnamese participants. The reach of the activities however has been more extensive due to effective dissemination and related follow-up initiatives by Vietnamese partner agencies.</w:t>
      </w:r>
    </w:p>
    <w:p w14:paraId="3FA3B910" w14:textId="77777777" w:rsidR="00E742BC" w:rsidRPr="00BD2FEE" w:rsidRDefault="00E742BC" w:rsidP="00BD2FEE">
      <w:pPr>
        <w:pStyle w:val="BodyText"/>
        <w:rPr>
          <w:rFonts w:eastAsia="SimSun"/>
        </w:rPr>
      </w:pPr>
      <w:r w:rsidRPr="00BD2FEE">
        <w:t xml:space="preserve">Activities link directly to Vietnam’s key legal reforms in the area of human rights, as well as recommendations from the universal periodic review. </w:t>
      </w:r>
      <w:r w:rsidR="00A458B3" w:rsidRPr="00BD2FEE">
        <w:t xml:space="preserve">They </w:t>
      </w:r>
      <w:r w:rsidRPr="00BD2FEE">
        <w:rPr>
          <w:rFonts w:eastAsia="SimSun"/>
        </w:rPr>
        <w:t xml:space="preserve">involve work at </w:t>
      </w:r>
      <w:r w:rsidR="001B41CD" w:rsidRPr="00BD2FEE">
        <w:rPr>
          <w:rFonts w:eastAsia="SimSun"/>
        </w:rPr>
        <w:t xml:space="preserve">a </w:t>
      </w:r>
      <w:r w:rsidRPr="00BD2FEE">
        <w:rPr>
          <w:rFonts w:eastAsia="SimSun"/>
        </w:rPr>
        <w:t>central level on systemic issues of policy and legal reform and also at grass roots level on practical skills for advocacy and service delivery in local communities.</w:t>
      </w:r>
    </w:p>
    <w:p w14:paraId="06FF7BD9" w14:textId="77777777" w:rsidR="00E742BC" w:rsidRPr="00BD2FEE" w:rsidRDefault="00E742BC" w:rsidP="00BD2FEE">
      <w:pPr>
        <w:pStyle w:val="BodyText"/>
      </w:pPr>
      <w:r w:rsidRPr="00BD2FEE">
        <w:t xml:space="preserve">In 2012 the program: </w:t>
      </w:r>
    </w:p>
    <w:p w14:paraId="123EEFED" w14:textId="77777777" w:rsidR="00E742BC" w:rsidRDefault="00A458B3" w:rsidP="00BD2FEE">
      <w:pPr>
        <w:pStyle w:val="ListBullet"/>
        <w:rPr>
          <w:lang w:val="en-GB"/>
        </w:rPr>
      </w:pPr>
      <w:r>
        <w:rPr>
          <w:lang w:val="en-GB"/>
        </w:rPr>
        <w:t>i</w:t>
      </w:r>
      <w:r w:rsidRPr="00620E93">
        <w:rPr>
          <w:lang w:val="en-GB"/>
        </w:rPr>
        <w:t xml:space="preserve">mproved </w:t>
      </w:r>
      <w:r w:rsidR="00E742BC" w:rsidRPr="00620E93">
        <w:rPr>
          <w:lang w:val="en-GB"/>
        </w:rPr>
        <w:t>coordination and monitoring of</w:t>
      </w:r>
      <w:r w:rsidR="00E742BC">
        <w:rPr>
          <w:lang w:val="en-GB"/>
        </w:rPr>
        <w:t xml:space="preserve"> the</w:t>
      </w:r>
      <w:r w:rsidR="00E742BC" w:rsidRPr="00620E93">
        <w:rPr>
          <w:lang w:val="en-GB"/>
        </w:rPr>
        <w:t xml:space="preserve"> 2009 </w:t>
      </w:r>
      <w:r w:rsidR="00E742BC">
        <w:rPr>
          <w:lang w:val="en-GB"/>
        </w:rPr>
        <w:t xml:space="preserve">Vietnam </w:t>
      </w:r>
      <w:r w:rsidRPr="0001007E">
        <w:rPr>
          <w:lang w:val="en-GB"/>
        </w:rPr>
        <w:t>universal periodic review</w:t>
      </w:r>
      <w:r>
        <w:rPr>
          <w:lang w:val="en-GB"/>
        </w:rPr>
        <w:t xml:space="preserve"> </w:t>
      </w:r>
      <w:r w:rsidR="00E742BC" w:rsidRPr="00620E93">
        <w:rPr>
          <w:lang w:val="en-GB"/>
        </w:rPr>
        <w:t xml:space="preserve">by </w:t>
      </w:r>
      <w:r w:rsidR="00E742BC">
        <w:rPr>
          <w:lang w:val="en-GB"/>
        </w:rPr>
        <w:t xml:space="preserve">sharing Australian processes and methodologies. As a result, Vietnam committed to consult with non-government stakeholders in developing the </w:t>
      </w:r>
      <w:r>
        <w:rPr>
          <w:lang w:val="en-GB"/>
        </w:rPr>
        <w:t xml:space="preserve">review </w:t>
      </w:r>
      <w:r w:rsidR="00E742BC">
        <w:rPr>
          <w:lang w:val="en-GB"/>
        </w:rPr>
        <w:t xml:space="preserve">report and has provided detailed guidance to </w:t>
      </w:r>
      <w:r w:rsidR="004E6A61">
        <w:rPr>
          <w:lang w:val="en-GB"/>
        </w:rPr>
        <w:t xml:space="preserve">the </w:t>
      </w:r>
      <w:r>
        <w:rPr>
          <w:lang w:val="en-GB"/>
        </w:rPr>
        <w:t xml:space="preserve">Government of Vietnam </w:t>
      </w:r>
      <w:r w:rsidR="00E742BC">
        <w:rPr>
          <w:lang w:val="en-GB"/>
        </w:rPr>
        <w:t xml:space="preserve">and local level agencies to improve reporting on 2009 </w:t>
      </w:r>
      <w:r>
        <w:rPr>
          <w:lang w:val="en-GB"/>
        </w:rPr>
        <w:t xml:space="preserve">review </w:t>
      </w:r>
      <w:r w:rsidR="00E742BC">
        <w:rPr>
          <w:lang w:val="en-GB"/>
        </w:rPr>
        <w:t>implementation</w:t>
      </w:r>
    </w:p>
    <w:p w14:paraId="13872480" w14:textId="67A589BC" w:rsidR="00E742BC" w:rsidRPr="00B567EC" w:rsidRDefault="00A458B3" w:rsidP="00BD2FEE">
      <w:pPr>
        <w:pStyle w:val="ListBullet"/>
        <w:rPr>
          <w:lang w:val="en-GB"/>
        </w:rPr>
      </w:pPr>
      <w:r>
        <w:rPr>
          <w:lang w:val="en-GB"/>
        </w:rPr>
        <w:t xml:space="preserve">strengthened </w:t>
      </w:r>
      <w:r w:rsidR="00E742BC">
        <w:rPr>
          <w:lang w:val="en-GB"/>
        </w:rPr>
        <w:t xml:space="preserve">deliberations by </w:t>
      </w:r>
      <w:r w:rsidR="00E742BC" w:rsidRPr="00B567EC">
        <w:rPr>
          <w:lang w:val="en-GB"/>
        </w:rPr>
        <w:t>Vietnam to ratify</w:t>
      </w:r>
      <w:r w:rsidR="00E742BC">
        <w:rPr>
          <w:lang w:val="en-GB"/>
        </w:rPr>
        <w:t xml:space="preserve"> the</w:t>
      </w:r>
      <w:r w:rsidR="00E742BC" w:rsidRPr="00B567EC">
        <w:rPr>
          <w:lang w:val="en-GB"/>
        </w:rPr>
        <w:t xml:space="preserve"> </w:t>
      </w:r>
      <w:r>
        <w:rPr>
          <w:lang w:val="en-GB"/>
        </w:rPr>
        <w:t>c</w:t>
      </w:r>
      <w:r w:rsidRPr="00B567EC">
        <w:rPr>
          <w:lang w:val="en-GB"/>
        </w:rPr>
        <w:t xml:space="preserve">onvention </w:t>
      </w:r>
      <w:r w:rsidR="00E742BC" w:rsidRPr="00B567EC">
        <w:rPr>
          <w:lang w:val="en-GB"/>
        </w:rPr>
        <w:t xml:space="preserve">on the protection of the rights of migrant workers and members of their families by facilitating 60 key representatives of </w:t>
      </w:r>
      <w:r w:rsidR="0060117A">
        <w:rPr>
          <w:lang w:val="en-GB"/>
        </w:rPr>
        <w:t>G</w:t>
      </w:r>
      <w:r w:rsidR="00E742BC" w:rsidRPr="00B567EC">
        <w:rPr>
          <w:lang w:val="en-GB"/>
        </w:rPr>
        <w:t xml:space="preserve">overnment </w:t>
      </w:r>
      <w:r w:rsidR="0060117A">
        <w:rPr>
          <w:lang w:val="en-GB"/>
        </w:rPr>
        <w:t xml:space="preserve">of </w:t>
      </w:r>
      <w:r w:rsidR="0060117A" w:rsidRPr="00B567EC">
        <w:rPr>
          <w:lang w:val="en-GB"/>
        </w:rPr>
        <w:t>Vietna</w:t>
      </w:r>
      <w:r w:rsidR="0060117A">
        <w:rPr>
          <w:lang w:val="en-GB"/>
        </w:rPr>
        <w:t>m</w:t>
      </w:r>
      <w:r w:rsidR="0060117A" w:rsidRPr="00B567EC">
        <w:rPr>
          <w:lang w:val="en-GB"/>
        </w:rPr>
        <w:t xml:space="preserve"> </w:t>
      </w:r>
      <w:r w:rsidR="00E742BC" w:rsidRPr="00B567EC">
        <w:rPr>
          <w:lang w:val="en-GB"/>
        </w:rPr>
        <w:t xml:space="preserve">agencies, academia and relevant institutions </w:t>
      </w:r>
      <w:r w:rsidR="00E742BC">
        <w:rPr>
          <w:lang w:val="en-GB"/>
        </w:rPr>
        <w:t xml:space="preserve">to </w:t>
      </w:r>
      <w:r w:rsidR="00E742BC" w:rsidRPr="00B567EC">
        <w:rPr>
          <w:lang w:val="en-GB"/>
        </w:rPr>
        <w:t xml:space="preserve">review existing legislation and </w:t>
      </w:r>
      <w:r w:rsidRPr="00B567EC">
        <w:rPr>
          <w:lang w:val="en-GB"/>
        </w:rPr>
        <w:t xml:space="preserve">ratification </w:t>
      </w:r>
      <w:r w:rsidR="00E742BC" w:rsidRPr="00B567EC">
        <w:rPr>
          <w:lang w:val="en-GB"/>
        </w:rPr>
        <w:t>implications</w:t>
      </w:r>
    </w:p>
    <w:p w14:paraId="42900E54" w14:textId="77777777" w:rsidR="00E742BC" w:rsidRPr="009432AD" w:rsidRDefault="00A458B3" w:rsidP="00BD2FEE">
      <w:pPr>
        <w:pStyle w:val="ListBullet"/>
        <w:rPr>
          <w:lang w:val="en-GB"/>
        </w:rPr>
      </w:pPr>
      <w:r>
        <w:t xml:space="preserve">improved </w:t>
      </w:r>
      <w:r w:rsidR="00E742BC">
        <w:t xml:space="preserve">access to </w:t>
      </w:r>
      <w:r w:rsidR="00E742BC" w:rsidRPr="006369EA">
        <w:t>legal information and services</w:t>
      </w:r>
      <w:r w:rsidR="00E742BC">
        <w:t xml:space="preserve"> to prisoners by providing 5000 handbooks on prisoners</w:t>
      </w:r>
      <w:r w:rsidR="004E6A61">
        <w:t>’</w:t>
      </w:r>
      <w:r w:rsidR="00E742BC">
        <w:t xml:space="preserve"> rights to 117 prisons and pre-trial detention centr</w:t>
      </w:r>
      <w:r>
        <w:t>e</w:t>
      </w:r>
      <w:r w:rsidR="00E742BC">
        <w:t>s across Vietnam</w:t>
      </w:r>
    </w:p>
    <w:p w14:paraId="2B827F76" w14:textId="77777777" w:rsidR="00E742BC" w:rsidRDefault="00A458B3" w:rsidP="00BD2FEE">
      <w:pPr>
        <w:pStyle w:val="ListBullet"/>
      </w:pPr>
      <w:r>
        <w:t xml:space="preserve">improved </w:t>
      </w:r>
      <w:r w:rsidR="00E742BC">
        <w:t xml:space="preserve">access to </w:t>
      </w:r>
      <w:r w:rsidR="00E742BC" w:rsidRPr="006369EA">
        <w:t>legal information and services for women</w:t>
      </w:r>
      <w:r w:rsidR="00E742BC">
        <w:t xml:space="preserve"> </w:t>
      </w:r>
      <w:r w:rsidR="00E742BC" w:rsidRPr="0001007E">
        <w:t>in three provinces</w:t>
      </w:r>
      <w:r w:rsidR="00E742BC">
        <w:t>.</w:t>
      </w:r>
      <w:r w:rsidR="00710337">
        <w:t xml:space="preserve"> </w:t>
      </w:r>
      <w:r w:rsidR="00E742BC">
        <w:t xml:space="preserve">This work was based on a model supported by the program since 2007 but </w:t>
      </w:r>
      <w:r>
        <w:t>drew on</w:t>
      </w:r>
      <w:r w:rsidR="00E742BC">
        <w:t xml:space="preserve"> lessons from </w:t>
      </w:r>
      <w:r w:rsidR="00E742BC">
        <w:lastRenderedPageBreak/>
        <w:t xml:space="preserve">earlier phases to strengthen it. </w:t>
      </w:r>
      <w:r>
        <w:t xml:space="preserve">The Women’s Union </w:t>
      </w:r>
      <w:r w:rsidR="00E742BC">
        <w:t>is now roll</w:t>
      </w:r>
      <w:r>
        <w:t>ing</w:t>
      </w:r>
      <w:r w:rsidR="00E742BC">
        <w:t xml:space="preserve"> out </w:t>
      </w:r>
      <w:r>
        <w:t xml:space="preserve">this model </w:t>
      </w:r>
      <w:r w:rsidR="00E742BC">
        <w:t xml:space="preserve">in </w:t>
      </w:r>
      <w:r>
        <w:t xml:space="preserve">other </w:t>
      </w:r>
      <w:r w:rsidR="00E742BC">
        <w:t xml:space="preserve">provinces with </w:t>
      </w:r>
      <w:r w:rsidR="00C96A47">
        <w:t xml:space="preserve">its </w:t>
      </w:r>
      <w:r w:rsidR="00E742BC">
        <w:t>own funding.</w:t>
      </w:r>
      <w:r w:rsidR="00710337">
        <w:t xml:space="preserve"> </w:t>
      </w:r>
      <w:r w:rsidR="00E742BC">
        <w:t>A 2012 evaluation of the activity showed</w:t>
      </w:r>
      <w:r w:rsidR="00E742BC" w:rsidRPr="006369EA">
        <w:t xml:space="preserve"> that more than 8400 legal clubs</w:t>
      </w:r>
      <w:r w:rsidR="00E742BC">
        <w:t xml:space="preserve"> were</w:t>
      </w:r>
      <w:r w:rsidR="00E742BC" w:rsidRPr="006369EA">
        <w:t xml:space="preserve"> esta</w:t>
      </w:r>
      <w:r w:rsidR="00E742BC">
        <w:t>blished over all 63 provinces in Vietnam.</w:t>
      </w:r>
    </w:p>
    <w:p w14:paraId="4860AEA1" w14:textId="77777777" w:rsidR="00E742BC" w:rsidRPr="00BD2FEE" w:rsidRDefault="00E742BC" w:rsidP="00BD2FEE">
      <w:pPr>
        <w:pStyle w:val="Heading2"/>
      </w:pPr>
      <w:r w:rsidRPr="00BD2FEE">
        <w:t>Gender</w:t>
      </w:r>
    </w:p>
    <w:p w14:paraId="40182B62" w14:textId="60CF2ECB" w:rsidR="00E742BC" w:rsidRPr="004404AD" w:rsidRDefault="00E742BC">
      <w:pPr>
        <w:pStyle w:val="BodyText"/>
        <w:rPr>
          <w:szCs w:val="22"/>
        </w:rPr>
      </w:pPr>
      <w:r w:rsidRPr="004404AD">
        <w:rPr>
          <w:szCs w:val="22"/>
        </w:rPr>
        <w:t xml:space="preserve">Vietnam continued to demonstrate a strong commitment to </w:t>
      </w:r>
      <w:r w:rsidR="00A458B3" w:rsidRPr="004404AD">
        <w:rPr>
          <w:szCs w:val="22"/>
        </w:rPr>
        <w:t>promot</w:t>
      </w:r>
      <w:r w:rsidR="00A458B3">
        <w:rPr>
          <w:szCs w:val="22"/>
        </w:rPr>
        <w:t>ing</w:t>
      </w:r>
      <w:r w:rsidR="00A458B3" w:rsidRPr="004404AD">
        <w:rPr>
          <w:szCs w:val="22"/>
        </w:rPr>
        <w:t xml:space="preserve"> </w:t>
      </w:r>
      <w:r w:rsidRPr="004404AD">
        <w:rPr>
          <w:szCs w:val="22"/>
        </w:rPr>
        <w:t xml:space="preserve">gender equality. </w:t>
      </w:r>
      <w:r w:rsidR="00E43C87">
        <w:rPr>
          <w:szCs w:val="22"/>
        </w:rPr>
        <w:t>T</w:t>
      </w:r>
      <w:r w:rsidRPr="004404AD">
        <w:rPr>
          <w:szCs w:val="22"/>
        </w:rPr>
        <w:t xml:space="preserve">he Government </w:t>
      </w:r>
      <w:r w:rsidR="00E43C87">
        <w:rPr>
          <w:szCs w:val="22"/>
        </w:rPr>
        <w:t xml:space="preserve">of Vietnam </w:t>
      </w:r>
      <w:r w:rsidRPr="004404AD">
        <w:rPr>
          <w:szCs w:val="22"/>
        </w:rPr>
        <w:t>has reported to the National Assembly</w:t>
      </w:r>
      <w:r w:rsidR="00E43C87" w:rsidRPr="00E43C87">
        <w:rPr>
          <w:szCs w:val="22"/>
        </w:rPr>
        <w:t xml:space="preserve"> </w:t>
      </w:r>
      <w:r w:rsidR="00E43C87" w:rsidRPr="004404AD">
        <w:rPr>
          <w:szCs w:val="22"/>
        </w:rPr>
        <w:t>on gender equality</w:t>
      </w:r>
      <w:r w:rsidR="00E43C87">
        <w:rPr>
          <w:szCs w:val="22"/>
        </w:rPr>
        <w:t xml:space="preserve"> annually since 2008, </w:t>
      </w:r>
      <w:r w:rsidR="0045475F">
        <w:rPr>
          <w:szCs w:val="22"/>
        </w:rPr>
        <w:t>as required under i</w:t>
      </w:r>
      <w:r w:rsidR="00E43C87">
        <w:rPr>
          <w:szCs w:val="22"/>
        </w:rPr>
        <w:t>ts gender equality law (2006)</w:t>
      </w:r>
      <w:r w:rsidRPr="004404AD">
        <w:rPr>
          <w:szCs w:val="22"/>
        </w:rPr>
        <w:t>. During 2012</w:t>
      </w:r>
      <w:r w:rsidR="00A458B3">
        <w:rPr>
          <w:szCs w:val="22"/>
        </w:rPr>
        <w:t>–</w:t>
      </w:r>
      <w:r w:rsidRPr="004404AD">
        <w:rPr>
          <w:szCs w:val="22"/>
        </w:rPr>
        <w:t xml:space="preserve">13, </w:t>
      </w:r>
      <w:r w:rsidR="00E43C87">
        <w:rPr>
          <w:szCs w:val="22"/>
        </w:rPr>
        <w:t xml:space="preserve">the government made </w:t>
      </w:r>
      <w:r w:rsidR="00A458B3" w:rsidRPr="004404AD">
        <w:rPr>
          <w:szCs w:val="22"/>
        </w:rPr>
        <w:t xml:space="preserve">good progress </w:t>
      </w:r>
      <w:r w:rsidR="00A458B3">
        <w:rPr>
          <w:szCs w:val="22"/>
        </w:rPr>
        <w:t xml:space="preserve">on </w:t>
      </w:r>
      <w:r w:rsidRPr="004404AD">
        <w:rPr>
          <w:szCs w:val="22"/>
        </w:rPr>
        <w:t>implement</w:t>
      </w:r>
      <w:r w:rsidR="00A458B3">
        <w:rPr>
          <w:szCs w:val="22"/>
        </w:rPr>
        <w:t xml:space="preserve">ing </w:t>
      </w:r>
      <w:r w:rsidR="00E43C87">
        <w:rPr>
          <w:szCs w:val="22"/>
        </w:rPr>
        <w:t>its</w:t>
      </w:r>
      <w:r w:rsidRPr="004404AD">
        <w:rPr>
          <w:szCs w:val="22"/>
        </w:rPr>
        <w:t xml:space="preserve"> National Action Plan on Gender Equality 2011</w:t>
      </w:r>
      <w:r w:rsidR="00A458B3">
        <w:rPr>
          <w:szCs w:val="22"/>
        </w:rPr>
        <w:t>–</w:t>
      </w:r>
      <w:r w:rsidRPr="004404AD">
        <w:rPr>
          <w:szCs w:val="22"/>
        </w:rPr>
        <w:t xml:space="preserve">2015. </w:t>
      </w:r>
      <w:r w:rsidR="0060117A">
        <w:rPr>
          <w:szCs w:val="22"/>
        </w:rPr>
        <w:t>It</w:t>
      </w:r>
      <w:r w:rsidR="00A458B3" w:rsidRPr="004404AD">
        <w:rPr>
          <w:szCs w:val="22"/>
        </w:rPr>
        <w:t xml:space="preserve"> </w:t>
      </w:r>
      <w:r w:rsidRPr="004404AD">
        <w:rPr>
          <w:szCs w:val="22"/>
        </w:rPr>
        <w:t xml:space="preserve">issued a </w:t>
      </w:r>
      <w:r w:rsidR="00A458B3">
        <w:rPr>
          <w:szCs w:val="22"/>
        </w:rPr>
        <w:t>r</w:t>
      </w:r>
      <w:r w:rsidR="00A458B3" w:rsidRPr="004404AD">
        <w:rPr>
          <w:szCs w:val="22"/>
        </w:rPr>
        <w:t xml:space="preserve">esolution </w:t>
      </w:r>
      <w:r w:rsidRPr="004404AD">
        <w:rPr>
          <w:szCs w:val="22"/>
        </w:rPr>
        <w:t xml:space="preserve">to urge Women’s Union participation in state management at all levels. </w:t>
      </w:r>
      <w:r w:rsidR="00A458B3">
        <w:rPr>
          <w:szCs w:val="22"/>
        </w:rPr>
        <w:t>A</w:t>
      </w:r>
      <w:r w:rsidRPr="004404AD">
        <w:rPr>
          <w:szCs w:val="22"/>
        </w:rPr>
        <w:t xml:space="preserve"> national set of gender indicators</w:t>
      </w:r>
      <w:r w:rsidR="00A458B3">
        <w:rPr>
          <w:szCs w:val="22"/>
        </w:rPr>
        <w:t xml:space="preserve"> issued</w:t>
      </w:r>
      <w:r w:rsidRPr="004404AD">
        <w:rPr>
          <w:szCs w:val="22"/>
        </w:rPr>
        <w:t xml:space="preserve"> in 2011</w:t>
      </w:r>
      <w:r w:rsidR="00A458B3">
        <w:rPr>
          <w:szCs w:val="22"/>
        </w:rPr>
        <w:t xml:space="preserve"> was a catalyst for</w:t>
      </w:r>
      <w:r w:rsidRPr="004404AD">
        <w:rPr>
          <w:szCs w:val="22"/>
        </w:rPr>
        <w:t xml:space="preserve"> the Ministry of Planning and Investment </w:t>
      </w:r>
      <w:r w:rsidR="00A458B3">
        <w:rPr>
          <w:szCs w:val="22"/>
        </w:rPr>
        <w:t xml:space="preserve">to </w:t>
      </w:r>
      <w:r w:rsidRPr="004404AD">
        <w:rPr>
          <w:szCs w:val="22"/>
        </w:rPr>
        <w:t>provide guidance on mandatory data collection at all government levels</w:t>
      </w:r>
      <w:r w:rsidR="00A458B3">
        <w:rPr>
          <w:szCs w:val="22"/>
        </w:rPr>
        <w:t>. This will</w:t>
      </w:r>
      <w:r w:rsidRPr="004404AD">
        <w:rPr>
          <w:szCs w:val="22"/>
        </w:rPr>
        <w:t xml:space="preserve"> facilitate </w:t>
      </w:r>
      <w:r w:rsidR="00A458B3">
        <w:rPr>
          <w:szCs w:val="22"/>
        </w:rPr>
        <w:t>government</w:t>
      </w:r>
      <w:r w:rsidR="00A458B3" w:rsidRPr="004404AD">
        <w:rPr>
          <w:szCs w:val="22"/>
        </w:rPr>
        <w:t xml:space="preserve"> </w:t>
      </w:r>
      <w:r w:rsidRPr="004404AD">
        <w:rPr>
          <w:szCs w:val="22"/>
        </w:rPr>
        <w:t>monitor</w:t>
      </w:r>
      <w:r w:rsidR="00E43C87">
        <w:rPr>
          <w:szCs w:val="22"/>
        </w:rPr>
        <w:t>ing and evaluation of</w:t>
      </w:r>
      <w:r w:rsidRPr="004404AD">
        <w:rPr>
          <w:szCs w:val="22"/>
        </w:rPr>
        <w:t xml:space="preserve"> progress on gender equality. A joint circu</w:t>
      </w:r>
      <w:r w:rsidR="00E43C87">
        <w:rPr>
          <w:szCs w:val="22"/>
        </w:rPr>
        <w:t>lar was issued by the Ministry</w:t>
      </w:r>
      <w:r w:rsidRPr="004404AD">
        <w:rPr>
          <w:szCs w:val="22"/>
        </w:rPr>
        <w:t xml:space="preserve"> of Finance and </w:t>
      </w:r>
      <w:r w:rsidR="00E43C87">
        <w:rPr>
          <w:szCs w:val="22"/>
        </w:rPr>
        <w:t xml:space="preserve">Ministry of </w:t>
      </w:r>
      <w:r w:rsidRPr="004404AD">
        <w:rPr>
          <w:szCs w:val="22"/>
        </w:rPr>
        <w:t xml:space="preserve">Labour, Invalids and Social Affairs to regulate budget oversight and spending under the National Action Plan, which enabled timely disbursement of the allocated budget for gender equality activities. </w:t>
      </w:r>
    </w:p>
    <w:p w14:paraId="7A4520B8" w14:textId="70B89785" w:rsidR="00E742BC" w:rsidRPr="004404AD" w:rsidRDefault="005F15ED">
      <w:pPr>
        <w:pStyle w:val="BodyText"/>
        <w:rPr>
          <w:szCs w:val="22"/>
        </w:rPr>
      </w:pPr>
      <w:r>
        <w:rPr>
          <w:szCs w:val="22"/>
        </w:rPr>
        <w:t xml:space="preserve">The </w:t>
      </w:r>
      <w:r w:rsidR="00316048">
        <w:rPr>
          <w:szCs w:val="22"/>
        </w:rPr>
        <w:t>department</w:t>
      </w:r>
      <w:r w:rsidR="00E742BC" w:rsidRPr="004404AD">
        <w:rPr>
          <w:szCs w:val="22"/>
        </w:rPr>
        <w:t xml:space="preserve"> aims to ensure equitable access by Vietnamese women, especially ethnic minorities and the poor, to improved service delivery and development outcomes. </w:t>
      </w:r>
    </w:p>
    <w:p w14:paraId="4905360B" w14:textId="361A3209" w:rsidR="00E742BC" w:rsidRPr="004404AD" w:rsidRDefault="005F15ED">
      <w:pPr>
        <w:pStyle w:val="BodyText"/>
        <w:rPr>
          <w:szCs w:val="22"/>
        </w:rPr>
      </w:pPr>
      <w:r>
        <w:rPr>
          <w:szCs w:val="22"/>
        </w:rPr>
        <w:t xml:space="preserve">DFAT </w:t>
      </w:r>
      <w:r w:rsidR="00E742BC" w:rsidRPr="004404AD">
        <w:rPr>
          <w:szCs w:val="22"/>
        </w:rPr>
        <w:t xml:space="preserve">Vietnam’s three-year Gender Action Plan and budget ($1.2 million) </w:t>
      </w:r>
      <w:r w:rsidR="00A458B3">
        <w:rPr>
          <w:szCs w:val="22"/>
        </w:rPr>
        <w:t>was</w:t>
      </w:r>
      <w:r w:rsidR="00A458B3" w:rsidRPr="004404AD">
        <w:rPr>
          <w:szCs w:val="22"/>
        </w:rPr>
        <w:t xml:space="preserve"> </w:t>
      </w:r>
      <w:r w:rsidR="00E742BC" w:rsidRPr="004404AD">
        <w:rPr>
          <w:szCs w:val="22"/>
        </w:rPr>
        <w:t xml:space="preserve">approved in February 2013. The </w:t>
      </w:r>
      <w:r w:rsidR="00A458B3">
        <w:rPr>
          <w:szCs w:val="22"/>
        </w:rPr>
        <w:t>plan</w:t>
      </w:r>
      <w:r w:rsidR="00A458B3" w:rsidRPr="004404AD">
        <w:rPr>
          <w:szCs w:val="22"/>
        </w:rPr>
        <w:t xml:space="preserve"> </w:t>
      </w:r>
      <w:r w:rsidR="00E742BC" w:rsidRPr="004404AD">
        <w:rPr>
          <w:szCs w:val="22"/>
        </w:rPr>
        <w:t>serve</w:t>
      </w:r>
      <w:r w:rsidR="00A458B3">
        <w:rPr>
          <w:szCs w:val="22"/>
        </w:rPr>
        <w:t>s</w:t>
      </w:r>
      <w:r w:rsidR="00E742BC" w:rsidRPr="004404AD">
        <w:rPr>
          <w:szCs w:val="22"/>
        </w:rPr>
        <w:t xml:space="preserve"> as a monitored mechanism to strengthen gender integration across all pillars of the Vietnam aid program, provide strategic support to Vietnam’s national gender capacity building and</w:t>
      </w:r>
      <w:r w:rsidR="002D1328">
        <w:rPr>
          <w:szCs w:val="22"/>
        </w:rPr>
        <w:t>,</w:t>
      </w:r>
      <w:r w:rsidR="00E742BC" w:rsidRPr="004404AD">
        <w:rPr>
          <w:szCs w:val="22"/>
        </w:rPr>
        <w:t xml:space="preserve"> in response to emerging gender issues, help build capacity for </w:t>
      </w:r>
      <w:r>
        <w:rPr>
          <w:szCs w:val="22"/>
        </w:rPr>
        <w:t xml:space="preserve">DFAT </w:t>
      </w:r>
      <w:r w:rsidR="00E742BC" w:rsidRPr="004404AD">
        <w:rPr>
          <w:szCs w:val="22"/>
        </w:rPr>
        <w:t xml:space="preserve">staff on gender issues. The </w:t>
      </w:r>
      <w:r w:rsidR="002D1328">
        <w:rPr>
          <w:szCs w:val="22"/>
        </w:rPr>
        <w:t>plan</w:t>
      </w:r>
      <w:r w:rsidR="00E742BC" w:rsidRPr="004404AD">
        <w:rPr>
          <w:szCs w:val="22"/>
        </w:rPr>
        <w:t xml:space="preserve"> will be implemented through a regional partnership between </w:t>
      </w:r>
      <w:r>
        <w:rPr>
          <w:szCs w:val="22"/>
        </w:rPr>
        <w:t xml:space="preserve">DFAT </w:t>
      </w:r>
      <w:r w:rsidR="00E742BC" w:rsidRPr="004404AD">
        <w:rPr>
          <w:szCs w:val="22"/>
        </w:rPr>
        <w:t xml:space="preserve">and UN Women, East Asia and through a flexible fund. </w:t>
      </w:r>
    </w:p>
    <w:p w14:paraId="67F71FEE" w14:textId="2B663FEA" w:rsidR="00E742BC" w:rsidRDefault="00E742BC">
      <w:pPr>
        <w:pStyle w:val="BodyText"/>
        <w:rPr>
          <w:szCs w:val="22"/>
        </w:rPr>
      </w:pPr>
      <w:r w:rsidRPr="004404AD">
        <w:rPr>
          <w:szCs w:val="22"/>
        </w:rPr>
        <w:t>The regional partnership is expected to draw on recognised gender expertise of UN Women and other local partners, while being complemented by</w:t>
      </w:r>
      <w:r w:rsidR="00445C4E">
        <w:rPr>
          <w:szCs w:val="22"/>
        </w:rPr>
        <w:t xml:space="preserve"> </w:t>
      </w:r>
      <w:r w:rsidR="005F15ED">
        <w:rPr>
          <w:szCs w:val="22"/>
        </w:rPr>
        <w:t>DFAT</w:t>
      </w:r>
      <w:r w:rsidRPr="004404AD">
        <w:rPr>
          <w:szCs w:val="22"/>
        </w:rPr>
        <w:t>’s engagement in policy dialogues and knowledge sharing through</w:t>
      </w:r>
      <w:r w:rsidR="00445C4E">
        <w:rPr>
          <w:szCs w:val="22"/>
        </w:rPr>
        <w:t xml:space="preserve"> </w:t>
      </w:r>
      <w:r w:rsidR="005F15ED">
        <w:rPr>
          <w:szCs w:val="22"/>
        </w:rPr>
        <w:t>DFAT</w:t>
      </w:r>
      <w:r w:rsidRPr="004404AD">
        <w:rPr>
          <w:szCs w:val="22"/>
        </w:rPr>
        <w:t>’s regional and in-country gender networks.</w:t>
      </w:r>
      <w:r w:rsidR="00710337">
        <w:rPr>
          <w:szCs w:val="22"/>
        </w:rPr>
        <w:t xml:space="preserve"> </w:t>
      </w:r>
      <w:r w:rsidRPr="004404AD">
        <w:rPr>
          <w:szCs w:val="22"/>
        </w:rPr>
        <w:t xml:space="preserve">This partnership </w:t>
      </w:r>
      <w:r w:rsidR="002D1328">
        <w:rPr>
          <w:szCs w:val="22"/>
        </w:rPr>
        <w:t xml:space="preserve">can </w:t>
      </w:r>
      <w:r w:rsidRPr="004404AD">
        <w:rPr>
          <w:szCs w:val="22"/>
        </w:rPr>
        <w:t xml:space="preserve">also accommodate other Mekong sub-regional countries subject to their interests and available budgets. </w:t>
      </w:r>
    </w:p>
    <w:p w14:paraId="0E90E8CC" w14:textId="77777777" w:rsidR="004D23F6" w:rsidRDefault="004D23F6" w:rsidP="0007395B">
      <w:pPr>
        <w:pStyle w:val="Heading2"/>
      </w:pPr>
      <w:r>
        <w:t xml:space="preserve">Disability </w:t>
      </w:r>
      <w:r w:rsidR="002D1328">
        <w:t>inclusive development</w:t>
      </w:r>
    </w:p>
    <w:p w14:paraId="683F8CD5" w14:textId="77777777" w:rsidR="004D23F6" w:rsidRPr="00F62CFC" w:rsidRDefault="004D23F6">
      <w:pPr>
        <w:pStyle w:val="BodyText"/>
        <w:rPr>
          <w:szCs w:val="22"/>
        </w:rPr>
      </w:pPr>
      <w:r w:rsidRPr="00F62CFC">
        <w:rPr>
          <w:szCs w:val="22"/>
        </w:rPr>
        <w:t xml:space="preserve">The Vietnam program </w:t>
      </w:r>
      <w:r w:rsidR="00007E94" w:rsidRPr="00F62CFC">
        <w:rPr>
          <w:szCs w:val="22"/>
        </w:rPr>
        <w:t>mainstream</w:t>
      </w:r>
      <w:r w:rsidR="00663E95">
        <w:rPr>
          <w:szCs w:val="22"/>
        </w:rPr>
        <w:t>s</w:t>
      </w:r>
      <w:r w:rsidR="00007E94" w:rsidRPr="00F62CFC">
        <w:rPr>
          <w:szCs w:val="22"/>
        </w:rPr>
        <w:t xml:space="preserve"> disability </w:t>
      </w:r>
      <w:r w:rsidR="00663E95">
        <w:rPr>
          <w:szCs w:val="22"/>
        </w:rPr>
        <w:t>throughout</w:t>
      </w:r>
      <w:r w:rsidR="00663E95" w:rsidRPr="00F62CFC">
        <w:rPr>
          <w:szCs w:val="22"/>
        </w:rPr>
        <w:t xml:space="preserve"> </w:t>
      </w:r>
      <w:r w:rsidR="00297FA7">
        <w:rPr>
          <w:szCs w:val="22"/>
        </w:rPr>
        <w:t>its</w:t>
      </w:r>
      <w:r w:rsidR="00007E94" w:rsidRPr="00F62CFC">
        <w:rPr>
          <w:szCs w:val="22"/>
        </w:rPr>
        <w:t xml:space="preserve"> programming.</w:t>
      </w:r>
      <w:r w:rsidR="00710337">
        <w:rPr>
          <w:szCs w:val="22"/>
        </w:rPr>
        <w:t xml:space="preserve"> </w:t>
      </w:r>
      <w:r w:rsidR="00007E94" w:rsidRPr="00F62CFC">
        <w:rPr>
          <w:szCs w:val="22"/>
        </w:rPr>
        <w:t>For example, the A</w:t>
      </w:r>
      <w:r w:rsidRPr="00F62CFC">
        <w:rPr>
          <w:szCs w:val="22"/>
        </w:rPr>
        <w:t>ustralia Awards program has provided seven scholarships to people with disability and 35 scholarships and fellowships to people studying disability-related courses.</w:t>
      </w:r>
      <w:r w:rsidR="00710337">
        <w:rPr>
          <w:szCs w:val="22"/>
        </w:rPr>
        <w:t xml:space="preserve"> </w:t>
      </w:r>
      <w:r w:rsidR="00007E94" w:rsidRPr="00F62CFC">
        <w:rPr>
          <w:szCs w:val="22"/>
        </w:rPr>
        <w:t>F</w:t>
      </w:r>
      <w:r w:rsidRPr="00F62CFC">
        <w:rPr>
          <w:szCs w:val="22"/>
        </w:rPr>
        <w:t xml:space="preserve">ellows from Vietnam have also attended the University of Sydney Australia Award Fellowships program </w:t>
      </w:r>
      <w:r w:rsidR="00663E95">
        <w:rPr>
          <w:szCs w:val="22"/>
        </w:rPr>
        <w:t>on i</w:t>
      </w:r>
      <w:r w:rsidRPr="00F62CFC">
        <w:rPr>
          <w:szCs w:val="22"/>
        </w:rPr>
        <w:t>ncreasing capacity for developing rights-based disability policy in South East Asia.</w:t>
      </w:r>
    </w:p>
    <w:p w14:paraId="690AC675" w14:textId="24C6416D" w:rsidR="004D23F6" w:rsidRDefault="00007E94">
      <w:pPr>
        <w:pStyle w:val="BodyText"/>
        <w:rPr>
          <w:szCs w:val="22"/>
        </w:rPr>
      </w:pPr>
      <w:r w:rsidRPr="00F62CFC">
        <w:rPr>
          <w:szCs w:val="22"/>
        </w:rPr>
        <w:t>In 2012</w:t>
      </w:r>
      <w:r w:rsidR="00663E95">
        <w:rPr>
          <w:szCs w:val="22"/>
        </w:rPr>
        <w:t>–</w:t>
      </w:r>
      <w:r w:rsidRPr="00F62CFC">
        <w:rPr>
          <w:szCs w:val="22"/>
        </w:rPr>
        <w:t>13 t</w:t>
      </w:r>
      <w:r w:rsidR="004D23F6" w:rsidRPr="00F62CFC">
        <w:rPr>
          <w:szCs w:val="22"/>
        </w:rPr>
        <w:t xml:space="preserve">hrough support for Vietnam’s Rural Water Supply and Sanitation program, </w:t>
      </w:r>
      <w:r w:rsidR="005F15ED">
        <w:rPr>
          <w:szCs w:val="22"/>
        </w:rPr>
        <w:t xml:space="preserve">the Australian Government </w:t>
      </w:r>
      <w:r w:rsidR="004D23F6" w:rsidRPr="00F62CFC">
        <w:rPr>
          <w:szCs w:val="22"/>
        </w:rPr>
        <w:t>funded the Ministry of Education and Training to review barriers to children with disability accessing drinking water and toilet facilities in schools.</w:t>
      </w:r>
      <w:r w:rsidR="00710337">
        <w:rPr>
          <w:szCs w:val="22"/>
        </w:rPr>
        <w:t xml:space="preserve"> </w:t>
      </w:r>
      <w:r w:rsidRPr="00F62CFC">
        <w:rPr>
          <w:szCs w:val="22"/>
        </w:rPr>
        <w:t>T</w:t>
      </w:r>
      <w:r w:rsidR="004D23F6" w:rsidRPr="00F62CFC">
        <w:rPr>
          <w:szCs w:val="22"/>
        </w:rPr>
        <w:t xml:space="preserve">his information has been included in a manual to guide </w:t>
      </w:r>
      <w:r w:rsidR="0060117A">
        <w:rPr>
          <w:szCs w:val="22"/>
        </w:rPr>
        <w:t xml:space="preserve">the </w:t>
      </w:r>
      <w:r w:rsidR="004D23F6" w:rsidRPr="00F62CFC">
        <w:rPr>
          <w:szCs w:val="22"/>
        </w:rPr>
        <w:t>design of facilities for new schools and retrofit</w:t>
      </w:r>
      <w:r w:rsidR="0060117A">
        <w:rPr>
          <w:szCs w:val="22"/>
        </w:rPr>
        <w:t xml:space="preserve"> facilities</w:t>
      </w:r>
      <w:r w:rsidR="004D23F6" w:rsidRPr="00F62CFC">
        <w:rPr>
          <w:szCs w:val="22"/>
        </w:rPr>
        <w:t xml:space="preserve"> in existing </w:t>
      </w:r>
      <w:r w:rsidR="00A80353">
        <w:rPr>
          <w:szCs w:val="22"/>
        </w:rPr>
        <w:t>ones</w:t>
      </w:r>
      <w:r w:rsidR="004D23F6" w:rsidRPr="00F62CFC">
        <w:rPr>
          <w:szCs w:val="22"/>
        </w:rPr>
        <w:t>.</w:t>
      </w:r>
      <w:r w:rsidR="00710337">
        <w:rPr>
          <w:szCs w:val="22"/>
        </w:rPr>
        <w:t xml:space="preserve"> </w:t>
      </w:r>
      <w:r w:rsidR="005F15ED">
        <w:rPr>
          <w:szCs w:val="22"/>
        </w:rPr>
        <w:t xml:space="preserve">DFAT </w:t>
      </w:r>
      <w:r w:rsidR="004D23F6" w:rsidRPr="00F62CFC">
        <w:rPr>
          <w:szCs w:val="22"/>
        </w:rPr>
        <w:t xml:space="preserve">is funding dissemination workshops and associated training in </w:t>
      </w:r>
      <w:r w:rsidRPr="00F62CFC">
        <w:rPr>
          <w:szCs w:val="22"/>
        </w:rPr>
        <w:t>2013</w:t>
      </w:r>
      <w:r w:rsidR="00663E95">
        <w:rPr>
          <w:szCs w:val="22"/>
        </w:rPr>
        <w:t>–</w:t>
      </w:r>
      <w:r w:rsidRPr="00F62CFC">
        <w:rPr>
          <w:szCs w:val="22"/>
        </w:rPr>
        <w:t>14.</w:t>
      </w:r>
    </w:p>
    <w:p w14:paraId="5D6C52BD" w14:textId="64C8B774" w:rsidR="00647FBA" w:rsidRPr="00F62CFC" w:rsidRDefault="00647FBA">
      <w:pPr>
        <w:pStyle w:val="BodyText"/>
        <w:rPr>
          <w:szCs w:val="22"/>
        </w:rPr>
      </w:pPr>
      <w:r>
        <w:rPr>
          <w:szCs w:val="22"/>
        </w:rPr>
        <w:t xml:space="preserve">The newly mobilised Community-based Climate Change Action Grants also promote a disability-inclusive approach, with partners required </w:t>
      </w:r>
      <w:r w:rsidR="001448E7">
        <w:rPr>
          <w:szCs w:val="22"/>
        </w:rPr>
        <w:t xml:space="preserve">to update </w:t>
      </w:r>
      <w:r w:rsidR="005F15ED">
        <w:rPr>
          <w:szCs w:val="22"/>
        </w:rPr>
        <w:t xml:space="preserve">DFAT </w:t>
      </w:r>
      <w:r w:rsidR="001448E7">
        <w:rPr>
          <w:szCs w:val="22"/>
        </w:rPr>
        <w:t xml:space="preserve">on progress as part of their annual reporting requirements. A range of initiatives </w:t>
      </w:r>
      <w:r w:rsidR="00663E95">
        <w:rPr>
          <w:szCs w:val="22"/>
        </w:rPr>
        <w:t xml:space="preserve">has </w:t>
      </w:r>
      <w:r w:rsidR="001448E7">
        <w:rPr>
          <w:szCs w:val="22"/>
        </w:rPr>
        <w:t>been identified during the first annual plans, including consultation with disability support organisations, training implementation partners, and identifying people with disabilit</w:t>
      </w:r>
      <w:r w:rsidR="00663E95">
        <w:rPr>
          <w:szCs w:val="22"/>
        </w:rPr>
        <w:t>y</w:t>
      </w:r>
      <w:r w:rsidR="001448E7">
        <w:rPr>
          <w:szCs w:val="22"/>
        </w:rPr>
        <w:t xml:space="preserve"> in the target communities to encourage their participation in activities.</w:t>
      </w:r>
    </w:p>
    <w:p w14:paraId="1FAF0D81" w14:textId="0332DA93" w:rsidR="004D23F6" w:rsidRPr="00F62CFC" w:rsidRDefault="005F15ED">
      <w:pPr>
        <w:pStyle w:val="BodyText"/>
        <w:rPr>
          <w:szCs w:val="22"/>
        </w:rPr>
      </w:pPr>
      <w:r>
        <w:rPr>
          <w:szCs w:val="22"/>
        </w:rPr>
        <w:lastRenderedPageBreak/>
        <w:t>The Australian embassy</w:t>
      </w:r>
      <w:r w:rsidR="00007E94" w:rsidRPr="00F62CFC">
        <w:rPr>
          <w:szCs w:val="22"/>
        </w:rPr>
        <w:t xml:space="preserve">’s regional disability advisor visited Vietnam in September 2012 to work with the Vietnam program </w:t>
      </w:r>
      <w:r w:rsidR="00A80353">
        <w:rPr>
          <w:szCs w:val="22"/>
        </w:rPr>
        <w:t>o</w:t>
      </w:r>
      <w:r w:rsidR="00A80353" w:rsidRPr="00F62CFC">
        <w:rPr>
          <w:szCs w:val="22"/>
        </w:rPr>
        <w:t xml:space="preserve">n </w:t>
      </w:r>
      <w:r w:rsidR="00007E94" w:rsidRPr="00F62CFC">
        <w:rPr>
          <w:szCs w:val="22"/>
        </w:rPr>
        <w:t>developing disability-inclusive approaches.</w:t>
      </w:r>
      <w:r w:rsidR="00710337">
        <w:rPr>
          <w:szCs w:val="22"/>
        </w:rPr>
        <w:t xml:space="preserve"> </w:t>
      </w:r>
      <w:r w:rsidR="00007E94" w:rsidRPr="00F62CFC">
        <w:rPr>
          <w:szCs w:val="22"/>
        </w:rPr>
        <w:t xml:space="preserve">A disability focal point has been established. </w:t>
      </w:r>
    </w:p>
    <w:p w14:paraId="19A5D679" w14:textId="77777777" w:rsidR="00180B19" w:rsidRPr="00BD2FEE" w:rsidRDefault="00180B19" w:rsidP="00BD2FEE">
      <w:pPr>
        <w:pStyle w:val="Heading1"/>
      </w:pPr>
      <w:r w:rsidRPr="00BD2FEE">
        <w:t xml:space="preserve">Management </w:t>
      </w:r>
      <w:r w:rsidR="00663E95" w:rsidRPr="00BD2FEE">
        <w:t>consequences</w:t>
      </w:r>
    </w:p>
    <w:p w14:paraId="0A2193D0" w14:textId="77777777" w:rsidR="007C08B4" w:rsidRPr="00BD2FEE" w:rsidRDefault="007C08B4" w:rsidP="00BD2FEE">
      <w:pPr>
        <w:pStyle w:val="BodyText"/>
      </w:pPr>
      <w:r w:rsidRPr="00BD2FEE">
        <w:t xml:space="preserve">Progress in addressing the previous year’s management consequences are outlined in the table at Annex A. </w:t>
      </w:r>
    </w:p>
    <w:p w14:paraId="45303A59" w14:textId="77777777" w:rsidR="007A6B87" w:rsidRPr="00BD2FEE" w:rsidRDefault="007C08B4" w:rsidP="00BD2FEE">
      <w:pPr>
        <w:pStyle w:val="Heading2"/>
      </w:pPr>
      <w:r w:rsidRPr="00BD2FEE">
        <w:t xml:space="preserve">Management consequences </w:t>
      </w:r>
      <w:r w:rsidR="00663E95" w:rsidRPr="00BD2FEE">
        <w:t xml:space="preserve">– </w:t>
      </w:r>
      <w:r w:rsidRPr="00BD2FEE">
        <w:t>g</w:t>
      </w:r>
      <w:r w:rsidR="007A6B87" w:rsidRPr="00BD2FEE">
        <w:t>eneral</w:t>
      </w:r>
    </w:p>
    <w:p w14:paraId="663B537A" w14:textId="77777777" w:rsidR="00751449" w:rsidRDefault="00751449" w:rsidP="00BD2FEE">
      <w:pPr>
        <w:pStyle w:val="BodyText"/>
      </w:pPr>
      <w:r>
        <w:t>Strategic priorities for overall program management in 2013</w:t>
      </w:r>
      <w:r w:rsidR="00663E95">
        <w:t>–</w:t>
      </w:r>
      <w:r>
        <w:t>14 include:</w:t>
      </w:r>
    </w:p>
    <w:p w14:paraId="16938A2B" w14:textId="77777777" w:rsidR="00F62CFC" w:rsidRPr="00147846" w:rsidRDefault="00F30CF8" w:rsidP="00BD2FEE">
      <w:pPr>
        <w:pStyle w:val="ListBullet"/>
      </w:pPr>
      <w:r>
        <w:t>supporting a</w:t>
      </w:r>
      <w:r w:rsidR="00751449">
        <w:t>n independent evaluation of the Vietnam</w:t>
      </w:r>
      <w:r w:rsidR="00663E95">
        <w:t>–</w:t>
      </w:r>
      <w:r w:rsidR="00751449">
        <w:t>Australia Joint Aid Strategy 2010</w:t>
      </w:r>
      <w:r w:rsidR="00663E95">
        <w:t>–20</w:t>
      </w:r>
      <w:r w:rsidR="00751449">
        <w:t xml:space="preserve">15 by the </w:t>
      </w:r>
      <w:r w:rsidR="007C08B4" w:rsidRPr="00751449">
        <w:t>Office of Development Effectiveness.</w:t>
      </w:r>
      <w:r w:rsidR="00710337">
        <w:t xml:space="preserve"> </w:t>
      </w:r>
      <w:r w:rsidR="007C08B4" w:rsidRPr="00751449">
        <w:t>The evaluation will cover implementation of the strategy</w:t>
      </w:r>
      <w:r>
        <w:t xml:space="preserve"> </w:t>
      </w:r>
      <w:r w:rsidR="007C08B4" w:rsidRPr="00751449">
        <w:t>to date</w:t>
      </w:r>
      <w:r w:rsidR="00663E95">
        <w:t xml:space="preserve"> and</w:t>
      </w:r>
      <w:r w:rsidR="007C08B4" w:rsidRPr="00751449">
        <w:t xml:space="preserve"> will serve as a mid-term evaluation</w:t>
      </w:r>
      <w:r w:rsidR="00663E95">
        <w:t xml:space="preserve">, providing </w:t>
      </w:r>
      <w:r w:rsidR="007C08B4" w:rsidRPr="00751449">
        <w:t xml:space="preserve">key findings and recommendations that will be relevant for </w:t>
      </w:r>
      <w:r w:rsidR="00663E95" w:rsidRPr="00751449">
        <w:t>the program</w:t>
      </w:r>
      <w:r w:rsidR="00663E95">
        <w:t>’s</w:t>
      </w:r>
      <w:r w:rsidR="00663E95" w:rsidRPr="00751449">
        <w:t xml:space="preserve"> </w:t>
      </w:r>
      <w:r w:rsidR="007C08B4" w:rsidRPr="00751449">
        <w:t>delivery through to the end of the existing strategy</w:t>
      </w:r>
      <w:r>
        <w:t xml:space="preserve">. It will also inform </w:t>
      </w:r>
      <w:r w:rsidR="007C08B4" w:rsidRPr="00751449">
        <w:t>the country situation analysis as part of development of the next country strategy</w:t>
      </w:r>
    </w:p>
    <w:p w14:paraId="3528454D" w14:textId="77777777" w:rsidR="00F62CFC" w:rsidRPr="00147846" w:rsidRDefault="00663E95" w:rsidP="00BD2FEE">
      <w:pPr>
        <w:pStyle w:val="ListBullet"/>
      </w:pPr>
      <w:r>
        <w:t>drafting</w:t>
      </w:r>
      <w:r w:rsidRPr="00751449">
        <w:t xml:space="preserve"> </w:t>
      </w:r>
      <w:r w:rsidR="007C08B4" w:rsidRPr="00751449">
        <w:t xml:space="preserve">the new </w:t>
      </w:r>
      <w:r w:rsidR="00F30CF8">
        <w:t xml:space="preserve">post-2015 </w:t>
      </w:r>
      <w:r w:rsidR="007C08B4" w:rsidRPr="00751449">
        <w:t>Vietnam</w:t>
      </w:r>
      <w:r>
        <w:t>–</w:t>
      </w:r>
      <w:r w:rsidR="007C08B4" w:rsidRPr="00751449">
        <w:t xml:space="preserve">Australia Joint Aid Strategy </w:t>
      </w:r>
    </w:p>
    <w:p w14:paraId="64F75EDB" w14:textId="0B594FDE" w:rsidR="00D122E5" w:rsidRPr="00147846" w:rsidRDefault="00663E95" w:rsidP="00BD2FEE">
      <w:pPr>
        <w:pStyle w:val="ListBullet"/>
      </w:pPr>
      <w:r>
        <w:t xml:space="preserve">completing </w:t>
      </w:r>
      <w:r w:rsidR="00751449">
        <w:t xml:space="preserve">the </w:t>
      </w:r>
      <w:r w:rsidR="0060117A" w:rsidRPr="00751449">
        <w:t xml:space="preserve">assessment of national systems </w:t>
      </w:r>
      <w:r w:rsidR="0041396D" w:rsidRPr="00751449">
        <w:t xml:space="preserve">following </w:t>
      </w:r>
      <w:r>
        <w:t xml:space="preserve">the Government of Vietnam’s </w:t>
      </w:r>
      <w:r w:rsidR="0041396D" w:rsidRPr="00751449">
        <w:t xml:space="preserve">finalisation of </w:t>
      </w:r>
      <w:r>
        <w:t>its</w:t>
      </w:r>
      <w:r w:rsidRPr="00751449">
        <w:t xml:space="preserve"> </w:t>
      </w:r>
      <w:r w:rsidR="0060117A" w:rsidRPr="00751449">
        <w:t>public expenditure framework assessment</w:t>
      </w:r>
      <w:r w:rsidR="00F62CFC" w:rsidRPr="00751449">
        <w:t xml:space="preserve">. </w:t>
      </w:r>
      <w:r w:rsidR="0041396D" w:rsidRPr="00751449">
        <w:t xml:space="preserve">The </w:t>
      </w:r>
      <w:r>
        <w:t>assessment</w:t>
      </w:r>
      <w:r w:rsidRPr="00751449">
        <w:t xml:space="preserve"> </w:t>
      </w:r>
      <w:r w:rsidR="0041396D" w:rsidRPr="00751449">
        <w:t>will provide the basis for continu</w:t>
      </w:r>
      <w:r>
        <w:t xml:space="preserve">ing </w:t>
      </w:r>
      <w:r w:rsidR="0041396D" w:rsidRPr="00751449">
        <w:t>use of partner country systems in Vietnam</w:t>
      </w:r>
      <w:r w:rsidR="00710337">
        <w:t xml:space="preserve"> </w:t>
      </w:r>
    </w:p>
    <w:p w14:paraId="00FEE722" w14:textId="77777777" w:rsidR="00F62CFC" w:rsidRPr="00147846" w:rsidRDefault="00663E95" w:rsidP="00BD2FEE">
      <w:pPr>
        <w:pStyle w:val="ListBullet"/>
      </w:pPr>
      <w:r>
        <w:t xml:space="preserve">implementing effective </w:t>
      </w:r>
      <w:r w:rsidR="00751449">
        <w:t xml:space="preserve">hand-over arrangements </w:t>
      </w:r>
      <w:r>
        <w:t>for</w:t>
      </w:r>
      <w:r w:rsidRPr="00751449">
        <w:t xml:space="preserve"> </w:t>
      </w:r>
      <w:r w:rsidR="0041396D" w:rsidRPr="00751449">
        <w:t xml:space="preserve">three of four A-based positions </w:t>
      </w:r>
      <w:r>
        <w:t xml:space="preserve">which are </w:t>
      </w:r>
      <w:r w:rsidR="0041396D" w:rsidRPr="00751449">
        <w:t>changing occupants</w:t>
      </w:r>
    </w:p>
    <w:p w14:paraId="4DF5A239" w14:textId="77777777" w:rsidR="00F62CFC" w:rsidRPr="00751449" w:rsidRDefault="00663E95" w:rsidP="00BD2FEE">
      <w:pPr>
        <w:pStyle w:val="ListBullet"/>
      </w:pPr>
      <w:r>
        <w:t>c</w:t>
      </w:r>
      <w:r w:rsidRPr="00751449">
        <w:t>onsider</w:t>
      </w:r>
      <w:r>
        <w:t xml:space="preserve">ing </w:t>
      </w:r>
      <w:r w:rsidR="00751449" w:rsidRPr="00751449">
        <w:t xml:space="preserve">whether a stronger social protection dimension to the program should be developed, taking into account the </w:t>
      </w:r>
      <w:r w:rsidR="00D73760" w:rsidRPr="00751449">
        <w:t xml:space="preserve">outcomes of </w:t>
      </w:r>
      <w:r w:rsidR="00751449">
        <w:t xml:space="preserve">commissioned </w:t>
      </w:r>
      <w:r w:rsidR="00D73760" w:rsidRPr="00751449">
        <w:t>research on social protection approaches in the Mekong region</w:t>
      </w:r>
      <w:r w:rsidR="00751449">
        <w:t>.</w:t>
      </w:r>
      <w:r w:rsidR="00751449" w:rsidRPr="00751449" w:rsidDel="00751449">
        <w:t xml:space="preserve"> </w:t>
      </w:r>
    </w:p>
    <w:p w14:paraId="635D3840" w14:textId="77777777" w:rsidR="0000242A" w:rsidRPr="00F62CFC" w:rsidRDefault="0000242A" w:rsidP="00BD2FEE">
      <w:pPr>
        <w:pStyle w:val="Heading2"/>
      </w:pPr>
      <w:r w:rsidRPr="00F62CFC">
        <w:t xml:space="preserve">Strategic </w:t>
      </w:r>
      <w:r w:rsidR="00663E95">
        <w:t>o</w:t>
      </w:r>
      <w:r w:rsidR="00663E95" w:rsidRPr="00F62CFC">
        <w:t xml:space="preserve">bjective </w:t>
      </w:r>
      <w:r w:rsidR="00663E95">
        <w:t>o</w:t>
      </w:r>
      <w:r w:rsidR="00663E95" w:rsidRPr="00F62CFC">
        <w:t xml:space="preserve">ne </w:t>
      </w:r>
      <w:r w:rsidR="00663E95">
        <w:t>–</w:t>
      </w:r>
      <w:r w:rsidR="00663E95" w:rsidRPr="00F62CFC">
        <w:t xml:space="preserve"> </w:t>
      </w:r>
      <w:r w:rsidR="00663E95">
        <w:t>h</w:t>
      </w:r>
      <w:r w:rsidR="00663E95" w:rsidRPr="00F62CFC">
        <w:t xml:space="preserve">uman </w:t>
      </w:r>
      <w:r w:rsidR="00663E95">
        <w:t>r</w:t>
      </w:r>
      <w:r w:rsidR="00663E95" w:rsidRPr="00F62CFC">
        <w:t xml:space="preserve">esource </w:t>
      </w:r>
      <w:r w:rsidRPr="00F62CFC">
        <w:t>development</w:t>
      </w:r>
    </w:p>
    <w:p w14:paraId="0A43E8DD" w14:textId="0C130340" w:rsidR="00D5457D" w:rsidRDefault="00D5457D" w:rsidP="00BD2FEE">
      <w:pPr>
        <w:pStyle w:val="BodyText"/>
      </w:pPr>
      <w:r>
        <w:t>The key management consequence for this objective is develop</w:t>
      </w:r>
      <w:r w:rsidR="0060117A">
        <w:t xml:space="preserve">ing </w:t>
      </w:r>
      <w:r>
        <w:t>a delivery strategy during 2013</w:t>
      </w:r>
      <w:r w:rsidR="00663E95">
        <w:t>–</w:t>
      </w:r>
      <w:r>
        <w:t>14</w:t>
      </w:r>
      <w:r w:rsidR="00756B0E">
        <w:t xml:space="preserve"> which </w:t>
      </w:r>
      <w:r>
        <w:t>will:</w:t>
      </w:r>
    </w:p>
    <w:p w14:paraId="6A491231" w14:textId="77777777" w:rsidR="00D5457D" w:rsidRDefault="00D5457D" w:rsidP="00F40408">
      <w:pPr>
        <w:rPr>
          <w:rFonts w:eastAsia="Times New Roman"/>
          <w:sz w:val="22"/>
          <w:szCs w:val="22"/>
        </w:rPr>
      </w:pPr>
    </w:p>
    <w:p w14:paraId="104BCC94" w14:textId="77777777" w:rsidR="00385A4C" w:rsidRPr="00D5457D" w:rsidRDefault="00663E95" w:rsidP="00BD2FEE">
      <w:pPr>
        <w:pStyle w:val="ListBullet"/>
      </w:pPr>
      <w:r>
        <w:t>help</w:t>
      </w:r>
      <w:r w:rsidRPr="00D5457D">
        <w:t xml:space="preserve"> </w:t>
      </w:r>
      <w:r w:rsidR="0000242A" w:rsidRPr="00D5457D">
        <w:t>identif</w:t>
      </w:r>
      <w:r>
        <w:t xml:space="preserve">y </w:t>
      </w:r>
      <w:r w:rsidR="0000242A" w:rsidRPr="00D5457D">
        <w:t xml:space="preserve">priorities for </w:t>
      </w:r>
      <w:r>
        <w:t>human resource development</w:t>
      </w:r>
      <w:r w:rsidRPr="00D5457D">
        <w:t xml:space="preserve"> </w:t>
      </w:r>
      <w:r w:rsidR="0000242A" w:rsidRPr="00D5457D">
        <w:t>assistance and inform the planned design in late 2014 of the next phase of Vietnam’s Australia Awards program</w:t>
      </w:r>
    </w:p>
    <w:p w14:paraId="46F3F706" w14:textId="50F7EF6D" w:rsidR="00D5457D" w:rsidRDefault="0000242A" w:rsidP="00BD2FEE">
      <w:pPr>
        <w:pStyle w:val="ListBullet"/>
      </w:pPr>
      <w:r w:rsidRPr="00D5457D">
        <w:t xml:space="preserve">consider </w:t>
      </w:r>
      <w:r w:rsidR="00832911" w:rsidRPr="00D5457D">
        <w:t xml:space="preserve">how </w:t>
      </w:r>
      <w:r w:rsidR="005F15ED">
        <w:t xml:space="preserve">DFAT </w:t>
      </w:r>
      <w:r w:rsidR="00832911" w:rsidRPr="00D5457D">
        <w:t>should support central government agencies, which are currently under</w:t>
      </w:r>
      <w:r w:rsidR="00663E95">
        <w:t xml:space="preserve"> </w:t>
      </w:r>
      <w:r w:rsidR="00832911" w:rsidRPr="00D5457D">
        <w:t>represented in the Australia Awards program</w:t>
      </w:r>
    </w:p>
    <w:p w14:paraId="18586FEF" w14:textId="77777777" w:rsidR="00D5457D" w:rsidRDefault="00832911" w:rsidP="00BD2FEE">
      <w:pPr>
        <w:pStyle w:val="ListBullet"/>
      </w:pPr>
      <w:r w:rsidRPr="00D5457D">
        <w:t xml:space="preserve">consider </w:t>
      </w:r>
      <w:r w:rsidR="0000242A" w:rsidRPr="00D5457D">
        <w:t>how support for Vietnam through the Australia Awards Fellowships, A</w:t>
      </w:r>
      <w:r w:rsidR="00D061D5" w:rsidRPr="00D5457D">
        <w:t xml:space="preserve">ustralian </w:t>
      </w:r>
      <w:r w:rsidR="0000242A" w:rsidRPr="00D5457D">
        <w:t>V</w:t>
      </w:r>
      <w:r w:rsidR="00D061D5" w:rsidRPr="00D5457D">
        <w:t xml:space="preserve">olunteers for </w:t>
      </w:r>
      <w:r w:rsidR="00481777" w:rsidRPr="00D5457D">
        <w:t>International</w:t>
      </w:r>
      <w:r w:rsidR="00D061D5" w:rsidRPr="00D5457D">
        <w:t xml:space="preserve"> Development</w:t>
      </w:r>
      <w:r w:rsidR="00663E95">
        <w:t>,</w:t>
      </w:r>
      <w:r w:rsidR="0000242A" w:rsidRPr="00D5457D">
        <w:t xml:space="preserve"> and Government Partnerships for Development programs can be </w:t>
      </w:r>
      <w:r w:rsidR="00663E95">
        <w:t>better</w:t>
      </w:r>
      <w:r w:rsidR="00D061D5" w:rsidRPr="00D5457D">
        <w:t xml:space="preserve"> </w:t>
      </w:r>
      <w:r w:rsidR="0000242A" w:rsidRPr="00D5457D">
        <w:t xml:space="preserve">aligned to </w:t>
      </w:r>
      <w:r w:rsidR="00D061D5" w:rsidRPr="00D5457D">
        <w:t xml:space="preserve">the priorities of the </w:t>
      </w:r>
      <w:r w:rsidR="0000242A" w:rsidRPr="00D5457D">
        <w:t>Vietnam</w:t>
      </w:r>
      <w:r w:rsidR="00663E95">
        <w:t>–</w:t>
      </w:r>
      <w:r w:rsidR="00D061D5" w:rsidRPr="00D5457D">
        <w:t>Australia Joint Aid Strategy.</w:t>
      </w:r>
      <w:r w:rsidR="00710337">
        <w:t xml:space="preserve"> </w:t>
      </w:r>
    </w:p>
    <w:p w14:paraId="13CAD3A2" w14:textId="77777777" w:rsidR="00D5457D" w:rsidRDefault="00D5457D" w:rsidP="00BD2FEE">
      <w:pPr>
        <w:pStyle w:val="BodyText"/>
      </w:pPr>
      <w:r w:rsidRPr="00D5457D">
        <w:t>Other management consequences include</w:t>
      </w:r>
      <w:r>
        <w:t>:</w:t>
      </w:r>
    </w:p>
    <w:p w14:paraId="29042CB1" w14:textId="7092FCAD" w:rsidR="00385A4C" w:rsidRPr="00D5457D" w:rsidRDefault="00663E95" w:rsidP="00BD2FEE">
      <w:pPr>
        <w:pStyle w:val="ListBullet"/>
      </w:pPr>
      <w:r>
        <w:t xml:space="preserve">completing </w:t>
      </w:r>
      <w:r w:rsidR="00D5457D">
        <w:t xml:space="preserve">three impact </w:t>
      </w:r>
      <w:r w:rsidR="0000242A" w:rsidRPr="00D5457D">
        <w:t xml:space="preserve">studies </w:t>
      </w:r>
      <w:r w:rsidR="005A7CF6" w:rsidRPr="00D5457D">
        <w:t>focused on the environment and education sectors</w:t>
      </w:r>
      <w:r w:rsidR="00D5457D">
        <w:t xml:space="preserve"> as well the overall Australia Awards program</w:t>
      </w:r>
    </w:p>
    <w:p w14:paraId="20333E2C" w14:textId="77777777" w:rsidR="00D5457D" w:rsidRDefault="00663E95" w:rsidP="00BD2FEE">
      <w:pPr>
        <w:pStyle w:val="ListBullet"/>
      </w:pPr>
      <w:r>
        <w:t>e</w:t>
      </w:r>
      <w:r w:rsidRPr="00D5457D">
        <w:t>stablish</w:t>
      </w:r>
      <w:r>
        <w:t xml:space="preserve">ing </w:t>
      </w:r>
      <w:r w:rsidR="0000242A" w:rsidRPr="00D5457D">
        <w:t xml:space="preserve">an </w:t>
      </w:r>
      <w:r w:rsidRPr="00D5457D">
        <w:t xml:space="preserve">equity of access fund </w:t>
      </w:r>
      <w:r w:rsidR="0000242A" w:rsidRPr="00D5457D">
        <w:t>for Vietnam’s Australia Awards Scholarships program</w:t>
      </w:r>
    </w:p>
    <w:p w14:paraId="68E4D67A" w14:textId="77777777" w:rsidR="00BE4BDF" w:rsidRDefault="007452F9" w:rsidP="00BD2FEE">
      <w:pPr>
        <w:pStyle w:val="ListBullet"/>
      </w:pPr>
      <w:r>
        <w:t>holding</w:t>
      </w:r>
      <w:r w:rsidR="0000242A" w:rsidRPr="00D5457D">
        <w:t xml:space="preserve"> the first </w:t>
      </w:r>
      <w:r w:rsidR="00663E95" w:rsidRPr="00D5457D">
        <w:t>national alumni conference</w:t>
      </w:r>
      <w:r w:rsidR="00663E95">
        <w:t xml:space="preserve"> </w:t>
      </w:r>
      <w:r>
        <w:t>t</w:t>
      </w:r>
      <w:r w:rsidRPr="00D5457D">
        <w:t>o enhance linkages and collaboration between Australia and Vietnam in the education sector</w:t>
      </w:r>
    </w:p>
    <w:p w14:paraId="2E0504E0" w14:textId="77777777" w:rsidR="00D5457D" w:rsidRPr="00D5457D" w:rsidRDefault="007452F9" w:rsidP="00BD2FEE">
      <w:pPr>
        <w:pStyle w:val="ListBullet"/>
      </w:pPr>
      <w:r>
        <w:lastRenderedPageBreak/>
        <w:t>i</w:t>
      </w:r>
      <w:r w:rsidR="00D5457D">
        <w:t>mplement</w:t>
      </w:r>
      <w:r w:rsidR="00663E95">
        <w:t xml:space="preserve">ing </w:t>
      </w:r>
      <w:r w:rsidR="00D5457D">
        <w:t xml:space="preserve">the </w:t>
      </w:r>
      <w:r w:rsidR="00D5457D" w:rsidRPr="00D5457D">
        <w:t xml:space="preserve">recommendations from the </w:t>
      </w:r>
      <w:r w:rsidR="00663E95" w:rsidRPr="00D5457D">
        <w:t>Australian Volunteers for International Development</w:t>
      </w:r>
      <w:r w:rsidR="00663E95" w:rsidRPr="00D5457D" w:rsidDel="00663E95">
        <w:t xml:space="preserve"> </w:t>
      </w:r>
      <w:r w:rsidR="00D5457D" w:rsidRPr="00D5457D">
        <w:t>independent review</w:t>
      </w:r>
      <w:r w:rsidR="00663E95">
        <w:t>.</w:t>
      </w:r>
    </w:p>
    <w:p w14:paraId="1198D733" w14:textId="77777777" w:rsidR="00BE4BDF" w:rsidRPr="00F62CFC" w:rsidRDefault="00BE4BDF" w:rsidP="00BD2FEE">
      <w:pPr>
        <w:pStyle w:val="Heading2"/>
      </w:pPr>
      <w:r w:rsidRPr="00F62CFC">
        <w:t xml:space="preserve">Strategic </w:t>
      </w:r>
      <w:r w:rsidR="00663E95" w:rsidRPr="00F62CFC">
        <w:t xml:space="preserve">objective two – better transport infrastructure </w:t>
      </w:r>
      <w:r w:rsidRPr="00F62CFC">
        <w:t>and policy to support economic integration</w:t>
      </w:r>
    </w:p>
    <w:p w14:paraId="2F84807E" w14:textId="52A90104" w:rsidR="00DF7AE1" w:rsidRDefault="00DF7AE1" w:rsidP="00BD2FEE">
      <w:pPr>
        <w:pStyle w:val="BodyText"/>
      </w:pPr>
      <w:r w:rsidRPr="00F62CFC">
        <w:t>This strategic objective has been rated amber in terms of the likelihood of its achievement during the country strategy period</w:t>
      </w:r>
      <w:r w:rsidR="004F3D7E">
        <w:t>. This is</w:t>
      </w:r>
      <w:r w:rsidRPr="00F62CFC">
        <w:t xml:space="preserve"> primarily due to inefficiencies in the design of the Beyond WTO </w:t>
      </w:r>
      <w:r w:rsidR="004F3D7E">
        <w:t>P</w:t>
      </w:r>
      <w:r w:rsidR="004F3D7E" w:rsidRPr="00F62CFC">
        <w:t>rogram</w:t>
      </w:r>
      <w:r w:rsidR="004F3D7E">
        <w:t>,</w:t>
      </w:r>
      <w:r w:rsidRPr="00F62CFC">
        <w:t xml:space="preserve"> which was assessed as an initiative requiring improvement.</w:t>
      </w:r>
      <w:r w:rsidR="004F3D7E">
        <w:t xml:space="preserve"> </w:t>
      </w:r>
      <w:r w:rsidRPr="00F62CFC">
        <w:t xml:space="preserve">The program will be closed </w:t>
      </w:r>
      <w:r w:rsidR="00A80353">
        <w:t>in</w:t>
      </w:r>
      <w:r w:rsidR="00A80353" w:rsidRPr="00F62CFC">
        <w:t xml:space="preserve"> </w:t>
      </w:r>
      <w:r w:rsidRPr="00F62CFC">
        <w:t>2013</w:t>
      </w:r>
      <w:r w:rsidR="004F3D7E">
        <w:t>–</w:t>
      </w:r>
      <w:r w:rsidRPr="00F62CFC">
        <w:t>14</w:t>
      </w:r>
      <w:r w:rsidR="004F3D7E">
        <w:t xml:space="preserve"> and </w:t>
      </w:r>
      <w:r w:rsidRPr="00F62CFC">
        <w:t>replaced by a smaller more flexible program</w:t>
      </w:r>
      <w:r w:rsidR="004F3D7E">
        <w:t xml:space="preserve"> that is</w:t>
      </w:r>
      <w:r w:rsidRPr="00F62CFC">
        <w:t xml:space="preserve"> focused on only a </w:t>
      </w:r>
      <w:r w:rsidR="004F3D7E">
        <w:t>few</w:t>
      </w:r>
      <w:r w:rsidR="004F3D7E" w:rsidRPr="00F62CFC">
        <w:t xml:space="preserve"> </w:t>
      </w:r>
      <w:r w:rsidRPr="00F62CFC">
        <w:t xml:space="preserve">high priority economic integration issues which build on the achievements </w:t>
      </w:r>
      <w:r w:rsidR="00756B0E">
        <w:t>to date</w:t>
      </w:r>
      <w:r w:rsidRPr="00F62CFC">
        <w:t>.</w:t>
      </w:r>
      <w:r w:rsidR="00710337">
        <w:t xml:space="preserve"> </w:t>
      </w:r>
      <w:r w:rsidRPr="00F62CFC">
        <w:t>The program design will draw on the successful technical assistance approach used in the rural water supply and sanitation sector.</w:t>
      </w:r>
    </w:p>
    <w:p w14:paraId="49FC09FA" w14:textId="77777777" w:rsidR="00DF7AE1" w:rsidRDefault="004F3D7E" w:rsidP="00BD2FEE">
      <w:pPr>
        <w:pStyle w:val="BodyText"/>
      </w:pPr>
      <w:r>
        <w:t xml:space="preserve">Construction </w:t>
      </w:r>
      <w:r w:rsidR="00756B0E">
        <w:t xml:space="preserve">of the Cao Lanh bridge </w:t>
      </w:r>
      <w:r>
        <w:t xml:space="preserve">will commence </w:t>
      </w:r>
      <w:r w:rsidR="00DF7AE1">
        <w:t>in 2013</w:t>
      </w:r>
      <w:r>
        <w:t>–</w:t>
      </w:r>
      <w:r w:rsidR="00DF7AE1">
        <w:t>14.</w:t>
      </w:r>
      <w:r w:rsidR="00710337">
        <w:t xml:space="preserve"> </w:t>
      </w:r>
      <w:r w:rsidR="00DF7AE1">
        <w:t>Key management actions are:</w:t>
      </w:r>
    </w:p>
    <w:p w14:paraId="6517A71E" w14:textId="77777777" w:rsidR="00BE4BDF" w:rsidRPr="00147846" w:rsidRDefault="00DF7AE1" w:rsidP="00BD2FEE">
      <w:pPr>
        <w:pStyle w:val="ListBullet"/>
      </w:pPr>
      <w:r>
        <w:t>e</w:t>
      </w:r>
      <w:r w:rsidR="00BE4BDF" w:rsidRPr="00DF7AE1">
        <w:t>ffective implementation of the land acquisition and resettlement framework for the bridge</w:t>
      </w:r>
      <w:r w:rsidR="004F3D7E">
        <w:t>––</w:t>
      </w:r>
      <w:r>
        <w:t xml:space="preserve">this is </w:t>
      </w:r>
      <w:r w:rsidR="00BE4BDF" w:rsidRPr="00DF7AE1">
        <w:t>the highest risk for the Vietnam program in 2013</w:t>
      </w:r>
      <w:r w:rsidR="004F3D7E">
        <w:t>–</w:t>
      </w:r>
      <w:r w:rsidR="00BE4BDF" w:rsidRPr="00DF7AE1">
        <w:t>14</w:t>
      </w:r>
    </w:p>
    <w:p w14:paraId="577307EF" w14:textId="77777777" w:rsidR="003E0E66" w:rsidRPr="00DF7AE1" w:rsidRDefault="00945B0A" w:rsidP="00BD2FEE">
      <w:pPr>
        <w:pStyle w:val="ListBullet"/>
      </w:pPr>
      <w:r>
        <w:t>e</w:t>
      </w:r>
      <w:r w:rsidR="00DF7AE1">
        <w:t>stablish</w:t>
      </w:r>
      <w:r w:rsidR="004F3D7E">
        <w:t xml:space="preserve">ing </w:t>
      </w:r>
      <w:r w:rsidR="00DF7AE1">
        <w:t>a monitoring and evaluation system for the construction phase</w:t>
      </w:r>
      <w:r w:rsidR="004F3D7E">
        <w:t>.</w:t>
      </w:r>
    </w:p>
    <w:p w14:paraId="73043416" w14:textId="77777777" w:rsidR="00953CAB" w:rsidRPr="00F62CFC" w:rsidRDefault="00953CAB" w:rsidP="00BD2FEE">
      <w:pPr>
        <w:pStyle w:val="Heading2"/>
      </w:pPr>
      <w:r w:rsidRPr="00F62CFC">
        <w:t xml:space="preserve">Strategic </w:t>
      </w:r>
      <w:r w:rsidR="004F3D7E">
        <w:t>o</w:t>
      </w:r>
      <w:r w:rsidR="004F3D7E" w:rsidRPr="00F62CFC">
        <w:t xml:space="preserve">bjective </w:t>
      </w:r>
      <w:r w:rsidR="00F13F24" w:rsidRPr="00F62CFC">
        <w:t xml:space="preserve">three </w:t>
      </w:r>
      <w:r w:rsidRPr="00F62CFC">
        <w:t xml:space="preserve">– </w:t>
      </w:r>
      <w:r w:rsidR="00F13F24" w:rsidRPr="00F62CFC">
        <w:t>rural water supply and sanitation</w:t>
      </w:r>
    </w:p>
    <w:p w14:paraId="034F2F26" w14:textId="77777777" w:rsidR="00DF7AE1" w:rsidRDefault="00DF7AE1" w:rsidP="00BD2FEE">
      <w:pPr>
        <w:pStyle w:val="BodyText"/>
      </w:pPr>
      <w:r>
        <w:t>Drawing on the 2012</w:t>
      </w:r>
      <w:r w:rsidR="004F3D7E">
        <w:t>–</w:t>
      </w:r>
      <w:r>
        <w:t>13 assessment above, key management consequences include:</w:t>
      </w:r>
    </w:p>
    <w:p w14:paraId="0FD081BA" w14:textId="77777777" w:rsidR="00496F8D" w:rsidRPr="00147846" w:rsidRDefault="004F3D7E" w:rsidP="00BD2FEE">
      <w:pPr>
        <w:pStyle w:val="ListBullet"/>
      </w:pPr>
      <w:r>
        <w:t xml:space="preserve">providing </w:t>
      </w:r>
      <w:r w:rsidR="002B61A8" w:rsidRPr="00DF7AE1">
        <w:t>technical assistance to six provinces to restor</w:t>
      </w:r>
      <w:r>
        <w:t>e</w:t>
      </w:r>
      <w:r w:rsidR="002B61A8" w:rsidRPr="00DF7AE1">
        <w:t xml:space="preserve"> functionality of underperforming water supply and sanitation facilities</w:t>
      </w:r>
      <w:r>
        <w:t>,</w:t>
      </w:r>
      <w:r w:rsidR="002B61A8" w:rsidRPr="00DF7AE1">
        <w:t xml:space="preserve"> which goes beyond regular operation and maintenance needs</w:t>
      </w:r>
    </w:p>
    <w:p w14:paraId="4D0D6389" w14:textId="77777777" w:rsidR="00496F8D" w:rsidRPr="00DF7AE1" w:rsidRDefault="004F3D7E" w:rsidP="00BD2FEE">
      <w:pPr>
        <w:pStyle w:val="ListBullet"/>
      </w:pPr>
      <w:r>
        <w:t xml:space="preserve">establishing </w:t>
      </w:r>
      <w:r w:rsidR="00496F8D" w:rsidRPr="00DF7AE1">
        <w:t xml:space="preserve">water quality testing laboratories in four provinces consistent with </w:t>
      </w:r>
      <w:r>
        <w:t>the Ministry of Agriculture and Rural Development’s</w:t>
      </w:r>
      <w:r w:rsidRPr="00DF7AE1">
        <w:t xml:space="preserve"> </w:t>
      </w:r>
      <w:r w:rsidR="00496F8D" w:rsidRPr="00DF7AE1">
        <w:t>water quality management plan.</w:t>
      </w:r>
      <w:r w:rsidR="00710337">
        <w:t xml:space="preserve"> </w:t>
      </w:r>
    </w:p>
    <w:p w14:paraId="15B05AA2" w14:textId="77777777" w:rsidR="00953CAB" w:rsidRPr="00833EB7" w:rsidRDefault="00953CAB" w:rsidP="00BD2FEE">
      <w:pPr>
        <w:pStyle w:val="Heading2"/>
      </w:pPr>
      <w:r w:rsidRPr="00833EB7">
        <w:t xml:space="preserve">Strategic </w:t>
      </w:r>
      <w:r w:rsidR="004F3D7E" w:rsidRPr="00833EB7">
        <w:t>objective four – advance climate change adaptation and mitigation</w:t>
      </w:r>
    </w:p>
    <w:p w14:paraId="2991C6DB" w14:textId="3898CDD2" w:rsidR="00953CAB" w:rsidRDefault="004F3D7E" w:rsidP="00BD2FEE">
      <w:pPr>
        <w:pStyle w:val="BodyText"/>
      </w:pPr>
      <w:r>
        <w:t xml:space="preserve">Climate change adaption and mitigation is </w:t>
      </w:r>
      <w:r w:rsidR="00833EB7">
        <w:t>a relatively new area of engagement for Aus</w:t>
      </w:r>
      <w:r w:rsidR="005F15ED">
        <w:t>tralian aid</w:t>
      </w:r>
      <w:r w:rsidR="00833EB7">
        <w:t xml:space="preserve"> in Vietnam, </w:t>
      </w:r>
      <w:r>
        <w:t xml:space="preserve">and </w:t>
      </w:r>
      <w:r w:rsidR="00833EB7">
        <w:t>a number of new programs are currently being mobilised or at the early stages of implementation</w:t>
      </w:r>
      <w:r w:rsidR="00756B0E">
        <w:t>.</w:t>
      </w:r>
      <w:r w:rsidR="00833EB7">
        <w:t xml:space="preserve"> </w:t>
      </w:r>
      <w:r w:rsidR="00756B0E">
        <w:t xml:space="preserve">These </w:t>
      </w:r>
      <w:r w:rsidR="00833EB7">
        <w:t>will require close management. Drawing on the 2012</w:t>
      </w:r>
      <w:r>
        <w:t>–</w:t>
      </w:r>
      <w:r w:rsidR="00833EB7">
        <w:t xml:space="preserve">13 assessment above, key management consequences for </w:t>
      </w:r>
      <w:r w:rsidR="00A80353">
        <w:t xml:space="preserve">the </w:t>
      </w:r>
      <w:r w:rsidR="00833EB7">
        <w:t>following year include:</w:t>
      </w:r>
    </w:p>
    <w:p w14:paraId="39794C1F" w14:textId="3F78D05E" w:rsidR="00953CAB" w:rsidRPr="00294CBF" w:rsidRDefault="004F3D7E" w:rsidP="00BD2FEE">
      <w:pPr>
        <w:pStyle w:val="ListBullet"/>
      </w:pPr>
      <w:r>
        <w:t>r</w:t>
      </w:r>
      <w:r w:rsidRPr="00294CBF">
        <w:t>espon</w:t>
      </w:r>
      <w:r>
        <w:t>ding</w:t>
      </w:r>
      <w:r w:rsidRPr="00294CBF">
        <w:t xml:space="preserve"> </w:t>
      </w:r>
      <w:r w:rsidR="00953CAB" w:rsidRPr="00294CBF">
        <w:t>to the</w:t>
      </w:r>
      <w:r w:rsidR="00445C4E">
        <w:t xml:space="preserve"> </w:t>
      </w:r>
      <w:r w:rsidR="005F15ED">
        <w:t>Australian Government</w:t>
      </w:r>
      <w:r>
        <w:t>–</w:t>
      </w:r>
      <w:r w:rsidR="00953CAB" w:rsidRPr="00294CBF">
        <w:t xml:space="preserve">GIZ </w:t>
      </w:r>
      <w:r>
        <w:t>p</w:t>
      </w:r>
      <w:r w:rsidRPr="00294CBF">
        <w:t xml:space="preserve">rogress </w:t>
      </w:r>
      <w:r>
        <w:t>r</w:t>
      </w:r>
      <w:r w:rsidRPr="00294CBF">
        <w:t xml:space="preserve">eview </w:t>
      </w:r>
      <w:r w:rsidR="00953CAB" w:rsidRPr="00294CBF">
        <w:t xml:space="preserve">recommendations for </w:t>
      </w:r>
      <w:r>
        <w:t xml:space="preserve">the </w:t>
      </w:r>
      <w:r w:rsidRPr="00294CBF">
        <w:t>Climate Change and Coastal Ecosystems Program</w:t>
      </w:r>
      <w:r w:rsidR="00953CAB" w:rsidRPr="00294CBF">
        <w:t xml:space="preserve">, including the alignment of </w:t>
      </w:r>
      <w:r w:rsidR="005F15ED">
        <w:t>DFAT</w:t>
      </w:r>
      <w:r w:rsidR="00953CAB" w:rsidRPr="00294CBF">
        <w:t xml:space="preserve">’s commitment with </w:t>
      </w:r>
      <w:r w:rsidR="00756B0E">
        <w:t xml:space="preserve">the </w:t>
      </w:r>
      <w:r w:rsidR="00756B0E" w:rsidRPr="00294CBF">
        <w:t xml:space="preserve">phased approach </w:t>
      </w:r>
      <w:r w:rsidR="00756B0E">
        <w:t xml:space="preserve">of </w:t>
      </w:r>
      <w:r w:rsidRPr="00004E18">
        <w:rPr>
          <w:rStyle w:val="BodyTextChar"/>
        </w:rPr>
        <w:t xml:space="preserve">Germany's Ministry for Economic Cooperation and Development </w:t>
      </w:r>
      <w:r w:rsidR="00756B0E" w:rsidRPr="00004E18">
        <w:rPr>
          <w:rStyle w:val="BodyTextChar"/>
        </w:rPr>
        <w:t>(</w:t>
      </w:r>
      <w:r w:rsidR="00953CAB" w:rsidRPr="00294CBF">
        <w:t>BM</w:t>
      </w:r>
      <w:r w:rsidR="00756B0E">
        <w:t>Z).</w:t>
      </w:r>
      <w:r w:rsidR="00953CAB" w:rsidRPr="00294CBF">
        <w:t xml:space="preserve"> </w:t>
      </w:r>
      <w:r w:rsidR="00756B0E">
        <w:t xml:space="preserve">This </w:t>
      </w:r>
      <w:r w:rsidR="00945B0A">
        <w:t>may</w:t>
      </w:r>
      <w:r w:rsidR="00756B0E">
        <w:t xml:space="preserve"> lead</w:t>
      </w:r>
      <w:r w:rsidR="00953CAB" w:rsidRPr="00294CBF">
        <w:t xml:space="preserve"> to a no-cost extension of support through to June 2017</w:t>
      </w:r>
    </w:p>
    <w:p w14:paraId="7D6A2104" w14:textId="77777777" w:rsidR="00953CAB" w:rsidRDefault="004F3D7E" w:rsidP="00BD2FEE">
      <w:pPr>
        <w:pStyle w:val="ListBullet"/>
      </w:pPr>
      <w:r>
        <w:t xml:space="preserve">mobilising </w:t>
      </w:r>
      <w:r w:rsidR="00953CAB">
        <w:t xml:space="preserve">a climate change specialist within the team to provide technical and policy advice on </w:t>
      </w:r>
      <w:r>
        <w:t>related</w:t>
      </w:r>
      <w:r w:rsidR="00953CAB">
        <w:t xml:space="preserve"> issues, including support for the integration of disaster risk reduction, environment and climate change across the Vietnam program</w:t>
      </w:r>
    </w:p>
    <w:p w14:paraId="6B819BE6" w14:textId="77777777" w:rsidR="00953CAB" w:rsidRDefault="00953CAB" w:rsidP="00BD2FEE">
      <w:pPr>
        <w:pStyle w:val="ListBullet"/>
      </w:pPr>
      <w:r>
        <w:t>evaluatin</w:t>
      </w:r>
      <w:r w:rsidR="004F3D7E">
        <w:t>g</w:t>
      </w:r>
      <w:r>
        <w:t xml:space="preserve"> the six partnerships under the </w:t>
      </w:r>
      <w:r w:rsidR="001A374B">
        <w:t>c</w:t>
      </w:r>
      <w:r>
        <w:t xml:space="preserve">ommunity-based </w:t>
      </w:r>
      <w:r w:rsidR="001A374B">
        <w:t>c</w:t>
      </w:r>
      <w:r>
        <w:t xml:space="preserve">limate </w:t>
      </w:r>
      <w:r w:rsidR="001A374B">
        <w:t>c</w:t>
      </w:r>
      <w:r>
        <w:t xml:space="preserve">hange </w:t>
      </w:r>
      <w:r w:rsidR="001A374B">
        <w:t>a</w:t>
      </w:r>
      <w:r>
        <w:t xml:space="preserve">ction </w:t>
      </w:r>
      <w:r w:rsidR="001A374B">
        <w:t>g</w:t>
      </w:r>
      <w:r>
        <w:t xml:space="preserve">rants in the first half of 2014 </w:t>
      </w:r>
      <w:r w:rsidR="004F3D7E">
        <w:t>for</w:t>
      </w:r>
      <w:r>
        <w:t xml:space="preserve"> the possible continuation of activities beyond 2014 based on performance and available funds</w:t>
      </w:r>
    </w:p>
    <w:p w14:paraId="6646B3B9" w14:textId="77777777" w:rsidR="00953CAB" w:rsidRDefault="004F3D7E" w:rsidP="00BD2FEE">
      <w:pPr>
        <w:pStyle w:val="ListBullet"/>
      </w:pPr>
      <w:r>
        <w:t xml:space="preserve">agreeing </w:t>
      </w:r>
      <w:r w:rsidR="00953CAB">
        <w:t xml:space="preserve">with </w:t>
      </w:r>
      <w:r>
        <w:t xml:space="preserve">the United Kingdom’s </w:t>
      </w:r>
      <w:r w:rsidRPr="00F40408">
        <w:rPr>
          <w:iCs/>
          <w:lang w:val="en-US"/>
        </w:rPr>
        <w:t>Department for International Development</w:t>
      </w:r>
      <w:r w:rsidRPr="004F3D7E">
        <w:t xml:space="preserve"> </w:t>
      </w:r>
      <w:r w:rsidR="00953CAB">
        <w:t>on a joint management framework for co-funding the establishment of a Climate Innovation Centre in Vietnam</w:t>
      </w:r>
    </w:p>
    <w:p w14:paraId="4169B313" w14:textId="77777777" w:rsidR="00953CAB" w:rsidRPr="00294CBF" w:rsidRDefault="004F3D7E" w:rsidP="00BD2FEE">
      <w:pPr>
        <w:pStyle w:val="ListBullet"/>
      </w:pPr>
      <w:r>
        <w:lastRenderedPageBreak/>
        <w:t xml:space="preserve">assessing </w:t>
      </w:r>
      <w:r w:rsidR="00945B0A">
        <w:t>the G</w:t>
      </w:r>
      <w:r>
        <w:t>overnment</w:t>
      </w:r>
      <w:r w:rsidR="00953CAB">
        <w:t xml:space="preserve"> </w:t>
      </w:r>
      <w:r w:rsidR="00945B0A">
        <w:t xml:space="preserve">of Vietnam’s </w:t>
      </w:r>
      <w:r w:rsidR="00953CAB">
        <w:t xml:space="preserve">progress against outstanding policy actions from the </w:t>
      </w:r>
      <w:r w:rsidRPr="00294CBF">
        <w:t xml:space="preserve">Support Program to Respond to Climate Change </w:t>
      </w:r>
      <w:r w:rsidR="00953CAB">
        <w:t>2012 cycle, which will trigger our next $8 million contribution</w:t>
      </w:r>
      <w:r>
        <w:t>. This</w:t>
      </w:r>
      <w:r w:rsidR="00953CAB">
        <w:t xml:space="preserve"> includ</w:t>
      </w:r>
      <w:r>
        <w:t xml:space="preserve">es </w:t>
      </w:r>
      <w:r w:rsidR="00953CAB">
        <w:t>mobilis</w:t>
      </w:r>
      <w:r>
        <w:t xml:space="preserve">ing </w:t>
      </w:r>
      <w:r w:rsidR="00953CAB">
        <w:t xml:space="preserve">our </w:t>
      </w:r>
      <w:r w:rsidR="00945B0A">
        <w:t>technical assistance</w:t>
      </w:r>
      <w:r w:rsidR="00953CAB">
        <w:t xml:space="preserve"> facility to support line ministries in their policy development.</w:t>
      </w:r>
    </w:p>
    <w:p w14:paraId="0F07A4D7" w14:textId="77777777" w:rsidR="007A6B87" w:rsidRPr="00833EB7" w:rsidRDefault="007A6B87" w:rsidP="00BD2FEE">
      <w:pPr>
        <w:pStyle w:val="Heading2"/>
      </w:pPr>
      <w:r w:rsidRPr="00833EB7">
        <w:t>Cross-cutting issues</w:t>
      </w:r>
    </w:p>
    <w:p w14:paraId="334B83C7" w14:textId="77777777" w:rsidR="007452F9" w:rsidRDefault="007452F9" w:rsidP="00BD2FEE">
      <w:pPr>
        <w:pStyle w:val="BodyText"/>
      </w:pPr>
      <w:r>
        <w:t>Key management consequences include:</w:t>
      </w:r>
    </w:p>
    <w:p w14:paraId="730B418E" w14:textId="77777777" w:rsidR="007452F9" w:rsidRDefault="007A6B87" w:rsidP="00BD2FEE">
      <w:pPr>
        <w:pStyle w:val="ListBullet"/>
      </w:pPr>
      <w:r w:rsidRPr="007452F9">
        <w:t>review</w:t>
      </w:r>
      <w:r w:rsidR="00945B0A">
        <w:t>ing</w:t>
      </w:r>
      <w:r w:rsidRPr="007452F9">
        <w:t xml:space="preserve"> the anti-corruption training program with the Communist Party Inspectorate to assess effectiveness and inform a potential new phase</w:t>
      </w:r>
    </w:p>
    <w:p w14:paraId="11DEE3BE" w14:textId="77777777" w:rsidR="007A6B87" w:rsidRPr="005F460C" w:rsidRDefault="007452F9" w:rsidP="00BD2FEE">
      <w:pPr>
        <w:pStyle w:val="ListBullet"/>
      </w:pPr>
      <w:r>
        <w:t>d</w:t>
      </w:r>
      <w:r w:rsidR="007A6B87" w:rsidRPr="007452F9">
        <w:t>esign</w:t>
      </w:r>
      <w:r w:rsidR="00945B0A">
        <w:t>ing</w:t>
      </w:r>
      <w:r w:rsidR="007A6B87" w:rsidRPr="007452F9">
        <w:t xml:space="preserve"> Phase 5 of the Human Rights Technical Cooperation Program</w:t>
      </w:r>
    </w:p>
    <w:p w14:paraId="2ED3ACF1" w14:textId="18DE8E60" w:rsidR="007A6B87" w:rsidRPr="007452F9" w:rsidRDefault="007A6B87" w:rsidP="00BD2FEE">
      <w:pPr>
        <w:pStyle w:val="ListBullet"/>
      </w:pPr>
      <w:r w:rsidRPr="007452F9">
        <w:t>develop</w:t>
      </w:r>
      <w:r w:rsidR="00945B0A">
        <w:t>ing</w:t>
      </w:r>
      <w:r w:rsidRPr="007452F9">
        <w:t xml:space="preserve"> and implement</w:t>
      </w:r>
      <w:r w:rsidR="00945B0A">
        <w:t>ing</w:t>
      </w:r>
      <w:r w:rsidRPr="007452F9">
        <w:t xml:space="preserve"> the </w:t>
      </w:r>
      <w:r w:rsidR="00945B0A">
        <w:t xml:space="preserve">first </w:t>
      </w:r>
      <w:r w:rsidR="002A4D70">
        <w:t>y</w:t>
      </w:r>
      <w:r w:rsidR="002A4D70" w:rsidRPr="007452F9">
        <w:t xml:space="preserve">ear </w:t>
      </w:r>
      <w:r w:rsidR="002A4D70">
        <w:t>w</w:t>
      </w:r>
      <w:r w:rsidR="002A4D70" w:rsidRPr="007452F9">
        <w:t xml:space="preserve">ork </w:t>
      </w:r>
      <w:r w:rsidR="002A4D70">
        <w:t>p</w:t>
      </w:r>
      <w:r w:rsidR="002A4D70" w:rsidRPr="007452F9">
        <w:t xml:space="preserve">lan </w:t>
      </w:r>
      <w:r w:rsidRPr="007452F9">
        <w:t xml:space="preserve">of the </w:t>
      </w:r>
      <w:r w:rsidR="006D2CF2">
        <w:t xml:space="preserve">DFAT </w:t>
      </w:r>
      <w:r w:rsidRPr="007452F9">
        <w:t>Gender Action Plan.</w:t>
      </w:r>
    </w:p>
    <w:p w14:paraId="099E66E1" w14:textId="77777777" w:rsidR="000D1993" w:rsidRPr="000D1993" w:rsidRDefault="000D1993" w:rsidP="00BD2FEE">
      <w:pPr>
        <w:pStyle w:val="Heading2"/>
      </w:pPr>
      <w:r w:rsidRPr="000D1993">
        <w:t xml:space="preserve">Risk </w:t>
      </w:r>
      <w:r w:rsidR="002A4D70">
        <w:t>m</w:t>
      </w:r>
      <w:r w:rsidR="002A4D70" w:rsidRPr="000D1993">
        <w:t>anagement</w:t>
      </w:r>
    </w:p>
    <w:p w14:paraId="1CDD8A9A" w14:textId="77777777" w:rsidR="002A4D70" w:rsidRDefault="004E01E9" w:rsidP="00BD2FEE">
      <w:pPr>
        <w:pStyle w:val="BodyText"/>
      </w:pPr>
      <w:r w:rsidRPr="00833EB7">
        <w:t>The Vietnam program has prepared risk registers for individual sectors. The</w:t>
      </w:r>
      <w:r w:rsidR="002A4D70">
        <w:t>se</w:t>
      </w:r>
      <w:r w:rsidRPr="00833EB7">
        <w:t xml:space="preserve"> are reviewed quarterly and updated as needed.</w:t>
      </w:r>
      <w:r w:rsidR="00710337">
        <w:t xml:space="preserve"> </w:t>
      </w:r>
      <w:r w:rsidRPr="00833EB7">
        <w:t xml:space="preserve">Risks are </w:t>
      </w:r>
      <w:r w:rsidR="002A4D70">
        <w:t xml:space="preserve">also </w:t>
      </w:r>
      <w:r w:rsidRPr="00833EB7">
        <w:t>discussed with implementing partners.</w:t>
      </w:r>
      <w:r w:rsidR="00710337">
        <w:t xml:space="preserve"> </w:t>
      </w:r>
    </w:p>
    <w:p w14:paraId="7A1AE6A5" w14:textId="77777777" w:rsidR="002A4D70" w:rsidRDefault="002A4D70" w:rsidP="00BD2FEE">
      <w:pPr>
        <w:pStyle w:val="BodyText"/>
      </w:pPr>
    </w:p>
    <w:p w14:paraId="750F4AB0" w14:textId="77777777" w:rsidR="00712349" w:rsidRDefault="004E01E9" w:rsidP="00BD2FEE">
      <w:pPr>
        <w:pStyle w:val="BodyText"/>
      </w:pPr>
      <w:r w:rsidRPr="00833EB7">
        <w:t>The risks identified in these plans are managed either by sector teams or elevated to senior managers.</w:t>
      </w:r>
      <w:r w:rsidR="00710337">
        <w:t xml:space="preserve"> </w:t>
      </w:r>
      <w:r w:rsidRPr="00833EB7">
        <w:t>Only two risks have been identified for elevation to senior management.</w:t>
      </w:r>
      <w:r w:rsidR="00710337">
        <w:t xml:space="preserve"> </w:t>
      </w:r>
      <w:r w:rsidRPr="00833EB7">
        <w:t>They are resettlement and land acquisition for the Cao Lanh Bridge</w:t>
      </w:r>
      <w:r w:rsidR="002A4D70">
        <w:t>,</w:t>
      </w:r>
      <w:r w:rsidRPr="00833EB7">
        <w:t xml:space="preserve"> and fiduciary risks associated with budget support operations.</w:t>
      </w:r>
      <w:r w:rsidR="00710337">
        <w:t xml:space="preserve"> </w:t>
      </w:r>
      <w:r w:rsidRPr="00833EB7">
        <w:t>Table 3 below outlines the management response to these.</w:t>
      </w:r>
    </w:p>
    <w:p w14:paraId="6097564A" w14:textId="2D08C5C1" w:rsidR="00BD2FEE" w:rsidRDefault="00BD2FEE" w:rsidP="00004E18">
      <w:pPr>
        <w:pStyle w:val="BodyText"/>
      </w:pPr>
    </w:p>
    <w:p w14:paraId="66B140CA" w14:textId="77777777" w:rsidR="00833EB7" w:rsidRPr="00BD2FEE" w:rsidRDefault="00833EB7" w:rsidP="00BD2FEE">
      <w:pPr>
        <w:pStyle w:val="Caption"/>
      </w:pPr>
      <w:r w:rsidRPr="00BD2FEE">
        <w:t xml:space="preserve">Table </w:t>
      </w:r>
      <w:r w:rsidR="007F2A89">
        <w:fldChar w:fldCharType="begin"/>
      </w:r>
      <w:r w:rsidR="007F2A89">
        <w:instrText xml:space="preserve"> SEQ Table \* ARABIC </w:instrText>
      </w:r>
      <w:r w:rsidR="007F2A89">
        <w:fldChar w:fldCharType="separate"/>
      </w:r>
      <w:r w:rsidR="008C6687">
        <w:rPr>
          <w:noProof/>
        </w:rPr>
        <w:t>3</w:t>
      </w:r>
      <w:r w:rsidR="007F2A89">
        <w:rPr>
          <w:noProof/>
        </w:rPr>
        <w:fldChar w:fldCharType="end"/>
      </w:r>
      <w:r w:rsidR="002A4D70" w:rsidRPr="00BD2FEE">
        <w:t>:</w:t>
      </w:r>
      <w:r w:rsidRPr="00BD2FEE">
        <w:t xml:space="preserve"> Risks associated with the program and management actions</w:t>
      </w:r>
    </w:p>
    <w:tbl>
      <w:tblPr>
        <w:tblStyle w:val="APPR"/>
        <w:tblW w:w="5000" w:type="pct"/>
        <w:tblLook w:val="0600" w:firstRow="0" w:lastRow="0" w:firstColumn="0" w:lastColumn="0" w:noHBand="1" w:noVBand="1"/>
      </w:tblPr>
      <w:tblGrid>
        <w:gridCol w:w="2688"/>
        <w:gridCol w:w="5918"/>
      </w:tblGrid>
      <w:tr w:rsidR="00180B19" w:rsidRPr="00180B19" w14:paraId="39E46C8B" w14:textId="77777777" w:rsidTr="00A14FE9">
        <w:tc>
          <w:tcPr>
            <w:tcW w:w="2646" w:type="dxa"/>
            <w:hideMark/>
          </w:tcPr>
          <w:p w14:paraId="390F7327" w14:textId="77777777" w:rsidR="00180B19" w:rsidRPr="00BD2FEE" w:rsidRDefault="00180B19" w:rsidP="00BD2FEE">
            <w:pPr>
              <w:pStyle w:val="TableTextColumnHeading"/>
            </w:pPr>
            <w:r w:rsidRPr="00BD2FEE">
              <w:t>Most significant risks</w:t>
            </w:r>
          </w:p>
        </w:tc>
        <w:tc>
          <w:tcPr>
            <w:tcW w:w="5876" w:type="dxa"/>
          </w:tcPr>
          <w:p w14:paraId="20C17CFB" w14:textId="77777777" w:rsidR="00180B19" w:rsidRPr="00BD2FEE" w:rsidRDefault="00180B19" w:rsidP="00BD2FEE">
            <w:pPr>
              <w:pStyle w:val="TableTextColumnHeading"/>
            </w:pPr>
            <w:r w:rsidRPr="00BD2FEE">
              <w:t xml:space="preserve">Management </w:t>
            </w:r>
            <w:r w:rsidR="002A4D70" w:rsidRPr="00BD2FEE">
              <w:t xml:space="preserve">response </w:t>
            </w:r>
            <w:r w:rsidRPr="00BD2FEE">
              <w:t xml:space="preserve">– What? Who? How? When? </w:t>
            </w:r>
          </w:p>
        </w:tc>
      </w:tr>
      <w:tr w:rsidR="00180B19" w:rsidRPr="00180B19" w14:paraId="1F06E7B4" w14:textId="77777777" w:rsidTr="00A14FE9">
        <w:tc>
          <w:tcPr>
            <w:tcW w:w="2646" w:type="dxa"/>
            <w:hideMark/>
          </w:tcPr>
          <w:p w14:paraId="0D78DBFE" w14:textId="590E0CDA" w:rsidR="00D074BF" w:rsidRPr="00BD2FEE" w:rsidRDefault="007A6B87" w:rsidP="00BD2FEE">
            <w:pPr>
              <w:pStyle w:val="TableTextEntries"/>
            </w:pPr>
            <w:r w:rsidRPr="00BD2FEE">
              <w:t>Cao Lanh Bridge land acquisition and resettlement</w:t>
            </w:r>
          </w:p>
        </w:tc>
        <w:tc>
          <w:tcPr>
            <w:tcW w:w="5876" w:type="dxa"/>
          </w:tcPr>
          <w:p w14:paraId="709C6687" w14:textId="44973E87" w:rsidR="00537E02" w:rsidRPr="00BD2FEE" w:rsidRDefault="007A6B87" w:rsidP="00BD2FEE">
            <w:pPr>
              <w:pStyle w:val="TableTextEntries"/>
            </w:pPr>
            <w:r w:rsidRPr="00BD2FEE">
              <w:t xml:space="preserve">Additional staffing and financial resources have been allocated to </w:t>
            </w:r>
            <w:r w:rsidR="006D2CF2">
              <w:t xml:space="preserve">DFAT </w:t>
            </w:r>
            <w:r w:rsidR="00EA1B79" w:rsidRPr="00BD2FEE">
              <w:t xml:space="preserve">Hanoi to </w:t>
            </w:r>
            <w:r w:rsidRPr="00BD2FEE">
              <w:t>overs</w:t>
            </w:r>
            <w:r w:rsidR="00E04D37" w:rsidRPr="00BD2FEE">
              <w:t xml:space="preserve">ee </w:t>
            </w:r>
            <w:r w:rsidRPr="00BD2FEE">
              <w:t>land acquisition and resettlement</w:t>
            </w:r>
            <w:r w:rsidR="00E04D37" w:rsidRPr="00BD2FEE">
              <w:t>,</w:t>
            </w:r>
            <w:r w:rsidRPr="00BD2FEE">
              <w:t xml:space="preserve"> and implement a </w:t>
            </w:r>
            <w:r w:rsidR="00E04D37" w:rsidRPr="00BD2FEE">
              <w:t>social action plan</w:t>
            </w:r>
            <w:r w:rsidRPr="00BD2FEE">
              <w:t>.</w:t>
            </w:r>
            <w:r w:rsidR="00710337" w:rsidRPr="00BD2FEE">
              <w:t xml:space="preserve"> </w:t>
            </w:r>
            <w:r w:rsidR="00EA1B79" w:rsidRPr="00BD2FEE">
              <w:t xml:space="preserve">Oversight will </w:t>
            </w:r>
            <w:r w:rsidR="00E04D37" w:rsidRPr="00BD2FEE">
              <w:t>include</w:t>
            </w:r>
            <w:r w:rsidR="00EA1B79" w:rsidRPr="00BD2FEE">
              <w:t xml:space="preserve">: </w:t>
            </w:r>
          </w:p>
          <w:p w14:paraId="3B163F48" w14:textId="79468A78" w:rsidR="00537E02" w:rsidRDefault="00EA1B79" w:rsidP="00BD2FEE">
            <w:pPr>
              <w:pStyle w:val="TableListNumber"/>
            </w:pPr>
            <w:r>
              <w:t xml:space="preserve">weekly review of resettlement progress by </w:t>
            </w:r>
            <w:r w:rsidR="006D2CF2">
              <w:t xml:space="preserve">DFAT </w:t>
            </w:r>
            <w:r>
              <w:t xml:space="preserve">Hanoi resettlement senior program manager </w:t>
            </w:r>
          </w:p>
          <w:p w14:paraId="5F8678E8" w14:textId="50FE6C57" w:rsidR="00537E02" w:rsidRDefault="006D2CF2" w:rsidP="00BD2FEE">
            <w:pPr>
              <w:pStyle w:val="TableListNumber"/>
            </w:pPr>
            <w:r>
              <w:t>DFAT</w:t>
            </w:r>
            <w:r w:rsidR="00EA1B79">
              <w:t>/A</w:t>
            </w:r>
            <w:r w:rsidR="00E04D37">
              <w:t xml:space="preserve">sian </w:t>
            </w:r>
            <w:r w:rsidR="00EA1B79">
              <w:t>D</w:t>
            </w:r>
            <w:r w:rsidR="00E04D37">
              <w:t xml:space="preserve">evelopment </w:t>
            </w:r>
            <w:r w:rsidR="00EA1B79">
              <w:t>B</w:t>
            </w:r>
            <w:r w:rsidR="00E04D37">
              <w:t>ank</w:t>
            </w:r>
            <w:r w:rsidR="00EA1B79">
              <w:t xml:space="preserve"> periodic missions to review compliance with </w:t>
            </w:r>
            <w:r w:rsidR="00E04D37">
              <w:t>bank-</w:t>
            </w:r>
            <w:r w:rsidR="00EA1B79">
              <w:t xml:space="preserve">approved resettlement plans (includes an </w:t>
            </w:r>
            <w:r>
              <w:t xml:space="preserve">DFAT </w:t>
            </w:r>
            <w:r w:rsidR="00EA1B79">
              <w:t xml:space="preserve">contracted independent international specialist) </w:t>
            </w:r>
          </w:p>
          <w:p w14:paraId="44D94E9F" w14:textId="77777777" w:rsidR="00537E02" w:rsidRDefault="00AA5E1B" w:rsidP="00BD2FEE">
            <w:pPr>
              <w:pStyle w:val="TableListNumber"/>
            </w:pPr>
            <w:r>
              <w:t xml:space="preserve">independent monitoring organisation to </w:t>
            </w:r>
            <w:r w:rsidR="00EA1B79">
              <w:t xml:space="preserve">monitor social safeguards </w:t>
            </w:r>
          </w:p>
          <w:p w14:paraId="19673077" w14:textId="4B8F157B" w:rsidR="00EA1B79" w:rsidRDefault="00537E02" w:rsidP="00EA1B79">
            <w:pPr>
              <w:pStyle w:val="TableListNumber"/>
            </w:pPr>
            <w:r>
              <w:t xml:space="preserve">advice from </w:t>
            </w:r>
            <w:r w:rsidR="006D2CF2">
              <w:t xml:space="preserve">DFAT </w:t>
            </w:r>
            <w:r w:rsidR="00EA1B79">
              <w:t>Mekong and Regional Hub Social Development Adviser.</w:t>
            </w:r>
          </w:p>
          <w:p w14:paraId="26BAF483" w14:textId="77777777" w:rsidR="00537E02" w:rsidRPr="00BD2FEE" w:rsidRDefault="00EA1B79" w:rsidP="00BD2FEE">
            <w:pPr>
              <w:pStyle w:val="TableTextEntries"/>
            </w:pPr>
            <w:r w:rsidRPr="00BD2FEE">
              <w:t xml:space="preserve">The </w:t>
            </w:r>
            <w:r w:rsidR="00E04D37" w:rsidRPr="00BD2FEE">
              <w:t xml:space="preserve">social action plan </w:t>
            </w:r>
            <w:r w:rsidRPr="00BD2FEE">
              <w:t xml:space="preserve">comprises: </w:t>
            </w:r>
          </w:p>
          <w:p w14:paraId="6D4310AA" w14:textId="77777777" w:rsidR="00537E02" w:rsidRDefault="00EA1B79" w:rsidP="00BD2FEE">
            <w:pPr>
              <w:pStyle w:val="TableListNumber"/>
              <w:numPr>
                <w:ilvl w:val="0"/>
                <w:numId w:val="42"/>
              </w:numPr>
            </w:pPr>
            <w:r>
              <w:t>a US</w:t>
            </w:r>
            <w:r w:rsidR="00E04D37">
              <w:t>D</w:t>
            </w:r>
            <w:r>
              <w:t xml:space="preserve">2 million income restoration program for households affected by land acquisition </w:t>
            </w:r>
          </w:p>
          <w:p w14:paraId="40E34A1C" w14:textId="77777777" w:rsidR="00537E02" w:rsidRDefault="00EA1B79" w:rsidP="00BD2FEE">
            <w:pPr>
              <w:pStyle w:val="TableListNumber"/>
            </w:pPr>
            <w:r>
              <w:t>livelihoods restoration</w:t>
            </w:r>
            <w:r w:rsidR="004E01E9">
              <w:t xml:space="preserve"> work for business owners at the current ferry crossing sites </w:t>
            </w:r>
          </w:p>
          <w:p w14:paraId="6EFDF0AC" w14:textId="43E23B69" w:rsidR="00D074BF" w:rsidRPr="004C4A3E" w:rsidRDefault="00E04D37" w:rsidP="00BD2FEE">
            <w:pPr>
              <w:pStyle w:val="TableListNumber"/>
            </w:pPr>
            <w:r>
              <w:t xml:space="preserve">a </w:t>
            </w:r>
            <w:r w:rsidR="004E01E9">
              <w:t>gender action plan that funds involvement of women in processes of consultation, payment of compensation and livelihoods restoration programs</w:t>
            </w:r>
            <w:r w:rsidR="00BD2FEE">
              <w:t>.</w:t>
            </w:r>
          </w:p>
        </w:tc>
      </w:tr>
      <w:tr w:rsidR="00537E02" w:rsidRPr="00180B19" w14:paraId="4FC14E60" w14:textId="77777777" w:rsidTr="00A14FE9">
        <w:tc>
          <w:tcPr>
            <w:tcW w:w="2646" w:type="dxa"/>
          </w:tcPr>
          <w:p w14:paraId="66F3A98C" w14:textId="77777777" w:rsidR="00537E02" w:rsidRPr="00BD2FEE" w:rsidRDefault="00537E02" w:rsidP="00BD2FEE">
            <w:pPr>
              <w:pStyle w:val="TableTextEntries"/>
            </w:pPr>
            <w:r w:rsidRPr="00BD2FEE">
              <w:t>Fiduciary risks associated with budget support operations</w:t>
            </w:r>
          </w:p>
        </w:tc>
        <w:tc>
          <w:tcPr>
            <w:tcW w:w="5876" w:type="dxa"/>
          </w:tcPr>
          <w:p w14:paraId="2CBC52CD" w14:textId="4B37DB49" w:rsidR="00537E02" w:rsidRPr="00BD2FEE" w:rsidRDefault="00537E02" w:rsidP="006D2CF2">
            <w:pPr>
              <w:pStyle w:val="TableTextEntries"/>
            </w:pPr>
            <w:r w:rsidRPr="00BD2FEE">
              <w:t xml:space="preserve">Regular audits undertaken by independent bodies such as State Audit of Vietnam; and annual tracking studies undertaken by </w:t>
            </w:r>
            <w:r w:rsidR="006D2CF2">
              <w:t xml:space="preserve">DFAT </w:t>
            </w:r>
            <w:r w:rsidRPr="00BD2FEE">
              <w:t>Hanoi.</w:t>
            </w:r>
          </w:p>
        </w:tc>
      </w:tr>
    </w:tbl>
    <w:p w14:paraId="45E892CA" w14:textId="77777777" w:rsidR="00522AB9" w:rsidRDefault="00522AB9" w:rsidP="002A1935">
      <w:pPr>
        <w:pStyle w:val="BodyText"/>
        <w:sectPr w:rsidR="00522AB9" w:rsidSect="00612E14">
          <w:headerReference w:type="default" r:id="rId12"/>
          <w:footerReference w:type="default" r:id="rId13"/>
          <w:headerReference w:type="first" r:id="rId14"/>
          <w:footerReference w:type="first" r:id="rId15"/>
          <w:pgSz w:w="11906" w:h="16838" w:code="9"/>
          <w:pgMar w:top="2268" w:right="1701" w:bottom="907" w:left="1871" w:header="709" w:footer="454" w:gutter="0"/>
          <w:cols w:space="708"/>
          <w:titlePg/>
          <w:docGrid w:linePitch="360"/>
        </w:sectPr>
      </w:pPr>
    </w:p>
    <w:p w14:paraId="18681EDF" w14:textId="77777777" w:rsidR="00C602B7" w:rsidRDefault="00C65930" w:rsidP="00BD2FEE">
      <w:pPr>
        <w:pStyle w:val="Heading1"/>
      </w:pPr>
      <w:r w:rsidRPr="00BD2FEE">
        <w:lastRenderedPageBreak/>
        <w:t>Annex A</w:t>
      </w:r>
      <w:r w:rsidR="002911A4" w:rsidRPr="00BD2FEE">
        <w:t>:</w:t>
      </w:r>
      <w:r w:rsidR="00FE4491" w:rsidRPr="00BD2FEE">
        <w:t xml:space="preserve"> Progress in </w:t>
      </w:r>
    </w:p>
    <w:p w14:paraId="06542807" w14:textId="3D7A070F" w:rsidR="00FE4491" w:rsidRPr="00BD2FEE" w:rsidRDefault="00C602B7" w:rsidP="00BD2FEE">
      <w:pPr>
        <w:pStyle w:val="Heading1"/>
      </w:pPr>
      <w:r>
        <w:t>A</w:t>
      </w:r>
      <w:r w:rsidR="00FE4491" w:rsidRPr="00BD2FEE">
        <w:t>ddressing 2011 management consequences</w:t>
      </w:r>
    </w:p>
    <w:tbl>
      <w:tblPr>
        <w:tblStyle w:val="APPR"/>
        <w:tblW w:w="5000" w:type="pct"/>
        <w:tblLayout w:type="fixed"/>
        <w:tblLook w:val="0000" w:firstRow="0" w:lastRow="0" w:firstColumn="0" w:lastColumn="0" w:noHBand="0" w:noVBand="0"/>
      </w:tblPr>
      <w:tblGrid>
        <w:gridCol w:w="6282"/>
        <w:gridCol w:w="829"/>
        <w:gridCol w:w="6824"/>
      </w:tblGrid>
      <w:tr w:rsidR="00FE4491" w:rsidRPr="00EB1D3D" w14:paraId="59326F54" w14:textId="77777777" w:rsidTr="00C602B7">
        <w:trPr>
          <w:cnfStyle w:val="000000010000" w:firstRow="0" w:lastRow="0" w:firstColumn="0" w:lastColumn="0" w:oddVBand="0" w:evenVBand="0" w:oddHBand="0" w:evenHBand="1" w:firstRowFirstColumn="0" w:firstRowLastColumn="0" w:lastRowFirstColumn="0" w:lastRowLastColumn="0"/>
          <w:cantSplit/>
        </w:trPr>
        <w:tc>
          <w:tcPr>
            <w:tcW w:w="6473" w:type="dxa"/>
          </w:tcPr>
          <w:p w14:paraId="65904372" w14:textId="1436950A" w:rsidR="00FE4491" w:rsidRPr="00EB1D3D" w:rsidRDefault="00FE4491" w:rsidP="00C602B7">
            <w:pPr>
              <w:pStyle w:val="TableTextColumnHeading"/>
            </w:pPr>
            <w:r w:rsidRPr="00EB1D3D">
              <w:t xml:space="preserve">Management consequences identified in 2011 </w:t>
            </w:r>
            <w:r w:rsidR="0060117A">
              <w:t>annual program performance report</w:t>
            </w:r>
          </w:p>
        </w:tc>
        <w:tc>
          <w:tcPr>
            <w:tcW w:w="823" w:type="dxa"/>
          </w:tcPr>
          <w:p w14:paraId="6A786160" w14:textId="77777777" w:rsidR="00FE4491" w:rsidRPr="00EB1D3D" w:rsidRDefault="00FE4491" w:rsidP="00C602B7">
            <w:pPr>
              <w:pStyle w:val="TableTextColumnHeading"/>
            </w:pPr>
            <w:r w:rsidRPr="00EB1D3D">
              <w:t>Rating</w:t>
            </w:r>
          </w:p>
        </w:tc>
        <w:tc>
          <w:tcPr>
            <w:tcW w:w="7037" w:type="dxa"/>
          </w:tcPr>
          <w:p w14:paraId="273C8E79" w14:textId="77777777" w:rsidR="00FE4491" w:rsidRPr="00EB1D3D" w:rsidRDefault="00FE4491" w:rsidP="00C602B7">
            <w:pPr>
              <w:pStyle w:val="TableTextColumnHeading"/>
            </w:pPr>
            <w:r w:rsidRPr="00EB1D3D">
              <w:t>Progress made in 2012</w:t>
            </w:r>
            <w:r w:rsidR="006C1260" w:rsidRPr="00EB1D3D">
              <w:t>–</w:t>
            </w:r>
            <w:r w:rsidRPr="00EB1D3D">
              <w:t>13</w:t>
            </w:r>
          </w:p>
        </w:tc>
      </w:tr>
      <w:tr w:rsidR="00FE4491" w:rsidRPr="00EB1D3D" w14:paraId="21C64C61" w14:textId="77777777" w:rsidTr="00C602B7">
        <w:trPr>
          <w:cantSplit/>
          <w:tblHeader w:val="0"/>
        </w:trPr>
        <w:tc>
          <w:tcPr>
            <w:tcW w:w="6473" w:type="dxa"/>
          </w:tcPr>
          <w:p w14:paraId="7EE5CC45" w14:textId="38E463ED" w:rsidR="00FE4491" w:rsidRPr="00BD2FEE" w:rsidRDefault="006C1260" w:rsidP="006D2CF2">
            <w:pPr>
              <w:pStyle w:val="TableTextEntries"/>
            </w:pPr>
            <w:r w:rsidRPr="00BD2FEE">
              <w:t xml:space="preserve">A </w:t>
            </w:r>
            <w:r w:rsidR="00AC005D" w:rsidRPr="00BD2FEE">
              <w:t>number of corporate changes have occurred following the Australian Government’s response to the aid effectiveness review. Further effort is required so that staff can understand this changing context and help shape the corporate reform agenda</w:t>
            </w:r>
            <w:r w:rsidRPr="00BD2FEE">
              <w:t>.</w:t>
            </w:r>
          </w:p>
        </w:tc>
        <w:tc>
          <w:tcPr>
            <w:tcW w:w="823" w:type="dxa"/>
            <w:shd w:val="clear" w:color="auto" w:fill="92D050"/>
          </w:tcPr>
          <w:p w14:paraId="50DA5C57" w14:textId="77777777" w:rsidR="00FE4491" w:rsidRPr="00BD2FEE" w:rsidRDefault="00443639" w:rsidP="00C602B7">
            <w:pPr>
              <w:pStyle w:val="TableTextEntries"/>
            </w:pPr>
            <w:r w:rsidRPr="00BD2FEE">
              <w:t>Green</w:t>
            </w:r>
          </w:p>
        </w:tc>
        <w:tc>
          <w:tcPr>
            <w:tcW w:w="7037" w:type="dxa"/>
          </w:tcPr>
          <w:p w14:paraId="64155763" w14:textId="77777777" w:rsidR="00FE4491" w:rsidRPr="00BD2FEE" w:rsidRDefault="004C65C6" w:rsidP="00C602B7">
            <w:pPr>
              <w:pStyle w:val="TableTextEntries"/>
              <w:rPr>
                <w:rFonts w:eastAsia="SimSun"/>
              </w:rPr>
            </w:pPr>
            <w:r w:rsidRPr="00BD2FEE">
              <w:rPr>
                <w:rFonts w:eastAsia="SimSun"/>
              </w:rPr>
              <w:t>Information dissemination to staff on corporate changes including briefing</w:t>
            </w:r>
            <w:r w:rsidR="00AA5E1B" w:rsidRPr="00BD2FEE">
              <w:rPr>
                <w:rFonts w:eastAsia="SimSun"/>
              </w:rPr>
              <w:t>s</w:t>
            </w:r>
            <w:r w:rsidRPr="00BD2FEE">
              <w:rPr>
                <w:rFonts w:eastAsia="SimSun"/>
              </w:rPr>
              <w:t xml:space="preserve"> with Canberra s</w:t>
            </w:r>
            <w:r w:rsidR="0012429A" w:rsidRPr="00BD2FEE">
              <w:rPr>
                <w:rFonts w:eastAsia="SimSun"/>
              </w:rPr>
              <w:t>enior officers when they visit</w:t>
            </w:r>
            <w:r w:rsidRPr="00BD2FEE">
              <w:rPr>
                <w:rFonts w:eastAsia="SimSun"/>
              </w:rPr>
              <w:t xml:space="preserve"> Hanoi </w:t>
            </w:r>
            <w:r w:rsidR="0012429A" w:rsidRPr="00BD2FEE">
              <w:rPr>
                <w:rFonts w:eastAsia="SimSun"/>
              </w:rPr>
              <w:t>on mission</w:t>
            </w:r>
            <w:r w:rsidR="006C1260" w:rsidRPr="00BD2FEE">
              <w:rPr>
                <w:rFonts w:eastAsia="SimSun"/>
              </w:rPr>
              <w:t xml:space="preserve">, </w:t>
            </w:r>
            <w:r w:rsidR="0012429A" w:rsidRPr="00BD2FEE">
              <w:rPr>
                <w:rFonts w:eastAsia="SimSun"/>
              </w:rPr>
              <w:t>weekly senior management meetings to keep sector team leaders updated on changes and possible implications to the program.</w:t>
            </w:r>
          </w:p>
        </w:tc>
      </w:tr>
      <w:tr w:rsidR="00FE4491" w:rsidRPr="00EB1D3D" w14:paraId="5745FAC0" w14:textId="77777777" w:rsidTr="00C602B7">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14:paraId="4F6CEFCB" w14:textId="77777777" w:rsidR="00FE4491" w:rsidRPr="00BD2FEE" w:rsidRDefault="006C1260" w:rsidP="00C602B7">
            <w:pPr>
              <w:pStyle w:val="TableTextEntries"/>
            </w:pPr>
            <w:r w:rsidRPr="00BD2FEE">
              <w:t>A</w:t>
            </w:r>
            <w:r w:rsidR="0042527A" w:rsidRPr="00BD2FEE">
              <w:t>ccess to technical support will be a particular challenge with the completion of the Climate Change Expert Panel at the end of 2011. This panel has been instrumental in developing the new climate change delivery strategy and there will be a number of appraisal tasks in early 2012 that will require specialist climate change expertise</w:t>
            </w:r>
            <w:r w:rsidRPr="00BD2FEE">
              <w:t>.</w:t>
            </w:r>
          </w:p>
        </w:tc>
        <w:tc>
          <w:tcPr>
            <w:tcW w:w="823" w:type="dxa"/>
            <w:shd w:val="clear" w:color="auto" w:fill="92D050"/>
          </w:tcPr>
          <w:p w14:paraId="21380E52" w14:textId="77777777" w:rsidR="00FE4491" w:rsidRPr="00BD2FEE" w:rsidRDefault="00443639" w:rsidP="00C602B7">
            <w:pPr>
              <w:pStyle w:val="TableTextEntries"/>
            </w:pPr>
            <w:r w:rsidRPr="00BD2FEE">
              <w:t>Green</w:t>
            </w:r>
            <w:r w:rsidR="00FE4491" w:rsidRPr="00BD2FEE">
              <w:fldChar w:fldCharType="begin"/>
            </w:r>
            <w:r w:rsidR="00FE4491" w:rsidRPr="00BD2FEE">
              <w:instrText xml:space="preserve"> AUTOTEXTLIST  \s "Rating bullet"\t "Right click to choose a rating" \* MERGEFORMAT </w:instrText>
            </w:r>
            <w:r w:rsidR="00FE4491" w:rsidRPr="00BD2FEE">
              <w:fldChar w:fldCharType="end"/>
            </w:r>
          </w:p>
        </w:tc>
        <w:tc>
          <w:tcPr>
            <w:tcW w:w="7037" w:type="dxa"/>
          </w:tcPr>
          <w:p w14:paraId="7E8A35E1" w14:textId="48B57D6E" w:rsidR="00506A51" w:rsidRPr="00BD2FEE" w:rsidRDefault="00506A51" w:rsidP="00C602B7">
            <w:pPr>
              <w:pStyle w:val="TableTextEntries"/>
            </w:pPr>
            <w:r w:rsidRPr="00BD2FEE">
              <w:t>Technical support was provided by</w:t>
            </w:r>
            <w:r w:rsidR="00445C4E">
              <w:t xml:space="preserve"> </w:t>
            </w:r>
            <w:r w:rsidR="006D2CF2">
              <w:t xml:space="preserve">the aid </w:t>
            </w:r>
            <w:r w:rsidR="00945130">
              <w:t>program</w:t>
            </w:r>
            <w:r w:rsidRPr="00BD2FEE">
              <w:t xml:space="preserve">’s </w:t>
            </w:r>
            <w:r w:rsidR="006C1260" w:rsidRPr="00BD2FEE">
              <w:t xml:space="preserve">climate change adviser </w:t>
            </w:r>
            <w:r w:rsidRPr="00BD2FEE">
              <w:t xml:space="preserve">to undertake a number of appraisal tasks </w:t>
            </w:r>
            <w:r w:rsidR="006C1260" w:rsidRPr="00BD2FEE">
              <w:t xml:space="preserve">before </w:t>
            </w:r>
            <w:r w:rsidRPr="00BD2FEE">
              <w:t>the establishment of the new Aid Advisory Services Panel that now provides access to a broad range of expertise on climate change adaptation and mitigation.</w:t>
            </w:r>
            <w:r w:rsidR="00710337" w:rsidRPr="00BD2FEE">
              <w:t xml:space="preserve"> </w:t>
            </w:r>
            <w:r w:rsidR="006D2CF2">
              <w:t>A</w:t>
            </w:r>
            <w:r w:rsidRPr="00BD2FEE">
              <w:t xml:space="preserve"> climate change specialist position </w:t>
            </w:r>
            <w:r w:rsidR="006D2CF2">
              <w:t xml:space="preserve">has been created </w:t>
            </w:r>
            <w:r w:rsidRPr="00BD2FEE">
              <w:t xml:space="preserve">within the Vietnam </w:t>
            </w:r>
            <w:r w:rsidR="006C1260" w:rsidRPr="00BD2FEE">
              <w:t xml:space="preserve">program </w:t>
            </w:r>
            <w:r w:rsidRPr="00BD2FEE">
              <w:t xml:space="preserve">to provide advice on ongoing implementation issues (to be mobilised in </w:t>
            </w:r>
            <w:r w:rsidR="00D354D0" w:rsidRPr="00BD2FEE">
              <w:t xml:space="preserve">late July </w:t>
            </w:r>
            <w:r w:rsidRPr="00BD2FEE">
              <w:t>2013).</w:t>
            </w:r>
          </w:p>
          <w:p w14:paraId="1741EDA1" w14:textId="77777777" w:rsidR="00FE4491" w:rsidRPr="00BD2FEE" w:rsidRDefault="00FE4491" w:rsidP="00C602B7">
            <w:pPr>
              <w:pStyle w:val="TableTextEntries"/>
              <w:rPr>
                <w:rFonts w:eastAsia="SimSun"/>
              </w:rPr>
            </w:pPr>
          </w:p>
        </w:tc>
      </w:tr>
      <w:tr w:rsidR="00FE4491" w:rsidRPr="00EB1D3D" w14:paraId="08BCF140" w14:textId="77777777" w:rsidTr="00C602B7">
        <w:trPr>
          <w:cantSplit/>
          <w:tblHeader w:val="0"/>
        </w:trPr>
        <w:tc>
          <w:tcPr>
            <w:tcW w:w="6473" w:type="dxa"/>
          </w:tcPr>
          <w:p w14:paraId="32B1799C" w14:textId="77777777" w:rsidR="00FE4491" w:rsidRPr="00BD2FEE" w:rsidRDefault="006C1260" w:rsidP="00C602B7">
            <w:pPr>
              <w:pStyle w:val="TableTextEntries"/>
            </w:pPr>
            <w:r w:rsidRPr="00BD2FEE">
              <w:t xml:space="preserve">Preparation </w:t>
            </w:r>
            <w:r w:rsidR="0042527A" w:rsidRPr="00BD2FEE">
              <w:t>for and participation in supervision missions for co-financed activities with the multilateral development banks</w:t>
            </w:r>
            <w:r w:rsidRPr="00BD2FEE">
              <w:t>.</w:t>
            </w:r>
          </w:p>
        </w:tc>
        <w:tc>
          <w:tcPr>
            <w:tcW w:w="823" w:type="dxa"/>
            <w:shd w:val="clear" w:color="auto" w:fill="92D050"/>
          </w:tcPr>
          <w:p w14:paraId="5D9311B0" w14:textId="77777777" w:rsidR="00FE4491" w:rsidRPr="00BD2FEE" w:rsidRDefault="00FE4491" w:rsidP="00C602B7">
            <w:pPr>
              <w:pStyle w:val="TableTextEntries"/>
            </w:pPr>
            <w:r w:rsidRPr="00BD2FEE">
              <w:t>G</w:t>
            </w:r>
            <w:r w:rsidR="00443639" w:rsidRPr="00BD2FEE">
              <w:t>reen</w:t>
            </w:r>
          </w:p>
        </w:tc>
        <w:tc>
          <w:tcPr>
            <w:tcW w:w="7037" w:type="dxa"/>
          </w:tcPr>
          <w:p w14:paraId="6E1A79BB" w14:textId="333D18FC" w:rsidR="00FE4491" w:rsidRPr="00BD2FEE" w:rsidRDefault="006D2CF2" w:rsidP="00C602B7">
            <w:pPr>
              <w:pStyle w:val="TableTextEntries"/>
              <w:rPr>
                <w:rFonts w:eastAsia="SimSun"/>
              </w:rPr>
            </w:pPr>
            <w:r>
              <w:rPr>
                <w:rFonts w:eastAsia="SimSun"/>
              </w:rPr>
              <w:t>The Australian Government</w:t>
            </w:r>
            <w:r w:rsidR="0012429A" w:rsidRPr="00BD2FEE">
              <w:rPr>
                <w:rFonts w:eastAsia="SimSun"/>
              </w:rPr>
              <w:t xml:space="preserve">’s participation in the joint review and supervision missions was discussed and agreed between </w:t>
            </w:r>
            <w:r>
              <w:rPr>
                <w:rFonts w:eastAsia="SimSun"/>
              </w:rPr>
              <w:t>relevant</w:t>
            </w:r>
            <w:r w:rsidR="0012429A" w:rsidRPr="00BD2FEE">
              <w:rPr>
                <w:rFonts w:eastAsia="SimSun"/>
              </w:rPr>
              <w:t xml:space="preserve"> Counsellor and heads of </w:t>
            </w:r>
            <w:r w:rsidR="00AA5E1B" w:rsidRPr="00BD2FEE">
              <w:rPr>
                <w:rFonts w:eastAsia="SimSun"/>
              </w:rPr>
              <w:t xml:space="preserve">multilateral development banks </w:t>
            </w:r>
            <w:r w:rsidR="0012429A" w:rsidRPr="00BD2FEE">
              <w:rPr>
                <w:rFonts w:eastAsia="SimSun"/>
              </w:rPr>
              <w:t>at steering committee meetings.</w:t>
            </w:r>
            <w:r w:rsidR="00710337" w:rsidRPr="00BD2FEE">
              <w:rPr>
                <w:rFonts w:eastAsia="SimSun"/>
              </w:rPr>
              <w:t xml:space="preserve"> </w:t>
            </w:r>
            <w:r>
              <w:rPr>
                <w:rFonts w:eastAsia="SimSun"/>
              </w:rPr>
              <w:t>S</w:t>
            </w:r>
            <w:r w:rsidR="0012429A" w:rsidRPr="00BD2FEE">
              <w:rPr>
                <w:rFonts w:eastAsia="SimSun"/>
              </w:rPr>
              <w:t xml:space="preserve">ector team </w:t>
            </w:r>
            <w:r w:rsidR="00EB1D3D" w:rsidRPr="00BD2FEE">
              <w:rPr>
                <w:rFonts w:eastAsia="SimSun"/>
              </w:rPr>
              <w:t xml:space="preserve">were </w:t>
            </w:r>
            <w:r w:rsidR="0012429A" w:rsidRPr="00BD2FEE">
              <w:rPr>
                <w:rFonts w:eastAsia="SimSun"/>
              </w:rPr>
              <w:t>involve</w:t>
            </w:r>
            <w:r w:rsidR="006C1260" w:rsidRPr="00BD2FEE">
              <w:rPr>
                <w:rFonts w:eastAsia="SimSun"/>
              </w:rPr>
              <w:t>d</w:t>
            </w:r>
            <w:r w:rsidR="0012429A" w:rsidRPr="00BD2FEE">
              <w:rPr>
                <w:rFonts w:eastAsia="SimSun"/>
              </w:rPr>
              <w:t xml:space="preserve"> early </w:t>
            </w:r>
            <w:r w:rsidR="006C1260" w:rsidRPr="00BD2FEE">
              <w:rPr>
                <w:rFonts w:eastAsia="SimSun"/>
              </w:rPr>
              <w:t xml:space="preserve">in </w:t>
            </w:r>
            <w:r w:rsidR="0012429A" w:rsidRPr="00BD2FEE">
              <w:rPr>
                <w:rFonts w:eastAsia="SimSun"/>
              </w:rPr>
              <w:t>the planning stage</w:t>
            </w:r>
            <w:r w:rsidR="006C1260" w:rsidRPr="00BD2FEE">
              <w:rPr>
                <w:rFonts w:eastAsia="SimSun"/>
              </w:rPr>
              <w:t>,</w:t>
            </w:r>
            <w:r w:rsidR="0012429A" w:rsidRPr="00BD2FEE">
              <w:rPr>
                <w:rFonts w:eastAsia="SimSun"/>
              </w:rPr>
              <w:t xml:space="preserve"> especially</w:t>
            </w:r>
            <w:r w:rsidR="006C1260" w:rsidRPr="00BD2FEE">
              <w:rPr>
                <w:rFonts w:eastAsia="SimSun"/>
              </w:rPr>
              <w:t xml:space="preserve"> in</w:t>
            </w:r>
            <w:r w:rsidR="0012429A" w:rsidRPr="00BD2FEE">
              <w:rPr>
                <w:rFonts w:eastAsia="SimSun"/>
              </w:rPr>
              <w:t xml:space="preserve"> develop</w:t>
            </w:r>
            <w:r w:rsidR="006C1260" w:rsidRPr="00BD2FEE">
              <w:rPr>
                <w:rFonts w:eastAsia="SimSun"/>
              </w:rPr>
              <w:t>ing</w:t>
            </w:r>
            <w:r w:rsidR="0012429A" w:rsidRPr="00BD2FEE">
              <w:rPr>
                <w:rFonts w:eastAsia="SimSun"/>
              </w:rPr>
              <w:t xml:space="preserve"> </w:t>
            </w:r>
            <w:r w:rsidR="006C1260" w:rsidRPr="00BD2FEE">
              <w:rPr>
                <w:rFonts w:eastAsia="SimSun"/>
              </w:rPr>
              <w:t>terms of reference,</w:t>
            </w:r>
            <w:r w:rsidR="0012429A" w:rsidRPr="00BD2FEE">
              <w:rPr>
                <w:rFonts w:eastAsia="SimSun"/>
              </w:rPr>
              <w:t xml:space="preserve"> to ensure quality of review </w:t>
            </w:r>
            <w:r w:rsidR="006C1260" w:rsidRPr="00BD2FEE">
              <w:rPr>
                <w:rFonts w:eastAsia="SimSun"/>
              </w:rPr>
              <w:t>and</w:t>
            </w:r>
            <w:r w:rsidR="0012429A" w:rsidRPr="00BD2FEE">
              <w:rPr>
                <w:rFonts w:eastAsia="SimSun"/>
              </w:rPr>
              <w:t xml:space="preserve"> supervision missions that we are part of.</w:t>
            </w:r>
          </w:p>
        </w:tc>
      </w:tr>
      <w:tr w:rsidR="004C65C6" w:rsidRPr="00EB1D3D" w14:paraId="21E5AEC5" w14:textId="77777777" w:rsidTr="00C602B7">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14:paraId="537FD088" w14:textId="77777777" w:rsidR="004C65C6" w:rsidRPr="00BD2FEE" w:rsidRDefault="006C1260" w:rsidP="00C602B7">
            <w:pPr>
              <w:pStyle w:val="TableTextEntries"/>
            </w:pPr>
            <w:r w:rsidRPr="00BD2FEE">
              <w:t xml:space="preserve">Professional </w:t>
            </w:r>
            <w:r w:rsidR="004C65C6" w:rsidRPr="00BD2FEE">
              <w:t>development of staff to strengthen evidence-based performance management and assessment of initiatives.</w:t>
            </w:r>
          </w:p>
        </w:tc>
        <w:tc>
          <w:tcPr>
            <w:tcW w:w="823" w:type="dxa"/>
            <w:shd w:val="clear" w:color="auto" w:fill="92D050"/>
          </w:tcPr>
          <w:p w14:paraId="696FD8A8" w14:textId="77777777" w:rsidR="004C65C6" w:rsidRPr="00BD2FEE" w:rsidRDefault="004C65C6" w:rsidP="00C602B7">
            <w:pPr>
              <w:pStyle w:val="TableTextEntries"/>
            </w:pPr>
            <w:r w:rsidRPr="00BD2FEE">
              <w:t>Green</w:t>
            </w:r>
          </w:p>
        </w:tc>
        <w:tc>
          <w:tcPr>
            <w:tcW w:w="7037" w:type="dxa"/>
          </w:tcPr>
          <w:p w14:paraId="02D78A6A" w14:textId="27E8BCBF" w:rsidR="004C65C6" w:rsidRPr="00BD2FEE" w:rsidRDefault="004C65C6" w:rsidP="002116BD">
            <w:pPr>
              <w:pStyle w:val="TableTextEntries"/>
            </w:pPr>
            <w:r w:rsidRPr="00BD2FEE">
              <w:t>Contribut</w:t>
            </w:r>
            <w:r w:rsidR="00EB1D3D" w:rsidRPr="00BD2FEE">
              <w:t>ed</w:t>
            </w:r>
            <w:r w:rsidR="006659FF" w:rsidRPr="00BD2FEE">
              <w:t xml:space="preserve"> to the work on </w:t>
            </w:r>
            <w:r w:rsidR="006C1260" w:rsidRPr="00BD2FEE">
              <w:t xml:space="preserve">performance management </w:t>
            </w:r>
            <w:r w:rsidRPr="00BD2FEE">
              <w:t xml:space="preserve">and </w:t>
            </w:r>
            <w:r w:rsidR="006C1260" w:rsidRPr="00BD2FEE">
              <w:t xml:space="preserve">results </w:t>
            </w:r>
            <w:r w:rsidRPr="00BD2FEE">
              <w:t xml:space="preserve">career stream </w:t>
            </w:r>
            <w:r w:rsidR="006659FF" w:rsidRPr="00BD2FEE">
              <w:t>via our participation in the reference group headed by</w:t>
            </w:r>
            <w:r w:rsidR="00445C4E">
              <w:t xml:space="preserve"> </w:t>
            </w:r>
            <w:r w:rsidR="006D2CF2">
              <w:t xml:space="preserve">the aid </w:t>
            </w:r>
            <w:r w:rsidR="00945130">
              <w:t>program</w:t>
            </w:r>
            <w:r w:rsidR="0060117A" w:rsidRPr="00BD2FEE">
              <w:t>’s principal s</w:t>
            </w:r>
            <w:r w:rsidR="004E6A61" w:rsidRPr="00BD2FEE">
              <w:t xml:space="preserve">pecialist for </w:t>
            </w:r>
            <w:r w:rsidR="0060117A" w:rsidRPr="00BD2FEE">
              <w:t>p</w:t>
            </w:r>
            <w:r w:rsidR="004E6A61" w:rsidRPr="00BD2FEE">
              <w:t xml:space="preserve">erformance </w:t>
            </w:r>
            <w:r w:rsidR="0060117A" w:rsidRPr="00BD2FEE">
              <w:t>m</w:t>
            </w:r>
            <w:r w:rsidR="004E6A61" w:rsidRPr="00BD2FEE">
              <w:t xml:space="preserve">anagement and </w:t>
            </w:r>
            <w:r w:rsidR="0060117A" w:rsidRPr="00BD2FEE">
              <w:t>r</w:t>
            </w:r>
            <w:r w:rsidR="004E6A61" w:rsidRPr="00BD2FEE">
              <w:t>esults</w:t>
            </w:r>
            <w:r w:rsidR="00EB1D3D" w:rsidRPr="00BD2FEE">
              <w:t>.</w:t>
            </w:r>
            <w:r w:rsidR="006659FF" w:rsidRPr="00BD2FEE">
              <w:t xml:space="preserve"> </w:t>
            </w:r>
            <w:r w:rsidR="00EB1D3D" w:rsidRPr="00BD2FEE">
              <w:t>A</w:t>
            </w:r>
            <w:r w:rsidR="006659FF" w:rsidRPr="00BD2FEE">
              <w:t xml:space="preserve"> </w:t>
            </w:r>
            <w:r w:rsidR="00C970CE" w:rsidRPr="00BD2FEE">
              <w:t xml:space="preserve">plan to strengthen </w:t>
            </w:r>
            <w:r w:rsidR="006659FF" w:rsidRPr="00BD2FEE">
              <w:t xml:space="preserve">performance management </w:t>
            </w:r>
            <w:r w:rsidR="00C970CE" w:rsidRPr="00BD2FEE">
              <w:t xml:space="preserve">for </w:t>
            </w:r>
            <w:r w:rsidR="00EB1D3D" w:rsidRPr="00BD2FEE">
              <w:t xml:space="preserve">the </w:t>
            </w:r>
            <w:r w:rsidR="00C970CE" w:rsidRPr="00BD2FEE">
              <w:t>Vietnam program</w:t>
            </w:r>
            <w:r w:rsidR="006659FF" w:rsidRPr="00BD2FEE">
              <w:t xml:space="preserve"> will be developed in consultation with </w:t>
            </w:r>
            <w:r w:rsidR="006D2CF2">
              <w:t xml:space="preserve">the aid </w:t>
            </w:r>
            <w:r w:rsidR="00945130">
              <w:t>program</w:t>
            </w:r>
            <w:r w:rsidR="006D2CF2">
              <w:t xml:space="preserve"> </w:t>
            </w:r>
            <w:r w:rsidR="006659FF" w:rsidRPr="00BD2FEE">
              <w:t xml:space="preserve">Canberra and </w:t>
            </w:r>
            <w:r w:rsidR="00EB1D3D" w:rsidRPr="00BD2FEE">
              <w:t xml:space="preserve">the Mekong and </w:t>
            </w:r>
            <w:r w:rsidR="006659FF" w:rsidRPr="00BD2FEE">
              <w:t xml:space="preserve">Regional </w:t>
            </w:r>
            <w:r w:rsidR="00EB1D3D" w:rsidRPr="00BD2FEE">
              <w:t>Hub</w:t>
            </w:r>
            <w:r w:rsidR="00C970CE" w:rsidRPr="00BD2FEE">
              <w:t xml:space="preserve"> in 2013</w:t>
            </w:r>
            <w:r w:rsidR="000957FC" w:rsidRPr="00BD2FEE">
              <w:t>–</w:t>
            </w:r>
            <w:r w:rsidR="00C970CE" w:rsidRPr="00BD2FEE">
              <w:t>14</w:t>
            </w:r>
            <w:r w:rsidR="006659FF" w:rsidRPr="00BD2FEE">
              <w:t>.</w:t>
            </w:r>
          </w:p>
        </w:tc>
      </w:tr>
    </w:tbl>
    <w:p w14:paraId="036E8022" w14:textId="77777777" w:rsidR="00FE4491" w:rsidRPr="00FE4491" w:rsidRDefault="00FE4491" w:rsidP="004C65C6">
      <w:pPr>
        <w:pStyle w:val="Note"/>
        <w:tabs>
          <w:tab w:val="left" w:pos="7371"/>
        </w:tabs>
      </w:pPr>
      <w:r w:rsidRPr="00FE4491">
        <w:t xml:space="preserve">Note: </w:t>
      </w:r>
    </w:p>
    <w:p w14:paraId="4136442F" w14:textId="77777777" w:rsidR="00FE4491" w:rsidRPr="00FE4491" w:rsidRDefault="00FE4491" w:rsidP="004C65C6">
      <w:pPr>
        <w:pStyle w:val="Note"/>
        <w:tabs>
          <w:tab w:val="left" w:pos="7371"/>
        </w:tabs>
      </w:pPr>
      <w:r w:rsidRPr="00FE4491">
        <w:rPr>
          <w:color w:val="92D050"/>
        </w:rPr>
        <w:sym w:font="Webdings" w:char="F067"/>
      </w:r>
      <w:r w:rsidRPr="00FE4491">
        <w:t> </w:t>
      </w:r>
      <w:r w:rsidRPr="00FE4491">
        <w:t xml:space="preserve"> </w:t>
      </w:r>
      <w:r w:rsidR="00443639">
        <w:t>Green</w:t>
      </w:r>
      <w:r>
        <w:t>.</w:t>
      </w:r>
      <w:r>
        <w:rPr>
          <w:rFonts w:ascii="Times New Roman" w:hAnsi="Times New Roman"/>
        </w:rPr>
        <w:t xml:space="preserve"> </w:t>
      </w:r>
      <w:r w:rsidRPr="00EC3C88">
        <w:t>Progress is as expected for this point in time and it is likely that the objective will be achieved. Standard program management practices are sufficient.</w:t>
      </w:r>
    </w:p>
    <w:p w14:paraId="59E2A2E1" w14:textId="77777777" w:rsidR="00FE4491" w:rsidRDefault="00FE4491" w:rsidP="004C65C6">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14:paraId="668F697A" w14:textId="77777777" w:rsidR="00BB1C24" w:rsidRDefault="00FE4491" w:rsidP="004C65C6">
      <w:pPr>
        <w:pStyle w:val="Note"/>
      </w:pPr>
      <w:r w:rsidRPr="00FE4491">
        <w:rPr>
          <w:color w:val="FF0000"/>
        </w:rPr>
        <w:sym w:font="Webdings" w:char="F067"/>
      </w:r>
      <w:r w:rsidRPr="00FE4491">
        <w:t> </w:t>
      </w:r>
      <w:r w:rsidRPr="00FE4491">
        <w:t xml:space="preserve"> </w:t>
      </w:r>
      <w:r>
        <w:t>Red.</w:t>
      </w:r>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14:paraId="26CE620F" w14:textId="77777777" w:rsidR="00FE4491" w:rsidRDefault="00FE4491" w:rsidP="00FE4491"/>
    <w:p w14:paraId="5043D5E7" w14:textId="77777777" w:rsidR="00C602B7" w:rsidRDefault="00C602B7" w:rsidP="00FE4491"/>
    <w:p w14:paraId="5694B323" w14:textId="77777777" w:rsidR="00FE4491" w:rsidRPr="00AE2781" w:rsidRDefault="00FE4491" w:rsidP="00AE2781">
      <w:pPr>
        <w:pStyle w:val="Heading1"/>
      </w:pPr>
      <w:r w:rsidRPr="00AE2781">
        <w:lastRenderedPageBreak/>
        <w:t>Annex B</w:t>
      </w:r>
      <w:r w:rsidR="002911A4" w:rsidRPr="00AE2781">
        <w:t>:</w:t>
      </w:r>
      <w:r w:rsidRPr="00AE2781">
        <w:t xml:space="preserve"> Quality at Implementation ratings</w:t>
      </w:r>
    </w:p>
    <w:tbl>
      <w:tblPr>
        <w:tblStyle w:val="APPR"/>
        <w:tblW w:w="5000" w:type="pct"/>
        <w:tblLayout w:type="fixed"/>
        <w:tblLook w:val="04A0" w:firstRow="1" w:lastRow="0" w:firstColumn="1" w:lastColumn="0" w:noHBand="0" w:noVBand="1"/>
      </w:tblPr>
      <w:tblGrid>
        <w:gridCol w:w="4036"/>
        <w:gridCol w:w="1465"/>
        <w:gridCol w:w="1465"/>
        <w:gridCol w:w="1465"/>
        <w:gridCol w:w="827"/>
        <w:gridCol w:w="667"/>
        <w:gridCol w:w="666"/>
        <w:gridCol w:w="666"/>
        <w:gridCol w:w="666"/>
        <w:gridCol w:w="666"/>
        <w:gridCol w:w="666"/>
        <w:gridCol w:w="680"/>
      </w:tblGrid>
      <w:tr w:rsidR="00AE2781" w:rsidRPr="00BD2FEE" w14:paraId="4DBB7949" w14:textId="77777777" w:rsidTr="00A14FE9">
        <w:trPr>
          <w:cnfStyle w:val="100000000000" w:firstRow="1" w:lastRow="0" w:firstColumn="0" w:lastColumn="0" w:oddVBand="0" w:evenVBand="0" w:oddHBand="0" w:evenHBand="0" w:firstRowFirstColumn="0" w:firstRowLastColumn="0" w:lastRowFirstColumn="0" w:lastRowLastColumn="0"/>
          <w:trHeight w:val="1588"/>
        </w:trPr>
        <w:tc>
          <w:tcPr>
            <w:tcW w:w="1250" w:type="pct"/>
            <w:hideMark/>
          </w:tcPr>
          <w:p w14:paraId="21A92FD1" w14:textId="77777777" w:rsidR="00D219C1" w:rsidRPr="00BD2FEE" w:rsidRDefault="00406000" w:rsidP="00BD2FEE">
            <w:pPr>
              <w:pStyle w:val="TableTextColumnHeading"/>
              <w:rPr>
                <w:b/>
              </w:rPr>
            </w:pPr>
            <w:r w:rsidRPr="00BD2FEE">
              <w:rPr>
                <w:b/>
              </w:rPr>
              <w:t>Initiative</w:t>
            </w:r>
            <w:r w:rsidR="00AA5E1B" w:rsidRPr="00BD2FEE">
              <w:rPr>
                <w:b/>
              </w:rPr>
              <w:t xml:space="preserve"> </w:t>
            </w:r>
            <w:r w:rsidR="00D219C1" w:rsidRPr="00BD2FEE">
              <w:rPr>
                <w:b/>
              </w:rPr>
              <w:t>name</w:t>
            </w:r>
          </w:p>
        </w:tc>
        <w:tc>
          <w:tcPr>
            <w:tcW w:w="450" w:type="pct"/>
            <w:textDirection w:val="btLr"/>
            <w:hideMark/>
          </w:tcPr>
          <w:p w14:paraId="729C2031" w14:textId="77777777" w:rsidR="00D219C1" w:rsidRPr="00BD2FEE" w:rsidRDefault="00D219C1" w:rsidP="00BD2FEE">
            <w:pPr>
              <w:pStyle w:val="TableTextColumnHeading"/>
              <w:rPr>
                <w:b/>
              </w:rPr>
            </w:pPr>
            <w:r w:rsidRPr="00BD2FEE">
              <w:rPr>
                <w:b/>
              </w:rPr>
              <w:t xml:space="preserve">Initiative </w:t>
            </w:r>
            <w:r w:rsidR="000957FC" w:rsidRPr="00BD2FEE">
              <w:rPr>
                <w:b/>
              </w:rPr>
              <w:t>start date</w:t>
            </w:r>
          </w:p>
        </w:tc>
        <w:tc>
          <w:tcPr>
            <w:tcW w:w="450" w:type="pct"/>
            <w:textDirection w:val="btLr"/>
            <w:hideMark/>
          </w:tcPr>
          <w:p w14:paraId="6A8BEBA3" w14:textId="77777777" w:rsidR="00D219C1" w:rsidRPr="00BD2FEE" w:rsidRDefault="00D219C1" w:rsidP="00BD2FEE">
            <w:pPr>
              <w:pStyle w:val="TableTextColumnHeading"/>
              <w:rPr>
                <w:b/>
              </w:rPr>
            </w:pPr>
            <w:r w:rsidRPr="00BD2FEE">
              <w:rPr>
                <w:b/>
              </w:rPr>
              <w:t xml:space="preserve">Initiative </w:t>
            </w:r>
            <w:r w:rsidR="000957FC" w:rsidRPr="00BD2FEE">
              <w:rPr>
                <w:b/>
              </w:rPr>
              <w:t>end date</w:t>
            </w:r>
          </w:p>
        </w:tc>
        <w:tc>
          <w:tcPr>
            <w:tcW w:w="450" w:type="pct"/>
            <w:textDirection w:val="btLr"/>
            <w:hideMark/>
          </w:tcPr>
          <w:p w14:paraId="14DBC587" w14:textId="77777777" w:rsidR="00D219C1" w:rsidRPr="00BD2FEE" w:rsidRDefault="00D219C1" w:rsidP="00BD2FEE">
            <w:pPr>
              <w:pStyle w:val="TableTextColumnHeading"/>
              <w:rPr>
                <w:b/>
              </w:rPr>
            </w:pPr>
            <w:r w:rsidRPr="00BD2FEE">
              <w:rPr>
                <w:b/>
              </w:rPr>
              <w:t xml:space="preserve">Initiative FMA9 </w:t>
            </w:r>
            <w:r w:rsidR="000957FC" w:rsidRPr="00BD2FEE">
              <w:rPr>
                <w:b/>
              </w:rPr>
              <w:t xml:space="preserve">approval total </w:t>
            </w:r>
            <w:r w:rsidRPr="00BD2FEE">
              <w:rPr>
                <w:b/>
              </w:rPr>
              <w:t>$</w:t>
            </w:r>
          </w:p>
        </w:tc>
        <w:tc>
          <w:tcPr>
            <w:tcW w:w="250" w:type="pct"/>
            <w:textDirection w:val="btLr"/>
            <w:hideMark/>
          </w:tcPr>
          <w:p w14:paraId="4E358271" w14:textId="77777777" w:rsidR="00D219C1" w:rsidRPr="00BD2FEE" w:rsidRDefault="00D219C1" w:rsidP="00BD2FEE">
            <w:pPr>
              <w:pStyle w:val="TableTextColumnHeading"/>
              <w:rPr>
                <w:b/>
              </w:rPr>
            </w:pPr>
            <w:r w:rsidRPr="00BD2FEE">
              <w:rPr>
                <w:b/>
              </w:rPr>
              <w:t xml:space="preserve">Calendar </w:t>
            </w:r>
            <w:r w:rsidR="000957FC" w:rsidRPr="00BD2FEE">
              <w:rPr>
                <w:b/>
              </w:rPr>
              <w:t>year</w:t>
            </w:r>
          </w:p>
        </w:tc>
        <w:tc>
          <w:tcPr>
            <w:tcW w:w="200" w:type="pct"/>
            <w:textDirection w:val="btLr"/>
            <w:hideMark/>
          </w:tcPr>
          <w:p w14:paraId="75D9FDF1" w14:textId="77777777" w:rsidR="00D219C1" w:rsidRPr="00BD2FEE" w:rsidRDefault="00D219C1" w:rsidP="00BD2FEE">
            <w:pPr>
              <w:pStyle w:val="TableTextColumnHeading"/>
              <w:rPr>
                <w:b/>
              </w:rPr>
            </w:pPr>
            <w:r w:rsidRPr="00BD2FEE">
              <w:rPr>
                <w:b/>
              </w:rPr>
              <w:t>Relevance</w:t>
            </w:r>
          </w:p>
        </w:tc>
        <w:tc>
          <w:tcPr>
            <w:tcW w:w="200" w:type="pct"/>
            <w:textDirection w:val="btLr"/>
            <w:hideMark/>
          </w:tcPr>
          <w:p w14:paraId="46EFFF09" w14:textId="77777777" w:rsidR="00D219C1" w:rsidRPr="00BD2FEE" w:rsidRDefault="00D219C1" w:rsidP="00BD2FEE">
            <w:pPr>
              <w:pStyle w:val="TableTextColumnHeading"/>
              <w:rPr>
                <w:b/>
              </w:rPr>
            </w:pPr>
            <w:r w:rsidRPr="00BD2FEE">
              <w:rPr>
                <w:b/>
              </w:rPr>
              <w:t>Effectiveness</w:t>
            </w:r>
          </w:p>
        </w:tc>
        <w:tc>
          <w:tcPr>
            <w:tcW w:w="200" w:type="pct"/>
            <w:textDirection w:val="btLr"/>
            <w:hideMark/>
          </w:tcPr>
          <w:p w14:paraId="0017D91C" w14:textId="77777777" w:rsidR="00D219C1" w:rsidRPr="00BD2FEE" w:rsidRDefault="00D219C1" w:rsidP="00BD2FEE">
            <w:pPr>
              <w:pStyle w:val="TableTextColumnHeading"/>
              <w:rPr>
                <w:b/>
              </w:rPr>
            </w:pPr>
            <w:r w:rsidRPr="00BD2FEE">
              <w:rPr>
                <w:b/>
              </w:rPr>
              <w:t>Efficiency</w:t>
            </w:r>
          </w:p>
        </w:tc>
        <w:tc>
          <w:tcPr>
            <w:tcW w:w="200" w:type="pct"/>
            <w:textDirection w:val="btLr"/>
            <w:hideMark/>
          </w:tcPr>
          <w:p w14:paraId="2DF0BCAC" w14:textId="77777777" w:rsidR="00D219C1" w:rsidRPr="00BD2FEE" w:rsidRDefault="00D219C1" w:rsidP="00BD2FEE">
            <w:pPr>
              <w:pStyle w:val="TableTextColumnHeading"/>
              <w:rPr>
                <w:b/>
              </w:rPr>
            </w:pPr>
            <w:r w:rsidRPr="00BD2FEE">
              <w:rPr>
                <w:b/>
              </w:rPr>
              <w:t xml:space="preserve">Monitoring and </w:t>
            </w:r>
            <w:r w:rsidR="000957FC" w:rsidRPr="00BD2FEE">
              <w:rPr>
                <w:b/>
              </w:rPr>
              <w:t>evaluation</w:t>
            </w:r>
          </w:p>
        </w:tc>
        <w:tc>
          <w:tcPr>
            <w:tcW w:w="200" w:type="pct"/>
            <w:textDirection w:val="btLr"/>
            <w:hideMark/>
          </w:tcPr>
          <w:p w14:paraId="0782E07D" w14:textId="77777777" w:rsidR="00D219C1" w:rsidRPr="00BD2FEE" w:rsidRDefault="00D219C1" w:rsidP="00BD2FEE">
            <w:pPr>
              <w:pStyle w:val="TableTextColumnHeading"/>
              <w:rPr>
                <w:b/>
              </w:rPr>
            </w:pPr>
            <w:r w:rsidRPr="00BD2FEE">
              <w:rPr>
                <w:b/>
              </w:rPr>
              <w:t>Sustainability</w:t>
            </w:r>
          </w:p>
        </w:tc>
        <w:tc>
          <w:tcPr>
            <w:tcW w:w="200" w:type="pct"/>
            <w:textDirection w:val="btLr"/>
            <w:hideMark/>
          </w:tcPr>
          <w:p w14:paraId="42EADFE5" w14:textId="77777777" w:rsidR="00D219C1" w:rsidRPr="00BD2FEE" w:rsidRDefault="00D219C1" w:rsidP="00BD2FEE">
            <w:pPr>
              <w:pStyle w:val="TableTextColumnHeading"/>
              <w:rPr>
                <w:b/>
              </w:rPr>
            </w:pPr>
            <w:r w:rsidRPr="00BD2FEE">
              <w:rPr>
                <w:b/>
              </w:rPr>
              <w:t xml:space="preserve">Gender </w:t>
            </w:r>
            <w:r w:rsidR="000957FC" w:rsidRPr="00BD2FEE">
              <w:rPr>
                <w:b/>
              </w:rPr>
              <w:t>equality</w:t>
            </w:r>
          </w:p>
        </w:tc>
        <w:tc>
          <w:tcPr>
            <w:tcW w:w="200" w:type="pct"/>
            <w:noWrap/>
            <w:textDirection w:val="btLr"/>
            <w:hideMark/>
          </w:tcPr>
          <w:p w14:paraId="479C2EC8" w14:textId="77777777" w:rsidR="00D219C1" w:rsidRPr="00BD2FEE" w:rsidRDefault="00D219C1" w:rsidP="00BD2FEE">
            <w:pPr>
              <w:pStyle w:val="TableTextColumnHeading"/>
              <w:rPr>
                <w:b/>
              </w:rPr>
            </w:pPr>
            <w:r w:rsidRPr="00BD2FEE">
              <w:rPr>
                <w:b/>
              </w:rPr>
              <w:t>Risk management</w:t>
            </w:r>
          </w:p>
        </w:tc>
      </w:tr>
      <w:tr w:rsidR="00AE2781" w:rsidRPr="00BD2FEE" w14:paraId="58315AB3" w14:textId="77777777" w:rsidTr="00A14FE9">
        <w:trPr>
          <w:tblHeader w:val="0"/>
        </w:trPr>
        <w:tc>
          <w:tcPr>
            <w:tcW w:w="1250" w:type="pct"/>
            <w:hideMark/>
          </w:tcPr>
          <w:p w14:paraId="2C28BC10" w14:textId="77777777" w:rsidR="00D219C1" w:rsidRPr="00BD2FEE" w:rsidRDefault="000957FC" w:rsidP="00796F48">
            <w:pPr>
              <w:pStyle w:val="TableTextEntries"/>
            </w:pPr>
            <w:r w:rsidRPr="00BD2FEE">
              <w:t>Australian Development Scholarships in Vietnam Prep</w:t>
            </w:r>
            <w:r w:rsidR="00D219C1" w:rsidRPr="00BD2FEE">
              <w:t xml:space="preserve"> </w:t>
            </w:r>
            <w:r w:rsidRPr="00BD2FEE">
              <w:t>Project</w:t>
            </w:r>
          </w:p>
        </w:tc>
        <w:tc>
          <w:tcPr>
            <w:tcW w:w="450" w:type="pct"/>
            <w:hideMark/>
          </w:tcPr>
          <w:p w14:paraId="31C383C9" w14:textId="77777777" w:rsidR="00D219C1" w:rsidRPr="00BD2FEE" w:rsidRDefault="00D219C1" w:rsidP="00597520">
            <w:pPr>
              <w:pStyle w:val="TableTextEntries"/>
            </w:pPr>
            <w:r w:rsidRPr="00BD2FEE">
              <w:t>16/08/2002</w:t>
            </w:r>
          </w:p>
        </w:tc>
        <w:tc>
          <w:tcPr>
            <w:tcW w:w="450" w:type="pct"/>
            <w:hideMark/>
          </w:tcPr>
          <w:p w14:paraId="34A384EC" w14:textId="77777777" w:rsidR="00D219C1" w:rsidRPr="00BD2FEE" w:rsidRDefault="00D219C1" w:rsidP="00597520">
            <w:pPr>
              <w:pStyle w:val="TableTextEntries"/>
            </w:pPr>
            <w:r w:rsidRPr="00BD2FEE">
              <w:t>31/01/2016</w:t>
            </w:r>
          </w:p>
        </w:tc>
        <w:tc>
          <w:tcPr>
            <w:tcW w:w="450" w:type="pct"/>
            <w:hideMark/>
          </w:tcPr>
          <w:p w14:paraId="002F0F7B" w14:textId="77777777" w:rsidR="00D219C1" w:rsidRPr="00BD2FEE" w:rsidRDefault="00D219C1" w:rsidP="00A14FE9">
            <w:pPr>
              <w:pStyle w:val="TableTextEntries"/>
              <w:rPr>
                <w:b/>
                <w:caps/>
                <w:color w:val="073771"/>
              </w:rPr>
            </w:pPr>
            <w:r w:rsidRPr="00BD2FEE">
              <w:t>$40</w:t>
            </w:r>
            <w:r w:rsidR="000957FC" w:rsidRPr="00BD2FEE">
              <w:t xml:space="preserve"> </w:t>
            </w:r>
            <w:r w:rsidRPr="00BD2FEE">
              <w:t>872</w:t>
            </w:r>
            <w:r w:rsidR="000957FC" w:rsidRPr="00BD2FEE">
              <w:t xml:space="preserve"> </w:t>
            </w:r>
            <w:r w:rsidRPr="00BD2FEE">
              <w:t>565</w:t>
            </w:r>
          </w:p>
        </w:tc>
        <w:tc>
          <w:tcPr>
            <w:tcW w:w="250" w:type="pct"/>
            <w:hideMark/>
          </w:tcPr>
          <w:p w14:paraId="28718893" w14:textId="77777777" w:rsidR="00D219C1" w:rsidRPr="00BD2FEE" w:rsidRDefault="00D219C1" w:rsidP="00A14FE9">
            <w:pPr>
              <w:pStyle w:val="TableTextEntries"/>
              <w:rPr>
                <w:b/>
                <w:caps/>
                <w:color w:val="073771"/>
              </w:rPr>
            </w:pPr>
            <w:r w:rsidRPr="00BD2FEE">
              <w:t>201</w:t>
            </w:r>
            <w:r w:rsidR="00205E0B" w:rsidRPr="00BD2FEE">
              <w:t>2</w:t>
            </w:r>
          </w:p>
        </w:tc>
        <w:tc>
          <w:tcPr>
            <w:tcW w:w="200" w:type="pct"/>
            <w:shd w:val="clear" w:color="auto" w:fill="92D050"/>
            <w:noWrap/>
            <w:hideMark/>
          </w:tcPr>
          <w:p w14:paraId="26912D4C"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2A837FD2"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11CB7282"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44F4A930"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790B669C" w14:textId="77777777" w:rsidR="00D219C1" w:rsidRPr="00BD2FEE" w:rsidRDefault="00D219C1">
            <w:pPr>
              <w:pStyle w:val="TableTextEntries"/>
              <w:jc w:val="center"/>
              <w:rPr>
                <w:b/>
                <w:caps/>
                <w:color w:val="073771"/>
              </w:rPr>
            </w:pPr>
            <w:r w:rsidRPr="00BD2FEE">
              <w:t>5</w:t>
            </w:r>
          </w:p>
        </w:tc>
        <w:tc>
          <w:tcPr>
            <w:tcW w:w="200" w:type="pct"/>
            <w:shd w:val="clear" w:color="auto" w:fill="FFFF00"/>
            <w:noWrap/>
            <w:hideMark/>
          </w:tcPr>
          <w:p w14:paraId="456C5626" w14:textId="77777777" w:rsidR="00D219C1" w:rsidRPr="00BD2FEE" w:rsidRDefault="00205E0B">
            <w:pPr>
              <w:pStyle w:val="TableTextEntries"/>
              <w:jc w:val="center"/>
              <w:rPr>
                <w:b/>
                <w:caps/>
                <w:color w:val="073771"/>
              </w:rPr>
            </w:pPr>
            <w:r w:rsidRPr="00BD2FEE">
              <w:t>4</w:t>
            </w:r>
          </w:p>
        </w:tc>
        <w:tc>
          <w:tcPr>
            <w:tcW w:w="200" w:type="pct"/>
            <w:shd w:val="clear" w:color="auto" w:fill="92D050"/>
            <w:noWrap/>
            <w:hideMark/>
          </w:tcPr>
          <w:p w14:paraId="6831C3CC" w14:textId="77777777" w:rsidR="00D219C1" w:rsidRPr="00BD2FEE" w:rsidRDefault="00D219C1">
            <w:pPr>
              <w:pStyle w:val="TableTextEntries"/>
              <w:jc w:val="center"/>
              <w:rPr>
                <w:b/>
                <w:caps/>
                <w:color w:val="073771"/>
              </w:rPr>
            </w:pPr>
            <w:r w:rsidRPr="00BD2FEE">
              <w:t>M</w:t>
            </w:r>
          </w:p>
        </w:tc>
      </w:tr>
      <w:tr w:rsidR="00AE2781" w:rsidRPr="00BD2FEE" w14:paraId="2BA44AAC" w14:textId="77777777" w:rsidTr="00A14FE9">
        <w:trPr>
          <w:cnfStyle w:val="000000010000" w:firstRow="0" w:lastRow="0" w:firstColumn="0" w:lastColumn="0" w:oddVBand="0" w:evenVBand="0" w:oddHBand="0" w:evenHBand="1" w:firstRowFirstColumn="0" w:firstRowLastColumn="0" w:lastRowFirstColumn="0" w:lastRowLastColumn="0"/>
          <w:tblHeader w:val="0"/>
        </w:trPr>
        <w:tc>
          <w:tcPr>
            <w:tcW w:w="1250" w:type="pct"/>
            <w:hideMark/>
          </w:tcPr>
          <w:p w14:paraId="78716CF3" w14:textId="77777777" w:rsidR="00D219C1" w:rsidRPr="00BD2FEE" w:rsidRDefault="00D219C1" w:rsidP="00796F48">
            <w:pPr>
              <w:pStyle w:val="TableTextEntries"/>
            </w:pPr>
            <w:r w:rsidRPr="00BD2FEE">
              <w:t> </w:t>
            </w:r>
          </w:p>
        </w:tc>
        <w:tc>
          <w:tcPr>
            <w:tcW w:w="450" w:type="pct"/>
            <w:hideMark/>
          </w:tcPr>
          <w:p w14:paraId="326DA402" w14:textId="77777777" w:rsidR="00D219C1" w:rsidRPr="00BD2FEE" w:rsidRDefault="00D219C1" w:rsidP="00597520">
            <w:pPr>
              <w:pStyle w:val="TableTextEntries"/>
            </w:pPr>
            <w:r w:rsidRPr="00BD2FEE">
              <w:t> </w:t>
            </w:r>
          </w:p>
        </w:tc>
        <w:tc>
          <w:tcPr>
            <w:tcW w:w="450" w:type="pct"/>
            <w:hideMark/>
          </w:tcPr>
          <w:p w14:paraId="3339B2C6" w14:textId="77777777" w:rsidR="00D219C1" w:rsidRPr="00BD2FEE" w:rsidRDefault="00D219C1" w:rsidP="00597520">
            <w:pPr>
              <w:pStyle w:val="TableTextEntries"/>
            </w:pPr>
            <w:r w:rsidRPr="00BD2FEE">
              <w:t> </w:t>
            </w:r>
          </w:p>
        </w:tc>
        <w:tc>
          <w:tcPr>
            <w:tcW w:w="450" w:type="pct"/>
            <w:hideMark/>
          </w:tcPr>
          <w:p w14:paraId="478C2BCC" w14:textId="77777777" w:rsidR="00D219C1" w:rsidRPr="00BD2FEE" w:rsidRDefault="00D219C1" w:rsidP="00A14FE9">
            <w:pPr>
              <w:pStyle w:val="TableTextEntries"/>
              <w:rPr>
                <w:b/>
                <w:caps/>
                <w:color w:val="073771"/>
              </w:rPr>
            </w:pPr>
            <w:r w:rsidRPr="00BD2FEE">
              <w:t> </w:t>
            </w:r>
          </w:p>
        </w:tc>
        <w:tc>
          <w:tcPr>
            <w:tcW w:w="250" w:type="pct"/>
            <w:hideMark/>
          </w:tcPr>
          <w:p w14:paraId="67791117" w14:textId="77777777" w:rsidR="00D219C1" w:rsidRPr="00BD2FEE" w:rsidRDefault="00D219C1" w:rsidP="00A14FE9">
            <w:pPr>
              <w:pStyle w:val="TableTextEntries"/>
              <w:rPr>
                <w:b/>
                <w:caps/>
                <w:color w:val="073771"/>
              </w:rPr>
            </w:pPr>
            <w:r w:rsidRPr="00BD2FEE">
              <w:t>201</w:t>
            </w:r>
            <w:r w:rsidR="00205E0B" w:rsidRPr="00BD2FEE">
              <w:t>1</w:t>
            </w:r>
          </w:p>
        </w:tc>
        <w:tc>
          <w:tcPr>
            <w:tcW w:w="200" w:type="pct"/>
            <w:shd w:val="clear" w:color="auto" w:fill="92D050"/>
            <w:noWrap/>
            <w:hideMark/>
          </w:tcPr>
          <w:p w14:paraId="2A919359"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2DCE77B4"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64D2FAF9"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0CF30058"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6160FA4C"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606F16A4" w14:textId="77777777" w:rsidR="00D219C1" w:rsidRPr="00BD2FEE" w:rsidRDefault="00205E0B">
            <w:pPr>
              <w:pStyle w:val="TableTextEntries"/>
              <w:jc w:val="center"/>
              <w:rPr>
                <w:b/>
                <w:caps/>
                <w:color w:val="073771"/>
              </w:rPr>
            </w:pPr>
            <w:r w:rsidRPr="00BD2FEE">
              <w:t>5</w:t>
            </w:r>
          </w:p>
        </w:tc>
        <w:tc>
          <w:tcPr>
            <w:tcW w:w="200" w:type="pct"/>
            <w:shd w:val="clear" w:color="auto" w:fill="92D050"/>
            <w:noWrap/>
            <w:hideMark/>
          </w:tcPr>
          <w:p w14:paraId="20C47409" w14:textId="77777777" w:rsidR="00D219C1" w:rsidRPr="00BD2FEE" w:rsidRDefault="008E4EF2">
            <w:pPr>
              <w:pStyle w:val="TableTextEntries"/>
              <w:jc w:val="center"/>
              <w:rPr>
                <w:b/>
                <w:caps/>
                <w:color w:val="073771"/>
              </w:rPr>
            </w:pPr>
            <w:r w:rsidRPr="00BD2FEE">
              <w:t>M</w:t>
            </w:r>
          </w:p>
        </w:tc>
      </w:tr>
      <w:tr w:rsidR="00AE2781" w:rsidRPr="00BD2FEE" w14:paraId="41C0CBE8" w14:textId="77777777" w:rsidTr="00A14FE9">
        <w:trPr>
          <w:tblHeader w:val="0"/>
        </w:trPr>
        <w:tc>
          <w:tcPr>
            <w:tcW w:w="1250" w:type="pct"/>
            <w:hideMark/>
          </w:tcPr>
          <w:p w14:paraId="58D17450" w14:textId="10E9C681" w:rsidR="00D219C1" w:rsidRPr="00BD2FEE" w:rsidRDefault="00D219C1" w:rsidP="00796F48">
            <w:pPr>
              <w:pStyle w:val="TableTextEntries"/>
            </w:pPr>
            <w:r w:rsidRPr="00BD2FEE">
              <w:t xml:space="preserve">Australian Development Scholarships </w:t>
            </w:r>
            <w:r w:rsidR="0060117A" w:rsidRPr="00BD2FEE">
              <w:t>–</w:t>
            </w:r>
            <w:r w:rsidR="000957FC" w:rsidRPr="00BD2FEE">
              <w:t xml:space="preserve"> </w:t>
            </w:r>
            <w:r w:rsidRPr="00BD2FEE">
              <w:t>Vietnam</w:t>
            </w:r>
          </w:p>
        </w:tc>
        <w:tc>
          <w:tcPr>
            <w:tcW w:w="450" w:type="pct"/>
            <w:hideMark/>
          </w:tcPr>
          <w:p w14:paraId="7667F401" w14:textId="77777777" w:rsidR="00D219C1" w:rsidRPr="00BD2FEE" w:rsidRDefault="00D219C1" w:rsidP="00597520">
            <w:pPr>
              <w:pStyle w:val="TableTextEntries"/>
            </w:pPr>
            <w:r w:rsidRPr="00BD2FEE">
              <w:t>01/01/2010</w:t>
            </w:r>
          </w:p>
        </w:tc>
        <w:tc>
          <w:tcPr>
            <w:tcW w:w="450" w:type="pct"/>
            <w:hideMark/>
          </w:tcPr>
          <w:p w14:paraId="0D08CD7E" w14:textId="77777777" w:rsidR="00D219C1" w:rsidRPr="00BD2FEE" w:rsidRDefault="00D219C1" w:rsidP="00597520">
            <w:pPr>
              <w:pStyle w:val="TableTextEntries"/>
            </w:pPr>
            <w:r w:rsidRPr="00BD2FEE">
              <w:t>30/06/2018</w:t>
            </w:r>
          </w:p>
        </w:tc>
        <w:tc>
          <w:tcPr>
            <w:tcW w:w="450" w:type="pct"/>
            <w:hideMark/>
          </w:tcPr>
          <w:p w14:paraId="25C00975" w14:textId="77777777" w:rsidR="00D219C1" w:rsidRPr="00BD2FEE" w:rsidRDefault="00D219C1" w:rsidP="00A14FE9">
            <w:pPr>
              <w:pStyle w:val="TableTextEntries"/>
              <w:rPr>
                <w:b/>
                <w:caps/>
                <w:color w:val="073771"/>
              </w:rPr>
            </w:pPr>
            <w:r w:rsidRPr="00BD2FEE">
              <w:t>$71</w:t>
            </w:r>
            <w:r w:rsidR="000957FC" w:rsidRPr="00BD2FEE">
              <w:t xml:space="preserve"> </w:t>
            </w:r>
            <w:r w:rsidRPr="00BD2FEE">
              <w:t>452</w:t>
            </w:r>
            <w:r w:rsidR="000957FC" w:rsidRPr="00BD2FEE">
              <w:t xml:space="preserve"> </w:t>
            </w:r>
            <w:r w:rsidRPr="00BD2FEE">
              <w:t>754</w:t>
            </w:r>
          </w:p>
        </w:tc>
        <w:tc>
          <w:tcPr>
            <w:tcW w:w="250" w:type="pct"/>
            <w:hideMark/>
          </w:tcPr>
          <w:p w14:paraId="53378733" w14:textId="77777777" w:rsidR="00D219C1" w:rsidRPr="00BD2FEE" w:rsidRDefault="00D219C1" w:rsidP="00A14FE9">
            <w:pPr>
              <w:pStyle w:val="TableTextEntries"/>
              <w:rPr>
                <w:b/>
                <w:caps/>
                <w:color w:val="073771"/>
              </w:rPr>
            </w:pPr>
            <w:r w:rsidRPr="00BD2FEE">
              <w:t>201</w:t>
            </w:r>
            <w:r w:rsidR="00205E0B" w:rsidRPr="00BD2FEE">
              <w:t>2</w:t>
            </w:r>
          </w:p>
        </w:tc>
        <w:tc>
          <w:tcPr>
            <w:tcW w:w="200" w:type="pct"/>
            <w:shd w:val="clear" w:color="auto" w:fill="92D050"/>
            <w:noWrap/>
            <w:hideMark/>
          </w:tcPr>
          <w:p w14:paraId="144A8420"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09BB75E0"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77A5D954"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308F6C3E"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093862C4" w14:textId="77777777" w:rsidR="00D219C1" w:rsidRPr="00BD2FEE" w:rsidRDefault="00D219C1">
            <w:pPr>
              <w:pStyle w:val="TableTextEntries"/>
              <w:jc w:val="center"/>
              <w:rPr>
                <w:b/>
                <w:caps/>
                <w:color w:val="073771"/>
              </w:rPr>
            </w:pPr>
            <w:r w:rsidRPr="00BD2FEE">
              <w:t>5</w:t>
            </w:r>
          </w:p>
        </w:tc>
        <w:tc>
          <w:tcPr>
            <w:tcW w:w="200" w:type="pct"/>
            <w:shd w:val="clear" w:color="auto" w:fill="FFFF00"/>
            <w:noWrap/>
            <w:hideMark/>
          </w:tcPr>
          <w:p w14:paraId="53319D51" w14:textId="77777777" w:rsidR="00D219C1" w:rsidRPr="00BD2FEE" w:rsidRDefault="00205E0B">
            <w:pPr>
              <w:pStyle w:val="TableTextEntries"/>
              <w:jc w:val="center"/>
              <w:rPr>
                <w:b/>
                <w:caps/>
                <w:color w:val="073771"/>
              </w:rPr>
            </w:pPr>
            <w:r w:rsidRPr="00BD2FEE">
              <w:t>4</w:t>
            </w:r>
          </w:p>
        </w:tc>
        <w:tc>
          <w:tcPr>
            <w:tcW w:w="200" w:type="pct"/>
            <w:shd w:val="clear" w:color="auto" w:fill="92D050"/>
            <w:noWrap/>
            <w:hideMark/>
          </w:tcPr>
          <w:p w14:paraId="316D1B65" w14:textId="77777777" w:rsidR="00D219C1" w:rsidRPr="00BD2FEE" w:rsidRDefault="00D219C1">
            <w:pPr>
              <w:pStyle w:val="TableTextEntries"/>
              <w:jc w:val="center"/>
              <w:rPr>
                <w:b/>
                <w:caps/>
                <w:color w:val="073771"/>
              </w:rPr>
            </w:pPr>
            <w:r w:rsidRPr="00BD2FEE">
              <w:t>M</w:t>
            </w:r>
          </w:p>
        </w:tc>
      </w:tr>
      <w:tr w:rsidR="00AE2781" w:rsidRPr="00BD2FEE" w14:paraId="6A542B39" w14:textId="77777777" w:rsidTr="00A14FE9">
        <w:trPr>
          <w:cnfStyle w:val="000000010000" w:firstRow="0" w:lastRow="0" w:firstColumn="0" w:lastColumn="0" w:oddVBand="0" w:evenVBand="0" w:oddHBand="0" w:evenHBand="1" w:firstRowFirstColumn="0" w:firstRowLastColumn="0" w:lastRowFirstColumn="0" w:lastRowLastColumn="0"/>
          <w:tblHeader w:val="0"/>
        </w:trPr>
        <w:tc>
          <w:tcPr>
            <w:tcW w:w="1250" w:type="pct"/>
            <w:hideMark/>
          </w:tcPr>
          <w:p w14:paraId="1C5B516F" w14:textId="77777777" w:rsidR="00D219C1" w:rsidRPr="00BD2FEE" w:rsidRDefault="00D219C1" w:rsidP="00796F48">
            <w:pPr>
              <w:pStyle w:val="TableTextEntries"/>
            </w:pPr>
            <w:r w:rsidRPr="00BD2FEE">
              <w:t> </w:t>
            </w:r>
          </w:p>
        </w:tc>
        <w:tc>
          <w:tcPr>
            <w:tcW w:w="450" w:type="pct"/>
            <w:hideMark/>
          </w:tcPr>
          <w:p w14:paraId="764FD41B" w14:textId="77777777" w:rsidR="00D219C1" w:rsidRPr="00BD2FEE" w:rsidRDefault="00D219C1" w:rsidP="00597520">
            <w:pPr>
              <w:pStyle w:val="TableTextEntries"/>
            </w:pPr>
            <w:r w:rsidRPr="00BD2FEE">
              <w:t> </w:t>
            </w:r>
          </w:p>
        </w:tc>
        <w:tc>
          <w:tcPr>
            <w:tcW w:w="450" w:type="pct"/>
            <w:hideMark/>
          </w:tcPr>
          <w:p w14:paraId="6F890645" w14:textId="77777777" w:rsidR="00D219C1" w:rsidRPr="00BD2FEE" w:rsidRDefault="00D219C1" w:rsidP="00597520">
            <w:pPr>
              <w:pStyle w:val="TableTextEntries"/>
            </w:pPr>
            <w:r w:rsidRPr="00BD2FEE">
              <w:t> </w:t>
            </w:r>
          </w:p>
        </w:tc>
        <w:tc>
          <w:tcPr>
            <w:tcW w:w="450" w:type="pct"/>
            <w:hideMark/>
          </w:tcPr>
          <w:p w14:paraId="76C265A5" w14:textId="77777777" w:rsidR="00D219C1" w:rsidRPr="00BD2FEE" w:rsidRDefault="00D219C1" w:rsidP="00A14FE9">
            <w:pPr>
              <w:pStyle w:val="TableTextEntries"/>
              <w:rPr>
                <w:b/>
                <w:caps/>
                <w:color w:val="073771"/>
              </w:rPr>
            </w:pPr>
            <w:r w:rsidRPr="00BD2FEE">
              <w:t> </w:t>
            </w:r>
          </w:p>
        </w:tc>
        <w:tc>
          <w:tcPr>
            <w:tcW w:w="250" w:type="pct"/>
            <w:hideMark/>
          </w:tcPr>
          <w:p w14:paraId="1AC27064" w14:textId="77777777" w:rsidR="00D219C1" w:rsidRPr="00BD2FEE" w:rsidRDefault="00D219C1" w:rsidP="00A14FE9">
            <w:pPr>
              <w:pStyle w:val="TableTextEntries"/>
              <w:rPr>
                <w:b/>
                <w:caps/>
                <w:color w:val="073771"/>
              </w:rPr>
            </w:pPr>
            <w:r w:rsidRPr="00BD2FEE">
              <w:t>201</w:t>
            </w:r>
            <w:r w:rsidR="00205E0B" w:rsidRPr="00BD2FEE">
              <w:t>1</w:t>
            </w:r>
          </w:p>
        </w:tc>
        <w:tc>
          <w:tcPr>
            <w:tcW w:w="200" w:type="pct"/>
            <w:shd w:val="clear" w:color="auto" w:fill="92D050"/>
            <w:noWrap/>
            <w:hideMark/>
          </w:tcPr>
          <w:p w14:paraId="305E7323"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3273D225"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20519369"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7490DEEF"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74C57513"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56295CA7" w14:textId="77777777" w:rsidR="00D219C1" w:rsidRPr="00BD2FEE" w:rsidRDefault="00205E0B">
            <w:pPr>
              <w:pStyle w:val="TableTextEntries"/>
              <w:jc w:val="center"/>
              <w:rPr>
                <w:b/>
                <w:caps/>
                <w:color w:val="073771"/>
              </w:rPr>
            </w:pPr>
            <w:r w:rsidRPr="00BD2FEE">
              <w:t>5</w:t>
            </w:r>
          </w:p>
        </w:tc>
        <w:tc>
          <w:tcPr>
            <w:tcW w:w="200" w:type="pct"/>
            <w:shd w:val="clear" w:color="auto" w:fill="92D050"/>
            <w:noWrap/>
            <w:hideMark/>
          </w:tcPr>
          <w:p w14:paraId="0BD44B29" w14:textId="77777777" w:rsidR="00D219C1" w:rsidRPr="00BD2FEE" w:rsidRDefault="008E4EF2">
            <w:pPr>
              <w:pStyle w:val="TableTextEntries"/>
              <w:jc w:val="center"/>
              <w:rPr>
                <w:b/>
                <w:caps/>
                <w:color w:val="073771"/>
              </w:rPr>
            </w:pPr>
            <w:r w:rsidRPr="00BD2FEE">
              <w:t>M</w:t>
            </w:r>
          </w:p>
        </w:tc>
      </w:tr>
      <w:tr w:rsidR="00AE2781" w:rsidRPr="00BD2FEE" w14:paraId="69983F42" w14:textId="77777777" w:rsidTr="00A14FE9">
        <w:trPr>
          <w:tblHeader w:val="0"/>
        </w:trPr>
        <w:tc>
          <w:tcPr>
            <w:tcW w:w="1250" w:type="pct"/>
            <w:hideMark/>
          </w:tcPr>
          <w:p w14:paraId="3A0B26EA" w14:textId="77777777" w:rsidR="00D219C1" w:rsidRPr="00BD2FEE" w:rsidRDefault="00D219C1" w:rsidP="00796F48">
            <w:pPr>
              <w:pStyle w:val="TableTextEntries"/>
            </w:pPr>
            <w:r w:rsidRPr="00BD2FEE">
              <w:t>Mekong Transport Infrastructure Development Proj</w:t>
            </w:r>
            <w:r w:rsidR="000957FC" w:rsidRPr="00BD2FEE">
              <w:t>ect</w:t>
            </w:r>
          </w:p>
        </w:tc>
        <w:tc>
          <w:tcPr>
            <w:tcW w:w="450" w:type="pct"/>
            <w:hideMark/>
          </w:tcPr>
          <w:p w14:paraId="58E0A67D" w14:textId="77777777" w:rsidR="00D219C1" w:rsidRPr="00BD2FEE" w:rsidRDefault="00D219C1" w:rsidP="00597520">
            <w:pPr>
              <w:pStyle w:val="TableTextEntries"/>
            </w:pPr>
            <w:r w:rsidRPr="00BD2FEE">
              <w:t>01/10/2007</w:t>
            </w:r>
          </w:p>
        </w:tc>
        <w:tc>
          <w:tcPr>
            <w:tcW w:w="450" w:type="pct"/>
            <w:hideMark/>
          </w:tcPr>
          <w:p w14:paraId="3D5FEE30" w14:textId="77777777" w:rsidR="00D219C1" w:rsidRPr="00BD2FEE" w:rsidRDefault="00D219C1" w:rsidP="00597520">
            <w:pPr>
              <w:pStyle w:val="TableTextEntries"/>
            </w:pPr>
            <w:r w:rsidRPr="00BD2FEE">
              <w:t>30/06/2013</w:t>
            </w:r>
          </w:p>
        </w:tc>
        <w:tc>
          <w:tcPr>
            <w:tcW w:w="450" w:type="pct"/>
            <w:hideMark/>
          </w:tcPr>
          <w:p w14:paraId="24418D0B" w14:textId="77777777" w:rsidR="00D219C1" w:rsidRPr="00BD2FEE" w:rsidRDefault="00D219C1" w:rsidP="00A14FE9">
            <w:pPr>
              <w:pStyle w:val="TableTextEntries"/>
              <w:rPr>
                <w:b/>
                <w:caps/>
                <w:color w:val="073771"/>
              </w:rPr>
            </w:pPr>
            <w:r w:rsidRPr="00BD2FEE">
              <w:t>$48</w:t>
            </w:r>
            <w:r w:rsidR="000957FC" w:rsidRPr="00BD2FEE">
              <w:t xml:space="preserve"> </w:t>
            </w:r>
            <w:r w:rsidRPr="00BD2FEE">
              <w:t>000</w:t>
            </w:r>
            <w:r w:rsidR="000957FC" w:rsidRPr="00BD2FEE">
              <w:t xml:space="preserve"> </w:t>
            </w:r>
            <w:r w:rsidRPr="00BD2FEE">
              <w:t>000</w:t>
            </w:r>
          </w:p>
        </w:tc>
        <w:tc>
          <w:tcPr>
            <w:tcW w:w="250" w:type="pct"/>
            <w:hideMark/>
          </w:tcPr>
          <w:p w14:paraId="01CC9E2A" w14:textId="77777777" w:rsidR="00D219C1" w:rsidRPr="00BD2FEE" w:rsidRDefault="00D219C1" w:rsidP="00A14FE9">
            <w:pPr>
              <w:pStyle w:val="TableTextEntries"/>
              <w:rPr>
                <w:b/>
                <w:caps/>
                <w:color w:val="073771"/>
              </w:rPr>
            </w:pPr>
            <w:r w:rsidRPr="00BD2FEE">
              <w:t>201</w:t>
            </w:r>
            <w:r w:rsidR="00205E0B" w:rsidRPr="00BD2FEE">
              <w:t>2</w:t>
            </w:r>
          </w:p>
        </w:tc>
        <w:tc>
          <w:tcPr>
            <w:tcW w:w="200" w:type="pct"/>
            <w:shd w:val="clear" w:color="auto" w:fill="92D050"/>
            <w:noWrap/>
            <w:hideMark/>
          </w:tcPr>
          <w:p w14:paraId="21DC6975" w14:textId="77777777" w:rsidR="00D219C1" w:rsidRPr="00BD2FEE" w:rsidRDefault="00D219C1">
            <w:pPr>
              <w:pStyle w:val="TableTextEntries"/>
              <w:jc w:val="center"/>
              <w:rPr>
                <w:b/>
                <w:caps/>
                <w:color w:val="073771"/>
              </w:rPr>
            </w:pPr>
            <w:r w:rsidRPr="00BD2FEE">
              <w:t>6</w:t>
            </w:r>
          </w:p>
        </w:tc>
        <w:tc>
          <w:tcPr>
            <w:tcW w:w="200" w:type="pct"/>
            <w:shd w:val="clear" w:color="auto" w:fill="92D050"/>
            <w:noWrap/>
            <w:hideMark/>
          </w:tcPr>
          <w:p w14:paraId="1FC669D3" w14:textId="77777777" w:rsidR="00D219C1" w:rsidRPr="00BD2FEE" w:rsidRDefault="00D219C1">
            <w:pPr>
              <w:pStyle w:val="TableTextEntries"/>
              <w:jc w:val="center"/>
              <w:rPr>
                <w:b/>
                <w:caps/>
                <w:color w:val="073771"/>
              </w:rPr>
            </w:pPr>
            <w:r w:rsidRPr="00BD2FEE">
              <w:t>5</w:t>
            </w:r>
          </w:p>
        </w:tc>
        <w:tc>
          <w:tcPr>
            <w:tcW w:w="200" w:type="pct"/>
            <w:shd w:val="clear" w:color="auto" w:fill="FFFF00"/>
            <w:noWrap/>
            <w:hideMark/>
          </w:tcPr>
          <w:p w14:paraId="19D6969A" w14:textId="77777777" w:rsidR="00D219C1" w:rsidRPr="00BD2FEE" w:rsidRDefault="00D219C1">
            <w:pPr>
              <w:pStyle w:val="TableTextEntries"/>
              <w:jc w:val="center"/>
              <w:rPr>
                <w:b/>
                <w:caps/>
                <w:color w:val="073771"/>
              </w:rPr>
            </w:pPr>
            <w:r w:rsidRPr="00BD2FEE">
              <w:t>4</w:t>
            </w:r>
          </w:p>
        </w:tc>
        <w:tc>
          <w:tcPr>
            <w:tcW w:w="200" w:type="pct"/>
            <w:shd w:val="clear" w:color="auto" w:fill="F79646" w:themeFill="accent6"/>
            <w:noWrap/>
            <w:hideMark/>
          </w:tcPr>
          <w:p w14:paraId="585C4858" w14:textId="77777777" w:rsidR="00D219C1" w:rsidRPr="00BD2FEE" w:rsidRDefault="00205E0B">
            <w:pPr>
              <w:pStyle w:val="TableTextEntries"/>
              <w:jc w:val="center"/>
              <w:rPr>
                <w:b/>
                <w:caps/>
                <w:color w:val="073771"/>
              </w:rPr>
            </w:pPr>
            <w:r w:rsidRPr="00BD2FEE">
              <w:t>3</w:t>
            </w:r>
          </w:p>
        </w:tc>
        <w:tc>
          <w:tcPr>
            <w:tcW w:w="200" w:type="pct"/>
            <w:shd w:val="clear" w:color="auto" w:fill="FFFF00"/>
            <w:noWrap/>
            <w:hideMark/>
          </w:tcPr>
          <w:p w14:paraId="67502CDC" w14:textId="77777777" w:rsidR="00D219C1" w:rsidRPr="00BD2FEE" w:rsidRDefault="00205E0B">
            <w:pPr>
              <w:pStyle w:val="TableTextEntries"/>
              <w:jc w:val="center"/>
              <w:rPr>
                <w:b/>
                <w:caps/>
                <w:color w:val="073771"/>
              </w:rPr>
            </w:pPr>
            <w:r w:rsidRPr="00BD2FEE">
              <w:t>4</w:t>
            </w:r>
          </w:p>
        </w:tc>
        <w:tc>
          <w:tcPr>
            <w:tcW w:w="200" w:type="pct"/>
            <w:shd w:val="clear" w:color="auto" w:fill="FFFF00"/>
            <w:noWrap/>
            <w:hideMark/>
          </w:tcPr>
          <w:p w14:paraId="09D5EC69" w14:textId="77777777" w:rsidR="00D219C1" w:rsidRPr="00BD2FEE" w:rsidRDefault="00D219C1">
            <w:pPr>
              <w:pStyle w:val="TableTextEntries"/>
              <w:jc w:val="center"/>
              <w:rPr>
                <w:b/>
                <w:caps/>
                <w:color w:val="073771"/>
              </w:rPr>
            </w:pPr>
            <w:r w:rsidRPr="00BD2FEE">
              <w:t>4</w:t>
            </w:r>
          </w:p>
        </w:tc>
        <w:tc>
          <w:tcPr>
            <w:tcW w:w="200" w:type="pct"/>
            <w:shd w:val="clear" w:color="auto" w:fill="92D050"/>
            <w:noWrap/>
            <w:hideMark/>
          </w:tcPr>
          <w:p w14:paraId="6EDB2E9D" w14:textId="77777777" w:rsidR="00D219C1" w:rsidRPr="00BD2FEE" w:rsidRDefault="00D219C1">
            <w:pPr>
              <w:pStyle w:val="TableTextEntries"/>
              <w:jc w:val="center"/>
              <w:rPr>
                <w:b/>
                <w:caps/>
                <w:color w:val="073771"/>
              </w:rPr>
            </w:pPr>
            <w:r w:rsidRPr="00BD2FEE">
              <w:t>M</w:t>
            </w:r>
          </w:p>
        </w:tc>
      </w:tr>
      <w:tr w:rsidR="00AE2781" w:rsidRPr="00BD2FEE" w14:paraId="6B30D0E3" w14:textId="77777777" w:rsidTr="00A14FE9">
        <w:trPr>
          <w:cnfStyle w:val="000000010000" w:firstRow="0" w:lastRow="0" w:firstColumn="0" w:lastColumn="0" w:oddVBand="0" w:evenVBand="0" w:oddHBand="0" w:evenHBand="1" w:firstRowFirstColumn="0" w:firstRowLastColumn="0" w:lastRowFirstColumn="0" w:lastRowLastColumn="0"/>
          <w:tblHeader w:val="0"/>
        </w:trPr>
        <w:tc>
          <w:tcPr>
            <w:tcW w:w="1250" w:type="pct"/>
            <w:hideMark/>
          </w:tcPr>
          <w:p w14:paraId="10BFBB7E" w14:textId="77777777" w:rsidR="00D219C1" w:rsidRPr="00BD2FEE" w:rsidRDefault="00D219C1" w:rsidP="00796F48">
            <w:pPr>
              <w:pStyle w:val="TableTextEntries"/>
            </w:pPr>
            <w:r w:rsidRPr="00BD2FEE">
              <w:t> </w:t>
            </w:r>
          </w:p>
        </w:tc>
        <w:tc>
          <w:tcPr>
            <w:tcW w:w="450" w:type="pct"/>
            <w:hideMark/>
          </w:tcPr>
          <w:p w14:paraId="2688958F" w14:textId="77777777" w:rsidR="00D219C1" w:rsidRPr="00BD2FEE" w:rsidRDefault="00D219C1" w:rsidP="00597520">
            <w:pPr>
              <w:pStyle w:val="TableTextEntries"/>
            </w:pPr>
            <w:r w:rsidRPr="00BD2FEE">
              <w:t> </w:t>
            </w:r>
          </w:p>
        </w:tc>
        <w:tc>
          <w:tcPr>
            <w:tcW w:w="450" w:type="pct"/>
            <w:hideMark/>
          </w:tcPr>
          <w:p w14:paraId="60DE5F0C" w14:textId="77777777" w:rsidR="00D219C1" w:rsidRPr="00BD2FEE" w:rsidRDefault="00D219C1" w:rsidP="00597520">
            <w:pPr>
              <w:pStyle w:val="TableTextEntries"/>
            </w:pPr>
            <w:r w:rsidRPr="00BD2FEE">
              <w:t> </w:t>
            </w:r>
          </w:p>
        </w:tc>
        <w:tc>
          <w:tcPr>
            <w:tcW w:w="450" w:type="pct"/>
            <w:hideMark/>
          </w:tcPr>
          <w:p w14:paraId="4DF12FDE" w14:textId="77777777" w:rsidR="00D219C1" w:rsidRPr="00BD2FEE" w:rsidRDefault="00D219C1" w:rsidP="00A14FE9">
            <w:pPr>
              <w:pStyle w:val="TableTextEntries"/>
              <w:rPr>
                <w:b/>
                <w:caps/>
                <w:color w:val="073771"/>
              </w:rPr>
            </w:pPr>
            <w:r w:rsidRPr="00BD2FEE">
              <w:t> </w:t>
            </w:r>
          </w:p>
        </w:tc>
        <w:tc>
          <w:tcPr>
            <w:tcW w:w="250" w:type="pct"/>
            <w:hideMark/>
          </w:tcPr>
          <w:p w14:paraId="38C62FB1" w14:textId="77777777" w:rsidR="00D219C1" w:rsidRPr="00BD2FEE" w:rsidRDefault="00D219C1" w:rsidP="00A14FE9">
            <w:pPr>
              <w:pStyle w:val="TableTextEntries"/>
              <w:rPr>
                <w:b/>
                <w:caps/>
                <w:color w:val="073771"/>
              </w:rPr>
            </w:pPr>
            <w:r w:rsidRPr="00BD2FEE">
              <w:t>201</w:t>
            </w:r>
            <w:r w:rsidR="00205E0B" w:rsidRPr="00BD2FEE">
              <w:t>1</w:t>
            </w:r>
          </w:p>
        </w:tc>
        <w:tc>
          <w:tcPr>
            <w:tcW w:w="200" w:type="pct"/>
            <w:shd w:val="clear" w:color="auto" w:fill="92D050"/>
            <w:noWrap/>
            <w:hideMark/>
          </w:tcPr>
          <w:p w14:paraId="26205D30" w14:textId="77777777" w:rsidR="00D219C1" w:rsidRPr="00BD2FEE" w:rsidRDefault="00D219C1">
            <w:pPr>
              <w:pStyle w:val="TableTextEntries"/>
              <w:jc w:val="center"/>
              <w:rPr>
                <w:b/>
                <w:caps/>
                <w:color w:val="073771"/>
              </w:rPr>
            </w:pPr>
            <w:r w:rsidRPr="00BD2FEE">
              <w:t>6</w:t>
            </w:r>
          </w:p>
        </w:tc>
        <w:tc>
          <w:tcPr>
            <w:tcW w:w="200" w:type="pct"/>
            <w:shd w:val="clear" w:color="auto" w:fill="92D050"/>
            <w:noWrap/>
            <w:hideMark/>
          </w:tcPr>
          <w:p w14:paraId="42A3C3A5" w14:textId="77777777" w:rsidR="00D219C1" w:rsidRPr="00BD2FEE" w:rsidRDefault="00D219C1">
            <w:pPr>
              <w:pStyle w:val="TableTextEntries"/>
              <w:jc w:val="center"/>
              <w:rPr>
                <w:b/>
                <w:caps/>
                <w:color w:val="073771"/>
              </w:rPr>
            </w:pPr>
            <w:r w:rsidRPr="00BD2FEE">
              <w:t>5</w:t>
            </w:r>
          </w:p>
        </w:tc>
        <w:tc>
          <w:tcPr>
            <w:tcW w:w="200" w:type="pct"/>
            <w:shd w:val="clear" w:color="auto" w:fill="FFFF00"/>
            <w:noWrap/>
            <w:hideMark/>
          </w:tcPr>
          <w:p w14:paraId="1F95562D"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3F17CFE5" w14:textId="77777777" w:rsidR="00D219C1" w:rsidRPr="00BD2FEE" w:rsidRDefault="00205E0B">
            <w:pPr>
              <w:pStyle w:val="TableTextEntries"/>
              <w:jc w:val="center"/>
              <w:rPr>
                <w:b/>
                <w:caps/>
                <w:color w:val="073771"/>
              </w:rPr>
            </w:pPr>
            <w:r w:rsidRPr="00BD2FEE">
              <w:t>4</w:t>
            </w:r>
          </w:p>
        </w:tc>
        <w:tc>
          <w:tcPr>
            <w:tcW w:w="200" w:type="pct"/>
            <w:shd w:val="clear" w:color="auto" w:fill="92D050"/>
            <w:noWrap/>
            <w:hideMark/>
          </w:tcPr>
          <w:p w14:paraId="0F8F4BFA" w14:textId="77777777" w:rsidR="00D219C1" w:rsidRPr="00BD2FEE" w:rsidRDefault="00205E0B">
            <w:pPr>
              <w:pStyle w:val="TableTextEntries"/>
              <w:jc w:val="center"/>
              <w:rPr>
                <w:b/>
                <w:caps/>
                <w:color w:val="073771"/>
              </w:rPr>
            </w:pPr>
            <w:r w:rsidRPr="00BD2FEE">
              <w:t>5</w:t>
            </w:r>
          </w:p>
        </w:tc>
        <w:tc>
          <w:tcPr>
            <w:tcW w:w="200" w:type="pct"/>
            <w:shd w:val="clear" w:color="auto" w:fill="FFFF00"/>
            <w:noWrap/>
            <w:hideMark/>
          </w:tcPr>
          <w:p w14:paraId="076269C0" w14:textId="77777777" w:rsidR="00D219C1" w:rsidRPr="00BD2FEE" w:rsidRDefault="00D219C1">
            <w:pPr>
              <w:pStyle w:val="TableTextEntries"/>
              <w:jc w:val="center"/>
              <w:rPr>
                <w:b/>
                <w:caps/>
                <w:color w:val="073771"/>
              </w:rPr>
            </w:pPr>
            <w:r w:rsidRPr="00BD2FEE">
              <w:t>4</w:t>
            </w:r>
          </w:p>
        </w:tc>
        <w:tc>
          <w:tcPr>
            <w:tcW w:w="200" w:type="pct"/>
            <w:shd w:val="clear" w:color="auto" w:fill="92D050"/>
            <w:noWrap/>
            <w:hideMark/>
          </w:tcPr>
          <w:p w14:paraId="657F9981" w14:textId="77777777" w:rsidR="00D219C1" w:rsidRPr="00BD2FEE" w:rsidRDefault="008E4EF2">
            <w:pPr>
              <w:pStyle w:val="TableTextEntries"/>
              <w:jc w:val="center"/>
              <w:rPr>
                <w:b/>
                <w:caps/>
                <w:color w:val="073771"/>
              </w:rPr>
            </w:pPr>
            <w:r w:rsidRPr="00BD2FEE">
              <w:t>M</w:t>
            </w:r>
          </w:p>
        </w:tc>
      </w:tr>
      <w:tr w:rsidR="00AE2781" w:rsidRPr="00BD2FEE" w14:paraId="1053C588" w14:textId="77777777" w:rsidTr="00A14FE9">
        <w:trPr>
          <w:tblHeader w:val="0"/>
        </w:trPr>
        <w:tc>
          <w:tcPr>
            <w:tcW w:w="1250" w:type="pct"/>
            <w:hideMark/>
          </w:tcPr>
          <w:p w14:paraId="4ACA8B4D" w14:textId="77777777" w:rsidR="00D219C1" w:rsidRPr="00BD2FEE" w:rsidRDefault="00D219C1" w:rsidP="00796F48">
            <w:pPr>
              <w:pStyle w:val="TableTextEntries"/>
            </w:pPr>
            <w:r w:rsidRPr="00BD2FEE">
              <w:t>Southern Coastal Corridor Vietnam</w:t>
            </w:r>
          </w:p>
        </w:tc>
        <w:tc>
          <w:tcPr>
            <w:tcW w:w="450" w:type="pct"/>
            <w:hideMark/>
          </w:tcPr>
          <w:p w14:paraId="574EE61C" w14:textId="77777777" w:rsidR="00D219C1" w:rsidRPr="00BD2FEE" w:rsidRDefault="00D219C1" w:rsidP="00597520">
            <w:pPr>
              <w:pStyle w:val="TableTextEntries"/>
            </w:pPr>
            <w:r w:rsidRPr="00BD2FEE">
              <w:t>03/12/2007</w:t>
            </w:r>
          </w:p>
        </w:tc>
        <w:tc>
          <w:tcPr>
            <w:tcW w:w="450" w:type="pct"/>
            <w:hideMark/>
          </w:tcPr>
          <w:p w14:paraId="08DE918C" w14:textId="77777777" w:rsidR="00D219C1" w:rsidRPr="00BD2FEE" w:rsidRDefault="00D219C1" w:rsidP="00597520">
            <w:pPr>
              <w:pStyle w:val="TableTextEntries"/>
            </w:pPr>
            <w:r w:rsidRPr="00BD2FEE">
              <w:t>30/06/2016</w:t>
            </w:r>
          </w:p>
        </w:tc>
        <w:tc>
          <w:tcPr>
            <w:tcW w:w="450" w:type="pct"/>
            <w:hideMark/>
          </w:tcPr>
          <w:p w14:paraId="5D826560" w14:textId="77777777" w:rsidR="00D219C1" w:rsidRPr="00BD2FEE" w:rsidRDefault="00D219C1" w:rsidP="00A14FE9">
            <w:pPr>
              <w:pStyle w:val="TableTextEntries"/>
              <w:rPr>
                <w:b/>
                <w:caps/>
                <w:color w:val="073771"/>
              </w:rPr>
            </w:pPr>
            <w:r w:rsidRPr="00BD2FEE">
              <w:t>$45</w:t>
            </w:r>
            <w:r w:rsidR="000957FC" w:rsidRPr="00BD2FEE">
              <w:t xml:space="preserve"> </w:t>
            </w:r>
            <w:r w:rsidRPr="00BD2FEE">
              <w:t>117</w:t>
            </w:r>
            <w:r w:rsidR="000957FC" w:rsidRPr="00BD2FEE">
              <w:t xml:space="preserve"> </w:t>
            </w:r>
            <w:r w:rsidRPr="00BD2FEE">
              <w:t>000</w:t>
            </w:r>
          </w:p>
        </w:tc>
        <w:tc>
          <w:tcPr>
            <w:tcW w:w="250" w:type="pct"/>
            <w:hideMark/>
          </w:tcPr>
          <w:p w14:paraId="6E77F295" w14:textId="77777777" w:rsidR="00D219C1" w:rsidRPr="00BD2FEE" w:rsidRDefault="00D219C1" w:rsidP="00A14FE9">
            <w:pPr>
              <w:pStyle w:val="TableTextEntries"/>
              <w:rPr>
                <w:b/>
                <w:caps/>
                <w:color w:val="073771"/>
              </w:rPr>
            </w:pPr>
            <w:r w:rsidRPr="00BD2FEE">
              <w:t>201</w:t>
            </w:r>
            <w:r w:rsidR="00205E0B" w:rsidRPr="00BD2FEE">
              <w:t>2</w:t>
            </w:r>
          </w:p>
        </w:tc>
        <w:tc>
          <w:tcPr>
            <w:tcW w:w="200" w:type="pct"/>
            <w:shd w:val="clear" w:color="auto" w:fill="92D050"/>
            <w:noWrap/>
            <w:hideMark/>
          </w:tcPr>
          <w:p w14:paraId="0AA22EC0" w14:textId="77777777" w:rsidR="00D219C1" w:rsidRPr="00BD2FEE" w:rsidRDefault="00D219C1">
            <w:pPr>
              <w:pStyle w:val="TableTextEntries"/>
              <w:jc w:val="center"/>
              <w:rPr>
                <w:b/>
                <w:caps/>
                <w:color w:val="073771"/>
              </w:rPr>
            </w:pPr>
            <w:r w:rsidRPr="00BD2FEE">
              <w:t>6</w:t>
            </w:r>
          </w:p>
        </w:tc>
        <w:tc>
          <w:tcPr>
            <w:tcW w:w="200" w:type="pct"/>
            <w:shd w:val="clear" w:color="auto" w:fill="92D050"/>
            <w:noWrap/>
            <w:hideMark/>
          </w:tcPr>
          <w:p w14:paraId="0AE82F87" w14:textId="77777777" w:rsidR="00D219C1" w:rsidRPr="00BD2FEE" w:rsidRDefault="00205E0B">
            <w:pPr>
              <w:pStyle w:val="TableTextEntries"/>
              <w:jc w:val="center"/>
              <w:rPr>
                <w:b/>
                <w:caps/>
                <w:color w:val="073771"/>
              </w:rPr>
            </w:pPr>
            <w:r w:rsidRPr="00BD2FEE">
              <w:t>5</w:t>
            </w:r>
          </w:p>
        </w:tc>
        <w:tc>
          <w:tcPr>
            <w:tcW w:w="200" w:type="pct"/>
            <w:shd w:val="clear" w:color="auto" w:fill="FFFF00"/>
            <w:noWrap/>
            <w:hideMark/>
          </w:tcPr>
          <w:p w14:paraId="0874153B"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685F1AF9" w14:textId="77777777" w:rsidR="00D219C1" w:rsidRPr="00BD2FEE" w:rsidRDefault="00D219C1">
            <w:pPr>
              <w:pStyle w:val="TableTextEntries"/>
              <w:jc w:val="center"/>
              <w:rPr>
                <w:b/>
                <w:caps/>
                <w:color w:val="073771"/>
              </w:rPr>
            </w:pPr>
            <w:r w:rsidRPr="00BD2FEE">
              <w:t>4</w:t>
            </w:r>
          </w:p>
        </w:tc>
        <w:tc>
          <w:tcPr>
            <w:tcW w:w="200" w:type="pct"/>
            <w:shd w:val="clear" w:color="auto" w:fill="92D050"/>
            <w:noWrap/>
            <w:hideMark/>
          </w:tcPr>
          <w:p w14:paraId="239AB88C" w14:textId="77777777" w:rsidR="00D219C1" w:rsidRPr="00BD2FEE" w:rsidRDefault="00D219C1">
            <w:pPr>
              <w:pStyle w:val="TableTextEntries"/>
              <w:jc w:val="center"/>
              <w:rPr>
                <w:b/>
                <w:caps/>
                <w:color w:val="073771"/>
              </w:rPr>
            </w:pPr>
            <w:r w:rsidRPr="00BD2FEE">
              <w:t>5</w:t>
            </w:r>
          </w:p>
        </w:tc>
        <w:tc>
          <w:tcPr>
            <w:tcW w:w="200" w:type="pct"/>
            <w:shd w:val="clear" w:color="auto" w:fill="FFFF00"/>
            <w:noWrap/>
            <w:hideMark/>
          </w:tcPr>
          <w:p w14:paraId="01A69088" w14:textId="77777777" w:rsidR="00D219C1" w:rsidRPr="00BD2FEE" w:rsidRDefault="00D219C1">
            <w:pPr>
              <w:pStyle w:val="TableTextEntries"/>
              <w:jc w:val="center"/>
              <w:rPr>
                <w:b/>
                <w:caps/>
                <w:color w:val="073771"/>
              </w:rPr>
            </w:pPr>
            <w:r w:rsidRPr="00BD2FEE">
              <w:t>4</w:t>
            </w:r>
          </w:p>
        </w:tc>
        <w:tc>
          <w:tcPr>
            <w:tcW w:w="200" w:type="pct"/>
            <w:shd w:val="clear" w:color="auto" w:fill="92D050"/>
            <w:noWrap/>
            <w:hideMark/>
          </w:tcPr>
          <w:p w14:paraId="6E035153" w14:textId="77777777" w:rsidR="00D219C1" w:rsidRPr="00BD2FEE" w:rsidRDefault="00D219C1">
            <w:pPr>
              <w:pStyle w:val="TableTextEntries"/>
              <w:jc w:val="center"/>
              <w:rPr>
                <w:b/>
                <w:caps/>
                <w:color w:val="073771"/>
              </w:rPr>
            </w:pPr>
            <w:r w:rsidRPr="00BD2FEE">
              <w:t>M</w:t>
            </w:r>
          </w:p>
        </w:tc>
      </w:tr>
      <w:tr w:rsidR="00AE2781" w:rsidRPr="00BD2FEE" w14:paraId="129B3996" w14:textId="77777777" w:rsidTr="00A14FE9">
        <w:trPr>
          <w:cnfStyle w:val="000000010000" w:firstRow="0" w:lastRow="0" w:firstColumn="0" w:lastColumn="0" w:oddVBand="0" w:evenVBand="0" w:oddHBand="0" w:evenHBand="1" w:firstRowFirstColumn="0" w:firstRowLastColumn="0" w:lastRowFirstColumn="0" w:lastRowLastColumn="0"/>
          <w:tblHeader w:val="0"/>
        </w:trPr>
        <w:tc>
          <w:tcPr>
            <w:tcW w:w="1250" w:type="pct"/>
            <w:hideMark/>
          </w:tcPr>
          <w:p w14:paraId="78CDB278" w14:textId="77777777" w:rsidR="00D219C1" w:rsidRPr="00BD2FEE" w:rsidRDefault="00D219C1" w:rsidP="00796F48">
            <w:pPr>
              <w:pStyle w:val="TableTextEntries"/>
            </w:pPr>
            <w:r w:rsidRPr="00BD2FEE">
              <w:t> </w:t>
            </w:r>
          </w:p>
        </w:tc>
        <w:tc>
          <w:tcPr>
            <w:tcW w:w="450" w:type="pct"/>
            <w:hideMark/>
          </w:tcPr>
          <w:p w14:paraId="06448B0D" w14:textId="77777777" w:rsidR="00D219C1" w:rsidRPr="00BD2FEE" w:rsidRDefault="00D219C1" w:rsidP="00597520">
            <w:pPr>
              <w:pStyle w:val="TableTextEntries"/>
            </w:pPr>
            <w:r w:rsidRPr="00BD2FEE">
              <w:t> </w:t>
            </w:r>
          </w:p>
        </w:tc>
        <w:tc>
          <w:tcPr>
            <w:tcW w:w="450" w:type="pct"/>
            <w:hideMark/>
          </w:tcPr>
          <w:p w14:paraId="0E97231B" w14:textId="77777777" w:rsidR="00D219C1" w:rsidRPr="00BD2FEE" w:rsidRDefault="00D219C1" w:rsidP="00597520">
            <w:pPr>
              <w:pStyle w:val="TableTextEntries"/>
            </w:pPr>
            <w:r w:rsidRPr="00BD2FEE">
              <w:t> </w:t>
            </w:r>
          </w:p>
        </w:tc>
        <w:tc>
          <w:tcPr>
            <w:tcW w:w="450" w:type="pct"/>
            <w:hideMark/>
          </w:tcPr>
          <w:p w14:paraId="572A6AD2" w14:textId="77777777" w:rsidR="00D219C1" w:rsidRPr="00BD2FEE" w:rsidRDefault="00D219C1" w:rsidP="00A14FE9">
            <w:pPr>
              <w:pStyle w:val="TableTextEntries"/>
              <w:rPr>
                <w:b/>
                <w:caps/>
                <w:color w:val="073771"/>
              </w:rPr>
            </w:pPr>
            <w:r w:rsidRPr="00BD2FEE">
              <w:t> </w:t>
            </w:r>
          </w:p>
        </w:tc>
        <w:tc>
          <w:tcPr>
            <w:tcW w:w="250" w:type="pct"/>
            <w:hideMark/>
          </w:tcPr>
          <w:p w14:paraId="1150D3FB" w14:textId="77777777" w:rsidR="00D219C1" w:rsidRPr="00BD2FEE" w:rsidRDefault="00D219C1" w:rsidP="00A14FE9">
            <w:pPr>
              <w:pStyle w:val="TableTextEntries"/>
              <w:rPr>
                <w:b/>
                <w:caps/>
                <w:color w:val="073771"/>
              </w:rPr>
            </w:pPr>
            <w:r w:rsidRPr="00BD2FEE">
              <w:t>201</w:t>
            </w:r>
            <w:r w:rsidR="00205E0B" w:rsidRPr="00BD2FEE">
              <w:t>1</w:t>
            </w:r>
          </w:p>
        </w:tc>
        <w:tc>
          <w:tcPr>
            <w:tcW w:w="200" w:type="pct"/>
            <w:shd w:val="clear" w:color="auto" w:fill="92D050"/>
            <w:noWrap/>
            <w:hideMark/>
          </w:tcPr>
          <w:p w14:paraId="64E107EB" w14:textId="77777777" w:rsidR="00D219C1" w:rsidRPr="00BD2FEE" w:rsidRDefault="00D219C1">
            <w:pPr>
              <w:pStyle w:val="TableTextEntries"/>
              <w:jc w:val="center"/>
              <w:rPr>
                <w:b/>
                <w:caps/>
                <w:color w:val="073771"/>
              </w:rPr>
            </w:pPr>
            <w:r w:rsidRPr="00BD2FEE">
              <w:t>6</w:t>
            </w:r>
          </w:p>
        </w:tc>
        <w:tc>
          <w:tcPr>
            <w:tcW w:w="200" w:type="pct"/>
            <w:shd w:val="clear" w:color="auto" w:fill="FFFF00"/>
            <w:noWrap/>
            <w:hideMark/>
          </w:tcPr>
          <w:p w14:paraId="27F9A401" w14:textId="77777777" w:rsidR="00D219C1" w:rsidRPr="00BD2FEE" w:rsidRDefault="00205E0B">
            <w:pPr>
              <w:pStyle w:val="TableTextEntries"/>
              <w:jc w:val="center"/>
              <w:rPr>
                <w:b/>
                <w:caps/>
                <w:color w:val="073771"/>
              </w:rPr>
            </w:pPr>
            <w:r w:rsidRPr="00BD2FEE">
              <w:t>4</w:t>
            </w:r>
          </w:p>
        </w:tc>
        <w:tc>
          <w:tcPr>
            <w:tcW w:w="200" w:type="pct"/>
            <w:shd w:val="clear" w:color="auto" w:fill="FFFF00"/>
            <w:noWrap/>
            <w:hideMark/>
          </w:tcPr>
          <w:p w14:paraId="2F1587D7"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680915E6" w14:textId="77777777" w:rsidR="00D219C1" w:rsidRPr="00BD2FEE" w:rsidRDefault="00D219C1">
            <w:pPr>
              <w:pStyle w:val="TableTextEntries"/>
              <w:jc w:val="center"/>
              <w:rPr>
                <w:b/>
                <w:caps/>
                <w:color w:val="073771"/>
              </w:rPr>
            </w:pPr>
            <w:r w:rsidRPr="00BD2FEE">
              <w:t>4</w:t>
            </w:r>
          </w:p>
        </w:tc>
        <w:tc>
          <w:tcPr>
            <w:tcW w:w="200" w:type="pct"/>
            <w:shd w:val="clear" w:color="auto" w:fill="92D050"/>
            <w:noWrap/>
            <w:hideMark/>
          </w:tcPr>
          <w:p w14:paraId="3F9A0DBE" w14:textId="77777777" w:rsidR="00D219C1" w:rsidRPr="00BD2FEE" w:rsidRDefault="00D219C1">
            <w:pPr>
              <w:pStyle w:val="TableTextEntries"/>
              <w:jc w:val="center"/>
              <w:rPr>
                <w:b/>
                <w:caps/>
                <w:color w:val="073771"/>
              </w:rPr>
            </w:pPr>
            <w:r w:rsidRPr="00BD2FEE">
              <w:t>5</w:t>
            </w:r>
          </w:p>
        </w:tc>
        <w:tc>
          <w:tcPr>
            <w:tcW w:w="200" w:type="pct"/>
            <w:shd w:val="clear" w:color="auto" w:fill="FFFF00"/>
            <w:noWrap/>
            <w:hideMark/>
          </w:tcPr>
          <w:p w14:paraId="140E0F2A" w14:textId="77777777" w:rsidR="00D219C1" w:rsidRPr="00BD2FEE" w:rsidRDefault="00D219C1">
            <w:pPr>
              <w:pStyle w:val="TableTextEntries"/>
              <w:jc w:val="center"/>
              <w:rPr>
                <w:b/>
                <w:caps/>
                <w:color w:val="073771"/>
              </w:rPr>
            </w:pPr>
            <w:r w:rsidRPr="00BD2FEE">
              <w:t>4</w:t>
            </w:r>
          </w:p>
        </w:tc>
        <w:tc>
          <w:tcPr>
            <w:tcW w:w="200" w:type="pct"/>
            <w:shd w:val="clear" w:color="auto" w:fill="92D050"/>
            <w:noWrap/>
            <w:hideMark/>
          </w:tcPr>
          <w:p w14:paraId="7A686943" w14:textId="77777777" w:rsidR="00D219C1" w:rsidRPr="00BD2FEE" w:rsidRDefault="008E4EF2">
            <w:pPr>
              <w:pStyle w:val="TableTextEntries"/>
              <w:jc w:val="center"/>
              <w:rPr>
                <w:b/>
                <w:caps/>
                <w:color w:val="073771"/>
              </w:rPr>
            </w:pPr>
            <w:r w:rsidRPr="00BD2FEE">
              <w:t>M</w:t>
            </w:r>
          </w:p>
        </w:tc>
      </w:tr>
      <w:tr w:rsidR="00AE2781" w:rsidRPr="00BD2FEE" w14:paraId="5F4D258C" w14:textId="77777777" w:rsidTr="00A14FE9">
        <w:trPr>
          <w:tblHeader w:val="0"/>
        </w:trPr>
        <w:tc>
          <w:tcPr>
            <w:tcW w:w="1250" w:type="pct"/>
            <w:hideMark/>
          </w:tcPr>
          <w:p w14:paraId="67FCE7E9" w14:textId="77777777" w:rsidR="00D219C1" w:rsidRPr="00BD2FEE" w:rsidRDefault="00D219C1" w:rsidP="00796F48">
            <w:pPr>
              <w:pStyle w:val="TableTextEntries"/>
            </w:pPr>
            <w:r w:rsidRPr="00BD2FEE">
              <w:t>Vietnam Rural Energy Distribution</w:t>
            </w:r>
          </w:p>
        </w:tc>
        <w:tc>
          <w:tcPr>
            <w:tcW w:w="450" w:type="pct"/>
            <w:hideMark/>
          </w:tcPr>
          <w:p w14:paraId="6C59CD3A" w14:textId="77777777" w:rsidR="00D219C1" w:rsidRPr="00BD2FEE" w:rsidRDefault="00D219C1" w:rsidP="00597520">
            <w:pPr>
              <w:pStyle w:val="TableTextEntries"/>
            </w:pPr>
            <w:r w:rsidRPr="00BD2FEE">
              <w:t>14/12/2007</w:t>
            </w:r>
          </w:p>
        </w:tc>
        <w:tc>
          <w:tcPr>
            <w:tcW w:w="450" w:type="pct"/>
            <w:hideMark/>
          </w:tcPr>
          <w:p w14:paraId="4C232660" w14:textId="77777777" w:rsidR="00D219C1" w:rsidRPr="00BD2FEE" w:rsidRDefault="00D219C1" w:rsidP="00597520">
            <w:pPr>
              <w:pStyle w:val="TableTextEntries"/>
            </w:pPr>
            <w:r w:rsidRPr="00BD2FEE">
              <w:t>31/12/2013</w:t>
            </w:r>
          </w:p>
        </w:tc>
        <w:tc>
          <w:tcPr>
            <w:tcW w:w="450" w:type="pct"/>
            <w:hideMark/>
          </w:tcPr>
          <w:p w14:paraId="7B8417E6" w14:textId="77777777" w:rsidR="00D219C1" w:rsidRPr="00BD2FEE" w:rsidRDefault="00D219C1" w:rsidP="00A14FE9">
            <w:pPr>
              <w:pStyle w:val="TableTextEntries"/>
              <w:rPr>
                <w:b/>
                <w:caps/>
                <w:color w:val="073771"/>
              </w:rPr>
            </w:pPr>
            <w:r w:rsidRPr="00BD2FEE">
              <w:t>$3</w:t>
            </w:r>
            <w:r w:rsidR="000957FC" w:rsidRPr="00BD2FEE">
              <w:t xml:space="preserve"> </w:t>
            </w:r>
            <w:r w:rsidRPr="00BD2FEE">
              <w:t>500</w:t>
            </w:r>
            <w:r w:rsidR="000957FC" w:rsidRPr="00BD2FEE">
              <w:t xml:space="preserve"> </w:t>
            </w:r>
            <w:r w:rsidRPr="00BD2FEE">
              <w:t>000</w:t>
            </w:r>
          </w:p>
        </w:tc>
        <w:tc>
          <w:tcPr>
            <w:tcW w:w="250" w:type="pct"/>
            <w:hideMark/>
          </w:tcPr>
          <w:p w14:paraId="1595C965" w14:textId="77777777" w:rsidR="00D219C1" w:rsidRPr="00BD2FEE" w:rsidRDefault="00D219C1" w:rsidP="00A14FE9">
            <w:pPr>
              <w:pStyle w:val="TableTextEntries"/>
              <w:rPr>
                <w:b/>
                <w:caps/>
                <w:color w:val="073771"/>
              </w:rPr>
            </w:pPr>
            <w:r w:rsidRPr="00BD2FEE">
              <w:t>201</w:t>
            </w:r>
            <w:r w:rsidR="00205E0B" w:rsidRPr="00BD2FEE">
              <w:t>2</w:t>
            </w:r>
          </w:p>
        </w:tc>
        <w:tc>
          <w:tcPr>
            <w:tcW w:w="200" w:type="pct"/>
            <w:shd w:val="clear" w:color="auto" w:fill="FFFF00"/>
            <w:noWrap/>
            <w:hideMark/>
          </w:tcPr>
          <w:p w14:paraId="2E5BDE77"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15724C9B"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5CF193D3" w14:textId="77777777" w:rsidR="00D219C1" w:rsidRPr="00BD2FEE" w:rsidRDefault="00D219C1">
            <w:pPr>
              <w:pStyle w:val="TableTextEntries"/>
              <w:jc w:val="center"/>
              <w:rPr>
                <w:b/>
                <w:caps/>
                <w:color w:val="073771"/>
              </w:rPr>
            </w:pPr>
            <w:r w:rsidRPr="00BD2FEE">
              <w:t>4</w:t>
            </w:r>
          </w:p>
        </w:tc>
        <w:tc>
          <w:tcPr>
            <w:tcW w:w="200" w:type="pct"/>
            <w:shd w:val="clear" w:color="auto" w:fill="F79646" w:themeFill="accent6"/>
            <w:noWrap/>
            <w:hideMark/>
          </w:tcPr>
          <w:p w14:paraId="3AC0E45D" w14:textId="77777777" w:rsidR="00D219C1" w:rsidRPr="00BD2FEE" w:rsidRDefault="00D219C1">
            <w:pPr>
              <w:pStyle w:val="TableTextEntries"/>
              <w:jc w:val="center"/>
              <w:rPr>
                <w:b/>
                <w:caps/>
                <w:color w:val="073771"/>
              </w:rPr>
            </w:pPr>
            <w:r w:rsidRPr="00BD2FEE">
              <w:t>3</w:t>
            </w:r>
          </w:p>
        </w:tc>
        <w:tc>
          <w:tcPr>
            <w:tcW w:w="200" w:type="pct"/>
            <w:shd w:val="clear" w:color="auto" w:fill="FFFF00"/>
            <w:noWrap/>
            <w:hideMark/>
          </w:tcPr>
          <w:p w14:paraId="15058E0B"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1126EFB3" w14:textId="77777777" w:rsidR="00D219C1" w:rsidRPr="00BD2FEE" w:rsidRDefault="00D219C1">
            <w:pPr>
              <w:pStyle w:val="TableTextEntries"/>
              <w:jc w:val="center"/>
              <w:rPr>
                <w:b/>
                <w:caps/>
                <w:color w:val="073771"/>
              </w:rPr>
            </w:pPr>
            <w:r w:rsidRPr="00BD2FEE">
              <w:t>4</w:t>
            </w:r>
          </w:p>
        </w:tc>
        <w:tc>
          <w:tcPr>
            <w:tcW w:w="200" w:type="pct"/>
            <w:shd w:val="clear" w:color="auto" w:fill="F79646" w:themeFill="accent6"/>
            <w:noWrap/>
            <w:hideMark/>
          </w:tcPr>
          <w:p w14:paraId="1DC6663E" w14:textId="77777777" w:rsidR="00D219C1" w:rsidRPr="00BD2FEE" w:rsidRDefault="00D219C1">
            <w:pPr>
              <w:pStyle w:val="TableTextEntries"/>
              <w:jc w:val="center"/>
              <w:rPr>
                <w:b/>
                <w:caps/>
                <w:color w:val="073771"/>
              </w:rPr>
            </w:pPr>
            <w:r w:rsidRPr="00BD2FEE">
              <w:t>I</w:t>
            </w:r>
          </w:p>
        </w:tc>
      </w:tr>
      <w:tr w:rsidR="00AE2781" w:rsidRPr="00BD2FEE" w14:paraId="21AA3AE0" w14:textId="77777777" w:rsidTr="00A14FE9">
        <w:trPr>
          <w:cnfStyle w:val="000000010000" w:firstRow="0" w:lastRow="0" w:firstColumn="0" w:lastColumn="0" w:oddVBand="0" w:evenVBand="0" w:oddHBand="0" w:evenHBand="1" w:firstRowFirstColumn="0" w:firstRowLastColumn="0" w:lastRowFirstColumn="0" w:lastRowLastColumn="0"/>
          <w:tblHeader w:val="0"/>
        </w:trPr>
        <w:tc>
          <w:tcPr>
            <w:tcW w:w="1250" w:type="pct"/>
            <w:hideMark/>
          </w:tcPr>
          <w:p w14:paraId="2DA66193" w14:textId="77777777" w:rsidR="00D219C1" w:rsidRPr="00BD2FEE" w:rsidRDefault="00D219C1" w:rsidP="00796F48">
            <w:pPr>
              <w:pStyle w:val="TableTextEntries"/>
            </w:pPr>
            <w:r w:rsidRPr="00BD2FEE">
              <w:t> </w:t>
            </w:r>
          </w:p>
        </w:tc>
        <w:tc>
          <w:tcPr>
            <w:tcW w:w="450" w:type="pct"/>
            <w:hideMark/>
          </w:tcPr>
          <w:p w14:paraId="62FA0597" w14:textId="77777777" w:rsidR="00D219C1" w:rsidRPr="00BD2FEE" w:rsidRDefault="00D219C1" w:rsidP="00597520">
            <w:pPr>
              <w:pStyle w:val="TableTextEntries"/>
            </w:pPr>
            <w:r w:rsidRPr="00BD2FEE">
              <w:t> </w:t>
            </w:r>
          </w:p>
        </w:tc>
        <w:tc>
          <w:tcPr>
            <w:tcW w:w="450" w:type="pct"/>
            <w:hideMark/>
          </w:tcPr>
          <w:p w14:paraId="2CB54CBF" w14:textId="77777777" w:rsidR="00D219C1" w:rsidRPr="00BD2FEE" w:rsidRDefault="00D219C1" w:rsidP="00597520">
            <w:pPr>
              <w:pStyle w:val="TableTextEntries"/>
            </w:pPr>
            <w:r w:rsidRPr="00BD2FEE">
              <w:t> </w:t>
            </w:r>
          </w:p>
        </w:tc>
        <w:tc>
          <w:tcPr>
            <w:tcW w:w="450" w:type="pct"/>
            <w:hideMark/>
          </w:tcPr>
          <w:p w14:paraId="424DFB87" w14:textId="77777777" w:rsidR="00D219C1" w:rsidRPr="00BD2FEE" w:rsidRDefault="00D219C1" w:rsidP="00A14FE9">
            <w:pPr>
              <w:pStyle w:val="TableTextEntries"/>
              <w:rPr>
                <w:b/>
                <w:caps/>
                <w:color w:val="073771"/>
              </w:rPr>
            </w:pPr>
            <w:r w:rsidRPr="00BD2FEE">
              <w:t> </w:t>
            </w:r>
          </w:p>
        </w:tc>
        <w:tc>
          <w:tcPr>
            <w:tcW w:w="250" w:type="pct"/>
            <w:hideMark/>
          </w:tcPr>
          <w:p w14:paraId="44B7301A" w14:textId="77777777" w:rsidR="00D219C1" w:rsidRPr="00BD2FEE" w:rsidRDefault="00D219C1" w:rsidP="00A14FE9">
            <w:pPr>
              <w:pStyle w:val="TableTextEntries"/>
              <w:rPr>
                <w:b/>
                <w:caps/>
                <w:color w:val="073771"/>
              </w:rPr>
            </w:pPr>
            <w:r w:rsidRPr="00BD2FEE">
              <w:t>201</w:t>
            </w:r>
            <w:r w:rsidR="00205E0B" w:rsidRPr="00BD2FEE">
              <w:t>1</w:t>
            </w:r>
          </w:p>
        </w:tc>
        <w:tc>
          <w:tcPr>
            <w:tcW w:w="200" w:type="pct"/>
            <w:shd w:val="clear" w:color="auto" w:fill="FFFF00"/>
            <w:noWrap/>
            <w:hideMark/>
          </w:tcPr>
          <w:p w14:paraId="42BD28EA"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6DD7802E"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7F5D697B" w14:textId="77777777" w:rsidR="00D219C1" w:rsidRPr="00BD2FEE" w:rsidRDefault="00D219C1">
            <w:pPr>
              <w:pStyle w:val="TableTextEntries"/>
              <w:jc w:val="center"/>
              <w:rPr>
                <w:b/>
                <w:caps/>
                <w:color w:val="073771"/>
              </w:rPr>
            </w:pPr>
            <w:r w:rsidRPr="00BD2FEE">
              <w:t>4</w:t>
            </w:r>
          </w:p>
        </w:tc>
        <w:tc>
          <w:tcPr>
            <w:tcW w:w="200" w:type="pct"/>
            <w:shd w:val="clear" w:color="auto" w:fill="F79646" w:themeFill="accent6"/>
            <w:noWrap/>
            <w:hideMark/>
          </w:tcPr>
          <w:p w14:paraId="3DA48ECB" w14:textId="77777777" w:rsidR="00D219C1" w:rsidRPr="00BD2FEE" w:rsidRDefault="00D219C1">
            <w:pPr>
              <w:pStyle w:val="TableTextEntries"/>
              <w:jc w:val="center"/>
              <w:rPr>
                <w:b/>
                <w:caps/>
                <w:color w:val="073771"/>
              </w:rPr>
            </w:pPr>
            <w:r w:rsidRPr="00BD2FEE">
              <w:t>3</w:t>
            </w:r>
          </w:p>
        </w:tc>
        <w:tc>
          <w:tcPr>
            <w:tcW w:w="200" w:type="pct"/>
            <w:shd w:val="clear" w:color="auto" w:fill="FFFF00"/>
            <w:noWrap/>
            <w:hideMark/>
          </w:tcPr>
          <w:p w14:paraId="6D06C601"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37E70069" w14:textId="77777777" w:rsidR="00D219C1" w:rsidRPr="00BD2FEE" w:rsidRDefault="00D219C1">
            <w:pPr>
              <w:pStyle w:val="TableTextEntries"/>
              <w:jc w:val="center"/>
              <w:rPr>
                <w:b/>
                <w:caps/>
                <w:color w:val="073771"/>
              </w:rPr>
            </w:pPr>
            <w:r w:rsidRPr="00BD2FEE">
              <w:t>4</w:t>
            </w:r>
          </w:p>
        </w:tc>
        <w:tc>
          <w:tcPr>
            <w:tcW w:w="200" w:type="pct"/>
            <w:shd w:val="clear" w:color="auto" w:fill="F79646" w:themeFill="accent6"/>
            <w:noWrap/>
            <w:hideMark/>
          </w:tcPr>
          <w:p w14:paraId="3407934A" w14:textId="77777777" w:rsidR="00D219C1" w:rsidRPr="00BD2FEE" w:rsidRDefault="008E4EF2">
            <w:pPr>
              <w:pStyle w:val="TableTextEntries"/>
              <w:jc w:val="center"/>
              <w:rPr>
                <w:b/>
                <w:caps/>
                <w:color w:val="073771"/>
              </w:rPr>
            </w:pPr>
            <w:r w:rsidRPr="00BD2FEE">
              <w:t>I</w:t>
            </w:r>
          </w:p>
        </w:tc>
      </w:tr>
      <w:tr w:rsidR="00AE2781" w:rsidRPr="00BD2FEE" w14:paraId="22495610" w14:textId="77777777" w:rsidTr="00A14FE9">
        <w:trPr>
          <w:tblHeader w:val="0"/>
        </w:trPr>
        <w:tc>
          <w:tcPr>
            <w:tcW w:w="1250" w:type="pct"/>
            <w:hideMark/>
          </w:tcPr>
          <w:p w14:paraId="1AA177AC" w14:textId="77777777" w:rsidR="00D219C1" w:rsidRPr="00BD2FEE" w:rsidRDefault="00D219C1" w:rsidP="00796F48">
            <w:pPr>
              <w:pStyle w:val="TableTextEntries"/>
            </w:pPr>
            <w:r w:rsidRPr="00BD2FEE">
              <w:t>Beyond WTO Phase II</w:t>
            </w:r>
          </w:p>
        </w:tc>
        <w:tc>
          <w:tcPr>
            <w:tcW w:w="450" w:type="pct"/>
            <w:hideMark/>
          </w:tcPr>
          <w:p w14:paraId="3F78C239" w14:textId="77777777" w:rsidR="00D219C1" w:rsidRPr="00BD2FEE" w:rsidRDefault="00D219C1" w:rsidP="00597520">
            <w:pPr>
              <w:pStyle w:val="TableTextEntries"/>
            </w:pPr>
            <w:r w:rsidRPr="00BD2FEE">
              <w:t>01/07/2009</w:t>
            </w:r>
          </w:p>
        </w:tc>
        <w:tc>
          <w:tcPr>
            <w:tcW w:w="450" w:type="pct"/>
            <w:hideMark/>
          </w:tcPr>
          <w:p w14:paraId="16BFDC27" w14:textId="77777777" w:rsidR="00D219C1" w:rsidRPr="00BD2FEE" w:rsidRDefault="00D219C1" w:rsidP="00597520">
            <w:pPr>
              <w:pStyle w:val="TableTextEntries"/>
            </w:pPr>
            <w:r w:rsidRPr="00BD2FEE">
              <w:t>31/12/2013</w:t>
            </w:r>
          </w:p>
        </w:tc>
        <w:tc>
          <w:tcPr>
            <w:tcW w:w="450" w:type="pct"/>
            <w:hideMark/>
          </w:tcPr>
          <w:p w14:paraId="596D76AB" w14:textId="77777777" w:rsidR="00D219C1" w:rsidRPr="00BD2FEE" w:rsidRDefault="00D219C1" w:rsidP="00A14FE9">
            <w:pPr>
              <w:pStyle w:val="TableTextEntries"/>
              <w:rPr>
                <w:b/>
                <w:caps/>
                <w:color w:val="073771"/>
              </w:rPr>
            </w:pPr>
            <w:r w:rsidRPr="00BD2FEE">
              <w:t>$12</w:t>
            </w:r>
            <w:r w:rsidR="000957FC" w:rsidRPr="00BD2FEE">
              <w:t xml:space="preserve"> </w:t>
            </w:r>
            <w:r w:rsidRPr="00BD2FEE">
              <w:t>300</w:t>
            </w:r>
            <w:r w:rsidR="000957FC" w:rsidRPr="00BD2FEE">
              <w:t xml:space="preserve"> </w:t>
            </w:r>
            <w:r w:rsidRPr="00BD2FEE">
              <w:t>000</w:t>
            </w:r>
          </w:p>
        </w:tc>
        <w:tc>
          <w:tcPr>
            <w:tcW w:w="250" w:type="pct"/>
            <w:hideMark/>
          </w:tcPr>
          <w:p w14:paraId="576E684B" w14:textId="77777777" w:rsidR="00D219C1" w:rsidRPr="00BD2FEE" w:rsidRDefault="00D219C1" w:rsidP="00A14FE9">
            <w:pPr>
              <w:pStyle w:val="TableTextEntries"/>
              <w:rPr>
                <w:b/>
                <w:caps/>
                <w:color w:val="073771"/>
              </w:rPr>
            </w:pPr>
            <w:r w:rsidRPr="00BD2FEE">
              <w:t>201</w:t>
            </w:r>
            <w:r w:rsidR="008E4EF2" w:rsidRPr="00BD2FEE">
              <w:t>2</w:t>
            </w:r>
          </w:p>
        </w:tc>
        <w:tc>
          <w:tcPr>
            <w:tcW w:w="200" w:type="pct"/>
            <w:shd w:val="clear" w:color="auto" w:fill="92D050"/>
            <w:noWrap/>
            <w:hideMark/>
          </w:tcPr>
          <w:p w14:paraId="41A3EDD9" w14:textId="77777777" w:rsidR="00D219C1" w:rsidRPr="00BD2FEE" w:rsidRDefault="00D219C1">
            <w:pPr>
              <w:pStyle w:val="TableTextEntries"/>
              <w:jc w:val="center"/>
              <w:rPr>
                <w:b/>
                <w:caps/>
                <w:color w:val="073771"/>
              </w:rPr>
            </w:pPr>
            <w:r w:rsidRPr="00BD2FEE">
              <w:t>5</w:t>
            </w:r>
          </w:p>
        </w:tc>
        <w:tc>
          <w:tcPr>
            <w:tcW w:w="200" w:type="pct"/>
            <w:shd w:val="clear" w:color="auto" w:fill="F79646" w:themeFill="accent6"/>
            <w:noWrap/>
            <w:hideMark/>
          </w:tcPr>
          <w:p w14:paraId="48E86730" w14:textId="77777777" w:rsidR="00D219C1" w:rsidRPr="00BD2FEE" w:rsidRDefault="00D219C1">
            <w:pPr>
              <w:pStyle w:val="TableTextEntries"/>
              <w:jc w:val="center"/>
              <w:rPr>
                <w:b/>
                <w:caps/>
                <w:color w:val="073771"/>
              </w:rPr>
            </w:pPr>
            <w:r w:rsidRPr="00BD2FEE">
              <w:t>3</w:t>
            </w:r>
          </w:p>
        </w:tc>
        <w:tc>
          <w:tcPr>
            <w:tcW w:w="200" w:type="pct"/>
            <w:shd w:val="clear" w:color="auto" w:fill="F79646" w:themeFill="accent6"/>
            <w:noWrap/>
            <w:hideMark/>
          </w:tcPr>
          <w:p w14:paraId="16CB6F9C" w14:textId="77777777" w:rsidR="00D219C1" w:rsidRPr="00BD2FEE" w:rsidRDefault="00D219C1">
            <w:pPr>
              <w:pStyle w:val="TableTextEntries"/>
              <w:jc w:val="center"/>
              <w:rPr>
                <w:b/>
                <w:caps/>
                <w:color w:val="073771"/>
              </w:rPr>
            </w:pPr>
            <w:r w:rsidRPr="00BD2FEE">
              <w:t>3</w:t>
            </w:r>
          </w:p>
        </w:tc>
        <w:tc>
          <w:tcPr>
            <w:tcW w:w="200" w:type="pct"/>
            <w:shd w:val="clear" w:color="auto" w:fill="FFFF00"/>
            <w:noWrap/>
            <w:hideMark/>
          </w:tcPr>
          <w:p w14:paraId="15857EFA"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3D65055A" w14:textId="77777777" w:rsidR="00D219C1" w:rsidRPr="00BD2FEE" w:rsidRDefault="00D219C1">
            <w:pPr>
              <w:pStyle w:val="TableTextEntries"/>
              <w:jc w:val="center"/>
              <w:rPr>
                <w:b/>
                <w:caps/>
                <w:color w:val="073771"/>
              </w:rPr>
            </w:pPr>
            <w:r w:rsidRPr="00BD2FEE">
              <w:t>4</w:t>
            </w:r>
          </w:p>
        </w:tc>
        <w:tc>
          <w:tcPr>
            <w:tcW w:w="200" w:type="pct"/>
            <w:shd w:val="clear" w:color="auto" w:fill="F79646" w:themeFill="accent6"/>
            <w:noWrap/>
            <w:hideMark/>
          </w:tcPr>
          <w:p w14:paraId="678B20F0" w14:textId="77777777" w:rsidR="00D219C1" w:rsidRPr="00BD2FEE" w:rsidRDefault="00205E0B">
            <w:pPr>
              <w:pStyle w:val="TableTextEntries"/>
              <w:jc w:val="center"/>
              <w:rPr>
                <w:b/>
                <w:caps/>
                <w:color w:val="073771"/>
              </w:rPr>
            </w:pPr>
            <w:r w:rsidRPr="00BD2FEE">
              <w:t>3</w:t>
            </w:r>
          </w:p>
        </w:tc>
        <w:tc>
          <w:tcPr>
            <w:tcW w:w="200" w:type="pct"/>
            <w:shd w:val="clear" w:color="auto" w:fill="F79646" w:themeFill="accent6"/>
            <w:noWrap/>
            <w:hideMark/>
          </w:tcPr>
          <w:p w14:paraId="5F7B8FD2" w14:textId="77777777" w:rsidR="00D219C1" w:rsidRPr="00BD2FEE" w:rsidRDefault="00D219C1">
            <w:pPr>
              <w:pStyle w:val="TableTextEntries"/>
              <w:jc w:val="center"/>
              <w:rPr>
                <w:b/>
                <w:caps/>
                <w:color w:val="073771"/>
              </w:rPr>
            </w:pPr>
            <w:r w:rsidRPr="00BD2FEE">
              <w:t>I</w:t>
            </w:r>
          </w:p>
        </w:tc>
      </w:tr>
      <w:tr w:rsidR="00AE2781" w:rsidRPr="00BD2FEE" w14:paraId="677A3C9C" w14:textId="77777777" w:rsidTr="00A14FE9">
        <w:trPr>
          <w:cnfStyle w:val="000000010000" w:firstRow="0" w:lastRow="0" w:firstColumn="0" w:lastColumn="0" w:oddVBand="0" w:evenVBand="0" w:oddHBand="0" w:evenHBand="1" w:firstRowFirstColumn="0" w:firstRowLastColumn="0" w:lastRowFirstColumn="0" w:lastRowLastColumn="0"/>
          <w:tblHeader w:val="0"/>
        </w:trPr>
        <w:tc>
          <w:tcPr>
            <w:tcW w:w="1250" w:type="pct"/>
            <w:hideMark/>
          </w:tcPr>
          <w:p w14:paraId="7277776E" w14:textId="77777777" w:rsidR="00D219C1" w:rsidRPr="00BD2FEE" w:rsidRDefault="00D219C1" w:rsidP="00796F48">
            <w:pPr>
              <w:pStyle w:val="TableTextEntries"/>
            </w:pPr>
            <w:r w:rsidRPr="00BD2FEE">
              <w:t> </w:t>
            </w:r>
          </w:p>
        </w:tc>
        <w:tc>
          <w:tcPr>
            <w:tcW w:w="450" w:type="pct"/>
            <w:hideMark/>
          </w:tcPr>
          <w:p w14:paraId="6C2DAC12" w14:textId="77777777" w:rsidR="00D219C1" w:rsidRPr="00BD2FEE" w:rsidRDefault="00D219C1" w:rsidP="00597520">
            <w:pPr>
              <w:pStyle w:val="TableTextEntries"/>
            </w:pPr>
            <w:r w:rsidRPr="00BD2FEE">
              <w:t> </w:t>
            </w:r>
          </w:p>
        </w:tc>
        <w:tc>
          <w:tcPr>
            <w:tcW w:w="450" w:type="pct"/>
            <w:hideMark/>
          </w:tcPr>
          <w:p w14:paraId="2F2F2B25" w14:textId="77777777" w:rsidR="00D219C1" w:rsidRPr="00BD2FEE" w:rsidRDefault="00D219C1" w:rsidP="00597520">
            <w:pPr>
              <w:pStyle w:val="TableTextEntries"/>
            </w:pPr>
            <w:r w:rsidRPr="00BD2FEE">
              <w:t> </w:t>
            </w:r>
          </w:p>
        </w:tc>
        <w:tc>
          <w:tcPr>
            <w:tcW w:w="450" w:type="pct"/>
            <w:hideMark/>
          </w:tcPr>
          <w:p w14:paraId="3F9706FA" w14:textId="77777777" w:rsidR="00D219C1" w:rsidRPr="00BD2FEE" w:rsidRDefault="00D219C1" w:rsidP="00A14FE9">
            <w:pPr>
              <w:pStyle w:val="TableTextEntries"/>
              <w:rPr>
                <w:b/>
                <w:caps/>
                <w:color w:val="073771"/>
              </w:rPr>
            </w:pPr>
            <w:r w:rsidRPr="00BD2FEE">
              <w:t> </w:t>
            </w:r>
          </w:p>
        </w:tc>
        <w:tc>
          <w:tcPr>
            <w:tcW w:w="250" w:type="pct"/>
            <w:hideMark/>
          </w:tcPr>
          <w:p w14:paraId="1FF38B2D" w14:textId="77777777" w:rsidR="00D219C1" w:rsidRPr="00BD2FEE" w:rsidRDefault="00D219C1" w:rsidP="00A14FE9">
            <w:pPr>
              <w:pStyle w:val="TableTextEntries"/>
              <w:rPr>
                <w:b/>
                <w:caps/>
                <w:color w:val="073771"/>
              </w:rPr>
            </w:pPr>
            <w:r w:rsidRPr="00BD2FEE">
              <w:t>201</w:t>
            </w:r>
            <w:r w:rsidR="008E4EF2" w:rsidRPr="00BD2FEE">
              <w:t>1</w:t>
            </w:r>
          </w:p>
        </w:tc>
        <w:tc>
          <w:tcPr>
            <w:tcW w:w="200" w:type="pct"/>
            <w:shd w:val="clear" w:color="auto" w:fill="92D050"/>
            <w:noWrap/>
            <w:hideMark/>
          </w:tcPr>
          <w:p w14:paraId="5D2EF578" w14:textId="77777777" w:rsidR="00D219C1" w:rsidRPr="00BD2FEE" w:rsidRDefault="00D219C1">
            <w:pPr>
              <w:pStyle w:val="TableTextEntries"/>
              <w:jc w:val="center"/>
              <w:rPr>
                <w:b/>
                <w:caps/>
                <w:color w:val="073771"/>
              </w:rPr>
            </w:pPr>
            <w:r w:rsidRPr="00BD2FEE">
              <w:t>5</w:t>
            </w:r>
          </w:p>
        </w:tc>
        <w:tc>
          <w:tcPr>
            <w:tcW w:w="200" w:type="pct"/>
            <w:shd w:val="clear" w:color="auto" w:fill="F79646" w:themeFill="accent6"/>
            <w:noWrap/>
            <w:hideMark/>
          </w:tcPr>
          <w:p w14:paraId="6D8BD84E" w14:textId="77777777" w:rsidR="00D219C1" w:rsidRPr="00BD2FEE" w:rsidRDefault="00D219C1">
            <w:pPr>
              <w:pStyle w:val="TableTextEntries"/>
              <w:jc w:val="center"/>
              <w:rPr>
                <w:b/>
                <w:caps/>
                <w:color w:val="073771"/>
              </w:rPr>
            </w:pPr>
            <w:r w:rsidRPr="00BD2FEE">
              <w:t>3</w:t>
            </w:r>
          </w:p>
        </w:tc>
        <w:tc>
          <w:tcPr>
            <w:tcW w:w="200" w:type="pct"/>
            <w:shd w:val="clear" w:color="auto" w:fill="F79646" w:themeFill="accent6"/>
            <w:noWrap/>
            <w:hideMark/>
          </w:tcPr>
          <w:p w14:paraId="28F60EC4" w14:textId="77777777" w:rsidR="00D219C1" w:rsidRPr="00BD2FEE" w:rsidRDefault="00D219C1">
            <w:pPr>
              <w:pStyle w:val="TableTextEntries"/>
              <w:jc w:val="center"/>
              <w:rPr>
                <w:b/>
                <w:caps/>
                <w:color w:val="073771"/>
              </w:rPr>
            </w:pPr>
            <w:r w:rsidRPr="00BD2FEE">
              <w:t>3</w:t>
            </w:r>
          </w:p>
        </w:tc>
        <w:tc>
          <w:tcPr>
            <w:tcW w:w="200" w:type="pct"/>
            <w:shd w:val="clear" w:color="auto" w:fill="FFFF00"/>
            <w:noWrap/>
            <w:hideMark/>
          </w:tcPr>
          <w:p w14:paraId="02A1345F"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7D62D8B4"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54207A70" w14:textId="77777777" w:rsidR="00D219C1" w:rsidRPr="00BD2FEE" w:rsidRDefault="00205E0B">
            <w:pPr>
              <w:pStyle w:val="TableTextEntries"/>
              <w:jc w:val="center"/>
              <w:rPr>
                <w:b/>
                <w:caps/>
                <w:color w:val="073771"/>
              </w:rPr>
            </w:pPr>
            <w:r w:rsidRPr="00BD2FEE">
              <w:t>4</w:t>
            </w:r>
          </w:p>
        </w:tc>
        <w:tc>
          <w:tcPr>
            <w:tcW w:w="200" w:type="pct"/>
            <w:shd w:val="clear" w:color="auto" w:fill="F79646" w:themeFill="accent6"/>
            <w:noWrap/>
            <w:hideMark/>
          </w:tcPr>
          <w:p w14:paraId="7D05EDA1" w14:textId="77777777" w:rsidR="00D219C1" w:rsidRPr="00BD2FEE" w:rsidRDefault="008E4EF2">
            <w:pPr>
              <w:pStyle w:val="TableTextEntries"/>
              <w:jc w:val="center"/>
              <w:rPr>
                <w:b/>
                <w:caps/>
                <w:color w:val="073771"/>
              </w:rPr>
            </w:pPr>
            <w:r w:rsidRPr="00BD2FEE">
              <w:t>I</w:t>
            </w:r>
          </w:p>
        </w:tc>
      </w:tr>
      <w:tr w:rsidR="00AE2781" w:rsidRPr="00BD2FEE" w14:paraId="325E7D53" w14:textId="77777777" w:rsidTr="00A14FE9">
        <w:trPr>
          <w:tblHeader w:val="0"/>
        </w:trPr>
        <w:tc>
          <w:tcPr>
            <w:tcW w:w="1250" w:type="pct"/>
            <w:hideMark/>
          </w:tcPr>
          <w:p w14:paraId="57742814" w14:textId="77777777" w:rsidR="00D219C1" w:rsidRPr="00BD2FEE" w:rsidRDefault="00D219C1" w:rsidP="00796F48">
            <w:pPr>
              <w:pStyle w:val="TableTextEntries"/>
            </w:pPr>
            <w:r w:rsidRPr="00BD2FEE">
              <w:t>Cao Lanh Detailed Design</w:t>
            </w:r>
            <w:r w:rsidR="000957FC" w:rsidRPr="00BD2FEE">
              <w:t xml:space="preserve"> and </w:t>
            </w:r>
            <w:r w:rsidRPr="00BD2FEE">
              <w:t xml:space="preserve">Construction </w:t>
            </w:r>
          </w:p>
        </w:tc>
        <w:tc>
          <w:tcPr>
            <w:tcW w:w="450" w:type="pct"/>
            <w:hideMark/>
          </w:tcPr>
          <w:p w14:paraId="1E326753" w14:textId="77777777" w:rsidR="00D219C1" w:rsidRPr="00BD2FEE" w:rsidRDefault="00D219C1" w:rsidP="00597520">
            <w:pPr>
              <w:pStyle w:val="TableTextEntries"/>
            </w:pPr>
            <w:r w:rsidRPr="00BD2FEE">
              <w:t>09/05/2011</w:t>
            </w:r>
          </w:p>
        </w:tc>
        <w:tc>
          <w:tcPr>
            <w:tcW w:w="450" w:type="pct"/>
            <w:hideMark/>
          </w:tcPr>
          <w:p w14:paraId="0EB2AFC0" w14:textId="77777777" w:rsidR="00D219C1" w:rsidRPr="00BD2FEE" w:rsidRDefault="00D219C1" w:rsidP="00597520">
            <w:pPr>
              <w:pStyle w:val="TableTextEntries"/>
            </w:pPr>
            <w:r w:rsidRPr="00BD2FEE">
              <w:t>31/12/2018</w:t>
            </w:r>
          </w:p>
        </w:tc>
        <w:tc>
          <w:tcPr>
            <w:tcW w:w="450" w:type="pct"/>
            <w:hideMark/>
          </w:tcPr>
          <w:p w14:paraId="780D0EFF" w14:textId="77777777" w:rsidR="00D219C1" w:rsidRPr="00BD2FEE" w:rsidRDefault="00D219C1" w:rsidP="00A14FE9">
            <w:pPr>
              <w:pStyle w:val="TableTextEntries"/>
              <w:rPr>
                <w:b/>
                <w:caps/>
                <w:color w:val="073771"/>
              </w:rPr>
            </w:pPr>
            <w:r w:rsidRPr="00BD2FEE">
              <w:t>$24</w:t>
            </w:r>
            <w:r w:rsidR="000957FC" w:rsidRPr="00BD2FEE">
              <w:t xml:space="preserve"> </w:t>
            </w:r>
            <w:r w:rsidRPr="00BD2FEE">
              <w:t>395</w:t>
            </w:r>
            <w:r w:rsidR="000957FC" w:rsidRPr="00BD2FEE">
              <w:t xml:space="preserve"> </w:t>
            </w:r>
            <w:r w:rsidRPr="00BD2FEE">
              <w:t>355</w:t>
            </w:r>
          </w:p>
        </w:tc>
        <w:tc>
          <w:tcPr>
            <w:tcW w:w="250" w:type="pct"/>
            <w:hideMark/>
          </w:tcPr>
          <w:p w14:paraId="280539F5" w14:textId="1D4790D2" w:rsidR="00D219C1" w:rsidRPr="00BD2FEE" w:rsidRDefault="00D219C1" w:rsidP="00721D37">
            <w:pPr>
              <w:pStyle w:val="TableTextEntries"/>
              <w:rPr>
                <w:b/>
                <w:caps/>
                <w:color w:val="073771"/>
              </w:rPr>
            </w:pPr>
            <w:r w:rsidRPr="00BD2FEE">
              <w:t>201</w:t>
            </w:r>
            <w:r w:rsidR="00721D37">
              <w:t>2</w:t>
            </w:r>
          </w:p>
        </w:tc>
        <w:tc>
          <w:tcPr>
            <w:tcW w:w="200" w:type="pct"/>
            <w:shd w:val="clear" w:color="auto" w:fill="92D050"/>
            <w:noWrap/>
            <w:hideMark/>
          </w:tcPr>
          <w:p w14:paraId="6B8D4671" w14:textId="77777777" w:rsidR="00D219C1" w:rsidRPr="00BD2FEE" w:rsidRDefault="00D219C1">
            <w:pPr>
              <w:pStyle w:val="TableTextEntries"/>
              <w:jc w:val="center"/>
              <w:rPr>
                <w:b/>
                <w:caps/>
                <w:color w:val="073771"/>
              </w:rPr>
            </w:pPr>
            <w:r w:rsidRPr="00BD2FEE">
              <w:t>6</w:t>
            </w:r>
          </w:p>
        </w:tc>
        <w:tc>
          <w:tcPr>
            <w:tcW w:w="200" w:type="pct"/>
            <w:shd w:val="clear" w:color="auto" w:fill="92D050"/>
            <w:noWrap/>
            <w:hideMark/>
          </w:tcPr>
          <w:p w14:paraId="25D4401C"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5AAC2ABE" w14:textId="77777777" w:rsidR="00D219C1" w:rsidRPr="00BD2FEE" w:rsidRDefault="00D219C1">
            <w:pPr>
              <w:pStyle w:val="TableTextEntries"/>
              <w:jc w:val="center"/>
              <w:rPr>
                <w:b/>
                <w:caps/>
                <w:color w:val="073771"/>
              </w:rPr>
            </w:pPr>
            <w:r w:rsidRPr="00BD2FEE">
              <w:t>5</w:t>
            </w:r>
          </w:p>
        </w:tc>
        <w:tc>
          <w:tcPr>
            <w:tcW w:w="200" w:type="pct"/>
            <w:shd w:val="clear" w:color="auto" w:fill="FFFF00"/>
            <w:noWrap/>
            <w:hideMark/>
          </w:tcPr>
          <w:p w14:paraId="19F09A2F" w14:textId="77777777" w:rsidR="00D219C1" w:rsidRPr="00BD2FEE" w:rsidRDefault="008E4EF2">
            <w:pPr>
              <w:pStyle w:val="TableTextEntries"/>
              <w:jc w:val="center"/>
              <w:rPr>
                <w:b/>
                <w:caps/>
                <w:color w:val="073771"/>
              </w:rPr>
            </w:pPr>
            <w:r w:rsidRPr="00BD2FEE">
              <w:t>4</w:t>
            </w:r>
          </w:p>
        </w:tc>
        <w:tc>
          <w:tcPr>
            <w:tcW w:w="200" w:type="pct"/>
            <w:shd w:val="clear" w:color="auto" w:fill="92D050"/>
            <w:noWrap/>
            <w:hideMark/>
          </w:tcPr>
          <w:p w14:paraId="3E57CAC6" w14:textId="77777777" w:rsidR="00D219C1" w:rsidRPr="00BD2FEE" w:rsidRDefault="008E4EF2">
            <w:pPr>
              <w:pStyle w:val="TableTextEntries"/>
              <w:jc w:val="center"/>
              <w:rPr>
                <w:b/>
                <w:caps/>
                <w:color w:val="073771"/>
              </w:rPr>
            </w:pPr>
            <w:r w:rsidRPr="00BD2FEE">
              <w:t>5</w:t>
            </w:r>
          </w:p>
        </w:tc>
        <w:tc>
          <w:tcPr>
            <w:tcW w:w="200" w:type="pct"/>
            <w:shd w:val="clear" w:color="auto" w:fill="92D050"/>
            <w:noWrap/>
            <w:hideMark/>
          </w:tcPr>
          <w:p w14:paraId="490AF5A1"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447E0A50" w14:textId="77777777" w:rsidR="00D219C1" w:rsidRPr="00BD2FEE" w:rsidRDefault="00D219C1">
            <w:pPr>
              <w:pStyle w:val="TableTextEntries"/>
              <w:jc w:val="center"/>
              <w:rPr>
                <w:b/>
                <w:caps/>
                <w:color w:val="073771"/>
              </w:rPr>
            </w:pPr>
            <w:r w:rsidRPr="00BD2FEE">
              <w:t>M</w:t>
            </w:r>
          </w:p>
        </w:tc>
      </w:tr>
      <w:tr w:rsidR="00AE2781" w:rsidRPr="00BD2FEE" w14:paraId="6CFAF841" w14:textId="77777777" w:rsidTr="00A14FE9">
        <w:trPr>
          <w:cnfStyle w:val="000000010000" w:firstRow="0" w:lastRow="0" w:firstColumn="0" w:lastColumn="0" w:oddVBand="0" w:evenVBand="0" w:oddHBand="0" w:evenHBand="1" w:firstRowFirstColumn="0" w:firstRowLastColumn="0" w:lastRowFirstColumn="0" w:lastRowLastColumn="0"/>
          <w:tblHeader w:val="0"/>
        </w:trPr>
        <w:tc>
          <w:tcPr>
            <w:tcW w:w="1250" w:type="pct"/>
            <w:hideMark/>
          </w:tcPr>
          <w:p w14:paraId="6DFA9FF5" w14:textId="77777777" w:rsidR="00D219C1" w:rsidRPr="00BD2FEE" w:rsidRDefault="00D219C1" w:rsidP="00796F48">
            <w:pPr>
              <w:pStyle w:val="TableTextEntries"/>
            </w:pPr>
            <w:r w:rsidRPr="00BD2FEE">
              <w:t> </w:t>
            </w:r>
          </w:p>
        </w:tc>
        <w:tc>
          <w:tcPr>
            <w:tcW w:w="450" w:type="pct"/>
            <w:hideMark/>
          </w:tcPr>
          <w:p w14:paraId="42D76CCB" w14:textId="77777777" w:rsidR="00D219C1" w:rsidRPr="00BD2FEE" w:rsidRDefault="00D219C1" w:rsidP="00597520">
            <w:pPr>
              <w:pStyle w:val="TableTextEntries"/>
            </w:pPr>
            <w:r w:rsidRPr="00BD2FEE">
              <w:t> </w:t>
            </w:r>
          </w:p>
        </w:tc>
        <w:tc>
          <w:tcPr>
            <w:tcW w:w="450" w:type="pct"/>
            <w:hideMark/>
          </w:tcPr>
          <w:p w14:paraId="5D758C13" w14:textId="77777777" w:rsidR="00D219C1" w:rsidRPr="00BD2FEE" w:rsidRDefault="00D219C1" w:rsidP="00597520">
            <w:pPr>
              <w:pStyle w:val="TableTextEntries"/>
            </w:pPr>
            <w:r w:rsidRPr="00BD2FEE">
              <w:t> </w:t>
            </w:r>
          </w:p>
        </w:tc>
        <w:tc>
          <w:tcPr>
            <w:tcW w:w="450" w:type="pct"/>
            <w:hideMark/>
          </w:tcPr>
          <w:p w14:paraId="018B9710" w14:textId="77777777" w:rsidR="00D219C1" w:rsidRPr="00BD2FEE" w:rsidRDefault="00D219C1" w:rsidP="00A14FE9">
            <w:pPr>
              <w:pStyle w:val="TableTextEntries"/>
              <w:rPr>
                <w:b/>
                <w:caps/>
                <w:color w:val="073771"/>
              </w:rPr>
            </w:pPr>
            <w:r w:rsidRPr="00BD2FEE">
              <w:t> </w:t>
            </w:r>
          </w:p>
        </w:tc>
        <w:tc>
          <w:tcPr>
            <w:tcW w:w="250" w:type="pct"/>
            <w:hideMark/>
          </w:tcPr>
          <w:p w14:paraId="632EF257" w14:textId="4FA9CB3D" w:rsidR="00D219C1" w:rsidRPr="00BD2FEE" w:rsidRDefault="00D219C1" w:rsidP="00721D37">
            <w:pPr>
              <w:pStyle w:val="TableTextEntries"/>
              <w:rPr>
                <w:b/>
                <w:caps/>
                <w:color w:val="073771"/>
              </w:rPr>
            </w:pPr>
            <w:r w:rsidRPr="00BD2FEE">
              <w:t>201</w:t>
            </w:r>
            <w:r w:rsidR="00721D37">
              <w:t>1</w:t>
            </w:r>
          </w:p>
        </w:tc>
        <w:tc>
          <w:tcPr>
            <w:tcW w:w="200" w:type="pct"/>
            <w:shd w:val="clear" w:color="auto" w:fill="92D050"/>
            <w:noWrap/>
            <w:hideMark/>
          </w:tcPr>
          <w:p w14:paraId="1B13CFEC" w14:textId="77777777" w:rsidR="00D219C1" w:rsidRPr="00BD2FEE" w:rsidRDefault="00D219C1">
            <w:pPr>
              <w:pStyle w:val="TableTextEntries"/>
              <w:jc w:val="center"/>
              <w:rPr>
                <w:b/>
                <w:caps/>
                <w:color w:val="073771"/>
              </w:rPr>
            </w:pPr>
            <w:r w:rsidRPr="00BD2FEE">
              <w:t>6</w:t>
            </w:r>
          </w:p>
        </w:tc>
        <w:tc>
          <w:tcPr>
            <w:tcW w:w="200" w:type="pct"/>
            <w:shd w:val="clear" w:color="auto" w:fill="92D050"/>
            <w:noWrap/>
            <w:hideMark/>
          </w:tcPr>
          <w:p w14:paraId="621C4748"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71E777FC"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57F2EECA" w14:textId="77777777" w:rsidR="00D219C1" w:rsidRPr="00BD2FEE" w:rsidRDefault="008E4EF2">
            <w:pPr>
              <w:pStyle w:val="TableTextEntries"/>
              <w:jc w:val="center"/>
              <w:rPr>
                <w:b/>
                <w:caps/>
                <w:color w:val="073771"/>
              </w:rPr>
            </w:pPr>
            <w:r w:rsidRPr="00BD2FEE">
              <w:t>5</w:t>
            </w:r>
          </w:p>
        </w:tc>
        <w:tc>
          <w:tcPr>
            <w:tcW w:w="200" w:type="pct"/>
            <w:shd w:val="clear" w:color="auto" w:fill="FFFF00"/>
            <w:noWrap/>
            <w:hideMark/>
          </w:tcPr>
          <w:p w14:paraId="1DBF991F" w14:textId="77777777" w:rsidR="00D219C1" w:rsidRPr="00BD2FEE" w:rsidRDefault="008E4EF2">
            <w:pPr>
              <w:pStyle w:val="TableTextEntries"/>
              <w:jc w:val="center"/>
              <w:rPr>
                <w:b/>
                <w:caps/>
                <w:color w:val="073771"/>
              </w:rPr>
            </w:pPr>
            <w:r w:rsidRPr="00BD2FEE">
              <w:t>4</w:t>
            </w:r>
          </w:p>
        </w:tc>
        <w:tc>
          <w:tcPr>
            <w:tcW w:w="200" w:type="pct"/>
            <w:shd w:val="clear" w:color="auto" w:fill="92D050"/>
            <w:noWrap/>
            <w:hideMark/>
          </w:tcPr>
          <w:p w14:paraId="5A61F6A7"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7B404DF0" w14:textId="77777777" w:rsidR="00D219C1" w:rsidRPr="00BD2FEE" w:rsidRDefault="008E4EF2">
            <w:pPr>
              <w:pStyle w:val="TableTextEntries"/>
              <w:jc w:val="center"/>
              <w:rPr>
                <w:b/>
                <w:caps/>
                <w:color w:val="073771"/>
              </w:rPr>
            </w:pPr>
            <w:r w:rsidRPr="00BD2FEE">
              <w:t>M</w:t>
            </w:r>
          </w:p>
        </w:tc>
      </w:tr>
      <w:tr w:rsidR="00AE2781" w:rsidRPr="00BD2FEE" w14:paraId="6D0A6204" w14:textId="77777777" w:rsidTr="00A14FE9">
        <w:trPr>
          <w:tblHeader w:val="0"/>
        </w:trPr>
        <w:tc>
          <w:tcPr>
            <w:tcW w:w="1250" w:type="pct"/>
            <w:hideMark/>
          </w:tcPr>
          <w:p w14:paraId="7312D06B" w14:textId="77777777" w:rsidR="00D219C1" w:rsidRPr="00BD2FEE" w:rsidRDefault="00D219C1" w:rsidP="00796F48">
            <w:pPr>
              <w:pStyle w:val="TableTextEntries"/>
            </w:pPr>
            <w:r w:rsidRPr="00BD2FEE">
              <w:t>Joint Donors' Support for R</w:t>
            </w:r>
            <w:r w:rsidR="000957FC" w:rsidRPr="00BD2FEE">
              <w:t xml:space="preserve">ural </w:t>
            </w:r>
            <w:r w:rsidRPr="00BD2FEE">
              <w:t>W</w:t>
            </w:r>
            <w:r w:rsidR="000957FC" w:rsidRPr="00BD2FEE">
              <w:t xml:space="preserve">ater </w:t>
            </w:r>
            <w:r w:rsidRPr="00BD2FEE">
              <w:t>S</w:t>
            </w:r>
            <w:r w:rsidR="000957FC" w:rsidRPr="00BD2FEE">
              <w:t xml:space="preserve">upply and </w:t>
            </w:r>
            <w:r w:rsidRPr="00BD2FEE">
              <w:t>S</w:t>
            </w:r>
            <w:r w:rsidR="000957FC" w:rsidRPr="00BD2FEE">
              <w:t>anitation</w:t>
            </w:r>
            <w:r w:rsidRPr="00BD2FEE">
              <w:t xml:space="preserve"> </w:t>
            </w:r>
            <w:r w:rsidR="000957FC" w:rsidRPr="00BD2FEE">
              <w:t xml:space="preserve">National Target Program </w:t>
            </w:r>
            <w:r w:rsidRPr="00BD2FEE">
              <w:t>Phase 3</w:t>
            </w:r>
          </w:p>
        </w:tc>
        <w:tc>
          <w:tcPr>
            <w:tcW w:w="450" w:type="pct"/>
            <w:hideMark/>
          </w:tcPr>
          <w:p w14:paraId="33D28DFC" w14:textId="77777777" w:rsidR="00D219C1" w:rsidRPr="00BD2FEE" w:rsidRDefault="00D219C1" w:rsidP="00597520">
            <w:pPr>
              <w:pStyle w:val="TableTextEntries"/>
            </w:pPr>
            <w:r w:rsidRPr="00BD2FEE">
              <w:t>18/03/2011</w:t>
            </w:r>
          </w:p>
        </w:tc>
        <w:tc>
          <w:tcPr>
            <w:tcW w:w="450" w:type="pct"/>
            <w:hideMark/>
          </w:tcPr>
          <w:p w14:paraId="2F9DD2CA" w14:textId="77777777" w:rsidR="00D219C1" w:rsidRPr="00BD2FEE" w:rsidRDefault="00D219C1" w:rsidP="00597520">
            <w:pPr>
              <w:pStyle w:val="TableTextEntries"/>
            </w:pPr>
            <w:r w:rsidRPr="00BD2FEE">
              <w:t>30/06/2015</w:t>
            </w:r>
          </w:p>
        </w:tc>
        <w:tc>
          <w:tcPr>
            <w:tcW w:w="450" w:type="pct"/>
            <w:hideMark/>
          </w:tcPr>
          <w:p w14:paraId="54AC6BD8" w14:textId="77777777" w:rsidR="00D219C1" w:rsidRPr="00BD2FEE" w:rsidRDefault="00D219C1" w:rsidP="00A14FE9">
            <w:pPr>
              <w:pStyle w:val="TableTextEntries"/>
              <w:rPr>
                <w:b/>
                <w:caps/>
                <w:color w:val="073771"/>
              </w:rPr>
            </w:pPr>
            <w:r w:rsidRPr="00BD2FEE">
              <w:t>$65</w:t>
            </w:r>
            <w:r w:rsidR="000957FC" w:rsidRPr="00BD2FEE">
              <w:t xml:space="preserve"> </w:t>
            </w:r>
            <w:r w:rsidRPr="00BD2FEE">
              <w:t>136</w:t>
            </w:r>
            <w:r w:rsidR="000957FC" w:rsidRPr="00BD2FEE">
              <w:t xml:space="preserve"> </w:t>
            </w:r>
            <w:r w:rsidRPr="00BD2FEE">
              <w:t>828</w:t>
            </w:r>
          </w:p>
        </w:tc>
        <w:tc>
          <w:tcPr>
            <w:tcW w:w="250" w:type="pct"/>
            <w:hideMark/>
          </w:tcPr>
          <w:p w14:paraId="75B21CD9" w14:textId="77777777" w:rsidR="00D219C1" w:rsidRPr="00BD2FEE" w:rsidRDefault="00D219C1" w:rsidP="00A14FE9">
            <w:pPr>
              <w:pStyle w:val="TableTextEntries"/>
              <w:rPr>
                <w:b/>
                <w:caps/>
                <w:color w:val="073771"/>
              </w:rPr>
            </w:pPr>
            <w:r w:rsidRPr="00BD2FEE">
              <w:t>2012</w:t>
            </w:r>
          </w:p>
        </w:tc>
        <w:tc>
          <w:tcPr>
            <w:tcW w:w="200" w:type="pct"/>
            <w:shd w:val="clear" w:color="auto" w:fill="92D050"/>
            <w:noWrap/>
            <w:hideMark/>
          </w:tcPr>
          <w:p w14:paraId="4D09B9CD" w14:textId="77777777" w:rsidR="00D219C1" w:rsidRPr="00BD2FEE" w:rsidRDefault="00D219C1">
            <w:pPr>
              <w:pStyle w:val="TableTextEntries"/>
              <w:jc w:val="center"/>
              <w:rPr>
                <w:b/>
                <w:caps/>
                <w:color w:val="073771"/>
              </w:rPr>
            </w:pPr>
            <w:r w:rsidRPr="00BD2FEE">
              <w:t>6</w:t>
            </w:r>
          </w:p>
        </w:tc>
        <w:tc>
          <w:tcPr>
            <w:tcW w:w="200" w:type="pct"/>
            <w:shd w:val="clear" w:color="auto" w:fill="92D050"/>
            <w:noWrap/>
            <w:hideMark/>
          </w:tcPr>
          <w:p w14:paraId="0929C8D0"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23099726"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41F86080"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709AE437" w14:textId="77777777" w:rsidR="00D219C1" w:rsidRPr="00BD2FEE" w:rsidRDefault="00D219C1">
            <w:pPr>
              <w:pStyle w:val="TableTextEntries"/>
              <w:jc w:val="center"/>
              <w:rPr>
                <w:b/>
                <w:caps/>
                <w:color w:val="073771"/>
              </w:rPr>
            </w:pPr>
            <w:r w:rsidRPr="00BD2FEE">
              <w:t>5</w:t>
            </w:r>
          </w:p>
        </w:tc>
        <w:tc>
          <w:tcPr>
            <w:tcW w:w="200" w:type="pct"/>
            <w:shd w:val="clear" w:color="auto" w:fill="FFFF00"/>
            <w:noWrap/>
            <w:hideMark/>
          </w:tcPr>
          <w:p w14:paraId="01320A65" w14:textId="77777777" w:rsidR="00D219C1" w:rsidRPr="00BD2FEE" w:rsidRDefault="00D219C1">
            <w:pPr>
              <w:pStyle w:val="TableTextEntries"/>
              <w:jc w:val="center"/>
              <w:rPr>
                <w:b/>
                <w:caps/>
                <w:color w:val="073771"/>
              </w:rPr>
            </w:pPr>
            <w:r w:rsidRPr="00BD2FEE">
              <w:t>4</w:t>
            </w:r>
          </w:p>
        </w:tc>
        <w:tc>
          <w:tcPr>
            <w:tcW w:w="200" w:type="pct"/>
            <w:shd w:val="clear" w:color="auto" w:fill="92D050"/>
            <w:noWrap/>
            <w:hideMark/>
          </w:tcPr>
          <w:p w14:paraId="77C57445" w14:textId="77777777" w:rsidR="00D219C1" w:rsidRPr="00BD2FEE" w:rsidRDefault="00D219C1">
            <w:pPr>
              <w:pStyle w:val="TableTextEntries"/>
              <w:jc w:val="center"/>
              <w:rPr>
                <w:b/>
                <w:caps/>
                <w:color w:val="073771"/>
              </w:rPr>
            </w:pPr>
            <w:r w:rsidRPr="00BD2FEE">
              <w:t>M</w:t>
            </w:r>
          </w:p>
        </w:tc>
      </w:tr>
      <w:tr w:rsidR="00AE2781" w:rsidRPr="00BD2FEE" w14:paraId="08F78C57" w14:textId="77777777" w:rsidTr="00A14FE9">
        <w:trPr>
          <w:cnfStyle w:val="000000010000" w:firstRow="0" w:lastRow="0" w:firstColumn="0" w:lastColumn="0" w:oddVBand="0" w:evenVBand="0" w:oddHBand="0" w:evenHBand="1" w:firstRowFirstColumn="0" w:firstRowLastColumn="0" w:lastRowFirstColumn="0" w:lastRowLastColumn="0"/>
          <w:tblHeader w:val="0"/>
        </w:trPr>
        <w:tc>
          <w:tcPr>
            <w:tcW w:w="1250" w:type="pct"/>
            <w:hideMark/>
          </w:tcPr>
          <w:p w14:paraId="425F2EDC" w14:textId="77777777" w:rsidR="00D219C1" w:rsidRPr="00BD2FEE" w:rsidRDefault="00D219C1" w:rsidP="00796F48">
            <w:pPr>
              <w:pStyle w:val="TableTextEntries"/>
            </w:pPr>
            <w:r w:rsidRPr="00BD2FEE">
              <w:t>Support Program to Respond to Climate Change</w:t>
            </w:r>
          </w:p>
        </w:tc>
        <w:tc>
          <w:tcPr>
            <w:tcW w:w="450" w:type="pct"/>
            <w:hideMark/>
          </w:tcPr>
          <w:p w14:paraId="58958E0E" w14:textId="77777777" w:rsidR="00D219C1" w:rsidRPr="00BD2FEE" w:rsidRDefault="00D219C1" w:rsidP="00597520">
            <w:pPr>
              <w:pStyle w:val="TableTextEntries"/>
            </w:pPr>
            <w:r w:rsidRPr="00BD2FEE">
              <w:t>01/10/2011</w:t>
            </w:r>
          </w:p>
        </w:tc>
        <w:tc>
          <w:tcPr>
            <w:tcW w:w="450" w:type="pct"/>
            <w:hideMark/>
          </w:tcPr>
          <w:p w14:paraId="7C778AA5" w14:textId="77777777" w:rsidR="00D219C1" w:rsidRPr="00BD2FEE" w:rsidRDefault="00D219C1" w:rsidP="00597520">
            <w:pPr>
              <w:pStyle w:val="TableTextEntries"/>
            </w:pPr>
            <w:r w:rsidRPr="00BD2FEE">
              <w:t>31/12/2014</w:t>
            </w:r>
          </w:p>
        </w:tc>
        <w:tc>
          <w:tcPr>
            <w:tcW w:w="450" w:type="pct"/>
            <w:hideMark/>
          </w:tcPr>
          <w:p w14:paraId="110EDACC" w14:textId="77777777" w:rsidR="00D219C1" w:rsidRPr="00BD2FEE" w:rsidRDefault="00D219C1" w:rsidP="00A14FE9">
            <w:pPr>
              <w:pStyle w:val="TableTextEntries"/>
              <w:rPr>
                <w:b/>
                <w:caps/>
                <w:color w:val="073771"/>
              </w:rPr>
            </w:pPr>
            <w:r w:rsidRPr="00BD2FEE">
              <w:t>$24</w:t>
            </w:r>
            <w:r w:rsidR="000957FC" w:rsidRPr="00BD2FEE">
              <w:t xml:space="preserve"> </w:t>
            </w:r>
            <w:r w:rsidRPr="00BD2FEE">
              <w:t>000</w:t>
            </w:r>
            <w:r w:rsidR="000957FC" w:rsidRPr="00BD2FEE">
              <w:t xml:space="preserve"> </w:t>
            </w:r>
            <w:r w:rsidRPr="00BD2FEE">
              <w:t>000</w:t>
            </w:r>
          </w:p>
        </w:tc>
        <w:tc>
          <w:tcPr>
            <w:tcW w:w="250" w:type="pct"/>
            <w:hideMark/>
          </w:tcPr>
          <w:p w14:paraId="01EC8B85" w14:textId="77777777" w:rsidR="00D219C1" w:rsidRPr="00BD2FEE" w:rsidRDefault="00D219C1" w:rsidP="00A14FE9">
            <w:pPr>
              <w:pStyle w:val="TableTextEntries"/>
              <w:rPr>
                <w:b/>
                <w:caps/>
                <w:color w:val="073771"/>
              </w:rPr>
            </w:pPr>
            <w:r w:rsidRPr="00BD2FEE">
              <w:t>2012</w:t>
            </w:r>
          </w:p>
        </w:tc>
        <w:tc>
          <w:tcPr>
            <w:tcW w:w="200" w:type="pct"/>
            <w:shd w:val="clear" w:color="auto" w:fill="92D050"/>
            <w:noWrap/>
            <w:hideMark/>
          </w:tcPr>
          <w:p w14:paraId="6AB124C3" w14:textId="77777777" w:rsidR="00D219C1" w:rsidRPr="00BD2FEE" w:rsidRDefault="00D219C1">
            <w:pPr>
              <w:pStyle w:val="TableTextEntries"/>
              <w:jc w:val="center"/>
              <w:rPr>
                <w:b/>
                <w:caps/>
                <w:color w:val="073771"/>
              </w:rPr>
            </w:pPr>
            <w:r w:rsidRPr="00BD2FEE">
              <w:t>5</w:t>
            </w:r>
          </w:p>
        </w:tc>
        <w:tc>
          <w:tcPr>
            <w:tcW w:w="200" w:type="pct"/>
            <w:shd w:val="clear" w:color="auto" w:fill="FFFF00"/>
            <w:noWrap/>
            <w:hideMark/>
          </w:tcPr>
          <w:p w14:paraId="28DC3691" w14:textId="77777777" w:rsidR="00D219C1" w:rsidRPr="00BD2FEE" w:rsidRDefault="00D219C1">
            <w:pPr>
              <w:pStyle w:val="TableTextEntries"/>
              <w:jc w:val="center"/>
              <w:rPr>
                <w:b/>
                <w:caps/>
                <w:color w:val="073771"/>
              </w:rPr>
            </w:pPr>
            <w:r w:rsidRPr="00BD2FEE">
              <w:t>4</w:t>
            </w:r>
          </w:p>
        </w:tc>
        <w:tc>
          <w:tcPr>
            <w:tcW w:w="200" w:type="pct"/>
            <w:shd w:val="clear" w:color="auto" w:fill="F79646" w:themeFill="accent6"/>
            <w:noWrap/>
            <w:hideMark/>
          </w:tcPr>
          <w:p w14:paraId="23262E79" w14:textId="77777777" w:rsidR="00D219C1" w:rsidRPr="00BD2FEE" w:rsidRDefault="00D219C1">
            <w:pPr>
              <w:pStyle w:val="TableTextEntries"/>
              <w:jc w:val="center"/>
              <w:rPr>
                <w:b/>
                <w:caps/>
                <w:color w:val="073771"/>
              </w:rPr>
            </w:pPr>
            <w:r w:rsidRPr="00BD2FEE">
              <w:t>3</w:t>
            </w:r>
          </w:p>
        </w:tc>
        <w:tc>
          <w:tcPr>
            <w:tcW w:w="200" w:type="pct"/>
            <w:shd w:val="clear" w:color="auto" w:fill="F79646" w:themeFill="accent6"/>
            <w:noWrap/>
            <w:hideMark/>
          </w:tcPr>
          <w:p w14:paraId="0AD18A9D" w14:textId="77777777" w:rsidR="00D219C1" w:rsidRPr="00BD2FEE" w:rsidRDefault="00D219C1">
            <w:pPr>
              <w:pStyle w:val="TableTextEntries"/>
              <w:jc w:val="center"/>
              <w:rPr>
                <w:b/>
                <w:caps/>
                <w:color w:val="073771"/>
              </w:rPr>
            </w:pPr>
            <w:r w:rsidRPr="00BD2FEE">
              <w:t>3</w:t>
            </w:r>
          </w:p>
        </w:tc>
        <w:tc>
          <w:tcPr>
            <w:tcW w:w="200" w:type="pct"/>
            <w:shd w:val="clear" w:color="auto" w:fill="FFFF00"/>
            <w:noWrap/>
            <w:hideMark/>
          </w:tcPr>
          <w:p w14:paraId="23BF546C"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7E166D3A" w14:textId="77777777" w:rsidR="00D219C1" w:rsidRPr="00BD2FEE" w:rsidRDefault="00D219C1">
            <w:pPr>
              <w:pStyle w:val="TableTextEntries"/>
              <w:jc w:val="center"/>
              <w:rPr>
                <w:b/>
                <w:caps/>
                <w:color w:val="073771"/>
              </w:rPr>
            </w:pPr>
            <w:r w:rsidRPr="00BD2FEE">
              <w:t>4</w:t>
            </w:r>
          </w:p>
        </w:tc>
        <w:tc>
          <w:tcPr>
            <w:tcW w:w="200" w:type="pct"/>
            <w:shd w:val="clear" w:color="auto" w:fill="F79646" w:themeFill="accent6"/>
            <w:noWrap/>
            <w:hideMark/>
          </w:tcPr>
          <w:p w14:paraId="3D693A8A" w14:textId="77777777" w:rsidR="00D219C1" w:rsidRPr="00BD2FEE" w:rsidRDefault="00D219C1">
            <w:pPr>
              <w:pStyle w:val="TableTextEntries"/>
              <w:jc w:val="center"/>
              <w:rPr>
                <w:b/>
                <w:caps/>
                <w:color w:val="073771"/>
              </w:rPr>
            </w:pPr>
            <w:r w:rsidRPr="00BD2FEE">
              <w:t>I</w:t>
            </w:r>
          </w:p>
        </w:tc>
      </w:tr>
      <w:tr w:rsidR="00AE2781" w:rsidRPr="00BD2FEE" w14:paraId="155CE467" w14:textId="77777777" w:rsidTr="00A14FE9">
        <w:trPr>
          <w:tblHeader w:val="0"/>
        </w:trPr>
        <w:tc>
          <w:tcPr>
            <w:tcW w:w="1250" w:type="pct"/>
            <w:hideMark/>
          </w:tcPr>
          <w:p w14:paraId="1BCF8EAB" w14:textId="77777777" w:rsidR="00D219C1" w:rsidRPr="00BD2FEE" w:rsidRDefault="00D219C1" w:rsidP="00796F48">
            <w:pPr>
              <w:pStyle w:val="TableTextEntries"/>
            </w:pPr>
            <w:r w:rsidRPr="00BD2FEE">
              <w:t>Climate Change &amp; Coastal Ecosystems Program</w:t>
            </w:r>
          </w:p>
        </w:tc>
        <w:tc>
          <w:tcPr>
            <w:tcW w:w="450" w:type="pct"/>
            <w:hideMark/>
          </w:tcPr>
          <w:p w14:paraId="04A0FE48" w14:textId="77777777" w:rsidR="00D219C1" w:rsidRPr="00BD2FEE" w:rsidRDefault="00D219C1" w:rsidP="00597520">
            <w:pPr>
              <w:pStyle w:val="TableTextEntries"/>
            </w:pPr>
            <w:r w:rsidRPr="00BD2FEE">
              <w:t>01/07/2011</w:t>
            </w:r>
          </w:p>
        </w:tc>
        <w:tc>
          <w:tcPr>
            <w:tcW w:w="450" w:type="pct"/>
            <w:hideMark/>
          </w:tcPr>
          <w:p w14:paraId="2F47C090" w14:textId="77777777" w:rsidR="00D219C1" w:rsidRPr="00BD2FEE" w:rsidRDefault="00D219C1" w:rsidP="00597520">
            <w:pPr>
              <w:pStyle w:val="TableTextEntries"/>
            </w:pPr>
            <w:r w:rsidRPr="00BD2FEE">
              <w:t>30/06/2016</w:t>
            </w:r>
          </w:p>
        </w:tc>
        <w:tc>
          <w:tcPr>
            <w:tcW w:w="450" w:type="pct"/>
            <w:hideMark/>
          </w:tcPr>
          <w:p w14:paraId="6EB314D3" w14:textId="77777777" w:rsidR="00D219C1" w:rsidRPr="00BD2FEE" w:rsidRDefault="00D219C1" w:rsidP="00A14FE9">
            <w:pPr>
              <w:pStyle w:val="TableTextEntries"/>
              <w:rPr>
                <w:b/>
                <w:caps/>
                <w:color w:val="073771"/>
              </w:rPr>
            </w:pPr>
            <w:r w:rsidRPr="00BD2FEE">
              <w:t>$23</w:t>
            </w:r>
            <w:r w:rsidR="000957FC" w:rsidRPr="00BD2FEE">
              <w:t xml:space="preserve"> </w:t>
            </w:r>
            <w:r w:rsidRPr="00BD2FEE">
              <w:t>000</w:t>
            </w:r>
            <w:r w:rsidR="000957FC" w:rsidRPr="00BD2FEE">
              <w:t xml:space="preserve"> </w:t>
            </w:r>
            <w:r w:rsidRPr="00BD2FEE">
              <w:t>000</w:t>
            </w:r>
          </w:p>
        </w:tc>
        <w:tc>
          <w:tcPr>
            <w:tcW w:w="250" w:type="pct"/>
            <w:hideMark/>
          </w:tcPr>
          <w:p w14:paraId="6732CB8D" w14:textId="77777777" w:rsidR="00D219C1" w:rsidRPr="00BD2FEE" w:rsidRDefault="00D219C1" w:rsidP="00A14FE9">
            <w:pPr>
              <w:pStyle w:val="TableTextEntries"/>
              <w:rPr>
                <w:b/>
                <w:caps/>
                <w:color w:val="073771"/>
              </w:rPr>
            </w:pPr>
            <w:r w:rsidRPr="00BD2FEE">
              <w:t>201</w:t>
            </w:r>
            <w:r w:rsidR="008E4EF2" w:rsidRPr="00BD2FEE">
              <w:t>2</w:t>
            </w:r>
          </w:p>
        </w:tc>
        <w:tc>
          <w:tcPr>
            <w:tcW w:w="200" w:type="pct"/>
            <w:shd w:val="clear" w:color="auto" w:fill="92D050"/>
            <w:noWrap/>
            <w:hideMark/>
          </w:tcPr>
          <w:p w14:paraId="22B7C574" w14:textId="77777777" w:rsidR="00D219C1" w:rsidRPr="00BD2FEE" w:rsidRDefault="00D219C1">
            <w:pPr>
              <w:pStyle w:val="TableTextEntries"/>
              <w:jc w:val="center"/>
              <w:rPr>
                <w:b/>
                <w:caps/>
                <w:color w:val="073771"/>
              </w:rPr>
            </w:pPr>
            <w:r w:rsidRPr="00BD2FEE">
              <w:t>6</w:t>
            </w:r>
          </w:p>
        </w:tc>
        <w:tc>
          <w:tcPr>
            <w:tcW w:w="200" w:type="pct"/>
            <w:shd w:val="clear" w:color="auto" w:fill="FFFF00"/>
            <w:noWrap/>
            <w:hideMark/>
          </w:tcPr>
          <w:p w14:paraId="7F1EB5D3" w14:textId="77777777" w:rsidR="00D219C1" w:rsidRPr="00BD2FEE" w:rsidRDefault="008E4EF2">
            <w:pPr>
              <w:pStyle w:val="TableTextEntries"/>
              <w:jc w:val="center"/>
              <w:rPr>
                <w:b/>
                <w:caps/>
                <w:color w:val="073771"/>
              </w:rPr>
            </w:pPr>
            <w:r w:rsidRPr="00BD2FEE">
              <w:t>4</w:t>
            </w:r>
          </w:p>
        </w:tc>
        <w:tc>
          <w:tcPr>
            <w:tcW w:w="200" w:type="pct"/>
            <w:shd w:val="clear" w:color="auto" w:fill="FFFF00"/>
            <w:noWrap/>
            <w:hideMark/>
          </w:tcPr>
          <w:p w14:paraId="583252D1" w14:textId="77777777" w:rsidR="00D219C1" w:rsidRPr="00BD2FEE" w:rsidRDefault="008E4EF2">
            <w:pPr>
              <w:pStyle w:val="TableTextEntries"/>
              <w:jc w:val="center"/>
              <w:rPr>
                <w:b/>
                <w:caps/>
                <w:color w:val="073771"/>
              </w:rPr>
            </w:pPr>
            <w:r w:rsidRPr="00BD2FEE">
              <w:t>4</w:t>
            </w:r>
          </w:p>
        </w:tc>
        <w:tc>
          <w:tcPr>
            <w:tcW w:w="200" w:type="pct"/>
            <w:shd w:val="clear" w:color="auto" w:fill="92D050"/>
            <w:noWrap/>
            <w:hideMark/>
          </w:tcPr>
          <w:p w14:paraId="1D9FFCCF"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1DB265B9" w14:textId="77777777" w:rsidR="00D219C1" w:rsidRPr="00BD2FEE" w:rsidRDefault="008E4EF2">
            <w:pPr>
              <w:pStyle w:val="TableTextEntries"/>
              <w:jc w:val="center"/>
              <w:rPr>
                <w:b/>
                <w:caps/>
                <w:color w:val="073771"/>
              </w:rPr>
            </w:pPr>
            <w:r w:rsidRPr="00BD2FEE">
              <w:t>5</w:t>
            </w:r>
          </w:p>
        </w:tc>
        <w:tc>
          <w:tcPr>
            <w:tcW w:w="200" w:type="pct"/>
            <w:shd w:val="clear" w:color="auto" w:fill="FFFF00"/>
            <w:noWrap/>
            <w:hideMark/>
          </w:tcPr>
          <w:p w14:paraId="5FF5197C" w14:textId="77777777" w:rsidR="00D219C1" w:rsidRPr="00BD2FEE" w:rsidRDefault="00D219C1">
            <w:pPr>
              <w:pStyle w:val="TableTextEntries"/>
              <w:jc w:val="center"/>
              <w:rPr>
                <w:b/>
                <w:caps/>
                <w:color w:val="073771"/>
              </w:rPr>
            </w:pPr>
            <w:r w:rsidRPr="00BD2FEE">
              <w:t>4</w:t>
            </w:r>
          </w:p>
        </w:tc>
        <w:tc>
          <w:tcPr>
            <w:tcW w:w="200" w:type="pct"/>
            <w:shd w:val="clear" w:color="auto" w:fill="92D050"/>
            <w:noWrap/>
            <w:hideMark/>
          </w:tcPr>
          <w:p w14:paraId="58DF9B7D" w14:textId="77777777" w:rsidR="00D219C1" w:rsidRPr="00BD2FEE" w:rsidRDefault="00D219C1">
            <w:pPr>
              <w:pStyle w:val="TableTextEntries"/>
              <w:jc w:val="center"/>
              <w:rPr>
                <w:b/>
                <w:caps/>
                <w:color w:val="073771"/>
              </w:rPr>
            </w:pPr>
            <w:r w:rsidRPr="00BD2FEE">
              <w:t>M</w:t>
            </w:r>
          </w:p>
        </w:tc>
      </w:tr>
      <w:tr w:rsidR="00AE2781" w:rsidRPr="00BD2FEE" w14:paraId="3AD1FC76" w14:textId="77777777" w:rsidTr="00A14FE9">
        <w:trPr>
          <w:cnfStyle w:val="000000010000" w:firstRow="0" w:lastRow="0" w:firstColumn="0" w:lastColumn="0" w:oddVBand="0" w:evenVBand="0" w:oddHBand="0" w:evenHBand="1" w:firstRowFirstColumn="0" w:firstRowLastColumn="0" w:lastRowFirstColumn="0" w:lastRowLastColumn="0"/>
          <w:tblHeader w:val="0"/>
        </w:trPr>
        <w:tc>
          <w:tcPr>
            <w:tcW w:w="1250" w:type="pct"/>
            <w:hideMark/>
          </w:tcPr>
          <w:p w14:paraId="27B2FCAA" w14:textId="77777777" w:rsidR="00D219C1" w:rsidRPr="00BD2FEE" w:rsidRDefault="00D219C1" w:rsidP="00796F48">
            <w:pPr>
              <w:pStyle w:val="TableTextEntries"/>
            </w:pPr>
            <w:r w:rsidRPr="00BD2FEE">
              <w:t> </w:t>
            </w:r>
          </w:p>
        </w:tc>
        <w:tc>
          <w:tcPr>
            <w:tcW w:w="450" w:type="pct"/>
            <w:hideMark/>
          </w:tcPr>
          <w:p w14:paraId="1893D6E8" w14:textId="77777777" w:rsidR="00D219C1" w:rsidRPr="00BD2FEE" w:rsidRDefault="00D219C1" w:rsidP="00597520">
            <w:pPr>
              <w:pStyle w:val="TableTextEntries"/>
            </w:pPr>
            <w:r w:rsidRPr="00BD2FEE">
              <w:t> </w:t>
            </w:r>
          </w:p>
        </w:tc>
        <w:tc>
          <w:tcPr>
            <w:tcW w:w="450" w:type="pct"/>
            <w:hideMark/>
          </w:tcPr>
          <w:p w14:paraId="7AA85141" w14:textId="77777777" w:rsidR="00D219C1" w:rsidRPr="00BD2FEE" w:rsidRDefault="00D219C1" w:rsidP="00597520">
            <w:pPr>
              <w:pStyle w:val="TableTextEntries"/>
            </w:pPr>
            <w:r w:rsidRPr="00BD2FEE">
              <w:t> </w:t>
            </w:r>
          </w:p>
        </w:tc>
        <w:tc>
          <w:tcPr>
            <w:tcW w:w="450" w:type="pct"/>
            <w:hideMark/>
          </w:tcPr>
          <w:p w14:paraId="264215B0" w14:textId="77777777" w:rsidR="00D219C1" w:rsidRPr="00BD2FEE" w:rsidRDefault="00D219C1" w:rsidP="00A14FE9">
            <w:pPr>
              <w:pStyle w:val="TableTextEntries"/>
              <w:rPr>
                <w:b/>
                <w:caps/>
                <w:color w:val="073771"/>
              </w:rPr>
            </w:pPr>
            <w:r w:rsidRPr="00BD2FEE">
              <w:t> </w:t>
            </w:r>
          </w:p>
        </w:tc>
        <w:tc>
          <w:tcPr>
            <w:tcW w:w="250" w:type="pct"/>
            <w:hideMark/>
          </w:tcPr>
          <w:p w14:paraId="5046CA24" w14:textId="77777777" w:rsidR="00D219C1" w:rsidRPr="00BD2FEE" w:rsidRDefault="00D219C1" w:rsidP="00A14FE9">
            <w:pPr>
              <w:pStyle w:val="TableTextEntries"/>
              <w:rPr>
                <w:b/>
                <w:caps/>
                <w:color w:val="073771"/>
              </w:rPr>
            </w:pPr>
            <w:r w:rsidRPr="00BD2FEE">
              <w:t>201</w:t>
            </w:r>
            <w:r w:rsidR="008E4EF2" w:rsidRPr="00BD2FEE">
              <w:t>1</w:t>
            </w:r>
          </w:p>
        </w:tc>
        <w:tc>
          <w:tcPr>
            <w:tcW w:w="200" w:type="pct"/>
            <w:shd w:val="clear" w:color="auto" w:fill="92D050"/>
            <w:noWrap/>
            <w:hideMark/>
          </w:tcPr>
          <w:p w14:paraId="46C5B2AD" w14:textId="77777777" w:rsidR="00D219C1" w:rsidRPr="00BD2FEE" w:rsidRDefault="00D219C1">
            <w:pPr>
              <w:pStyle w:val="TableTextEntries"/>
              <w:jc w:val="center"/>
              <w:rPr>
                <w:b/>
                <w:caps/>
                <w:color w:val="073771"/>
              </w:rPr>
            </w:pPr>
            <w:r w:rsidRPr="00BD2FEE">
              <w:t>6</w:t>
            </w:r>
          </w:p>
        </w:tc>
        <w:tc>
          <w:tcPr>
            <w:tcW w:w="200" w:type="pct"/>
            <w:shd w:val="clear" w:color="auto" w:fill="92D050"/>
            <w:noWrap/>
            <w:hideMark/>
          </w:tcPr>
          <w:p w14:paraId="29646A65" w14:textId="77777777" w:rsidR="00D219C1" w:rsidRPr="00BD2FEE" w:rsidRDefault="008E4EF2">
            <w:pPr>
              <w:pStyle w:val="TableTextEntries"/>
              <w:jc w:val="center"/>
              <w:rPr>
                <w:b/>
                <w:caps/>
                <w:color w:val="073771"/>
              </w:rPr>
            </w:pPr>
            <w:r w:rsidRPr="00BD2FEE">
              <w:t>5</w:t>
            </w:r>
          </w:p>
        </w:tc>
        <w:tc>
          <w:tcPr>
            <w:tcW w:w="200" w:type="pct"/>
            <w:shd w:val="clear" w:color="auto" w:fill="92D050"/>
            <w:noWrap/>
            <w:hideMark/>
          </w:tcPr>
          <w:p w14:paraId="0C526C7A" w14:textId="77777777" w:rsidR="00D219C1" w:rsidRPr="00BD2FEE" w:rsidRDefault="008E4EF2">
            <w:pPr>
              <w:pStyle w:val="TableTextEntries"/>
              <w:jc w:val="center"/>
              <w:rPr>
                <w:b/>
                <w:caps/>
                <w:color w:val="073771"/>
              </w:rPr>
            </w:pPr>
            <w:r w:rsidRPr="00BD2FEE">
              <w:t>5</w:t>
            </w:r>
          </w:p>
        </w:tc>
        <w:tc>
          <w:tcPr>
            <w:tcW w:w="200" w:type="pct"/>
            <w:shd w:val="clear" w:color="auto" w:fill="92D050"/>
            <w:noWrap/>
            <w:hideMark/>
          </w:tcPr>
          <w:p w14:paraId="5118383F" w14:textId="77777777" w:rsidR="00D219C1" w:rsidRPr="00BD2FEE" w:rsidRDefault="00D219C1">
            <w:pPr>
              <w:pStyle w:val="TableTextEntries"/>
              <w:jc w:val="center"/>
              <w:rPr>
                <w:b/>
                <w:caps/>
                <w:color w:val="073771"/>
              </w:rPr>
            </w:pPr>
            <w:r w:rsidRPr="00BD2FEE">
              <w:t>5</w:t>
            </w:r>
          </w:p>
        </w:tc>
        <w:tc>
          <w:tcPr>
            <w:tcW w:w="200" w:type="pct"/>
            <w:shd w:val="clear" w:color="auto" w:fill="FFFF00"/>
            <w:noWrap/>
            <w:hideMark/>
          </w:tcPr>
          <w:p w14:paraId="29329E02" w14:textId="77777777" w:rsidR="00D219C1" w:rsidRPr="00BD2FEE" w:rsidRDefault="008E4EF2">
            <w:pPr>
              <w:pStyle w:val="TableTextEntries"/>
              <w:jc w:val="center"/>
              <w:rPr>
                <w:b/>
                <w:caps/>
                <w:color w:val="073771"/>
              </w:rPr>
            </w:pPr>
            <w:r w:rsidRPr="00BD2FEE">
              <w:t>4</w:t>
            </w:r>
          </w:p>
        </w:tc>
        <w:tc>
          <w:tcPr>
            <w:tcW w:w="200" w:type="pct"/>
            <w:shd w:val="clear" w:color="auto" w:fill="FFFF00"/>
            <w:noWrap/>
            <w:hideMark/>
          </w:tcPr>
          <w:p w14:paraId="15E47364" w14:textId="77777777" w:rsidR="00D219C1" w:rsidRPr="00BD2FEE" w:rsidRDefault="00D219C1">
            <w:pPr>
              <w:pStyle w:val="TableTextEntries"/>
              <w:jc w:val="center"/>
              <w:rPr>
                <w:b/>
                <w:caps/>
                <w:color w:val="073771"/>
              </w:rPr>
            </w:pPr>
            <w:r w:rsidRPr="00BD2FEE">
              <w:t>4</w:t>
            </w:r>
          </w:p>
        </w:tc>
        <w:tc>
          <w:tcPr>
            <w:tcW w:w="200" w:type="pct"/>
            <w:shd w:val="clear" w:color="auto" w:fill="92D050"/>
            <w:noWrap/>
            <w:hideMark/>
          </w:tcPr>
          <w:p w14:paraId="782B93CC" w14:textId="77777777" w:rsidR="00D219C1" w:rsidRPr="00BD2FEE" w:rsidRDefault="008E4EF2">
            <w:pPr>
              <w:pStyle w:val="TableTextEntries"/>
              <w:jc w:val="center"/>
              <w:rPr>
                <w:b/>
                <w:caps/>
                <w:color w:val="073771"/>
              </w:rPr>
            </w:pPr>
            <w:r w:rsidRPr="00BD2FEE">
              <w:t>M</w:t>
            </w:r>
          </w:p>
        </w:tc>
      </w:tr>
      <w:tr w:rsidR="00AE2781" w:rsidRPr="00BD2FEE" w14:paraId="152528B9" w14:textId="77777777" w:rsidTr="00A14FE9">
        <w:trPr>
          <w:tblHeader w:val="0"/>
        </w:trPr>
        <w:tc>
          <w:tcPr>
            <w:tcW w:w="1250" w:type="pct"/>
            <w:hideMark/>
          </w:tcPr>
          <w:p w14:paraId="24CEFE61" w14:textId="77777777" w:rsidR="00D219C1" w:rsidRPr="00BD2FEE" w:rsidRDefault="00D219C1" w:rsidP="00796F48">
            <w:pPr>
              <w:pStyle w:val="TableTextEntries"/>
            </w:pPr>
            <w:r w:rsidRPr="00BD2FEE">
              <w:lastRenderedPageBreak/>
              <w:t>Community Based Disaster Risk Management</w:t>
            </w:r>
          </w:p>
        </w:tc>
        <w:tc>
          <w:tcPr>
            <w:tcW w:w="450" w:type="pct"/>
            <w:hideMark/>
          </w:tcPr>
          <w:p w14:paraId="34019BF7" w14:textId="77777777" w:rsidR="00D219C1" w:rsidRPr="00BD2FEE" w:rsidRDefault="00D219C1" w:rsidP="00597520">
            <w:pPr>
              <w:pStyle w:val="TableTextEntries"/>
            </w:pPr>
            <w:r w:rsidRPr="00BD2FEE">
              <w:t>17/08/2011</w:t>
            </w:r>
          </w:p>
        </w:tc>
        <w:tc>
          <w:tcPr>
            <w:tcW w:w="450" w:type="pct"/>
            <w:hideMark/>
          </w:tcPr>
          <w:p w14:paraId="3CC92C92" w14:textId="77777777" w:rsidR="00D219C1" w:rsidRPr="00BD2FEE" w:rsidRDefault="00D219C1" w:rsidP="00597520">
            <w:pPr>
              <w:pStyle w:val="TableTextEntries"/>
            </w:pPr>
            <w:r w:rsidRPr="00BD2FEE">
              <w:t>31/12/2016</w:t>
            </w:r>
          </w:p>
        </w:tc>
        <w:tc>
          <w:tcPr>
            <w:tcW w:w="450" w:type="pct"/>
            <w:hideMark/>
          </w:tcPr>
          <w:p w14:paraId="0CBFAEB7" w14:textId="77777777" w:rsidR="00D219C1" w:rsidRPr="00BD2FEE" w:rsidRDefault="00D219C1" w:rsidP="00A14FE9">
            <w:pPr>
              <w:pStyle w:val="TableTextEntries"/>
              <w:rPr>
                <w:b/>
                <w:caps/>
                <w:color w:val="073771"/>
              </w:rPr>
            </w:pPr>
            <w:r w:rsidRPr="00BD2FEE">
              <w:t>$9</w:t>
            </w:r>
            <w:r w:rsidR="000957FC" w:rsidRPr="00BD2FEE">
              <w:t xml:space="preserve"> </w:t>
            </w:r>
            <w:r w:rsidRPr="00BD2FEE">
              <w:t>150</w:t>
            </w:r>
            <w:r w:rsidR="000957FC" w:rsidRPr="00BD2FEE">
              <w:t xml:space="preserve"> </w:t>
            </w:r>
            <w:r w:rsidRPr="00BD2FEE">
              <w:t>000</w:t>
            </w:r>
          </w:p>
        </w:tc>
        <w:tc>
          <w:tcPr>
            <w:tcW w:w="250" w:type="pct"/>
            <w:hideMark/>
          </w:tcPr>
          <w:p w14:paraId="309E5582" w14:textId="77777777" w:rsidR="00D219C1" w:rsidRPr="00BD2FEE" w:rsidRDefault="00D219C1" w:rsidP="00A14FE9">
            <w:pPr>
              <w:pStyle w:val="TableTextEntries"/>
              <w:rPr>
                <w:b/>
                <w:caps/>
                <w:color w:val="073771"/>
              </w:rPr>
            </w:pPr>
            <w:r w:rsidRPr="00BD2FEE">
              <w:t>2012</w:t>
            </w:r>
          </w:p>
        </w:tc>
        <w:tc>
          <w:tcPr>
            <w:tcW w:w="200" w:type="pct"/>
            <w:shd w:val="clear" w:color="auto" w:fill="92D050"/>
            <w:noWrap/>
            <w:hideMark/>
          </w:tcPr>
          <w:p w14:paraId="45432A74" w14:textId="77777777" w:rsidR="00D219C1" w:rsidRPr="00BD2FEE" w:rsidRDefault="00D219C1">
            <w:pPr>
              <w:pStyle w:val="TableTextEntries"/>
              <w:jc w:val="center"/>
              <w:rPr>
                <w:b/>
                <w:caps/>
                <w:color w:val="073771"/>
              </w:rPr>
            </w:pPr>
            <w:r w:rsidRPr="00BD2FEE">
              <w:t>6</w:t>
            </w:r>
          </w:p>
        </w:tc>
        <w:tc>
          <w:tcPr>
            <w:tcW w:w="200" w:type="pct"/>
            <w:shd w:val="clear" w:color="auto" w:fill="FFFF00"/>
            <w:noWrap/>
            <w:hideMark/>
          </w:tcPr>
          <w:p w14:paraId="3CC06FE5"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3D91702B" w14:textId="77777777" w:rsidR="00D219C1" w:rsidRPr="00BD2FEE" w:rsidRDefault="00D219C1">
            <w:pPr>
              <w:pStyle w:val="TableTextEntries"/>
              <w:jc w:val="center"/>
              <w:rPr>
                <w:b/>
                <w:caps/>
                <w:color w:val="073771"/>
              </w:rPr>
            </w:pPr>
            <w:r w:rsidRPr="00BD2FEE">
              <w:t>4</w:t>
            </w:r>
          </w:p>
        </w:tc>
        <w:tc>
          <w:tcPr>
            <w:tcW w:w="200" w:type="pct"/>
            <w:shd w:val="clear" w:color="auto" w:fill="92D050"/>
            <w:noWrap/>
            <w:hideMark/>
          </w:tcPr>
          <w:p w14:paraId="0F890282"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1631E363"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12ECFC3F"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2895C7F7" w14:textId="77777777" w:rsidR="00D219C1" w:rsidRPr="00BD2FEE" w:rsidRDefault="00D219C1">
            <w:pPr>
              <w:pStyle w:val="TableTextEntries"/>
              <w:jc w:val="center"/>
              <w:rPr>
                <w:b/>
                <w:caps/>
                <w:color w:val="073771"/>
              </w:rPr>
            </w:pPr>
            <w:r w:rsidRPr="00BD2FEE">
              <w:t>M</w:t>
            </w:r>
          </w:p>
        </w:tc>
      </w:tr>
      <w:tr w:rsidR="00AE2781" w:rsidRPr="00BD2FEE" w14:paraId="030BB0FC" w14:textId="77777777" w:rsidTr="00A14FE9">
        <w:trPr>
          <w:cnfStyle w:val="000000010000" w:firstRow="0" w:lastRow="0" w:firstColumn="0" w:lastColumn="0" w:oddVBand="0" w:evenVBand="0" w:oddHBand="0" w:evenHBand="1" w:firstRowFirstColumn="0" w:firstRowLastColumn="0" w:lastRowFirstColumn="0" w:lastRowLastColumn="0"/>
          <w:tblHeader w:val="0"/>
        </w:trPr>
        <w:tc>
          <w:tcPr>
            <w:tcW w:w="1250" w:type="pct"/>
            <w:hideMark/>
          </w:tcPr>
          <w:p w14:paraId="4D97FA74" w14:textId="77777777" w:rsidR="00D219C1" w:rsidRPr="00BD2FEE" w:rsidRDefault="00D219C1" w:rsidP="00796F48">
            <w:pPr>
              <w:pStyle w:val="TableTextEntries"/>
            </w:pPr>
            <w:r w:rsidRPr="00BD2FEE">
              <w:t>Vietnam Climate Change NGOs Partnership</w:t>
            </w:r>
          </w:p>
        </w:tc>
        <w:tc>
          <w:tcPr>
            <w:tcW w:w="450" w:type="pct"/>
            <w:hideMark/>
          </w:tcPr>
          <w:p w14:paraId="5A700549" w14:textId="77777777" w:rsidR="00D219C1" w:rsidRPr="00BD2FEE" w:rsidRDefault="00D219C1" w:rsidP="00597520">
            <w:pPr>
              <w:pStyle w:val="TableTextEntries"/>
            </w:pPr>
            <w:r w:rsidRPr="00BD2FEE">
              <w:t>12/03/2012</w:t>
            </w:r>
          </w:p>
        </w:tc>
        <w:tc>
          <w:tcPr>
            <w:tcW w:w="450" w:type="pct"/>
            <w:hideMark/>
          </w:tcPr>
          <w:p w14:paraId="1687B6DC" w14:textId="77777777" w:rsidR="00D219C1" w:rsidRPr="00BD2FEE" w:rsidRDefault="00D219C1" w:rsidP="00597520">
            <w:pPr>
              <w:pStyle w:val="TableTextEntries"/>
            </w:pPr>
            <w:r w:rsidRPr="00BD2FEE">
              <w:t>31/12/2014</w:t>
            </w:r>
          </w:p>
        </w:tc>
        <w:tc>
          <w:tcPr>
            <w:tcW w:w="450" w:type="pct"/>
            <w:hideMark/>
          </w:tcPr>
          <w:p w14:paraId="6F7EDAA1" w14:textId="77777777" w:rsidR="00D219C1" w:rsidRPr="00BD2FEE" w:rsidRDefault="00D219C1" w:rsidP="00A14FE9">
            <w:pPr>
              <w:pStyle w:val="TableTextEntries"/>
              <w:rPr>
                <w:b/>
                <w:caps/>
                <w:color w:val="073771"/>
              </w:rPr>
            </w:pPr>
            <w:r w:rsidRPr="00BD2FEE">
              <w:t>$15</w:t>
            </w:r>
            <w:r w:rsidR="000957FC" w:rsidRPr="00BD2FEE">
              <w:t xml:space="preserve"> </w:t>
            </w:r>
            <w:r w:rsidRPr="00BD2FEE">
              <w:t>026</w:t>
            </w:r>
            <w:r w:rsidR="000957FC" w:rsidRPr="00BD2FEE">
              <w:t xml:space="preserve"> </w:t>
            </w:r>
            <w:r w:rsidRPr="00BD2FEE">
              <w:t>907</w:t>
            </w:r>
          </w:p>
        </w:tc>
        <w:tc>
          <w:tcPr>
            <w:tcW w:w="250" w:type="pct"/>
            <w:hideMark/>
          </w:tcPr>
          <w:p w14:paraId="709641FB" w14:textId="77777777" w:rsidR="00D219C1" w:rsidRPr="00BD2FEE" w:rsidRDefault="00D219C1" w:rsidP="00A14FE9">
            <w:pPr>
              <w:pStyle w:val="TableTextEntries"/>
              <w:rPr>
                <w:b/>
                <w:caps/>
                <w:color w:val="073771"/>
              </w:rPr>
            </w:pPr>
            <w:r w:rsidRPr="00BD2FEE">
              <w:t>2012</w:t>
            </w:r>
          </w:p>
        </w:tc>
        <w:tc>
          <w:tcPr>
            <w:tcW w:w="200" w:type="pct"/>
            <w:shd w:val="clear" w:color="auto" w:fill="92D050"/>
            <w:noWrap/>
            <w:hideMark/>
          </w:tcPr>
          <w:p w14:paraId="4F6E1ED0" w14:textId="77777777" w:rsidR="00D219C1" w:rsidRPr="00BD2FEE" w:rsidRDefault="00D219C1">
            <w:pPr>
              <w:pStyle w:val="TableTextEntries"/>
              <w:jc w:val="center"/>
              <w:rPr>
                <w:b/>
                <w:caps/>
                <w:color w:val="073771"/>
              </w:rPr>
            </w:pPr>
            <w:r w:rsidRPr="00BD2FEE">
              <w:t>6</w:t>
            </w:r>
          </w:p>
        </w:tc>
        <w:tc>
          <w:tcPr>
            <w:tcW w:w="200" w:type="pct"/>
            <w:shd w:val="clear" w:color="auto" w:fill="92D050"/>
            <w:noWrap/>
            <w:hideMark/>
          </w:tcPr>
          <w:p w14:paraId="4EA0E94E"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0E2323B7"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751DD6CE"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14C686F0"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1F336075"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110835FC" w14:textId="77777777" w:rsidR="00D219C1" w:rsidRPr="00BD2FEE" w:rsidRDefault="00D219C1">
            <w:pPr>
              <w:pStyle w:val="TableTextEntries"/>
              <w:jc w:val="center"/>
              <w:rPr>
                <w:b/>
                <w:caps/>
                <w:color w:val="073771"/>
              </w:rPr>
            </w:pPr>
            <w:r w:rsidRPr="00BD2FEE">
              <w:t>M</w:t>
            </w:r>
          </w:p>
        </w:tc>
      </w:tr>
      <w:tr w:rsidR="00AE2781" w:rsidRPr="00BD2FEE" w14:paraId="30C6D8D2" w14:textId="77777777" w:rsidTr="00A14FE9">
        <w:trPr>
          <w:tblHeader w:val="0"/>
        </w:trPr>
        <w:tc>
          <w:tcPr>
            <w:tcW w:w="1250" w:type="pct"/>
            <w:hideMark/>
          </w:tcPr>
          <w:p w14:paraId="72915C01" w14:textId="77777777" w:rsidR="00D219C1" w:rsidRPr="00BD2FEE" w:rsidRDefault="00D219C1" w:rsidP="00796F48">
            <w:pPr>
              <w:pStyle w:val="TableTextEntries"/>
            </w:pPr>
            <w:r w:rsidRPr="00BD2FEE">
              <w:t>Vietnam Delivering Better Health</w:t>
            </w:r>
          </w:p>
        </w:tc>
        <w:tc>
          <w:tcPr>
            <w:tcW w:w="450" w:type="pct"/>
            <w:hideMark/>
          </w:tcPr>
          <w:p w14:paraId="4D8395DD" w14:textId="77777777" w:rsidR="00D219C1" w:rsidRPr="00BD2FEE" w:rsidRDefault="00D219C1" w:rsidP="00597520">
            <w:pPr>
              <w:pStyle w:val="TableTextEntries"/>
            </w:pPr>
            <w:r w:rsidRPr="00BD2FEE">
              <w:t>28/08/2007</w:t>
            </w:r>
          </w:p>
        </w:tc>
        <w:tc>
          <w:tcPr>
            <w:tcW w:w="450" w:type="pct"/>
            <w:hideMark/>
          </w:tcPr>
          <w:p w14:paraId="4C1927A9" w14:textId="77777777" w:rsidR="00D219C1" w:rsidRPr="00BD2FEE" w:rsidRDefault="00D219C1" w:rsidP="00597520">
            <w:pPr>
              <w:pStyle w:val="TableTextEntries"/>
            </w:pPr>
            <w:r w:rsidRPr="00BD2FEE">
              <w:t>30/06/2015</w:t>
            </w:r>
          </w:p>
        </w:tc>
        <w:tc>
          <w:tcPr>
            <w:tcW w:w="450" w:type="pct"/>
            <w:hideMark/>
          </w:tcPr>
          <w:p w14:paraId="7C135934" w14:textId="77777777" w:rsidR="00D219C1" w:rsidRPr="00BD2FEE" w:rsidRDefault="00D219C1" w:rsidP="00A14FE9">
            <w:pPr>
              <w:pStyle w:val="TableTextEntries"/>
              <w:rPr>
                <w:b/>
                <w:caps/>
                <w:color w:val="073771"/>
              </w:rPr>
            </w:pPr>
            <w:r w:rsidRPr="00BD2FEE">
              <w:t>$14</w:t>
            </w:r>
            <w:r w:rsidR="000957FC" w:rsidRPr="00BD2FEE">
              <w:t xml:space="preserve"> </w:t>
            </w:r>
            <w:r w:rsidRPr="00BD2FEE">
              <w:t>897</w:t>
            </w:r>
            <w:r w:rsidR="000957FC" w:rsidRPr="00BD2FEE">
              <w:t xml:space="preserve"> </w:t>
            </w:r>
            <w:r w:rsidRPr="00BD2FEE">
              <w:t>501</w:t>
            </w:r>
          </w:p>
        </w:tc>
        <w:tc>
          <w:tcPr>
            <w:tcW w:w="250" w:type="pct"/>
            <w:hideMark/>
          </w:tcPr>
          <w:p w14:paraId="0D5225CA" w14:textId="308FB491" w:rsidR="00D219C1" w:rsidRPr="00BD2FEE" w:rsidRDefault="00D219C1" w:rsidP="002231F3">
            <w:pPr>
              <w:pStyle w:val="TableTextEntries"/>
              <w:rPr>
                <w:b/>
                <w:caps/>
                <w:color w:val="073771"/>
              </w:rPr>
            </w:pPr>
            <w:r w:rsidRPr="00BD2FEE">
              <w:t>201</w:t>
            </w:r>
            <w:r w:rsidR="002231F3">
              <w:t>2</w:t>
            </w:r>
          </w:p>
        </w:tc>
        <w:tc>
          <w:tcPr>
            <w:tcW w:w="200" w:type="pct"/>
            <w:shd w:val="clear" w:color="auto" w:fill="FFFF00"/>
            <w:noWrap/>
            <w:hideMark/>
          </w:tcPr>
          <w:p w14:paraId="238080A4"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13D3C748" w14:textId="77777777" w:rsidR="00D219C1" w:rsidRPr="00BD2FEE" w:rsidRDefault="008E4EF2">
            <w:pPr>
              <w:pStyle w:val="TableTextEntries"/>
              <w:jc w:val="center"/>
              <w:rPr>
                <w:b/>
                <w:caps/>
                <w:color w:val="073771"/>
              </w:rPr>
            </w:pPr>
            <w:r w:rsidRPr="00BD2FEE">
              <w:t>4</w:t>
            </w:r>
          </w:p>
        </w:tc>
        <w:tc>
          <w:tcPr>
            <w:tcW w:w="200" w:type="pct"/>
            <w:shd w:val="clear" w:color="auto" w:fill="FFFF00"/>
            <w:noWrap/>
            <w:hideMark/>
          </w:tcPr>
          <w:p w14:paraId="3E90D55F" w14:textId="77777777" w:rsidR="00D219C1" w:rsidRPr="00BD2FEE" w:rsidRDefault="008E4EF2">
            <w:pPr>
              <w:pStyle w:val="TableTextEntries"/>
              <w:jc w:val="center"/>
              <w:rPr>
                <w:b/>
                <w:caps/>
                <w:color w:val="073771"/>
              </w:rPr>
            </w:pPr>
            <w:r w:rsidRPr="00BD2FEE">
              <w:t>4</w:t>
            </w:r>
          </w:p>
        </w:tc>
        <w:tc>
          <w:tcPr>
            <w:tcW w:w="200" w:type="pct"/>
            <w:shd w:val="clear" w:color="auto" w:fill="FFFF00"/>
            <w:noWrap/>
            <w:hideMark/>
          </w:tcPr>
          <w:p w14:paraId="55566A89"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6F41FF7B" w14:textId="77777777" w:rsidR="00D219C1" w:rsidRPr="00BD2FEE" w:rsidRDefault="00D219C1">
            <w:pPr>
              <w:pStyle w:val="TableTextEntries"/>
              <w:jc w:val="center"/>
              <w:rPr>
                <w:b/>
                <w:caps/>
                <w:color w:val="073771"/>
              </w:rPr>
            </w:pPr>
            <w:r w:rsidRPr="00BD2FEE">
              <w:t>4</w:t>
            </w:r>
          </w:p>
        </w:tc>
        <w:tc>
          <w:tcPr>
            <w:tcW w:w="200" w:type="pct"/>
            <w:shd w:val="clear" w:color="auto" w:fill="92D050"/>
            <w:noWrap/>
            <w:hideMark/>
          </w:tcPr>
          <w:p w14:paraId="51F2F93C"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71504DD5" w14:textId="77777777" w:rsidR="00D219C1" w:rsidRPr="00BD2FEE" w:rsidRDefault="00D219C1">
            <w:pPr>
              <w:pStyle w:val="TableTextEntries"/>
              <w:jc w:val="center"/>
              <w:rPr>
                <w:b/>
                <w:caps/>
                <w:color w:val="073771"/>
              </w:rPr>
            </w:pPr>
            <w:r w:rsidRPr="00BD2FEE">
              <w:t>M</w:t>
            </w:r>
          </w:p>
        </w:tc>
      </w:tr>
      <w:tr w:rsidR="00AE2781" w:rsidRPr="00BD2FEE" w14:paraId="04C963A5" w14:textId="77777777" w:rsidTr="00A14FE9">
        <w:trPr>
          <w:cnfStyle w:val="000000010000" w:firstRow="0" w:lastRow="0" w:firstColumn="0" w:lastColumn="0" w:oddVBand="0" w:evenVBand="0" w:oddHBand="0" w:evenHBand="1" w:firstRowFirstColumn="0" w:firstRowLastColumn="0" w:lastRowFirstColumn="0" w:lastRowLastColumn="0"/>
          <w:tblHeader w:val="0"/>
        </w:trPr>
        <w:tc>
          <w:tcPr>
            <w:tcW w:w="1250" w:type="pct"/>
            <w:hideMark/>
          </w:tcPr>
          <w:p w14:paraId="5778AE41" w14:textId="77777777" w:rsidR="00D219C1" w:rsidRPr="00BD2FEE" w:rsidRDefault="00D219C1" w:rsidP="00796F48">
            <w:pPr>
              <w:pStyle w:val="TableTextEntries"/>
            </w:pPr>
            <w:r w:rsidRPr="00BD2FEE">
              <w:t> </w:t>
            </w:r>
          </w:p>
        </w:tc>
        <w:tc>
          <w:tcPr>
            <w:tcW w:w="450" w:type="pct"/>
            <w:hideMark/>
          </w:tcPr>
          <w:p w14:paraId="4BC1D5C5" w14:textId="77777777" w:rsidR="00D219C1" w:rsidRPr="00BD2FEE" w:rsidRDefault="00D219C1" w:rsidP="00597520">
            <w:pPr>
              <w:pStyle w:val="TableTextEntries"/>
            </w:pPr>
            <w:r w:rsidRPr="00BD2FEE">
              <w:t> </w:t>
            </w:r>
          </w:p>
        </w:tc>
        <w:tc>
          <w:tcPr>
            <w:tcW w:w="450" w:type="pct"/>
            <w:hideMark/>
          </w:tcPr>
          <w:p w14:paraId="6632BE75" w14:textId="77777777" w:rsidR="00D219C1" w:rsidRPr="00BD2FEE" w:rsidRDefault="00D219C1" w:rsidP="00597520">
            <w:pPr>
              <w:pStyle w:val="TableTextEntries"/>
            </w:pPr>
            <w:r w:rsidRPr="00BD2FEE">
              <w:t> </w:t>
            </w:r>
          </w:p>
        </w:tc>
        <w:tc>
          <w:tcPr>
            <w:tcW w:w="450" w:type="pct"/>
            <w:hideMark/>
          </w:tcPr>
          <w:p w14:paraId="43C16AD1" w14:textId="77777777" w:rsidR="00D219C1" w:rsidRPr="00BD2FEE" w:rsidRDefault="00D219C1" w:rsidP="00A14FE9">
            <w:pPr>
              <w:pStyle w:val="TableTextEntries"/>
              <w:rPr>
                <w:b/>
                <w:caps/>
                <w:color w:val="073771"/>
              </w:rPr>
            </w:pPr>
            <w:r w:rsidRPr="00BD2FEE">
              <w:t> </w:t>
            </w:r>
          </w:p>
        </w:tc>
        <w:tc>
          <w:tcPr>
            <w:tcW w:w="250" w:type="pct"/>
            <w:hideMark/>
          </w:tcPr>
          <w:p w14:paraId="6E2BA55F" w14:textId="140EDCB8" w:rsidR="00D219C1" w:rsidRPr="00BD2FEE" w:rsidRDefault="00D219C1" w:rsidP="00A14FE9">
            <w:pPr>
              <w:pStyle w:val="TableTextEntries"/>
              <w:rPr>
                <w:b/>
                <w:caps/>
                <w:color w:val="073771"/>
              </w:rPr>
            </w:pPr>
            <w:r w:rsidRPr="00BD2FEE">
              <w:t>201</w:t>
            </w:r>
            <w:r w:rsidR="002231F3">
              <w:t>1</w:t>
            </w:r>
          </w:p>
        </w:tc>
        <w:tc>
          <w:tcPr>
            <w:tcW w:w="200" w:type="pct"/>
            <w:shd w:val="clear" w:color="auto" w:fill="FFFF00"/>
            <w:noWrap/>
            <w:hideMark/>
          </w:tcPr>
          <w:p w14:paraId="1B74185D" w14:textId="77777777" w:rsidR="00D219C1" w:rsidRPr="00BD2FEE" w:rsidRDefault="00D219C1">
            <w:pPr>
              <w:pStyle w:val="TableTextEntries"/>
              <w:jc w:val="center"/>
              <w:rPr>
                <w:b/>
                <w:caps/>
                <w:color w:val="073771"/>
              </w:rPr>
            </w:pPr>
            <w:r w:rsidRPr="00BD2FEE">
              <w:t>4</w:t>
            </w:r>
          </w:p>
        </w:tc>
        <w:tc>
          <w:tcPr>
            <w:tcW w:w="200" w:type="pct"/>
            <w:shd w:val="clear" w:color="auto" w:fill="F79646" w:themeFill="accent6"/>
            <w:noWrap/>
            <w:hideMark/>
          </w:tcPr>
          <w:p w14:paraId="4FD75C29" w14:textId="77777777" w:rsidR="00D219C1" w:rsidRPr="00BD2FEE" w:rsidRDefault="008E4EF2">
            <w:pPr>
              <w:pStyle w:val="TableTextEntries"/>
              <w:jc w:val="center"/>
              <w:rPr>
                <w:b/>
                <w:caps/>
                <w:color w:val="073771"/>
              </w:rPr>
            </w:pPr>
            <w:r w:rsidRPr="00BD2FEE">
              <w:t>3</w:t>
            </w:r>
          </w:p>
        </w:tc>
        <w:tc>
          <w:tcPr>
            <w:tcW w:w="200" w:type="pct"/>
            <w:shd w:val="clear" w:color="auto" w:fill="F79646" w:themeFill="accent6"/>
            <w:noWrap/>
            <w:hideMark/>
          </w:tcPr>
          <w:p w14:paraId="13F76976" w14:textId="77777777" w:rsidR="00D219C1" w:rsidRPr="00BD2FEE" w:rsidRDefault="008E4EF2">
            <w:pPr>
              <w:pStyle w:val="TableTextEntries"/>
              <w:jc w:val="center"/>
              <w:rPr>
                <w:b/>
                <w:caps/>
                <w:color w:val="073771"/>
              </w:rPr>
            </w:pPr>
            <w:r w:rsidRPr="00BD2FEE">
              <w:t>3</w:t>
            </w:r>
          </w:p>
        </w:tc>
        <w:tc>
          <w:tcPr>
            <w:tcW w:w="200" w:type="pct"/>
            <w:shd w:val="clear" w:color="auto" w:fill="FFFF00"/>
            <w:noWrap/>
            <w:hideMark/>
          </w:tcPr>
          <w:p w14:paraId="1595A22C"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287B1E58" w14:textId="77777777" w:rsidR="00D219C1" w:rsidRPr="00BD2FEE" w:rsidRDefault="00D219C1">
            <w:pPr>
              <w:pStyle w:val="TableTextEntries"/>
              <w:jc w:val="center"/>
              <w:rPr>
                <w:b/>
                <w:caps/>
                <w:color w:val="073771"/>
              </w:rPr>
            </w:pPr>
            <w:r w:rsidRPr="00BD2FEE">
              <w:t>4</w:t>
            </w:r>
          </w:p>
        </w:tc>
        <w:tc>
          <w:tcPr>
            <w:tcW w:w="200" w:type="pct"/>
            <w:shd w:val="clear" w:color="auto" w:fill="92D050"/>
            <w:noWrap/>
            <w:hideMark/>
          </w:tcPr>
          <w:p w14:paraId="1647DDD4"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5E15C8E8" w14:textId="77777777" w:rsidR="00D219C1" w:rsidRPr="00BD2FEE" w:rsidRDefault="008E4EF2">
            <w:pPr>
              <w:pStyle w:val="TableTextEntries"/>
              <w:jc w:val="center"/>
              <w:rPr>
                <w:b/>
                <w:caps/>
                <w:color w:val="073771"/>
              </w:rPr>
            </w:pPr>
            <w:r w:rsidRPr="00BD2FEE">
              <w:t>M</w:t>
            </w:r>
          </w:p>
        </w:tc>
      </w:tr>
      <w:tr w:rsidR="00AE2781" w:rsidRPr="00BD2FEE" w14:paraId="6099EA5E" w14:textId="77777777" w:rsidTr="00A14FE9">
        <w:trPr>
          <w:tblHeader w:val="0"/>
        </w:trPr>
        <w:tc>
          <w:tcPr>
            <w:tcW w:w="1250" w:type="pct"/>
            <w:hideMark/>
          </w:tcPr>
          <w:p w14:paraId="3D0071FB" w14:textId="77777777" w:rsidR="00D219C1" w:rsidRPr="00BD2FEE" w:rsidRDefault="00D219C1" w:rsidP="00796F48">
            <w:pPr>
              <w:pStyle w:val="TableTextEntries"/>
            </w:pPr>
            <w:r w:rsidRPr="00BD2FEE">
              <w:t>Vietnam Clinton Health Access Initiative Phase III</w:t>
            </w:r>
          </w:p>
        </w:tc>
        <w:tc>
          <w:tcPr>
            <w:tcW w:w="450" w:type="pct"/>
            <w:hideMark/>
          </w:tcPr>
          <w:p w14:paraId="55217722" w14:textId="77777777" w:rsidR="00D219C1" w:rsidRPr="00BD2FEE" w:rsidRDefault="00D219C1" w:rsidP="00597520">
            <w:pPr>
              <w:pStyle w:val="TableTextEntries"/>
            </w:pPr>
            <w:r w:rsidRPr="00BD2FEE">
              <w:t>01/07/2012</w:t>
            </w:r>
          </w:p>
        </w:tc>
        <w:tc>
          <w:tcPr>
            <w:tcW w:w="450" w:type="pct"/>
            <w:hideMark/>
          </w:tcPr>
          <w:p w14:paraId="7FE44218" w14:textId="77777777" w:rsidR="00D219C1" w:rsidRPr="00BD2FEE" w:rsidRDefault="00D219C1" w:rsidP="00597520">
            <w:pPr>
              <w:pStyle w:val="TableTextEntries"/>
            </w:pPr>
            <w:r w:rsidRPr="00BD2FEE">
              <w:t>30/06/2015</w:t>
            </w:r>
          </w:p>
        </w:tc>
        <w:tc>
          <w:tcPr>
            <w:tcW w:w="450" w:type="pct"/>
            <w:hideMark/>
          </w:tcPr>
          <w:p w14:paraId="72C87E63" w14:textId="77777777" w:rsidR="00D219C1" w:rsidRPr="00BD2FEE" w:rsidRDefault="00D219C1" w:rsidP="00A14FE9">
            <w:pPr>
              <w:pStyle w:val="TableTextEntries"/>
              <w:rPr>
                <w:b/>
                <w:caps/>
                <w:color w:val="073771"/>
              </w:rPr>
            </w:pPr>
            <w:r w:rsidRPr="00BD2FEE">
              <w:t>$4</w:t>
            </w:r>
            <w:r w:rsidR="000957FC" w:rsidRPr="00BD2FEE">
              <w:t xml:space="preserve"> </w:t>
            </w:r>
            <w:r w:rsidRPr="00BD2FEE">
              <w:t>650</w:t>
            </w:r>
            <w:r w:rsidR="000957FC" w:rsidRPr="00BD2FEE">
              <w:t xml:space="preserve"> </w:t>
            </w:r>
            <w:r w:rsidRPr="00BD2FEE">
              <w:t>000</w:t>
            </w:r>
          </w:p>
        </w:tc>
        <w:tc>
          <w:tcPr>
            <w:tcW w:w="250" w:type="pct"/>
            <w:hideMark/>
          </w:tcPr>
          <w:p w14:paraId="10A59CEB" w14:textId="77777777" w:rsidR="00D219C1" w:rsidRPr="00BD2FEE" w:rsidRDefault="00D219C1" w:rsidP="00A14FE9">
            <w:pPr>
              <w:pStyle w:val="TableTextEntries"/>
              <w:rPr>
                <w:b/>
                <w:caps/>
                <w:color w:val="073771"/>
              </w:rPr>
            </w:pPr>
            <w:r w:rsidRPr="00BD2FEE">
              <w:t>2012</w:t>
            </w:r>
          </w:p>
        </w:tc>
        <w:tc>
          <w:tcPr>
            <w:tcW w:w="200" w:type="pct"/>
            <w:shd w:val="clear" w:color="auto" w:fill="92D050"/>
            <w:noWrap/>
            <w:hideMark/>
          </w:tcPr>
          <w:p w14:paraId="3C81AE13"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55FFEC69"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561D6C5B"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41D2D4B2" w14:textId="77777777" w:rsidR="00D219C1" w:rsidRPr="00BD2FEE" w:rsidRDefault="00D219C1">
            <w:pPr>
              <w:pStyle w:val="TableTextEntries"/>
              <w:jc w:val="center"/>
              <w:rPr>
                <w:b/>
                <w:caps/>
                <w:color w:val="073771"/>
              </w:rPr>
            </w:pPr>
            <w:r w:rsidRPr="00BD2FEE">
              <w:t>5</w:t>
            </w:r>
          </w:p>
        </w:tc>
        <w:tc>
          <w:tcPr>
            <w:tcW w:w="200" w:type="pct"/>
            <w:shd w:val="clear" w:color="auto" w:fill="FFFF00"/>
            <w:noWrap/>
            <w:hideMark/>
          </w:tcPr>
          <w:p w14:paraId="5036913F" w14:textId="77777777" w:rsidR="00D219C1" w:rsidRPr="00BD2FEE" w:rsidRDefault="00D219C1">
            <w:pPr>
              <w:pStyle w:val="TableTextEntries"/>
              <w:jc w:val="center"/>
              <w:rPr>
                <w:b/>
                <w:caps/>
                <w:color w:val="073771"/>
              </w:rPr>
            </w:pPr>
            <w:r w:rsidRPr="00BD2FEE">
              <w:t>4</w:t>
            </w:r>
          </w:p>
        </w:tc>
        <w:tc>
          <w:tcPr>
            <w:tcW w:w="200" w:type="pct"/>
            <w:shd w:val="clear" w:color="auto" w:fill="92D050"/>
            <w:noWrap/>
            <w:hideMark/>
          </w:tcPr>
          <w:p w14:paraId="586EFCE5"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34E8C352" w14:textId="77777777" w:rsidR="00D219C1" w:rsidRPr="00BD2FEE" w:rsidRDefault="00D219C1">
            <w:pPr>
              <w:pStyle w:val="TableTextEntries"/>
              <w:jc w:val="center"/>
              <w:rPr>
                <w:b/>
                <w:caps/>
                <w:color w:val="073771"/>
              </w:rPr>
            </w:pPr>
            <w:r w:rsidRPr="00BD2FEE">
              <w:t>M</w:t>
            </w:r>
          </w:p>
        </w:tc>
      </w:tr>
      <w:tr w:rsidR="00AE2781" w:rsidRPr="00BD2FEE" w14:paraId="2DB4D947" w14:textId="77777777" w:rsidTr="00A14FE9">
        <w:trPr>
          <w:cnfStyle w:val="000000010000" w:firstRow="0" w:lastRow="0" w:firstColumn="0" w:lastColumn="0" w:oddVBand="0" w:evenVBand="0" w:oddHBand="0" w:evenHBand="1" w:firstRowFirstColumn="0" w:firstRowLastColumn="0" w:lastRowFirstColumn="0" w:lastRowLastColumn="0"/>
          <w:tblHeader w:val="0"/>
        </w:trPr>
        <w:tc>
          <w:tcPr>
            <w:tcW w:w="1250" w:type="pct"/>
            <w:hideMark/>
          </w:tcPr>
          <w:p w14:paraId="0BC1003A" w14:textId="77777777" w:rsidR="00D219C1" w:rsidRPr="00BD2FEE" w:rsidRDefault="00D219C1" w:rsidP="00796F48">
            <w:pPr>
              <w:pStyle w:val="TableTextEntries"/>
            </w:pPr>
            <w:r w:rsidRPr="00BD2FEE">
              <w:t>Vietnam Anti-corruption Program 2011</w:t>
            </w:r>
            <w:r w:rsidR="000957FC" w:rsidRPr="00BD2FEE">
              <w:t>–</w:t>
            </w:r>
            <w:r w:rsidRPr="00BD2FEE">
              <w:t>2014</w:t>
            </w:r>
          </w:p>
        </w:tc>
        <w:tc>
          <w:tcPr>
            <w:tcW w:w="450" w:type="pct"/>
            <w:hideMark/>
          </w:tcPr>
          <w:p w14:paraId="06327004" w14:textId="77777777" w:rsidR="00D219C1" w:rsidRPr="00BD2FEE" w:rsidRDefault="00D219C1" w:rsidP="00597520">
            <w:pPr>
              <w:pStyle w:val="TableTextEntries"/>
            </w:pPr>
            <w:r w:rsidRPr="00BD2FEE">
              <w:t>01/07/2011</w:t>
            </w:r>
          </w:p>
        </w:tc>
        <w:tc>
          <w:tcPr>
            <w:tcW w:w="450" w:type="pct"/>
            <w:hideMark/>
          </w:tcPr>
          <w:p w14:paraId="57FFECBE" w14:textId="77777777" w:rsidR="00D219C1" w:rsidRPr="00BD2FEE" w:rsidRDefault="00D219C1" w:rsidP="00597520">
            <w:pPr>
              <w:pStyle w:val="TableTextEntries"/>
            </w:pPr>
            <w:r w:rsidRPr="00BD2FEE">
              <w:t>30/06/2015</w:t>
            </w:r>
          </w:p>
        </w:tc>
        <w:tc>
          <w:tcPr>
            <w:tcW w:w="450" w:type="pct"/>
            <w:hideMark/>
          </w:tcPr>
          <w:p w14:paraId="102A2412" w14:textId="77777777" w:rsidR="00D219C1" w:rsidRPr="00BD2FEE" w:rsidRDefault="00D219C1" w:rsidP="00A14FE9">
            <w:pPr>
              <w:pStyle w:val="TableTextEntries"/>
              <w:rPr>
                <w:b/>
                <w:caps/>
                <w:color w:val="073771"/>
              </w:rPr>
            </w:pPr>
            <w:r w:rsidRPr="00BD2FEE">
              <w:t>$3</w:t>
            </w:r>
            <w:r w:rsidR="000957FC" w:rsidRPr="00BD2FEE">
              <w:t xml:space="preserve"> </w:t>
            </w:r>
            <w:r w:rsidRPr="00BD2FEE">
              <w:t>200</w:t>
            </w:r>
            <w:r w:rsidR="000957FC" w:rsidRPr="00BD2FEE">
              <w:t xml:space="preserve"> </w:t>
            </w:r>
            <w:r w:rsidRPr="00BD2FEE">
              <w:t>000</w:t>
            </w:r>
          </w:p>
        </w:tc>
        <w:tc>
          <w:tcPr>
            <w:tcW w:w="250" w:type="pct"/>
            <w:hideMark/>
          </w:tcPr>
          <w:p w14:paraId="3BB6815C" w14:textId="77777777" w:rsidR="00D219C1" w:rsidRPr="00BD2FEE" w:rsidRDefault="00D219C1" w:rsidP="00A14FE9">
            <w:pPr>
              <w:pStyle w:val="TableTextEntries"/>
              <w:rPr>
                <w:b/>
                <w:caps/>
                <w:color w:val="073771"/>
              </w:rPr>
            </w:pPr>
            <w:r w:rsidRPr="00BD2FEE">
              <w:t>2012</w:t>
            </w:r>
          </w:p>
        </w:tc>
        <w:tc>
          <w:tcPr>
            <w:tcW w:w="200" w:type="pct"/>
            <w:shd w:val="clear" w:color="auto" w:fill="92D050"/>
            <w:noWrap/>
            <w:hideMark/>
          </w:tcPr>
          <w:p w14:paraId="638D7073"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441FD74D" w14:textId="77777777" w:rsidR="00D219C1" w:rsidRPr="00BD2FEE" w:rsidRDefault="00D219C1">
            <w:pPr>
              <w:pStyle w:val="TableTextEntries"/>
              <w:jc w:val="center"/>
              <w:rPr>
                <w:b/>
                <w:caps/>
                <w:color w:val="073771"/>
              </w:rPr>
            </w:pPr>
            <w:r w:rsidRPr="00BD2FEE">
              <w:t>5</w:t>
            </w:r>
          </w:p>
        </w:tc>
        <w:tc>
          <w:tcPr>
            <w:tcW w:w="200" w:type="pct"/>
            <w:shd w:val="clear" w:color="auto" w:fill="92D050"/>
            <w:noWrap/>
            <w:hideMark/>
          </w:tcPr>
          <w:p w14:paraId="1493718D" w14:textId="77777777" w:rsidR="00D219C1" w:rsidRPr="00BD2FEE" w:rsidRDefault="00D219C1">
            <w:pPr>
              <w:pStyle w:val="TableTextEntries"/>
              <w:jc w:val="center"/>
              <w:rPr>
                <w:b/>
                <w:caps/>
                <w:color w:val="073771"/>
              </w:rPr>
            </w:pPr>
            <w:r w:rsidRPr="00BD2FEE">
              <w:t>5</w:t>
            </w:r>
          </w:p>
        </w:tc>
        <w:tc>
          <w:tcPr>
            <w:tcW w:w="200" w:type="pct"/>
            <w:shd w:val="clear" w:color="auto" w:fill="FFFF00"/>
            <w:noWrap/>
            <w:hideMark/>
          </w:tcPr>
          <w:p w14:paraId="7777FA1F"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50C3778A"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75CDC1C5" w14:textId="77777777" w:rsidR="00D219C1" w:rsidRPr="00BD2FEE" w:rsidRDefault="00D219C1">
            <w:pPr>
              <w:pStyle w:val="TableTextEntries"/>
              <w:jc w:val="center"/>
              <w:rPr>
                <w:b/>
                <w:caps/>
                <w:color w:val="073771"/>
              </w:rPr>
            </w:pPr>
            <w:r w:rsidRPr="00BD2FEE">
              <w:t>4</w:t>
            </w:r>
          </w:p>
        </w:tc>
        <w:tc>
          <w:tcPr>
            <w:tcW w:w="200" w:type="pct"/>
            <w:shd w:val="clear" w:color="auto" w:fill="92D050"/>
            <w:noWrap/>
            <w:hideMark/>
          </w:tcPr>
          <w:p w14:paraId="718F9E32" w14:textId="77777777" w:rsidR="00D219C1" w:rsidRPr="00BD2FEE" w:rsidRDefault="00D219C1">
            <w:pPr>
              <w:pStyle w:val="TableTextEntries"/>
              <w:jc w:val="center"/>
              <w:rPr>
                <w:b/>
                <w:caps/>
                <w:color w:val="073771"/>
              </w:rPr>
            </w:pPr>
            <w:r w:rsidRPr="00BD2FEE">
              <w:t>M</w:t>
            </w:r>
          </w:p>
        </w:tc>
      </w:tr>
      <w:tr w:rsidR="00AE2781" w:rsidRPr="00BD2FEE" w14:paraId="2014F46D" w14:textId="77777777" w:rsidTr="00A14FE9">
        <w:trPr>
          <w:tblHeader w:val="0"/>
        </w:trPr>
        <w:tc>
          <w:tcPr>
            <w:tcW w:w="1250" w:type="pct"/>
            <w:hideMark/>
          </w:tcPr>
          <w:p w14:paraId="0E004F0A" w14:textId="22B035A2" w:rsidR="00D219C1" w:rsidRPr="00BD2FEE" w:rsidRDefault="006D2CF2" w:rsidP="00796F48">
            <w:pPr>
              <w:pStyle w:val="TableTextEntries"/>
            </w:pPr>
            <w:r>
              <w:t>DFAT</w:t>
            </w:r>
            <w:r w:rsidR="000957FC" w:rsidRPr="00BD2FEE">
              <w:t>–</w:t>
            </w:r>
            <w:r w:rsidR="00D219C1" w:rsidRPr="00BD2FEE">
              <w:t>World Bank Vietnam Partnership Trust Fund</w:t>
            </w:r>
          </w:p>
        </w:tc>
        <w:tc>
          <w:tcPr>
            <w:tcW w:w="450" w:type="pct"/>
            <w:hideMark/>
          </w:tcPr>
          <w:p w14:paraId="3CE4E8BB" w14:textId="77777777" w:rsidR="00D219C1" w:rsidRPr="00BD2FEE" w:rsidRDefault="00D219C1" w:rsidP="00597520">
            <w:pPr>
              <w:pStyle w:val="TableTextEntries"/>
            </w:pPr>
            <w:r w:rsidRPr="00BD2FEE">
              <w:t>31/01/2012</w:t>
            </w:r>
          </w:p>
        </w:tc>
        <w:tc>
          <w:tcPr>
            <w:tcW w:w="450" w:type="pct"/>
            <w:hideMark/>
          </w:tcPr>
          <w:p w14:paraId="34C12D51" w14:textId="77777777" w:rsidR="00D219C1" w:rsidRPr="00BD2FEE" w:rsidRDefault="00D219C1" w:rsidP="00597520">
            <w:pPr>
              <w:pStyle w:val="TableTextEntries"/>
            </w:pPr>
            <w:r w:rsidRPr="00BD2FEE">
              <w:t>30/06/2016</w:t>
            </w:r>
          </w:p>
        </w:tc>
        <w:tc>
          <w:tcPr>
            <w:tcW w:w="450" w:type="pct"/>
            <w:hideMark/>
          </w:tcPr>
          <w:p w14:paraId="71F45F07" w14:textId="77777777" w:rsidR="00D219C1" w:rsidRPr="00BD2FEE" w:rsidRDefault="00D219C1" w:rsidP="00A14FE9">
            <w:pPr>
              <w:pStyle w:val="TableTextEntries"/>
              <w:rPr>
                <w:b/>
                <w:caps/>
                <w:color w:val="073771"/>
              </w:rPr>
            </w:pPr>
            <w:r w:rsidRPr="00BD2FEE">
              <w:t>$42</w:t>
            </w:r>
            <w:r w:rsidR="000957FC" w:rsidRPr="00BD2FEE">
              <w:t xml:space="preserve"> </w:t>
            </w:r>
            <w:r w:rsidRPr="00BD2FEE">
              <w:t>999</w:t>
            </w:r>
            <w:r w:rsidR="000957FC" w:rsidRPr="00BD2FEE">
              <w:t xml:space="preserve"> </w:t>
            </w:r>
            <w:r w:rsidRPr="00BD2FEE">
              <w:t>998</w:t>
            </w:r>
          </w:p>
        </w:tc>
        <w:tc>
          <w:tcPr>
            <w:tcW w:w="250" w:type="pct"/>
            <w:hideMark/>
          </w:tcPr>
          <w:p w14:paraId="46EE913E" w14:textId="77777777" w:rsidR="00D219C1" w:rsidRPr="00BD2FEE" w:rsidRDefault="00D219C1" w:rsidP="00A14FE9">
            <w:pPr>
              <w:pStyle w:val="TableTextEntries"/>
              <w:rPr>
                <w:b/>
                <w:caps/>
                <w:color w:val="073771"/>
              </w:rPr>
            </w:pPr>
            <w:r w:rsidRPr="00BD2FEE">
              <w:t>2012</w:t>
            </w:r>
          </w:p>
        </w:tc>
        <w:tc>
          <w:tcPr>
            <w:tcW w:w="200" w:type="pct"/>
            <w:shd w:val="clear" w:color="auto" w:fill="92D050"/>
            <w:noWrap/>
            <w:hideMark/>
          </w:tcPr>
          <w:p w14:paraId="4946E18C" w14:textId="77777777" w:rsidR="00D219C1" w:rsidRPr="00BD2FEE" w:rsidRDefault="00D219C1">
            <w:pPr>
              <w:pStyle w:val="TableTextEntries"/>
              <w:jc w:val="center"/>
              <w:rPr>
                <w:b/>
                <w:caps/>
                <w:color w:val="073771"/>
              </w:rPr>
            </w:pPr>
            <w:r w:rsidRPr="00BD2FEE">
              <w:t>6</w:t>
            </w:r>
          </w:p>
        </w:tc>
        <w:tc>
          <w:tcPr>
            <w:tcW w:w="200" w:type="pct"/>
            <w:shd w:val="clear" w:color="auto" w:fill="FFFF00"/>
            <w:noWrap/>
            <w:hideMark/>
          </w:tcPr>
          <w:p w14:paraId="3F479286"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37CCF047" w14:textId="77777777" w:rsidR="00D219C1" w:rsidRPr="00BD2FEE" w:rsidRDefault="00D219C1">
            <w:pPr>
              <w:pStyle w:val="TableTextEntries"/>
              <w:jc w:val="center"/>
              <w:rPr>
                <w:b/>
                <w:caps/>
                <w:color w:val="073771"/>
              </w:rPr>
            </w:pPr>
            <w:r w:rsidRPr="00BD2FEE">
              <w:t>4</w:t>
            </w:r>
          </w:p>
        </w:tc>
        <w:tc>
          <w:tcPr>
            <w:tcW w:w="200" w:type="pct"/>
            <w:shd w:val="clear" w:color="auto" w:fill="FFFF00"/>
            <w:noWrap/>
            <w:hideMark/>
          </w:tcPr>
          <w:p w14:paraId="4C2AA637" w14:textId="77777777" w:rsidR="00D219C1" w:rsidRPr="00BD2FEE" w:rsidRDefault="00D219C1">
            <w:pPr>
              <w:pStyle w:val="TableTextEntries"/>
              <w:jc w:val="center"/>
              <w:rPr>
                <w:b/>
                <w:caps/>
                <w:color w:val="073771"/>
              </w:rPr>
            </w:pPr>
            <w:r w:rsidRPr="00BD2FEE">
              <w:t>4</w:t>
            </w:r>
          </w:p>
        </w:tc>
        <w:tc>
          <w:tcPr>
            <w:tcW w:w="200" w:type="pct"/>
            <w:shd w:val="clear" w:color="auto" w:fill="92D050"/>
            <w:noWrap/>
            <w:hideMark/>
          </w:tcPr>
          <w:p w14:paraId="1B375E54" w14:textId="77777777" w:rsidR="00D219C1" w:rsidRPr="00BD2FEE" w:rsidRDefault="00D219C1">
            <w:pPr>
              <w:pStyle w:val="TableTextEntries"/>
              <w:jc w:val="center"/>
              <w:rPr>
                <w:b/>
                <w:caps/>
                <w:color w:val="073771"/>
              </w:rPr>
            </w:pPr>
            <w:r w:rsidRPr="00BD2FEE">
              <w:t>5</w:t>
            </w:r>
          </w:p>
        </w:tc>
        <w:tc>
          <w:tcPr>
            <w:tcW w:w="200" w:type="pct"/>
            <w:shd w:val="clear" w:color="auto" w:fill="FFFF00"/>
            <w:noWrap/>
            <w:hideMark/>
          </w:tcPr>
          <w:p w14:paraId="362A87E5" w14:textId="77777777" w:rsidR="00D219C1" w:rsidRPr="00BD2FEE" w:rsidRDefault="00D219C1">
            <w:pPr>
              <w:pStyle w:val="TableTextEntries"/>
              <w:jc w:val="center"/>
              <w:rPr>
                <w:b/>
                <w:caps/>
                <w:color w:val="073771"/>
              </w:rPr>
            </w:pPr>
            <w:r w:rsidRPr="00BD2FEE">
              <w:t>4</w:t>
            </w:r>
          </w:p>
        </w:tc>
        <w:tc>
          <w:tcPr>
            <w:tcW w:w="200" w:type="pct"/>
            <w:shd w:val="clear" w:color="auto" w:fill="92D050"/>
            <w:noWrap/>
            <w:hideMark/>
          </w:tcPr>
          <w:p w14:paraId="18AC2BB1" w14:textId="77777777" w:rsidR="00D219C1" w:rsidRPr="00BD2FEE" w:rsidRDefault="00D219C1">
            <w:pPr>
              <w:pStyle w:val="TableTextEntries"/>
              <w:jc w:val="center"/>
              <w:rPr>
                <w:b/>
                <w:caps/>
                <w:color w:val="073771"/>
              </w:rPr>
            </w:pPr>
            <w:r w:rsidRPr="00BD2FEE">
              <w:t>M</w:t>
            </w:r>
          </w:p>
        </w:tc>
      </w:tr>
    </w:tbl>
    <w:p w14:paraId="00F58A50" w14:textId="77777777" w:rsidR="00FE4491" w:rsidRDefault="00FE4491" w:rsidP="004C65C6">
      <w:pPr>
        <w:pStyle w:val="Note"/>
      </w:pPr>
      <w:r>
        <w:t>Definitions of rating scale:</w:t>
      </w:r>
      <w:r>
        <w:tab/>
      </w:r>
    </w:p>
    <w:p w14:paraId="66C7C965" w14:textId="77777777" w:rsidR="00FE4491" w:rsidRDefault="00FE4491" w:rsidP="004C65C6">
      <w:pPr>
        <w:pStyle w:val="Note"/>
      </w:pPr>
      <w:r>
        <w:t>Satisfactory (4, 5 and 6)</w:t>
      </w:r>
    </w:p>
    <w:p w14:paraId="19861996" w14:textId="77777777" w:rsidR="00FE4491" w:rsidRDefault="00FE4491" w:rsidP="004C65C6">
      <w:pPr>
        <w:pStyle w:val="Note"/>
      </w:pPr>
      <w:r w:rsidRPr="00FE4491">
        <w:rPr>
          <w:color w:val="92D050"/>
        </w:rPr>
        <w:sym w:font="Webdings" w:char="F067"/>
      </w:r>
      <w:r>
        <w:t xml:space="preserve"> = 6 = Very high quality</w:t>
      </w:r>
    </w:p>
    <w:p w14:paraId="48905207" w14:textId="77777777" w:rsidR="00FE4491" w:rsidRDefault="00FE4491" w:rsidP="004C65C6">
      <w:pPr>
        <w:pStyle w:val="Note"/>
      </w:pPr>
      <w:r w:rsidRPr="00FE4491">
        <w:rPr>
          <w:color w:val="92D050"/>
        </w:rPr>
        <w:sym w:font="Webdings" w:char="F067"/>
      </w:r>
      <w:r>
        <w:t xml:space="preserve"> = 5 = Good quality</w:t>
      </w:r>
    </w:p>
    <w:p w14:paraId="63A7BBC5" w14:textId="77777777" w:rsidR="00FE4491" w:rsidRDefault="00FE4491" w:rsidP="004C65C6">
      <w:pPr>
        <w:pStyle w:val="Note"/>
      </w:pPr>
      <w:r w:rsidRPr="000774FD">
        <w:rPr>
          <w:color w:val="FFFF00"/>
        </w:rPr>
        <w:sym w:font="Webdings" w:char="F067"/>
      </w:r>
      <w:r>
        <w:t xml:space="preserve"> = 4 = Adequate quality, needs some work</w:t>
      </w:r>
    </w:p>
    <w:p w14:paraId="34DB5D9E" w14:textId="77777777" w:rsidR="00FE4491" w:rsidRDefault="00FE4491" w:rsidP="004C65C6">
      <w:pPr>
        <w:pStyle w:val="Note"/>
      </w:pPr>
      <w:r>
        <w:t>Less than satisfactory (1, 2 and 3)</w:t>
      </w:r>
    </w:p>
    <w:p w14:paraId="5EA34333" w14:textId="77777777" w:rsidR="00FE4491" w:rsidRDefault="00FE4491" w:rsidP="004C65C6">
      <w:pPr>
        <w:pStyle w:val="Note"/>
      </w:pPr>
      <w:r w:rsidRPr="00FD710F">
        <w:rPr>
          <w:color w:val="F79646"/>
        </w:rPr>
        <w:sym w:font="Webdings" w:char="F067"/>
      </w:r>
      <w:r>
        <w:t xml:space="preserve"> = 3 = Less than adequate quality; needs significant work</w:t>
      </w:r>
    </w:p>
    <w:p w14:paraId="3855DC56" w14:textId="77777777" w:rsidR="00FE4491" w:rsidRDefault="00FE4491" w:rsidP="004C65C6">
      <w:pPr>
        <w:pStyle w:val="Note"/>
      </w:pPr>
      <w:r w:rsidRPr="000774FD">
        <w:rPr>
          <w:color w:val="FF0000"/>
        </w:rPr>
        <w:sym w:font="Webdings" w:char="F067"/>
      </w:r>
      <w:r>
        <w:t xml:space="preserve"> = 2 = Poor quality; needs major work to improve</w:t>
      </w:r>
    </w:p>
    <w:p w14:paraId="50F29CCB" w14:textId="77777777" w:rsidR="00FE4491" w:rsidRDefault="00FE4491" w:rsidP="004C65C6">
      <w:pPr>
        <w:pStyle w:val="Note"/>
      </w:pPr>
      <w:r w:rsidRPr="000774FD">
        <w:rPr>
          <w:color w:val="FF0000"/>
        </w:rPr>
        <w:sym w:font="Webdings" w:char="F067"/>
      </w:r>
      <w:r>
        <w:t xml:space="preserve"> = 1 = Very poor quality; needs major overhaul</w:t>
      </w:r>
    </w:p>
    <w:p w14:paraId="0675F184" w14:textId="77777777" w:rsidR="00FE4491" w:rsidRDefault="00FE4491" w:rsidP="004C65C6">
      <w:pPr>
        <w:pStyle w:val="Note"/>
      </w:pPr>
    </w:p>
    <w:p w14:paraId="75BEF94A" w14:textId="77777777" w:rsidR="00FE4491" w:rsidRDefault="00FE4491" w:rsidP="004C65C6">
      <w:pPr>
        <w:pStyle w:val="Note"/>
      </w:pPr>
      <w:r>
        <w:t>Risk Management scale:</w:t>
      </w:r>
    </w:p>
    <w:p w14:paraId="3A6E8FC2" w14:textId="38306193" w:rsidR="00FE4491" w:rsidRDefault="00FE4491" w:rsidP="004C65C6">
      <w:pPr>
        <w:pStyle w:val="Note"/>
      </w:pPr>
      <w:r w:rsidRPr="00FE4491">
        <w:rPr>
          <w:color w:val="92D050"/>
        </w:rPr>
        <w:sym w:font="Webdings" w:char="F067"/>
      </w:r>
      <w:r w:rsidR="00DA0634">
        <w:t xml:space="preserve"> </w:t>
      </w:r>
      <w:r>
        <w:t>Mature (M). Indicates the initiative manager conducts risk discussions on at least a monthly basis with all stakeholders and updates the risk registry quarterly</w:t>
      </w:r>
      <w:r w:rsidR="00C65930">
        <w:t>.</w:t>
      </w:r>
      <w:r>
        <w:t xml:space="preserve"> </w:t>
      </w:r>
    </w:p>
    <w:p w14:paraId="3E8DD354" w14:textId="7A578DAF" w:rsidR="00FE4491" w:rsidRDefault="00FE4491" w:rsidP="004C65C6">
      <w:pPr>
        <w:pStyle w:val="Note"/>
      </w:pPr>
      <w:r w:rsidRPr="00FD710F">
        <w:rPr>
          <w:color w:val="F79646"/>
        </w:rPr>
        <w:sym w:font="Webdings" w:char="F067"/>
      </w:r>
      <w:r w:rsidR="00DA0634">
        <w:t xml:space="preserve"> </w:t>
      </w:r>
      <w:r>
        <w:t>Intermediate (I). Indicates the initiative manager conducts ad-hoc risk discussion and updates the risk register occasionally</w:t>
      </w:r>
      <w:r w:rsidR="00C65930">
        <w:t>.</w:t>
      </w:r>
      <w:r>
        <w:t xml:space="preserve"> </w:t>
      </w:r>
    </w:p>
    <w:p w14:paraId="61F10CCA" w14:textId="2DEB22BC" w:rsidR="00FE4491" w:rsidRDefault="00FE4491" w:rsidP="004C65C6">
      <w:pPr>
        <w:pStyle w:val="Note"/>
      </w:pPr>
      <w:r w:rsidRPr="000774FD">
        <w:rPr>
          <w:color w:val="FF0000"/>
        </w:rPr>
        <w:sym w:font="Webdings" w:char="F067"/>
      </w:r>
      <w:r w:rsidR="00DA0634">
        <w:t xml:space="preserve"> </w:t>
      </w:r>
      <w:r>
        <w:t>Basic (B). Indicates there are limited or few risk discussions and the risk register has not been updated in the past 12 months</w:t>
      </w:r>
      <w:r w:rsidR="00C65930">
        <w:t>.</w:t>
      </w:r>
    </w:p>
    <w:p w14:paraId="778481F6" w14:textId="77777777" w:rsidR="00071B95" w:rsidRDefault="00071B95" w:rsidP="00071B95"/>
    <w:p w14:paraId="317ABFBE" w14:textId="77777777" w:rsidR="00071B95" w:rsidRDefault="00071B95" w:rsidP="00071B95">
      <w:pPr>
        <w:sectPr w:rsidR="00071B95" w:rsidSect="00A14FE9">
          <w:headerReference w:type="default" r:id="rId16"/>
          <w:footerReference w:type="default" r:id="rId17"/>
          <w:headerReference w:type="first" r:id="rId18"/>
          <w:footerReference w:type="first" r:id="rId19"/>
          <w:pgSz w:w="16838" w:h="11906" w:orient="landscape" w:code="9"/>
          <w:pgMar w:top="1871" w:right="2268" w:bottom="1701" w:left="907" w:header="709" w:footer="425" w:gutter="0"/>
          <w:cols w:space="708"/>
          <w:docGrid w:linePitch="360"/>
        </w:sectPr>
      </w:pPr>
    </w:p>
    <w:p w14:paraId="4D1A9BC9" w14:textId="77777777" w:rsidR="00071B95" w:rsidRPr="00AE2781" w:rsidRDefault="00071B95" w:rsidP="00AE2781">
      <w:pPr>
        <w:pStyle w:val="Heading1"/>
      </w:pPr>
      <w:r w:rsidRPr="00AE2781">
        <w:lastRenderedPageBreak/>
        <w:t>Annex C</w:t>
      </w:r>
      <w:r w:rsidR="002911A4" w:rsidRPr="00AE2781">
        <w:t xml:space="preserve">: </w:t>
      </w:r>
      <w:r w:rsidRPr="00AE2781">
        <w:t xml:space="preserve">Evaluation and </w:t>
      </w:r>
      <w:r w:rsidR="000957FC" w:rsidRPr="00AE2781">
        <w:t>review pipeline planning</w:t>
      </w:r>
    </w:p>
    <w:p w14:paraId="313C8E72" w14:textId="77777777" w:rsidR="00071B95" w:rsidRPr="00071B95" w:rsidRDefault="00071B95" w:rsidP="00071B95">
      <w:pPr>
        <w:pStyle w:val="Caption"/>
      </w:pPr>
      <w:r w:rsidRPr="00071B95">
        <w:t xml:space="preserve">List of </w:t>
      </w:r>
      <w:r w:rsidR="000957FC">
        <w:t>e</w:t>
      </w:r>
      <w:r w:rsidR="000957FC" w:rsidRPr="00071B95">
        <w:t xml:space="preserve">valuations </w:t>
      </w:r>
      <w:r w:rsidRPr="00071B95">
        <w:t>completed</w:t>
      </w:r>
      <w:r w:rsidRPr="00071B95">
        <w:rPr>
          <w:vertAlign w:val="superscript"/>
        </w:rPr>
        <w:footnoteReference w:id="3"/>
      </w:r>
      <w:r w:rsidRPr="00071B95">
        <w:t xml:space="preserve"> in the reporting period </w:t>
      </w:r>
    </w:p>
    <w:tbl>
      <w:tblPr>
        <w:tblStyle w:val="APPR"/>
        <w:tblW w:w="5000" w:type="pct"/>
        <w:tblLook w:val="04A0" w:firstRow="1" w:lastRow="0" w:firstColumn="1" w:lastColumn="0" w:noHBand="0" w:noVBand="1"/>
      </w:tblPr>
      <w:tblGrid>
        <w:gridCol w:w="2051"/>
        <w:gridCol w:w="2056"/>
        <w:gridCol w:w="2170"/>
        <w:gridCol w:w="2083"/>
        <w:gridCol w:w="2051"/>
        <w:gridCol w:w="1887"/>
        <w:gridCol w:w="1637"/>
      </w:tblGrid>
      <w:tr w:rsidR="00071B95" w:rsidRPr="00071B95" w14:paraId="4C09EE40" w14:textId="77777777" w:rsidTr="00AE2781">
        <w:trPr>
          <w:cnfStyle w:val="100000000000" w:firstRow="1" w:lastRow="0" w:firstColumn="0" w:lastColumn="0" w:oddVBand="0" w:evenVBand="0" w:oddHBand="0" w:evenHBand="0" w:firstRowFirstColumn="0" w:firstRowLastColumn="0" w:lastRowFirstColumn="0" w:lastRowLastColumn="0"/>
        </w:trPr>
        <w:tc>
          <w:tcPr>
            <w:tcW w:w="2084" w:type="dxa"/>
          </w:tcPr>
          <w:p w14:paraId="7B316A5A" w14:textId="77777777" w:rsidR="00071B95" w:rsidRPr="00AE2781" w:rsidRDefault="00071B95" w:rsidP="00AE2781">
            <w:pPr>
              <w:pStyle w:val="TableTextColumnHeading"/>
              <w:rPr>
                <w:b/>
              </w:rPr>
            </w:pPr>
            <w:r w:rsidRPr="00AE2781">
              <w:rPr>
                <w:b/>
              </w:rPr>
              <w:t xml:space="preserve">Name of </w:t>
            </w:r>
            <w:r w:rsidR="000957FC" w:rsidRPr="00AE2781">
              <w:rPr>
                <w:b/>
              </w:rPr>
              <w:t>initiative</w:t>
            </w:r>
          </w:p>
        </w:tc>
        <w:tc>
          <w:tcPr>
            <w:tcW w:w="2119" w:type="dxa"/>
          </w:tcPr>
          <w:p w14:paraId="31C9EEB7" w14:textId="77777777" w:rsidR="00071B95" w:rsidRPr="00AE2781" w:rsidRDefault="00071B95" w:rsidP="00AE2781">
            <w:pPr>
              <w:pStyle w:val="TableTextColumnHeading"/>
              <w:rPr>
                <w:b/>
              </w:rPr>
            </w:pPr>
            <w:r w:rsidRPr="00AE2781">
              <w:rPr>
                <w:b/>
              </w:rPr>
              <w:t>Aidworks number</w:t>
            </w:r>
          </w:p>
        </w:tc>
        <w:tc>
          <w:tcPr>
            <w:tcW w:w="2227" w:type="dxa"/>
          </w:tcPr>
          <w:p w14:paraId="2AD7AB3D" w14:textId="77777777" w:rsidR="00071B95" w:rsidRPr="00AE2781" w:rsidRDefault="00071B95" w:rsidP="00AE2781">
            <w:pPr>
              <w:pStyle w:val="TableTextColumnHeading"/>
              <w:rPr>
                <w:b/>
              </w:rPr>
            </w:pPr>
            <w:r w:rsidRPr="00AE2781">
              <w:rPr>
                <w:b/>
              </w:rPr>
              <w:t>Type of evaluation</w:t>
            </w:r>
            <w:r w:rsidRPr="00AE2781">
              <w:rPr>
                <w:b/>
              </w:rPr>
              <w:footnoteReference w:id="4"/>
            </w:r>
          </w:p>
        </w:tc>
        <w:tc>
          <w:tcPr>
            <w:tcW w:w="2126" w:type="dxa"/>
          </w:tcPr>
          <w:p w14:paraId="2ED104F3" w14:textId="77777777" w:rsidR="00071B95" w:rsidRPr="00AE2781" w:rsidRDefault="00071B95" w:rsidP="00AE2781">
            <w:pPr>
              <w:pStyle w:val="TableTextColumnHeading"/>
              <w:rPr>
                <w:b/>
              </w:rPr>
            </w:pPr>
            <w:r w:rsidRPr="00AE2781">
              <w:rPr>
                <w:b/>
              </w:rPr>
              <w:t xml:space="preserve">Date </w:t>
            </w:r>
            <w:r w:rsidR="000957FC" w:rsidRPr="00AE2781">
              <w:rPr>
                <w:b/>
              </w:rPr>
              <w:t xml:space="preserve">evaluation </w:t>
            </w:r>
            <w:r w:rsidRPr="00AE2781">
              <w:rPr>
                <w:b/>
              </w:rPr>
              <w:t>report received</w:t>
            </w:r>
          </w:p>
        </w:tc>
        <w:tc>
          <w:tcPr>
            <w:tcW w:w="2106" w:type="dxa"/>
          </w:tcPr>
          <w:p w14:paraId="23B7A430" w14:textId="77777777" w:rsidR="00071B95" w:rsidRPr="00AE2781" w:rsidRDefault="00071B95" w:rsidP="00AE2781">
            <w:pPr>
              <w:pStyle w:val="TableTextColumnHeading"/>
              <w:rPr>
                <w:b/>
              </w:rPr>
            </w:pPr>
            <w:r w:rsidRPr="00AE2781">
              <w:rPr>
                <w:b/>
              </w:rPr>
              <w:t xml:space="preserve">Date </w:t>
            </w:r>
            <w:r w:rsidR="000957FC" w:rsidRPr="00AE2781">
              <w:rPr>
                <w:b/>
              </w:rPr>
              <w:t xml:space="preserve">evaluation </w:t>
            </w:r>
            <w:r w:rsidRPr="00AE2781">
              <w:rPr>
                <w:b/>
              </w:rPr>
              <w:t xml:space="preserve">report </w:t>
            </w:r>
            <w:r w:rsidR="000957FC" w:rsidRPr="00AE2781">
              <w:rPr>
                <w:b/>
              </w:rPr>
              <w:t xml:space="preserve">uploaded </w:t>
            </w:r>
            <w:r w:rsidRPr="00AE2781">
              <w:rPr>
                <w:b/>
              </w:rPr>
              <w:t>into Aidworks</w:t>
            </w:r>
          </w:p>
        </w:tc>
        <w:tc>
          <w:tcPr>
            <w:tcW w:w="1911" w:type="dxa"/>
          </w:tcPr>
          <w:p w14:paraId="57228AF8" w14:textId="77777777" w:rsidR="00071B95" w:rsidRPr="00AE2781" w:rsidRDefault="00071B95" w:rsidP="00AE2781">
            <w:pPr>
              <w:pStyle w:val="TableTextColumnHeading"/>
              <w:rPr>
                <w:b/>
              </w:rPr>
            </w:pPr>
            <w:r w:rsidRPr="00AE2781">
              <w:rPr>
                <w:b/>
              </w:rPr>
              <w:t xml:space="preserve">Date </w:t>
            </w:r>
            <w:r w:rsidR="000957FC" w:rsidRPr="00AE2781">
              <w:rPr>
                <w:b/>
              </w:rPr>
              <w:t xml:space="preserve">management </w:t>
            </w:r>
            <w:r w:rsidRPr="00AE2781">
              <w:rPr>
                <w:b/>
              </w:rPr>
              <w:t>response uploaded into Aidworks</w:t>
            </w:r>
          </w:p>
        </w:tc>
        <w:tc>
          <w:tcPr>
            <w:tcW w:w="1648" w:type="dxa"/>
          </w:tcPr>
          <w:p w14:paraId="633A3B83" w14:textId="77777777" w:rsidR="00071B95" w:rsidRPr="00AE2781" w:rsidRDefault="00071B95" w:rsidP="00AE2781">
            <w:pPr>
              <w:pStyle w:val="TableTextColumnHeading"/>
              <w:rPr>
                <w:b/>
              </w:rPr>
            </w:pPr>
            <w:r w:rsidRPr="00AE2781">
              <w:rPr>
                <w:b/>
              </w:rPr>
              <w:t>Published on website</w:t>
            </w:r>
          </w:p>
        </w:tc>
      </w:tr>
      <w:tr w:rsidR="00071B95" w:rsidRPr="00071B95" w14:paraId="4ED15EE8" w14:textId="77777777" w:rsidTr="00AE2781">
        <w:trPr>
          <w:cnfStyle w:val="100000000000" w:firstRow="1" w:lastRow="0" w:firstColumn="0" w:lastColumn="0" w:oddVBand="0" w:evenVBand="0" w:oddHBand="0" w:evenHBand="0" w:firstRowFirstColumn="0" w:firstRowLastColumn="0" w:lastRowFirstColumn="0" w:lastRowLastColumn="0"/>
        </w:trPr>
        <w:tc>
          <w:tcPr>
            <w:tcW w:w="2084" w:type="dxa"/>
          </w:tcPr>
          <w:p w14:paraId="3405E90A" w14:textId="77777777" w:rsidR="0003231A" w:rsidRPr="00AE2781" w:rsidRDefault="0003231A" w:rsidP="00AE2781">
            <w:pPr>
              <w:pStyle w:val="TableTextEntries"/>
              <w:rPr>
                <w:b w:val="0"/>
              </w:rPr>
            </w:pPr>
            <w:r w:rsidRPr="00AE2781">
              <w:rPr>
                <w:b w:val="0"/>
              </w:rPr>
              <w:t>Beyond WTO Phase II</w:t>
            </w:r>
          </w:p>
          <w:p w14:paraId="61C9EBAA" w14:textId="77777777" w:rsidR="0003231A" w:rsidRPr="00AE2781" w:rsidRDefault="0003231A" w:rsidP="00AE2781">
            <w:pPr>
              <w:pStyle w:val="TableTextEntries"/>
              <w:rPr>
                <w:b w:val="0"/>
              </w:rPr>
            </w:pPr>
          </w:p>
          <w:p w14:paraId="3BD61912" w14:textId="2D9F369E" w:rsidR="0003231A" w:rsidRPr="00AE2781" w:rsidRDefault="0003231A" w:rsidP="00AE2781">
            <w:pPr>
              <w:pStyle w:val="TableTextEntries"/>
              <w:rPr>
                <w:b w:val="0"/>
              </w:rPr>
            </w:pPr>
            <w:r w:rsidRPr="00AE2781">
              <w:rPr>
                <w:b w:val="0"/>
              </w:rPr>
              <w:t>SwimSafe Danang</w:t>
            </w:r>
            <w:r w:rsidR="0060117A" w:rsidRPr="00AE2781">
              <w:rPr>
                <w:b w:val="0"/>
              </w:rPr>
              <w:t xml:space="preserve"> </w:t>
            </w:r>
            <w:r w:rsidRPr="00AE2781">
              <w:rPr>
                <w:b w:val="0"/>
              </w:rPr>
              <w:t>Drowning Prevention</w:t>
            </w:r>
            <w:r w:rsidR="0060117A" w:rsidRPr="00AE2781">
              <w:rPr>
                <w:b w:val="0"/>
              </w:rPr>
              <w:t xml:space="preserve"> </w:t>
            </w:r>
            <w:r w:rsidRPr="00AE2781">
              <w:rPr>
                <w:b w:val="0"/>
              </w:rPr>
              <w:t>Program</w:t>
            </w:r>
          </w:p>
          <w:p w14:paraId="1F8C94DE" w14:textId="77777777" w:rsidR="0003231A" w:rsidRPr="00AE2781" w:rsidRDefault="0003231A" w:rsidP="00AE2781">
            <w:pPr>
              <w:pStyle w:val="TableTextEntries"/>
              <w:rPr>
                <w:b w:val="0"/>
              </w:rPr>
            </w:pPr>
          </w:p>
          <w:p w14:paraId="6F37CD81" w14:textId="77777777" w:rsidR="00071B95" w:rsidRPr="00AE2781" w:rsidRDefault="0062598A" w:rsidP="00AE2781">
            <w:pPr>
              <w:pStyle w:val="TableTextEntries"/>
              <w:rPr>
                <w:b w:val="0"/>
              </w:rPr>
            </w:pPr>
            <w:r w:rsidRPr="00AE2781">
              <w:rPr>
                <w:b w:val="0"/>
              </w:rPr>
              <w:t>Climate Change and Coastal Ecosystems Program</w:t>
            </w:r>
          </w:p>
        </w:tc>
        <w:tc>
          <w:tcPr>
            <w:tcW w:w="2119" w:type="dxa"/>
          </w:tcPr>
          <w:p w14:paraId="4AD3CB4B" w14:textId="77777777" w:rsidR="0003231A" w:rsidRPr="00AE2781" w:rsidRDefault="0003231A" w:rsidP="00AE2781">
            <w:pPr>
              <w:pStyle w:val="TableTextEntries"/>
              <w:rPr>
                <w:b w:val="0"/>
              </w:rPr>
            </w:pPr>
            <w:r w:rsidRPr="00AE2781">
              <w:rPr>
                <w:b w:val="0"/>
              </w:rPr>
              <w:t>INI491</w:t>
            </w:r>
          </w:p>
          <w:p w14:paraId="3A2AD8C9" w14:textId="77777777" w:rsidR="0003231A" w:rsidRPr="00AE2781" w:rsidRDefault="0003231A" w:rsidP="00AE2781">
            <w:pPr>
              <w:pStyle w:val="TableTextEntries"/>
              <w:rPr>
                <w:b w:val="0"/>
              </w:rPr>
            </w:pPr>
          </w:p>
          <w:p w14:paraId="18CB5703" w14:textId="77777777" w:rsidR="0003231A" w:rsidRPr="00AE2781" w:rsidRDefault="0003231A" w:rsidP="00AE2781">
            <w:pPr>
              <w:pStyle w:val="TableTextEntries"/>
              <w:rPr>
                <w:b w:val="0"/>
              </w:rPr>
            </w:pPr>
            <w:r w:rsidRPr="00AE2781">
              <w:rPr>
                <w:b w:val="0"/>
              </w:rPr>
              <w:t>INJ239</w:t>
            </w:r>
          </w:p>
          <w:p w14:paraId="4BD5C636" w14:textId="77777777" w:rsidR="0003231A" w:rsidRPr="00AE2781" w:rsidRDefault="0003231A" w:rsidP="00AE2781">
            <w:pPr>
              <w:pStyle w:val="TableTextEntries"/>
              <w:rPr>
                <w:b w:val="0"/>
              </w:rPr>
            </w:pPr>
          </w:p>
          <w:p w14:paraId="6321E154" w14:textId="77777777" w:rsidR="0003231A" w:rsidRPr="00AE2781" w:rsidRDefault="0003231A" w:rsidP="00AE2781">
            <w:pPr>
              <w:pStyle w:val="TableTextEntries"/>
              <w:rPr>
                <w:b w:val="0"/>
              </w:rPr>
            </w:pPr>
          </w:p>
          <w:p w14:paraId="25CE39F2" w14:textId="77777777" w:rsidR="0003231A" w:rsidRPr="00AE2781" w:rsidRDefault="0003231A" w:rsidP="00AE2781">
            <w:pPr>
              <w:pStyle w:val="TableTextEntries"/>
              <w:rPr>
                <w:b w:val="0"/>
              </w:rPr>
            </w:pPr>
          </w:p>
          <w:p w14:paraId="7391B800" w14:textId="77777777" w:rsidR="00071B95" w:rsidRPr="00AE2781" w:rsidRDefault="0062598A" w:rsidP="00AE2781">
            <w:pPr>
              <w:pStyle w:val="TableTextEntries"/>
              <w:rPr>
                <w:b w:val="0"/>
              </w:rPr>
            </w:pPr>
            <w:r w:rsidRPr="00AE2781">
              <w:rPr>
                <w:b w:val="0"/>
              </w:rPr>
              <w:t>INJ577</w:t>
            </w:r>
          </w:p>
        </w:tc>
        <w:tc>
          <w:tcPr>
            <w:tcW w:w="2227" w:type="dxa"/>
          </w:tcPr>
          <w:p w14:paraId="384CD5F5" w14:textId="77777777" w:rsidR="0003231A" w:rsidRPr="00AE2781" w:rsidRDefault="0003231A" w:rsidP="00AE2781">
            <w:pPr>
              <w:pStyle w:val="TableTextEntries"/>
              <w:rPr>
                <w:b w:val="0"/>
              </w:rPr>
            </w:pPr>
            <w:r w:rsidRPr="00AE2781">
              <w:rPr>
                <w:b w:val="0"/>
              </w:rPr>
              <w:t>Mid-term review</w:t>
            </w:r>
          </w:p>
          <w:p w14:paraId="76B8D884" w14:textId="77777777" w:rsidR="0003231A" w:rsidRPr="00AE2781" w:rsidRDefault="0003231A" w:rsidP="00AE2781">
            <w:pPr>
              <w:pStyle w:val="TableTextEntries"/>
              <w:rPr>
                <w:b w:val="0"/>
              </w:rPr>
            </w:pPr>
          </w:p>
          <w:p w14:paraId="2C5728DB" w14:textId="77777777" w:rsidR="0003231A" w:rsidRPr="00AE2781" w:rsidRDefault="0003231A" w:rsidP="00AE2781">
            <w:pPr>
              <w:pStyle w:val="TableTextEntries"/>
              <w:rPr>
                <w:b w:val="0"/>
              </w:rPr>
            </w:pPr>
          </w:p>
          <w:p w14:paraId="26C7186D" w14:textId="77777777" w:rsidR="0003231A" w:rsidRPr="00AE2781" w:rsidRDefault="0003231A" w:rsidP="00AE2781">
            <w:pPr>
              <w:pStyle w:val="TableTextEntries"/>
              <w:rPr>
                <w:b w:val="0"/>
              </w:rPr>
            </w:pPr>
          </w:p>
          <w:p w14:paraId="3F00D049" w14:textId="77777777" w:rsidR="0003231A" w:rsidRPr="00AE2781" w:rsidRDefault="0003231A" w:rsidP="00AE2781">
            <w:pPr>
              <w:pStyle w:val="TableTextEntries"/>
              <w:rPr>
                <w:b w:val="0"/>
              </w:rPr>
            </w:pPr>
          </w:p>
          <w:p w14:paraId="1D434D53" w14:textId="77777777" w:rsidR="0003231A" w:rsidRPr="00AE2781" w:rsidRDefault="0003231A" w:rsidP="00AE2781">
            <w:pPr>
              <w:pStyle w:val="TableTextEntries"/>
              <w:rPr>
                <w:b w:val="0"/>
              </w:rPr>
            </w:pPr>
          </w:p>
          <w:p w14:paraId="39FA2399" w14:textId="77777777" w:rsidR="00071B95" w:rsidRPr="00AE2781" w:rsidRDefault="0062598A" w:rsidP="00AE2781">
            <w:pPr>
              <w:pStyle w:val="TableTextEntries"/>
              <w:rPr>
                <w:b w:val="0"/>
              </w:rPr>
            </w:pPr>
            <w:r w:rsidRPr="00AE2781">
              <w:rPr>
                <w:b w:val="0"/>
              </w:rPr>
              <w:t xml:space="preserve">Joint </w:t>
            </w:r>
            <w:r w:rsidR="000957FC" w:rsidRPr="00AE2781">
              <w:rPr>
                <w:b w:val="0"/>
              </w:rPr>
              <w:t>progress review</w:t>
            </w:r>
          </w:p>
        </w:tc>
        <w:tc>
          <w:tcPr>
            <w:tcW w:w="2126" w:type="dxa"/>
          </w:tcPr>
          <w:p w14:paraId="4C347222" w14:textId="77777777" w:rsidR="0003231A" w:rsidRPr="00AE2781" w:rsidRDefault="00106BDC" w:rsidP="00AE2781">
            <w:pPr>
              <w:pStyle w:val="TableTextEntries"/>
              <w:rPr>
                <w:b w:val="0"/>
              </w:rPr>
            </w:pPr>
            <w:r w:rsidRPr="00AE2781">
              <w:rPr>
                <w:b w:val="0"/>
              </w:rPr>
              <w:t>27/08/2012</w:t>
            </w:r>
          </w:p>
          <w:p w14:paraId="130B5C1E" w14:textId="77777777" w:rsidR="0003231A" w:rsidRPr="00AE2781" w:rsidRDefault="0003231A" w:rsidP="00AE2781">
            <w:pPr>
              <w:pStyle w:val="TableTextEntries"/>
              <w:rPr>
                <w:b w:val="0"/>
              </w:rPr>
            </w:pPr>
          </w:p>
          <w:p w14:paraId="35D9B59A" w14:textId="77777777" w:rsidR="0003231A" w:rsidRPr="00AE2781" w:rsidRDefault="0003231A" w:rsidP="00AE2781">
            <w:pPr>
              <w:pStyle w:val="TableTextEntries"/>
              <w:rPr>
                <w:b w:val="0"/>
              </w:rPr>
            </w:pPr>
          </w:p>
          <w:p w14:paraId="7C18B274" w14:textId="77777777" w:rsidR="0003231A" w:rsidRPr="00AE2781" w:rsidRDefault="0003231A" w:rsidP="00AE2781">
            <w:pPr>
              <w:pStyle w:val="TableTextEntries"/>
              <w:rPr>
                <w:b w:val="0"/>
              </w:rPr>
            </w:pPr>
          </w:p>
          <w:p w14:paraId="5A83005A" w14:textId="77777777" w:rsidR="0003231A" w:rsidRPr="00AE2781" w:rsidRDefault="0003231A" w:rsidP="00AE2781">
            <w:pPr>
              <w:pStyle w:val="TableTextEntries"/>
              <w:rPr>
                <w:b w:val="0"/>
              </w:rPr>
            </w:pPr>
          </w:p>
          <w:p w14:paraId="6EB17268" w14:textId="77777777" w:rsidR="0003231A" w:rsidRPr="00AE2781" w:rsidRDefault="0003231A" w:rsidP="00AE2781">
            <w:pPr>
              <w:pStyle w:val="TableTextEntries"/>
              <w:rPr>
                <w:b w:val="0"/>
              </w:rPr>
            </w:pPr>
          </w:p>
          <w:p w14:paraId="287EE755" w14:textId="77777777" w:rsidR="00071B95" w:rsidRPr="00AE2781" w:rsidRDefault="0062598A" w:rsidP="00AE2781">
            <w:pPr>
              <w:pStyle w:val="TableTextEntries"/>
              <w:rPr>
                <w:b w:val="0"/>
              </w:rPr>
            </w:pPr>
            <w:r w:rsidRPr="00AE2781">
              <w:rPr>
                <w:b w:val="0"/>
              </w:rPr>
              <w:t>June 2013</w:t>
            </w:r>
          </w:p>
        </w:tc>
        <w:tc>
          <w:tcPr>
            <w:tcW w:w="2106" w:type="dxa"/>
          </w:tcPr>
          <w:p w14:paraId="277D82EB" w14:textId="77777777" w:rsidR="0003231A" w:rsidRPr="00AE2781" w:rsidRDefault="00106BDC" w:rsidP="00AE2781">
            <w:pPr>
              <w:pStyle w:val="TableTextEntries"/>
              <w:rPr>
                <w:b w:val="0"/>
              </w:rPr>
            </w:pPr>
            <w:r w:rsidRPr="00AE2781">
              <w:rPr>
                <w:b w:val="0"/>
              </w:rPr>
              <w:t>June 2013</w:t>
            </w:r>
          </w:p>
          <w:p w14:paraId="15143F73" w14:textId="77777777" w:rsidR="0003231A" w:rsidRPr="00AE2781" w:rsidRDefault="0003231A" w:rsidP="00AE2781">
            <w:pPr>
              <w:pStyle w:val="TableTextEntries"/>
              <w:rPr>
                <w:b w:val="0"/>
              </w:rPr>
            </w:pPr>
          </w:p>
          <w:p w14:paraId="44D2DC98" w14:textId="77777777" w:rsidR="0003231A" w:rsidRPr="00AE2781" w:rsidRDefault="0003231A" w:rsidP="00AE2781">
            <w:pPr>
              <w:pStyle w:val="TableTextEntries"/>
              <w:rPr>
                <w:b w:val="0"/>
              </w:rPr>
            </w:pPr>
            <w:r w:rsidRPr="00AE2781">
              <w:rPr>
                <w:b w:val="0"/>
              </w:rPr>
              <w:t>June 2013</w:t>
            </w:r>
          </w:p>
          <w:p w14:paraId="68658770" w14:textId="77777777" w:rsidR="0003231A" w:rsidRPr="00AE2781" w:rsidRDefault="0003231A" w:rsidP="00AE2781">
            <w:pPr>
              <w:pStyle w:val="TableTextEntries"/>
              <w:rPr>
                <w:b w:val="0"/>
              </w:rPr>
            </w:pPr>
          </w:p>
          <w:p w14:paraId="1A09B3D3" w14:textId="77777777" w:rsidR="0003231A" w:rsidRPr="00AE2781" w:rsidRDefault="0003231A" w:rsidP="00AE2781">
            <w:pPr>
              <w:pStyle w:val="TableTextEntries"/>
              <w:rPr>
                <w:b w:val="0"/>
              </w:rPr>
            </w:pPr>
          </w:p>
          <w:p w14:paraId="01445ADB" w14:textId="77777777" w:rsidR="0003231A" w:rsidRPr="00AE2781" w:rsidRDefault="0003231A" w:rsidP="00AE2781">
            <w:pPr>
              <w:pStyle w:val="TableTextEntries"/>
              <w:rPr>
                <w:b w:val="0"/>
              </w:rPr>
            </w:pPr>
          </w:p>
          <w:p w14:paraId="365E35B0" w14:textId="77777777" w:rsidR="00071B95" w:rsidRPr="00AE2781" w:rsidRDefault="0062598A" w:rsidP="00AE2781">
            <w:pPr>
              <w:pStyle w:val="TableTextEntries"/>
              <w:rPr>
                <w:b w:val="0"/>
              </w:rPr>
            </w:pPr>
            <w:r w:rsidRPr="00AE2781">
              <w:rPr>
                <w:b w:val="0"/>
              </w:rPr>
              <w:t>Pending</w:t>
            </w:r>
          </w:p>
        </w:tc>
        <w:tc>
          <w:tcPr>
            <w:tcW w:w="1911" w:type="dxa"/>
          </w:tcPr>
          <w:p w14:paraId="573E6845" w14:textId="77777777" w:rsidR="0003231A" w:rsidRPr="00AE2781" w:rsidRDefault="00106BDC" w:rsidP="00AE2781">
            <w:pPr>
              <w:pStyle w:val="TableTextEntries"/>
              <w:rPr>
                <w:b w:val="0"/>
              </w:rPr>
            </w:pPr>
            <w:r w:rsidRPr="00AE2781">
              <w:rPr>
                <w:b w:val="0"/>
              </w:rPr>
              <w:t>June 2013</w:t>
            </w:r>
          </w:p>
          <w:p w14:paraId="10330160" w14:textId="77777777" w:rsidR="0003231A" w:rsidRPr="00AE2781" w:rsidRDefault="0003231A" w:rsidP="00AE2781">
            <w:pPr>
              <w:pStyle w:val="TableTextEntries"/>
              <w:rPr>
                <w:b w:val="0"/>
              </w:rPr>
            </w:pPr>
          </w:p>
          <w:p w14:paraId="0FC87F58" w14:textId="77777777" w:rsidR="0003231A" w:rsidRPr="00AE2781" w:rsidRDefault="0003231A" w:rsidP="00AE2781">
            <w:pPr>
              <w:pStyle w:val="TableTextEntries"/>
              <w:rPr>
                <w:b w:val="0"/>
              </w:rPr>
            </w:pPr>
            <w:r w:rsidRPr="00AE2781">
              <w:rPr>
                <w:b w:val="0"/>
              </w:rPr>
              <w:t>N/A</w:t>
            </w:r>
          </w:p>
          <w:p w14:paraId="19CA00AD" w14:textId="77777777" w:rsidR="0003231A" w:rsidRPr="00AE2781" w:rsidRDefault="0003231A" w:rsidP="00AE2781">
            <w:pPr>
              <w:pStyle w:val="TableTextEntries"/>
              <w:rPr>
                <w:b w:val="0"/>
              </w:rPr>
            </w:pPr>
          </w:p>
          <w:p w14:paraId="7588BF0B" w14:textId="77777777" w:rsidR="0003231A" w:rsidRPr="00AE2781" w:rsidRDefault="0003231A" w:rsidP="00AE2781">
            <w:pPr>
              <w:pStyle w:val="TableTextEntries"/>
              <w:rPr>
                <w:b w:val="0"/>
              </w:rPr>
            </w:pPr>
          </w:p>
          <w:p w14:paraId="1A15ECCE" w14:textId="77777777" w:rsidR="0003231A" w:rsidRPr="00AE2781" w:rsidRDefault="0003231A" w:rsidP="00AE2781">
            <w:pPr>
              <w:pStyle w:val="TableTextEntries"/>
              <w:rPr>
                <w:b w:val="0"/>
              </w:rPr>
            </w:pPr>
          </w:p>
          <w:p w14:paraId="562A4C36" w14:textId="77777777" w:rsidR="00071B95" w:rsidRPr="00AE2781" w:rsidRDefault="0062598A" w:rsidP="00AE2781">
            <w:pPr>
              <w:pStyle w:val="TableTextEntries"/>
              <w:rPr>
                <w:b w:val="0"/>
              </w:rPr>
            </w:pPr>
            <w:r w:rsidRPr="00AE2781">
              <w:rPr>
                <w:b w:val="0"/>
              </w:rPr>
              <w:t>Pending</w:t>
            </w:r>
          </w:p>
        </w:tc>
        <w:tc>
          <w:tcPr>
            <w:tcW w:w="1648" w:type="dxa"/>
          </w:tcPr>
          <w:p w14:paraId="2FBAA85B" w14:textId="77777777" w:rsidR="0003231A" w:rsidRPr="00AE2781" w:rsidRDefault="0003231A" w:rsidP="00AE2781">
            <w:pPr>
              <w:pStyle w:val="TableTextEntries"/>
              <w:rPr>
                <w:b w:val="0"/>
              </w:rPr>
            </w:pPr>
            <w:r w:rsidRPr="00AE2781">
              <w:rPr>
                <w:b w:val="0"/>
              </w:rPr>
              <w:t>Pending</w:t>
            </w:r>
          </w:p>
          <w:p w14:paraId="26D984C0" w14:textId="77777777" w:rsidR="0003231A" w:rsidRPr="00AE2781" w:rsidRDefault="0003231A" w:rsidP="00AE2781">
            <w:pPr>
              <w:pStyle w:val="TableTextEntries"/>
              <w:rPr>
                <w:b w:val="0"/>
              </w:rPr>
            </w:pPr>
          </w:p>
          <w:p w14:paraId="01C67D7D" w14:textId="77777777" w:rsidR="0003231A" w:rsidRPr="00AE2781" w:rsidRDefault="0003231A" w:rsidP="00AE2781">
            <w:pPr>
              <w:pStyle w:val="TableTextEntries"/>
              <w:rPr>
                <w:b w:val="0"/>
              </w:rPr>
            </w:pPr>
            <w:r w:rsidRPr="00AE2781">
              <w:rPr>
                <w:b w:val="0"/>
              </w:rPr>
              <w:t>Pending</w:t>
            </w:r>
          </w:p>
          <w:p w14:paraId="36C8DFAE" w14:textId="77777777" w:rsidR="0003231A" w:rsidRPr="00AE2781" w:rsidRDefault="0003231A" w:rsidP="00AE2781">
            <w:pPr>
              <w:pStyle w:val="TableTextEntries"/>
              <w:rPr>
                <w:b w:val="0"/>
              </w:rPr>
            </w:pPr>
          </w:p>
          <w:p w14:paraId="5339E3B0" w14:textId="77777777" w:rsidR="0003231A" w:rsidRPr="00AE2781" w:rsidRDefault="0003231A" w:rsidP="00AE2781">
            <w:pPr>
              <w:pStyle w:val="TableTextEntries"/>
              <w:rPr>
                <w:b w:val="0"/>
              </w:rPr>
            </w:pPr>
          </w:p>
          <w:p w14:paraId="6EE0C0BC" w14:textId="77777777" w:rsidR="0003231A" w:rsidRPr="00AE2781" w:rsidRDefault="0003231A" w:rsidP="00AE2781">
            <w:pPr>
              <w:pStyle w:val="TableTextEntries"/>
              <w:rPr>
                <w:b w:val="0"/>
              </w:rPr>
            </w:pPr>
          </w:p>
          <w:p w14:paraId="3F4ED86B" w14:textId="77777777" w:rsidR="00071B95" w:rsidRPr="00AE2781" w:rsidRDefault="0062598A" w:rsidP="00AE2781">
            <w:pPr>
              <w:pStyle w:val="TableTextEntries"/>
              <w:rPr>
                <w:b w:val="0"/>
              </w:rPr>
            </w:pPr>
            <w:r w:rsidRPr="00AE2781">
              <w:rPr>
                <w:b w:val="0"/>
              </w:rPr>
              <w:t>Pending</w:t>
            </w:r>
          </w:p>
        </w:tc>
      </w:tr>
    </w:tbl>
    <w:p w14:paraId="4B3B4189" w14:textId="2996E54D" w:rsidR="00AA5E1B" w:rsidRDefault="00AA5E1B"/>
    <w:p w14:paraId="10151397" w14:textId="77777777" w:rsidR="00071B95" w:rsidRPr="00071B95" w:rsidRDefault="00071B95" w:rsidP="00071B95">
      <w:pPr>
        <w:rPr>
          <w:b/>
        </w:rPr>
      </w:pPr>
    </w:p>
    <w:p w14:paraId="139D4EF7" w14:textId="77777777" w:rsidR="00071B95" w:rsidRPr="00071B95" w:rsidRDefault="00071B95" w:rsidP="00071B95">
      <w:pPr>
        <w:pStyle w:val="Caption"/>
      </w:pPr>
      <w:r w:rsidRPr="00071B95">
        <w:t xml:space="preserve">List of evaluations planned in the next 12 months </w:t>
      </w:r>
    </w:p>
    <w:tbl>
      <w:tblPr>
        <w:tblStyle w:val="APPR"/>
        <w:tblW w:w="5000" w:type="pct"/>
        <w:tblLook w:val="0600" w:firstRow="0" w:lastRow="0" w:firstColumn="0" w:lastColumn="0" w:noHBand="1" w:noVBand="1"/>
      </w:tblPr>
      <w:tblGrid>
        <w:gridCol w:w="2804"/>
        <w:gridCol w:w="2709"/>
        <w:gridCol w:w="2799"/>
        <w:gridCol w:w="2802"/>
        <w:gridCol w:w="2821"/>
      </w:tblGrid>
      <w:tr w:rsidR="00071B95" w:rsidRPr="00071B95" w14:paraId="5CC88C03" w14:textId="77777777" w:rsidTr="00AE2781">
        <w:tc>
          <w:tcPr>
            <w:tcW w:w="2862" w:type="dxa"/>
          </w:tcPr>
          <w:p w14:paraId="14EB1BAC" w14:textId="77777777" w:rsidR="00071B95" w:rsidRPr="00071B95" w:rsidRDefault="00071B95" w:rsidP="00B03FB1">
            <w:pPr>
              <w:pStyle w:val="TableTextColumnHeading"/>
            </w:pPr>
            <w:r w:rsidRPr="00071B95">
              <w:t xml:space="preserve">Name of </w:t>
            </w:r>
            <w:r w:rsidR="000957FC">
              <w:t>i</w:t>
            </w:r>
            <w:r w:rsidR="000957FC" w:rsidRPr="00071B95">
              <w:t>nitiative</w:t>
            </w:r>
          </w:p>
        </w:tc>
        <w:tc>
          <w:tcPr>
            <w:tcW w:w="2785" w:type="dxa"/>
          </w:tcPr>
          <w:p w14:paraId="1A9142F8" w14:textId="77777777" w:rsidR="00071B95" w:rsidRPr="00071B95" w:rsidRDefault="00071B95" w:rsidP="00B03FB1">
            <w:pPr>
              <w:pStyle w:val="TableTextColumnHeading"/>
            </w:pPr>
            <w:r w:rsidRPr="00071B95">
              <w:t>Aidworks number</w:t>
            </w:r>
          </w:p>
        </w:tc>
        <w:tc>
          <w:tcPr>
            <w:tcW w:w="2875" w:type="dxa"/>
          </w:tcPr>
          <w:p w14:paraId="51C2E162" w14:textId="77777777" w:rsidR="00071B95" w:rsidRPr="00071B95" w:rsidRDefault="00071B95" w:rsidP="00B03FB1">
            <w:pPr>
              <w:pStyle w:val="TableTextColumnHeading"/>
            </w:pPr>
            <w:r w:rsidRPr="00071B95">
              <w:t>Type of evaluation</w:t>
            </w:r>
          </w:p>
        </w:tc>
        <w:tc>
          <w:tcPr>
            <w:tcW w:w="2875" w:type="dxa"/>
          </w:tcPr>
          <w:p w14:paraId="3C4D5CC5" w14:textId="77777777" w:rsidR="00071B95" w:rsidRPr="00071B95" w:rsidRDefault="00071B95" w:rsidP="00B03FB1">
            <w:pPr>
              <w:pStyle w:val="TableTextColumnHeading"/>
            </w:pPr>
            <w:r w:rsidRPr="00071B95">
              <w:t>Purpose of evaluation</w:t>
            </w:r>
            <w:r w:rsidRPr="00071B95">
              <w:rPr>
                <w:vertAlign w:val="superscript"/>
              </w:rPr>
              <w:footnoteReference w:id="5"/>
            </w:r>
          </w:p>
        </w:tc>
        <w:tc>
          <w:tcPr>
            <w:tcW w:w="2880" w:type="dxa"/>
          </w:tcPr>
          <w:p w14:paraId="7EECC82E" w14:textId="77777777" w:rsidR="00071B95" w:rsidRPr="00071B95" w:rsidRDefault="00071B95" w:rsidP="00B03FB1">
            <w:pPr>
              <w:pStyle w:val="TableTextColumnHeading"/>
            </w:pPr>
            <w:r w:rsidRPr="00071B95">
              <w:t>Expected completion date</w:t>
            </w:r>
          </w:p>
        </w:tc>
      </w:tr>
      <w:tr w:rsidR="00071B95" w:rsidRPr="00071B95" w14:paraId="73370CA0" w14:textId="77777777" w:rsidTr="00AE2781">
        <w:tc>
          <w:tcPr>
            <w:tcW w:w="2862" w:type="dxa"/>
          </w:tcPr>
          <w:p w14:paraId="3F3897AE" w14:textId="77777777" w:rsidR="00071B95" w:rsidRPr="00AE2781" w:rsidRDefault="002B31B3" w:rsidP="00AE2781">
            <w:pPr>
              <w:pStyle w:val="TableTextEntries"/>
            </w:pPr>
            <w:r w:rsidRPr="00AE2781">
              <w:t>Vietnam Climate Change NGO Partnership</w:t>
            </w:r>
          </w:p>
        </w:tc>
        <w:tc>
          <w:tcPr>
            <w:tcW w:w="2785" w:type="dxa"/>
          </w:tcPr>
          <w:p w14:paraId="791FBAEF" w14:textId="77777777" w:rsidR="00071B95" w:rsidRPr="00AE2781" w:rsidRDefault="002B31B3" w:rsidP="00AE2781">
            <w:pPr>
              <w:pStyle w:val="TableTextEntries"/>
            </w:pPr>
            <w:r w:rsidRPr="00AE2781">
              <w:t>INK473</w:t>
            </w:r>
          </w:p>
        </w:tc>
        <w:tc>
          <w:tcPr>
            <w:tcW w:w="2875" w:type="dxa"/>
          </w:tcPr>
          <w:p w14:paraId="51536307" w14:textId="77777777" w:rsidR="00071B95" w:rsidRPr="00AE2781" w:rsidRDefault="002B31B3" w:rsidP="00AE2781">
            <w:pPr>
              <w:pStyle w:val="TableTextEntries"/>
            </w:pPr>
            <w:r w:rsidRPr="00AE2781">
              <w:t>Mid-term review</w:t>
            </w:r>
          </w:p>
        </w:tc>
        <w:tc>
          <w:tcPr>
            <w:tcW w:w="2875" w:type="dxa"/>
          </w:tcPr>
          <w:p w14:paraId="070AD54B" w14:textId="3608DE3D" w:rsidR="00071B95" w:rsidRPr="00AE2781" w:rsidRDefault="002B31B3" w:rsidP="00AE2781">
            <w:pPr>
              <w:pStyle w:val="TableTextEntries"/>
            </w:pPr>
            <w:r w:rsidRPr="00AE2781">
              <w:t>To inform the potential extension of projects beyond Dec</w:t>
            </w:r>
            <w:r w:rsidR="000957FC" w:rsidRPr="00AE2781">
              <w:t>ember</w:t>
            </w:r>
            <w:r w:rsidRPr="00AE2781">
              <w:t xml:space="preserve"> 2014</w:t>
            </w:r>
          </w:p>
        </w:tc>
        <w:tc>
          <w:tcPr>
            <w:tcW w:w="2880" w:type="dxa"/>
          </w:tcPr>
          <w:p w14:paraId="45A5583E" w14:textId="3C3660BD" w:rsidR="00071B95" w:rsidRPr="00AE2781" w:rsidRDefault="002B31B3" w:rsidP="00AE2781">
            <w:pPr>
              <w:pStyle w:val="TableTextEntries"/>
            </w:pPr>
            <w:r w:rsidRPr="00AE2781">
              <w:t>June 2014</w:t>
            </w:r>
          </w:p>
        </w:tc>
      </w:tr>
    </w:tbl>
    <w:p w14:paraId="21EC489E" w14:textId="77777777" w:rsidR="00F77E6A" w:rsidRDefault="00F77E6A" w:rsidP="00071B95">
      <w:pPr>
        <w:rPr>
          <w:b/>
        </w:rPr>
        <w:sectPr w:rsidR="00F77E6A" w:rsidSect="00A14FE9">
          <w:headerReference w:type="first" r:id="rId20"/>
          <w:pgSz w:w="16838" w:h="11906" w:orient="landscape" w:code="9"/>
          <w:pgMar w:top="1871" w:right="2268" w:bottom="1701" w:left="907" w:header="709" w:footer="425" w:gutter="0"/>
          <w:cols w:space="708"/>
          <w:titlePg/>
          <w:docGrid w:linePitch="360"/>
        </w:sectPr>
      </w:pPr>
    </w:p>
    <w:p w14:paraId="00AA9DDC" w14:textId="5588E6E2" w:rsidR="00F77E6A" w:rsidRPr="007B6F81" w:rsidRDefault="00F77E6A" w:rsidP="007B6F81">
      <w:pPr>
        <w:pStyle w:val="Heading1"/>
      </w:pPr>
      <w:r w:rsidRPr="007B6F81">
        <w:lastRenderedPageBreak/>
        <w:t>Annex D</w:t>
      </w:r>
      <w:r w:rsidR="002911A4" w:rsidRPr="007B6F81">
        <w:t xml:space="preserve">: </w:t>
      </w:r>
      <w:r w:rsidR="00D5255B">
        <w:t>R</w:t>
      </w:r>
      <w:r w:rsidR="000957FC" w:rsidRPr="007B6F81">
        <w:t>esults summary: country/regional program</w:t>
      </w:r>
    </w:p>
    <w:tbl>
      <w:tblPr>
        <w:tblStyle w:val="TableGrid"/>
        <w:tblW w:w="5000" w:type="pct"/>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1001"/>
        <w:gridCol w:w="3264"/>
        <w:gridCol w:w="4157"/>
        <w:gridCol w:w="2901"/>
      </w:tblGrid>
      <w:tr w:rsidR="00A123C7" w:rsidRPr="00B03FB1" w14:paraId="09E17F0E" w14:textId="77777777" w:rsidTr="007B6F81">
        <w:trPr>
          <w:trHeight w:val="260"/>
        </w:trPr>
        <w:tc>
          <w:tcPr>
            <w:tcW w:w="2485" w:type="dxa"/>
          </w:tcPr>
          <w:p w14:paraId="2C76A6D6" w14:textId="77777777" w:rsidR="00F02F28" w:rsidRPr="00B03FB1" w:rsidRDefault="00F02F28" w:rsidP="007B6F81">
            <w:pPr>
              <w:pStyle w:val="TableTextColumnHeading"/>
            </w:pPr>
            <w:r w:rsidRPr="00B03FB1">
              <w:t xml:space="preserve">Headline </w:t>
            </w:r>
            <w:r w:rsidR="000957FC" w:rsidRPr="00B03FB1">
              <w:t>result indicator</w:t>
            </w:r>
          </w:p>
        </w:tc>
        <w:tc>
          <w:tcPr>
            <w:tcW w:w="973" w:type="dxa"/>
          </w:tcPr>
          <w:p w14:paraId="5EEB3622" w14:textId="77777777" w:rsidR="00F02F28" w:rsidRPr="00B03FB1" w:rsidRDefault="00F02F28" w:rsidP="007B6F81">
            <w:pPr>
              <w:pStyle w:val="TableTextColumnHeading"/>
            </w:pPr>
            <w:r w:rsidRPr="00B03FB1">
              <w:t xml:space="preserve">2013 </w:t>
            </w:r>
            <w:r w:rsidR="00AA5E1B" w:rsidRPr="00B03FB1">
              <w:t>result</w:t>
            </w:r>
          </w:p>
        </w:tc>
        <w:tc>
          <w:tcPr>
            <w:tcW w:w="3171" w:type="dxa"/>
          </w:tcPr>
          <w:p w14:paraId="0088AC41" w14:textId="77777777" w:rsidR="00F02F28" w:rsidRPr="00B03FB1" w:rsidRDefault="00F02F28" w:rsidP="007B6F81">
            <w:pPr>
              <w:pStyle w:val="TableTextColumnHeading"/>
            </w:pPr>
            <w:r w:rsidRPr="00B03FB1">
              <w:t xml:space="preserve">How Australia contributes </w:t>
            </w:r>
            <w:r w:rsidRPr="00B03FB1">
              <w:br/>
              <w:t>(type of aid)</w:t>
            </w:r>
          </w:p>
        </w:tc>
        <w:tc>
          <w:tcPr>
            <w:tcW w:w="4039" w:type="dxa"/>
          </w:tcPr>
          <w:p w14:paraId="1644F901" w14:textId="77777777" w:rsidR="00F02F28" w:rsidRPr="00B03FB1" w:rsidRDefault="00F02F28" w:rsidP="007B6F81">
            <w:pPr>
              <w:pStyle w:val="TableTextColumnHeading"/>
            </w:pPr>
            <w:r w:rsidRPr="00B03FB1">
              <w:t>Method of calculation</w:t>
            </w:r>
          </w:p>
        </w:tc>
        <w:tc>
          <w:tcPr>
            <w:tcW w:w="2819" w:type="dxa"/>
          </w:tcPr>
          <w:p w14:paraId="6F116877" w14:textId="77777777" w:rsidR="00F02F28" w:rsidRPr="00B03FB1" w:rsidRDefault="00F02F28" w:rsidP="007B6F81">
            <w:pPr>
              <w:pStyle w:val="TableTextColumnHeading"/>
            </w:pPr>
            <w:r w:rsidRPr="00B03FB1">
              <w:t>Data source</w:t>
            </w:r>
          </w:p>
        </w:tc>
      </w:tr>
      <w:tr w:rsidR="00A123C7" w:rsidRPr="00A123C7" w14:paraId="60455AE8" w14:textId="77777777" w:rsidTr="007B6F81">
        <w:trPr>
          <w:trHeight w:val="260"/>
        </w:trPr>
        <w:tc>
          <w:tcPr>
            <w:tcW w:w="2485" w:type="dxa"/>
          </w:tcPr>
          <w:p w14:paraId="2AD3E17A" w14:textId="0A18F52B" w:rsidR="00F02F28" w:rsidRPr="00B03FB1" w:rsidRDefault="00F02F28" w:rsidP="007B6F81">
            <w:pPr>
              <w:pStyle w:val="TableTextEntries"/>
            </w:pPr>
            <w:r>
              <w:t>Indicator 03.</w:t>
            </w:r>
            <w:r w:rsidR="000957FC">
              <w:t xml:space="preserve"> </w:t>
            </w:r>
            <w:r>
              <w:t>Number of people provided with increased access to safe water</w:t>
            </w:r>
            <w:r w:rsidR="00FC015B">
              <w:t>.</w:t>
            </w:r>
          </w:p>
        </w:tc>
        <w:tc>
          <w:tcPr>
            <w:tcW w:w="973" w:type="dxa"/>
          </w:tcPr>
          <w:p w14:paraId="1D7DD14D" w14:textId="77777777" w:rsidR="00F02F28" w:rsidRPr="00B03FB1" w:rsidRDefault="00F02F28" w:rsidP="007B6F81">
            <w:pPr>
              <w:pStyle w:val="TableTextEntries"/>
              <w:rPr>
                <w:rFonts w:ascii="Franklin Gothic Medium" w:hAnsi="Franklin Gothic Medium"/>
              </w:rPr>
            </w:pPr>
            <w:r w:rsidRPr="00A123C7">
              <w:rPr>
                <w:rFonts w:ascii="Franklin Gothic Medium" w:hAnsi="Franklin Gothic Medium"/>
              </w:rPr>
              <w:t>115</w:t>
            </w:r>
            <w:r w:rsidR="00AA5E1B">
              <w:rPr>
                <w:rFonts w:ascii="Franklin Gothic Medium" w:hAnsi="Franklin Gothic Medium"/>
              </w:rPr>
              <w:t xml:space="preserve"> </w:t>
            </w:r>
            <w:r w:rsidRPr="00A123C7">
              <w:rPr>
                <w:rFonts w:ascii="Franklin Gothic Medium" w:hAnsi="Franklin Gothic Medium"/>
              </w:rPr>
              <w:t>000</w:t>
            </w:r>
          </w:p>
        </w:tc>
        <w:tc>
          <w:tcPr>
            <w:tcW w:w="3171" w:type="dxa"/>
          </w:tcPr>
          <w:p w14:paraId="7ED3317D" w14:textId="30E04E5A" w:rsidR="00F02F28" w:rsidRPr="00F77E6A" w:rsidRDefault="00F02F28" w:rsidP="007B6F81">
            <w:pPr>
              <w:pStyle w:val="TableTextEntries"/>
            </w:pPr>
            <w:r w:rsidRPr="00E21EFB">
              <w:t>Australia</w:t>
            </w:r>
            <w:r w:rsidR="000957FC">
              <w:t xml:space="preserve"> works </w:t>
            </w:r>
            <w:r w:rsidRPr="00E21EFB">
              <w:t>with Denmark and the UK</w:t>
            </w:r>
            <w:r w:rsidR="000957FC">
              <w:t xml:space="preserve"> to</w:t>
            </w:r>
            <w:r w:rsidRPr="00E21EFB">
              <w:t xml:space="preserve"> provide targeted budget support and technical assistance to </w:t>
            </w:r>
            <w:r w:rsidR="00FC015B">
              <w:t xml:space="preserve">the </w:t>
            </w:r>
            <w:r w:rsidR="00FC015B" w:rsidRPr="00D104EE">
              <w:rPr>
                <w:szCs w:val="22"/>
                <w:lang w:val="en-GB"/>
              </w:rPr>
              <w:t xml:space="preserve">National </w:t>
            </w:r>
            <w:r w:rsidR="00FC015B" w:rsidRPr="00D104EE">
              <w:rPr>
                <w:szCs w:val="22"/>
              </w:rPr>
              <w:t>Target Program for Rural Water Supply and Sanitation 2012</w:t>
            </w:r>
            <w:r w:rsidR="00FC015B">
              <w:rPr>
                <w:szCs w:val="22"/>
              </w:rPr>
              <w:t>–</w:t>
            </w:r>
            <w:r w:rsidR="00FC015B" w:rsidRPr="00D104EE">
              <w:rPr>
                <w:szCs w:val="22"/>
              </w:rPr>
              <w:t>2015 Phase 3</w:t>
            </w:r>
            <w:r w:rsidRPr="00E21EFB">
              <w:t xml:space="preserve">. In 2012, Australia contributed </w:t>
            </w:r>
            <w:r w:rsidR="00341311">
              <w:t>$</w:t>
            </w:r>
            <w:r w:rsidRPr="00E21EFB">
              <w:t xml:space="preserve">15.2 million in budget support and </w:t>
            </w:r>
            <w:r w:rsidR="00341311">
              <w:t>$</w:t>
            </w:r>
            <w:r w:rsidRPr="00E21EFB">
              <w:t xml:space="preserve">1.3 million for technical assistance, accounting for 7% of the total </w:t>
            </w:r>
            <w:r w:rsidR="00FC015B">
              <w:t>program</w:t>
            </w:r>
            <w:r w:rsidRPr="00E21EFB">
              <w:t xml:space="preserve"> budget.</w:t>
            </w:r>
          </w:p>
        </w:tc>
        <w:tc>
          <w:tcPr>
            <w:tcW w:w="4039" w:type="dxa"/>
          </w:tcPr>
          <w:p w14:paraId="071E834C" w14:textId="03169909" w:rsidR="00F02F28" w:rsidRPr="00957948" w:rsidRDefault="006D2CF2" w:rsidP="0018618D">
            <w:pPr>
              <w:pStyle w:val="TableTextEntries"/>
              <w:rPr>
                <w:rFonts w:ascii="Calibri" w:hAnsi="Calibri"/>
                <w:szCs w:val="20"/>
              </w:rPr>
            </w:pPr>
            <w:r>
              <w:t xml:space="preserve">The Australian </w:t>
            </w:r>
            <w:r w:rsidR="0018618D">
              <w:t>Government</w:t>
            </w:r>
            <w:r>
              <w:t xml:space="preserve"> </w:t>
            </w:r>
            <w:r w:rsidR="00F02F28" w:rsidRPr="00E21EFB">
              <w:t xml:space="preserve">financed 7% of </w:t>
            </w:r>
            <w:r w:rsidR="00FC015B">
              <w:t xml:space="preserve">the </w:t>
            </w:r>
            <w:r w:rsidR="00FC015B">
              <w:rPr>
                <w:szCs w:val="22"/>
                <w:lang w:val="en-GB"/>
              </w:rPr>
              <w:t xml:space="preserve">program </w:t>
            </w:r>
            <w:r w:rsidR="00F02F28" w:rsidRPr="00E21EFB">
              <w:t>in 2012</w:t>
            </w:r>
            <w:r w:rsidR="00A123C7">
              <w:t>.</w:t>
            </w:r>
            <w:r w:rsidR="00F02F28" w:rsidRPr="00E21EFB">
              <w:t xml:space="preserve"> In 2012, an additional 1.645 million people gained access to clean water; </w:t>
            </w:r>
            <w:r w:rsidR="00B03FB1">
              <w:t xml:space="preserve">and an </w:t>
            </w:r>
            <w:r w:rsidR="00F02F28" w:rsidRPr="00E21EFB">
              <w:t xml:space="preserve">additional 5700 schools and 1335 clinics </w:t>
            </w:r>
            <w:r w:rsidR="00341311">
              <w:t>were</w:t>
            </w:r>
            <w:r w:rsidR="00341311" w:rsidRPr="00E21EFB">
              <w:t xml:space="preserve"> </w:t>
            </w:r>
            <w:r w:rsidR="00F02F28" w:rsidRPr="00E21EFB">
              <w:t>equipped</w:t>
            </w:r>
            <w:r w:rsidR="00341311">
              <w:t xml:space="preserve"> with or had</w:t>
            </w:r>
            <w:r w:rsidR="00F02F28" w:rsidRPr="00E21EFB">
              <w:t xml:space="preserve"> upgraded hygienic water and sanitation facilities. Using a pro-rata approach, </w:t>
            </w:r>
            <w:r>
              <w:t xml:space="preserve">the Australian Government </w:t>
            </w:r>
            <w:r w:rsidR="00F02F28" w:rsidRPr="00E21EFB">
              <w:t>can claim 7% of these overall achievements, resulting in an additional 115</w:t>
            </w:r>
            <w:r w:rsidR="00341311">
              <w:t xml:space="preserve"> </w:t>
            </w:r>
            <w:r w:rsidR="00F02F28" w:rsidRPr="00E21EFB">
              <w:t xml:space="preserve">000 people having access to clean water, </w:t>
            </w:r>
            <w:r w:rsidR="00B03FB1">
              <w:t xml:space="preserve">and </w:t>
            </w:r>
            <w:r w:rsidR="00F02F28" w:rsidRPr="00E21EFB">
              <w:t>additional 399 schools and 93 clinics being equipped with hygienic water and sanitation facilities.</w:t>
            </w:r>
          </w:p>
        </w:tc>
        <w:tc>
          <w:tcPr>
            <w:tcW w:w="2819" w:type="dxa"/>
          </w:tcPr>
          <w:p w14:paraId="389FA9E4" w14:textId="1FFA13E7" w:rsidR="00F02F28" w:rsidRPr="00A123C7" w:rsidRDefault="00F02F28" w:rsidP="007B6F81">
            <w:pPr>
              <w:pStyle w:val="TableTextEntries"/>
            </w:pPr>
            <w:r w:rsidRPr="00E21EFB">
              <w:t xml:space="preserve">All data and figures are provided by the Ministry of Agriculture and Rural Development in its official </w:t>
            </w:r>
            <w:r w:rsidR="00FC015B" w:rsidRPr="00D104EE">
              <w:rPr>
                <w:szCs w:val="22"/>
                <w:lang w:val="en-GB"/>
              </w:rPr>
              <w:t xml:space="preserve">National </w:t>
            </w:r>
            <w:r w:rsidR="00FC015B" w:rsidRPr="00D104EE">
              <w:rPr>
                <w:szCs w:val="22"/>
              </w:rPr>
              <w:t>Target Program for Rural Water Supply and Sanitation 2012</w:t>
            </w:r>
            <w:r w:rsidR="00FC015B">
              <w:rPr>
                <w:szCs w:val="22"/>
              </w:rPr>
              <w:t>–</w:t>
            </w:r>
            <w:r w:rsidR="00FC015B" w:rsidRPr="00D104EE">
              <w:rPr>
                <w:szCs w:val="22"/>
              </w:rPr>
              <w:t xml:space="preserve">2015 Phase 3 </w:t>
            </w:r>
            <w:r w:rsidRPr="00E21EFB">
              <w:t>2012 report</w:t>
            </w:r>
            <w:r w:rsidR="00341311">
              <w:t>. This includes</w:t>
            </w:r>
            <w:r w:rsidRPr="00E21EFB">
              <w:t xml:space="preserve"> a high level of data quality (based on the new </w:t>
            </w:r>
            <w:r w:rsidR="00341311">
              <w:t>monitoring and evaluation</w:t>
            </w:r>
            <w:r w:rsidRPr="00E21EFB">
              <w:t xml:space="preserve"> system).</w:t>
            </w:r>
          </w:p>
        </w:tc>
      </w:tr>
      <w:tr w:rsidR="00B03FB1" w:rsidRPr="00A123C7" w14:paraId="599AD568" w14:textId="77777777" w:rsidTr="007B6F81">
        <w:trPr>
          <w:trHeight w:val="260"/>
        </w:trPr>
        <w:tc>
          <w:tcPr>
            <w:tcW w:w="2485" w:type="dxa"/>
          </w:tcPr>
          <w:p w14:paraId="5FBD5045" w14:textId="7A822173" w:rsidR="00B03FB1" w:rsidRDefault="00B03FB1" w:rsidP="007B6F81">
            <w:pPr>
              <w:pStyle w:val="TableTextEntries"/>
            </w:pPr>
            <w:r>
              <w:t>Indicator 04. Number of additional people with increased access to basic sanitation</w:t>
            </w:r>
            <w:r w:rsidR="00FC015B">
              <w:t>.</w:t>
            </w:r>
          </w:p>
        </w:tc>
        <w:tc>
          <w:tcPr>
            <w:tcW w:w="973" w:type="dxa"/>
          </w:tcPr>
          <w:p w14:paraId="7CBD46AC" w14:textId="77777777" w:rsidR="00B03FB1" w:rsidRPr="00A123C7" w:rsidRDefault="00B03FB1" w:rsidP="007B6F81">
            <w:pPr>
              <w:pStyle w:val="TableTextEntries"/>
              <w:rPr>
                <w:rFonts w:ascii="Franklin Gothic Medium" w:hAnsi="Franklin Gothic Medium"/>
              </w:rPr>
            </w:pPr>
            <w:r w:rsidRPr="00A123C7">
              <w:rPr>
                <w:rFonts w:ascii="Franklin Gothic Medium" w:hAnsi="Franklin Gothic Medium"/>
              </w:rPr>
              <w:t>155</w:t>
            </w:r>
            <w:r>
              <w:rPr>
                <w:rFonts w:ascii="Franklin Gothic Medium" w:hAnsi="Franklin Gothic Medium"/>
              </w:rPr>
              <w:t xml:space="preserve"> </w:t>
            </w:r>
            <w:r w:rsidRPr="00A123C7">
              <w:rPr>
                <w:rFonts w:ascii="Franklin Gothic Medium" w:hAnsi="Franklin Gothic Medium"/>
              </w:rPr>
              <w:t>000</w:t>
            </w:r>
          </w:p>
        </w:tc>
        <w:tc>
          <w:tcPr>
            <w:tcW w:w="3171" w:type="dxa"/>
          </w:tcPr>
          <w:p w14:paraId="044D2C00" w14:textId="6F88884C" w:rsidR="00B03FB1" w:rsidRPr="00E21EFB" w:rsidRDefault="00B03FB1" w:rsidP="007B6F81">
            <w:pPr>
              <w:pStyle w:val="TableTextEntries"/>
            </w:pPr>
            <w:r w:rsidRPr="00A123C7">
              <w:t xml:space="preserve">Australia, together with Denmark and the UK, provides targeted program budget support and technical assistance to </w:t>
            </w:r>
            <w:r w:rsidR="00FC015B">
              <w:t xml:space="preserve">the </w:t>
            </w:r>
            <w:r w:rsidR="00FC015B" w:rsidRPr="00D104EE">
              <w:rPr>
                <w:szCs w:val="22"/>
                <w:lang w:val="en-GB"/>
              </w:rPr>
              <w:t xml:space="preserve">National </w:t>
            </w:r>
            <w:r w:rsidR="00FC015B" w:rsidRPr="00D104EE">
              <w:rPr>
                <w:szCs w:val="22"/>
              </w:rPr>
              <w:t>Target Program for Rural Water Supply and Sanitation 2012</w:t>
            </w:r>
            <w:r w:rsidR="00FC015B">
              <w:rPr>
                <w:szCs w:val="22"/>
              </w:rPr>
              <w:t>–2015 Phase 3</w:t>
            </w:r>
            <w:r w:rsidRPr="00A123C7">
              <w:t xml:space="preserve">. In </w:t>
            </w:r>
            <w:r w:rsidR="00FC015B">
              <w:t>2012, Australia contributed $</w:t>
            </w:r>
            <w:r w:rsidRPr="00A123C7">
              <w:t>15.2 mill</w:t>
            </w:r>
            <w:r w:rsidR="00FC015B">
              <w:t>ion in budget support and $</w:t>
            </w:r>
            <w:r w:rsidRPr="00A123C7">
              <w:t>1.3 million for technical assistance, accounting for 7</w:t>
            </w:r>
            <w:r w:rsidR="00FC015B">
              <w:t xml:space="preserve">% </w:t>
            </w:r>
            <w:r w:rsidRPr="00A123C7">
              <w:t xml:space="preserve">of the total </w:t>
            </w:r>
            <w:r w:rsidR="00FC015B">
              <w:t>program</w:t>
            </w:r>
            <w:r w:rsidRPr="00A123C7">
              <w:t xml:space="preserve"> budget. </w:t>
            </w:r>
          </w:p>
        </w:tc>
        <w:tc>
          <w:tcPr>
            <w:tcW w:w="4039" w:type="dxa"/>
          </w:tcPr>
          <w:p w14:paraId="1F9DA4B0" w14:textId="671FD306" w:rsidR="00B03FB1" w:rsidRPr="00E21EFB" w:rsidRDefault="006D2CF2" w:rsidP="006D2CF2">
            <w:pPr>
              <w:pStyle w:val="TableTextEntries"/>
            </w:pPr>
            <w:r>
              <w:t xml:space="preserve">The Australian Government </w:t>
            </w:r>
            <w:r w:rsidR="00B03FB1" w:rsidRPr="00A123C7">
              <w:t xml:space="preserve">financed 7% of </w:t>
            </w:r>
            <w:r w:rsidR="00FC015B">
              <w:t>the program</w:t>
            </w:r>
            <w:r w:rsidR="00B03FB1" w:rsidRPr="00A123C7">
              <w:t xml:space="preserve"> in 2012. In 2012, an additional 491</w:t>
            </w:r>
            <w:r w:rsidR="00B03FB1">
              <w:t xml:space="preserve"> </w:t>
            </w:r>
            <w:r w:rsidR="00B03FB1" w:rsidRPr="00A123C7">
              <w:t xml:space="preserve">447 households gained access to hygienic latrines. Using a pro-rata approach, </w:t>
            </w:r>
            <w:r>
              <w:t xml:space="preserve">the Australian Government </w:t>
            </w:r>
            <w:r w:rsidR="00B03FB1" w:rsidRPr="00A123C7">
              <w:t>can claim 7% of these overall achievements, resulting in an additional155</w:t>
            </w:r>
            <w:r w:rsidR="00B03FB1">
              <w:t xml:space="preserve"> </w:t>
            </w:r>
            <w:r w:rsidR="00B03FB1" w:rsidRPr="00A123C7">
              <w:t>000 people (34</w:t>
            </w:r>
            <w:r w:rsidR="00B03FB1">
              <w:t xml:space="preserve"> </w:t>
            </w:r>
            <w:r w:rsidR="00B03FB1" w:rsidRPr="00A123C7">
              <w:t>400 households) having access to hygienic latrines.</w:t>
            </w:r>
          </w:p>
        </w:tc>
        <w:tc>
          <w:tcPr>
            <w:tcW w:w="2819" w:type="dxa"/>
          </w:tcPr>
          <w:p w14:paraId="7DC3BF9D" w14:textId="38FCBA1A" w:rsidR="00B03FB1" w:rsidRPr="00E21EFB" w:rsidRDefault="00B03FB1" w:rsidP="007B6F81">
            <w:pPr>
              <w:pStyle w:val="TableTextEntries"/>
            </w:pPr>
            <w:r w:rsidRPr="00E21EFB">
              <w:t xml:space="preserve">All data and figures are provided by the Ministry of Agriculture and Rural Development in its official 2012 report with a high level of data quality (based on the new </w:t>
            </w:r>
            <w:r>
              <w:t>monitoring and evaluation</w:t>
            </w:r>
            <w:r w:rsidRPr="00E21EFB">
              <w:t xml:space="preserve"> system).</w:t>
            </w:r>
          </w:p>
        </w:tc>
      </w:tr>
      <w:tr w:rsidR="00B03FB1" w:rsidRPr="00A123C7" w14:paraId="37D4102C" w14:textId="77777777" w:rsidTr="007B6F81">
        <w:trPr>
          <w:trHeight w:val="260"/>
        </w:trPr>
        <w:tc>
          <w:tcPr>
            <w:tcW w:w="2485" w:type="dxa"/>
            <w:tcBorders>
              <w:bottom w:val="nil"/>
            </w:tcBorders>
          </w:tcPr>
          <w:p w14:paraId="23F9DBDD" w14:textId="6D4A26C5" w:rsidR="00B03FB1" w:rsidRDefault="00B03FB1" w:rsidP="007B6F81">
            <w:pPr>
              <w:pStyle w:val="TableTextEntries"/>
            </w:pPr>
            <w:r>
              <w:t>Indicator 16. Number of people awarded with tertiary scholarships</w:t>
            </w:r>
            <w:r w:rsidR="00FC015B">
              <w:t>.</w:t>
            </w:r>
          </w:p>
        </w:tc>
        <w:tc>
          <w:tcPr>
            <w:tcW w:w="973" w:type="dxa"/>
            <w:tcBorders>
              <w:bottom w:val="nil"/>
            </w:tcBorders>
          </w:tcPr>
          <w:p w14:paraId="43746209" w14:textId="77777777" w:rsidR="00B03FB1" w:rsidRPr="00A123C7" w:rsidRDefault="00B03FB1" w:rsidP="007B6F81">
            <w:pPr>
              <w:pStyle w:val="TableTextEntries"/>
              <w:rPr>
                <w:rFonts w:ascii="Franklin Gothic Medium" w:hAnsi="Franklin Gothic Medium"/>
              </w:rPr>
            </w:pPr>
            <w:r>
              <w:rPr>
                <w:rFonts w:ascii="Franklin Gothic Medium" w:hAnsi="Franklin Gothic Medium"/>
              </w:rPr>
              <w:t>452</w:t>
            </w:r>
          </w:p>
        </w:tc>
        <w:tc>
          <w:tcPr>
            <w:tcW w:w="3171" w:type="dxa"/>
            <w:tcBorders>
              <w:bottom w:val="nil"/>
            </w:tcBorders>
          </w:tcPr>
          <w:p w14:paraId="62E1C850" w14:textId="77777777" w:rsidR="00B03FB1" w:rsidRPr="00E21EFB" w:rsidRDefault="00B03FB1" w:rsidP="007B6F81">
            <w:pPr>
              <w:pStyle w:val="TableTextEntries"/>
            </w:pPr>
          </w:p>
        </w:tc>
        <w:tc>
          <w:tcPr>
            <w:tcW w:w="4039" w:type="dxa"/>
            <w:tcBorders>
              <w:bottom w:val="nil"/>
            </w:tcBorders>
          </w:tcPr>
          <w:p w14:paraId="0ACE8520" w14:textId="77777777" w:rsidR="00B03FB1" w:rsidRPr="00E21EFB" w:rsidRDefault="00B03FB1" w:rsidP="007B6F81">
            <w:pPr>
              <w:pStyle w:val="TableTextEntries"/>
            </w:pPr>
          </w:p>
        </w:tc>
        <w:tc>
          <w:tcPr>
            <w:tcW w:w="2819" w:type="dxa"/>
            <w:tcBorders>
              <w:bottom w:val="nil"/>
            </w:tcBorders>
          </w:tcPr>
          <w:p w14:paraId="2FD5CADB" w14:textId="77777777" w:rsidR="00B03FB1" w:rsidRPr="00E21EFB" w:rsidRDefault="00B03FB1" w:rsidP="007B6F81">
            <w:pPr>
              <w:pStyle w:val="TableTextEntries"/>
            </w:pPr>
          </w:p>
        </w:tc>
      </w:tr>
      <w:tr w:rsidR="00B03FB1" w:rsidRPr="00A123C7" w14:paraId="7268FCFE" w14:textId="77777777" w:rsidTr="007B6F81">
        <w:trPr>
          <w:trHeight w:val="260"/>
        </w:trPr>
        <w:tc>
          <w:tcPr>
            <w:tcW w:w="2485" w:type="dxa"/>
            <w:tcBorders>
              <w:top w:val="nil"/>
              <w:bottom w:val="single" w:sz="12" w:space="0" w:color="auto"/>
            </w:tcBorders>
          </w:tcPr>
          <w:p w14:paraId="5D7D2EF1" w14:textId="50BE4648" w:rsidR="00B03FB1" w:rsidRDefault="00B03FB1" w:rsidP="007B6F81">
            <w:pPr>
              <w:pStyle w:val="TableTextEntries"/>
            </w:pPr>
            <w:r>
              <w:t>Indicator 17. Distance km of roads constructed, rehabilitated or maintained</w:t>
            </w:r>
            <w:r w:rsidR="00FC015B">
              <w:t>.</w:t>
            </w:r>
          </w:p>
        </w:tc>
        <w:tc>
          <w:tcPr>
            <w:tcW w:w="973" w:type="dxa"/>
            <w:tcBorders>
              <w:top w:val="nil"/>
              <w:bottom w:val="single" w:sz="12" w:space="0" w:color="auto"/>
            </w:tcBorders>
          </w:tcPr>
          <w:p w14:paraId="267EADEB" w14:textId="77777777" w:rsidR="00B03FB1" w:rsidRPr="00A123C7" w:rsidRDefault="00B03FB1" w:rsidP="007B6F81">
            <w:pPr>
              <w:pStyle w:val="TableTextEntries"/>
              <w:rPr>
                <w:rFonts w:ascii="Franklin Gothic Medium" w:hAnsi="Franklin Gothic Medium"/>
              </w:rPr>
            </w:pPr>
            <w:r w:rsidRPr="00A123C7">
              <w:rPr>
                <w:rFonts w:ascii="Franklin Gothic Medium" w:hAnsi="Franklin Gothic Medium"/>
              </w:rPr>
              <w:t>13</w:t>
            </w:r>
          </w:p>
        </w:tc>
        <w:tc>
          <w:tcPr>
            <w:tcW w:w="3171" w:type="dxa"/>
            <w:tcBorders>
              <w:top w:val="nil"/>
              <w:bottom w:val="single" w:sz="12" w:space="0" w:color="auto"/>
            </w:tcBorders>
          </w:tcPr>
          <w:p w14:paraId="64E2C618" w14:textId="4AEF8776" w:rsidR="00B03FB1" w:rsidRPr="00B03FB1" w:rsidRDefault="00B03FB1" w:rsidP="00D5255B">
            <w:pPr>
              <w:pStyle w:val="TableTextEntries"/>
            </w:pPr>
            <w:r w:rsidRPr="00B03FB1">
              <w:t xml:space="preserve">Australia’s funding contribution is managed by the World Bank. Our engagement covers general implementation and specific areas of value added (monitoring and evaluation, gender, HIV/AIDs). </w:t>
            </w:r>
            <w:r w:rsidR="00D5255B">
              <w:t>Australia</w:t>
            </w:r>
            <w:r w:rsidRPr="00B03FB1">
              <w:t>'s primary entry point is through the World Bank regular supervision missions</w:t>
            </w:r>
            <w:r w:rsidR="00FC015B">
              <w:t>.</w:t>
            </w:r>
          </w:p>
        </w:tc>
        <w:tc>
          <w:tcPr>
            <w:tcW w:w="4039" w:type="dxa"/>
            <w:tcBorders>
              <w:top w:val="nil"/>
              <w:bottom w:val="single" w:sz="12" w:space="0" w:color="auto"/>
            </w:tcBorders>
          </w:tcPr>
          <w:p w14:paraId="6AD6699F" w14:textId="622CA47D" w:rsidR="00B03FB1" w:rsidRPr="00E21EFB" w:rsidRDefault="00D5255B" w:rsidP="007B6F81">
            <w:pPr>
              <w:pStyle w:val="TableTextEntries"/>
            </w:pPr>
            <w:r>
              <w:t xml:space="preserve">Australia </w:t>
            </w:r>
            <w:r w:rsidR="00B03FB1" w:rsidRPr="00A123C7">
              <w:t xml:space="preserve">is financing 33% of </w:t>
            </w:r>
            <w:r w:rsidR="00FC015B">
              <w:t>c</w:t>
            </w:r>
            <w:r w:rsidR="00B03FB1" w:rsidRPr="00A123C7">
              <w:t>omponent C activities. In 2012</w:t>
            </w:r>
            <w:r w:rsidR="00B03FB1">
              <w:t>–</w:t>
            </w:r>
            <w:r w:rsidR="00B03FB1" w:rsidRPr="00A123C7">
              <w:t xml:space="preserve">13, 40km of road were built under </w:t>
            </w:r>
            <w:r w:rsidR="00FC015B">
              <w:t>c</w:t>
            </w:r>
            <w:r w:rsidR="00B03FB1" w:rsidRPr="00A123C7">
              <w:t xml:space="preserve">omponent C so we divided the result by </w:t>
            </w:r>
            <w:r w:rsidR="00B03FB1">
              <w:t>three</w:t>
            </w:r>
            <w:r w:rsidR="00B03FB1" w:rsidRPr="00A123C7">
              <w:t xml:space="preserve"> which equals about 13km.</w:t>
            </w:r>
          </w:p>
        </w:tc>
        <w:tc>
          <w:tcPr>
            <w:tcW w:w="2819" w:type="dxa"/>
            <w:tcBorders>
              <w:top w:val="nil"/>
              <w:bottom w:val="single" w:sz="12" w:space="0" w:color="auto"/>
            </w:tcBorders>
          </w:tcPr>
          <w:p w14:paraId="3E9EEFF9" w14:textId="77777777" w:rsidR="00B03FB1" w:rsidRPr="00E21EFB" w:rsidRDefault="00B03FB1" w:rsidP="007B6F81">
            <w:pPr>
              <w:pStyle w:val="TableTextEntries"/>
            </w:pPr>
            <w:r w:rsidRPr="00A123C7">
              <w:t xml:space="preserve">All data and figures are provided by the Southern Waterways Project Management Unit and level of data quality is medium. The data reported here is for 2012 calendar year as data for the first </w:t>
            </w:r>
            <w:r>
              <w:t>six</w:t>
            </w:r>
            <w:r w:rsidRPr="00A123C7">
              <w:t xml:space="preserve"> months of 2013 is not yet available.</w:t>
            </w:r>
          </w:p>
        </w:tc>
      </w:tr>
    </w:tbl>
    <w:p w14:paraId="40BE9ECC" w14:textId="77777777" w:rsidR="00D802BD" w:rsidRPr="007B6F81" w:rsidRDefault="00D802BD" w:rsidP="007B6F81">
      <w:pPr>
        <w:pStyle w:val="Heading1"/>
      </w:pPr>
      <w:r w:rsidRPr="007B6F81">
        <w:lastRenderedPageBreak/>
        <w:t xml:space="preserve">Annex E: Top </w:t>
      </w:r>
      <w:r w:rsidR="009C1FDC" w:rsidRPr="007B6F81">
        <w:t xml:space="preserve">five </w:t>
      </w:r>
      <w:r w:rsidRPr="007B6F81">
        <w:t>results for 2012</w:t>
      </w:r>
      <w:r w:rsidR="00341311" w:rsidRPr="007B6F81">
        <w:t>–</w:t>
      </w:r>
      <w:r w:rsidR="009C1FDC" w:rsidRPr="007B6F81">
        <w:t>13</w:t>
      </w:r>
      <w:r w:rsidRPr="007B6F81">
        <w:t xml:space="preserve"> and </w:t>
      </w:r>
      <w:r w:rsidR="009C1FDC" w:rsidRPr="007B6F81">
        <w:t>top f</w:t>
      </w:r>
      <w:r w:rsidR="00B564A3" w:rsidRPr="007B6F81">
        <w:t>our</w:t>
      </w:r>
      <w:r w:rsidR="009C1FDC" w:rsidRPr="007B6F81">
        <w:t xml:space="preserve"> p</w:t>
      </w:r>
      <w:r w:rsidRPr="007B6F81">
        <w:t xml:space="preserve">lanned </w:t>
      </w:r>
      <w:r w:rsidR="009C1FDC" w:rsidRPr="007B6F81">
        <w:t>r</w:t>
      </w:r>
      <w:r w:rsidRPr="007B6F81">
        <w:t>esults for 2013–14</w:t>
      </w:r>
    </w:p>
    <w:p w14:paraId="6BDEE221" w14:textId="77777777" w:rsidR="00D802BD" w:rsidRPr="007B6F81" w:rsidRDefault="002911A4" w:rsidP="007B6F81">
      <w:pPr>
        <w:pStyle w:val="Heading2"/>
      </w:pPr>
      <w:r w:rsidRPr="007B6F81">
        <w:t>T</w:t>
      </w:r>
      <w:r w:rsidR="00D802BD" w:rsidRPr="007B6F81">
        <w:t xml:space="preserve">op </w:t>
      </w:r>
      <w:r w:rsidR="009C1FDC" w:rsidRPr="007B6F81">
        <w:t xml:space="preserve">five </w:t>
      </w:r>
      <w:r w:rsidR="00D802BD" w:rsidRPr="007B6F81">
        <w:t>results for 201</w:t>
      </w:r>
      <w:r w:rsidR="009C1FDC" w:rsidRPr="007B6F81">
        <w:t>2</w:t>
      </w:r>
      <w:r w:rsidR="00341311" w:rsidRPr="007B6F81">
        <w:t>–</w:t>
      </w:r>
      <w:r w:rsidR="009C1FDC" w:rsidRPr="007B6F81">
        <w:t>13</w:t>
      </w:r>
    </w:p>
    <w:p w14:paraId="60960D03" w14:textId="738F27A7" w:rsidR="00D802BD" w:rsidRPr="007B6F81" w:rsidRDefault="007B6F81" w:rsidP="007B6F81">
      <w:pPr>
        <w:pStyle w:val="Heading3"/>
      </w:pPr>
      <w:r w:rsidRPr="007B6F81">
        <w:t>Human resource development</w:t>
      </w:r>
    </w:p>
    <w:p w14:paraId="777E2432" w14:textId="77777777" w:rsidR="00D802BD" w:rsidRPr="00E261D1" w:rsidRDefault="00D802BD" w:rsidP="00D802BD">
      <w:pPr>
        <w:pStyle w:val="Caption"/>
      </w:pPr>
      <w:r w:rsidRPr="00E261D1">
        <w:t>Vietnam development goal – To meet human resources needs associated with progression to</w:t>
      </w:r>
      <w:r w:rsidR="0018353A">
        <w:t xml:space="preserve"> an</w:t>
      </w:r>
      <w:r w:rsidRPr="00E261D1">
        <w:t xml:space="preserve"> industrialised country by 2020.</w:t>
      </w:r>
    </w:p>
    <w:tbl>
      <w:tblPr>
        <w:tblStyle w:val="APPR"/>
        <w:tblW w:w="5000" w:type="pct"/>
        <w:tblLook w:val="01E0" w:firstRow="1" w:lastRow="1" w:firstColumn="1" w:lastColumn="1" w:noHBand="0" w:noVBand="0"/>
      </w:tblPr>
      <w:tblGrid>
        <w:gridCol w:w="12266"/>
        <w:gridCol w:w="1671"/>
      </w:tblGrid>
      <w:tr w:rsidR="00D802BD" w:rsidRPr="00D81B5B" w14:paraId="5FE39AE8" w14:textId="77777777" w:rsidTr="004D23F6">
        <w:trPr>
          <w:cnfStyle w:val="100000000000" w:firstRow="1" w:lastRow="0" w:firstColumn="0" w:lastColumn="0" w:oddVBand="0" w:evenVBand="0" w:oddHBand="0" w:evenHBand="0" w:firstRowFirstColumn="0" w:firstRowLastColumn="0" w:lastRowFirstColumn="0" w:lastRowLastColumn="0"/>
        </w:trPr>
        <w:tc>
          <w:tcPr>
            <w:tcW w:w="4368" w:type="pct"/>
          </w:tcPr>
          <w:p w14:paraId="3D3F98E3" w14:textId="77777777" w:rsidR="00D802BD" w:rsidRPr="007B6F81" w:rsidRDefault="00D802BD" w:rsidP="007B6F81">
            <w:pPr>
              <w:pStyle w:val="TableTextColumnHeading"/>
              <w:rPr>
                <w:b/>
              </w:rPr>
            </w:pPr>
            <w:r w:rsidRPr="007B6F81">
              <w:rPr>
                <w:b/>
              </w:rPr>
              <w:t xml:space="preserve">Strategy </w:t>
            </w:r>
            <w:r w:rsidR="00341311" w:rsidRPr="007B6F81">
              <w:rPr>
                <w:b/>
              </w:rPr>
              <w:t>objective</w:t>
            </w:r>
            <w:r w:rsidRPr="007B6F81">
              <w:rPr>
                <w:b/>
              </w:rPr>
              <w:t xml:space="preserve">: </w:t>
            </w:r>
            <w:r w:rsidR="00341311" w:rsidRPr="007B6F81">
              <w:rPr>
                <w:b/>
              </w:rPr>
              <w:t xml:space="preserve">improvement </w:t>
            </w:r>
            <w:r w:rsidRPr="007B6F81">
              <w:rPr>
                <w:b/>
              </w:rPr>
              <w:t>in the quality of Vietnam's human resources.</w:t>
            </w:r>
          </w:p>
        </w:tc>
        <w:tc>
          <w:tcPr>
            <w:tcW w:w="582" w:type="pct"/>
          </w:tcPr>
          <w:p w14:paraId="4BD906B8" w14:textId="2E9B1598" w:rsidR="00D802BD" w:rsidRPr="007B6F81" w:rsidRDefault="00D802BD" w:rsidP="007B6F81">
            <w:pPr>
              <w:pStyle w:val="TableTextColumnHeading"/>
              <w:rPr>
                <w:b/>
              </w:rPr>
            </w:pPr>
            <w:r w:rsidRPr="007B6F81">
              <w:rPr>
                <w:b/>
              </w:rPr>
              <w:t>Result</w:t>
            </w:r>
          </w:p>
        </w:tc>
      </w:tr>
      <w:tr w:rsidR="00D802BD" w:rsidRPr="00D81B5B" w14:paraId="4299E9A0" w14:textId="77777777" w:rsidTr="004D23F6">
        <w:trPr>
          <w:cnfStyle w:val="100000000000" w:firstRow="1" w:lastRow="0" w:firstColumn="0" w:lastColumn="0" w:oddVBand="0" w:evenVBand="0" w:oddHBand="0" w:evenHBand="0" w:firstRowFirstColumn="0" w:firstRowLastColumn="0" w:lastRowFirstColumn="0" w:lastRowLastColumn="0"/>
        </w:trPr>
        <w:tc>
          <w:tcPr>
            <w:tcW w:w="4368" w:type="pct"/>
          </w:tcPr>
          <w:p w14:paraId="39BA9CDC" w14:textId="77777777" w:rsidR="00D802BD" w:rsidRPr="007B6F81" w:rsidRDefault="00D802BD" w:rsidP="007B6F81">
            <w:pPr>
              <w:pStyle w:val="TableTextEntries"/>
              <w:rPr>
                <w:b w:val="0"/>
              </w:rPr>
            </w:pPr>
            <w:r w:rsidRPr="007B6F81">
              <w:rPr>
                <w:b w:val="0"/>
              </w:rPr>
              <w:t>Deliver around 240 long-term development scholarships to Vietnam and undertake assessment of institutional impacts of the scholarship program on selected central government agencies.</w:t>
            </w:r>
          </w:p>
        </w:tc>
        <w:tc>
          <w:tcPr>
            <w:tcW w:w="582" w:type="pct"/>
          </w:tcPr>
          <w:p w14:paraId="472070F3" w14:textId="77777777" w:rsidR="00D802BD" w:rsidRPr="007B6F81" w:rsidRDefault="00886D18" w:rsidP="007B6F81">
            <w:pPr>
              <w:pStyle w:val="TableTextEntries"/>
              <w:rPr>
                <w:b w:val="0"/>
              </w:rPr>
            </w:pPr>
            <w:r w:rsidRPr="007B6F81">
              <w:rPr>
                <w:b w:val="0"/>
              </w:rPr>
              <w:t>Achieved</w:t>
            </w:r>
          </w:p>
        </w:tc>
      </w:tr>
    </w:tbl>
    <w:p w14:paraId="25A486AE" w14:textId="1F38BF06" w:rsidR="00D802BD" w:rsidRPr="00760A3D" w:rsidRDefault="007B6F81" w:rsidP="00D802BD">
      <w:pPr>
        <w:pStyle w:val="Heading3"/>
      </w:pPr>
      <w:r w:rsidRPr="00760A3D">
        <w:t>Infrastructure for development</w:t>
      </w:r>
    </w:p>
    <w:p w14:paraId="33CF75BD" w14:textId="77777777" w:rsidR="00D802BD" w:rsidRPr="00E261D1" w:rsidRDefault="00D802BD" w:rsidP="00D802BD">
      <w:pPr>
        <w:pStyle w:val="Caption"/>
      </w:pPr>
      <w:r w:rsidRPr="00E261D1">
        <w:t>Vietnam development goal – To increase economic activity in targeted regions (national and cross-border).</w:t>
      </w:r>
    </w:p>
    <w:tbl>
      <w:tblPr>
        <w:tblStyle w:val="APPR"/>
        <w:tblW w:w="5000" w:type="pct"/>
        <w:tblLook w:val="01E0" w:firstRow="1" w:lastRow="1" w:firstColumn="1" w:lastColumn="1" w:noHBand="0" w:noVBand="0"/>
      </w:tblPr>
      <w:tblGrid>
        <w:gridCol w:w="12266"/>
        <w:gridCol w:w="1671"/>
      </w:tblGrid>
      <w:tr w:rsidR="00D802BD" w:rsidRPr="00D81B5B" w14:paraId="07A065E1" w14:textId="77777777" w:rsidTr="004D23F6">
        <w:trPr>
          <w:cnfStyle w:val="100000000000" w:firstRow="1" w:lastRow="0" w:firstColumn="0" w:lastColumn="0" w:oddVBand="0" w:evenVBand="0" w:oddHBand="0" w:evenHBand="0" w:firstRowFirstColumn="0" w:firstRowLastColumn="0" w:lastRowFirstColumn="0" w:lastRowLastColumn="0"/>
        </w:trPr>
        <w:tc>
          <w:tcPr>
            <w:tcW w:w="4368" w:type="pct"/>
          </w:tcPr>
          <w:p w14:paraId="38E493CD" w14:textId="77777777" w:rsidR="00D802BD" w:rsidRPr="007B6F81" w:rsidRDefault="00D802BD" w:rsidP="007B6F81">
            <w:pPr>
              <w:pStyle w:val="TableTextColumnHeading"/>
              <w:rPr>
                <w:b/>
              </w:rPr>
            </w:pPr>
            <w:r w:rsidRPr="007B6F81">
              <w:rPr>
                <w:b/>
              </w:rPr>
              <w:t xml:space="preserve">Strategy </w:t>
            </w:r>
            <w:r w:rsidR="00341311" w:rsidRPr="007B6F81">
              <w:rPr>
                <w:b/>
              </w:rPr>
              <w:t>objective</w:t>
            </w:r>
            <w:r w:rsidRPr="007B6F81">
              <w:rPr>
                <w:b/>
              </w:rPr>
              <w:t>: Better transport infrastructure and policy to support economic integration.</w:t>
            </w:r>
          </w:p>
        </w:tc>
        <w:tc>
          <w:tcPr>
            <w:tcW w:w="582" w:type="pct"/>
          </w:tcPr>
          <w:p w14:paraId="3406E588" w14:textId="77777777" w:rsidR="00D802BD" w:rsidRPr="007B6F81" w:rsidRDefault="00D802BD" w:rsidP="007B6F81">
            <w:pPr>
              <w:pStyle w:val="TableTextColumnHeading"/>
              <w:rPr>
                <w:b/>
              </w:rPr>
            </w:pPr>
            <w:r w:rsidRPr="007B6F81">
              <w:rPr>
                <w:b/>
              </w:rPr>
              <w:t>Result</w:t>
            </w:r>
          </w:p>
        </w:tc>
      </w:tr>
      <w:tr w:rsidR="00D802BD" w:rsidRPr="00D81B5B" w14:paraId="6476EF98" w14:textId="77777777" w:rsidTr="004D23F6">
        <w:trPr>
          <w:cnfStyle w:val="100000000000" w:firstRow="1" w:lastRow="0" w:firstColumn="0" w:lastColumn="0" w:oddVBand="0" w:evenVBand="0" w:oddHBand="0" w:evenHBand="0" w:firstRowFirstColumn="0" w:firstRowLastColumn="0" w:lastRowFirstColumn="0" w:lastRowLastColumn="0"/>
        </w:trPr>
        <w:tc>
          <w:tcPr>
            <w:tcW w:w="4368" w:type="pct"/>
          </w:tcPr>
          <w:p w14:paraId="2F71298D" w14:textId="77777777" w:rsidR="00D802BD" w:rsidRPr="007B6F81" w:rsidRDefault="00D802BD" w:rsidP="007B6F81">
            <w:pPr>
              <w:pStyle w:val="TableTextEntries"/>
              <w:rPr>
                <w:b w:val="0"/>
              </w:rPr>
            </w:pPr>
            <w:r w:rsidRPr="007B6F81">
              <w:rPr>
                <w:b w:val="0"/>
              </w:rPr>
              <w:t>Detailed design for Cao Lanh bridge completed.</w:t>
            </w:r>
          </w:p>
        </w:tc>
        <w:tc>
          <w:tcPr>
            <w:tcW w:w="582" w:type="pct"/>
          </w:tcPr>
          <w:p w14:paraId="2353E4A2" w14:textId="77777777" w:rsidR="00D802BD" w:rsidRPr="007B6F81" w:rsidRDefault="00886D18" w:rsidP="007B6F81">
            <w:pPr>
              <w:pStyle w:val="TableTextEntries"/>
              <w:rPr>
                <w:b w:val="0"/>
              </w:rPr>
            </w:pPr>
            <w:r w:rsidRPr="007B6F81">
              <w:rPr>
                <w:b w:val="0"/>
              </w:rPr>
              <w:t>Achieved</w:t>
            </w:r>
          </w:p>
        </w:tc>
      </w:tr>
    </w:tbl>
    <w:p w14:paraId="41D284C4" w14:textId="68EFC4E4" w:rsidR="00D802BD" w:rsidRPr="00760A3D" w:rsidRDefault="007B6F81" w:rsidP="00D802BD">
      <w:pPr>
        <w:pStyle w:val="Heading3"/>
      </w:pPr>
      <w:r w:rsidRPr="00760A3D">
        <w:t>Environmental sustainability</w:t>
      </w:r>
    </w:p>
    <w:p w14:paraId="443C3848" w14:textId="77777777" w:rsidR="00D802BD" w:rsidRPr="00E261D1" w:rsidRDefault="00D802BD" w:rsidP="00D802BD">
      <w:pPr>
        <w:pStyle w:val="Caption"/>
      </w:pPr>
      <w:r w:rsidRPr="00E261D1">
        <w:t xml:space="preserve">Vietnam development goal – </w:t>
      </w:r>
      <w:r w:rsidRPr="00A33CFD">
        <w:t>To reduce i</w:t>
      </w:r>
      <w:r>
        <w:t>ncidence of waterborne diseases.</w:t>
      </w:r>
    </w:p>
    <w:tbl>
      <w:tblPr>
        <w:tblStyle w:val="APPR"/>
        <w:tblW w:w="5000" w:type="pct"/>
        <w:tblLook w:val="01E0" w:firstRow="1" w:lastRow="1" w:firstColumn="1" w:lastColumn="1" w:noHBand="0" w:noVBand="0"/>
      </w:tblPr>
      <w:tblGrid>
        <w:gridCol w:w="12266"/>
        <w:gridCol w:w="1671"/>
      </w:tblGrid>
      <w:tr w:rsidR="00D802BD" w:rsidRPr="00D81B5B" w14:paraId="4152B33B" w14:textId="77777777" w:rsidTr="004D23F6">
        <w:trPr>
          <w:cnfStyle w:val="100000000000" w:firstRow="1" w:lastRow="0" w:firstColumn="0" w:lastColumn="0" w:oddVBand="0" w:evenVBand="0" w:oddHBand="0" w:evenHBand="0" w:firstRowFirstColumn="0" w:firstRowLastColumn="0" w:lastRowFirstColumn="0" w:lastRowLastColumn="0"/>
        </w:trPr>
        <w:tc>
          <w:tcPr>
            <w:tcW w:w="4385" w:type="pct"/>
          </w:tcPr>
          <w:p w14:paraId="5547FD45" w14:textId="77777777" w:rsidR="00D802BD" w:rsidRPr="007B6F81" w:rsidRDefault="00D802BD" w:rsidP="007B6F81">
            <w:pPr>
              <w:pStyle w:val="TableTextColumnHeading"/>
              <w:rPr>
                <w:b/>
              </w:rPr>
            </w:pPr>
            <w:r w:rsidRPr="007B6F81">
              <w:rPr>
                <w:b/>
              </w:rPr>
              <w:t xml:space="preserve">Strategy </w:t>
            </w:r>
            <w:r w:rsidR="00341311" w:rsidRPr="007B6F81">
              <w:rPr>
                <w:b/>
              </w:rPr>
              <w:t>objective</w:t>
            </w:r>
            <w:r w:rsidRPr="007B6F81">
              <w:rPr>
                <w:b/>
              </w:rPr>
              <w:t>: Increase rural access to clean water and hygienic sanitation.</w:t>
            </w:r>
          </w:p>
        </w:tc>
        <w:tc>
          <w:tcPr>
            <w:tcW w:w="584" w:type="pct"/>
          </w:tcPr>
          <w:p w14:paraId="45CC151C" w14:textId="77777777" w:rsidR="00D802BD" w:rsidRPr="007B6F81" w:rsidRDefault="00D802BD" w:rsidP="007B6F81">
            <w:pPr>
              <w:pStyle w:val="TableTextColumnHeading"/>
              <w:rPr>
                <w:b/>
              </w:rPr>
            </w:pPr>
            <w:r w:rsidRPr="007B6F81">
              <w:rPr>
                <w:b/>
              </w:rPr>
              <w:t>Result</w:t>
            </w:r>
          </w:p>
        </w:tc>
      </w:tr>
      <w:tr w:rsidR="00D802BD" w:rsidRPr="00D81B5B" w14:paraId="032BF57E" w14:textId="77777777" w:rsidTr="004D23F6">
        <w:trPr>
          <w:cnfStyle w:val="100000000000" w:firstRow="1" w:lastRow="0" w:firstColumn="0" w:lastColumn="0" w:oddVBand="0" w:evenVBand="0" w:oddHBand="0" w:evenHBand="0" w:firstRowFirstColumn="0" w:firstRowLastColumn="0" w:lastRowFirstColumn="0" w:lastRowLastColumn="0"/>
        </w:trPr>
        <w:tc>
          <w:tcPr>
            <w:tcW w:w="4385" w:type="pct"/>
          </w:tcPr>
          <w:p w14:paraId="1CB2B308" w14:textId="77777777" w:rsidR="00D802BD" w:rsidRPr="007B6F81" w:rsidRDefault="00D802BD" w:rsidP="007B6F81">
            <w:pPr>
              <w:pStyle w:val="TableTextEntries"/>
              <w:rPr>
                <w:b w:val="0"/>
              </w:rPr>
            </w:pPr>
            <w:r w:rsidRPr="007B6F81">
              <w:rPr>
                <w:b w:val="0"/>
              </w:rPr>
              <w:t>Update and revise the Rural Water Supply and Sanitation procurement manual.</w:t>
            </w:r>
          </w:p>
        </w:tc>
        <w:tc>
          <w:tcPr>
            <w:tcW w:w="584" w:type="pct"/>
          </w:tcPr>
          <w:p w14:paraId="0E8AF028" w14:textId="77777777" w:rsidR="00D802BD" w:rsidRPr="007B6F81" w:rsidRDefault="00886D18" w:rsidP="007B6F81">
            <w:pPr>
              <w:pStyle w:val="TableTextEntries"/>
              <w:rPr>
                <w:b w:val="0"/>
              </w:rPr>
            </w:pPr>
            <w:r w:rsidRPr="007B6F81">
              <w:rPr>
                <w:b w:val="0"/>
              </w:rPr>
              <w:t>Partly completed</w:t>
            </w:r>
          </w:p>
        </w:tc>
      </w:tr>
    </w:tbl>
    <w:p w14:paraId="65764F6E" w14:textId="77777777" w:rsidR="007B6F81" w:rsidRPr="007B6F81" w:rsidRDefault="007B6F81" w:rsidP="007B6F81">
      <w:pPr>
        <w:pStyle w:val="BodyText"/>
      </w:pPr>
    </w:p>
    <w:p w14:paraId="62260604" w14:textId="77777777" w:rsidR="00D802BD" w:rsidRPr="00E261D1" w:rsidRDefault="00D802BD" w:rsidP="00D802BD">
      <w:pPr>
        <w:pStyle w:val="Caption"/>
      </w:pPr>
      <w:r w:rsidRPr="00E261D1">
        <w:t xml:space="preserve">Vietnam development goal – </w:t>
      </w:r>
      <w:r w:rsidRPr="00D65B1F">
        <w:t>To reduce human, economic and environmental losses associated with climate change, including natural disasters.</w:t>
      </w:r>
    </w:p>
    <w:tbl>
      <w:tblPr>
        <w:tblStyle w:val="APPR"/>
        <w:tblW w:w="5000" w:type="pct"/>
        <w:tblLook w:val="01E0" w:firstRow="1" w:lastRow="1" w:firstColumn="1" w:lastColumn="1" w:noHBand="0" w:noVBand="0"/>
      </w:tblPr>
      <w:tblGrid>
        <w:gridCol w:w="12266"/>
        <w:gridCol w:w="1671"/>
      </w:tblGrid>
      <w:tr w:rsidR="00D802BD" w:rsidRPr="00D81B5B" w14:paraId="6C9E98F6" w14:textId="77777777" w:rsidTr="004D23F6">
        <w:trPr>
          <w:cnfStyle w:val="100000000000" w:firstRow="1" w:lastRow="0" w:firstColumn="0" w:lastColumn="0" w:oddVBand="0" w:evenVBand="0" w:oddHBand="0" w:evenHBand="0" w:firstRowFirstColumn="0" w:firstRowLastColumn="0" w:lastRowFirstColumn="0" w:lastRowLastColumn="0"/>
        </w:trPr>
        <w:tc>
          <w:tcPr>
            <w:tcW w:w="4385" w:type="pct"/>
          </w:tcPr>
          <w:p w14:paraId="67C1C15C" w14:textId="77777777" w:rsidR="00D802BD" w:rsidRPr="007B6F81" w:rsidRDefault="00D802BD" w:rsidP="007B6F81">
            <w:pPr>
              <w:pStyle w:val="TableTextColumnHeading"/>
              <w:rPr>
                <w:b/>
              </w:rPr>
            </w:pPr>
            <w:r w:rsidRPr="007B6F81">
              <w:rPr>
                <w:b/>
              </w:rPr>
              <w:t xml:space="preserve">Strategy </w:t>
            </w:r>
            <w:r w:rsidR="00341311" w:rsidRPr="007B6F81">
              <w:rPr>
                <w:b/>
              </w:rPr>
              <w:t>objective</w:t>
            </w:r>
            <w:r w:rsidRPr="007B6F81">
              <w:rPr>
                <w:b/>
              </w:rPr>
              <w:t>: Advance climate change adaptation and mitigation (focusing on Mekong Delta).</w:t>
            </w:r>
          </w:p>
        </w:tc>
        <w:tc>
          <w:tcPr>
            <w:tcW w:w="584" w:type="pct"/>
          </w:tcPr>
          <w:p w14:paraId="0F23D492" w14:textId="77777777" w:rsidR="00D802BD" w:rsidRPr="007B6F81" w:rsidRDefault="00D802BD" w:rsidP="007B6F81">
            <w:pPr>
              <w:pStyle w:val="TableTextColumnHeading"/>
              <w:rPr>
                <w:b/>
              </w:rPr>
            </w:pPr>
            <w:r w:rsidRPr="007B6F81">
              <w:rPr>
                <w:b/>
              </w:rPr>
              <w:t>Result</w:t>
            </w:r>
          </w:p>
        </w:tc>
      </w:tr>
      <w:tr w:rsidR="00D802BD" w:rsidRPr="007B6F81" w14:paraId="55033765" w14:textId="77777777" w:rsidTr="004D23F6">
        <w:trPr>
          <w:cnfStyle w:val="100000000000" w:firstRow="1" w:lastRow="0" w:firstColumn="0" w:lastColumn="0" w:oddVBand="0" w:evenVBand="0" w:oddHBand="0" w:evenHBand="0" w:firstRowFirstColumn="0" w:firstRowLastColumn="0" w:lastRowFirstColumn="0" w:lastRowLastColumn="0"/>
        </w:trPr>
        <w:tc>
          <w:tcPr>
            <w:tcW w:w="4385" w:type="pct"/>
          </w:tcPr>
          <w:p w14:paraId="1B5F10DA" w14:textId="77777777" w:rsidR="00D802BD" w:rsidRPr="007B6F81" w:rsidRDefault="00D802BD" w:rsidP="007B6F81">
            <w:pPr>
              <w:pStyle w:val="TableTextEntries"/>
              <w:rPr>
                <w:b w:val="0"/>
              </w:rPr>
            </w:pPr>
            <w:r w:rsidRPr="007B6F81">
              <w:rPr>
                <w:b w:val="0"/>
              </w:rPr>
              <w:t>Six new partnerships with non-government organisations mobilised for community-based climate change action.</w:t>
            </w:r>
          </w:p>
        </w:tc>
        <w:tc>
          <w:tcPr>
            <w:tcW w:w="584" w:type="pct"/>
          </w:tcPr>
          <w:p w14:paraId="29163BDC" w14:textId="77777777" w:rsidR="00D802BD" w:rsidRPr="007B6F81" w:rsidRDefault="00886D18" w:rsidP="007B6F81">
            <w:pPr>
              <w:pStyle w:val="TableTextEntries"/>
              <w:rPr>
                <w:b w:val="0"/>
              </w:rPr>
            </w:pPr>
            <w:r w:rsidRPr="007B6F81">
              <w:rPr>
                <w:b w:val="0"/>
              </w:rPr>
              <w:t>Achieved</w:t>
            </w:r>
          </w:p>
        </w:tc>
      </w:tr>
    </w:tbl>
    <w:p w14:paraId="7770FAAD" w14:textId="77777777" w:rsidR="00D802BD" w:rsidRPr="007B6F81" w:rsidRDefault="00D802BD" w:rsidP="007B6F81">
      <w:pPr>
        <w:pStyle w:val="BodyText"/>
      </w:pPr>
    </w:p>
    <w:p w14:paraId="444DA8A5" w14:textId="70AA4C1E" w:rsidR="00D802BD" w:rsidRPr="00760A3D" w:rsidRDefault="007B6F81" w:rsidP="00D802BD">
      <w:pPr>
        <w:pStyle w:val="Heading3"/>
      </w:pPr>
      <w:r w:rsidRPr="00760A3D">
        <w:lastRenderedPageBreak/>
        <w:t>Cross-cutting</w:t>
      </w:r>
    </w:p>
    <w:tbl>
      <w:tblPr>
        <w:tblStyle w:val="APPR"/>
        <w:tblW w:w="5000" w:type="pct"/>
        <w:tblLook w:val="01E0" w:firstRow="1" w:lastRow="1" w:firstColumn="1" w:lastColumn="1" w:noHBand="0" w:noVBand="0"/>
      </w:tblPr>
      <w:tblGrid>
        <w:gridCol w:w="12266"/>
        <w:gridCol w:w="1671"/>
      </w:tblGrid>
      <w:tr w:rsidR="00D802BD" w:rsidRPr="007B6F81" w14:paraId="22897261" w14:textId="77777777" w:rsidTr="004D23F6">
        <w:trPr>
          <w:cnfStyle w:val="100000000000" w:firstRow="1" w:lastRow="0" w:firstColumn="0" w:lastColumn="0" w:oddVBand="0" w:evenVBand="0" w:oddHBand="0" w:evenHBand="0" w:firstRowFirstColumn="0" w:firstRowLastColumn="0" w:lastRowFirstColumn="0" w:lastRowLastColumn="0"/>
        </w:trPr>
        <w:tc>
          <w:tcPr>
            <w:tcW w:w="4386" w:type="pct"/>
          </w:tcPr>
          <w:p w14:paraId="724BAE0F" w14:textId="77777777" w:rsidR="00D802BD" w:rsidRPr="007B6F81" w:rsidRDefault="00D802BD" w:rsidP="007B6F81">
            <w:pPr>
              <w:pStyle w:val="TableTextColumnHeading"/>
            </w:pPr>
          </w:p>
        </w:tc>
        <w:tc>
          <w:tcPr>
            <w:tcW w:w="585" w:type="pct"/>
          </w:tcPr>
          <w:p w14:paraId="5C6179C5" w14:textId="77777777" w:rsidR="00D802BD" w:rsidRPr="007B6F81" w:rsidRDefault="00D802BD" w:rsidP="007B6F81">
            <w:pPr>
              <w:pStyle w:val="TableTextColumnHeading"/>
            </w:pPr>
            <w:r w:rsidRPr="007B6F81">
              <w:t>Result</w:t>
            </w:r>
          </w:p>
        </w:tc>
      </w:tr>
      <w:tr w:rsidR="00D802BD" w:rsidRPr="00D81B5B" w14:paraId="65C272BC" w14:textId="77777777" w:rsidTr="004D23F6">
        <w:trPr>
          <w:cnfStyle w:val="100000000000" w:firstRow="1" w:lastRow="0" w:firstColumn="0" w:lastColumn="0" w:oddVBand="0" w:evenVBand="0" w:oddHBand="0" w:evenHBand="0" w:firstRowFirstColumn="0" w:firstRowLastColumn="0" w:lastRowFirstColumn="0" w:lastRowLastColumn="0"/>
        </w:trPr>
        <w:tc>
          <w:tcPr>
            <w:tcW w:w="4386" w:type="pct"/>
          </w:tcPr>
          <w:p w14:paraId="0DF5B7BA" w14:textId="76B3FA97" w:rsidR="00D802BD" w:rsidRPr="007B6F81" w:rsidRDefault="00D802BD" w:rsidP="007B6F81">
            <w:pPr>
              <w:pStyle w:val="TableTextEntries"/>
              <w:rPr>
                <w:b w:val="0"/>
              </w:rPr>
            </w:pPr>
            <w:r w:rsidRPr="007B6F81">
              <w:rPr>
                <w:b w:val="0"/>
              </w:rPr>
              <w:t xml:space="preserve">Gender </w:t>
            </w:r>
            <w:r w:rsidR="00FC015B" w:rsidRPr="007B6F81">
              <w:rPr>
                <w:b w:val="0"/>
              </w:rPr>
              <w:t>a</w:t>
            </w:r>
            <w:r w:rsidRPr="007B6F81">
              <w:rPr>
                <w:b w:val="0"/>
              </w:rPr>
              <w:t xml:space="preserve">ction </w:t>
            </w:r>
            <w:r w:rsidR="00FC015B" w:rsidRPr="007B6F81">
              <w:rPr>
                <w:b w:val="0"/>
              </w:rPr>
              <w:t>p</w:t>
            </w:r>
            <w:r w:rsidRPr="007B6F81">
              <w:rPr>
                <w:b w:val="0"/>
              </w:rPr>
              <w:t>lan for the Vietnam program completed to facilitate effective integration and monitoring of gender equality across the program.</w:t>
            </w:r>
          </w:p>
        </w:tc>
        <w:tc>
          <w:tcPr>
            <w:tcW w:w="585" w:type="pct"/>
          </w:tcPr>
          <w:p w14:paraId="26960ECC" w14:textId="77777777" w:rsidR="00D802BD" w:rsidRPr="007B6F81" w:rsidRDefault="00886D18" w:rsidP="007B6F81">
            <w:pPr>
              <w:pStyle w:val="TableTextEntries"/>
              <w:rPr>
                <w:b w:val="0"/>
              </w:rPr>
            </w:pPr>
            <w:r w:rsidRPr="007B6F81">
              <w:rPr>
                <w:b w:val="0"/>
              </w:rPr>
              <w:t>Achieved</w:t>
            </w:r>
          </w:p>
        </w:tc>
      </w:tr>
    </w:tbl>
    <w:p w14:paraId="6FB89333" w14:textId="77777777" w:rsidR="00D802BD" w:rsidRPr="007B6F81" w:rsidRDefault="00B564A3" w:rsidP="007B6F81">
      <w:pPr>
        <w:pStyle w:val="Heading2"/>
      </w:pPr>
      <w:r w:rsidRPr="007B6F81">
        <w:t>Top four p</w:t>
      </w:r>
      <w:r w:rsidR="00D802BD" w:rsidRPr="007B6F81">
        <w:t xml:space="preserve">lanned results for 2013–14 </w:t>
      </w:r>
    </w:p>
    <w:p w14:paraId="16F403DD" w14:textId="6A6B6FB1" w:rsidR="00D802BD" w:rsidRPr="00760A3D" w:rsidRDefault="007B6F81" w:rsidP="00D802BD">
      <w:pPr>
        <w:pStyle w:val="Heading3"/>
      </w:pPr>
      <w:r w:rsidRPr="00760A3D">
        <w:t>Human resource development</w:t>
      </w:r>
    </w:p>
    <w:p w14:paraId="2A450456" w14:textId="77777777" w:rsidR="00D802BD" w:rsidRPr="00E261D1" w:rsidRDefault="00D802BD" w:rsidP="00D802BD">
      <w:pPr>
        <w:pStyle w:val="Caption"/>
      </w:pPr>
      <w:r w:rsidRPr="00E261D1">
        <w:t>Vietnam development goal – To meet human resources needs associated with progression to industrialised country by 2020.</w:t>
      </w:r>
    </w:p>
    <w:tbl>
      <w:tblPr>
        <w:tblStyle w:val="APPR"/>
        <w:tblW w:w="5000" w:type="pct"/>
        <w:tblLook w:val="01E0" w:firstRow="1" w:lastRow="1" w:firstColumn="1" w:lastColumn="1" w:noHBand="0" w:noVBand="0"/>
      </w:tblPr>
      <w:tblGrid>
        <w:gridCol w:w="12266"/>
        <w:gridCol w:w="1671"/>
      </w:tblGrid>
      <w:tr w:rsidR="00D802BD" w:rsidRPr="00D81B5B" w14:paraId="39CA6A07" w14:textId="77777777" w:rsidTr="004D23F6">
        <w:trPr>
          <w:cnfStyle w:val="100000000000" w:firstRow="1" w:lastRow="0" w:firstColumn="0" w:lastColumn="0" w:oddVBand="0" w:evenVBand="0" w:oddHBand="0" w:evenHBand="0" w:firstRowFirstColumn="0" w:firstRowLastColumn="0" w:lastRowFirstColumn="0" w:lastRowLastColumn="0"/>
        </w:trPr>
        <w:tc>
          <w:tcPr>
            <w:tcW w:w="4368" w:type="pct"/>
          </w:tcPr>
          <w:p w14:paraId="34C422EC" w14:textId="77777777" w:rsidR="00D802BD" w:rsidRPr="007B6F81" w:rsidRDefault="00D802BD" w:rsidP="007B6F81">
            <w:pPr>
              <w:pStyle w:val="TableTextColumnHeading"/>
              <w:rPr>
                <w:b/>
              </w:rPr>
            </w:pPr>
            <w:r w:rsidRPr="007B6F81">
              <w:rPr>
                <w:b/>
              </w:rPr>
              <w:t xml:space="preserve">Strategy </w:t>
            </w:r>
            <w:r w:rsidR="00341311" w:rsidRPr="007B6F81">
              <w:rPr>
                <w:b/>
              </w:rPr>
              <w:t>objective</w:t>
            </w:r>
            <w:r w:rsidRPr="007B6F81">
              <w:rPr>
                <w:b/>
              </w:rPr>
              <w:t xml:space="preserve">: Improvement </w:t>
            </w:r>
            <w:r w:rsidR="00341311" w:rsidRPr="007B6F81">
              <w:rPr>
                <w:b/>
              </w:rPr>
              <w:t xml:space="preserve">in </w:t>
            </w:r>
            <w:r w:rsidRPr="007B6F81">
              <w:rPr>
                <w:b/>
              </w:rPr>
              <w:t>the quality of Vietnam's human resources.</w:t>
            </w:r>
          </w:p>
        </w:tc>
        <w:tc>
          <w:tcPr>
            <w:tcW w:w="582" w:type="pct"/>
          </w:tcPr>
          <w:p w14:paraId="637C7CBE" w14:textId="77777777" w:rsidR="00D802BD" w:rsidRPr="007B6F81" w:rsidRDefault="00D802BD" w:rsidP="007B6F81">
            <w:pPr>
              <w:pStyle w:val="TableTextColumnHeading"/>
              <w:rPr>
                <w:b/>
              </w:rPr>
            </w:pPr>
          </w:p>
        </w:tc>
      </w:tr>
      <w:tr w:rsidR="00D802BD" w:rsidRPr="00D81B5B" w14:paraId="08CF6C22" w14:textId="77777777" w:rsidTr="004D23F6">
        <w:trPr>
          <w:cnfStyle w:val="100000000000" w:firstRow="1" w:lastRow="0" w:firstColumn="0" w:lastColumn="0" w:oddVBand="0" w:evenVBand="0" w:oddHBand="0" w:evenHBand="0" w:firstRowFirstColumn="0" w:firstRowLastColumn="0" w:lastRowFirstColumn="0" w:lastRowLastColumn="0"/>
        </w:trPr>
        <w:tc>
          <w:tcPr>
            <w:tcW w:w="4368" w:type="pct"/>
          </w:tcPr>
          <w:p w14:paraId="255262B0" w14:textId="77777777" w:rsidR="00D802BD" w:rsidRPr="007B6F81" w:rsidRDefault="009C1FDC" w:rsidP="007B6F81">
            <w:pPr>
              <w:pStyle w:val="TableTextEntries"/>
              <w:rPr>
                <w:b w:val="0"/>
              </w:rPr>
            </w:pPr>
            <w:r w:rsidRPr="007B6F81">
              <w:rPr>
                <w:b w:val="0"/>
              </w:rPr>
              <w:t>Deliver around 240 long-term development scholarships to Vietnam</w:t>
            </w:r>
            <w:r w:rsidR="00341311" w:rsidRPr="007B6F81">
              <w:rPr>
                <w:b w:val="0"/>
              </w:rPr>
              <w:t>,</w:t>
            </w:r>
            <w:r w:rsidRPr="007B6F81">
              <w:rPr>
                <w:b w:val="0"/>
              </w:rPr>
              <w:t xml:space="preserve"> c</w:t>
            </w:r>
            <w:r w:rsidRPr="007B6F81">
              <w:rPr>
                <w:rFonts w:cs="Arial"/>
                <w:b w:val="0"/>
              </w:rPr>
              <w:t>omplete two cluster studies on the environment and education sectors and an impact study on the overall Australia Awards Scholarships program</w:t>
            </w:r>
            <w:r w:rsidR="00341311" w:rsidRPr="007B6F81">
              <w:rPr>
                <w:rFonts w:cs="Arial"/>
                <w:b w:val="0"/>
              </w:rPr>
              <w:t>.</w:t>
            </w:r>
          </w:p>
        </w:tc>
        <w:tc>
          <w:tcPr>
            <w:tcW w:w="582" w:type="pct"/>
          </w:tcPr>
          <w:p w14:paraId="64A0D31A" w14:textId="77777777" w:rsidR="00D802BD" w:rsidRPr="007B6F81" w:rsidRDefault="00D802BD" w:rsidP="007B6F81">
            <w:pPr>
              <w:pStyle w:val="TableTextEntries"/>
              <w:rPr>
                <w:b w:val="0"/>
              </w:rPr>
            </w:pPr>
          </w:p>
        </w:tc>
      </w:tr>
    </w:tbl>
    <w:p w14:paraId="361B04AA" w14:textId="02CA6849" w:rsidR="00D802BD" w:rsidRPr="00760A3D" w:rsidRDefault="007B6F81" w:rsidP="00D802BD">
      <w:pPr>
        <w:pStyle w:val="Heading3"/>
      </w:pPr>
      <w:r w:rsidRPr="00760A3D">
        <w:t>Infrastructure for development</w:t>
      </w:r>
    </w:p>
    <w:p w14:paraId="458EB2D7" w14:textId="77777777" w:rsidR="00D802BD" w:rsidRPr="00E261D1" w:rsidRDefault="00D802BD" w:rsidP="00D802BD">
      <w:pPr>
        <w:pStyle w:val="Caption"/>
      </w:pPr>
      <w:r w:rsidRPr="00E261D1">
        <w:t>Vietnam development goal – To increase economic activity in targeted regions (national and cross-border).</w:t>
      </w:r>
    </w:p>
    <w:tbl>
      <w:tblPr>
        <w:tblStyle w:val="APPR"/>
        <w:tblW w:w="5000" w:type="pct"/>
        <w:tblLook w:val="01E0" w:firstRow="1" w:lastRow="1" w:firstColumn="1" w:lastColumn="1" w:noHBand="0" w:noVBand="0"/>
      </w:tblPr>
      <w:tblGrid>
        <w:gridCol w:w="12266"/>
        <w:gridCol w:w="1671"/>
      </w:tblGrid>
      <w:tr w:rsidR="00D802BD" w:rsidRPr="00D81B5B" w14:paraId="5B6EE16C" w14:textId="77777777" w:rsidTr="004D23F6">
        <w:trPr>
          <w:cnfStyle w:val="100000000000" w:firstRow="1" w:lastRow="0" w:firstColumn="0" w:lastColumn="0" w:oddVBand="0" w:evenVBand="0" w:oddHBand="0" w:evenHBand="0" w:firstRowFirstColumn="0" w:firstRowLastColumn="0" w:lastRowFirstColumn="0" w:lastRowLastColumn="0"/>
        </w:trPr>
        <w:tc>
          <w:tcPr>
            <w:tcW w:w="4368" w:type="pct"/>
          </w:tcPr>
          <w:p w14:paraId="0E6FCE15" w14:textId="77777777" w:rsidR="00D802BD" w:rsidRPr="007B6F81" w:rsidRDefault="00D802BD" w:rsidP="007B6F81">
            <w:pPr>
              <w:pStyle w:val="TableTextColumnHeading"/>
              <w:rPr>
                <w:b/>
              </w:rPr>
            </w:pPr>
            <w:r w:rsidRPr="007B6F81">
              <w:rPr>
                <w:b/>
              </w:rPr>
              <w:t xml:space="preserve">Strategy </w:t>
            </w:r>
            <w:r w:rsidR="00341311" w:rsidRPr="007B6F81">
              <w:rPr>
                <w:b/>
              </w:rPr>
              <w:t>objective</w:t>
            </w:r>
            <w:r w:rsidRPr="007B6F81">
              <w:rPr>
                <w:b/>
              </w:rPr>
              <w:t>: Better transport infrastructure and policy to support economic integration.</w:t>
            </w:r>
          </w:p>
        </w:tc>
        <w:tc>
          <w:tcPr>
            <w:tcW w:w="582" w:type="pct"/>
          </w:tcPr>
          <w:p w14:paraId="7241A549" w14:textId="77777777" w:rsidR="00D802BD" w:rsidRPr="007B6F81" w:rsidRDefault="00D802BD" w:rsidP="007B6F81">
            <w:pPr>
              <w:pStyle w:val="TableTextColumnHeading"/>
              <w:rPr>
                <w:b/>
              </w:rPr>
            </w:pPr>
          </w:p>
        </w:tc>
      </w:tr>
      <w:tr w:rsidR="00D802BD" w:rsidRPr="00D81B5B" w14:paraId="5840554B" w14:textId="77777777" w:rsidTr="004D23F6">
        <w:trPr>
          <w:cnfStyle w:val="100000000000" w:firstRow="1" w:lastRow="0" w:firstColumn="0" w:lastColumn="0" w:oddVBand="0" w:evenVBand="0" w:oddHBand="0" w:evenHBand="0" w:firstRowFirstColumn="0" w:firstRowLastColumn="0" w:lastRowFirstColumn="0" w:lastRowLastColumn="0"/>
        </w:trPr>
        <w:tc>
          <w:tcPr>
            <w:tcW w:w="4368" w:type="pct"/>
          </w:tcPr>
          <w:p w14:paraId="47CAC879" w14:textId="77777777" w:rsidR="00D802BD" w:rsidRPr="007B6F81" w:rsidRDefault="009C1FDC" w:rsidP="007B6F81">
            <w:pPr>
              <w:pStyle w:val="TableTextEntries"/>
              <w:rPr>
                <w:b w:val="0"/>
              </w:rPr>
            </w:pPr>
            <w:r w:rsidRPr="007B6F81">
              <w:rPr>
                <w:b w:val="0"/>
              </w:rPr>
              <w:t>Commence civil works construction for Cao Lanh bridge</w:t>
            </w:r>
            <w:r w:rsidR="00341311" w:rsidRPr="007B6F81">
              <w:rPr>
                <w:b w:val="0"/>
              </w:rPr>
              <w:t>.</w:t>
            </w:r>
          </w:p>
        </w:tc>
        <w:tc>
          <w:tcPr>
            <w:tcW w:w="582" w:type="pct"/>
          </w:tcPr>
          <w:p w14:paraId="4979946F" w14:textId="77777777" w:rsidR="00D802BD" w:rsidRPr="007B6F81" w:rsidRDefault="00D802BD" w:rsidP="007B6F81">
            <w:pPr>
              <w:pStyle w:val="TableTextEntries"/>
              <w:rPr>
                <w:b w:val="0"/>
              </w:rPr>
            </w:pPr>
          </w:p>
        </w:tc>
      </w:tr>
    </w:tbl>
    <w:p w14:paraId="3A8C9505" w14:textId="3752181A" w:rsidR="00D802BD" w:rsidRPr="00760A3D" w:rsidRDefault="000F2D94" w:rsidP="00D802BD">
      <w:pPr>
        <w:pStyle w:val="Heading3"/>
      </w:pPr>
      <w:r w:rsidRPr="00760A3D">
        <w:t>Environmental sustainability</w:t>
      </w:r>
    </w:p>
    <w:p w14:paraId="3E3DA59A" w14:textId="77777777" w:rsidR="00D802BD" w:rsidRPr="00E261D1" w:rsidRDefault="00D802BD" w:rsidP="00D802BD">
      <w:pPr>
        <w:pStyle w:val="Caption"/>
      </w:pPr>
      <w:r w:rsidRPr="00E261D1">
        <w:t xml:space="preserve">Vietnam development goal – </w:t>
      </w:r>
      <w:r w:rsidRPr="00A33CFD">
        <w:t>To reduce i</w:t>
      </w:r>
      <w:r>
        <w:t>ncidence of waterborne diseases.</w:t>
      </w:r>
    </w:p>
    <w:tbl>
      <w:tblPr>
        <w:tblStyle w:val="APPR"/>
        <w:tblW w:w="5000" w:type="pct"/>
        <w:tblLook w:val="01E0" w:firstRow="1" w:lastRow="1" w:firstColumn="1" w:lastColumn="1" w:noHBand="0" w:noVBand="0"/>
      </w:tblPr>
      <w:tblGrid>
        <w:gridCol w:w="12266"/>
        <w:gridCol w:w="1671"/>
      </w:tblGrid>
      <w:tr w:rsidR="00D802BD" w:rsidRPr="00D81B5B" w14:paraId="60E917E7" w14:textId="77777777" w:rsidTr="004D23F6">
        <w:trPr>
          <w:cnfStyle w:val="100000000000" w:firstRow="1" w:lastRow="0" w:firstColumn="0" w:lastColumn="0" w:oddVBand="0" w:evenVBand="0" w:oddHBand="0" w:evenHBand="0" w:firstRowFirstColumn="0" w:firstRowLastColumn="0" w:lastRowFirstColumn="0" w:lastRowLastColumn="0"/>
        </w:trPr>
        <w:tc>
          <w:tcPr>
            <w:tcW w:w="4385" w:type="pct"/>
          </w:tcPr>
          <w:p w14:paraId="5E06D50B" w14:textId="77777777" w:rsidR="00D802BD" w:rsidRPr="000F2D94" w:rsidRDefault="00D802BD" w:rsidP="000F2D94">
            <w:pPr>
              <w:pStyle w:val="TableTextColumnHeading"/>
              <w:rPr>
                <w:b/>
              </w:rPr>
            </w:pPr>
            <w:r w:rsidRPr="000F2D94">
              <w:rPr>
                <w:b/>
              </w:rPr>
              <w:t xml:space="preserve">Strategy </w:t>
            </w:r>
            <w:r w:rsidR="00341311" w:rsidRPr="000F2D94">
              <w:rPr>
                <w:b/>
              </w:rPr>
              <w:t>objective</w:t>
            </w:r>
            <w:r w:rsidRPr="000F2D94">
              <w:rPr>
                <w:b/>
              </w:rPr>
              <w:t>: Increase rural access to clean water and hygienic sanitation.</w:t>
            </w:r>
          </w:p>
        </w:tc>
        <w:tc>
          <w:tcPr>
            <w:tcW w:w="584" w:type="pct"/>
          </w:tcPr>
          <w:p w14:paraId="4727E781" w14:textId="77777777" w:rsidR="00D802BD" w:rsidRPr="000F2D94" w:rsidRDefault="00D802BD" w:rsidP="000F2D94">
            <w:pPr>
              <w:pStyle w:val="TableTextColumnHeading"/>
              <w:rPr>
                <w:b/>
              </w:rPr>
            </w:pPr>
          </w:p>
        </w:tc>
      </w:tr>
      <w:tr w:rsidR="00D802BD" w:rsidRPr="00D81B5B" w14:paraId="2703D740" w14:textId="77777777" w:rsidTr="004D23F6">
        <w:trPr>
          <w:cnfStyle w:val="100000000000" w:firstRow="1" w:lastRow="0" w:firstColumn="0" w:lastColumn="0" w:oddVBand="0" w:evenVBand="0" w:oddHBand="0" w:evenHBand="0" w:firstRowFirstColumn="0" w:firstRowLastColumn="0" w:lastRowFirstColumn="0" w:lastRowLastColumn="0"/>
        </w:trPr>
        <w:tc>
          <w:tcPr>
            <w:tcW w:w="4385" w:type="pct"/>
          </w:tcPr>
          <w:p w14:paraId="6946E32A" w14:textId="77777777" w:rsidR="00D802BD" w:rsidRPr="000F2D94" w:rsidRDefault="009C1FDC" w:rsidP="000F2D94">
            <w:pPr>
              <w:pStyle w:val="TableTextEntries"/>
              <w:rPr>
                <w:b w:val="0"/>
              </w:rPr>
            </w:pPr>
            <w:r w:rsidRPr="000F2D94">
              <w:rPr>
                <w:b w:val="0"/>
              </w:rPr>
              <w:t>Water and sanitation targets: …</w:t>
            </w:r>
            <w:r w:rsidRPr="000F2D94">
              <w:rPr>
                <w:b w:val="0"/>
                <w:szCs w:val="19"/>
              </w:rPr>
              <w:t>% of rural population has access to hygienic water, …% to hygienic latrines, … of rural primary schools, …% of commune clinics have access to hygienic water and hygienic latrine</w:t>
            </w:r>
            <w:r w:rsidR="00341311" w:rsidRPr="000F2D94">
              <w:rPr>
                <w:b w:val="0"/>
                <w:szCs w:val="19"/>
              </w:rPr>
              <w:t>s.</w:t>
            </w:r>
          </w:p>
        </w:tc>
        <w:tc>
          <w:tcPr>
            <w:tcW w:w="584" w:type="pct"/>
          </w:tcPr>
          <w:p w14:paraId="5F85B1D3" w14:textId="77777777" w:rsidR="00D802BD" w:rsidRPr="000F2D94" w:rsidRDefault="00D802BD" w:rsidP="000F2D94">
            <w:pPr>
              <w:pStyle w:val="TableTextEntries"/>
              <w:rPr>
                <w:b w:val="0"/>
              </w:rPr>
            </w:pPr>
          </w:p>
        </w:tc>
      </w:tr>
    </w:tbl>
    <w:p w14:paraId="596585CB" w14:textId="77777777" w:rsidR="00D802BD" w:rsidRDefault="00D802BD" w:rsidP="000F2D94">
      <w:pPr>
        <w:pStyle w:val="BodyText"/>
      </w:pPr>
    </w:p>
    <w:p w14:paraId="26CAAAE4" w14:textId="77777777" w:rsidR="00D802BD" w:rsidRPr="00E261D1" w:rsidRDefault="00D802BD" w:rsidP="00D802BD">
      <w:pPr>
        <w:pStyle w:val="Caption"/>
      </w:pPr>
      <w:r w:rsidRPr="00E261D1">
        <w:lastRenderedPageBreak/>
        <w:t xml:space="preserve">Vietnam development goal – </w:t>
      </w:r>
      <w:r w:rsidRPr="00D65B1F">
        <w:t>To reduce human, economic and environmental losses associated with climate change, including natural disasters.</w:t>
      </w:r>
    </w:p>
    <w:tbl>
      <w:tblPr>
        <w:tblStyle w:val="APPR"/>
        <w:tblW w:w="5000" w:type="pct"/>
        <w:tblLook w:val="01E0" w:firstRow="1" w:lastRow="1" w:firstColumn="1" w:lastColumn="1" w:noHBand="0" w:noVBand="0"/>
      </w:tblPr>
      <w:tblGrid>
        <w:gridCol w:w="12266"/>
        <w:gridCol w:w="1671"/>
      </w:tblGrid>
      <w:tr w:rsidR="00D802BD" w:rsidRPr="00D81B5B" w14:paraId="0132437C" w14:textId="77777777" w:rsidTr="004D23F6">
        <w:trPr>
          <w:cnfStyle w:val="100000000000" w:firstRow="1" w:lastRow="0" w:firstColumn="0" w:lastColumn="0" w:oddVBand="0" w:evenVBand="0" w:oddHBand="0" w:evenHBand="0" w:firstRowFirstColumn="0" w:firstRowLastColumn="0" w:lastRowFirstColumn="0" w:lastRowLastColumn="0"/>
        </w:trPr>
        <w:tc>
          <w:tcPr>
            <w:tcW w:w="4385" w:type="pct"/>
          </w:tcPr>
          <w:p w14:paraId="480AC71E" w14:textId="77777777" w:rsidR="00D802BD" w:rsidRPr="000F2D94" w:rsidRDefault="00D802BD" w:rsidP="000F2D94">
            <w:pPr>
              <w:pStyle w:val="TableTextColumnHeading"/>
              <w:rPr>
                <w:b/>
              </w:rPr>
            </w:pPr>
            <w:r w:rsidRPr="000F2D94">
              <w:rPr>
                <w:b/>
              </w:rPr>
              <w:t xml:space="preserve">Strategy </w:t>
            </w:r>
            <w:r w:rsidR="00341311" w:rsidRPr="000F2D94">
              <w:rPr>
                <w:b/>
              </w:rPr>
              <w:t>objective</w:t>
            </w:r>
            <w:r w:rsidRPr="000F2D94">
              <w:rPr>
                <w:b/>
              </w:rPr>
              <w:t>: Advance climate change adaptation and mitigation (focusing on Mekong Delta).</w:t>
            </w:r>
          </w:p>
        </w:tc>
        <w:tc>
          <w:tcPr>
            <w:tcW w:w="584" w:type="pct"/>
          </w:tcPr>
          <w:p w14:paraId="60859F04" w14:textId="77777777" w:rsidR="00D802BD" w:rsidRPr="000F2D94" w:rsidRDefault="00D802BD" w:rsidP="000F2D94">
            <w:pPr>
              <w:pStyle w:val="TableTextColumnHeading"/>
              <w:rPr>
                <w:b/>
              </w:rPr>
            </w:pPr>
          </w:p>
        </w:tc>
      </w:tr>
      <w:tr w:rsidR="00D802BD" w:rsidRPr="00D81B5B" w14:paraId="2D33FCEA" w14:textId="77777777" w:rsidTr="004D23F6">
        <w:trPr>
          <w:cnfStyle w:val="100000000000" w:firstRow="1" w:lastRow="0" w:firstColumn="0" w:lastColumn="0" w:oddVBand="0" w:evenVBand="0" w:oddHBand="0" w:evenHBand="0" w:firstRowFirstColumn="0" w:firstRowLastColumn="0" w:lastRowFirstColumn="0" w:lastRowLastColumn="0"/>
        </w:trPr>
        <w:tc>
          <w:tcPr>
            <w:tcW w:w="4385" w:type="pct"/>
          </w:tcPr>
          <w:p w14:paraId="1EDB1241" w14:textId="63735CD5" w:rsidR="009C1FDC" w:rsidRPr="000F2D94" w:rsidRDefault="009C1FDC" w:rsidP="000F2D94">
            <w:pPr>
              <w:pStyle w:val="TableTextEntries"/>
              <w:rPr>
                <w:b w:val="0"/>
              </w:rPr>
            </w:pPr>
            <w:r w:rsidRPr="000F2D94">
              <w:rPr>
                <w:b w:val="0"/>
              </w:rPr>
              <w:t>Completion of down-scale climate change projections for Vietnam</w:t>
            </w:r>
            <w:r w:rsidR="00341311" w:rsidRPr="000F2D94">
              <w:rPr>
                <w:b w:val="0"/>
              </w:rPr>
              <w:t>.</w:t>
            </w:r>
          </w:p>
        </w:tc>
        <w:tc>
          <w:tcPr>
            <w:tcW w:w="584" w:type="pct"/>
          </w:tcPr>
          <w:p w14:paraId="555807E7" w14:textId="77777777" w:rsidR="00D802BD" w:rsidRPr="000F2D94" w:rsidRDefault="00D802BD" w:rsidP="000F2D94">
            <w:pPr>
              <w:pStyle w:val="TableTextEntries"/>
              <w:rPr>
                <w:b w:val="0"/>
              </w:rPr>
            </w:pPr>
          </w:p>
        </w:tc>
      </w:tr>
    </w:tbl>
    <w:p w14:paraId="36FE6993" w14:textId="423706F4" w:rsidR="00D802BD" w:rsidRDefault="00D802BD" w:rsidP="00004E18">
      <w:pPr>
        <w:pStyle w:val="BodyText"/>
      </w:pPr>
    </w:p>
    <w:p w14:paraId="6A2B2470" w14:textId="77777777" w:rsidR="000F2D94" w:rsidRDefault="000F2D94" w:rsidP="00004E18">
      <w:pPr>
        <w:pStyle w:val="BodyText"/>
        <w:rPr>
          <w:rFonts w:ascii="Franklin Gothic Demi" w:hAnsi="Franklin Gothic Demi" w:cs="Arial"/>
          <w:color w:val="AD495D"/>
          <w:kern w:val="28"/>
          <w:sz w:val="28"/>
          <w:szCs w:val="28"/>
        </w:rPr>
      </w:pPr>
      <w:r>
        <w:br w:type="page"/>
      </w:r>
    </w:p>
    <w:p w14:paraId="5924FE73" w14:textId="5412A405" w:rsidR="00DA3E6F" w:rsidRPr="00461CEA" w:rsidRDefault="00DA3E6F" w:rsidP="0007395B">
      <w:pPr>
        <w:pStyle w:val="Heading1"/>
      </w:pPr>
      <w:r w:rsidRPr="00461CEA">
        <w:lastRenderedPageBreak/>
        <w:t>Annex</w:t>
      </w:r>
      <w:r>
        <w:t xml:space="preserve"> </w:t>
      </w:r>
      <w:r w:rsidR="00D802BD">
        <w:t>F</w:t>
      </w:r>
      <w:r w:rsidRPr="00461CEA">
        <w:t>:</w:t>
      </w:r>
      <w:r w:rsidRPr="00406302">
        <w:t xml:space="preserve"> Performance assessment framework 201</w:t>
      </w:r>
      <w:r>
        <w:t>3</w:t>
      </w:r>
      <w:r w:rsidR="00341311">
        <w:t>–</w:t>
      </w:r>
      <w:r>
        <w:t>14</w:t>
      </w:r>
    </w:p>
    <w:tbl>
      <w:tblPr>
        <w:tblStyle w:val="APPR"/>
        <w:tblW w:w="5000" w:type="pct"/>
        <w:tblLayout w:type="fixed"/>
        <w:tblLook w:val="01E0" w:firstRow="1" w:lastRow="1" w:firstColumn="1" w:lastColumn="1" w:noHBand="0" w:noVBand="0"/>
      </w:tblPr>
      <w:tblGrid>
        <w:gridCol w:w="1411"/>
        <w:gridCol w:w="1153"/>
        <w:gridCol w:w="1986"/>
        <w:gridCol w:w="181"/>
        <w:gridCol w:w="2377"/>
        <w:gridCol w:w="58"/>
        <w:gridCol w:w="2538"/>
        <w:gridCol w:w="2407"/>
        <w:gridCol w:w="1826"/>
      </w:tblGrid>
      <w:tr w:rsidR="000F2D94" w:rsidRPr="000F2D94" w14:paraId="5BDADFA9" w14:textId="77777777" w:rsidTr="000F2D94">
        <w:trPr>
          <w:cnfStyle w:val="100000000000" w:firstRow="1" w:lastRow="0" w:firstColumn="0" w:lastColumn="0" w:oddVBand="0" w:evenVBand="0" w:oddHBand="0" w:evenHBand="0" w:firstRowFirstColumn="0" w:firstRowLastColumn="0" w:lastRowFirstColumn="0" w:lastRowLastColumn="0"/>
          <w:cantSplit/>
        </w:trPr>
        <w:tc>
          <w:tcPr>
            <w:tcW w:w="501" w:type="pct"/>
          </w:tcPr>
          <w:p w14:paraId="7B4257A4" w14:textId="77777777" w:rsidR="00DA3E6F" w:rsidRPr="000F2D94" w:rsidRDefault="00DA3E6F" w:rsidP="000F2D94">
            <w:pPr>
              <w:pStyle w:val="TableTextColumnHeading"/>
              <w:rPr>
                <w:b/>
              </w:rPr>
            </w:pPr>
            <w:r w:rsidRPr="000F2D94">
              <w:rPr>
                <w:b/>
              </w:rPr>
              <w:t>Vietnam development goal</w:t>
            </w:r>
          </w:p>
        </w:tc>
        <w:tc>
          <w:tcPr>
            <w:tcW w:w="412" w:type="pct"/>
          </w:tcPr>
          <w:p w14:paraId="3B2934ED" w14:textId="77777777" w:rsidR="00DA3E6F" w:rsidRPr="000F2D94" w:rsidRDefault="00DA3E6F" w:rsidP="000F2D94">
            <w:pPr>
              <w:pStyle w:val="TableTextColumnHeading"/>
              <w:rPr>
                <w:b/>
              </w:rPr>
            </w:pPr>
            <w:r w:rsidRPr="000F2D94">
              <w:rPr>
                <w:b/>
              </w:rPr>
              <w:t>Strategy objective</w:t>
            </w:r>
          </w:p>
        </w:tc>
        <w:tc>
          <w:tcPr>
            <w:tcW w:w="717" w:type="pct"/>
          </w:tcPr>
          <w:p w14:paraId="36E035CD" w14:textId="77777777" w:rsidR="00DA3E6F" w:rsidRPr="000F2D94" w:rsidRDefault="00DA3E6F" w:rsidP="000F2D94">
            <w:pPr>
              <w:pStyle w:val="TableTextColumnHeading"/>
              <w:rPr>
                <w:b/>
              </w:rPr>
            </w:pPr>
            <w:r w:rsidRPr="000F2D94">
              <w:rPr>
                <w:b/>
              </w:rPr>
              <w:t xml:space="preserve">Strategy objective </w:t>
            </w:r>
            <w:r w:rsidR="00341311" w:rsidRPr="000F2D94">
              <w:rPr>
                <w:b/>
              </w:rPr>
              <w:t>indicators</w:t>
            </w:r>
            <w:r w:rsidRPr="000F2D94">
              <w:rPr>
                <w:b/>
              </w:rPr>
              <w:t xml:space="preserve">/targets </w:t>
            </w:r>
            <w:r w:rsidRPr="000F2D94">
              <w:rPr>
                <w:b/>
              </w:rPr>
              <w:br/>
              <w:t>2015</w:t>
            </w:r>
          </w:p>
        </w:tc>
        <w:tc>
          <w:tcPr>
            <w:tcW w:w="927" w:type="pct"/>
            <w:gridSpan w:val="3"/>
          </w:tcPr>
          <w:p w14:paraId="527CBACF" w14:textId="77777777" w:rsidR="00DA3E6F" w:rsidRPr="000F2D94" w:rsidRDefault="00DA3E6F" w:rsidP="000F2D94">
            <w:pPr>
              <w:pStyle w:val="TableTextColumnHeading"/>
              <w:rPr>
                <w:b/>
              </w:rPr>
            </w:pPr>
            <w:r w:rsidRPr="000F2D94">
              <w:rPr>
                <w:b/>
              </w:rPr>
              <w:t>Annual milestones 2012</w:t>
            </w:r>
            <w:r w:rsidR="00341311" w:rsidRPr="000F2D94">
              <w:rPr>
                <w:b/>
              </w:rPr>
              <w:t>–</w:t>
            </w:r>
            <w:r w:rsidRPr="000F2D94">
              <w:rPr>
                <w:b/>
              </w:rPr>
              <w:t>13</w:t>
            </w:r>
          </w:p>
        </w:tc>
        <w:tc>
          <w:tcPr>
            <w:tcW w:w="919" w:type="pct"/>
          </w:tcPr>
          <w:p w14:paraId="16178007" w14:textId="77777777" w:rsidR="00DA3E6F" w:rsidRPr="000F2D94" w:rsidRDefault="00DA3E6F" w:rsidP="000F2D94">
            <w:pPr>
              <w:pStyle w:val="TableTextColumnHeading"/>
              <w:rPr>
                <w:b/>
              </w:rPr>
            </w:pPr>
            <w:r w:rsidRPr="000F2D94">
              <w:rPr>
                <w:b/>
              </w:rPr>
              <w:t>Progress against 2012</w:t>
            </w:r>
            <w:r w:rsidR="00341311" w:rsidRPr="000F2D94">
              <w:rPr>
                <w:b/>
              </w:rPr>
              <w:t>–</w:t>
            </w:r>
            <w:r w:rsidRPr="000F2D94">
              <w:rPr>
                <w:b/>
              </w:rPr>
              <w:t>13 milestones</w:t>
            </w:r>
          </w:p>
        </w:tc>
        <w:tc>
          <w:tcPr>
            <w:tcW w:w="871" w:type="pct"/>
          </w:tcPr>
          <w:p w14:paraId="1E974471" w14:textId="77777777" w:rsidR="00DA3E6F" w:rsidRPr="000F2D94" w:rsidRDefault="00DA3E6F" w:rsidP="000F2D94">
            <w:pPr>
              <w:pStyle w:val="TableTextColumnHeading"/>
              <w:rPr>
                <w:b/>
              </w:rPr>
            </w:pPr>
            <w:r w:rsidRPr="000F2D94">
              <w:rPr>
                <w:b/>
              </w:rPr>
              <w:t>2013–14 milestones</w:t>
            </w:r>
          </w:p>
        </w:tc>
        <w:tc>
          <w:tcPr>
            <w:tcW w:w="653" w:type="pct"/>
          </w:tcPr>
          <w:p w14:paraId="2C2969DC" w14:textId="77777777" w:rsidR="00DA3E6F" w:rsidRPr="000F2D94" w:rsidRDefault="00DA3E6F" w:rsidP="000F2D94">
            <w:pPr>
              <w:pStyle w:val="TableTextColumnHeading"/>
              <w:rPr>
                <w:b/>
              </w:rPr>
            </w:pPr>
            <w:r w:rsidRPr="000F2D94">
              <w:rPr>
                <w:b/>
              </w:rPr>
              <w:t>Australian Government assistance</w:t>
            </w:r>
          </w:p>
          <w:p w14:paraId="4BCEE959" w14:textId="77777777" w:rsidR="00DA3E6F" w:rsidRPr="000F2D94" w:rsidRDefault="00DA3E6F" w:rsidP="000F2D94">
            <w:pPr>
              <w:pStyle w:val="TableTextColumnHeading"/>
              <w:rPr>
                <w:b/>
              </w:rPr>
            </w:pPr>
          </w:p>
        </w:tc>
      </w:tr>
      <w:tr w:rsidR="000F2D94" w:rsidRPr="000F2D94" w14:paraId="5584BE08" w14:textId="77777777" w:rsidTr="000F2D94">
        <w:trPr>
          <w:cantSplit/>
          <w:tblHeader w:val="0"/>
        </w:trPr>
        <w:tc>
          <w:tcPr>
            <w:tcW w:w="501" w:type="pct"/>
            <w:vMerge w:val="restart"/>
          </w:tcPr>
          <w:p w14:paraId="76C3388C" w14:textId="77777777" w:rsidR="00DA3E6F" w:rsidRPr="000F2D94" w:rsidRDefault="00DA3E6F" w:rsidP="000F2D94">
            <w:pPr>
              <w:pStyle w:val="TableTextEntries"/>
            </w:pPr>
            <w:r w:rsidRPr="000F2D94">
              <w:t>To meet human resources needs associated with progression to industrialised country by 2020</w:t>
            </w:r>
          </w:p>
        </w:tc>
        <w:tc>
          <w:tcPr>
            <w:tcW w:w="412" w:type="pct"/>
            <w:vMerge w:val="restart"/>
          </w:tcPr>
          <w:p w14:paraId="3A5D511D" w14:textId="70AC8472" w:rsidR="00DA3E6F" w:rsidRPr="000F2D94" w:rsidRDefault="00DA3E6F" w:rsidP="000F2D94">
            <w:pPr>
              <w:pStyle w:val="TableTextEntries"/>
            </w:pPr>
            <w:r w:rsidRPr="000F2D94">
              <w:t>Improve the quality of Vietnam's human resources</w:t>
            </w:r>
          </w:p>
        </w:tc>
        <w:tc>
          <w:tcPr>
            <w:tcW w:w="717" w:type="pct"/>
          </w:tcPr>
          <w:p w14:paraId="28FDA1EC" w14:textId="77777777" w:rsidR="009761F8" w:rsidRPr="000F2D94" w:rsidRDefault="009761F8" w:rsidP="000F2D94">
            <w:pPr>
              <w:pStyle w:val="TableTextEntries"/>
            </w:pPr>
          </w:p>
          <w:p w14:paraId="2539B327" w14:textId="77777777" w:rsidR="009761F8" w:rsidRPr="000F2D94" w:rsidRDefault="009761F8" w:rsidP="000F2D94">
            <w:pPr>
              <w:pStyle w:val="TableTextEntries"/>
            </w:pPr>
          </w:p>
          <w:p w14:paraId="319A9F88" w14:textId="77777777" w:rsidR="009761F8" w:rsidRPr="000F2D94" w:rsidRDefault="009761F8" w:rsidP="000F2D94">
            <w:pPr>
              <w:pStyle w:val="TableTextEntries"/>
            </w:pPr>
          </w:p>
          <w:p w14:paraId="13E6FF5F" w14:textId="77777777" w:rsidR="009761F8" w:rsidRPr="000F2D94" w:rsidRDefault="009761F8" w:rsidP="000F2D94">
            <w:pPr>
              <w:pStyle w:val="TableTextEntries"/>
            </w:pPr>
          </w:p>
          <w:p w14:paraId="1FDFA69F" w14:textId="77777777" w:rsidR="00DA3E6F" w:rsidRPr="000F2D94" w:rsidRDefault="00DA3E6F" w:rsidP="000F2D94">
            <w:pPr>
              <w:pStyle w:val="TableTextEntries"/>
            </w:pPr>
            <w:r w:rsidRPr="000F2D94">
              <w:t>1380 scholarships and 300 fellowships delivered</w:t>
            </w:r>
          </w:p>
        </w:tc>
        <w:tc>
          <w:tcPr>
            <w:tcW w:w="927" w:type="pct"/>
            <w:gridSpan w:val="3"/>
          </w:tcPr>
          <w:p w14:paraId="6207E3B2" w14:textId="77777777" w:rsidR="009761F8" w:rsidRPr="000F2D94" w:rsidRDefault="009761F8" w:rsidP="000F2D94">
            <w:pPr>
              <w:pStyle w:val="TableTextEntries"/>
              <w:rPr>
                <w:rFonts w:cs="Arial"/>
              </w:rPr>
            </w:pPr>
            <w:r w:rsidRPr="000F2D94">
              <w:rPr>
                <w:rFonts w:cs="Arial"/>
              </w:rPr>
              <w:t>Commence delivery strategy</w:t>
            </w:r>
          </w:p>
          <w:p w14:paraId="63B71DDF" w14:textId="77777777" w:rsidR="009761F8" w:rsidRPr="000F2D94" w:rsidRDefault="009761F8" w:rsidP="000F2D94">
            <w:pPr>
              <w:pStyle w:val="TableTextEntries"/>
              <w:rPr>
                <w:rFonts w:cs="Arial"/>
              </w:rPr>
            </w:pPr>
          </w:p>
          <w:p w14:paraId="0301D7AC" w14:textId="77777777" w:rsidR="009761F8" w:rsidRPr="000F2D94" w:rsidRDefault="009761F8" w:rsidP="000F2D94">
            <w:pPr>
              <w:pStyle w:val="TableTextEntries"/>
              <w:rPr>
                <w:rFonts w:cs="Arial"/>
              </w:rPr>
            </w:pPr>
          </w:p>
          <w:p w14:paraId="78BB84EC" w14:textId="77777777" w:rsidR="009761F8" w:rsidRPr="000F2D94" w:rsidRDefault="009761F8" w:rsidP="000F2D94">
            <w:pPr>
              <w:pStyle w:val="TableTextEntries"/>
              <w:rPr>
                <w:rFonts w:cs="Arial"/>
              </w:rPr>
            </w:pPr>
          </w:p>
          <w:p w14:paraId="4CE74EB7" w14:textId="77777777" w:rsidR="00DA3E6F" w:rsidRPr="000F2D94" w:rsidRDefault="00DA3E6F" w:rsidP="000F2D94">
            <w:pPr>
              <w:pStyle w:val="TableTextEntries"/>
              <w:rPr>
                <w:rFonts w:cs="Arial"/>
              </w:rPr>
            </w:pPr>
            <w:r w:rsidRPr="000F2D94">
              <w:rPr>
                <w:rFonts w:cs="Arial"/>
              </w:rPr>
              <w:t xml:space="preserve">225 </w:t>
            </w:r>
            <w:r w:rsidR="009761F8" w:rsidRPr="000F2D94">
              <w:rPr>
                <w:rFonts w:cs="Arial"/>
              </w:rPr>
              <w:t>Australia Awards Scholarships</w:t>
            </w:r>
            <w:r w:rsidRPr="000F2D94">
              <w:rPr>
                <w:rFonts w:cs="Arial"/>
              </w:rPr>
              <w:br/>
            </w:r>
          </w:p>
          <w:p w14:paraId="60C3B27F" w14:textId="77777777" w:rsidR="00DA3E6F" w:rsidRPr="000F2D94" w:rsidRDefault="009761F8" w:rsidP="000F2D94">
            <w:pPr>
              <w:pStyle w:val="TableTextEntries"/>
              <w:rPr>
                <w:rFonts w:cs="Arial"/>
              </w:rPr>
            </w:pPr>
            <w:r w:rsidRPr="000F2D94">
              <w:rPr>
                <w:rFonts w:cs="Arial"/>
              </w:rPr>
              <w:t>18 Australia Awards Leadership Program</w:t>
            </w:r>
            <w:r w:rsidR="00DA3E6F" w:rsidRPr="000F2D94">
              <w:rPr>
                <w:rFonts w:cs="Arial"/>
              </w:rPr>
              <w:br/>
            </w:r>
            <w:r w:rsidR="00DA3E6F" w:rsidRPr="000F2D94">
              <w:rPr>
                <w:rFonts w:cs="Arial"/>
              </w:rPr>
              <w:br/>
            </w:r>
          </w:p>
          <w:p w14:paraId="4EA3A12E" w14:textId="77777777" w:rsidR="00DA3E6F" w:rsidRPr="000F2D94" w:rsidRDefault="00DA3E6F" w:rsidP="000F2D94">
            <w:pPr>
              <w:pStyle w:val="TableTextEntries"/>
              <w:rPr>
                <w:rFonts w:cs="Arial"/>
              </w:rPr>
            </w:pPr>
            <w:r w:rsidRPr="000F2D94">
              <w:rPr>
                <w:rFonts w:cs="Arial"/>
              </w:rPr>
              <w:t xml:space="preserve">50 to 60 </w:t>
            </w:r>
            <w:r w:rsidR="009761F8" w:rsidRPr="000F2D94">
              <w:rPr>
                <w:rFonts w:cs="Arial"/>
              </w:rPr>
              <w:t>Australia Awards F</w:t>
            </w:r>
            <w:r w:rsidRPr="000F2D94">
              <w:rPr>
                <w:rFonts w:cs="Arial"/>
              </w:rPr>
              <w:t>ellowships</w:t>
            </w:r>
          </w:p>
          <w:p w14:paraId="766B42E4" w14:textId="77777777" w:rsidR="009761F8" w:rsidRPr="000F2D94" w:rsidRDefault="009761F8" w:rsidP="000F2D94">
            <w:pPr>
              <w:pStyle w:val="TableTextEntries"/>
              <w:rPr>
                <w:rFonts w:cs="Arial"/>
              </w:rPr>
            </w:pPr>
          </w:p>
          <w:p w14:paraId="0BF21539" w14:textId="77777777" w:rsidR="009761F8" w:rsidRPr="000F2D94" w:rsidRDefault="009761F8" w:rsidP="000F2D94">
            <w:pPr>
              <w:pStyle w:val="TableTextEntries"/>
              <w:rPr>
                <w:rFonts w:cs="Arial"/>
              </w:rPr>
            </w:pPr>
            <w:r w:rsidRPr="000F2D94">
              <w:rPr>
                <w:rFonts w:cs="Arial"/>
              </w:rPr>
              <w:t>Update monitoring and evaluation framework</w:t>
            </w:r>
          </w:p>
          <w:p w14:paraId="6124F0DD" w14:textId="77777777" w:rsidR="00E05840" w:rsidRPr="000F2D94" w:rsidRDefault="00E05840" w:rsidP="000F2D94">
            <w:pPr>
              <w:pStyle w:val="TableTextEntries"/>
              <w:rPr>
                <w:rFonts w:cs="Arial"/>
              </w:rPr>
            </w:pPr>
          </w:p>
          <w:p w14:paraId="61394139" w14:textId="77777777" w:rsidR="00E05840" w:rsidRPr="000F2D94" w:rsidRDefault="00E05840" w:rsidP="000F2D94">
            <w:pPr>
              <w:pStyle w:val="TableTextEntries"/>
              <w:rPr>
                <w:rFonts w:cs="Arial"/>
              </w:rPr>
            </w:pPr>
          </w:p>
        </w:tc>
        <w:tc>
          <w:tcPr>
            <w:tcW w:w="919" w:type="pct"/>
          </w:tcPr>
          <w:p w14:paraId="6C8819F8" w14:textId="77777777" w:rsidR="009761F8" w:rsidRPr="000F2D94" w:rsidRDefault="009761F8" w:rsidP="000F2D94">
            <w:pPr>
              <w:pStyle w:val="TableTextEntries"/>
              <w:rPr>
                <w:rFonts w:cs="Arial"/>
              </w:rPr>
            </w:pPr>
            <w:r w:rsidRPr="000F2D94">
              <w:rPr>
                <w:rFonts w:cs="Arial"/>
              </w:rPr>
              <w:t>Achieved (due for completion December 2013)</w:t>
            </w:r>
          </w:p>
          <w:p w14:paraId="3C593F5F" w14:textId="77777777" w:rsidR="009761F8" w:rsidRPr="000F2D94" w:rsidRDefault="009761F8" w:rsidP="000F2D94">
            <w:pPr>
              <w:pStyle w:val="TableTextEntries"/>
              <w:rPr>
                <w:rFonts w:cs="Arial"/>
              </w:rPr>
            </w:pPr>
          </w:p>
          <w:p w14:paraId="46E0F827" w14:textId="77777777" w:rsidR="00DA3E6F" w:rsidRPr="000F2D94" w:rsidRDefault="001C31B9" w:rsidP="000F2D94">
            <w:pPr>
              <w:pStyle w:val="TableTextEntries"/>
              <w:rPr>
                <w:rFonts w:cs="Arial"/>
              </w:rPr>
            </w:pPr>
            <w:r w:rsidRPr="000F2D94">
              <w:rPr>
                <w:rFonts w:cs="Arial"/>
              </w:rPr>
              <w:t>Achieved</w:t>
            </w:r>
          </w:p>
          <w:p w14:paraId="3F9CC570" w14:textId="77777777" w:rsidR="006B33A7" w:rsidRPr="000F2D94" w:rsidRDefault="006B33A7" w:rsidP="000F2D94">
            <w:pPr>
              <w:pStyle w:val="TableTextEntries"/>
              <w:rPr>
                <w:rFonts w:cs="Arial"/>
              </w:rPr>
            </w:pPr>
          </w:p>
          <w:p w14:paraId="7C4F2849" w14:textId="77777777" w:rsidR="009761F8" w:rsidRPr="000F2D94" w:rsidRDefault="009761F8" w:rsidP="000F2D94">
            <w:pPr>
              <w:pStyle w:val="TableTextEntries"/>
              <w:rPr>
                <w:rFonts w:cs="Arial"/>
              </w:rPr>
            </w:pPr>
          </w:p>
          <w:p w14:paraId="03C9671E" w14:textId="77777777" w:rsidR="006B33A7" w:rsidRPr="000F2D94" w:rsidRDefault="009761F8" w:rsidP="000F2D94">
            <w:pPr>
              <w:pStyle w:val="TableTextEntries"/>
              <w:rPr>
                <w:rFonts w:cs="Arial"/>
              </w:rPr>
            </w:pPr>
            <w:r w:rsidRPr="000F2D94">
              <w:rPr>
                <w:rFonts w:cs="Arial"/>
              </w:rPr>
              <w:t>Achieved</w:t>
            </w:r>
          </w:p>
          <w:p w14:paraId="6085A145" w14:textId="77777777" w:rsidR="006B33A7" w:rsidRPr="000F2D94" w:rsidRDefault="006B33A7" w:rsidP="000F2D94">
            <w:pPr>
              <w:pStyle w:val="TableTextEntries"/>
              <w:rPr>
                <w:rFonts w:cs="Arial"/>
              </w:rPr>
            </w:pPr>
          </w:p>
          <w:p w14:paraId="0188B6D3" w14:textId="77777777" w:rsidR="006B33A7" w:rsidRPr="000F2D94" w:rsidRDefault="006B33A7" w:rsidP="000F2D94">
            <w:pPr>
              <w:pStyle w:val="TableTextEntries"/>
              <w:rPr>
                <w:rFonts w:cs="Arial"/>
              </w:rPr>
            </w:pPr>
          </w:p>
          <w:p w14:paraId="74DA7F8F" w14:textId="77777777" w:rsidR="009761F8" w:rsidRPr="000F2D94" w:rsidRDefault="009761F8" w:rsidP="000F2D94">
            <w:pPr>
              <w:pStyle w:val="TableTextEntries"/>
              <w:rPr>
                <w:rFonts w:cs="Arial"/>
              </w:rPr>
            </w:pPr>
          </w:p>
          <w:p w14:paraId="7D5C9904" w14:textId="77777777" w:rsidR="006B33A7" w:rsidRPr="000F2D94" w:rsidRDefault="001C31B9" w:rsidP="000F2D94">
            <w:pPr>
              <w:pStyle w:val="TableTextEntries"/>
              <w:rPr>
                <w:rFonts w:cs="Arial"/>
              </w:rPr>
            </w:pPr>
            <w:r w:rsidRPr="000F2D94">
              <w:rPr>
                <w:rFonts w:cs="Arial"/>
              </w:rPr>
              <w:t>Achieved</w:t>
            </w:r>
          </w:p>
          <w:p w14:paraId="646734CC" w14:textId="77777777" w:rsidR="009761F8" w:rsidRPr="000F2D94" w:rsidRDefault="009761F8" w:rsidP="000F2D94">
            <w:pPr>
              <w:pStyle w:val="TableTextEntries"/>
              <w:rPr>
                <w:rFonts w:cs="Arial"/>
              </w:rPr>
            </w:pPr>
          </w:p>
          <w:p w14:paraId="66616A2C" w14:textId="77777777" w:rsidR="009761F8" w:rsidRPr="000F2D94" w:rsidRDefault="009761F8" w:rsidP="000F2D94">
            <w:pPr>
              <w:pStyle w:val="TableTextEntries"/>
              <w:rPr>
                <w:rFonts w:cs="Arial"/>
              </w:rPr>
            </w:pPr>
            <w:r w:rsidRPr="000F2D94">
              <w:rPr>
                <w:rFonts w:cs="Arial"/>
              </w:rPr>
              <w:t>Achieved</w:t>
            </w:r>
          </w:p>
        </w:tc>
        <w:tc>
          <w:tcPr>
            <w:tcW w:w="871" w:type="pct"/>
          </w:tcPr>
          <w:p w14:paraId="423301AF" w14:textId="77777777" w:rsidR="00DA3E6F" w:rsidRPr="000F2D94" w:rsidRDefault="009761F8" w:rsidP="000F2D94">
            <w:pPr>
              <w:pStyle w:val="TableTextEntries"/>
              <w:rPr>
                <w:rFonts w:cs="Arial"/>
              </w:rPr>
            </w:pPr>
            <w:r w:rsidRPr="000F2D94">
              <w:rPr>
                <w:rFonts w:cs="Arial"/>
              </w:rPr>
              <w:t xml:space="preserve">Delivery </w:t>
            </w:r>
            <w:r w:rsidR="00341311" w:rsidRPr="000F2D94">
              <w:rPr>
                <w:rFonts w:cs="Arial"/>
              </w:rPr>
              <w:t xml:space="preserve">strategy </w:t>
            </w:r>
            <w:r w:rsidRPr="000F2D94">
              <w:rPr>
                <w:rFonts w:cs="Arial"/>
              </w:rPr>
              <w:t>finalised</w:t>
            </w:r>
          </w:p>
          <w:p w14:paraId="39D47F66" w14:textId="77777777" w:rsidR="009761F8" w:rsidRPr="000F2D94" w:rsidRDefault="009761F8" w:rsidP="000F2D94">
            <w:pPr>
              <w:pStyle w:val="TableTextEntries"/>
              <w:rPr>
                <w:rFonts w:cs="Arial"/>
              </w:rPr>
            </w:pPr>
          </w:p>
          <w:p w14:paraId="28284A51" w14:textId="77777777" w:rsidR="009761F8" w:rsidRPr="000F2D94" w:rsidRDefault="009761F8" w:rsidP="000F2D94">
            <w:pPr>
              <w:pStyle w:val="TableTextEntries"/>
              <w:rPr>
                <w:rFonts w:cs="Arial"/>
              </w:rPr>
            </w:pPr>
          </w:p>
          <w:p w14:paraId="2CB7CC3C" w14:textId="77777777" w:rsidR="009761F8" w:rsidRPr="000F2D94" w:rsidRDefault="009761F8" w:rsidP="000F2D94">
            <w:pPr>
              <w:pStyle w:val="TableTextEntries"/>
              <w:rPr>
                <w:rFonts w:cs="Arial"/>
              </w:rPr>
            </w:pPr>
          </w:p>
          <w:p w14:paraId="2222E63A" w14:textId="77777777" w:rsidR="009761F8" w:rsidRPr="000F2D94" w:rsidRDefault="009761F8" w:rsidP="000F2D94">
            <w:pPr>
              <w:pStyle w:val="TableTextEntries"/>
              <w:rPr>
                <w:rFonts w:cs="Arial"/>
              </w:rPr>
            </w:pPr>
            <w:r w:rsidRPr="000F2D94">
              <w:rPr>
                <w:rFonts w:cs="Arial"/>
              </w:rPr>
              <w:t>225 Australia Awards Scholarships</w:t>
            </w:r>
          </w:p>
          <w:p w14:paraId="2FE6FD0A" w14:textId="77777777" w:rsidR="009761F8" w:rsidRPr="000F2D94" w:rsidRDefault="009761F8" w:rsidP="000F2D94">
            <w:pPr>
              <w:pStyle w:val="TableTextEntries"/>
              <w:rPr>
                <w:rFonts w:cs="Arial"/>
              </w:rPr>
            </w:pPr>
          </w:p>
          <w:p w14:paraId="4B86246D" w14:textId="77777777" w:rsidR="009761F8" w:rsidRPr="000F2D94" w:rsidRDefault="009761F8" w:rsidP="000F2D94">
            <w:pPr>
              <w:pStyle w:val="TableTextEntries"/>
              <w:rPr>
                <w:rFonts w:cs="Arial"/>
              </w:rPr>
            </w:pPr>
          </w:p>
          <w:p w14:paraId="7430417C" w14:textId="77777777" w:rsidR="009761F8" w:rsidRPr="000F2D94" w:rsidRDefault="009761F8" w:rsidP="000F2D94">
            <w:pPr>
              <w:pStyle w:val="TableTextEntries"/>
              <w:rPr>
                <w:rFonts w:cs="Arial"/>
              </w:rPr>
            </w:pPr>
          </w:p>
          <w:p w14:paraId="7A4D34B8" w14:textId="77777777" w:rsidR="009761F8" w:rsidRPr="000F2D94" w:rsidRDefault="009761F8" w:rsidP="000F2D94">
            <w:pPr>
              <w:pStyle w:val="TableTextEntries"/>
              <w:rPr>
                <w:rFonts w:cs="Arial"/>
              </w:rPr>
            </w:pPr>
          </w:p>
          <w:p w14:paraId="7EEC6EA7" w14:textId="77777777" w:rsidR="009761F8" w:rsidRPr="000F2D94" w:rsidRDefault="009761F8" w:rsidP="000F2D94">
            <w:pPr>
              <w:pStyle w:val="TableTextEntries"/>
              <w:rPr>
                <w:rFonts w:cs="Arial"/>
              </w:rPr>
            </w:pPr>
            <w:r w:rsidRPr="000F2D94">
              <w:rPr>
                <w:rFonts w:cs="Arial"/>
              </w:rPr>
              <w:t>100 Australia Awards Fellowships</w:t>
            </w:r>
          </w:p>
          <w:p w14:paraId="4F5DE797" w14:textId="77777777" w:rsidR="00E05840" w:rsidRPr="000F2D94" w:rsidRDefault="00E05840" w:rsidP="000F2D94">
            <w:pPr>
              <w:pStyle w:val="TableTextEntries"/>
              <w:rPr>
                <w:rFonts w:cs="Arial"/>
              </w:rPr>
            </w:pPr>
          </w:p>
          <w:p w14:paraId="608A6D7C" w14:textId="77777777" w:rsidR="00E05840" w:rsidRPr="000F2D94" w:rsidRDefault="00E05840" w:rsidP="000F2D94">
            <w:pPr>
              <w:pStyle w:val="TableTextEntries"/>
              <w:rPr>
                <w:rFonts w:cs="Arial"/>
              </w:rPr>
            </w:pPr>
          </w:p>
          <w:p w14:paraId="399721E3" w14:textId="77777777" w:rsidR="00E05840" w:rsidRPr="000F2D94" w:rsidRDefault="00E05840" w:rsidP="000F2D94">
            <w:pPr>
              <w:pStyle w:val="TableTextEntries"/>
              <w:rPr>
                <w:rFonts w:cs="Arial"/>
              </w:rPr>
            </w:pPr>
          </w:p>
          <w:p w14:paraId="75FBD442" w14:textId="77777777" w:rsidR="00E05840" w:rsidRPr="000F2D94" w:rsidRDefault="00E05840" w:rsidP="000F2D94">
            <w:pPr>
              <w:pStyle w:val="TableTextEntries"/>
              <w:rPr>
                <w:rFonts w:cs="Arial"/>
              </w:rPr>
            </w:pPr>
            <w:r w:rsidRPr="000F2D94">
              <w:rPr>
                <w:rFonts w:cs="Arial"/>
              </w:rPr>
              <w:t>Australia Awards Scholarships Equity of Access Fund established</w:t>
            </w:r>
          </w:p>
        </w:tc>
        <w:tc>
          <w:tcPr>
            <w:tcW w:w="653" w:type="pct"/>
          </w:tcPr>
          <w:p w14:paraId="590ADD2A" w14:textId="77777777" w:rsidR="009761F8" w:rsidRPr="000F2D94" w:rsidRDefault="009761F8" w:rsidP="000F2D94">
            <w:pPr>
              <w:pStyle w:val="TableTextEntries"/>
              <w:rPr>
                <w:rFonts w:cs="Arial"/>
              </w:rPr>
            </w:pPr>
          </w:p>
          <w:p w14:paraId="10D37166" w14:textId="77777777" w:rsidR="009761F8" w:rsidRPr="000F2D94" w:rsidRDefault="009761F8" w:rsidP="000F2D94">
            <w:pPr>
              <w:pStyle w:val="TableTextEntries"/>
              <w:rPr>
                <w:rFonts w:cs="Arial"/>
              </w:rPr>
            </w:pPr>
          </w:p>
          <w:p w14:paraId="1AB20111" w14:textId="77777777" w:rsidR="009761F8" w:rsidRPr="000F2D94" w:rsidRDefault="009761F8" w:rsidP="000F2D94">
            <w:pPr>
              <w:pStyle w:val="TableTextEntries"/>
              <w:rPr>
                <w:rFonts w:cs="Arial"/>
              </w:rPr>
            </w:pPr>
          </w:p>
          <w:p w14:paraId="39DFA6B1" w14:textId="77777777" w:rsidR="009761F8" w:rsidRPr="000F2D94" w:rsidRDefault="009761F8" w:rsidP="000F2D94">
            <w:pPr>
              <w:pStyle w:val="TableTextEntries"/>
              <w:rPr>
                <w:rFonts w:cs="Arial"/>
              </w:rPr>
            </w:pPr>
          </w:p>
          <w:p w14:paraId="540AB302" w14:textId="77777777" w:rsidR="00DA3E6F" w:rsidRPr="000F2D94" w:rsidRDefault="009761F8" w:rsidP="000F2D94">
            <w:pPr>
              <w:pStyle w:val="TableTextEntries"/>
              <w:rPr>
                <w:rFonts w:cs="Arial"/>
              </w:rPr>
            </w:pPr>
            <w:r w:rsidRPr="000F2D94">
              <w:rPr>
                <w:rFonts w:cs="Arial"/>
              </w:rPr>
              <w:t>Australia Awards</w:t>
            </w:r>
            <w:r w:rsidR="00DA3E6F" w:rsidRPr="000F2D94">
              <w:rPr>
                <w:rFonts w:cs="Arial"/>
              </w:rPr>
              <w:br/>
            </w:r>
          </w:p>
          <w:p w14:paraId="39824458" w14:textId="77777777" w:rsidR="00DA3E6F" w:rsidRPr="000F2D94" w:rsidRDefault="00DA3E6F" w:rsidP="000F2D94">
            <w:pPr>
              <w:pStyle w:val="TableTextEntries"/>
              <w:rPr>
                <w:rFonts w:cs="Arial"/>
              </w:rPr>
            </w:pPr>
          </w:p>
        </w:tc>
      </w:tr>
      <w:tr w:rsidR="000F2D94" w:rsidRPr="000F2D94" w14:paraId="70EB0805" w14:textId="77777777" w:rsidTr="000F2D94">
        <w:trPr>
          <w:cnfStyle w:val="000000010000" w:firstRow="0" w:lastRow="0" w:firstColumn="0" w:lastColumn="0" w:oddVBand="0" w:evenVBand="0" w:oddHBand="0" w:evenHBand="1" w:firstRowFirstColumn="0" w:firstRowLastColumn="0" w:lastRowFirstColumn="0" w:lastRowLastColumn="0"/>
          <w:cantSplit/>
          <w:tblHeader w:val="0"/>
        </w:trPr>
        <w:tc>
          <w:tcPr>
            <w:tcW w:w="501" w:type="pct"/>
            <w:vMerge/>
          </w:tcPr>
          <w:p w14:paraId="607B1F7B" w14:textId="77777777" w:rsidR="00DA3E6F" w:rsidRPr="000F2D94" w:rsidRDefault="00DA3E6F" w:rsidP="000F2D94">
            <w:pPr>
              <w:pStyle w:val="TableTextEntries"/>
            </w:pPr>
          </w:p>
        </w:tc>
        <w:tc>
          <w:tcPr>
            <w:tcW w:w="412" w:type="pct"/>
            <w:vMerge/>
          </w:tcPr>
          <w:p w14:paraId="6E73A512" w14:textId="77777777" w:rsidR="00DA3E6F" w:rsidRPr="000F2D94" w:rsidRDefault="00DA3E6F" w:rsidP="000F2D94">
            <w:pPr>
              <w:pStyle w:val="TableTextEntries"/>
            </w:pPr>
          </w:p>
        </w:tc>
        <w:tc>
          <w:tcPr>
            <w:tcW w:w="717" w:type="pct"/>
          </w:tcPr>
          <w:p w14:paraId="65909940" w14:textId="77777777" w:rsidR="00DA3E6F" w:rsidRPr="000F2D94" w:rsidRDefault="00DA3E6F" w:rsidP="000F2D94">
            <w:pPr>
              <w:pStyle w:val="TableTextEntries"/>
            </w:pPr>
            <w:r w:rsidRPr="000F2D94">
              <w:t>Increased number and strength of institutional links between public sector institutions</w:t>
            </w:r>
          </w:p>
        </w:tc>
        <w:tc>
          <w:tcPr>
            <w:tcW w:w="927" w:type="pct"/>
            <w:gridSpan w:val="3"/>
          </w:tcPr>
          <w:p w14:paraId="775413DF" w14:textId="77777777" w:rsidR="00DA3E6F" w:rsidRPr="000F2D94" w:rsidRDefault="003E7AA9" w:rsidP="000F2D94">
            <w:pPr>
              <w:pStyle w:val="TableTextEntries"/>
              <w:rPr>
                <w:rFonts w:cs="Arial"/>
              </w:rPr>
            </w:pPr>
            <w:r w:rsidRPr="000F2D94">
              <w:rPr>
                <w:rFonts w:cs="Arial"/>
              </w:rPr>
              <w:t>Complete an institutional impact assessment of scholarships program on key central government agencies</w:t>
            </w:r>
          </w:p>
        </w:tc>
        <w:tc>
          <w:tcPr>
            <w:tcW w:w="919" w:type="pct"/>
          </w:tcPr>
          <w:p w14:paraId="6F8B5A3B" w14:textId="77777777" w:rsidR="00DA3E6F" w:rsidRPr="000F2D94" w:rsidRDefault="003E7AA9" w:rsidP="000F2D94">
            <w:pPr>
              <w:pStyle w:val="TableTextEntries"/>
              <w:rPr>
                <w:rFonts w:cs="Arial"/>
              </w:rPr>
            </w:pPr>
            <w:r w:rsidRPr="000F2D94">
              <w:rPr>
                <w:rFonts w:cs="Arial"/>
              </w:rPr>
              <w:t>Achieved</w:t>
            </w:r>
          </w:p>
        </w:tc>
        <w:tc>
          <w:tcPr>
            <w:tcW w:w="871" w:type="pct"/>
          </w:tcPr>
          <w:p w14:paraId="50116BF7" w14:textId="77777777" w:rsidR="00DA3E6F" w:rsidRPr="000F2D94" w:rsidRDefault="00DA3E6F" w:rsidP="000F2D94">
            <w:pPr>
              <w:pStyle w:val="TableTextEntries"/>
              <w:rPr>
                <w:rFonts w:cs="Arial"/>
              </w:rPr>
            </w:pPr>
          </w:p>
        </w:tc>
        <w:tc>
          <w:tcPr>
            <w:tcW w:w="653" w:type="pct"/>
          </w:tcPr>
          <w:p w14:paraId="4767B72D" w14:textId="77777777" w:rsidR="00DA3E6F" w:rsidRPr="000F2D94" w:rsidRDefault="00DA3E6F" w:rsidP="000F2D94">
            <w:pPr>
              <w:pStyle w:val="TableTextEntries"/>
              <w:rPr>
                <w:rFonts w:cs="Arial"/>
              </w:rPr>
            </w:pPr>
          </w:p>
        </w:tc>
      </w:tr>
      <w:tr w:rsidR="000F2D94" w:rsidRPr="000F2D94" w14:paraId="3B8C3073" w14:textId="77777777" w:rsidTr="000F2D94">
        <w:trPr>
          <w:cantSplit/>
          <w:tblHeader w:val="0"/>
        </w:trPr>
        <w:tc>
          <w:tcPr>
            <w:tcW w:w="501" w:type="pct"/>
            <w:vMerge/>
          </w:tcPr>
          <w:p w14:paraId="039F9D62" w14:textId="77777777" w:rsidR="00DA3E6F" w:rsidRPr="000F2D94" w:rsidRDefault="00DA3E6F" w:rsidP="000F2D94">
            <w:pPr>
              <w:pStyle w:val="TableTextEntries"/>
            </w:pPr>
          </w:p>
        </w:tc>
        <w:tc>
          <w:tcPr>
            <w:tcW w:w="412" w:type="pct"/>
            <w:vMerge/>
          </w:tcPr>
          <w:p w14:paraId="1D656BEE" w14:textId="77777777" w:rsidR="00DA3E6F" w:rsidRPr="000F2D94" w:rsidRDefault="00DA3E6F" w:rsidP="000F2D94">
            <w:pPr>
              <w:pStyle w:val="TableTextEntries"/>
            </w:pPr>
          </w:p>
        </w:tc>
        <w:tc>
          <w:tcPr>
            <w:tcW w:w="717" w:type="pct"/>
          </w:tcPr>
          <w:p w14:paraId="56EA4D32" w14:textId="77777777" w:rsidR="00DA3E6F" w:rsidRPr="000F2D94" w:rsidRDefault="00DA3E6F" w:rsidP="000F2D94">
            <w:pPr>
              <w:pStyle w:val="TableTextEntries"/>
            </w:pPr>
            <w:r w:rsidRPr="000F2D94">
              <w:t>Increased contribution of scholarship alumni and institutional links to meeting strategy objectives</w:t>
            </w:r>
          </w:p>
        </w:tc>
        <w:tc>
          <w:tcPr>
            <w:tcW w:w="927" w:type="pct"/>
            <w:gridSpan w:val="3"/>
          </w:tcPr>
          <w:p w14:paraId="75A058CB" w14:textId="77777777" w:rsidR="00DA3E6F" w:rsidRPr="000F2D94" w:rsidRDefault="00DA3E6F" w:rsidP="000F2D94">
            <w:pPr>
              <w:pStyle w:val="TableTextEntries"/>
            </w:pPr>
            <w:r w:rsidRPr="000F2D94">
              <w:t>Provide comprehensive reintegration support for alumni</w:t>
            </w:r>
          </w:p>
          <w:p w14:paraId="237B5796" w14:textId="77777777" w:rsidR="00DA3E6F" w:rsidRPr="000F2D94" w:rsidRDefault="00DA3E6F" w:rsidP="000F2D94">
            <w:pPr>
              <w:pStyle w:val="TableTextEntries"/>
            </w:pPr>
          </w:p>
        </w:tc>
        <w:tc>
          <w:tcPr>
            <w:tcW w:w="919" w:type="pct"/>
          </w:tcPr>
          <w:p w14:paraId="4DDBE870" w14:textId="77777777" w:rsidR="00DA3E6F" w:rsidRPr="000F2D94" w:rsidRDefault="001C31B9" w:rsidP="000F2D94">
            <w:pPr>
              <w:pStyle w:val="TableTextEntries"/>
            </w:pPr>
            <w:r w:rsidRPr="000F2D94">
              <w:t>Achieved</w:t>
            </w:r>
          </w:p>
          <w:p w14:paraId="0870ED74" w14:textId="77777777" w:rsidR="001C31B9" w:rsidRPr="000F2D94" w:rsidRDefault="001C31B9" w:rsidP="000F2D94">
            <w:pPr>
              <w:pStyle w:val="TableTextEntries"/>
            </w:pPr>
          </w:p>
          <w:p w14:paraId="6F5229AB" w14:textId="77777777" w:rsidR="001C31B9" w:rsidRPr="000F2D94" w:rsidRDefault="001C31B9" w:rsidP="000F2D94">
            <w:pPr>
              <w:pStyle w:val="TableTextEntries"/>
            </w:pPr>
          </w:p>
          <w:p w14:paraId="3E157D9B" w14:textId="77777777" w:rsidR="001C31B9" w:rsidRPr="000F2D94" w:rsidRDefault="001C31B9" w:rsidP="000F2D94">
            <w:pPr>
              <w:pStyle w:val="TableTextEntries"/>
            </w:pPr>
          </w:p>
        </w:tc>
        <w:tc>
          <w:tcPr>
            <w:tcW w:w="871" w:type="pct"/>
          </w:tcPr>
          <w:p w14:paraId="59808025" w14:textId="77777777" w:rsidR="00DA3E6F" w:rsidRPr="000F2D94" w:rsidRDefault="000E7A8D" w:rsidP="000F2D94">
            <w:pPr>
              <w:pStyle w:val="TableTextEntries"/>
            </w:pPr>
            <w:r w:rsidRPr="000F2D94">
              <w:t xml:space="preserve">Complete two cluster studies on the environment and education sectors and an impact study on the overall Australia Awards Scholarships program. </w:t>
            </w:r>
          </w:p>
          <w:p w14:paraId="50766956" w14:textId="107DD6F2" w:rsidR="000E7A8D" w:rsidRPr="000F2D94" w:rsidRDefault="000E7A8D" w:rsidP="000F2D94">
            <w:pPr>
              <w:pStyle w:val="TableTextEntries"/>
            </w:pPr>
            <w:r w:rsidRPr="000F2D94">
              <w:t>Sponsor a National Alumni Conference for Vietnamese graduates of Australia</w:t>
            </w:r>
          </w:p>
        </w:tc>
        <w:tc>
          <w:tcPr>
            <w:tcW w:w="653" w:type="pct"/>
          </w:tcPr>
          <w:p w14:paraId="69B3E573" w14:textId="77777777" w:rsidR="00DA3E6F" w:rsidRPr="000F2D94" w:rsidRDefault="00DA3E6F" w:rsidP="000F2D94">
            <w:pPr>
              <w:pStyle w:val="TableTextEntries"/>
              <w:rPr>
                <w:rFonts w:cs="Arial"/>
              </w:rPr>
            </w:pPr>
          </w:p>
          <w:p w14:paraId="35766B7B" w14:textId="77777777" w:rsidR="00DA3E6F" w:rsidRPr="000F2D94" w:rsidRDefault="00DA3E6F" w:rsidP="000F2D94">
            <w:pPr>
              <w:pStyle w:val="TableTextEntries"/>
              <w:rPr>
                <w:rFonts w:cs="Arial"/>
              </w:rPr>
            </w:pPr>
          </w:p>
          <w:p w14:paraId="1B062D72" w14:textId="77777777" w:rsidR="00DA3E6F" w:rsidRPr="000F2D94" w:rsidRDefault="00DA3E6F" w:rsidP="000F2D94">
            <w:pPr>
              <w:pStyle w:val="TableTextEntries"/>
              <w:rPr>
                <w:rFonts w:cs="Arial"/>
              </w:rPr>
            </w:pPr>
          </w:p>
          <w:p w14:paraId="570A2722" w14:textId="77777777" w:rsidR="00DA3E6F" w:rsidRPr="000F2D94" w:rsidRDefault="00DA3E6F" w:rsidP="000F2D94">
            <w:pPr>
              <w:pStyle w:val="TableTextEntries"/>
              <w:rPr>
                <w:rFonts w:cs="Arial"/>
              </w:rPr>
            </w:pPr>
          </w:p>
        </w:tc>
      </w:tr>
      <w:tr w:rsidR="000F2D94" w:rsidRPr="000F2D94" w14:paraId="58CCA185" w14:textId="77777777" w:rsidTr="000F2D94">
        <w:trPr>
          <w:cnfStyle w:val="000000010000" w:firstRow="0" w:lastRow="0" w:firstColumn="0" w:lastColumn="0" w:oddVBand="0" w:evenVBand="0" w:oddHBand="0" w:evenHBand="1" w:firstRowFirstColumn="0" w:firstRowLastColumn="0" w:lastRowFirstColumn="0" w:lastRowLastColumn="0"/>
          <w:cantSplit/>
          <w:tblHeader w:val="0"/>
        </w:trPr>
        <w:tc>
          <w:tcPr>
            <w:tcW w:w="501" w:type="pct"/>
            <w:vMerge w:val="restart"/>
          </w:tcPr>
          <w:p w14:paraId="16A32DE6" w14:textId="77777777" w:rsidR="00DA3E6F" w:rsidRPr="000F2D94" w:rsidRDefault="00DA3E6F" w:rsidP="000F2D94">
            <w:pPr>
              <w:pStyle w:val="TableTextEntries"/>
            </w:pPr>
            <w:r w:rsidRPr="000F2D94">
              <w:t>Increase in economic activity (national and cross-border) in targeted regions</w:t>
            </w:r>
          </w:p>
        </w:tc>
        <w:tc>
          <w:tcPr>
            <w:tcW w:w="412" w:type="pct"/>
            <w:vMerge w:val="restart"/>
          </w:tcPr>
          <w:p w14:paraId="0D247CD7" w14:textId="77777777" w:rsidR="00DA3E6F" w:rsidRPr="000F2D94" w:rsidRDefault="00DA3E6F" w:rsidP="000F2D94">
            <w:pPr>
              <w:pStyle w:val="TableTextEntries"/>
            </w:pPr>
            <w:r w:rsidRPr="000F2D94">
              <w:t xml:space="preserve">Better transport infrastructure and policy to support economic integration </w:t>
            </w:r>
          </w:p>
          <w:p w14:paraId="4BD604FE" w14:textId="77777777" w:rsidR="00DA3E6F" w:rsidRPr="000F2D94" w:rsidRDefault="00DA3E6F" w:rsidP="000F2D94">
            <w:pPr>
              <w:pStyle w:val="TableTextEntries"/>
            </w:pPr>
          </w:p>
        </w:tc>
        <w:tc>
          <w:tcPr>
            <w:tcW w:w="717" w:type="pct"/>
          </w:tcPr>
          <w:p w14:paraId="6C8A69A6" w14:textId="77777777" w:rsidR="00DA3E6F" w:rsidRPr="000F2D94" w:rsidRDefault="00DA3E6F" w:rsidP="000F2D94">
            <w:pPr>
              <w:pStyle w:val="TableTextEntries"/>
            </w:pPr>
            <w:r w:rsidRPr="000F2D94">
              <w:t xml:space="preserve">Total </w:t>
            </w:r>
            <w:r w:rsidR="00341311" w:rsidRPr="000F2D94">
              <w:t xml:space="preserve">km </w:t>
            </w:r>
            <w:r w:rsidRPr="000F2D94">
              <w:t>of road and bridge works connecting Mekong communities to markets</w:t>
            </w:r>
          </w:p>
        </w:tc>
        <w:tc>
          <w:tcPr>
            <w:tcW w:w="927" w:type="pct"/>
            <w:gridSpan w:val="3"/>
          </w:tcPr>
          <w:p w14:paraId="1503FC4B" w14:textId="77777777" w:rsidR="00DA3E6F" w:rsidRPr="000F2D94" w:rsidRDefault="00DA3E6F" w:rsidP="000F2D94">
            <w:pPr>
              <w:pStyle w:val="TableTextEntries"/>
              <w:rPr>
                <w:rFonts w:cs="Arial"/>
              </w:rPr>
            </w:pPr>
            <w:r w:rsidRPr="000F2D94">
              <w:t>Detailed design finalised</w:t>
            </w:r>
          </w:p>
        </w:tc>
        <w:tc>
          <w:tcPr>
            <w:tcW w:w="919" w:type="pct"/>
          </w:tcPr>
          <w:p w14:paraId="54F28DCE" w14:textId="77777777" w:rsidR="00DA3E6F" w:rsidRPr="000F2D94" w:rsidRDefault="00DA3E6F" w:rsidP="000F2D94">
            <w:pPr>
              <w:pStyle w:val="TableTextEntries"/>
            </w:pPr>
            <w:r w:rsidRPr="000F2D94">
              <w:t>Achieved</w:t>
            </w:r>
          </w:p>
        </w:tc>
        <w:tc>
          <w:tcPr>
            <w:tcW w:w="871" w:type="pct"/>
          </w:tcPr>
          <w:p w14:paraId="7836F964" w14:textId="77777777" w:rsidR="00DA3E6F" w:rsidRPr="000F2D94" w:rsidRDefault="00DA3E6F" w:rsidP="000F2D94">
            <w:pPr>
              <w:pStyle w:val="TableTextEntries"/>
            </w:pPr>
            <w:r w:rsidRPr="000F2D94">
              <w:t xml:space="preserve">Civil works </w:t>
            </w:r>
            <w:r w:rsidR="00A9554E" w:rsidRPr="000F2D94">
              <w:t>commenced</w:t>
            </w:r>
            <w:r w:rsidR="00100485" w:rsidRPr="000F2D94">
              <w:t xml:space="preserve"> </w:t>
            </w:r>
            <w:r w:rsidR="007A2A5E" w:rsidRPr="000F2D94">
              <w:t xml:space="preserve">on </w:t>
            </w:r>
            <w:r w:rsidR="00100485" w:rsidRPr="000F2D94">
              <w:t>Cao Lanh bridge</w:t>
            </w:r>
            <w:r w:rsidR="007A2A5E" w:rsidRPr="000F2D94">
              <w:t>.</w:t>
            </w:r>
            <w:r w:rsidR="00100485" w:rsidRPr="000F2D94">
              <w:t xml:space="preserve"> </w:t>
            </w:r>
            <w:r w:rsidR="007A2A5E" w:rsidRPr="000F2D94">
              <w:t xml:space="preserve">Resettlement </w:t>
            </w:r>
            <w:r w:rsidR="00100485" w:rsidRPr="000F2D94">
              <w:t>plans are implemented according to plan.</w:t>
            </w:r>
            <w:r w:rsidR="00710337" w:rsidRPr="000F2D94">
              <w:t xml:space="preserve"> </w:t>
            </w:r>
            <w:r w:rsidR="00100485" w:rsidRPr="000F2D94">
              <w:t xml:space="preserve">Construction </w:t>
            </w:r>
            <w:r w:rsidR="00B777E6" w:rsidRPr="000F2D94">
              <w:t xml:space="preserve">environmental management plans </w:t>
            </w:r>
            <w:r w:rsidR="00100485" w:rsidRPr="000F2D94">
              <w:t>are developed and implemented</w:t>
            </w:r>
          </w:p>
        </w:tc>
        <w:tc>
          <w:tcPr>
            <w:tcW w:w="653" w:type="pct"/>
          </w:tcPr>
          <w:p w14:paraId="700A5E32" w14:textId="77777777" w:rsidR="00DA3E6F" w:rsidRPr="000F2D94" w:rsidRDefault="00DA3E6F" w:rsidP="000F2D94">
            <w:pPr>
              <w:pStyle w:val="TableTextEntries"/>
              <w:rPr>
                <w:rFonts w:cs="Arial"/>
              </w:rPr>
            </w:pPr>
            <w:r w:rsidRPr="000F2D94">
              <w:t>Cao Lanh Bridge</w:t>
            </w:r>
          </w:p>
        </w:tc>
      </w:tr>
      <w:tr w:rsidR="000F2D94" w:rsidRPr="000F2D94" w14:paraId="25610439" w14:textId="77777777" w:rsidTr="000F2D94">
        <w:trPr>
          <w:cantSplit/>
          <w:tblHeader w:val="0"/>
        </w:trPr>
        <w:tc>
          <w:tcPr>
            <w:tcW w:w="501" w:type="pct"/>
            <w:vMerge/>
          </w:tcPr>
          <w:p w14:paraId="3D5D40CF" w14:textId="77777777" w:rsidR="00DA3E6F" w:rsidRPr="000F2D94" w:rsidRDefault="00DA3E6F" w:rsidP="000F2D94">
            <w:pPr>
              <w:pStyle w:val="TableTextEntries"/>
            </w:pPr>
          </w:p>
        </w:tc>
        <w:tc>
          <w:tcPr>
            <w:tcW w:w="412" w:type="pct"/>
            <w:vMerge/>
          </w:tcPr>
          <w:p w14:paraId="3D8C28B4" w14:textId="77777777" w:rsidR="00DA3E6F" w:rsidRPr="000F2D94" w:rsidRDefault="00DA3E6F" w:rsidP="000F2D94">
            <w:pPr>
              <w:pStyle w:val="TableTextEntries"/>
            </w:pPr>
          </w:p>
        </w:tc>
        <w:tc>
          <w:tcPr>
            <w:tcW w:w="717" w:type="pct"/>
          </w:tcPr>
          <w:p w14:paraId="4502639F" w14:textId="77777777" w:rsidR="00DA3E6F" w:rsidRPr="000F2D94" w:rsidRDefault="00DA3E6F" w:rsidP="000F2D94">
            <w:pPr>
              <w:pStyle w:val="TableTextEntries"/>
            </w:pPr>
            <w:r w:rsidRPr="000F2D94">
              <w:t>Higher traffic volume, lower operating costs and travel time on targeted transport corridors</w:t>
            </w:r>
          </w:p>
        </w:tc>
        <w:tc>
          <w:tcPr>
            <w:tcW w:w="927" w:type="pct"/>
            <w:gridSpan w:val="3"/>
          </w:tcPr>
          <w:p w14:paraId="07B4A9A0" w14:textId="77777777" w:rsidR="00DA3E6F" w:rsidRPr="000F2D94" w:rsidRDefault="00DA3E6F" w:rsidP="000F2D94">
            <w:pPr>
              <w:pStyle w:val="TableTextEntries"/>
              <w:rPr>
                <w:rFonts w:cs="Arial"/>
              </w:rPr>
            </w:pPr>
            <w:r w:rsidRPr="000F2D94">
              <w:t>Total of 415km of rural road will be completed by end June 2013 (additional 179km)</w:t>
            </w:r>
          </w:p>
        </w:tc>
        <w:tc>
          <w:tcPr>
            <w:tcW w:w="919" w:type="pct"/>
          </w:tcPr>
          <w:p w14:paraId="38DC10F4" w14:textId="77777777" w:rsidR="00DA3E6F" w:rsidRPr="000F2D94" w:rsidRDefault="00DA3E6F" w:rsidP="000F2D94">
            <w:pPr>
              <w:pStyle w:val="TableTextEntries"/>
            </w:pPr>
            <w:r w:rsidRPr="000F2D94">
              <w:t> </w:t>
            </w:r>
          </w:p>
        </w:tc>
        <w:tc>
          <w:tcPr>
            <w:tcW w:w="871" w:type="pct"/>
          </w:tcPr>
          <w:p w14:paraId="6D833276" w14:textId="77777777" w:rsidR="00DA3E6F" w:rsidRPr="000F2D94" w:rsidRDefault="00DA3E6F" w:rsidP="000F2D94">
            <w:pPr>
              <w:pStyle w:val="TableTextEntries"/>
            </w:pPr>
            <w:r w:rsidRPr="000F2D94">
              <w:t> </w:t>
            </w:r>
          </w:p>
        </w:tc>
        <w:tc>
          <w:tcPr>
            <w:tcW w:w="653" w:type="pct"/>
          </w:tcPr>
          <w:p w14:paraId="5D33C031" w14:textId="77777777" w:rsidR="00DA3E6F" w:rsidRPr="000F2D94" w:rsidRDefault="00DA3E6F" w:rsidP="000F2D94">
            <w:pPr>
              <w:pStyle w:val="TableTextEntries"/>
              <w:rPr>
                <w:rFonts w:cs="Arial"/>
              </w:rPr>
            </w:pPr>
          </w:p>
        </w:tc>
      </w:tr>
      <w:tr w:rsidR="000F2D94" w:rsidRPr="000F2D94" w14:paraId="10748E36" w14:textId="77777777" w:rsidTr="000F2D94">
        <w:trPr>
          <w:cnfStyle w:val="000000010000" w:firstRow="0" w:lastRow="0" w:firstColumn="0" w:lastColumn="0" w:oddVBand="0" w:evenVBand="0" w:oddHBand="0" w:evenHBand="1" w:firstRowFirstColumn="0" w:firstRowLastColumn="0" w:lastRowFirstColumn="0" w:lastRowLastColumn="0"/>
          <w:cantSplit/>
          <w:tblHeader w:val="0"/>
        </w:trPr>
        <w:tc>
          <w:tcPr>
            <w:tcW w:w="501" w:type="pct"/>
            <w:vMerge/>
          </w:tcPr>
          <w:p w14:paraId="15EBD22E" w14:textId="77777777" w:rsidR="00DA3E6F" w:rsidRPr="000F2D94" w:rsidRDefault="00DA3E6F" w:rsidP="000F2D94">
            <w:pPr>
              <w:pStyle w:val="TableTextEntries"/>
            </w:pPr>
          </w:p>
        </w:tc>
        <w:tc>
          <w:tcPr>
            <w:tcW w:w="412" w:type="pct"/>
            <w:vMerge/>
          </w:tcPr>
          <w:p w14:paraId="12EAEF87" w14:textId="77777777" w:rsidR="00DA3E6F" w:rsidRPr="000F2D94" w:rsidRDefault="00DA3E6F" w:rsidP="000F2D94">
            <w:pPr>
              <w:pStyle w:val="TableTextEntries"/>
            </w:pPr>
          </w:p>
        </w:tc>
        <w:tc>
          <w:tcPr>
            <w:tcW w:w="717" w:type="pct"/>
          </w:tcPr>
          <w:p w14:paraId="59F3C617" w14:textId="77777777" w:rsidR="00DA3E6F" w:rsidRPr="000F2D94" w:rsidRDefault="00DA3E6F" w:rsidP="000F2D94">
            <w:pPr>
              <w:pStyle w:val="TableTextEntries"/>
            </w:pPr>
          </w:p>
        </w:tc>
        <w:tc>
          <w:tcPr>
            <w:tcW w:w="927" w:type="pct"/>
            <w:gridSpan w:val="3"/>
          </w:tcPr>
          <w:p w14:paraId="78033519" w14:textId="77777777" w:rsidR="00DA3E6F" w:rsidRPr="000F2D94" w:rsidRDefault="00DA3E6F" w:rsidP="000F2D94">
            <w:pPr>
              <w:pStyle w:val="TableTextEntries"/>
              <w:rPr>
                <w:rFonts w:cs="Arial"/>
              </w:rPr>
            </w:pPr>
            <w:r w:rsidRPr="000F2D94">
              <w:t>50% of civil work will be completed by end June 2013</w:t>
            </w:r>
          </w:p>
        </w:tc>
        <w:tc>
          <w:tcPr>
            <w:tcW w:w="919" w:type="pct"/>
          </w:tcPr>
          <w:p w14:paraId="2E18EAA2" w14:textId="77777777" w:rsidR="00DA3E6F" w:rsidRPr="000F2D94" w:rsidRDefault="00DA3E6F" w:rsidP="000F2D94">
            <w:pPr>
              <w:pStyle w:val="TableTextEntries"/>
            </w:pPr>
            <w:r w:rsidRPr="000F2D94">
              <w:t>Exceeded – 60% completed</w:t>
            </w:r>
          </w:p>
        </w:tc>
        <w:tc>
          <w:tcPr>
            <w:tcW w:w="871" w:type="pct"/>
          </w:tcPr>
          <w:p w14:paraId="0CEE07B8" w14:textId="77777777" w:rsidR="00DA3E6F" w:rsidRPr="000F2D94" w:rsidRDefault="00DA3E6F" w:rsidP="000F2D94">
            <w:pPr>
              <w:pStyle w:val="TableTextEntries"/>
            </w:pPr>
            <w:r w:rsidRPr="000F2D94">
              <w:t> 71% of civil works completed</w:t>
            </w:r>
          </w:p>
        </w:tc>
        <w:tc>
          <w:tcPr>
            <w:tcW w:w="653" w:type="pct"/>
          </w:tcPr>
          <w:p w14:paraId="22AAE088" w14:textId="77777777" w:rsidR="00DA3E6F" w:rsidRPr="000F2D94" w:rsidRDefault="00DA3E6F" w:rsidP="000F2D94">
            <w:pPr>
              <w:pStyle w:val="TableTextEntries"/>
              <w:rPr>
                <w:rFonts w:cs="Arial"/>
              </w:rPr>
            </w:pPr>
            <w:r w:rsidRPr="000F2D94">
              <w:t>Southern Coastal Corridor</w:t>
            </w:r>
          </w:p>
        </w:tc>
      </w:tr>
      <w:tr w:rsidR="000F2D94" w:rsidRPr="000F2D94" w14:paraId="45AE5D2A" w14:textId="77777777" w:rsidTr="000F2D94">
        <w:trPr>
          <w:cantSplit/>
          <w:tblHeader w:val="0"/>
        </w:trPr>
        <w:tc>
          <w:tcPr>
            <w:tcW w:w="501" w:type="pct"/>
            <w:vMerge/>
          </w:tcPr>
          <w:p w14:paraId="6280680F" w14:textId="77777777" w:rsidR="00DA3E6F" w:rsidRPr="000F2D94" w:rsidRDefault="00DA3E6F" w:rsidP="000F2D94">
            <w:pPr>
              <w:pStyle w:val="TableTextEntries"/>
            </w:pPr>
          </w:p>
        </w:tc>
        <w:tc>
          <w:tcPr>
            <w:tcW w:w="412" w:type="pct"/>
            <w:vMerge/>
          </w:tcPr>
          <w:p w14:paraId="7324FB5C" w14:textId="77777777" w:rsidR="00DA3E6F" w:rsidRPr="000F2D94" w:rsidRDefault="00DA3E6F" w:rsidP="000F2D94">
            <w:pPr>
              <w:pStyle w:val="TableTextEntries"/>
            </w:pPr>
          </w:p>
        </w:tc>
        <w:tc>
          <w:tcPr>
            <w:tcW w:w="717" w:type="pct"/>
          </w:tcPr>
          <w:p w14:paraId="6CCBF88C" w14:textId="77777777" w:rsidR="00DA3E6F" w:rsidRPr="000F2D94" w:rsidRDefault="00DA3E6F" w:rsidP="000F2D94">
            <w:pPr>
              <w:pStyle w:val="TableTextEntries"/>
            </w:pPr>
          </w:p>
        </w:tc>
        <w:tc>
          <w:tcPr>
            <w:tcW w:w="927" w:type="pct"/>
            <w:gridSpan w:val="3"/>
          </w:tcPr>
          <w:p w14:paraId="680B0413" w14:textId="77777777" w:rsidR="00DA3E6F" w:rsidRPr="000F2D94" w:rsidRDefault="00DA3E6F" w:rsidP="000F2D94">
            <w:pPr>
              <w:pStyle w:val="TableTextEntries"/>
              <w:rPr>
                <w:rFonts w:cs="Arial"/>
              </w:rPr>
            </w:pPr>
          </w:p>
        </w:tc>
        <w:tc>
          <w:tcPr>
            <w:tcW w:w="919" w:type="pct"/>
          </w:tcPr>
          <w:p w14:paraId="09A8386E" w14:textId="77777777" w:rsidR="00DA3E6F" w:rsidRPr="000F2D94" w:rsidRDefault="00DA3E6F" w:rsidP="000F2D94">
            <w:pPr>
              <w:pStyle w:val="TableTextEntries"/>
              <w:rPr>
                <w:rFonts w:cs="Arial"/>
              </w:rPr>
            </w:pPr>
          </w:p>
        </w:tc>
        <w:tc>
          <w:tcPr>
            <w:tcW w:w="871" w:type="pct"/>
          </w:tcPr>
          <w:p w14:paraId="15897A2D" w14:textId="77777777" w:rsidR="00DA3E6F" w:rsidRPr="000F2D94" w:rsidRDefault="00DA3E6F" w:rsidP="000F2D94">
            <w:pPr>
              <w:pStyle w:val="TableTextEntries"/>
              <w:rPr>
                <w:rFonts w:cs="Arial"/>
              </w:rPr>
            </w:pPr>
          </w:p>
        </w:tc>
        <w:tc>
          <w:tcPr>
            <w:tcW w:w="653" w:type="pct"/>
          </w:tcPr>
          <w:p w14:paraId="5620DC40" w14:textId="77777777" w:rsidR="00DA3E6F" w:rsidRPr="000F2D94" w:rsidRDefault="00DA3E6F" w:rsidP="000F2D94">
            <w:pPr>
              <w:pStyle w:val="TableTextEntries"/>
              <w:rPr>
                <w:rFonts w:cs="Arial"/>
              </w:rPr>
            </w:pPr>
            <w:r w:rsidRPr="000F2D94">
              <w:t>Mekong Transport Infrastructure Development Project</w:t>
            </w:r>
          </w:p>
        </w:tc>
      </w:tr>
      <w:tr w:rsidR="000F2D94" w:rsidRPr="000F2D94" w14:paraId="3B9DD515" w14:textId="77777777" w:rsidTr="000F2D94">
        <w:trPr>
          <w:cnfStyle w:val="000000010000" w:firstRow="0" w:lastRow="0" w:firstColumn="0" w:lastColumn="0" w:oddVBand="0" w:evenVBand="0" w:oddHBand="0" w:evenHBand="1" w:firstRowFirstColumn="0" w:firstRowLastColumn="0" w:lastRowFirstColumn="0" w:lastRowLastColumn="0"/>
          <w:cantSplit/>
          <w:tblHeader w:val="0"/>
        </w:trPr>
        <w:tc>
          <w:tcPr>
            <w:tcW w:w="501" w:type="pct"/>
            <w:vMerge/>
          </w:tcPr>
          <w:p w14:paraId="4D38ECE6" w14:textId="77777777" w:rsidR="00DA3E6F" w:rsidRPr="000F2D94" w:rsidRDefault="00DA3E6F" w:rsidP="000F2D94">
            <w:pPr>
              <w:pStyle w:val="TableTextEntries"/>
            </w:pPr>
          </w:p>
        </w:tc>
        <w:tc>
          <w:tcPr>
            <w:tcW w:w="412" w:type="pct"/>
            <w:vMerge/>
          </w:tcPr>
          <w:p w14:paraId="1BE508D3" w14:textId="77777777" w:rsidR="00DA3E6F" w:rsidRPr="000F2D94" w:rsidRDefault="00DA3E6F" w:rsidP="000F2D94">
            <w:pPr>
              <w:pStyle w:val="TableTextEntries"/>
            </w:pPr>
          </w:p>
        </w:tc>
        <w:tc>
          <w:tcPr>
            <w:tcW w:w="717" w:type="pct"/>
          </w:tcPr>
          <w:p w14:paraId="3C905541" w14:textId="77777777" w:rsidR="00DA3E6F" w:rsidRPr="000F2D94" w:rsidRDefault="00DA3E6F" w:rsidP="000F2D94">
            <w:pPr>
              <w:pStyle w:val="TableTextEntries"/>
            </w:pPr>
            <w:r w:rsidRPr="000F2D94">
              <w:t>Evidence-based policy approaches enhance opportunities and address challenges associated with economic integration</w:t>
            </w:r>
          </w:p>
          <w:p w14:paraId="4FA03D62" w14:textId="77777777" w:rsidR="00DA3E6F" w:rsidRPr="000F2D94" w:rsidRDefault="00DA3E6F" w:rsidP="000F2D94">
            <w:pPr>
              <w:pStyle w:val="TableTextEntries"/>
            </w:pPr>
            <w:r w:rsidRPr="000F2D94">
              <w:t>Adverse social and environmental impacts are managed effectively</w:t>
            </w:r>
          </w:p>
        </w:tc>
        <w:tc>
          <w:tcPr>
            <w:tcW w:w="927" w:type="pct"/>
            <w:gridSpan w:val="3"/>
          </w:tcPr>
          <w:p w14:paraId="515FA747" w14:textId="77777777" w:rsidR="00DA3E6F" w:rsidRPr="000F2D94" w:rsidRDefault="00DA3E6F" w:rsidP="000F2D94">
            <w:pPr>
              <w:pStyle w:val="TableTextEntries"/>
            </w:pPr>
            <w:r w:rsidRPr="000F2D94">
              <w:t>Evidence of the recommendations of the three and five year reviews of economic integration funded under the program being reflected in the new government resolution on economic integration</w:t>
            </w:r>
          </w:p>
        </w:tc>
        <w:tc>
          <w:tcPr>
            <w:tcW w:w="919" w:type="pct"/>
          </w:tcPr>
          <w:p w14:paraId="534319F8" w14:textId="759B44F1" w:rsidR="00DA3E6F" w:rsidRPr="000F2D94" w:rsidRDefault="00DA3E6F" w:rsidP="000F2D94">
            <w:pPr>
              <w:pStyle w:val="TableTextEntries"/>
            </w:pPr>
            <w:r w:rsidRPr="000F2D94">
              <w:t>Achieved</w:t>
            </w:r>
            <w:r w:rsidR="00B777E6" w:rsidRPr="000F2D94">
              <w:t>.</w:t>
            </w:r>
            <w:r w:rsidRPr="000F2D94">
              <w:t xml:space="preserve"> </w:t>
            </w:r>
            <w:r w:rsidR="00B777E6" w:rsidRPr="000F2D94">
              <w:t>E</w:t>
            </w:r>
            <w:r w:rsidRPr="000F2D94">
              <w:t>vidence based approach to drafting the resolution of the polibureau on international integration in the area of institutional arrangement for dealing with economic integration issues, funded under the program</w:t>
            </w:r>
          </w:p>
        </w:tc>
        <w:tc>
          <w:tcPr>
            <w:tcW w:w="871" w:type="pct"/>
          </w:tcPr>
          <w:p w14:paraId="303B0A22" w14:textId="7AADC7CF" w:rsidR="00DA3E6F" w:rsidRPr="000F2D94" w:rsidRDefault="00DA3E6F" w:rsidP="000F2D94">
            <w:pPr>
              <w:pStyle w:val="TableTextEntries"/>
            </w:pPr>
            <w:r w:rsidRPr="000F2D94">
              <w:t>Evidence based approach to drafting the land law in area of transparent land governance (including</w:t>
            </w:r>
            <w:r w:rsidR="00710337" w:rsidRPr="000F2D94">
              <w:t xml:space="preserve"> </w:t>
            </w:r>
            <w:r w:rsidRPr="000F2D94">
              <w:t>mechanisms for land register to be accessible to the public and to improve community participation in land administration and management)</w:t>
            </w:r>
          </w:p>
        </w:tc>
        <w:tc>
          <w:tcPr>
            <w:tcW w:w="653" w:type="pct"/>
          </w:tcPr>
          <w:p w14:paraId="640095B0" w14:textId="77777777" w:rsidR="00100485" w:rsidRPr="000F2D94" w:rsidRDefault="00DA3E6F" w:rsidP="000F2D94">
            <w:pPr>
              <w:pStyle w:val="TableTextEntries"/>
            </w:pPr>
            <w:r w:rsidRPr="000F2D94">
              <w:t>Beyond WTO</w:t>
            </w:r>
          </w:p>
          <w:p w14:paraId="057B6AE4" w14:textId="77777777" w:rsidR="00100485" w:rsidRPr="000F2D94" w:rsidRDefault="00100485" w:rsidP="000F2D94">
            <w:pPr>
              <w:pStyle w:val="TableTextEntries"/>
            </w:pPr>
            <w:r w:rsidRPr="000F2D94">
              <w:t xml:space="preserve">Australia-World Bank Country </w:t>
            </w:r>
            <w:r w:rsidR="00B777E6" w:rsidRPr="000F2D94">
              <w:t>Partnership</w:t>
            </w:r>
          </w:p>
          <w:p w14:paraId="6AC05A28" w14:textId="77777777" w:rsidR="00100485" w:rsidRPr="000F2D94" w:rsidRDefault="00100485" w:rsidP="000F2D94">
            <w:pPr>
              <w:pStyle w:val="TableTextEntries"/>
            </w:pPr>
          </w:p>
          <w:p w14:paraId="704FAC9C" w14:textId="77777777" w:rsidR="00100485" w:rsidRPr="000F2D94" w:rsidRDefault="00100485" w:rsidP="000F2D94">
            <w:pPr>
              <w:pStyle w:val="TableTextEntries"/>
            </w:pPr>
          </w:p>
        </w:tc>
      </w:tr>
      <w:tr w:rsidR="000F2D94" w:rsidRPr="000F2D94" w14:paraId="661B61CE" w14:textId="77777777" w:rsidTr="000F2D94">
        <w:trPr>
          <w:cantSplit/>
          <w:tblHeader w:val="0"/>
        </w:trPr>
        <w:tc>
          <w:tcPr>
            <w:tcW w:w="501" w:type="pct"/>
          </w:tcPr>
          <w:p w14:paraId="37D58F9B" w14:textId="77777777" w:rsidR="00DA3E6F" w:rsidRPr="000F2D94" w:rsidRDefault="00DA3E6F" w:rsidP="000F2D94">
            <w:pPr>
              <w:pStyle w:val="TableTextEntries"/>
            </w:pPr>
            <w:r w:rsidRPr="000F2D94">
              <w:t>Reduced incidence of waterborne diseases</w:t>
            </w:r>
          </w:p>
        </w:tc>
        <w:tc>
          <w:tcPr>
            <w:tcW w:w="412" w:type="pct"/>
          </w:tcPr>
          <w:p w14:paraId="16F31217" w14:textId="77777777" w:rsidR="00DA3E6F" w:rsidRPr="000F2D94" w:rsidRDefault="00DA3E6F" w:rsidP="000F2D94">
            <w:pPr>
              <w:pStyle w:val="TableTextEntries"/>
            </w:pPr>
            <w:r w:rsidRPr="000F2D94">
              <w:t xml:space="preserve">Increase rural access to clean water </w:t>
            </w:r>
            <w:r w:rsidR="00B777E6" w:rsidRPr="000F2D94">
              <w:t xml:space="preserve">and </w:t>
            </w:r>
            <w:r w:rsidRPr="000F2D94">
              <w:t>hygienic sanitation</w:t>
            </w:r>
          </w:p>
        </w:tc>
        <w:tc>
          <w:tcPr>
            <w:tcW w:w="773" w:type="pct"/>
            <w:gridSpan w:val="2"/>
          </w:tcPr>
          <w:p w14:paraId="0609BB99" w14:textId="77777777" w:rsidR="00DA3E6F" w:rsidRPr="000F2D94" w:rsidRDefault="00DA3E6F" w:rsidP="000F2D94">
            <w:pPr>
              <w:pStyle w:val="TableTextEntries"/>
            </w:pPr>
            <w:r w:rsidRPr="000F2D94">
              <w:t>85% rural water access target</w:t>
            </w:r>
          </w:p>
        </w:tc>
        <w:tc>
          <w:tcPr>
            <w:tcW w:w="871" w:type="pct"/>
            <w:gridSpan w:val="2"/>
          </w:tcPr>
          <w:p w14:paraId="3E6E9BBF" w14:textId="77777777" w:rsidR="00DA3E6F" w:rsidRPr="000F2D94" w:rsidRDefault="00DA3E6F" w:rsidP="000F2D94">
            <w:pPr>
              <w:pStyle w:val="TableTextEntries"/>
              <w:rPr>
                <w:szCs w:val="19"/>
              </w:rPr>
            </w:pPr>
            <w:r w:rsidRPr="000F2D94">
              <w:t xml:space="preserve">Water and sanitation targets: </w:t>
            </w:r>
            <w:r w:rsidRPr="000F2D94">
              <w:rPr>
                <w:szCs w:val="19"/>
              </w:rPr>
              <w:t>80% of rural population has access to hygienic water, 57% to hygienic latrines, 88% of rural primary schools, 92% of commune clinics have access to hygienic water and hygienic latrine</w:t>
            </w:r>
          </w:p>
        </w:tc>
        <w:tc>
          <w:tcPr>
            <w:tcW w:w="919" w:type="pct"/>
          </w:tcPr>
          <w:p w14:paraId="3459CCF2" w14:textId="77777777" w:rsidR="00DA3E6F" w:rsidRPr="000F2D94" w:rsidRDefault="00DA3E6F" w:rsidP="000F2D94">
            <w:pPr>
              <w:pStyle w:val="TableTextEntries"/>
            </w:pPr>
            <w:r w:rsidRPr="000F2D94">
              <w:rPr>
                <w:szCs w:val="19"/>
              </w:rPr>
              <w:t>80.5% of rural population has access to hygienic water, 56% to hygienic latrines, 81% of rural primary and secondary</w:t>
            </w:r>
            <w:r w:rsidR="00710337" w:rsidRPr="000F2D94">
              <w:rPr>
                <w:szCs w:val="19"/>
              </w:rPr>
              <w:t xml:space="preserve"> </w:t>
            </w:r>
            <w:r w:rsidRPr="000F2D94">
              <w:rPr>
                <w:szCs w:val="19"/>
              </w:rPr>
              <w:t>schools, 91% of commune clinics have access to hygienic water and hygienic latrine</w:t>
            </w:r>
          </w:p>
        </w:tc>
        <w:tc>
          <w:tcPr>
            <w:tcW w:w="871" w:type="pct"/>
          </w:tcPr>
          <w:p w14:paraId="74184297" w14:textId="77777777" w:rsidR="00DA3E6F" w:rsidRPr="000F2D94" w:rsidRDefault="00DA3E6F" w:rsidP="000F2D94">
            <w:pPr>
              <w:pStyle w:val="TableTextEntries"/>
              <w:rPr>
                <w:szCs w:val="19"/>
              </w:rPr>
            </w:pPr>
            <w:r w:rsidRPr="000F2D94">
              <w:t>Water and sanitation targets: …</w:t>
            </w:r>
            <w:r w:rsidRPr="000F2D94">
              <w:rPr>
                <w:szCs w:val="19"/>
              </w:rPr>
              <w:t>% of rural population has access to hygienic water, …% to hygienic latrines, … of rural primary schools, …% of commune clinics have access to hygienic water and hygienic latrine</w:t>
            </w:r>
          </w:p>
        </w:tc>
        <w:tc>
          <w:tcPr>
            <w:tcW w:w="653" w:type="pct"/>
          </w:tcPr>
          <w:p w14:paraId="61BFA386" w14:textId="77777777" w:rsidR="00DA3E6F" w:rsidRPr="000F2D94" w:rsidRDefault="00DA3E6F" w:rsidP="000F2D94">
            <w:pPr>
              <w:pStyle w:val="TableTextEntries"/>
            </w:pPr>
            <w:r w:rsidRPr="000F2D94">
              <w:t xml:space="preserve">National Target Program Phase 3 ($65 million 2012–2015) – 2013 commitment of </w:t>
            </w:r>
            <w:r w:rsidR="00B777E6" w:rsidRPr="000F2D94">
              <w:t>$</w:t>
            </w:r>
            <w:r w:rsidRPr="000F2D94">
              <w:t xml:space="preserve">16.2 million </w:t>
            </w:r>
          </w:p>
          <w:p w14:paraId="0FF13183" w14:textId="77777777" w:rsidR="00DA3E6F" w:rsidRPr="000F2D94" w:rsidRDefault="00DA3E6F" w:rsidP="000F2D94">
            <w:pPr>
              <w:pStyle w:val="TableTextEntries"/>
            </w:pPr>
          </w:p>
          <w:p w14:paraId="33051C4C" w14:textId="77777777" w:rsidR="00DA3E6F" w:rsidRPr="000F2D94" w:rsidRDefault="00DA3E6F" w:rsidP="000F2D94">
            <w:pPr>
              <w:pStyle w:val="TableTextEntries"/>
            </w:pPr>
          </w:p>
        </w:tc>
      </w:tr>
      <w:tr w:rsidR="000F2D94" w:rsidRPr="000F2D94" w14:paraId="75CF1D3F" w14:textId="77777777" w:rsidTr="000F2D94">
        <w:trPr>
          <w:cnfStyle w:val="000000010000" w:firstRow="0" w:lastRow="0" w:firstColumn="0" w:lastColumn="0" w:oddVBand="0" w:evenVBand="0" w:oddHBand="0" w:evenHBand="1" w:firstRowFirstColumn="0" w:firstRowLastColumn="0" w:lastRowFirstColumn="0" w:lastRowLastColumn="0"/>
          <w:cantSplit/>
          <w:tblHeader w:val="0"/>
        </w:trPr>
        <w:tc>
          <w:tcPr>
            <w:tcW w:w="501" w:type="pct"/>
          </w:tcPr>
          <w:p w14:paraId="4383FFA4" w14:textId="77777777" w:rsidR="00DA3E6F" w:rsidRPr="000F2D94" w:rsidRDefault="00DA3E6F" w:rsidP="000F2D94">
            <w:pPr>
              <w:pStyle w:val="TableTextEntries"/>
            </w:pPr>
          </w:p>
        </w:tc>
        <w:tc>
          <w:tcPr>
            <w:tcW w:w="412" w:type="pct"/>
          </w:tcPr>
          <w:p w14:paraId="39F30E52" w14:textId="77777777" w:rsidR="00DA3E6F" w:rsidRPr="000F2D94" w:rsidRDefault="00DA3E6F" w:rsidP="000F2D94">
            <w:pPr>
              <w:pStyle w:val="TableTextEntries"/>
            </w:pPr>
          </w:p>
        </w:tc>
        <w:tc>
          <w:tcPr>
            <w:tcW w:w="773" w:type="pct"/>
            <w:gridSpan w:val="2"/>
          </w:tcPr>
          <w:p w14:paraId="3C792E2A" w14:textId="77777777" w:rsidR="00DA3E6F" w:rsidRPr="000F2D94" w:rsidRDefault="00DA3E6F" w:rsidP="000F2D94">
            <w:pPr>
              <w:pStyle w:val="TableTextEntries"/>
            </w:pPr>
            <w:r w:rsidRPr="000F2D94">
              <w:t>70% rural sanitation access target</w:t>
            </w:r>
          </w:p>
        </w:tc>
        <w:tc>
          <w:tcPr>
            <w:tcW w:w="871" w:type="pct"/>
            <w:gridSpan w:val="2"/>
          </w:tcPr>
          <w:p w14:paraId="0FECDAF3" w14:textId="77777777" w:rsidR="00DA3E6F" w:rsidRPr="000F2D94" w:rsidRDefault="00DA3E6F" w:rsidP="000F2D94">
            <w:pPr>
              <w:pStyle w:val="TableTextEntries"/>
              <w:rPr>
                <w:szCs w:val="19"/>
              </w:rPr>
            </w:pPr>
            <w:r w:rsidRPr="000F2D94">
              <w:rPr>
                <w:lang w:val="en-US"/>
              </w:rPr>
              <w:t>Collection of waterborne disease data in selected provinces to measure health impact of rural water supply and sanitation</w:t>
            </w:r>
          </w:p>
        </w:tc>
        <w:tc>
          <w:tcPr>
            <w:tcW w:w="919" w:type="pct"/>
          </w:tcPr>
          <w:p w14:paraId="0C986004" w14:textId="77777777" w:rsidR="00DA3E6F" w:rsidRPr="000F2D94" w:rsidRDefault="00DA3E6F" w:rsidP="000F2D94">
            <w:pPr>
              <w:pStyle w:val="TableTextEntries"/>
            </w:pPr>
            <w:r w:rsidRPr="000F2D94">
              <w:t xml:space="preserve">This has been delayed due to lengthy consultation with </w:t>
            </w:r>
            <w:r w:rsidR="00B777E6" w:rsidRPr="000F2D94">
              <w:t xml:space="preserve">the Ministry of Health </w:t>
            </w:r>
            <w:r w:rsidRPr="000F2D94">
              <w:t>and Statistic Office to separate waterborne disease data selected from normal popular diseases set of data</w:t>
            </w:r>
          </w:p>
        </w:tc>
        <w:tc>
          <w:tcPr>
            <w:tcW w:w="871" w:type="pct"/>
          </w:tcPr>
          <w:p w14:paraId="4CA834B9" w14:textId="77777777" w:rsidR="00DA3E6F" w:rsidRPr="000F2D94" w:rsidRDefault="00DA3E6F" w:rsidP="000F2D94">
            <w:pPr>
              <w:pStyle w:val="TableTextEntries"/>
              <w:rPr>
                <w:szCs w:val="19"/>
              </w:rPr>
            </w:pPr>
            <w:r w:rsidRPr="000F2D94">
              <w:rPr>
                <w:szCs w:val="19"/>
              </w:rPr>
              <w:t xml:space="preserve">Collection and analysis of </w:t>
            </w:r>
            <w:r w:rsidRPr="000F2D94">
              <w:rPr>
                <w:lang w:val="en-US"/>
              </w:rPr>
              <w:t>waterborne disease data in selected provinces to measure health impact of rural water supply and sanitation</w:t>
            </w:r>
          </w:p>
        </w:tc>
        <w:tc>
          <w:tcPr>
            <w:tcW w:w="653" w:type="pct"/>
          </w:tcPr>
          <w:p w14:paraId="3FBAA169" w14:textId="65AF3B74" w:rsidR="00DA3E6F" w:rsidRPr="000F2D94" w:rsidRDefault="00D5255B" w:rsidP="000F2D94">
            <w:pPr>
              <w:pStyle w:val="TableTextEntries"/>
            </w:pPr>
            <w:r>
              <w:t>Australia</w:t>
            </w:r>
            <w:r w:rsidR="00343B25" w:rsidRPr="000F2D94">
              <w:t xml:space="preserve">’s second </w:t>
            </w:r>
            <w:r w:rsidR="00B777E6" w:rsidRPr="000F2D94">
              <w:t xml:space="preserve">Civil society </w:t>
            </w:r>
            <w:r w:rsidR="00343B25" w:rsidRPr="000F2D94">
              <w:t xml:space="preserve">Water, Sanitation and Hygiene Fund </w:t>
            </w:r>
            <w:r w:rsidR="00DA3E6F" w:rsidRPr="000F2D94">
              <w:t xml:space="preserve">funded three </w:t>
            </w:r>
            <w:r w:rsidR="00B777E6" w:rsidRPr="000F2D94">
              <w:t xml:space="preserve">international non-government organisations </w:t>
            </w:r>
            <w:r w:rsidR="00DA3E6F" w:rsidRPr="000F2D94">
              <w:t>(</w:t>
            </w:r>
            <w:r w:rsidR="00B777E6" w:rsidRPr="000F2D94">
              <w:t>East Meets West Foundation</w:t>
            </w:r>
            <w:r w:rsidR="00DA3E6F" w:rsidRPr="000F2D94">
              <w:t xml:space="preserve">, IDE, and Plan International) in Vietnam to implement </w:t>
            </w:r>
            <w:r w:rsidR="00642A6F" w:rsidRPr="000F2D94">
              <w:t xml:space="preserve">water and sanitation </w:t>
            </w:r>
            <w:r w:rsidR="00DA3E6F" w:rsidRPr="000F2D94">
              <w:t>programs</w:t>
            </w:r>
            <w:r w:rsidR="00710337" w:rsidRPr="000F2D94">
              <w:t xml:space="preserve"> </w:t>
            </w:r>
          </w:p>
        </w:tc>
      </w:tr>
      <w:tr w:rsidR="000F2D94" w:rsidRPr="000F2D94" w14:paraId="26DDE81F" w14:textId="77777777" w:rsidTr="000F2D94">
        <w:trPr>
          <w:cantSplit/>
          <w:tblHeader w:val="0"/>
        </w:trPr>
        <w:tc>
          <w:tcPr>
            <w:tcW w:w="501" w:type="pct"/>
          </w:tcPr>
          <w:p w14:paraId="25A1ED81" w14:textId="77777777" w:rsidR="00DA3E6F" w:rsidRPr="000F2D94" w:rsidRDefault="00DA3E6F" w:rsidP="000F2D94">
            <w:pPr>
              <w:pStyle w:val="TableTextEntries"/>
            </w:pPr>
          </w:p>
        </w:tc>
        <w:tc>
          <w:tcPr>
            <w:tcW w:w="412" w:type="pct"/>
          </w:tcPr>
          <w:p w14:paraId="50212BD4" w14:textId="77777777" w:rsidR="00DA3E6F" w:rsidRPr="000F2D94" w:rsidRDefault="00DA3E6F" w:rsidP="000F2D94">
            <w:pPr>
              <w:pStyle w:val="TableTextEntries"/>
            </w:pPr>
          </w:p>
        </w:tc>
        <w:tc>
          <w:tcPr>
            <w:tcW w:w="773" w:type="pct"/>
            <w:gridSpan w:val="2"/>
          </w:tcPr>
          <w:p w14:paraId="239B462C" w14:textId="77777777" w:rsidR="00DA3E6F" w:rsidRPr="000F2D94" w:rsidRDefault="00DA3E6F" w:rsidP="000F2D94">
            <w:pPr>
              <w:pStyle w:val="TableTextEntries"/>
            </w:pPr>
          </w:p>
        </w:tc>
        <w:tc>
          <w:tcPr>
            <w:tcW w:w="871" w:type="pct"/>
            <w:gridSpan w:val="2"/>
          </w:tcPr>
          <w:p w14:paraId="16DFDDE1" w14:textId="2AAA50B7" w:rsidR="00DA3E6F" w:rsidRPr="000F2D94" w:rsidRDefault="00FC015B" w:rsidP="000F2D94">
            <w:pPr>
              <w:pStyle w:val="TableTextEntries"/>
              <w:rPr>
                <w:lang w:val="en-US"/>
              </w:rPr>
            </w:pPr>
            <w:r w:rsidRPr="000F2D94">
              <w:rPr>
                <w:lang w:val="en-US"/>
              </w:rPr>
              <w:t>Issue</w:t>
            </w:r>
            <w:r w:rsidR="00DA3E6F" w:rsidRPr="000F2D94">
              <w:rPr>
                <w:lang w:val="en-US"/>
              </w:rPr>
              <w:t xml:space="preserve"> standard procedure for monitoring and supervision of </w:t>
            </w:r>
            <w:r w:rsidRPr="000F2D94">
              <w:rPr>
                <w:lang w:val="en-GB"/>
              </w:rPr>
              <w:t xml:space="preserve">National </w:t>
            </w:r>
            <w:r w:rsidRPr="000F2D94">
              <w:rPr>
                <w:lang w:val="en-US"/>
              </w:rPr>
              <w:t xml:space="preserve">Target Program for Rural Water Supply and Sanitation 2012–2015 Phase 3 </w:t>
            </w:r>
            <w:r w:rsidR="00DA3E6F" w:rsidRPr="000F2D94">
              <w:rPr>
                <w:lang w:val="en-US"/>
              </w:rPr>
              <w:t>by Ministry of Agriculture and Rural Development</w:t>
            </w:r>
          </w:p>
        </w:tc>
        <w:tc>
          <w:tcPr>
            <w:tcW w:w="919" w:type="pct"/>
          </w:tcPr>
          <w:p w14:paraId="254FB6B0" w14:textId="71C03FC1" w:rsidR="00DA3E6F" w:rsidRPr="000F2D94" w:rsidRDefault="00DA3E6F" w:rsidP="000F2D94">
            <w:pPr>
              <w:pStyle w:val="TableTextEntries"/>
            </w:pPr>
            <w:r w:rsidRPr="000F2D94">
              <w:t xml:space="preserve">A draft </w:t>
            </w:r>
            <w:r w:rsidRPr="000F2D94">
              <w:rPr>
                <w:lang w:val="en-US"/>
              </w:rPr>
              <w:t xml:space="preserve">procedure for monitoring and supervision of </w:t>
            </w:r>
            <w:r w:rsidR="00FC015B" w:rsidRPr="000F2D94">
              <w:rPr>
                <w:lang w:val="en-US"/>
              </w:rPr>
              <w:t>the program</w:t>
            </w:r>
            <w:r w:rsidRPr="000F2D94">
              <w:rPr>
                <w:lang w:val="en-US"/>
              </w:rPr>
              <w:t xml:space="preserve"> </w:t>
            </w:r>
            <w:r w:rsidRPr="000F2D94">
              <w:t xml:space="preserve">has been prepared by </w:t>
            </w:r>
            <w:r w:rsidR="00B777E6" w:rsidRPr="000F2D94">
              <w:t xml:space="preserve">the </w:t>
            </w:r>
            <w:r w:rsidR="00B777E6" w:rsidRPr="000F2D94">
              <w:rPr>
                <w:lang w:val="en-US"/>
              </w:rPr>
              <w:t>Ministry of Agriculture and Rural Development</w:t>
            </w:r>
            <w:r w:rsidR="00B777E6" w:rsidRPr="000F2D94">
              <w:t xml:space="preserve"> </w:t>
            </w:r>
            <w:r w:rsidRPr="000F2D94">
              <w:t xml:space="preserve">Inspectorate and is now waiting for </w:t>
            </w:r>
            <w:r w:rsidR="00B777E6" w:rsidRPr="000F2D94">
              <w:t xml:space="preserve">ministerial </w:t>
            </w:r>
            <w:r w:rsidRPr="000F2D94">
              <w:t xml:space="preserve">approval. </w:t>
            </w:r>
            <w:r w:rsidRPr="000F2D94">
              <w:rPr>
                <w:lang w:val="en-US"/>
              </w:rPr>
              <w:t xml:space="preserve">Pilot implementation of the </w:t>
            </w:r>
            <w:r w:rsidR="00B777E6" w:rsidRPr="000F2D94">
              <w:rPr>
                <w:lang w:val="en-US"/>
              </w:rPr>
              <w:t xml:space="preserve">procedure </w:t>
            </w:r>
            <w:r w:rsidRPr="000F2D94">
              <w:rPr>
                <w:lang w:val="en-US"/>
              </w:rPr>
              <w:t>will be undertaken in selected provinces with training to roll out later in the year</w:t>
            </w:r>
          </w:p>
        </w:tc>
        <w:tc>
          <w:tcPr>
            <w:tcW w:w="871" w:type="pct"/>
          </w:tcPr>
          <w:p w14:paraId="7E204F62" w14:textId="4400C1DC" w:rsidR="00DA3E6F" w:rsidRPr="000F2D94" w:rsidRDefault="00DA3E6F" w:rsidP="000F2D94">
            <w:pPr>
              <w:pStyle w:val="TableTextEntries"/>
              <w:rPr>
                <w:lang w:val="en-US"/>
              </w:rPr>
            </w:pPr>
            <w:r w:rsidRPr="000F2D94">
              <w:rPr>
                <w:lang w:val="en-US"/>
              </w:rPr>
              <w:t xml:space="preserve">Establish </w:t>
            </w:r>
            <w:r w:rsidR="00642A6F" w:rsidRPr="000F2D94">
              <w:rPr>
                <w:lang w:val="en-US"/>
              </w:rPr>
              <w:t>d</w:t>
            </w:r>
            <w:r w:rsidRPr="000F2D94">
              <w:rPr>
                <w:lang w:val="en-US"/>
              </w:rPr>
              <w:t xml:space="preserve">atabase on the public assets of the </w:t>
            </w:r>
            <w:r w:rsidR="00642A6F" w:rsidRPr="000F2D94">
              <w:rPr>
                <w:lang w:val="en-US"/>
              </w:rPr>
              <w:t xml:space="preserve">rural water </w:t>
            </w:r>
            <w:r w:rsidR="00343B25" w:rsidRPr="000F2D94">
              <w:rPr>
                <w:lang w:val="en-US"/>
              </w:rPr>
              <w:t xml:space="preserve">supply </w:t>
            </w:r>
            <w:r w:rsidR="00642A6F" w:rsidRPr="000F2D94">
              <w:rPr>
                <w:lang w:val="en-US"/>
              </w:rPr>
              <w:t xml:space="preserve">and sanitation </w:t>
            </w:r>
            <w:r w:rsidRPr="000F2D94">
              <w:rPr>
                <w:lang w:val="en-US"/>
              </w:rPr>
              <w:t>sector, update and consolidat</w:t>
            </w:r>
            <w:r w:rsidR="009C1FDC" w:rsidRPr="000F2D94">
              <w:rPr>
                <w:lang w:val="en-US"/>
              </w:rPr>
              <w:t>e the</w:t>
            </w:r>
            <w:r w:rsidR="00710337" w:rsidRPr="000F2D94">
              <w:rPr>
                <w:lang w:val="en-US"/>
              </w:rPr>
              <w:t xml:space="preserve"> </w:t>
            </w:r>
            <w:r w:rsidR="00642A6F" w:rsidRPr="000F2D94">
              <w:rPr>
                <w:lang w:val="en-US"/>
              </w:rPr>
              <w:t>monitoring and evaluation</w:t>
            </w:r>
            <w:r w:rsidRPr="000F2D94">
              <w:rPr>
                <w:lang w:val="en-US"/>
              </w:rPr>
              <w:t xml:space="preserve"> database for </w:t>
            </w:r>
            <w:r w:rsidR="00FC015B" w:rsidRPr="000F2D94">
              <w:rPr>
                <w:lang w:val="en-GB"/>
              </w:rPr>
              <w:t xml:space="preserve">National </w:t>
            </w:r>
            <w:r w:rsidR="00FC015B" w:rsidRPr="000F2D94">
              <w:rPr>
                <w:lang w:val="en-US"/>
              </w:rPr>
              <w:t>Target Program for Rural Water Supply and Sanitation 2012–2015 Phase 3</w:t>
            </w:r>
          </w:p>
          <w:p w14:paraId="5FB20F84" w14:textId="77777777" w:rsidR="00DA3E6F" w:rsidRPr="000F2D94" w:rsidRDefault="00DA3E6F" w:rsidP="000F2D94">
            <w:pPr>
              <w:pStyle w:val="TableTextEntries"/>
              <w:rPr>
                <w:lang w:val="en-US"/>
              </w:rPr>
            </w:pPr>
            <w:r w:rsidRPr="000F2D94">
              <w:rPr>
                <w:lang w:val="en-US"/>
              </w:rPr>
              <w:t>Issu</w:t>
            </w:r>
            <w:r w:rsidR="002335A9" w:rsidRPr="000F2D94">
              <w:rPr>
                <w:lang w:val="en-US"/>
              </w:rPr>
              <w:t xml:space="preserve">e </w:t>
            </w:r>
            <w:r w:rsidRPr="000F2D94">
              <w:rPr>
                <w:lang w:val="en-US"/>
              </w:rPr>
              <w:t xml:space="preserve">the </w:t>
            </w:r>
            <w:r w:rsidR="00343B25" w:rsidRPr="000F2D94">
              <w:rPr>
                <w:lang w:val="en-US"/>
              </w:rPr>
              <w:t>operations and maintenance</w:t>
            </w:r>
            <w:r w:rsidRPr="000F2D94">
              <w:rPr>
                <w:lang w:val="en-US"/>
              </w:rPr>
              <w:t xml:space="preserve"> guidebook for schools water supply and sanitation facilities.</w:t>
            </w:r>
          </w:p>
          <w:p w14:paraId="169BA39F" w14:textId="77777777" w:rsidR="00DA3E6F" w:rsidRPr="000F2D94" w:rsidRDefault="00DA3E6F" w:rsidP="000F2D94">
            <w:pPr>
              <w:pStyle w:val="TableTextEntries"/>
              <w:rPr>
                <w:lang w:val="en-US"/>
              </w:rPr>
            </w:pPr>
            <w:r w:rsidRPr="000F2D94">
              <w:rPr>
                <w:lang w:val="en-US"/>
              </w:rPr>
              <w:t xml:space="preserve">Provide support to </w:t>
            </w:r>
            <w:r w:rsidR="00B777E6" w:rsidRPr="000F2D94">
              <w:rPr>
                <w:lang w:val="en-US"/>
              </w:rPr>
              <w:t xml:space="preserve">four </w:t>
            </w:r>
            <w:r w:rsidRPr="000F2D94">
              <w:rPr>
                <w:lang w:val="en-US"/>
              </w:rPr>
              <w:t>provinces to equip and upgrade the water testing laboratories</w:t>
            </w:r>
          </w:p>
        </w:tc>
        <w:tc>
          <w:tcPr>
            <w:tcW w:w="653" w:type="pct"/>
          </w:tcPr>
          <w:p w14:paraId="6BE0B71E" w14:textId="77777777" w:rsidR="00DA3E6F" w:rsidRPr="000F2D94" w:rsidRDefault="00DA3E6F" w:rsidP="000F2D94">
            <w:pPr>
              <w:pStyle w:val="TableTextEntries"/>
            </w:pPr>
            <w:r w:rsidRPr="000F2D94">
              <w:t xml:space="preserve">Contributed </w:t>
            </w:r>
            <w:r w:rsidR="00642A6F" w:rsidRPr="000F2D94">
              <w:t>$</w:t>
            </w:r>
            <w:r w:rsidRPr="000F2D94">
              <w:t xml:space="preserve">8 million </w:t>
            </w:r>
            <w:r w:rsidR="00343B25" w:rsidRPr="000F2D94">
              <w:t>technical assistance</w:t>
            </w:r>
            <w:r w:rsidRPr="000F2D94">
              <w:t xml:space="preserve"> to the W</w:t>
            </w:r>
            <w:r w:rsidR="00642A6F" w:rsidRPr="000F2D94">
              <w:t xml:space="preserve">orld </w:t>
            </w:r>
            <w:r w:rsidRPr="000F2D94">
              <w:t>B</w:t>
            </w:r>
            <w:r w:rsidR="00642A6F" w:rsidRPr="000F2D94">
              <w:t>ank Program for Results</w:t>
            </w:r>
            <w:r w:rsidRPr="000F2D94">
              <w:t xml:space="preserve"> in </w:t>
            </w:r>
            <w:r w:rsidR="00642A6F" w:rsidRPr="000F2D94">
              <w:t xml:space="preserve">eight </w:t>
            </w:r>
            <w:r w:rsidRPr="000F2D94">
              <w:t>Red River Delta provinces</w:t>
            </w:r>
          </w:p>
        </w:tc>
      </w:tr>
      <w:tr w:rsidR="000F2D94" w:rsidRPr="000F2D94" w14:paraId="3E4E1397" w14:textId="77777777" w:rsidTr="000F2D94">
        <w:trPr>
          <w:cnfStyle w:val="000000010000" w:firstRow="0" w:lastRow="0" w:firstColumn="0" w:lastColumn="0" w:oddVBand="0" w:evenVBand="0" w:oddHBand="0" w:evenHBand="1" w:firstRowFirstColumn="0" w:firstRowLastColumn="0" w:lastRowFirstColumn="0" w:lastRowLastColumn="0"/>
          <w:cantSplit/>
          <w:tblHeader w:val="0"/>
        </w:trPr>
        <w:tc>
          <w:tcPr>
            <w:tcW w:w="501" w:type="pct"/>
          </w:tcPr>
          <w:p w14:paraId="2A1EA83B" w14:textId="77777777" w:rsidR="00DA3E6F" w:rsidRPr="000F2D94" w:rsidRDefault="00DA3E6F" w:rsidP="000F2D94">
            <w:pPr>
              <w:pStyle w:val="TableTextEntries"/>
            </w:pPr>
          </w:p>
        </w:tc>
        <w:tc>
          <w:tcPr>
            <w:tcW w:w="412" w:type="pct"/>
          </w:tcPr>
          <w:p w14:paraId="7528B766" w14:textId="77777777" w:rsidR="00DA3E6F" w:rsidRPr="000F2D94" w:rsidRDefault="00DA3E6F" w:rsidP="000F2D94">
            <w:pPr>
              <w:pStyle w:val="TableTextEntries"/>
            </w:pPr>
          </w:p>
        </w:tc>
        <w:tc>
          <w:tcPr>
            <w:tcW w:w="773" w:type="pct"/>
            <w:gridSpan w:val="2"/>
          </w:tcPr>
          <w:p w14:paraId="3610A756" w14:textId="77777777" w:rsidR="00DA3E6F" w:rsidRPr="000F2D94" w:rsidRDefault="00DA3E6F" w:rsidP="000F2D94">
            <w:pPr>
              <w:pStyle w:val="TableTextEntries"/>
            </w:pPr>
          </w:p>
        </w:tc>
        <w:tc>
          <w:tcPr>
            <w:tcW w:w="871" w:type="pct"/>
            <w:gridSpan w:val="2"/>
          </w:tcPr>
          <w:p w14:paraId="37F05BA5" w14:textId="77777777" w:rsidR="00DA3E6F" w:rsidRPr="000F2D94" w:rsidRDefault="00DA3E6F" w:rsidP="000F2D94">
            <w:pPr>
              <w:pStyle w:val="TableTextEntries"/>
            </w:pPr>
            <w:r w:rsidRPr="000F2D94">
              <w:rPr>
                <w:lang w:val="en-US"/>
              </w:rPr>
              <w:t xml:space="preserve">Update and revise the </w:t>
            </w:r>
            <w:r w:rsidR="00B777E6" w:rsidRPr="000F2D94">
              <w:rPr>
                <w:lang w:val="en-US"/>
              </w:rPr>
              <w:t>rural water supply and sanitat</w:t>
            </w:r>
            <w:r w:rsidRPr="000F2D94">
              <w:rPr>
                <w:lang w:val="en-US"/>
              </w:rPr>
              <w:t>ion procurement manual (including standard bidding documents)</w:t>
            </w:r>
          </w:p>
        </w:tc>
        <w:tc>
          <w:tcPr>
            <w:tcW w:w="919" w:type="pct"/>
          </w:tcPr>
          <w:p w14:paraId="1AF894C5" w14:textId="77777777" w:rsidR="00DA3E6F" w:rsidRPr="000F2D94" w:rsidRDefault="00DA3E6F" w:rsidP="000F2D94">
            <w:pPr>
              <w:pStyle w:val="TableTextEntries"/>
            </w:pPr>
            <w:r w:rsidRPr="000F2D94">
              <w:t xml:space="preserve">This process has been </w:t>
            </w:r>
            <w:r w:rsidR="00B777E6" w:rsidRPr="000F2D94">
              <w:t xml:space="preserve">postponed </w:t>
            </w:r>
            <w:r w:rsidRPr="000F2D94">
              <w:t xml:space="preserve">subject to the delay in revising the </w:t>
            </w:r>
            <w:r w:rsidR="00B777E6" w:rsidRPr="000F2D94">
              <w:t>public procurement la</w:t>
            </w:r>
            <w:r w:rsidRPr="000F2D94">
              <w:t xml:space="preserve">w by </w:t>
            </w:r>
            <w:r w:rsidR="00B777E6" w:rsidRPr="000F2D94">
              <w:t>the Ministry of Planning and Investment</w:t>
            </w:r>
            <w:r w:rsidRPr="000F2D94">
              <w:t>. Consultants have been recruited, research a</w:t>
            </w:r>
            <w:r w:rsidR="00886D18" w:rsidRPr="000F2D94">
              <w:t>n</w:t>
            </w:r>
            <w:r w:rsidRPr="000F2D94">
              <w:t xml:space="preserve">d survey has been done by </w:t>
            </w:r>
            <w:r w:rsidR="00B777E6" w:rsidRPr="000F2D94">
              <w:rPr>
                <w:lang w:val="en-US"/>
              </w:rPr>
              <w:t>Ministry of Agriculture and Rural Development</w:t>
            </w:r>
          </w:p>
        </w:tc>
        <w:tc>
          <w:tcPr>
            <w:tcW w:w="871" w:type="pct"/>
          </w:tcPr>
          <w:p w14:paraId="4D701C83" w14:textId="0E88CE80" w:rsidR="00DA3E6F" w:rsidRPr="000F2D94" w:rsidRDefault="00DA3E6F" w:rsidP="00D5255B">
            <w:pPr>
              <w:pStyle w:val="TableTextEntries"/>
            </w:pPr>
            <w:r w:rsidRPr="000F2D94">
              <w:t xml:space="preserve">Working with </w:t>
            </w:r>
            <w:r w:rsidR="00B777E6" w:rsidRPr="000F2D94">
              <w:t xml:space="preserve">international non-government </w:t>
            </w:r>
            <w:r w:rsidR="00B922B9" w:rsidRPr="000F2D94">
              <w:t xml:space="preserve">organisations </w:t>
            </w:r>
            <w:r w:rsidRPr="000F2D94">
              <w:t xml:space="preserve">to design and implement </w:t>
            </w:r>
            <w:r w:rsidR="00B922B9" w:rsidRPr="000F2D94">
              <w:t>projects under</w:t>
            </w:r>
            <w:r w:rsidR="00445C4E">
              <w:t xml:space="preserve"> </w:t>
            </w:r>
            <w:r w:rsidR="00D5255B">
              <w:t>the Australian Government</w:t>
            </w:r>
            <w:r w:rsidR="00B922B9" w:rsidRPr="000F2D94">
              <w:t>’s second Civil Society Water, Sanitation and Hygiene Fund</w:t>
            </w:r>
          </w:p>
        </w:tc>
        <w:tc>
          <w:tcPr>
            <w:tcW w:w="653" w:type="pct"/>
          </w:tcPr>
          <w:p w14:paraId="6102AA59" w14:textId="77777777" w:rsidR="00DA3E6F" w:rsidRPr="000F2D94" w:rsidRDefault="00DA3E6F" w:rsidP="000F2D94">
            <w:pPr>
              <w:pStyle w:val="TableTextEntries"/>
            </w:pPr>
          </w:p>
        </w:tc>
      </w:tr>
      <w:tr w:rsidR="000F2D94" w:rsidRPr="000F2D94" w14:paraId="65CB3AAA" w14:textId="77777777" w:rsidTr="000F2D94">
        <w:trPr>
          <w:cantSplit/>
          <w:tblHeader w:val="0"/>
        </w:trPr>
        <w:tc>
          <w:tcPr>
            <w:tcW w:w="501" w:type="pct"/>
          </w:tcPr>
          <w:p w14:paraId="545259FA" w14:textId="77777777" w:rsidR="00DA3E6F" w:rsidRPr="000F2D94" w:rsidRDefault="00DA3E6F" w:rsidP="000F2D94">
            <w:pPr>
              <w:pStyle w:val="TableTextEntries"/>
            </w:pPr>
          </w:p>
        </w:tc>
        <w:tc>
          <w:tcPr>
            <w:tcW w:w="412" w:type="pct"/>
          </w:tcPr>
          <w:p w14:paraId="7652A8A7" w14:textId="77777777" w:rsidR="00DA3E6F" w:rsidRPr="000F2D94" w:rsidRDefault="00DA3E6F" w:rsidP="000F2D94">
            <w:pPr>
              <w:pStyle w:val="TableTextEntries"/>
            </w:pPr>
          </w:p>
        </w:tc>
        <w:tc>
          <w:tcPr>
            <w:tcW w:w="773" w:type="pct"/>
            <w:gridSpan w:val="2"/>
          </w:tcPr>
          <w:p w14:paraId="5C1D10E4" w14:textId="77777777" w:rsidR="00DA3E6F" w:rsidRPr="000F2D94" w:rsidRDefault="00DA3E6F" w:rsidP="000F2D94">
            <w:pPr>
              <w:pStyle w:val="TableTextEntries"/>
            </w:pPr>
          </w:p>
        </w:tc>
        <w:tc>
          <w:tcPr>
            <w:tcW w:w="871" w:type="pct"/>
            <w:gridSpan w:val="2"/>
          </w:tcPr>
          <w:p w14:paraId="621DEF57" w14:textId="77777777" w:rsidR="00DA3E6F" w:rsidRPr="000F2D94" w:rsidRDefault="00DA3E6F" w:rsidP="000F2D94">
            <w:pPr>
              <w:pStyle w:val="TableTextEntries"/>
            </w:pPr>
            <w:r w:rsidRPr="000F2D94">
              <w:rPr>
                <w:rFonts w:cs="Arial"/>
              </w:rPr>
              <w:t>Work with Ministry of Health and Women’s Union to scale up output-based sanitation approaches</w:t>
            </w:r>
          </w:p>
        </w:tc>
        <w:tc>
          <w:tcPr>
            <w:tcW w:w="919" w:type="pct"/>
          </w:tcPr>
          <w:p w14:paraId="3173C7C1" w14:textId="4A513072" w:rsidR="00DA3E6F" w:rsidRPr="000F2D94" w:rsidRDefault="00DA3E6F" w:rsidP="0018618D">
            <w:pPr>
              <w:pStyle w:val="TableTextEntries"/>
            </w:pPr>
            <w:r w:rsidRPr="000F2D94">
              <w:t xml:space="preserve">Technical Assistance was provided to </w:t>
            </w:r>
            <w:r w:rsidR="00642A6F" w:rsidRPr="000F2D94">
              <w:t>Ministry of Health</w:t>
            </w:r>
            <w:r w:rsidRPr="000F2D94">
              <w:t>/</w:t>
            </w:r>
            <w:r w:rsidR="002335A9" w:rsidRPr="000F2D94">
              <w:t>Vietnam Health Environment Management Agency</w:t>
            </w:r>
            <w:r w:rsidR="002335A9" w:rsidRPr="000F2D94" w:rsidDel="002335A9">
              <w:t xml:space="preserve"> </w:t>
            </w:r>
            <w:r w:rsidRPr="000F2D94">
              <w:t>to roll ou</w:t>
            </w:r>
            <w:r w:rsidR="00CE2D75" w:rsidRPr="000F2D94">
              <w:t>t</w:t>
            </w:r>
            <w:r w:rsidRPr="000F2D94">
              <w:t xml:space="preserve"> </w:t>
            </w:r>
            <w:r w:rsidR="00CE2D75" w:rsidRPr="000F2D94">
              <w:t xml:space="preserve">the </w:t>
            </w:r>
            <w:r w:rsidR="00642A6F" w:rsidRPr="000F2D94">
              <w:t>community hygiene imp</w:t>
            </w:r>
            <w:r w:rsidRPr="000F2D94">
              <w:t xml:space="preserve">rovement </w:t>
            </w:r>
            <w:r w:rsidR="00CE2D75" w:rsidRPr="000F2D94">
              <w:t xml:space="preserve">program </w:t>
            </w:r>
            <w:r w:rsidRPr="000F2D94">
              <w:t xml:space="preserve">using </w:t>
            </w:r>
            <w:r w:rsidR="00CE2D75" w:rsidRPr="000F2D94">
              <w:t xml:space="preserve">an </w:t>
            </w:r>
            <w:r w:rsidR="00642A6F" w:rsidRPr="000F2D94">
              <w:t>output based approach</w:t>
            </w:r>
            <w:r w:rsidR="00CE2D75" w:rsidRPr="000F2D94">
              <w:t>.</w:t>
            </w:r>
            <w:r w:rsidRPr="000F2D94">
              <w:t xml:space="preserve"> This in an initiative piloted successfully by East Meets West with </w:t>
            </w:r>
            <w:r w:rsidR="0018618D">
              <w:t>DFAT</w:t>
            </w:r>
            <w:r w:rsidR="00D5255B">
              <w:t xml:space="preserve"> </w:t>
            </w:r>
            <w:r w:rsidR="00642A6F" w:rsidRPr="000F2D94">
              <w:t xml:space="preserve">civil society </w:t>
            </w:r>
            <w:r w:rsidRPr="000F2D94">
              <w:t>funding of</w:t>
            </w:r>
            <w:r w:rsidR="00642A6F" w:rsidRPr="000F2D94">
              <w:t xml:space="preserve"> $</w:t>
            </w:r>
            <w:r w:rsidRPr="000F2D94">
              <w:t>1.6 million and now being scaled up with funding from Gates Foundation.</w:t>
            </w:r>
          </w:p>
        </w:tc>
        <w:tc>
          <w:tcPr>
            <w:tcW w:w="871" w:type="pct"/>
          </w:tcPr>
          <w:p w14:paraId="41C30736" w14:textId="77777777" w:rsidR="00DA3E6F" w:rsidRPr="000F2D94" w:rsidRDefault="00DA3E6F" w:rsidP="000F2D94">
            <w:pPr>
              <w:pStyle w:val="TableTextEntries"/>
            </w:pPr>
          </w:p>
        </w:tc>
        <w:tc>
          <w:tcPr>
            <w:tcW w:w="653" w:type="pct"/>
          </w:tcPr>
          <w:p w14:paraId="71F8831F" w14:textId="77777777" w:rsidR="00DA3E6F" w:rsidRPr="000F2D94" w:rsidRDefault="00DA3E6F" w:rsidP="000F2D94">
            <w:pPr>
              <w:pStyle w:val="TableTextEntries"/>
            </w:pPr>
          </w:p>
        </w:tc>
      </w:tr>
      <w:tr w:rsidR="000F2D94" w:rsidRPr="000F2D94" w14:paraId="34960D1C" w14:textId="77777777" w:rsidTr="000F2D94">
        <w:trPr>
          <w:cnfStyle w:val="000000010000" w:firstRow="0" w:lastRow="0" w:firstColumn="0" w:lastColumn="0" w:oddVBand="0" w:evenVBand="0" w:oddHBand="0" w:evenHBand="1" w:firstRowFirstColumn="0" w:firstRowLastColumn="0" w:lastRowFirstColumn="0" w:lastRowLastColumn="0"/>
          <w:cantSplit/>
          <w:tblHeader w:val="0"/>
        </w:trPr>
        <w:tc>
          <w:tcPr>
            <w:tcW w:w="501" w:type="pct"/>
          </w:tcPr>
          <w:p w14:paraId="7EBBAEF0" w14:textId="77777777" w:rsidR="00DA3E6F" w:rsidRPr="000F2D94" w:rsidRDefault="00DA3E6F" w:rsidP="000F2D94">
            <w:pPr>
              <w:pStyle w:val="TableTextEntries"/>
            </w:pPr>
            <w:r w:rsidRPr="000F2D94">
              <w:t>Reduced human, economic and environmental losses associated with climate change, including natural disasters</w:t>
            </w:r>
          </w:p>
        </w:tc>
        <w:tc>
          <w:tcPr>
            <w:tcW w:w="412" w:type="pct"/>
          </w:tcPr>
          <w:p w14:paraId="01332F58" w14:textId="77777777" w:rsidR="00DA3E6F" w:rsidRPr="000F2D94" w:rsidRDefault="00DA3E6F" w:rsidP="000F2D94">
            <w:pPr>
              <w:pStyle w:val="TableTextEntries"/>
            </w:pPr>
            <w:r w:rsidRPr="000F2D94">
              <w:t>Advance climate change adaptation and mitigation</w:t>
            </w:r>
          </w:p>
          <w:p w14:paraId="23ABE3B7" w14:textId="77777777" w:rsidR="00DA3E6F" w:rsidRPr="000F2D94" w:rsidRDefault="00DA3E6F" w:rsidP="000F2D94">
            <w:pPr>
              <w:pStyle w:val="TableTextEntries"/>
            </w:pPr>
          </w:p>
        </w:tc>
        <w:tc>
          <w:tcPr>
            <w:tcW w:w="773" w:type="pct"/>
            <w:gridSpan w:val="2"/>
          </w:tcPr>
          <w:p w14:paraId="144BA56C" w14:textId="77777777" w:rsidR="00DA3E6F" w:rsidRPr="000F2D94" w:rsidRDefault="00DA3E6F" w:rsidP="000F2D94">
            <w:pPr>
              <w:pStyle w:val="TableTextEntries"/>
            </w:pPr>
            <w:r w:rsidRPr="000F2D94">
              <w:t>750</w:t>
            </w:r>
            <w:r w:rsidR="00642A6F" w:rsidRPr="000F2D94">
              <w:t xml:space="preserve"> </w:t>
            </w:r>
            <w:r w:rsidRPr="000F2D94">
              <w:t>000 people assisted to build their resilience to climate change and weather-based disasters</w:t>
            </w:r>
          </w:p>
          <w:p w14:paraId="3515D938" w14:textId="77777777" w:rsidR="00DA3E6F" w:rsidRPr="000F2D94" w:rsidRDefault="00DA3E6F" w:rsidP="000F2D94">
            <w:pPr>
              <w:pStyle w:val="TableTextEntries"/>
            </w:pPr>
          </w:p>
        </w:tc>
        <w:tc>
          <w:tcPr>
            <w:tcW w:w="860" w:type="pct"/>
          </w:tcPr>
          <w:p w14:paraId="223B0549" w14:textId="77777777" w:rsidR="00DA3E6F" w:rsidRPr="000F2D94" w:rsidRDefault="00DA3E6F" w:rsidP="000F2D94">
            <w:pPr>
              <w:pStyle w:val="TableTextEntries"/>
            </w:pPr>
            <w:r w:rsidRPr="000F2D94">
              <w:t xml:space="preserve">Six new </w:t>
            </w:r>
            <w:r w:rsidR="00642A6F" w:rsidRPr="000F2D94">
              <w:t xml:space="preserve">non-government </w:t>
            </w:r>
            <w:r w:rsidRPr="000F2D94">
              <w:t>partnerships mobilised for community-based climate change</w:t>
            </w:r>
          </w:p>
        </w:tc>
        <w:tc>
          <w:tcPr>
            <w:tcW w:w="930" w:type="pct"/>
            <w:gridSpan w:val="2"/>
          </w:tcPr>
          <w:p w14:paraId="4D468BBC" w14:textId="5D29F904" w:rsidR="00DA3E6F" w:rsidRPr="000F2D94" w:rsidRDefault="00DE5DBB" w:rsidP="000F2D94">
            <w:pPr>
              <w:pStyle w:val="TableTextEntries"/>
            </w:pPr>
            <w:r w:rsidRPr="000F2D94">
              <w:t xml:space="preserve">Six new </w:t>
            </w:r>
            <w:r w:rsidR="001A374B" w:rsidRPr="000F2D94">
              <w:t xml:space="preserve">community-based climate change action grants </w:t>
            </w:r>
            <w:r w:rsidR="00DA3E6F" w:rsidRPr="000F2D94">
              <w:t xml:space="preserve">commenced in 2012 that will directly assist </w:t>
            </w:r>
            <w:r w:rsidR="00FC015B" w:rsidRPr="000F2D94">
              <w:br/>
            </w:r>
            <w:r w:rsidR="00DA3E6F" w:rsidRPr="000F2D94">
              <w:t>270</w:t>
            </w:r>
            <w:r w:rsidR="00642A6F" w:rsidRPr="000F2D94">
              <w:t xml:space="preserve"> </w:t>
            </w:r>
            <w:r w:rsidR="00DA3E6F" w:rsidRPr="000F2D94">
              <w:t>000 people to build resilience to climate change and natural disasters</w:t>
            </w:r>
          </w:p>
        </w:tc>
        <w:tc>
          <w:tcPr>
            <w:tcW w:w="870" w:type="pct"/>
          </w:tcPr>
          <w:p w14:paraId="266B950F" w14:textId="77777777" w:rsidR="00DA3E6F" w:rsidRPr="000F2D94" w:rsidRDefault="00DA3E6F" w:rsidP="000F2D94">
            <w:pPr>
              <w:pStyle w:val="TableTextEntries"/>
            </w:pPr>
            <w:r w:rsidRPr="000F2D94">
              <w:t>Progress towards directly helping 270</w:t>
            </w:r>
            <w:r w:rsidR="00642A6F" w:rsidRPr="000F2D94">
              <w:t xml:space="preserve"> </w:t>
            </w:r>
            <w:r w:rsidRPr="000F2D94">
              <w:t>000 people build their resilience to climate change and natural disasters</w:t>
            </w:r>
          </w:p>
          <w:p w14:paraId="084235DF" w14:textId="77777777" w:rsidR="00DA3E6F" w:rsidRPr="000F2D94" w:rsidRDefault="00DA3E6F" w:rsidP="000F2D94">
            <w:pPr>
              <w:pStyle w:val="TableTextEntries"/>
            </w:pPr>
          </w:p>
          <w:p w14:paraId="6F19622F" w14:textId="2B5FF091" w:rsidR="00DA3E6F" w:rsidRPr="000F2D94" w:rsidRDefault="00DA3E6F" w:rsidP="000F2D94">
            <w:pPr>
              <w:pStyle w:val="TableTextEntries"/>
            </w:pPr>
            <w:r w:rsidRPr="000F2D94">
              <w:t xml:space="preserve">Mobilisation of </w:t>
            </w:r>
            <w:r w:rsidR="00FA44DE" w:rsidRPr="000F2D94">
              <w:t>community-based disaster risk managemen</w:t>
            </w:r>
            <w:r w:rsidR="002335A9" w:rsidRPr="000F2D94">
              <w:t>t</w:t>
            </w:r>
            <w:r w:rsidR="002335A9" w:rsidRPr="000F2D94" w:rsidDel="002335A9">
              <w:t xml:space="preserve"> </w:t>
            </w:r>
            <w:r w:rsidRPr="000F2D94">
              <w:t>under A</w:t>
            </w:r>
            <w:r w:rsidR="002335A9" w:rsidRPr="000F2D94">
              <w:t xml:space="preserve">sian </w:t>
            </w:r>
            <w:r w:rsidRPr="000F2D94">
              <w:t>D</w:t>
            </w:r>
            <w:r w:rsidR="002335A9" w:rsidRPr="000F2D94">
              <w:t xml:space="preserve">evelopment </w:t>
            </w:r>
            <w:r w:rsidRPr="000F2D94">
              <w:t>B</w:t>
            </w:r>
            <w:r w:rsidR="002335A9" w:rsidRPr="000F2D94">
              <w:t>ank</w:t>
            </w:r>
            <w:r w:rsidRPr="000F2D94">
              <w:t xml:space="preserve"> flood and drought mitigation project targeting 63 vulnerable communes</w:t>
            </w:r>
          </w:p>
        </w:tc>
        <w:tc>
          <w:tcPr>
            <w:tcW w:w="654" w:type="pct"/>
          </w:tcPr>
          <w:p w14:paraId="3BD88B6D" w14:textId="77777777" w:rsidR="00DA3E6F" w:rsidRPr="000F2D94" w:rsidRDefault="00DA3E6F" w:rsidP="000F2D94">
            <w:pPr>
              <w:pStyle w:val="TableTextEntries"/>
            </w:pPr>
            <w:r w:rsidRPr="000F2D94">
              <w:t>Climate Change Action Grants</w:t>
            </w:r>
            <w:r w:rsidRPr="000F2D94">
              <w:rPr>
                <w:i/>
              </w:rPr>
              <w:t xml:space="preserve"> </w:t>
            </w:r>
            <w:r w:rsidRPr="000F2D94">
              <w:t>2012–2014 ($15m)</w:t>
            </w:r>
          </w:p>
          <w:p w14:paraId="7D69B33B" w14:textId="77777777" w:rsidR="00DA3E6F" w:rsidRPr="000F2D94" w:rsidRDefault="00DA3E6F" w:rsidP="000F2D94">
            <w:pPr>
              <w:pStyle w:val="TableTextEntries"/>
            </w:pPr>
          </w:p>
          <w:p w14:paraId="5B0DC815" w14:textId="77777777" w:rsidR="00DA3E6F" w:rsidRPr="000F2D94" w:rsidRDefault="00DA3E6F" w:rsidP="000F2D94">
            <w:pPr>
              <w:pStyle w:val="TableTextEntries"/>
            </w:pPr>
          </w:p>
          <w:p w14:paraId="3AC1ABF7" w14:textId="77777777" w:rsidR="00DA3E6F" w:rsidRPr="000F2D94" w:rsidRDefault="00DA3E6F" w:rsidP="000F2D94">
            <w:pPr>
              <w:pStyle w:val="TableTextEntries"/>
            </w:pPr>
          </w:p>
          <w:p w14:paraId="32EEF082" w14:textId="77777777" w:rsidR="00DA3E6F" w:rsidRPr="000F2D94" w:rsidRDefault="00642A6F" w:rsidP="000F2D94">
            <w:pPr>
              <w:pStyle w:val="TableTextEntries"/>
            </w:pPr>
            <w:r w:rsidRPr="000F2D94">
              <w:t xml:space="preserve">Asian Development Bank </w:t>
            </w:r>
            <w:r w:rsidR="002335A9" w:rsidRPr="000F2D94">
              <w:t>Community-based Disaster Risk Management</w:t>
            </w:r>
            <w:r w:rsidR="002335A9" w:rsidRPr="000F2D94" w:rsidDel="002335A9">
              <w:t xml:space="preserve"> </w:t>
            </w:r>
            <w:r w:rsidR="00DA3E6F" w:rsidRPr="000F2D94">
              <w:t>component ($5.85m)</w:t>
            </w:r>
          </w:p>
          <w:p w14:paraId="138D7389" w14:textId="77777777" w:rsidR="00DA3E6F" w:rsidRPr="000F2D94" w:rsidRDefault="00DA3E6F" w:rsidP="000F2D94">
            <w:pPr>
              <w:pStyle w:val="TableTextEntries"/>
            </w:pPr>
          </w:p>
        </w:tc>
      </w:tr>
      <w:tr w:rsidR="000F2D94" w:rsidRPr="000F2D94" w14:paraId="179D40F7" w14:textId="77777777" w:rsidTr="000F2D94">
        <w:trPr>
          <w:cantSplit/>
          <w:tblHeader w:val="0"/>
        </w:trPr>
        <w:tc>
          <w:tcPr>
            <w:tcW w:w="501" w:type="pct"/>
          </w:tcPr>
          <w:p w14:paraId="7B81C9CE" w14:textId="77777777" w:rsidR="00DA3E6F" w:rsidRPr="000F2D94" w:rsidRDefault="00DA3E6F" w:rsidP="000F2D94">
            <w:pPr>
              <w:pStyle w:val="TableTextEntries"/>
            </w:pPr>
          </w:p>
        </w:tc>
        <w:tc>
          <w:tcPr>
            <w:tcW w:w="412" w:type="pct"/>
          </w:tcPr>
          <w:p w14:paraId="3D27CD7C" w14:textId="77777777" w:rsidR="00DA3E6F" w:rsidRPr="000F2D94" w:rsidRDefault="00DA3E6F" w:rsidP="000F2D94">
            <w:pPr>
              <w:pStyle w:val="TableTextEntries"/>
            </w:pPr>
          </w:p>
        </w:tc>
        <w:tc>
          <w:tcPr>
            <w:tcW w:w="773" w:type="pct"/>
            <w:gridSpan w:val="2"/>
          </w:tcPr>
          <w:p w14:paraId="3B02EC62" w14:textId="77777777" w:rsidR="00DA3E6F" w:rsidRPr="000F2D94" w:rsidRDefault="00DA3E6F" w:rsidP="000F2D94">
            <w:pPr>
              <w:pStyle w:val="TableTextEntries"/>
            </w:pPr>
            <w:r w:rsidRPr="000F2D94">
              <w:t>Increase in the incidence and quality of sea</w:t>
            </w:r>
            <w:r w:rsidR="00642A6F" w:rsidRPr="000F2D94">
              <w:t xml:space="preserve"> </w:t>
            </w:r>
            <w:r w:rsidRPr="000F2D94">
              <w:t xml:space="preserve">dykes and mangrove belts in the southwest Mekong Delta </w:t>
            </w:r>
          </w:p>
        </w:tc>
        <w:tc>
          <w:tcPr>
            <w:tcW w:w="860" w:type="pct"/>
          </w:tcPr>
          <w:p w14:paraId="7A333960" w14:textId="77777777" w:rsidR="00DA3E6F" w:rsidRPr="000F2D94" w:rsidRDefault="00DA3E6F" w:rsidP="000F2D94">
            <w:pPr>
              <w:pStyle w:val="TableTextEntries"/>
            </w:pPr>
            <w:r w:rsidRPr="000F2D94">
              <w:t xml:space="preserve">Climate Change and Coastal Ecosystems Program baseline established and implementation plans agreed with each province </w:t>
            </w:r>
          </w:p>
          <w:p w14:paraId="1A2D068C" w14:textId="77777777" w:rsidR="00DA3E6F" w:rsidRPr="000F2D94" w:rsidRDefault="00DA3E6F" w:rsidP="000F2D94">
            <w:pPr>
              <w:pStyle w:val="TableTextEntries"/>
            </w:pPr>
          </w:p>
        </w:tc>
        <w:tc>
          <w:tcPr>
            <w:tcW w:w="930" w:type="pct"/>
            <w:gridSpan w:val="2"/>
          </w:tcPr>
          <w:p w14:paraId="4C60E746" w14:textId="77777777" w:rsidR="00DA3E6F" w:rsidRPr="000F2D94" w:rsidRDefault="00DA3E6F" w:rsidP="000F2D94">
            <w:pPr>
              <w:pStyle w:val="TableTextEntries"/>
            </w:pPr>
            <w:r w:rsidRPr="000F2D94">
              <w:t>Fully achieved. Baselines established to assess policy conditions, the status of protected forests, the socio-economic situation, the level of climate change awareness, and gender. Operational plans have been agreed in all five provinces and at the national level.</w:t>
            </w:r>
          </w:p>
        </w:tc>
        <w:tc>
          <w:tcPr>
            <w:tcW w:w="870" w:type="pct"/>
          </w:tcPr>
          <w:p w14:paraId="3C954E08" w14:textId="77777777" w:rsidR="00DA3E6F" w:rsidRPr="000F2D94" w:rsidRDefault="00DA3E6F" w:rsidP="000F2D94">
            <w:pPr>
              <w:pStyle w:val="TableTextEntries"/>
            </w:pPr>
            <w:r w:rsidRPr="000F2D94">
              <w:t>10km of cost</w:t>
            </w:r>
            <w:r w:rsidR="00642A6F" w:rsidRPr="000F2D94">
              <w:t xml:space="preserve"> </w:t>
            </w:r>
            <w:r w:rsidRPr="000F2D94">
              <w:t>effective dyke protection and mangrove rehabilitation structures are completed.</w:t>
            </w:r>
          </w:p>
          <w:p w14:paraId="46DF6E6F" w14:textId="77777777" w:rsidR="00DA3E6F" w:rsidRPr="000F2D94" w:rsidRDefault="00DA3E6F" w:rsidP="000F2D94">
            <w:pPr>
              <w:pStyle w:val="TableTextEntries"/>
            </w:pPr>
          </w:p>
          <w:p w14:paraId="049C76E3" w14:textId="77777777" w:rsidR="00DA3E6F" w:rsidRPr="000F2D94" w:rsidRDefault="00DA3E6F" w:rsidP="000F2D94">
            <w:pPr>
              <w:pStyle w:val="TableTextEntries"/>
            </w:pPr>
          </w:p>
        </w:tc>
        <w:tc>
          <w:tcPr>
            <w:tcW w:w="654" w:type="pct"/>
          </w:tcPr>
          <w:p w14:paraId="01899EC9" w14:textId="77777777" w:rsidR="00DA3E6F" w:rsidRPr="000F2D94" w:rsidRDefault="00DA3E6F" w:rsidP="000F2D94">
            <w:pPr>
              <w:pStyle w:val="TableTextEntries"/>
            </w:pPr>
            <w:r w:rsidRPr="000F2D94">
              <w:t>Climate Change and Coastal Ecosystems Program 2010–2015 ($23m)</w:t>
            </w:r>
          </w:p>
        </w:tc>
      </w:tr>
      <w:tr w:rsidR="000F2D94" w:rsidRPr="000F2D94" w14:paraId="608E35C2" w14:textId="77777777" w:rsidTr="000F2D94">
        <w:trPr>
          <w:cnfStyle w:val="000000010000" w:firstRow="0" w:lastRow="0" w:firstColumn="0" w:lastColumn="0" w:oddVBand="0" w:evenVBand="0" w:oddHBand="0" w:evenHBand="1" w:firstRowFirstColumn="0" w:firstRowLastColumn="0" w:lastRowFirstColumn="0" w:lastRowLastColumn="0"/>
          <w:cantSplit/>
          <w:tblHeader w:val="0"/>
        </w:trPr>
        <w:tc>
          <w:tcPr>
            <w:tcW w:w="501" w:type="pct"/>
          </w:tcPr>
          <w:p w14:paraId="06D20333" w14:textId="77777777" w:rsidR="00DA3E6F" w:rsidRPr="000F2D94" w:rsidRDefault="00DA3E6F" w:rsidP="000F2D94">
            <w:pPr>
              <w:pStyle w:val="TableTextEntries"/>
            </w:pPr>
          </w:p>
        </w:tc>
        <w:tc>
          <w:tcPr>
            <w:tcW w:w="412" w:type="pct"/>
          </w:tcPr>
          <w:p w14:paraId="41D174BC" w14:textId="77777777" w:rsidR="00DA3E6F" w:rsidRPr="000F2D94" w:rsidRDefault="00DA3E6F" w:rsidP="000F2D94">
            <w:pPr>
              <w:pStyle w:val="TableTextEntries"/>
            </w:pPr>
          </w:p>
        </w:tc>
        <w:tc>
          <w:tcPr>
            <w:tcW w:w="773" w:type="pct"/>
            <w:gridSpan w:val="2"/>
          </w:tcPr>
          <w:p w14:paraId="1B783125" w14:textId="77777777" w:rsidR="00DA3E6F" w:rsidRPr="000F2D94" w:rsidRDefault="00DA3E6F" w:rsidP="000F2D94">
            <w:pPr>
              <w:pStyle w:val="TableTextEntries"/>
            </w:pPr>
          </w:p>
        </w:tc>
        <w:tc>
          <w:tcPr>
            <w:tcW w:w="860" w:type="pct"/>
          </w:tcPr>
          <w:p w14:paraId="6D021654" w14:textId="77777777" w:rsidR="00DA3E6F" w:rsidRPr="000F2D94" w:rsidRDefault="00DA3E6F" w:rsidP="000F2D94">
            <w:pPr>
              <w:pStyle w:val="TableTextEntries"/>
            </w:pPr>
            <w:r w:rsidRPr="000F2D94">
              <w:t>Establis</w:t>
            </w:r>
            <w:r w:rsidR="00642A6F" w:rsidRPr="000F2D94">
              <w:t>h</w:t>
            </w:r>
            <w:r w:rsidRPr="000F2D94">
              <w:t xml:space="preserve"> </w:t>
            </w:r>
            <w:r w:rsidR="00642A6F" w:rsidRPr="000F2D94">
              <w:t xml:space="preserve">a </w:t>
            </w:r>
            <w:r w:rsidRPr="000F2D94">
              <w:t xml:space="preserve">national mechanism to enhance </w:t>
            </w:r>
            <w:r w:rsidRPr="000F2D94">
              <w:rPr>
                <w:lang w:val="en-US"/>
              </w:rPr>
              <w:t>disaster risk reduction</w:t>
            </w:r>
            <w:r w:rsidRPr="000F2D94">
              <w:t xml:space="preserve"> </w:t>
            </w:r>
            <w:r w:rsidR="00642A6F" w:rsidRPr="000F2D94">
              <w:t xml:space="preserve">and </w:t>
            </w:r>
            <w:r w:rsidRPr="000F2D94">
              <w:t>climate change adaptation coordination</w:t>
            </w:r>
          </w:p>
        </w:tc>
        <w:tc>
          <w:tcPr>
            <w:tcW w:w="930" w:type="pct"/>
            <w:gridSpan w:val="2"/>
          </w:tcPr>
          <w:p w14:paraId="041F9612" w14:textId="77777777" w:rsidR="00DA3E6F" w:rsidRPr="000F2D94" w:rsidRDefault="00DA3E6F" w:rsidP="000F2D94">
            <w:pPr>
              <w:pStyle w:val="TableTextEntries"/>
            </w:pPr>
            <w:r w:rsidRPr="000F2D94">
              <w:t xml:space="preserve">Ongoing. The launch of the platform for </w:t>
            </w:r>
            <w:r w:rsidR="002335A9" w:rsidRPr="000F2D94">
              <w:t>disaster risk reduction</w:t>
            </w:r>
            <w:r w:rsidRPr="000F2D94">
              <w:t>/</w:t>
            </w:r>
            <w:r w:rsidR="002335A9" w:rsidRPr="000F2D94">
              <w:t>climate change adaption</w:t>
            </w:r>
            <w:r w:rsidRPr="000F2D94">
              <w:t xml:space="preserve"> coordination is planned for mid-2013.</w:t>
            </w:r>
          </w:p>
        </w:tc>
        <w:tc>
          <w:tcPr>
            <w:tcW w:w="870" w:type="pct"/>
          </w:tcPr>
          <w:p w14:paraId="4ACCE643" w14:textId="77777777" w:rsidR="00DA3E6F" w:rsidRPr="000F2D94" w:rsidRDefault="00DA3E6F" w:rsidP="000F2D94">
            <w:pPr>
              <w:pStyle w:val="TableTextEntries"/>
            </w:pPr>
          </w:p>
        </w:tc>
        <w:tc>
          <w:tcPr>
            <w:tcW w:w="654" w:type="pct"/>
          </w:tcPr>
          <w:p w14:paraId="31AA7B3F" w14:textId="77777777" w:rsidR="00DA3E6F" w:rsidRPr="000F2D94" w:rsidRDefault="00DA3E6F" w:rsidP="000F2D94">
            <w:pPr>
              <w:pStyle w:val="TableTextEntries"/>
            </w:pPr>
            <w:r w:rsidRPr="000F2D94">
              <w:t>Support Program to Respond to Climate Change ($8m)</w:t>
            </w:r>
          </w:p>
          <w:p w14:paraId="7446F0BB" w14:textId="77777777" w:rsidR="00DA3E6F" w:rsidRPr="000F2D94" w:rsidRDefault="00DA3E6F" w:rsidP="000F2D94">
            <w:pPr>
              <w:pStyle w:val="TableTextEntries"/>
            </w:pPr>
          </w:p>
        </w:tc>
      </w:tr>
      <w:tr w:rsidR="000F2D94" w:rsidRPr="000F2D94" w14:paraId="50A24C4C" w14:textId="77777777" w:rsidTr="000F2D94">
        <w:trPr>
          <w:cantSplit/>
          <w:tblHeader w:val="0"/>
        </w:trPr>
        <w:tc>
          <w:tcPr>
            <w:tcW w:w="501" w:type="pct"/>
          </w:tcPr>
          <w:p w14:paraId="4AB14F2F" w14:textId="77777777" w:rsidR="00DA3E6F" w:rsidRPr="000F2D94" w:rsidRDefault="00DA3E6F" w:rsidP="000F2D94">
            <w:pPr>
              <w:pStyle w:val="TableTextEntries"/>
            </w:pPr>
          </w:p>
        </w:tc>
        <w:tc>
          <w:tcPr>
            <w:tcW w:w="412" w:type="pct"/>
          </w:tcPr>
          <w:p w14:paraId="0F3793A5" w14:textId="77777777" w:rsidR="00DA3E6F" w:rsidRPr="000F2D94" w:rsidRDefault="00DA3E6F" w:rsidP="000F2D94">
            <w:pPr>
              <w:pStyle w:val="TableTextEntries"/>
            </w:pPr>
          </w:p>
        </w:tc>
        <w:tc>
          <w:tcPr>
            <w:tcW w:w="773" w:type="pct"/>
            <w:gridSpan w:val="2"/>
          </w:tcPr>
          <w:p w14:paraId="6227E50D" w14:textId="77777777" w:rsidR="00DA3E6F" w:rsidRPr="000F2D94" w:rsidRDefault="00DA3E6F" w:rsidP="000F2D94">
            <w:pPr>
              <w:pStyle w:val="TableTextEntries"/>
            </w:pPr>
          </w:p>
        </w:tc>
        <w:tc>
          <w:tcPr>
            <w:tcW w:w="860" w:type="pct"/>
          </w:tcPr>
          <w:p w14:paraId="2F8B01D5" w14:textId="77777777" w:rsidR="00DA3E6F" w:rsidRPr="000F2D94" w:rsidRDefault="00DA3E6F" w:rsidP="000F2D94">
            <w:pPr>
              <w:pStyle w:val="TableTextEntries"/>
            </w:pPr>
            <w:r w:rsidRPr="000F2D94">
              <w:t>Completion of A</w:t>
            </w:r>
            <w:r w:rsidR="00642A6F" w:rsidRPr="000F2D94">
              <w:t xml:space="preserve">sian </w:t>
            </w:r>
            <w:r w:rsidRPr="000F2D94">
              <w:t>D</w:t>
            </w:r>
            <w:r w:rsidR="00642A6F" w:rsidRPr="000F2D94">
              <w:t xml:space="preserve">evelopment </w:t>
            </w:r>
            <w:r w:rsidRPr="000F2D94">
              <w:t>B</w:t>
            </w:r>
            <w:r w:rsidR="00642A6F" w:rsidRPr="000F2D94">
              <w:t>ank</w:t>
            </w:r>
            <w:r w:rsidRPr="000F2D94">
              <w:t xml:space="preserve"> Climate Change Impact Study in the Mekong Delta</w:t>
            </w:r>
          </w:p>
        </w:tc>
        <w:tc>
          <w:tcPr>
            <w:tcW w:w="930" w:type="pct"/>
            <w:gridSpan w:val="2"/>
          </w:tcPr>
          <w:p w14:paraId="02D2279E" w14:textId="77777777" w:rsidR="00DA3E6F" w:rsidRPr="000F2D94" w:rsidRDefault="00642A6F" w:rsidP="000F2D94">
            <w:pPr>
              <w:pStyle w:val="TableTextEntries"/>
            </w:pPr>
            <w:r w:rsidRPr="000F2D94">
              <w:t>Asian Development Bank s</w:t>
            </w:r>
            <w:r w:rsidR="00DA3E6F" w:rsidRPr="000F2D94">
              <w:t xml:space="preserve">tudy </w:t>
            </w:r>
            <w:r w:rsidRPr="000F2D94">
              <w:t xml:space="preserve">completed </w:t>
            </w:r>
            <w:r w:rsidR="00DA3E6F" w:rsidRPr="000F2D94">
              <w:t xml:space="preserve">and shared with key stakeholders </w:t>
            </w:r>
          </w:p>
        </w:tc>
        <w:tc>
          <w:tcPr>
            <w:tcW w:w="870" w:type="pct"/>
          </w:tcPr>
          <w:p w14:paraId="534686B4" w14:textId="77777777" w:rsidR="00DA3E6F" w:rsidRPr="000F2D94" w:rsidRDefault="00DA3E6F" w:rsidP="000F2D94">
            <w:pPr>
              <w:pStyle w:val="TableTextEntries"/>
            </w:pPr>
          </w:p>
        </w:tc>
        <w:tc>
          <w:tcPr>
            <w:tcW w:w="654" w:type="pct"/>
          </w:tcPr>
          <w:p w14:paraId="53AA8AF9" w14:textId="77777777" w:rsidR="00DA3E6F" w:rsidRPr="000F2D94" w:rsidRDefault="00DA3E6F" w:rsidP="000F2D94">
            <w:pPr>
              <w:pStyle w:val="TableTextEntries"/>
            </w:pPr>
          </w:p>
        </w:tc>
      </w:tr>
      <w:tr w:rsidR="000F2D94" w:rsidRPr="000F2D94" w14:paraId="69D066EE" w14:textId="77777777" w:rsidTr="000F2D94">
        <w:trPr>
          <w:cnfStyle w:val="000000010000" w:firstRow="0" w:lastRow="0" w:firstColumn="0" w:lastColumn="0" w:oddVBand="0" w:evenVBand="0" w:oddHBand="0" w:evenHBand="1" w:firstRowFirstColumn="0" w:firstRowLastColumn="0" w:lastRowFirstColumn="0" w:lastRowLastColumn="0"/>
          <w:cantSplit/>
          <w:tblHeader w:val="0"/>
        </w:trPr>
        <w:tc>
          <w:tcPr>
            <w:tcW w:w="501" w:type="pct"/>
          </w:tcPr>
          <w:p w14:paraId="7D55D147" w14:textId="77777777" w:rsidR="00DA3E6F" w:rsidRPr="000F2D94" w:rsidRDefault="00DA3E6F" w:rsidP="000F2D94">
            <w:pPr>
              <w:pStyle w:val="TableTextEntries"/>
            </w:pPr>
          </w:p>
        </w:tc>
        <w:tc>
          <w:tcPr>
            <w:tcW w:w="412" w:type="pct"/>
          </w:tcPr>
          <w:p w14:paraId="604A908B" w14:textId="77777777" w:rsidR="00DA3E6F" w:rsidRPr="000F2D94" w:rsidRDefault="00DA3E6F" w:rsidP="000F2D94">
            <w:pPr>
              <w:pStyle w:val="TableTextEntries"/>
            </w:pPr>
          </w:p>
        </w:tc>
        <w:tc>
          <w:tcPr>
            <w:tcW w:w="773" w:type="pct"/>
            <w:gridSpan w:val="2"/>
          </w:tcPr>
          <w:p w14:paraId="27981929" w14:textId="77777777" w:rsidR="00DA3E6F" w:rsidRPr="000F2D94" w:rsidRDefault="00DA3E6F" w:rsidP="000F2D94">
            <w:pPr>
              <w:pStyle w:val="TableTextEntries"/>
            </w:pPr>
          </w:p>
        </w:tc>
        <w:tc>
          <w:tcPr>
            <w:tcW w:w="860" w:type="pct"/>
          </w:tcPr>
          <w:p w14:paraId="110A0C9E" w14:textId="77777777" w:rsidR="00DA3E6F" w:rsidRPr="000F2D94" w:rsidRDefault="00DA3E6F" w:rsidP="000F2D94">
            <w:pPr>
              <w:pStyle w:val="TableTextEntries"/>
            </w:pPr>
            <w:r w:rsidRPr="000F2D94">
              <w:t>CSIRO down-scale projections commence in partnership with the Ministry of Natural Resources and Environment’s science institute</w:t>
            </w:r>
          </w:p>
        </w:tc>
        <w:tc>
          <w:tcPr>
            <w:tcW w:w="930" w:type="pct"/>
            <w:gridSpan w:val="2"/>
          </w:tcPr>
          <w:p w14:paraId="4992D141" w14:textId="77777777" w:rsidR="00DA3E6F" w:rsidRPr="000F2D94" w:rsidRDefault="00DA3E6F" w:rsidP="000F2D94">
            <w:pPr>
              <w:pStyle w:val="TableTextEntries"/>
            </w:pPr>
            <w:r w:rsidRPr="000F2D94">
              <w:t>Achieved. Partnership commenced and on-track</w:t>
            </w:r>
          </w:p>
        </w:tc>
        <w:tc>
          <w:tcPr>
            <w:tcW w:w="870" w:type="pct"/>
          </w:tcPr>
          <w:p w14:paraId="20728BDF" w14:textId="77777777" w:rsidR="00DA3E6F" w:rsidRPr="000F2D94" w:rsidRDefault="00DA3E6F" w:rsidP="000F2D94">
            <w:pPr>
              <w:pStyle w:val="TableTextEntries"/>
            </w:pPr>
            <w:r w:rsidRPr="000F2D94">
              <w:t>Completion of down-scale</w:t>
            </w:r>
            <w:r w:rsidR="00154EF9" w:rsidRPr="000F2D94">
              <w:t>d</w:t>
            </w:r>
            <w:r w:rsidRPr="000F2D94">
              <w:t xml:space="preserve"> climate change projections for Vietnam</w:t>
            </w:r>
          </w:p>
          <w:p w14:paraId="656CBB02" w14:textId="77777777" w:rsidR="00DA3E6F" w:rsidRPr="000F2D94" w:rsidRDefault="00DA3E6F" w:rsidP="000F2D94">
            <w:pPr>
              <w:pStyle w:val="TableTextEntries"/>
            </w:pPr>
            <w:r w:rsidRPr="000F2D94">
              <w:t>Commencement of a pilot to apply down-scale</w:t>
            </w:r>
            <w:r w:rsidR="00154EF9" w:rsidRPr="000F2D94">
              <w:t>d</w:t>
            </w:r>
            <w:r w:rsidRPr="000F2D94">
              <w:t xml:space="preserve"> projections to inform provincial planning in partnership with </w:t>
            </w:r>
            <w:r w:rsidR="00642A6F" w:rsidRPr="000F2D94">
              <w:t>Climate Change and Coastal Ecosystems Program</w:t>
            </w:r>
          </w:p>
        </w:tc>
        <w:tc>
          <w:tcPr>
            <w:tcW w:w="654" w:type="pct"/>
          </w:tcPr>
          <w:p w14:paraId="174F2321" w14:textId="77777777" w:rsidR="00DA3E6F" w:rsidRPr="000F2D94" w:rsidRDefault="00DA3E6F" w:rsidP="000F2D94">
            <w:pPr>
              <w:pStyle w:val="TableTextEntries"/>
            </w:pPr>
            <w:r w:rsidRPr="000F2D94">
              <w:t>CSIRO down-scale</w:t>
            </w:r>
            <w:r w:rsidR="00154EF9" w:rsidRPr="000F2D94">
              <w:t>d</w:t>
            </w:r>
            <w:r w:rsidRPr="000F2D94">
              <w:t xml:space="preserve"> projections 2012–2014 ($2m)</w:t>
            </w:r>
          </w:p>
          <w:p w14:paraId="520375F0" w14:textId="77777777" w:rsidR="00DA3E6F" w:rsidRPr="000F2D94" w:rsidRDefault="00DA3E6F" w:rsidP="000F2D94">
            <w:pPr>
              <w:pStyle w:val="TableTextEntries"/>
            </w:pPr>
          </w:p>
        </w:tc>
      </w:tr>
      <w:tr w:rsidR="000F2D94" w:rsidRPr="000F2D94" w14:paraId="0C4A65CA" w14:textId="77777777" w:rsidTr="000F2D94">
        <w:trPr>
          <w:cantSplit/>
          <w:tblHeader w:val="0"/>
        </w:trPr>
        <w:tc>
          <w:tcPr>
            <w:tcW w:w="501" w:type="pct"/>
          </w:tcPr>
          <w:p w14:paraId="7B09A421" w14:textId="77777777" w:rsidR="00DA3E6F" w:rsidRPr="000F2D94" w:rsidRDefault="00DA3E6F" w:rsidP="000F2D94">
            <w:pPr>
              <w:pStyle w:val="TableTextEntries"/>
            </w:pPr>
          </w:p>
        </w:tc>
        <w:tc>
          <w:tcPr>
            <w:tcW w:w="412" w:type="pct"/>
          </w:tcPr>
          <w:p w14:paraId="3BEA86DE" w14:textId="77777777" w:rsidR="00DA3E6F" w:rsidRPr="000F2D94" w:rsidRDefault="00DA3E6F" w:rsidP="000F2D94">
            <w:pPr>
              <w:pStyle w:val="TableTextEntries"/>
            </w:pPr>
          </w:p>
        </w:tc>
        <w:tc>
          <w:tcPr>
            <w:tcW w:w="773" w:type="pct"/>
            <w:gridSpan w:val="2"/>
          </w:tcPr>
          <w:p w14:paraId="2F44B64F" w14:textId="77777777" w:rsidR="00DA3E6F" w:rsidRPr="000F2D94" w:rsidRDefault="00DA3E6F" w:rsidP="000F2D94">
            <w:pPr>
              <w:pStyle w:val="TableTextEntries"/>
            </w:pPr>
            <w:r w:rsidRPr="000F2D94">
              <w:t>Mitigation target met</w:t>
            </w:r>
            <w:r w:rsidR="00710337" w:rsidRPr="000F2D94">
              <w:t xml:space="preserve"> </w:t>
            </w:r>
            <w:r w:rsidRPr="000F2D94">
              <w:t>(emission reduction through improved energy efficiency, adoption of clean technologies and agricultural production)</w:t>
            </w:r>
          </w:p>
        </w:tc>
        <w:tc>
          <w:tcPr>
            <w:tcW w:w="860" w:type="pct"/>
          </w:tcPr>
          <w:p w14:paraId="7A12CF5C" w14:textId="77777777" w:rsidR="00DA3E6F" w:rsidRPr="000F2D94" w:rsidRDefault="00DA3E6F" w:rsidP="000F2D94">
            <w:pPr>
              <w:pStyle w:val="TableTextEntries"/>
            </w:pPr>
            <w:r w:rsidRPr="000F2D94">
              <w:t>Value chain analysis to identify low-carbon pathways in agricultural production completed</w:t>
            </w:r>
          </w:p>
          <w:p w14:paraId="3EA9F462" w14:textId="77777777" w:rsidR="00DA3E6F" w:rsidRPr="000F2D94" w:rsidRDefault="00DA3E6F" w:rsidP="000F2D94">
            <w:pPr>
              <w:pStyle w:val="TableTextEntries"/>
            </w:pPr>
          </w:p>
        </w:tc>
        <w:tc>
          <w:tcPr>
            <w:tcW w:w="930" w:type="pct"/>
            <w:gridSpan w:val="2"/>
          </w:tcPr>
          <w:p w14:paraId="1911261A" w14:textId="77777777" w:rsidR="00DA3E6F" w:rsidRPr="000F2D94" w:rsidRDefault="00DA3E6F" w:rsidP="000F2D94">
            <w:pPr>
              <w:pStyle w:val="TableTextEntries"/>
            </w:pPr>
            <w:r w:rsidRPr="000F2D94">
              <w:t xml:space="preserve">Completed and results shared with </w:t>
            </w:r>
            <w:r w:rsidR="00642A6F" w:rsidRPr="000F2D94">
              <w:t xml:space="preserve">non-government </w:t>
            </w:r>
            <w:r w:rsidR="00154EF9" w:rsidRPr="000F2D94">
              <w:t xml:space="preserve">organisation </w:t>
            </w:r>
            <w:r w:rsidRPr="000F2D94">
              <w:t>partners and other donors to facilitate the adoption of low-carbon options in the agriculture sector</w:t>
            </w:r>
          </w:p>
        </w:tc>
        <w:tc>
          <w:tcPr>
            <w:tcW w:w="870" w:type="pct"/>
          </w:tcPr>
          <w:p w14:paraId="41EF6666" w14:textId="77777777" w:rsidR="00DA3E6F" w:rsidRPr="000F2D94" w:rsidRDefault="00DA3E6F" w:rsidP="000F2D94">
            <w:pPr>
              <w:pStyle w:val="TableTextEntries"/>
            </w:pPr>
            <w:r w:rsidRPr="000F2D94">
              <w:t xml:space="preserve">Preliminary results on potential </w:t>
            </w:r>
            <w:r w:rsidR="00642A6F" w:rsidRPr="000F2D94">
              <w:t xml:space="preserve">greenhouse gas </w:t>
            </w:r>
            <w:r w:rsidRPr="000F2D94">
              <w:t>emission reduction from the adoption of low-carbon rice production techniques</w:t>
            </w:r>
          </w:p>
        </w:tc>
        <w:tc>
          <w:tcPr>
            <w:tcW w:w="654" w:type="pct"/>
          </w:tcPr>
          <w:p w14:paraId="18381E50" w14:textId="5BC406A3" w:rsidR="00DA3E6F" w:rsidRPr="000F2D94" w:rsidRDefault="00DA3E6F" w:rsidP="000F2D94">
            <w:pPr>
              <w:pStyle w:val="TableTextEntries"/>
            </w:pPr>
            <w:r w:rsidRPr="000F2D94">
              <w:t xml:space="preserve">Value-chain analysis for low-carbon agricultural production 2011–12 </w:t>
            </w:r>
            <w:r w:rsidR="00E56A3E" w:rsidRPr="000F2D94">
              <w:t>($0.25m)</w:t>
            </w:r>
          </w:p>
          <w:p w14:paraId="3BEFB2F0" w14:textId="77777777" w:rsidR="00DA3E6F" w:rsidRPr="000F2D94" w:rsidRDefault="00DA3E6F" w:rsidP="000F2D94">
            <w:pPr>
              <w:pStyle w:val="TableTextEntries"/>
            </w:pPr>
          </w:p>
          <w:p w14:paraId="75B06CCA" w14:textId="77777777" w:rsidR="00DA3E6F" w:rsidRPr="000F2D94" w:rsidRDefault="00DA3E6F" w:rsidP="000F2D94">
            <w:pPr>
              <w:pStyle w:val="TableTextEntries"/>
            </w:pPr>
            <w:r w:rsidRPr="000F2D94">
              <w:t>Climate Change Action Grants</w:t>
            </w:r>
            <w:r w:rsidRPr="000F2D94">
              <w:rPr>
                <w:i/>
              </w:rPr>
              <w:t xml:space="preserve"> </w:t>
            </w:r>
            <w:r w:rsidRPr="000F2D94">
              <w:t>2012–2014 ($15m)</w:t>
            </w:r>
          </w:p>
        </w:tc>
      </w:tr>
      <w:tr w:rsidR="000F2D94" w:rsidRPr="000F2D94" w14:paraId="6EC1CCC3" w14:textId="77777777" w:rsidTr="000F2D94">
        <w:trPr>
          <w:cnfStyle w:val="000000010000" w:firstRow="0" w:lastRow="0" w:firstColumn="0" w:lastColumn="0" w:oddVBand="0" w:evenVBand="0" w:oddHBand="0" w:evenHBand="1" w:firstRowFirstColumn="0" w:firstRowLastColumn="0" w:lastRowFirstColumn="0" w:lastRowLastColumn="0"/>
          <w:cantSplit/>
          <w:tblHeader w:val="0"/>
        </w:trPr>
        <w:tc>
          <w:tcPr>
            <w:tcW w:w="501" w:type="pct"/>
          </w:tcPr>
          <w:p w14:paraId="1D2FB925" w14:textId="77777777" w:rsidR="00DA3E6F" w:rsidRPr="000F2D94" w:rsidRDefault="00DA3E6F" w:rsidP="000F2D94">
            <w:pPr>
              <w:pStyle w:val="TableTextEntries"/>
            </w:pPr>
          </w:p>
        </w:tc>
        <w:tc>
          <w:tcPr>
            <w:tcW w:w="412" w:type="pct"/>
          </w:tcPr>
          <w:p w14:paraId="4ADE9436" w14:textId="77777777" w:rsidR="00DA3E6F" w:rsidRPr="000F2D94" w:rsidRDefault="00DA3E6F" w:rsidP="000F2D94">
            <w:pPr>
              <w:pStyle w:val="TableTextEntries"/>
            </w:pPr>
          </w:p>
        </w:tc>
        <w:tc>
          <w:tcPr>
            <w:tcW w:w="773" w:type="pct"/>
            <w:gridSpan w:val="2"/>
          </w:tcPr>
          <w:p w14:paraId="57E8B84D" w14:textId="77777777" w:rsidR="00DA3E6F" w:rsidRPr="000F2D94" w:rsidRDefault="00DA3E6F" w:rsidP="000F2D94">
            <w:pPr>
              <w:pStyle w:val="TableTextEntries"/>
            </w:pPr>
          </w:p>
        </w:tc>
        <w:tc>
          <w:tcPr>
            <w:tcW w:w="860" w:type="pct"/>
          </w:tcPr>
          <w:p w14:paraId="15F35644" w14:textId="77777777" w:rsidR="00DA3E6F" w:rsidRPr="000F2D94" w:rsidRDefault="00DA3E6F" w:rsidP="000F2D94">
            <w:pPr>
              <w:pStyle w:val="TableTextEntries"/>
            </w:pPr>
          </w:p>
        </w:tc>
        <w:tc>
          <w:tcPr>
            <w:tcW w:w="930" w:type="pct"/>
            <w:gridSpan w:val="2"/>
          </w:tcPr>
          <w:p w14:paraId="33411E95" w14:textId="77777777" w:rsidR="00DA3E6F" w:rsidRPr="000F2D94" w:rsidRDefault="00DA3E6F" w:rsidP="000F2D94">
            <w:pPr>
              <w:pStyle w:val="TableTextEntries"/>
            </w:pPr>
          </w:p>
        </w:tc>
        <w:tc>
          <w:tcPr>
            <w:tcW w:w="870" w:type="pct"/>
          </w:tcPr>
          <w:p w14:paraId="643F1697" w14:textId="77777777" w:rsidR="00DA3E6F" w:rsidRPr="000F2D94" w:rsidRDefault="00DA3E6F" w:rsidP="000F2D94">
            <w:pPr>
              <w:pStyle w:val="TableTextEntries"/>
            </w:pPr>
            <w:r w:rsidRPr="000F2D94">
              <w:t>Mobilisation of the Distribution Efficiency Project in partnership with the World Bank</w:t>
            </w:r>
          </w:p>
        </w:tc>
        <w:tc>
          <w:tcPr>
            <w:tcW w:w="654" w:type="pct"/>
          </w:tcPr>
          <w:p w14:paraId="63527E3D" w14:textId="77777777" w:rsidR="00DA3E6F" w:rsidRPr="000F2D94" w:rsidRDefault="00FA39DE" w:rsidP="000F2D94">
            <w:pPr>
              <w:pStyle w:val="TableTextEntries"/>
            </w:pPr>
            <w:r w:rsidRPr="000F2D94">
              <w:rPr>
                <w:iCs/>
              </w:rPr>
              <w:t>Distribution Efficiency Project</w:t>
            </w:r>
            <w:r w:rsidRPr="000F2D94" w:rsidDel="00FA39DE">
              <w:t xml:space="preserve"> </w:t>
            </w:r>
            <w:r w:rsidR="00DA3E6F" w:rsidRPr="000F2D94">
              <w:t xml:space="preserve">contribution for the technical assistance component </w:t>
            </w:r>
            <w:r w:rsidR="00642A6F" w:rsidRPr="000F2D94">
              <w:t>($</w:t>
            </w:r>
            <w:r w:rsidR="00DA3E6F" w:rsidRPr="000F2D94">
              <w:t>7.6m</w:t>
            </w:r>
            <w:r w:rsidR="00642A6F" w:rsidRPr="000F2D94">
              <w:t>)</w:t>
            </w:r>
          </w:p>
        </w:tc>
      </w:tr>
      <w:tr w:rsidR="000F2D94" w:rsidRPr="000F2D94" w14:paraId="53A537C1" w14:textId="77777777" w:rsidTr="000F2D94">
        <w:trPr>
          <w:cantSplit/>
          <w:tblHeader w:val="0"/>
        </w:trPr>
        <w:tc>
          <w:tcPr>
            <w:tcW w:w="501" w:type="pct"/>
          </w:tcPr>
          <w:p w14:paraId="1BD9568B" w14:textId="77777777" w:rsidR="00DA3E6F" w:rsidRPr="000F2D94" w:rsidRDefault="00DA3E6F" w:rsidP="000F2D94">
            <w:pPr>
              <w:pStyle w:val="TableTextEntries"/>
            </w:pPr>
          </w:p>
        </w:tc>
        <w:tc>
          <w:tcPr>
            <w:tcW w:w="412" w:type="pct"/>
          </w:tcPr>
          <w:p w14:paraId="7BD9D627" w14:textId="77777777" w:rsidR="00DA3E6F" w:rsidRPr="000F2D94" w:rsidRDefault="00DA3E6F" w:rsidP="000F2D94">
            <w:pPr>
              <w:pStyle w:val="TableTextEntries"/>
            </w:pPr>
          </w:p>
        </w:tc>
        <w:tc>
          <w:tcPr>
            <w:tcW w:w="773" w:type="pct"/>
            <w:gridSpan w:val="2"/>
          </w:tcPr>
          <w:p w14:paraId="6EF99731" w14:textId="77777777" w:rsidR="00DA3E6F" w:rsidRPr="000F2D94" w:rsidRDefault="00DA3E6F" w:rsidP="000F2D94">
            <w:pPr>
              <w:pStyle w:val="TableTextEntries"/>
            </w:pPr>
          </w:p>
        </w:tc>
        <w:tc>
          <w:tcPr>
            <w:tcW w:w="860" w:type="pct"/>
          </w:tcPr>
          <w:p w14:paraId="782A2AE8" w14:textId="77777777" w:rsidR="00DA3E6F" w:rsidRPr="000F2D94" w:rsidRDefault="00DA3E6F" w:rsidP="000F2D94">
            <w:pPr>
              <w:pStyle w:val="TableTextEntries"/>
            </w:pPr>
          </w:p>
        </w:tc>
        <w:tc>
          <w:tcPr>
            <w:tcW w:w="930" w:type="pct"/>
            <w:gridSpan w:val="2"/>
          </w:tcPr>
          <w:p w14:paraId="04BD0D15" w14:textId="77777777" w:rsidR="00DA3E6F" w:rsidRPr="000F2D94" w:rsidRDefault="00DA3E6F" w:rsidP="000F2D94">
            <w:pPr>
              <w:pStyle w:val="TableTextEntries"/>
            </w:pPr>
          </w:p>
        </w:tc>
        <w:tc>
          <w:tcPr>
            <w:tcW w:w="870" w:type="pct"/>
          </w:tcPr>
          <w:p w14:paraId="63AB8969" w14:textId="77777777" w:rsidR="00DA3E6F" w:rsidRPr="000F2D94" w:rsidRDefault="00DA3E6F" w:rsidP="000F2D94">
            <w:pPr>
              <w:pStyle w:val="TableTextEntries"/>
            </w:pPr>
            <w:r w:rsidRPr="000F2D94">
              <w:t xml:space="preserve">Mobilisation of a Climate Innovation Centre in Vietnam to support </w:t>
            </w:r>
            <w:r w:rsidR="00642A6F" w:rsidRPr="000F2D94">
              <w:t xml:space="preserve">small to medium sized enterprise </w:t>
            </w:r>
            <w:r w:rsidRPr="000F2D94">
              <w:t xml:space="preserve">development in </w:t>
            </w:r>
            <w:r w:rsidR="00642A6F" w:rsidRPr="000F2D94">
              <w:t>clean technologies</w:t>
            </w:r>
          </w:p>
        </w:tc>
        <w:tc>
          <w:tcPr>
            <w:tcW w:w="654" w:type="pct"/>
          </w:tcPr>
          <w:p w14:paraId="46C3767B" w14:textId="77777777" w:rsidR="00DA3E6F" w:rsidRPr="000F2D94" w:rsidRDefault="00642A6F" w:rsidP="000F2D94">
            <w:pPr>
              <w:pStyle w:val="TableTextEntries"/>
            </w:pPr>
            <w:r w:rsidRPr="000F2D94">
              <w:t xml:space="preserve">Climate Innovation Centre </w:t>
            </w:r>
            <w:r w:rsidR="00DA3E6F" w:rsidRPr="000F2D94">
              <w:t>contribution pending approval</w:t>
            </w:r>
          </w:p>
        </w:tc>
      </w:tr>
    </w:tbl>
    <w:p w14:paraId="0458D69C" w14:textId="77777777" w:rsidR="00F77E6A" w:rsidRPr="00071B95" w:rsidRDefault="00F77E6A" w:rsidP="000F2D94">
      <w:pPr>
        <w:pStyle w:val="BodyText"/>
      </w:pPr>
    </w:p>
    <w:sectPr w:rsidR="00F77E6A" w:rsidRPr="00071B95" w:rsidSect="00A14FE9">
      <w:headerReference w:type="default" r:id="rId21"/>
      <w:pgSz w:w="16840" w:h="11907" w:orient="landscape" w:code="9"/>
      <w:pgMar w:top="1871" w:right="2268" w:bottom="1701" w:left="907" w:header="851"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D1997" w14:textId="77777777" w:rsidR="002116BD" w:rsidRDefault="002116BD" w:rsidP="0050529F">
      <w:r>
        <w:separator/>
      </w:r>
    </w:p>
    <w:p w14:paraId="3DBB99CF" w14:textId="77777777" w:rsidR="002116BD" w:rsidRDefault="002116BD"/>
    <w:p w14:paraId="61087FE0" w14:textId="77777777" w:rsidR="002116BD" w:rsidRDefault="002116BD"/>
  </w:endnote>
  <w:endnote w:type="continuationSeparator" w:id="0">
    <w:p w14:paraId="180E6574" w14:textId="77777777" w:rsidR="002116BD" w:rsidRDefault="002116BD" w:rsidP="0050529F">
      <w:r>
        <w:continuationSeparator/>
      </w:r>
    </w:p>
    <w:p w14:paraId="7B56CFD4" w14:textId="77777777" w:rsidR="002116BD" w:rsidRDefault="002116BD"/>
    <w:p w14:paraId="4C6FFD2A" w14:textId="77777777" w:rsidR="002116BD" w:rsidRDefault="00211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rigold">
    <w:panose1 w:val="00000000000000000000"/>
    <w:charset w:val="00"/>
    <w:family w:val="script"/>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BF80A" w14:textId="03B9706E" w:rsidR="002116BD" w:rsidRPr="00612E14" w:rsidRDefault="002116BD" w:rsidP="00612E14">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F2A89">
      <w:rPr>
        <w:rFonts w:ascii="Franklin Gothic Medium" w:eastAsia="Times New Roman" w:hAnsi="Franklin Gothic Medium"/>
        <w:noProof/>
        <w:sz w:val="14"/>
        <w:szCs w:val="14"/>
      </w:rPr>
      <w:t>Aid Program Performance Report 2012−13 Vietnam</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F2A89">
      <w:rPr>
        <w:rFonts w:ascii="Franklin Gothic Medium" w:eastAsia="Times New Roman" w:hAnsi="Franklin Gothic Medium"/>
        <w:noProof/>
        <w:sz w:val="14"/>
        <w:szCs w:val="14"/>
      </w:rPr>
      <w:t>19</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1248" behindDoc="1" locked="0" layoutInCell="1" allowOverlap="1" wp14:anchorId="79DD0C51" wp14:editId="302E69C0">
              <wp:simplePos x="0" y="0"/>
              <wp:positionH relativeFrom="column">
                <wp:posOffset>0</wp:posOffset>
              </wp:positionH>
              <wp:positionV relativeFrom="paragraph">
                <wp:posOffset>8498840</wp:posOffset>
              </wp:positionV>
              <wp:extent cx="7379970" cy="2181860"/>
              <wp:effectExtent l="0" t="2540" r="1905" b="0"/>
              <wp:wrapNone/>
              <wp:docPr id="29"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BCj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ywQo0&#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0224" behindDoc="1" locked="0" layoutInCell="1" allowOverlap="1" wp14:anchorId="7F9BBAFF" wp14:editId="1461B716">
              <wp:simplePos x="0" y="0"/>
              <wp:positionH relativeFrom="column">
                <wp:posOffset>0</wp:posOffset>
              </wp:positionH>
              <wp:positionV relativeFrom="paragraph">
                <wp:posOffset>8498840</wp:posOffset>
              </wp:positionV>
              <wp:extent cx="7379970" cy="2181860"/>
              <wp:effectExtent l="0" t="2540" r="1905" b="0"/>
              <wp:wrapNone/>
              <wp:docPr id="30"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eYYl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KV5h&#10;iW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6532" w14:textId="64E7C249" w:rsidR="002116BD" w:rsidRPr="00DC1F63" w:rsidRDefault="002116BD" w:rsidP="00612E14">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F2A89">
      <w:rPr>
        <w:rFonts w:ascii="Franklin Gothic Medium" w:eastAsia="Times New Roman" w:hAnsi="Franklin Gothic Medium"/>
        <w:noProof/>
        <w:sz w:val="14"/>
        <w:szCs w:val="14"/>
      </w:rPr>
      <w:t>Aid Program Performance Report 2012−13 Vietnam</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F2A89">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98176" behindDoc="1" locked="0" layoutInCell="1" allowOverlap="1" wp14:anchorId="2A155811" wp14:editId="0FE04D16">
              <wp:simplePos x="0" y="0"/>
              <wp:positionH relativeFrom="column">
                <wp:posOffset>0</wp:posOffset>
              </wp:positionH>
              <wp:positionV relativeFrom="paragraph">
                <wp:posOffset>8498840</wp:posOffset>
              </wp:positionV>
              <wp:extent cx="7379970" cy="2181860"/>
              <wp:effectExtent l="0" t="2540" r="1905" b="0"/>
              <wp:wrapNone/>
              <wp:docPr id="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oRcV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KEXF&#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7152" behindDoc="1" locked="0" layoutInCell="1" allowOverlap="1" wp14:anchorId="2AF9EE5B" wp14:editId="5139D6B9">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89907" w14:textId="1A9F3159" w:rsidR="002116BD" w:rsidRPr="00612E14" w:rsidRDefault="002116BD" w:rsidP="00612E14">
    <w:pPr>
      <w:pStyle w:val="Footer"/>
      <w:tabs>
        <w:tab w:val="clear" w:pos="4513"/>
        <w:tab w:val="clear" w:pos="9026"/>
        <w:tab w:val="right" w:pos="14175"/>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F2A89">
      <w:rPr>
        <w:rFonts w:ascii="Franklin Gothic Medium" w:eastAsia="Times New Roman" w:hAnsi="Franklin Gothic Medium"/>
        <w:noProof/>
        <w:sz w:val="14"/>
        <w:szCs w:val="14"/>
      </w:rPr>
      <w:t>Aid Program Performance Report 2012−13 Vietnam</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F2A89">
      <w:rPr>
        <w:rFonts w:ascii="Franklin Gothic Medium" w:eastAsia="Times New Roman" w:hAnsi="Franklin Gothic Medium"/>
        <w:noProof/>
        <w:sz w:val="14"/>
        <w:szCs w:val="14"/>
      </w:rPr>
      <w:t>41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4320" behindDoc="1" locked="0" layoutInCell="1" allowOverlap="1" wp14:anchorId="312F2DB9" wp14:editId="79F9D1F8">
              <wp:simplePos x="0" y="0"/>
              <wp:positionH relativeFrom="column">
                <wp:posOffset>0</wp:posOffset>
              </wp:positionH>
              <wp:positionV relativeFrom="paragraph">
                <wp:posOffset>8498840</wp:posOffset>
              </wp:positionV>
              <wp:extent cx="7379970" cy="2181860"/>
              <wp:effectExtent l="0" t="2540" r="1905" b="0"/>
              <wp:wrapNone/>
              <wp:docPr id="31"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nK6t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aecr&#10;q2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3296" behindDoc="1" locked="0" layoutInCell="1" allowOverlap="1" wp14:anchorId="7FF90708" wp14:editId="0F8FCC59">
              <wp:simplePos x="0" y="0"/>
              <wp:positionH relativeFrom="column">
                <wp:posOffset>0</wp:posOffset>
              </wp:positionH>
              <wp:positionV relativeFrom="paragraph">
                <wp:posOffset>8498840</wp:posOffset>
              </wp:positionV>
              <wp:extent cx="7379970" cy="2181860"/>
              <wp:effectExtent l="0" t="2540" r="1905" b="0"/>
              <wp:wrapNone/>
              <wp:docPr id="3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9aA9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IKRIj3E6GegRtRBcpQDMsYdBWCb8COMhzjXaHl0y8cNGvgeEcYs&#10;sEcnhgHoYFwNep/NJxuQOPOk6e8OKb3uQC1fWquHjhMGbuThfHpzIQgOrqL98KNmYA45eh3Zvra2&#10;DwqBGnqNIXy7hJC/ekRhcTFdVNUCzKa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z1o&#10;D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60450" w14:textId="6408C7AF" w:rsidR="002116BD" w:rsidRPr="00612E14" w:rsidRDefault="002116BD" w:rsidP="00612E14">
    <w:pPr>
      <w:pStyle w:val="Footer"/>
      <w:tabs>
        <w:tab w:val="clear" w:pos="4513"/>
        <w:tab w:val="clear" w:pos="9026"/>
        <w:tab w:val="right" w:pos="14175"/>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F2A89">
      <w:rPr>
        <w:rFonts w:ascii="Franklin Gothic Medium" w:eastAsia="Times New Roman" w:hAnsi="Franklin Gothic Medium"/>
        <w:noProof/>
        <w:sz w:val="14"/>
        <w:szCs w:val="14"/>
      </w:rPr>
      <w:t>Aid Program Performance Report 2012−13 Vietnam</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F2A89">
      <w:rPr>
        <w:rFonts w:ascii="Franklin Gothic Medium" w:eastAsia="Times New Roman" w:hAnsi="Franklin Gothic Medium"/>
        <w:noProof/>
        <w:sz w:val="14"/>
        <w:szCs w:val="14"/>
      </w:rPr>
      <w:t>31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7392" behindDoc="1" locked="0" layoutInCell="1" allowOverlap="1" wp14:anchorId="09DF5778" wp14:editId="582B4DAA">
              <wp:simplePos x="0" y="0"/>
              <wp:positionH relativeFrom="column">
                <wp:posOffset>0</wp:posOffset>
              </wp:positionH>
              <wp:positionV relativeFrom="paragraph">
                <wp:posOffset>8498840</wp:posOffset>
              </wp:positionV>
              <wp:extent cx="7379970" cy="2181860"/>
              <wp:effectExtent l="0" t="2540" r="1905" b="0"/>
              <wp:wrapNone/>
              <wp:docPr id="3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BmnF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Iq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uQGa&#10;cW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6368" behindDoc="1" locked="0" layoutInCell="1" allowOverlap="1" wp14:anchorId="104F6002" wp14:editId="5022D9C2">
              <wp:simplePos x="0" y="0"/>
              <wp:positionH relativeFrom="column">
                <wp:posOffset>0</wp:posOffset>
              </wp:positionH>
              <wp:positionV relativeFrom="paragraph">
                <wp:posOffset>8498840</wp:posOffset>
              </wp:positionV>
              <wp:extent cx="7379970" cy="2181860"/>
              <wp:effectExtent l="0" t="2540" r="1905" b="0"/>
              <wp:wrapNone/>
              <wp:docPr id="34"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eAl5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tMB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DJ4C&#10;Xm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83E4A" w14:textId="77777777" w:rsidR="002116BD" w:rsidRDefault="002116BD" w:rsidP="0050529F">
      <w:r>
        <w:separator/>
      </w:r>
    </w:p>
    <w:p w14:paraId="384A9106" w14:textId="77777777" w:rsidR="002116BD" w:rsidRDefault="002116BD"/>
    <w:p w14:paraId="1FAA5B7D" w14:textId="77777777" w:rsidR="002116BD" w:rsidRDefault="002116BD"/>
  </w:footnote>
  <w:footnote w:type="continuationSeparator" w:id="0">
    <w:p w14:paraId="287F0C63" w14:textId="77777777" w:rsidR="002116BD" w:rsidRDefault="002116BD" w:rsidP="0050529F">
      <w:r>
        <w:continuationSeparator/>
      </w:r>
    </w:p>
    <w:p w14:paraId="2D0AF540" w14:textId="77777777" w:rsidR="002116BD" w:rsidRDefault="002116BD"/>
    <w:p w14:paraId="186F7670" w14:textId="77777777" w:rsidR="002116BD" w:rsidRDefault="002116BD"/>
  </w:footnote>
  <w:footnote w:id="1">
    <w:p w14:paraId="1DF0C121" w14:textId="52A91170" w:rsidR="007F2A89" w:rsidRDefault="007F2A89">
      <w:pPr>
        <w:pStyle w:val="FootnoteText"/>
      </w:pPr>
      <w:r>
        <w:rPr>
          <w:rStyle w:val="FootnoteReference"/>
        </w:rPr>
        <w:footnoteRef/>
      </w:r>
      <w:r>
        <w:t xml:space="preserve"> Prior to 2012-13 Aid Program Performance Reports were called Annual Program Performance Reports</w:t>
      </w:r>
      <w:bookmarkStart w:id="0" w:name="_GoBack"/>
      <w:bookmarkEnd w:id="0"/>
    </w:p>
  </w:footnote>
  <w:footnote w:id="2">
    <w:p w14:paraId="3D9267D1" w14:textId="04C01D3F" w:rsidR="002116BD" w:rsidRDefault="002116BD" w:rsidP="006659FF">
      <w:pPr>
        <w:pStyle w:val="FootnoteText"/>
      </w:pPr>
      <w:r>
        <w:rPr>
          <w:rStyle w:val="FootnoteReference"/>
        </w:rPr>
        <w:footnoteRef/>
      </w:r>
      <w:r>
        <w:t xml:space="preserve"> Ministry of Education and Training Department for Higher Education.</w:t>
      </w:r>
    </w:p>
  </w:footnote>
  <w:footnote w:id="3">
    <w:p w14:paraId="34A58DD9" w14:textId="77777777" w:rsidR="002116BD" w:rsidRPr="00071B95" w:rsidRDefault="002116BD" w:rsidP="00071B95">
      <w:pPr>
        <w:pStyle w:val="FootnoteText"/>
      </w:pPr>
      <w:r w:rsidRPr="00AE2781">
        <w:rPr>
          <w:rStyle w:val="FootnoteReference"/>
        </w:rPr>
        <w:footnoteRef/>
      </w:r>
      <w:r w:rsidRPr="00AE2781">
        <w:rPr>
          <w:rStyle w:val="FootnoteReference"/>
        </w:rPr>
        <w:t xml:space="preserve"> </w:t>
      </w:r>
      <w:r w:rsidRPr="00AE2781">
        <w:t>‘Completed’ means the final version of the report has been received.</w:t>
      </w:r>
    </w:p>
  </w:footnote>
  <w:footnote w:id="4">
    <w:p w14:paraId="4E3F9E44" w14:textId="0A10A92A" w:rsidR="002116BD" w:rsidRPr="00071B95" w:rsidRDefault="002116BD" w:rsidP="00071B95">
      <w:pPr>
        <w:pStyle w:val="FootnoteText"/>
      </w:pPr>
      <w:r w:rsidRPr="00AE2781">
        <w:rPr>
          <w:rStyle w:val="FootnoteReference"/>
        </w:rPr>
        <w:footnoteRef/>
      </w:r>
      <w:r w:rsidRPr="00AE2781">
        <w:rPr>
          <w:rStyle w:val="FootnoteReference"/>
        </w:rPr>
        <w:t xml:space="preserve"> </w:t>
      </w:r>
      <w:r w:rsidRPr="00AE2781">
        <w:t>E.g. Mid-term review, Completion report, partner-led evaluation, joint evaluation.</w:t>
      </w:r>
    </w:p>
  </w:footnote>
  <w:footnote w:id="5">
    <w:p w14:paraId="79A767C6" w14:textId="77777777" w:rsidR="002116BD" w:rsidRPr="00551C11" w:rsidRDefault="002116BD" w:rsidP="00071B95">
      <w:pPr>
        <w:pStyle w:val="FootnoteText"/>
      </w:pPr>
      <w:r w:rsidRPr="00F77E6A">
        <w:rPr>
          <w:rStyle w:val="FootnoteReference"/>
        </w:rPr>
        <w:footnoteRef/>
      </w:r>
      <w:r w:rsidRPr="00071B95">
        <w:t xml:space="preserve"> </w:t>
      </w:r>
      <w:r>
        <w:t>E</w:t>
      </w:r>
      <w:r w:rsidRPr="00071B95">
        <w:t>.g. To inform a future phase of program, to improve existing program</w:t>
      </w:r>
      <w:r>
        <w:t xml:space="preserve"> or</w:t>
      </w:r>
      <w:r w:rsidRPr="00071B95">
        <w:t xml:space="preserve"> to verify program outcomes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1F57F" w14:textId="5C5E2923" w:rsidR="002116BD" w:rsidRDefault="002116BD">
    <w:r>
      <w:rPr>
        <w:noProof/>
      </w:rPr>
      <w:drawing>
        <wp:anchor distT="0" distB="0" distL="114300" distR="114300" simplePos="0" relativeHeight="251695104" behindDoc="0" locked="0" layoutInCell="1" allowOverlap="1" wp14:anchorId="507009B2" wp14:editId="63734A51">
          <wp:simplePos x="1152525" y="600075"/>
          <wp:positionH relativeFrom="page">
            <wp:align>left</wp:align>
          </wp:positionH>
          <wp:positionV relativeFrom="page">
            <wp:align>top</wp:align>
          </wp:positionV>
          <wp:extent cx="7560000" cy="1440000"/>
          <wp:effectExtent l="0" t="0" r="3175" b="8255"/>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14:paraId="4C63EBF7" w14:textId="2B544EC2" w:rsidR="002116BD" w:rsidRDefault="002116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82715" w14:textId="51673285" w:rsidR="002116BD" w:rsidRDefault="002116BD">
    <w:r>
      <w:rPr>
        <w:noProof/>
      </w:rPr>
      <w:drawing>
        <wp:anchor distT="0" distB="0" distL="114300" distR="114300" simplePos="0" relativeHeight="251694080" behindDoc="1" locked="0" layoutInCell="1" allowOverlap="1" wp14:anchorId="3552730B" wp14:editId="1BCE095E">
          <wp:simplePos x="1152525" y="447675"/>
          <wp:positionH relativeFrom="page">
            <wp:align>left</wp:align>
          </wp:positionH>
          <wp:positionV relativeFrom="page">
            <wp:align>top</wp:align>
          </wp:positionV>
          <wp:extent cx="7560000" cy="1890000"/>
          <wp:effectExtent l="0" t="0" r="3175"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D9660" w14:textId="60C60DD6" w:rsidR="002116BD" w:rsidRDefault="002116BD"/>
  <w:p w14:paraId="40CEBC70" w14:textId="77777777" w:rsidR="002116BD" w:rsidRDefault="002116B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06A1C" w14:textId="77777777" w:rsidR="002116BD" w:rsidRDefault="002116BD">
    <w:r>
      <w:rPr>
        <w:noProof/>
      </w:rPr>
      <mc:AlternateContent>
        <mc:Choice Requires="wps">
          <w:drawing>
            <wp:anchor distT="0" distB="0" distL="114300" distR="114300" simplePos="0" relativeHeight="251672576" behindDoc="0" locked="1" layoutInCell="1" allowOverlap="1" wp14:anchorId="523FA069" wp14:editId="6DF9BFDF">
              <wp:simplePos x="0" y="0"/>
              <wp:positionH relativeFrom="page">
                <wp:posOffset>0</wp:posOffset>
              </wp:positionH>
              <wp:positionV relativeFrom="page">
                <wp:posOffset>0</wp:posOffset>
              </wp:positionV>
              <wp:extent cx="7560000" cy="1512000"/>
              <wp:effectExtent l="0" t="0" r="3175" b="0"/>
              <wp:wrapTight wrapText="bothSides">
                <wp:wrapPolygon edited="0">
                  <wp:start x="0" y="0"/>
                  <wp:lineTo x="0" y="21228"/>
                  <wp:lineTo x="21555" y="21228"/>
                  <wp:lineTo x="21555" y="0"/>
                  <wp:lineTo x="0" y="0"/>
                </wp:wrapPolygon>
              </wp:wrapTight>
              <wp:docPr id="15" name="Rectangle 15" descr="Australian Aid Factsheets oliv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5120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alt="Australian Aid Factsheets olive-2" style="position:absolute;margin-left:0;margin-top:0;width:595.3pt;height:119.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f6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" stroked="f" strokecolor="#4a7ebb" strokeweight="1.5pt">
              <v:fill r:id="rId2" o:title="Australian Aid Factsheets olive-2" recolor="t" type="frame"/>
              <v:shadow opacity="22938f" offset="0"/>
              <v:textbox inset=",7.2pt,,7.2pt"/>
              <w10:wrap type="tight" anchorx="page" anchory="page"/>
              <w10:anchorlock/>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A3F07" w14:textId="77777777" w:rsidR="002116BD" w:rsidRDefault="002116B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52148" w14:textId="77777777" w:rsidR="002116BD" w:rsidRDefault="002116BD"/>
  <w:p w14:paraId="702A8532" w14:textId="77777777" w:rsidR="002116BD" w:rsidRDefault="002116BD"/>
  <w:p w14:paraId="2A44B84A" w14:textId="77777777" w:rsidR="002116BD" w:rsidRDefault="002116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B85E8C"/>
    <w:multiLevelType w:val="hybridMultilevel"/>
    <w:tmpl w:val="899A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17DCF"/>
    <w:multiLevelType w:val="hybridMultilevel"/>
    <w:tmpl w:val="21C6F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9908A9"/>
    <w:multiLevelType w:val="hybridMultilevel"/>
    <w:tmpl w:val="BB6A778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86B67EF"/>
    <w:multiLevelType w:val="hybridMultilevel"/>
    <w:tmpl w:val="78D2B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2E03A3"/>
    <w:multiLevelType w:val="hybridMultilevel"/>
    <w:tmpl w:val="64209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C94141"/>
    <w:multiLevelType w:val="hybridMultilevel"/>
    <w:tmpl w:val="33DAA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1">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2">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29C35327"/>
    <w:multiLevelType w:val="hybridMultilevel"/>
    <w:tmpl w:val="F2A0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436970"/>
    <w:multiLevelType w:val="hybridMultilevel"/>
    <w:tmpl w:val="921A7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C697547"/>
    <w:multiLevelType w:val="hybridMultilevel"/>
    <w:tmpl w:val="AFA85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81830D9"/>
    <w:multiLevelType w:val="hybridMultilevel"/>
    <w:tmpl w:val="63C4A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454F7D"/>
    <w:multiLevelType w:val="hybridMultilevel"/>
    <w:tmpl w:val="844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DA33B49"/>
    <w:multiLevelType w:val="hybridMultilevel"/>
    <w:tmpl w:val="1E748F80"/>
    <w:lvl w:ilvl="0" w:tplc="0536216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F1E6FD9"/>
    <w:multiLevelType w:val="hybridMultilevel"/>
    <w:tmpl w:val="28DE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E34193"/>
    <w:multiLevelType w:val="hybridMultilevel"/>
    <w:tmpl w:val="ECBC970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2821B31"/>
    <w:multiLevelType w:val="hybridMultilevel"/>
    <w:tmpl w:val="9736A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62D332E"/>
    <w:multiLevelType w:val="hybridMultilevel"/>
    <w:tmpl w:val="63B0AB6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8">
    <w:nsid w:val="56E42F94"/>
    <w:multiLevelType w:val="hybridMultilevel"/>
    <w:tmpl w:val="F9AA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1C4919"/>
    <w:multiLevelType w:val="hybridMultilevel"/>
    <w:tmpl w:val="07406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4F7153"/>
    <w:multiLevelType w:val="hybridMultilevel"/>
    <w:tmpl w:val="1E748F80"/>
    <w:lvl w:ilvl="0" w:tplc="0536216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3">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57B698F"/>
    <w:multiLevelType w:val="hybridMultilevel"/>
    <w:tmpl w:val="C7A22C8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83E5C39"/>
    <w:multiLevelType w:val="hybridMultilevel"/>
    <w:tmpl w:val="EE56F236"/>
    <w:lvl w:ilvl="0" w:tplc="987670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A0D36BB"/>
    <w:multiLevelType w:val="hybridMultilevel"/>
    <w:tmpl w:val="243A0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9">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8"/>
  </w:num>
  <w:num w:numId="3">
    <w:abstractNumId w:val="10"/>
  </w:num>
  <w:num w:numId="4">
    <w:abstractNumId w:val="31"/>
  </w:num>
  <w:num w:numId="5">
    <w:abstractNumId w:val="6"/>
  </w:num>
  <w:num w:numId="6">
    <w:abstractNumId w:val="26"/>
  </w:num>
  <w:num w:numId="7">
    <w:abstractNumId w:val="20"/>
  </w:num>
  <w:num w:numId="8">
    <w:abstractNumId w:val="18"/>
  </w:num>
  <w:num w:numId="9">
    <w:abstractNumId w:val="35"/>
  </w:num>
  <w:num w:numId="10">
    <w:abstractNumId w:val="5"/>
  </w:num>
  <w:num w:numId="11">
    <w:abstractNumId w:val="25"/>
  </w:num>
  <w:num w:numId="12">
    <w:abstractNumId w:val="39"/>
  </w:num>
  <w:num w:numId="13">
    <w:abstractNumId w:val="11"/>
  </w:num>
  <w:num w:numId="14">
    <w:abstractNumId w:val="40"/>
  </w:num>
  <w:num w:numId="15">
    <w:abstractNumId w:val="41"/>
  </w:num>
  <w:num w:numId="16">
    <w:abstractNumId w:val="16"/>
  </w:num>
  <w:num w:numId="17">
    <w:abstractNumId w:val="0"/>
  </w:num>
  <w:num w:numId="18">
    <w:abstractNumId w:val="1"/>
  </w:num>
  <w:num w:numId="19">
    <w:abstractNumId w:val="22"/>
  </w:num>
  <w:num w:numId="20">
    <w:abstractNumId w:val="2"/>
  </w:num>
  <w:num w:numId="21">
    <w:abstractNumId w:val="34"/>
  </w:num>
  <w:num w:numId="22">
    <w:abstractNumId w:val="13"/>
  </w:num>
  <w:num w:numId="23">
    <w:abstractNumId w:val="7"/>
  </w:num>
  <w:num w:numId="24">
    <w:abstractNumId w:val="36"/>
  </w:num>
  <w:num w:numId="25">
    <w:abstractNumId w:val="29"/>
  </w:num>
  <w:num w:numId="26">
    <w:abstractNumId w:val="17"/>
  </w:num>
  <w:num w:numId="27">
    <w:abstractNumId w:val="14"/>
  </w:num>
  <w:num w:numId="28">
    <w:abstractNumId w:val="9"/>
  </w:num>
  <w:num w:numId="29">
    <w:abstractNumId w:val="27"/>
  </w:num>
  <w:num w:numId="30">
    <w:abstractNumId w:val="24"/>
  </w:num>
  <w:num w:numId="31">
    <w:abstractNumId w:val="4"/>
  </w:num>
  <w:num w:numId="32">
    <w:abstractNumId w:val="15"/>
  </w:num>
  <w:num w:numId="33">
    <w:abstractNumId w:val="3"/>
  </w:num>
  <w:num w:numId="34">
    <w:abstractNumId w:val="8"/>
  </w:num>
  <w:num w:numId="35">
    <w:abstractNumId w:val="37"/>
  </w:num>
  <w:num w:numId="36">
    <w:abstractNumId w:val="28"/>
  </w:num>
  <w:num w:numId="37">
    <w:abstractNumId w:val="23"/>
  </w:num>
  <w:num w:numId="38">
    <w:abstractNumId w:val="19"/>
  </w:num>
  <w:num w:numId="39">
    <w:abstractNumId w:val="21"/>
  </w:num>
  <w:num w:numId="40">
    <w:abstractNumId w:val="30"/>
  </w:num>
  <w:num w:numId="41">
    <w:abstractNumId w:val="33"/>
  </w:num>
  <w:num w:numId="42">
    <w:abstractNumId w:val="31"/>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2161"/>
    <w:rsid w:val="0000242A"/>
    <w:rsid w:val="00002E28"/>
    <w:rsid w:val="000039CF"/>
    <w:rsid w:val="00004E18"/>
    <w:rsid w:val="00007E94"/>
    <w:rsid w:val="000142A2"/>
    <w:rsid w:val="000143D9"/>
    <w:rsid w:val="00020121"/>
    <w:rsid w:val="00021A9E"/>
    <w:rsid w:val="00030111"/>
    <w:rsid w:val="00031100"/>
    <w:rsid w:val="00031EB5"/>
    <w:rsid w:val="0003231A"/>
    <w:rsid w:val="00040AF6"/>
    <w:rsid w:val="0005506B"/>
    <w:rsid w:val="00057589"/>
    <w:rsid w:val="00057D09"/>
    <w:rsid w:val="00071B95"/>
    <w:rsid w:val="0007395B"/>
    <w:rsid w:val="000745E2"/>
    <w:rsid w:val="0007703B"/>
    <w:rsid w:val="000774FD"/>
    <w:rsid w:val="00081F4E"/>
    <w:rsid w:val="000905A8"/>
    <w:rsid w:val="00091878"/>
    <w:rsid w:val="000957FC"/>
    <w:rsid w:val="000979A0"/>
    <w:rsid w:val="00097B02"/>
    <w:rsid w:val="000A1618"/>
    <w:rsid w:val="000B3121"/>
    <w:rsid w:val="000B68F6"/>
    <w:rsid w:val="000B6BE5"/>
    <w:rsid w:val="000B75E8"/>
    <w:rsid w:val="000C258A"/>
    <w:rsid w:val="000C29BF"/>
    <w:rsid w:val="000C6080"/>
    <w:rsid w:val="000C60A8"/>
    <w:rsid w:val="000D1993"/>
    <w:rsid w:val="000E4573"/>
    <w:rsid w:val="000E7297"/>
    <w:rsid w:val="000E7A8D"/>
    <w:rsid w:val="000F2D94"/>
    <w:rsid w:val="00100485"/>
    <w:rsid w:val="00100AA2"/>
    <w:rsid w:val="00106185"/>
    <w:rsid w:val="00106BDC"/>
    <w:rsid w:val="0010729C"/>
    <w:rsid w:val="00112E97"/>
    <w:rsid w:val="001139DE"/>
    <w:rsid w:val="00114751"/>
    <w:rsid w:val="001154CA"/>
    <w:rsid w:val="00120FC7"/>
    <w:rsid w:val="00122038"/>
    <w:rsid w:val="0012429A"/>
    <w:rsid w:val="001258C6"/>
    <w:rsid w:val="0012793C"/>
    <w:rsid w:val="00131FF0"/>
    <w:rsid w:val="00132003"/>
    <w:rsid w:val="00133AAD"/>
    <w:rsid w:val="00135806"/>
    <w:rsid w:val="001366B4"/>
    <w:rsid w:val="00141A30"/>
    <w:rsid w:val="00143053"/>
    <w:rsid w:val="0014411B"/>
    <w:rsid w:val="001448E7"/>
    <w:rsid w:val="00147846"/>
    <w:rsid w:val="0015043E"/>
    <w:rsid w:val="00154EF9"/>
    <w:rsid w:val="00157858"/>
    <w:rsid w:val="001612CE"/>
    <w:rsid w:val="0016544D"/>
    <w:rsid w:val="001657F1"/>
    <w:rsid w:val="00173C6E"/>
    <w:rsid w:val="00180B19"/>
    <w:rsid w:val="0018196F"/>
    <w:rsid w:val="001829BB"/>
    <w:rsid w:val="0018305E"/>
    <w:rsid w:val="0018353A"/>
    <w:rsid w:val="0018618D"/>
    <w:rsid w:val="00192498"/>
    <w:rsid w:val="00194806"/>
    <w:rsid w:val="001A374B"/>
    <w:rsid w:val="001B1A0C"/>
    <w:rsid w:val="001B2948"/>
    <w:rsid w:val="001B41CD"/>
    <w:rsid w:val="001B714C"/>
    <w:rsid w:val="001C1EA0"/>
    <w:rsid w:val="001C31B9"/>
    <w:rsid w:val="001C507E"/>
    <w:rsid w:val="001C700E"/>
    <w:rsid w:val="001C7117"/>
    <w:rsid w:val="001C7DDD"/>
    <w:rsid w:val="001D20FC"/>
    <w:rsid w:val="001D210A"/>
    <w:rsid w:val="001E4BDE"/>
    <w:rsid w:val="001E6635"/>
    <w:rsid w:val="001F12A2"/>
    <w:rsid w:val="001F7480"/>
    <w:rsid w:val="00201174"/>
    <w:rsid w:val="00202880"/>
    <w:rsid w:val="00202E4E"/>
    <w:rsid w:val="00203BCC"/>
    <w:rsid w:val="00205E0B"/>
    <w:rsid w:val="00205F2B"/>
    <w:rsid w:val="002115BD"/>
    <w:rsid w:val="002116BD"/>
    <w:rsid w:val="002126BA"/>
    <w:rsid w:val="00212B27"/>
    <w:rsid w:val="002231F3"/>
    <w:rsid w:val="00231D45"/>
    <w:rsid w:val="002335A9"/>
    <w:rsid w:val="002363D9"/>
    <w:rsid w:val="00237C4B"/>
    <w:rsid w:val="00240D59"/>
    <w:rsid w:val="002441D5"/>
    <w:rsid w:val="00246E5F"/>
    <w:rsid w:val="00261E78"/>
    <w:rsid w:val="00270898"/>
    <w:rsid w:val="00272AF0"/>
    <w:rsid w:val="00275C42"/>
    <w:rsid w:val="002849B4"/>
    <w:rsid w:val="002911A4"/>
    <w:rsid w:val="00291F1C"/>
    <w:rsid w:val="00297FA7"/>
    <w:rsid w:val="002A15F4"/>
    <w:rsid w:val="002A1935"/>
    <w:rsid w:val="002A22F7"/>
    <w:rsid w:val="002A4D70"/>
    <w:rsid w:val="002B31B3"/>
    <w:rsid w:val="002B433A"/>
    <w:rsid w:val="002B61A8"/>
    <w:rsid w:val="002B6EBE"/>
    <w:rsid w:val="002B79D4"/>
    <w:rsid w:val="002C1E00"/>
    <w:rsid w:val="002C639B"/>
    <w:rsid w:val="002D1328"/>
    <w:rsid w:val="002D5D7B"/>
    <w:rsid w:val="002D6914"/>
    <w:rsid w:val="002D6DF0"/>
    <w:rsid w:val="002E5604"/>
    <w:rsid w:val="002F479A"/>
    <w:rsid w:val="002F54F3"/>
    <w:rsid w:val="002F5A14"/>
    <w:rsid w:val="00303038"/>
    <w:rsid w:val="0030318A"/>
    <w:rsid w:val="00306734"/>
    <w:rsid w:val="00310426"/>
    <w:rsid w:val="00310974"/>
    <w:rsid w:val="00315135"/>
    <w:rsid w:val="00315D13"/>
    <w:rsid w:val="00316048"/>
    <w:rsid w:val="003167E5"/>
    <w:rsid w:val="00320FCE"/>
    <w:rsid w:val="003223F8"/>
    <w:rsid w:val="0032486D"/>
    <w:rsid w:val="003260C0"/>
    <w:rsid w:val="00326B5A"/>
    <w:rsid w:val="003279FD"/>
    <w:rsid w:val="003327F8"/>
    <w:rsid w:val="00335F19"/>
    <w:rsid w:val="003363C7"/>
    <w:rsid w:val="00341177"/>
    <w:rsid w:val="00341311"/>
    <w:rsid w:val="00343B25"/>
    <w:rsid w:val="00345B8E"/>
    <w:rsid w:val="00351ACA"/>
    <w:rsid w:val="00352AE5"/>
    <w:rsid w:val="00357648"/>
    <w:rsid w:val="00357AF7"/>
    <w:rsid w:val="00357E25"/>
    <w:rsid w:val="00360662"/>
    <w:rsid w:val="00372E1B"/>
    <w:rsid w:val="003743C8"/>
    <w:rsid w:val="00383294"/>
    <w:rsid w:val="00383F3F"/>
    <w:rsid w:val="00384342"/>
    <w:rsid w:val="00385A4C"/>
    <w:rsid w:val="00392981"/>
    <w:rsid w:val="00395CFA"/>
    <w:rsid w:val="003A27D2"/>
    <w:rsid w:val="003A2D7B"/>
    <w:rsid w:val="003A74BF"/>
    <w:rsid w:val="003B122C"/>
    <w:rsid w:val="003C288C"/>
    <w:rsid w:val="003C7721"/>
    <w:rsid w:val="003D081D"/>
    <w:rsid w:val="003D2E2F"/>
    <w:rsid w:val="003D44F4"/>
    <w:rsid w:val="003E0E66"/>
    <w:rsid w:val="003E4982"/>
    <w:rsid w:val="003E63B3"/>
    <w:rsid w:val="003E7AA9"/>
    <w:rsid w:val="00403152"/>
    <w:rsid w:val="00403AAA"/>
    <w:rsid w:val="00406000"/>
    <w:rsid w:val="00412707"/>
    <w:rsid w:val="00413539"/>
    <w:rsid w:val="0041396D"/>
    <w:rsid w:val="00415A92"/>
    <w:rsid w:val="00420E02"/>
    <w:rsid w:val="004228CD"/>
    <w:rsid w:val="0042527A"/>
    <w:rsid w:val="00426354"/>
    <w:rsid w:val="00441E77"/>
    <w:rsid w:val="00443639"/>
    <w:rsid w:val="00445A3B"/>
    <w:rsid w:val="00445C4E"/>
    <w:rsid w:val="0045475F"/>
    <w:rsid w:val="00462000"/>
    <w:rsid w:val="00466C98"/>
    <w:rsid w:val="00467CE4"/>
    <w:rsid w:val="0047710F"/>
    <w:rsid w:val="00481777"/>
    <w:rsid w:val="00490BDE"/>
    <w:rsid w:val="004957EC"/>
    <w:rsid w:val="00496F8D"/>
    <w:rsid w:val="004A7400"/>
    <w:rsid w:val="004B217B"/>
    <w:rsid w:val="004B64F3"/>
    <w:rsid w:val="004C36CF"/>
    <w:rsid w:val="004C4A3E"/>
    <w:rsid w:val="004C59EA"/>
    <w:rsid w:val="004C65C6"/>
    <w:rsid w:val="004C660D"/>
    <w:rsid w:val="004D0699"/>
    <w:rsid w:val="004D1529"/>
    <w:rsid w:val="004D19CE"/>
    <w:rsid w:val="004D23F6"/>
    <w:rsid w:val="004D4522"/>
    <w:rsid w:val="004E01E9"/>
    <w:rsid w:val="004E3E40"/>
    <w:rsid w:val="004E570D"/>
    <w:rsid w:val="004E6400"/>
    <w:rsid w:val="004E642E"/>
    <w:rsid w:val="004E6924"/>
    <w:rsid w:val="004E6A61"/>
    <w:rsid w:val="004E6E33"/>
    <w:rsid w:val="004E702A"/>
    <w:rsid w:val="004F0C2D"/>
    <w:rsid w:val="004F3D7E"/>
    <w:rsid w:val="004F521E"/>
    <w:rsid w:val="00500EB4"/>
    <w:rsid w:val="00503974"/>
    <w:rsid w:val="0050439B"/>
    <w:rsid w:val="0050529F"/>
    <w:rsid w:val="00506A51"/>
    <w:rsid w:val="005110C3"/>
    <w:rsid w:val="00514B5E"/>
    <w:rsid w:val="005157C1"/>
    <w:rsid w:val="00515954"/>
    <w:rsid w:val="00515E3D"/>
    <w:rsid w:val="005208AC"/>
    <w:rsid w:val="0052286C"/>
    <w:rsid w:val="00522AB9"/>
    <w:rsid w:val="005265B9"/>
    <w:rsid w:val="00533533"/>
    <w:rsid w:val="00535E24"/>
    <w:rsid w:val="00537E02"/>
    <w:rsid w:val="00542718"/>
    <w:rsid w:val="00543224"/>
    <w:rsid w:val="005440F6"/>
    <w:rsid w:val="00544CCD"/>
    <w:rsid w:val="0054557A"/>
    <w:rsid w:val="00546DD6"/>
    <w:rsid w:val="0055771D"/>
    <w:rsid w:val="005632AF"/>
    <w:rsid w:val="00565055"/>
    <w:rsid w:val="00565635"/>
    <w:rsid w:val="00567FCF"/>
    <w:rsid w:val="00570765"/>
    <w:rsid w:val="005732BD"/>
    <w:rsid w:val="00575295"/>
    <w:rsid w:val="00581C01"/>
    <w:rsid w:val="0058242D"/>
    <w:rsid w:val="005845CB"/>
    <w:rsid w:val="0058498A"/>
    <w:rsid w:val="00586350"/>
    <w:rsid w:val="0059461A"/>
    <w:rsid w:val="00596C75"/>
    <w:rsid w:val="00597520"/>
    <w:rsid w:val="005A18C5"/>
    <w:rsid w:val="005A3ED5"/>
    <w:rsid w:val="005A7CF6"/>
    <w:rsid w:val="005B7C71"/>
    <w:rsid w:val="005C4A6B"/>
    <w:rsid w:val="005C661F"/>
    <w:rsid w:val="005D2A59"/>
    <w:rsid w:val="005F0C00"/>
    <w:rsid w:val="005F15ED"/>
    <w:rsid w:val="005F33F2"/>
    <w:rsid w:val="005F460C"/>
    <w:rsid w:val="0060117A"/>
    <w:rsid w:val="00612E14"/>
    <w:rsid w:val="00617F30"/>
    <w:rsid w:val="0062598A"/>
    <w:rsid w:val="0062686B"/>
    <w:rsid w:val="00637549"/>
    <w:rsid w:val="00642A6F"/>
    <w:rsid w:val="00642E50"/>
    <w:rsid w:val="00646049"/>
    <w:rsid w:val="00647FBA"/>
    <w:rsid w:val="0065268F"/>
    <w:rsid w:val="0065391A"/>
    <w:rsid w:val="0065679C"/>
    <w:rsid w:val="00657108"/>
    <w:rsid w:val="00663306"/>
    <w:rsid w:val="00663909"/>
    <w:rsid w:val="00663E95"/>
    <w:rsid w:val="006659FF"/>
    <w:rsid w:val="006671BC"/>
    <w:rsid w:val="0067299B"/>
    <w:rsid w:val="00680679"/>
    <w:rsid w:val="00682DB1"/>
    <w:rsid w:val="00683FFB"/>
    <w:rsid w:val="0068768A"/>
    <w:rsid w:val="00692EB1"/>
    <w:rsid w:val="00695279"/>
    <w:rsid w:val="00697C69"/>
    <w:rsid w:val="006B33A7"/>
    <w:rsid w:val="006C1260"/>
    <w:rsid w:val="006C2232"/>
    <w:rsid w:val="006C6800"/>
    <w:rsid w:val="006D2CF2"/>
    <w:rsid w:val="006D2E37"/>
    <w:rsid w:val="006D34C3"/>
    <w:rsid w:val="006E327C"/>
    <w:rsid w:val="006E7795"/>
    <w:rsid w:val="006E7E9F"/>
    <w:rsid w:val="006E7FA8"/>
    <w:rsid w:val="006F00DB"/>
    <w:rsid w:val="006F4623"/>
    <w:rsid w:val="006F4B40"/>
    <w:rsid w:val="00701FEA"/>
    <w:rsid w:val="007040D1"/>
    <w:rsid w:val="007069F7"/>
    <w:rsid w:val="00706DE1"/>
    <w:rsid w:val="00710059"/>
    <w:rsid w:val="00710337"/>
    <w:rsid w:val="007110C9"/>
    <w:rsid w:val="00712349"/>
    <w:rsid w:val="00712FCE"/>
    <w:rsid w:val="00714BA3"/>
    <w:rsid w:val="007167AE"/>
    <w:rsid w:val="00721098"/>
    <w:rsid w:val="00721D37"/>
    <w:rsid w:val="0072495B"/>
    <w:rsid w:val="007311E0"/>
    <w:rsid w:val="007360D3"/>
    <w:rsid w:val="0073644C"/>
    <w:rsid w:val="00737641"/>
    <w:rsid w:val="007452F9"/>
    <w:rsid w:val="00750E77"/>
    <w:rsid w:val="00751449"/>
    <w:rsid w:val="00755D95"/>
    <w:rsid w:val="00756B0E"/>
    <w:rsid w:val="00766BCF"/>
    <w:rsid w:val="00767F39"/>
    <w:rsid w:val="007726E1"/>
    <w:rsid w:val="00774F4B"/>
    <w:rsid w:val="0079256F"/>
    <w:rsid w:val="0079307B"/>
    <w:rsid w:val="007941CF"/>
    <w:rsid w:val="00796F48"/>
    <w:rsid w:val="007A2A5E"/>
    <w:rsid w:val="007A3C6A"/>
    <w:rsid w:val="007A5821"/>
    <w:rsid w:val="007A6B87"/>
    <w:rsid w:val="007B0EBF"/>
    <w:rsid w:val="007B51E2"/>
    <w:rsid w:val="007B6F81"/>
    <w:rsid w:val="007C08B4"/>
    <w:rsid w:val="007D5D8D"/>
    <w:rsid w:val="007E2A95"/>
    <w:rsid w:val="007F0036"/>
    <w:rsid w:val="007F2841"/>
    <w:rsid w:val="007F2A89"/>
    <w:rsid w:val="007F3E30"/>
    <w:rsid w:val="0080096B"/>
    <w:rsid w:val="00800B90"/>
    <w:rsid w:val="00802A66"/>
    <w:rsid w:val="00810DE3"/>
    <w:rsid w:val="00821541"/>
    <w:rsid w:val="00821A06"/>
    <w:rsid w:val="008220F3"/>
    <w:rsid w:val="00830647"/>
    <w:rsid w:val="00830E80"/>
    <w:rsid w:val="00832911"/>
    <w:rsid w:val="00833EB7"/>
    <w:rsid w:val="00844C87"/>
    <w:rsid w:val="008532FB"/>
    <w:rsid w:val="008540F0"/>
    <w:rsid w:val="008568C0"/>
    <w:rsid w:val="00864874"/>
    <w:rsid w:val="00874F47"/>
    <w:rsid w:val="00877D87"/>
    <w:rsid w:val="008810FA"/>
    <w:rsid w:val="00884878"/>
    <w:rsid w:val="00885B9C"/>
    <w:rsid w:val="00886D18"/>
    <w:rsid w:val="00892303"/>
    <w:rsid w:val="00896927"/>
    <w:rsid w:val="00897E16"/>
    <w:rsid w:val="008A144E"/>
    <w:rsid w:val="008A310A"/>
    <w:rsid w:val="008B5F65"/>
    <w:rsid w:val="008C0FBD"/>
    <w:rsid w:val="008C6687"/>
    <w:rsid w:val="008C7AC8"/>
    <w:rsid w:val="008D0242"/>
    <w:rsid w:val="008D27EF"/>
    <w:rsid w:val="008D2DC8"/>
    <w:rsid w:val="008D34F9"/>
    <w:rsid w:val="008D745E"/>
    <w:rsid w:val="008E44A5"/>
    <w:rsid w:val="008E4EF2"/>
    <w:rsid w:val="008F06F2"/>
    <w:rsid w:val="008F1E28"/>
    <w:rsid w:val="008F4C4B"/>
    <w:rsid w:val="008F5D80"/>
    <w:rsid w:val="009006D2"/>
    <w:rsid w:val="009126A4"/>
    <w:rsid w:val="009163AF"/>
    <w:rsid w:val="00923D3D"/>
    <w:rsid w:val="00924CCB"/>
    <w:rsid w:val="0092520A"/>
    <w:rsid w:val="00927978"/>
    <w:rsid w:val="00932FAD"/>
    <w:rsid w:val="009445BA"/>
    <w:rsid w:val="00945130"/>
    <w:rsid w:val="00945B0A"/>
    <w:rsid w:val="009475F3"/>
    <w:rsid w:val="00951562"/>
    <w:rsid w:val="00951651"/>
    <w:rsid w:val="00953CAB"/>
    <w:rsid w:val="00954EF3"/>
    <w:rsid w:val="00957948"/>
    <w:rsid w:val="009668EF"/>
    <w:rsid w:val="009729A9"/>
    <w:rsid w:val="00975779"/>
    <w:rsid w:val="009761F8"/>
    <w:rsid w:val="0098030D"/>
    <w:rsid w:val="00981E62"/>
    <w:rsid w:val="00996460"/>
    <w:rsid w:val="0099677B"/>
    <w:rsid w:val="009A1E07"/>
    <w:rsid w:val="009A290D"/>
    <w:rsid w:val="009B5190"/>
    <w:rsid w:val="009B5381"/>
    <w:rsid w:val="009B654F"/>
    <w:rsid w:val="009C16DF"/>
    <w:rsid w:val="009C1FDC"/>
    <w:rsid w:val="009C4804"/>
    <w:rsid w:val="009D104E"/>
    <w:rsid w:val="009D1FDF"/>
    <w:rsid w:val="009D3524"/>
    <w:rsid w:val="009D5236"/>
    <w:rsid w:val="009E1667"/>
    <w:rsid w:val="009E1CA8"/>
    <w:rsid w:val="009E6780"/>
    <w:rsid w:val="009F4D99"/>
    <w:rsid w:val="009F50F0"/>
    <w:rsid w:val="00A01327"/>
    <w:rsid w:val="00A018E7"/>
    <w:rsid w:val="00A03911"/>
    <w:rsid w:val="00A05140"/>
    <w:rsid w:val="00A10DE1"/>
    <w:rsid w:val="00A11D59"/>
    <w:rsid w:val="00A123C7"/>
    <w:rsid w:val="00A13029"/>
    <w:rsid w:val="00A14E44"/>
    <w:rsid w:val="00A14E66"/>
    <w:rsid w:val="00A14FE9"/>
    <w:rsid w:val="00A20730"/>
    <w:rsid w:val="00A22538"/>
    <w:rsid w:val="00A27E2B"/>
    <w:rsid w:val="00A33B7B"/>
    <w:rsid w:val="00A34039"/>
    <w:rsid w:val="00A3552E"/>
    <w:rsid w:val="00A417FA"/>
    <w:rsid w:val="00A42760"/>
    <w:rsid w:val="00A443C7"/>
    <w:rsid w:val="00A458B3"/>
    <w:rsid w:val="00A45B60"/>
    <w:rsid w:val="00A5551F"/>
    <w:rsid w:val="00A62E17"/>
    <w:rsid w:val="00A65CAA"/>
    <w:rsid w:val="00A662CF"/>
    <w:rsid w:val="00A766FD"/>
    <w:rsid w:val="00A80353"/>
    <w:rsid w:val="00A820E7"/>
    <w:rsid w:val="00A82DF8"/>
    <w:rsid w:val="00A9333E"/>
    <w:rsid w:val="00A94EC5"/>
    <w:rsid w:val="00A9554E"/>
    <w:rsid w:val="00AA4F9F"/>
    <w:rsid w:val="00AA5E1B"/>
    <w:rsid w:val="00AA7256"/>
    <w:rsid w:val="00AB0987"/>
    <w:rsid w:val="00AB3900"/>
    <w:rsid w:val="00AB7215"/>
    <w:rsid w:val="00AC005D"/>
    <w:rsid w:val="00AC14DE"/>
    <w:rsid w:val="00AC56C2"/>
    <w:rsid w:val="00AC5E19"/>
    <w:rsid w:val="00AD445D"/>
    <w:rsid w:val="00AD6F47"/>
    <w:rsid w:val="00AE2781"/>
    <w:rsid w:val="00AE5C52"/>
    <w:rsid w:val="00AE6E0A"/>
    <w:rsid w:val="00AF045F"/>
    <w:rsid w:val="00AF0FA2"/>
    <w:rsid w:val="00AF0FDD"/>
    <w:rsid w:val="00AF5A70"/>
    <w:rsid w:val="00B03FB1"/>
    <w:rsid w:val="00B15829"/>
    <w:rsid w:val="00B17A9D"/>
    <w:rsid w:val="00B21C2F"/>
    <w:rsid w:val="00B2764E"/>
    <w:rsid w:val="00B30E77"/>
    <w:rsid w:val="00B33F27"/>
    <w:rsid w:val="00B37A25"/>
    <w:rsid w:val="00B44032"/>
    <w:rsid w:val="00B456CC"/>
    <w:rsid w:val="00B478EF"/>
    <w:rsid w:val="00B51BAD"/>
    <w:rsid w:val="00B564A3"/>
    <w:rsid w:val="00B56514"/>
    <w:rsid w:val="00B56551"/>
    <w:rsid w:val="00B57AE9"/>
    <w:rsid w:val="00B638BD"/>
    <w:rsid w:val="00B65EB5"/>
    <w:rsid w:val="00B72CEC"/>
    <w:rsid w:val="00B73156"/>
    <w:rsid w:val="00B74929"/>
    <w:rsid w:val="00B777E6"/>
    <w:rsid w:val="00B80134"/>
    <w:rsid w:val="00B80707"/>
    <w:rsid w:val="00B861D4"/>
    <w:rsid w:val="00B8737A"/>
    <w:rsid w:val="00B87675"/>
    <w:rsid w:val="00B922B9"/>
    <w:rsid w:val="00B95043"/>
    <w:rsid w:val="00B9749F"/>
    <w:rsid w:val="00BA3026"/>
    <w:rsid w:val="00BA3EFF"/>
    <w:rsid w:val="00BA4972"/>
    <w:rsid w:val="00BA5FE7"/>
    <w:rsid w:val="00BB1C24"/>
    <w:rsid w:val="00BB2580"/>
    <w:rsid w:val="00BB530B"/>
    <w:rsid w:val="00BB58D3"/>
    <w:rsid w:val="00BC432E"/>
    <w:rsid w:val="00BC6774"/>
    <w:rsid w:val="00BC6C8B"/>
    <w:rsid w:val="00BC6EEF"/>
    <w:rsid w:val="00BC7980"/>
    <w:rsid w:val="00BD2FEE"/>
    <w:rsid w:val="00BD4D43"/>
    <w:rsid w:val="00BE0D5C"/>
    <w:rsid w:val="00BE0EE1"/>
    <w:rsid w:val="00BE4BDF"/>
    <w:rsid w:val="00BE65E4"/>
    <w:rsid w:val="00BE7D81"/>
    <w:rsid w:val="00BF0AA7"/>
    <w:rsid w:val="00BF2F97"/>
    <w:rsid w:val="00C00765"/>
    <w:rsid w:val="00C06287"/>
    <w:rsid w:val="00C20D5E"/>
    <w:rsid w:val="00C23583"/>
    <w:rsid w:val="00C312CC"/>
    <w:rsid w:val="00C36C67"/>
    <w:rsid w:val="00C4066A"/>
    <w:rsid w:val="00C40D0E"/>
    <w:rsid w:val="00C469FC"/>
    <w:rsid w:val="00C5255D"/>
    <w:rsid w:val="00C56BAB"/>
    <w:rsid w:val="00C602B7"/>
    <w:rsid w:val="00C60D92"/>
    <w:rsid w:val="00C65930"/>
    <w:rsid w:val="00C75AB0"/>
    <w:rsid w:val="00C82AA4"/>
    <w:rsid w:val="00C8305C"/>
    <w:rsid w:val="00C9326B"/>
    <w:rsid w:val="00C95691"/>
    <w:rsid w:val="00C96A47"/>
    <w:rsid w:val="00C970CE"/>
    <w:rsid w:val="00CA1ECD"/>
    <w:rsid w:val="00CA4C7F"/>
    <w:rsid w:val="00CB13B7"/>
    <w:rsid w:val="00CB7087"/>
    <w:rsid w:val="00CC41EE"/>
    <w:rsid w:val="00CD0BF5"/>
    <w:rsid w:val="00CD0FA4"/>
    <w:rsid w:val="00CD1089"/>
    <w:rsid w:val="00CD1BCD"/>
    <w:rsid w:val="00CD6D61"/>
    <w:rsid w:val="00CD7D66"/>
    <w:rsid w:val="00CE2C6E"/>
    <w:rsid w:val="00CE2D75"/>
    <w:rsid w:val="00CE6C66"/>
    <w:rsid w:val="00CE799B"/>
    <w:rsid w:val="00CF321C"/>
    <w:rsid w:val="00CF556F"/>
    <w:rsid w:val="00CF5974"/>
    <w:rsid w:val="00D0445F"/>
    <w:rsid w:val="00D0608D"/>
    <w:rsid w:val="00D061D5"/>
    <w:rsid w:val="00D06E87"/>
    <w:rsid w:val="00D06EFC"/>
    <w:rsid w:val="00D074BF"/>
    <w:rsid w:val="00D1197E"/>
    <w:rsid w:val="00D122E5"/>
    <w:rsid w:val="00D1619E"/>
    <w:rsid w:val="00D219C1"/>
    <w:rsid w:val="00D22C33"/>
    <w:rsid w:val="00D27373"/>
    <w:rsid w:val="00D32833"/>
    <w:rsid w:val="00D33DA7"/>
    <w:rsid w:val="00D3507E"/>
    <w:rsid w:val="00D354D0"/>
    <w:rsid w:val="00D41D9A"/>
    <w:rsid w:val="00D472D8"/>
    <w:rsid w:val="00D5255B"/>
    <w:rsid w:val="00D538F6"/>
    <w:rsid w:val="00D5457D"/>
    <w:rsid w:val="00D56FF4"/>
    <w:rsid w:val="00D73760"/>
    <w:rsid w:val="00D74036"/>
    <w:rsid w:val="00D802BD"/>
    <w:rsid w:val="00D808EE"/>
    <w:rsid w:val="00D91885"/>
    <w:rsid w:val="00D93663"/>
    <w:rsid w:val="00D94097"/>
    <w:rsid w:val="00D96B60"/>
    <w:rsid w:val="00DA0634"/>
    <w:rsid w:val="00DA3E6F"/>
    <w:rsid w:val="00DA62C5"/>
    <w:rsid w:val="00DA7DA7"/>
    <w:rsid w:val="00DB0CB2"/>
    <w:rsid w:val="00DC1F63"/>
    <w:rsid w:val="00DD1011"/>
    <w:rsid w:val="00DE221F"/>
    <w:rsid w:val="00DE55E6"/>
    <w:rsid w:val="00DE5DBB"/>
    <w:rsid w:val="00DF169D"/>
    <w:rsid w:val="00DF7AE1"/>
    <w:rsid w:val="00E0241F"/>
    <w:rsid w:val="00E04482"/>
    <w:rsid w:val="00E04D37"/>
    <w:rsid w:val="00E05840"/>
    <w:rsid w:val="00E07968"/>
    <w:rsid w:val="00E10BA8"/>
    <w:rsid w:val="00E12448"/>
    <w:rsid w:val="00E14683"/>
    <w:rsid w:val="00E207DB"/>
    <w:rsid w:val="00E21EFB"/>
    <w:rsid w:val="00E2267F"/>
    <w:rsid w:val="00E235D4"/>
    <w:rsid w:val="00E270B7"/>
    <w:rsid w:val="00E27C9F"/>
    <w:rsid w:val="00E41B22"/>
    <w:rsid w:val="00E43C87"/>
    <w:rsid w:val="00E528EB"/>
    <w:rsid w:val="00E56811"/>
    <w:rsid w:val="00E56A3E"/>
    <w:rsid w:val="00E6139F"/>
    <w:rsid w:val="00E61E1E"/>
    <w:rsid w:val="00E62387"/>
    <w:rsid w:val="00E64B3B"/>
    <w:rsid w:val="00E71A05"/>
    <w:rsid w:val="00E742BC"/>
    <w:rsid w:val="00E80AB0"/>
    <w:rsid w:val="00E90B9D"/>
    <w:rsid w:val="00E923F1"/>
    <w:rsid w:val="00E96A6F"/>
    <w:rsid w:val="00EA1B79"/>
    <w:rsid w:val="00EA42B1"/>
    <w:rsid w:val="00EA6D03"/>
    <w:rsid w:val="00EB1D3D"/>
    <w:rsid w:val="00EB3D8A"/>
    <w:rsid w:val="00EB4AF9"/>
    <w:rsid w:val="00EB711D"/>
    <w:rsid w:val="00EC71ED"/>
    <w:rsid w:val="00ED2536"/>
    <w:rsid w:val="00ED27A5"/>
    <w:rsid w:val="00ED7B38"/>
    <w:rsid w:val="00EE0057"/>
    <w:rsid w:val="00EE0E84"/>
    <w:rsid w:val="00EE208F"/>
    <w:rsid w:val="00EE308D"/>
    <w:rsid w:val="00EE44C9"/>
    <w:rsid w:val="00EF087C"/>
    <w:rsid w:val="00EF2769"/>
    <w:rsid w:val="00EF4DF3"/>
    <w:rsid w:val="00F02F28"/>
    <w:rsid w:val="00F0799D"/>
    <w:rsid w:val="00F12744"/>
    <w:rsid w:val="00F13F24"/>
    <w:rsid w:val="00F1419E"/>
    <w:rsid w:val="00F209D8"/>
    <w:rsid w:val="00F27ED1"/>
    <w:rsid w:val="00F30CF8"/>
    <w:rsid w:val="00F31315"/>
    <w:rsid w:val="00F40408"/>
    <w:rsid w:val="00F46297"/>
    <w:rsid w:val="00F46ABC"/>
    <w:rsid w:val="00F5172B"/>
    <w:rsid w:val="00F53655"/>
    <w:rsid w:val="00F53C1E"/>
    <w:rsid w:val="00F55290"/>
    <w:rsid w:val="00F55956"/>
    <w:rsid w:val="00F56CA9"/>
    <w:rsid w:val="00F6071E"/>
    <w:rsid w:val="00F616C5"/>
    <w:rsid w:val="00F62CFC"/>
    <w:rsid w:val="00F639E2"/>
    <w:rsid w:val="00F65284"/>
    <w:rsid w:val="00F711FF"/>
    <w:rsid w:val="00F71512"/>
    <w:rsid w:val="00F74FA5"/>
    <w:rsid w:val="00F769FF"/>
    <w:rsid w:val="00F77E6A"/>
    <w:rsid w:val="00F81D93"/>
    <w:rsid w:val="00F831FB"/>
    <w:rsid w:val="00F86C62"/>
    <w:rsid w:val="00F907B5"/>
    <w:rsid w:val="00F93164"/>
    <w:rsid w:val="00F940A3"/>
    <w:rsid w:val="00F9413F"/>
    <w:rsid w:val="00F94A2D"/>
    <w:rsid w:val="00F94D21"/>
    <w:rsid w:val="00FA11D0"/>
    <w:rsid w:val="00FA344A"/>
    <w:rsid w:val="00FA39DE"/>
    <w:rsid w:val="00FA406D"/>
    <w:rsid w:val="00FA44DE"/>
    <w:rsid w:val="00FA4570"/>
    <w:rsid w:val="00FB3748"/>
    <w:rsid w:val="00FB5056"/>
    <w:rsid w:val="00FC015B"/>
    <w:rsid w:val="00FC19A6"/>
    <w:rsid w:val="00FC3C87"/>
    <w:rsid w:val="00FD0CB0"/>
    <w:rsid w:val="00FE1536"/>
    <w:rsid w:val="00FE25EE"/>
    <w:rsid w:val="00FE4491"/>
    <w:rsid w:val="00FE5718"/>
    <w:rsid w:val="00FE68CD"/>
    <w:rsid w:val="00FF2D07"/>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0323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E18"/>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7B6F81"/>
    <w:pPr>
      <w:keepNext w:val="0"/>
      <w:numPr>
        <w:ilvl w:val="2"/>
      </w:numPr>
      <w:spacing w:before="300" w:after="0" w:line="260" w:lineRule="atLeast"/>
      <w:ind w:right="0"/>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7B6F81"/>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DC1F63"/>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CF556F"/>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CF556F"/>
    <w:rPr>
      <w:rFonts w:ascii="Arial" w:eastAsia="Times New Roman" w:hAnsi="Arial" w:cs="Times New Roman"/>
      <w:color w:val="AD495D"/>
      <w:spacing w:val="-10"/>
      <w:kern w:val="28"/>
      <w:sz w:val="40"/>
      <w:szCs w:val="20"/>
    </w:rPr>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qFormat/>
    <w:rsid w:val="00BD2FEE"/>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07395B"/>
    <w:pPr>
      <w:keepNext/>
      <w:spacing w:before="20" w:after="20" w:line="180" w:lineRule="atLeast"/>
      <w:jc w:val="both"/>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07395B"/>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65055"/>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65055"/>
    <w:pPr>
      <w:numPr>
        <w:numId w:val="41"/>
      </w:numPr>
      <w:ind w:left="284" w:hanging="284"/>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Marigold" w:hAnsi="Marigol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locked/>
    <w:rsid w:val="00BD2FE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F77E6A"/>
    <w:pPr>
      <w:spacing w:after="0"/>
      <w:contextualSpacing/>
    </w:pPr>
    <w:rPr>
      <w:sz w:val="14"/>
      <w:szCs w:val="20"/>
    </w:rPr>
  </w:style>
  <w:style w:type="character" w:customStyle="1" w:styleId="FootnoteTextChar">
    <w:name w:val="Footnote Text Char"/>
    <w:basedOn w:val="DefaultParagraphFont"/>
    <w:link w:val="FootnoteText"/>
    <w:uiPriority w:val="99"/>
    <w:rsid w:val="00F77E6A"/>
    <w:rPr>
      <w:rFonts w:ascii="Times New Roman" w:eastAsia="Times New Roman" w:hAnsi="Times New Roman" w:cs="Times New Roman"/>
      <w:sz w:val="14"/>
      <w:szCs w:val="20"/>
    </w:rPr>
  </w:style>
  <w:style w:type="character" w:styleId="FootnoteReference">
    <w:name w:val="footnote reference"/>
    <w:uiPriority w:val="99"/>
    <w:rsid w:val="00F77E6A"/>
    <w:rPr>
      <w:rFonts w:ascii="Times New Roman" w:hAnsi="Times New Roman"/>
      <w:w w:val="100"/>
      <w:position w:val="6"/>
      <w:sz w:val="16"/>
      <w:szCs w:val="12"/>
      <w:vertAlign w:val="baseline"/>
    </w:rPr>
  </w:style>
  <w:style w:type="paragraph" w:customStyle="1" w:styleId="APPRHeading2">
    <w:name w:val="APPR Heading 2"/>
    <w:basedOn w:val="Normal"/>
    <w:next w:val="BodyText"/>
    <w:qFormat/>
    <w:rsid w:val="006659FF"/>
    <w:pPr>
      <w:keepNext/>
      <w:spacing w:before="360" w:after="120"/>
      <w:outlineLvl w:val="1"/>
    </w:pPr>
    <w:rPr>
      <w:rFonts w:ascii="Arial" w:eastAsia="Times New Roman" w:hAnsi="Arial" w:cs="Arial"/>
      <w:b/>
      <w:color w:val="AD495D"/>
      <w:kern w:val="28"/>
      <w:sz w:val="24"/>
      <w:szCs w:val="28"/>
    </w:rPr>
  </w:style>
  <w:style w:type="paragraph" w:customStyle="1" w:styleId="msolistparagraph0">
    <w:name w:val="msolistparagraph"/>
    <w:basedOn w:val="Normal"/>
    <w:rsid w:val="006659FF"/>
    <w:pPr>
      <w:ind w:left="720"/>
    </w:pPr>
    <w:rPr>
      <w:rFonts w:ascii="Calibri" w:eastAsia="Times New Roman" w:hAnsi="Calibri"/>
      <w:sz w:val="22"/>
      <w:szCs w:val="22"/>
    </w:rPr>
  </w:style>
  <w:style w:type="paragraph" w:customStyle="1" w:styleId="APPRHeading1">
    <w:name w:val="APPR Heading 1"/>
    <w:basedOn w:val="Normal"/>
    <w:next w:val="BodyText"/>
    <w:autoRedefine/>
    <w:qFormat/>
    <w:rsid w:val="002911A4"/>
    <w:pPr>
      <w:keepNext/>
      <w:spacing w:before="360" w:after="120"/>
      <w:outlineLvl w:val="0"/>
    </w:pPr>
    <w:rPr>
      <w:rFonts w:ascii="Arial" w:eastAsia="Times New Roman" w:hAnsi="Arial" w:cs="Arial"/>
      <w:b/>
      <w:color w:val="AD495D"/>
      <w:kern w:val="28"/>
      <w:sz w:val="28"/>
      <w:szCs w:val="28"/>
    </w:rPr>
  </w:style>
  <w:style w:type="character" w:styleId="Emphasis">
    <w:name w:val="Emphasis"/>
    <w:basedOn w:val="DefaultParagraphFont"/>
    <w:uiPriority w:val="20"/>
    <w:qFormat/>
    <w:rsid w:val="00AB0987"/>
    <w:rPr>
      <w:i/>
      <w:iCs/>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paragraph" w:customStyle="1" w:styleId="txt-small">
    <w:name w:val="txt-small"/>
    <w:basedOn w:val="Normal"/>
    <w:rsid w:val="00AB0987"/>
    <w:pPr>
      <w:spacing w:before="100" w:beforeAutospacing="1" w:after="100" w:afterAutospacing="1" w:line="320" w:lineRule="atLeast"/>
    </w:pPr>
    <w:rPr>
      <w:rFonts w:eastAsia="Times New Roman"/>
      <w:sz w:val="22"/>
      <w:szCs w:val="22"/>
    </w:rPr>
  </w:style>
  <w:style w:type="paragraph" w:customStyle="1" w:styleId="Bullet">
    <w:name w:val="Bullet"/>
    <w:aliases w:val="b,b + line"/>
    <w:basedOn w:val="Normal"/>
    <w:link w:val="BulletChar"/>
    <w:qFormat/>
    <w:rsid w:val="004D23F6"/>
    <w:pPr>
      <w:tabs>
        <w:tab w:val="num" w:pos="520"/>
      </w:tabs>
      <w:spacing w:after="240" w:line="320" w:lineRule="exact"/>
      <w:ind w:left="520" w:hanging="520"/>
    </w:pPr>
    <w:rPr>
      <w:rFonts w:ascii="Palatino" w:eastAsia="Times New Roman" w:hAnsi="Palatino"/>
      <w:color w:val="000000"/>
      <w:sz w:val="22"/>
      <w:szCs w:val="22"/>
    </w:rPr>
  </w:style>
  <w:style w:type="paragraph" w:customStyle="1" w:styleId="Dash">
    <w:name w:val="Dash"/>
    <w:basedOn w:val="Normal"/>
    <w:qFormat/>
    <w:rsid w:val="004D23F6"/>
    <w:pPr>
      <w:tabs>
        <w:tab w:val="num" w:pos="1040"/>
      </w:tabs>
      <w:spacing w:after="240" w:line="320" w:lineRule="exact"/>
      <w:ind w:left="1040" w:hanging="520"/>
    </w:pPr>
    <w:rPr>
      <w:rFonts w:ascii="Palatino" w:eastAsia="Times New Roman" w:hAnsi="Palatino"/>
      <w:color w:val="000000"/>
      <w:sz w:val="22"/>
      <w:szCs w:val="22"/>
    </w:rPr>
  </w:style>
  <w:style w:type="paragraph" w:customStyle="1" w:styleId="DoubleDot">
    <w:name w:val="Double Dot"/>
    <w:basedOn w:val="Normal"/>
    <w:uiPriority w:val="99"/>
    <w:rsid w:val="004D23F6"/>
    <w:pPr>
      <w:tabs>
        <w:tab w:val="num" w:pos="1560"/>
      </w:tabs>
      <w:spacing w:after="240" w:line="320" w:lineRule="exact"/>
      <w:ind w:left="1560" w:hanging="520"/>
    </w:pPr>
    <w:rPr>
      <w:rFonts w:ascii="Palatino" w:eastAsia="Times New Roman" w:hAnsi="Palatino"/>
      <w:color w:val="000000"/>
      <w:sz w:val="22"/>
      <w:szCs w:val="22"/>
    </w:rPr>
  </w:style>
  <w:style w:type="character" w:customStyle="1" w:styleId="BulletChar">
    <w:name w:val="Bullet Char"/>
    <w:aliases w:val="b Char,b + line Char Char"/>
    <w:link w:val="Bullet"/>
    <w:locked/>
    <w:rsid w:val="004D23F6"/>
    <w:rPr>
      <w:rFonts w:ascii="Palatino" w:eastAsia="Times New Roman" w:hAnsi="Palatino" w:cs="Times New Roman"/>
      <w:color w:val="000000"/>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st">
    <w:name w:val="st"/>
    <w:basedOn w:val="DefaultParagraphFont"/>
    <w:rsid w:val="004F3D7E"/>
  </w:style>
  <w:style w:type="paragraph" w:styleId="Header">
    <w:name w:val="header"/>
    <w:basedOn w:val="Normal"/>
    <w:link w:val="HeaderChar"/>
    <w:unhideWhenUsed/>
    <w:rsid w:val="00E41B22"/>
    <w:pPr>
      <w:tabs>
        <w:tab w:val="center" w:pos="4513"/>
        <w:tab w:val="right" w:pos="9026"/>
      </w:tabs>
    </w:pPr>
  </w:style>
  <w:style w:type="character" w:customStyle="1" w:styleId="HeaderChar">
    <w:name w:val="Header Char"/>
    <w:basedOn w:val="DefaultParagraphFont"/>
    <w:link w:val="Header"/>
    <w:rsid w:val="00E41B22"/>
    <w:rPr>
      <w:rFonts w:ascii="Times New Roman" w:eastAsia="SimSu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E18"/>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7B6F81"/>
    <w:pPr>
      <w:keepNext w:val="0"/>
      <w:numPr>
        <w:ilvl w:val="2"/>
      </w:numPr>
      <w:spacing w:before="300" w:after="0" w:line="260" w:lineRule="atLeast"/>
      <w:ind w:right="0"/>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7B6F81"/>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DC1F63"/>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CF556F"/>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CF556F"/>
    <w:rPr>
      <w:rFonts w:ascii="Arial" w:eastAsia="Times New Roman" w:hAnsi="Arial" w:cs="Times New Roman"/>
      <w:color w:val="AD495D"/>
      <w:spacing w:val="-10"/>
      <w:kern w:val="28"/>
      <w:sz w:val="40"/>
      <w:szCs w:val="20"/>
    </w:rPr>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qFormat/>
    <w:rsid w:val="00BD2FEE"/>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07395B"/>
    <w:pPr>
      <w:keepNext/>
      <w:spacing w:before="20" w:after="20" w:line="180" w:lineRule="atLeast"/>
      <w:jc w:val="both"/>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07395B"/>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65055"/>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65055"/>
    <w:pPr>
      <w:numPr>
        <w:numId w:val="41"/>
      </w:numPr>
      <w:ind w:left="284" w:hanging="284"/>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Marigold" w:hAnsi="Marigol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locked/>
    <w:rsid w:val="00BD2FE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F77E6A"/>
    <w:pPr>
      <w:spacing w:after="0"/>
      <w:contextualSpacing/>
    </w:pPr>
    <w:rPr>
      <w:sz w:val="14"/>
      <w:szCs w:val="20"/>
    </w:rPr>
  </w:style>
  <w:style w:type="character" w:customStyle="1" w:styleId="FootnoteTextChar">
    <w:name w:val="Footnote Text Char"/>
    <w:basedOn w:val="DefaultParagraphFont"/>
    <w:link w:val="FootnoteText"/>
    <w:uiPriority w:val="99"/>
    <w:rsid w:val="00F77E6A"/>
    <w:rPr>
      <w:rFonts w:ascii="Times New Roman" w:eastAsia="Times New Roman" w:hAnsi="Times New Roman" w:cs="Times New Roman"/>
      <w:sz w:val="14"/>
      <w:szCs w:val="20"/>
    </w:rPr>
  </w:style>
  <w:style w:type="character" w:styleId="FootnoteReference">
    <w:name w:val="footnote reference"/>
    <w:uiPriority w:val="99"/>
    <w:rsid w:val="00F77E6A"/>
    <w:rPr>
      <w:rFonts w:ascii="Times New Roman" w:hAnsi="Times New Roman"/>
      <w:w w:val="100"/>
      <w:position w:val="6"/>
      <w:sz w:val="16"/>
      <w:szCs w:val="12"/>
      <w:vertAlign w:val="baseline"/>
    </w:rPr>
  </w:style>
  <w:style w:type="paragraph" w:customStyle="1" w:styleId="APPRHeading2">
    <w:name w:val="APPR Heading 2"/>
    <w:basedOn w:val="Normal"/>
    <w:next w:val="BodyText"/>
    <w:qFormat/>
    <w:rsid w:val="006659FF"/>
    <w:pPr>
      <w:keepNext/>
      <w:spacing w:before="360" w:after="120"/>
      <w:outlineLvl w:val="1"/>
    </w:pPr>
    <w:rPr>
      <w:rFonts w:ascii="Arial" w:eastAsia="Times New Roman" w:hAnsi="Arial" w:cs="Arial"/>
      <w:b/>
      <w:color w:val="AD495D"/>
      <w:kern w:val="28"/>
      <w:sz w:val="24"/>
      <w:szCs w:val="28"/>
    </w:rPr>
  </w:style>
  <w:style w:type="paragraph" w:customStyle="1" w:styleId="msolistparagraph0">
    <w:name w:val="msolistparagraph"/>
    <w:basedOn w:val="Normal"/>
    <w:rsid w:val="006659FF"/>
    <w:pPr>
      <w:ind w:left="720"/>
    </w:pPr>
    <w:rPr>
      <w:rFonts w:ascii="Calibri" w:eastAsia="Times New Roman" w:hAnsi="Calibri"/>
      <w:sz w:val="22"/>
      <w:szCs w:val="22"/>
    </w:rPr>
  </w:style>
  <w:style w:type="paragraph" w:customStyle="1" w:styleId="APPRHeading1">
    <w:name w:val="APPR Heading 1"/>
    <w:basedOn w:val="Normal"/>
    <w:next w:val="BodyText"/>
    <w:autoRedefine/>
    <w:qFormat/>
    <w:rsid w:val="002911A4"/>
    <w:pPr>
      <w:keepNext/>
      <w:spacing w:before="360" w:after="120"/>
      <w:outlineLvl w:val="0"/>
    </w:pPr>
    <w:rPr>
      <w:rFonts w:ascii="Arial" w:eastAsia="Times New Roman" w:hAnsi="Arial" w:cs="Arial"/>
      <w:b/>
      <w:color w:val="AD495D"/>
      <w:kern w:val="28"/>
      <w:sz w:val="28"/>
      <w:szCs w:val="28"/>
    </w:rPr>
  </w:style>
  <w:style w:type="character" w:styleId="Emphasis">
    <w:name w:val="Emphasis"/>
    <w:basedOn w:val="DefaultParagraphFont"/>
    <w:uiPriority w:val="20"/>
    <w:qFormat/>
    <w:rsid w:val="00AB0987"/>
    <w:rPr>
      <w:i/>
      <w:iCs/>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paragraph" w:customStyle="1" w:styleId="txt-small">
    <w:name w:val="txt-small"/>
    <w:basedOn w:val="Normal"/>
    <w:rsid w:val="00AB0987"/>
    <w:pPr>
      <w:spacing w:before="100" w:beforeAutospacing="1" w:after="100" w:afterAutospacing="1" w:line="320" w:lineRule="atLeast"/>
    </w:pPr>
    <w:rPr>
      <w:rFonts w:eastAsia="Times New Roman"/>
      <w:sz w:val="22"/>
      <w:szCs w:val="22"/>
    </w:rPr>
  </w:style>
  <w:style w:type="paragraph" w:customStyle="1" w:styleId="Bullet">
    <w:name w:val="Bullet"/>
    <w:aliases w:val="b,b + line"/>
    <w:basedOn w:val="Normal"/>
    <w:link w:val="BulletChar"/>
    <w:qFormat/>
    <w:rsid w:val="004D23F6"/>
    <w:pPr>
      <w:tabs>
        <w:tab w:val="num" w:pos="520"/>
      </w:tabs>
      <w:spacing w:after="240" w:line="320" w:lineRule="exact"/>
      <w:ind w:left="520" w:hanging="520"/>
    </w:pPr>
    <w:rPr>
      <w:rFonts w:ascii="Palatino" w:eastAsia="Times New Roman" w:hAnsi="Palatino"/>
      <w:color w:val="000000"/>
      <w:sz w:val="22"/>
      <w:szCs w:val="22"/>
    </w:rPr>
  </w:style>
  <w:style w:type="paragraph" w:customStyle="1" w:styleId="Dash">
    <w:name w:val="Dash"/>
    <w:basedOn w:val="Normal"/>
    <w:qFormat/>
    <w:rsid w:val="004D23F6"/>
    <w:pPr>
      <w:tabs>
        <w:tab w:val="num" w:pos="1040"/>
      </w:tabs>
      <w:spacing w:after="240" w:line="320" w:lineRule="exact"/>
      <w:ind w:left="1040" w:hanging="520"/>
    </w:pPr>
    <w:rPr>
      <w:rFonts w:ascii="Palatino" w:eastAsia="Times New Roman" w:hAnsi="Palatino"/>
      <w:color w:val="000000"/>
      <w:sz w:val="22"/>
      <w:szCs w:val="22"/>
    </w:rPr>
  </w:style>
  <w:style w:type="paragraph" w:customStyle="1" w:styleId="DoubleDot">
    <w:name w:val="Double Dot"/>
    <w:basedOn w:val="Normal"/>
    <w:uiPriority w:val="99"/>
    <w:rsid w:val="004D23F6"/>
    <w:pPr>
      <w:tabs>
        <w:tab w:val="num" w:pos="1560"/>
      </w:tabs>
      <w:spacing w:after="240" w:line="320" w:lineRule="exact"/>
      <w:ind w:left="1560" w:hanging="520"/>
    </w:pPr>
    <w:rPr>
      <w:rFonts w:ascii="Palatino" w:eastAsia="Times New Roman" w:hAnsi="Palatino"/>
      <w:color w:val="000000"/>
      <w:sz w:val="22"/>
      <w:szCs w:val="22"/>
    </w:rPr>
  </w:style>
  <w:style w:type="character" w:customStyle="1" w:styleId="BulletChar">
    <w:name w:val="Bullet Char"/>
    <w:aliases w:val="b Char,b + line Char Char"/>
    <w:link w:val="Bullet"/>
    <w:locked/>
    <w:rsid w:val="004D23F6"/>
    <w:rPr>
      <w:rFonts w:ascii="Palatino" w:eastAsia="Times New Roman" w:hAnsi="Palatino" w:cs="Times New Roman"/>
      <w:color w:val="000000"/>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st">
    <w:name w:val="st"/>
    <w:basedOn w:val="DefaultParagraphFont"/>
    <w:rsid w:val="004F3D7E"/>
  </w:style>
  <w:style w:type="paragraph" w:styleId="Header">
    <w:name w:val="header"/>
    <w:basedOn w:val="Normal"/>
    <w:link w:val="HeaderChar"/>
    <w:unhideWhenUsed/>
    <w:rsid w:val="00E41B22"/>
    <w:pPr>
      <w:tabs>
        <w:tab w:val="center" w:pos="4513"/>
        <w:tab w:val="right" w:pos="9026"/>
      </w:tabs>
    </w:pPr>
  </w:style>
  <w:style w:type="character" w:customStyle="1" w:styleId="HeaderChar">
    <w:name w:val="Header Char"/>
    <w:basedOn w:val="DefaultParagraphFont"/>
    <w:link w:val="Header"/>
    <w:rsid w:val="00E41B22"/>
    <w:rPr>
      <w:rFonts w:ascii="Times New Roman" w:eastAsia="SimSu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ausaid.local\Udrive\VIE\CHA\Country%20Strategy\APPR\2012\QAI\QAI%202011%20-%20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usaid.local\Udrive\VIE\CHA\Country%20Strategy\APPR\2012\QAI\QAI%202011%20-%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QAI rating distribution 2011–12</a:t>
            </a:r>
          </a:p>
        </c:rich>
      </c:tx>
      <c:layout>
        <c:manualLayout>
          <c:xMode val="edge"/>
          <c:yMode val="edge"/>
          <c:x val="0.18353966998819601"/>
          <c:y val="3.4985422740524803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2948240918815198E-2"/>
          <c:y val="0.18579325543490699"/>
          <c:w val="0.910809792772038"/>
          <c:h val="0.47743713552272599"/>
        </c:manualLayout>
      </c:layout>
      <c:bar3DChart>
        <c:barDir val="col"/>
        <c:grouping val="stacked"/>
        <c:varyColors val="0"/>
        <c:ser>
          <c:idx val="0"/>
          <c:order val="0"/>
          <c:tx>
            <c:strRef>
              <c:f>'R1100 - Quality Reports'!$A$35</c:f>
              <c:strCache>
                <c:ptCount val="1"/>
                <c:pt idx="0">
                  <c:v>Unsatisfactory</c:v>
                </c:pt>
              </c:strCache>
            </c:strRef>
          </c:tx>
          <c:spPr>
            <a:solidFill>
              <a:srgbClr val="FF0000"/>
            </a:solidFill>
          </c:spPr>
          <c:invertIfNegative val="0"/>
          <c:cat>
            <c:multiLvlStrRef>
              <c:f>'R1100 - Quality Reports'!$B$33:$M$34</c:f>
              <c:multiLvlStrCache>
                <c:ptCount val="12"/>
                <c:lvl>
                  <c:pt idx="0">
                    <c:v>2011</c:v>
                  </c:pt>
                  <c:pt idx="1">
                    <c:v>2012</c:v>
                  </c:pt>
                  <c:pt idx="2">
                    <c:v>2011</c:v>
                  </c:pt>
                  <c:pt idx="3">
                    <c:v>2012</c:v>
                  </c:pt>
                  <c:pt idx="4">
                    <c:v>2011</c:v>
                  </c:pt>
                  <c:pt idx="5">
                    <c:v>2012</c:v>
                  </c:pt>
                  <c:pt idx="6">
                    <c:v>2011</c:v>
                  </c:pt>
                  <c:pt idx="7">
                    <c:v>2012</c:v>
                  </c:pt>
                  <c:pt idx="8">
                    <c:v>2011</c:v>
                  </c:pt>
                  <c:pt idx="9">
                    <c:v>2012</c:v>
                  </c:pt>
                  <c:pt idx="10">
                    <c:v>2011</c:v>
                  </c:pt>
                  <c:pt idx="11">
                    <c:v>2012</c:v>
                  </c:pt>
                </c:lvl>
                <c:lvl>
                  <c:pt idx="0">
                    <c:v>QAI Relevance</c:v>
                  </c:pt>
                  <c:pt idx="2">
                    <c:v>QAI Effectiveness</c:v>
                  </c:pt>
                  <c:pt idx="4">
                    <c:v>QAI Efficiency</c:v>
                  </c:pt>
                  <c:pt idx="6">
                    <c:v>QAI M&amp;E</c:v>
                  </c:pt>
                  <c:pt idx="8">
                    <c:v>QAISustainability</c:v>
                  </c:pt>
                  <c:pt idx="10">
                    <c:v>QAI Gender equality</c:v>
                  </c:pt>
                </c:lvl>
              </c:multiLvlStrCache>
            </c:multiLvlStrRef>
          </c:cat>
          <c:val>
            <c:numRef>
              <c:f>'R1100 - Quality Reports'!$B$35:$M$35</c:f>
              <c:numCache>
                <c:formatCode>General</c:formatCode>
                <c:ptCount val="12"/>
                <c:pt idx="0">
                  <c:v>0</c:v>
                </c:pt>
                <c:pt idx="1">
                  <c:v>0</c:v>
                </c:pt>
                <c:pt idx="2">
                  <c:v>3</c:v>
                </c:pt>
                <c:pt idx="3">
                  <c:v>1</c:v>
                </c:pt>
                <c:pt idx="4">
                  <c:v>2</c:v>
                </c:pt>
                <c:pt idx="5">
                  <c:v>2</c:v>
                </c:pt>
                <c:pt idx="6">
                  <c:v>2</c:v>
                </c:pt>
                <c:pt idx="7">
                  <c:v>3</c:v>
                </c:pt>
                <c:pt idx="8">
                  <c:v>1</c:v>
                </c:pt>
                <c:pt idx="9">
                  <c:v>0</c:v>
                </c:pt>
                <c:pt idx="10">
                  <c:v>1</c:v>
                </c:pt>
                <c:pt idx="11">
                  <c:v>1</c:v>
                </c:pt>
              </c:numCache>
            </c:numRef>
          </c:val>
        </c:ser>
        <c:ser>
          <c:idx val="1"/>
          <c:order val="1"/>
          <c:tx>
            <c:strRef>
              <c:f>'R1100 - Quality Reports'!$A$36</c:f>
              <c:strCache>
                <c:ptCount val="1"/>
                <c:pt idx="0">
                  <c:v>Satisfactory</c:v>
                </c:pt>
              </c:strCache>
            </c:strRef>
          </c:tx>
          <c:spPr>
            <a:solidFill>
              <a:srgbClr val="FFC000"/>
            </a:solidFill>
          </c:spPr>
          <c:invertIfNegative val="0"/>
          <c:cat>
            <c:multiLvlStrRef>
              <c:f>'R1100 - Quality Reports'!$B$33:$M$34</c:f>
              <c:multiLvlStrCache>
                <c:ptCount val="12"/>
                <c:lvl>
                  <c:pt idx="0">
                    <c:v>2011</c:v>
                  </c:pt>
                  <c:pt idx="1">
                    <c:v>2012</c:v>
                  </c:pt>
                  <c:pt idx="2">
                    <c:v>2011</c:v>
                  </c:pt>
                  <c:pt idx="3">
                    <c:v>2012</c:v>
                  </c:pt>
                  <c:pt idx="4">
                    <c:v>2011</c:v>
                  </c:pt>
                  <c:pt idx="5">
                    <c:v>2012</c:v>
                  </c:pt>
                  <c:pt idx="6">
                    <c:v>2011</c:v>
                  </c:pt>
                  <c:pt idx="7">
                    <c:v>2012</c:v>
                  </c:pt>
                  <c:pt idx="8">
                    <c:v>2011</c:v>
                  </c:pt>
                  <c:pt idx="9">
                    <c:v>2012</c:v>
                  </c:pt>
                  <c:pt idx="10">
                    <c:v>2011</c:v>
                  </c:pt>
                  <c:pt idx="11">
                    <c:v>2012</c:v>
                  </c:pt>
                </c:lvl>
                <c:lvl>
                  <c:pt idx="0">
                    <c:v>QAI Relevance</c:v>
                  </c:pt>
                  <c:pt idx="2">
                    <c:v>QAI Effectiveness</c:v>
                  </c:pt>
                  <c:pt idx="4">
                    <c:v>QAI Efficiency</c:v>
                  </c:pt>
                  <c:pt idx="6">
                    <c:v>QAI M&amp;E</c:v>
                  </c:pt>
                  <c:pt idx="8">
                    <c:v>QAISustainability</c:v>
                  </c:pt>
                  <c:pt idx="10">
                    <c:v>QAI Gender equality</c:v>
                  </c:pt>
                </c:lvl>
              </c:multiLvlStrCache>
            </c:multiLvlStrRef>
          </c:cat>
          <c:val>
            <c:numRef>
              <c:f>'R1100 - Quality Reports'!$B$36:$M$36</c:f>
              <c:numCache>
                <c:formatCode>General</c:formatCode>
                <c:ptCount val="12"/>
                <c:pt idx="0">
                  <c:v>4</c:v>
                </c:pt>
                <c:pt idx="1">
                  <c:v>2</c:v>
                </c:pt>
                <c:pt idx="2">
                  <c:v>2</c:v>
                </c:pt>
                <c:pt idx="3">
                  <c:v>6</c:v>
                </c:pt>
                <c:pt idx="4">
                  <c:v>7</c:v>
                </c:pt>
                <c:pt idx="5">
                  <c:v>7</c:v>
                </c:pt>
                <c:pt idx="6">
                  <c:v>7</c:v>
                </c:pt>
                <c:pt idx="7">
                  <c:v>6</c:v>
                </c:pt>
                <c:pt idx="8">
                  <c:v>10</c:v>
                </c:pt>
                <c:pt idx="9">
                  <c:v>7</c:v>
                </c:pt>
                <c:pt idx="10">
                  <c:v>9</c:v>
                </c:pt>
                <c:pt idx="11">
                  <c:v>10</c:v>
                </c:pt>
              </c:numCache>
            </c:numRef>
          </c:val>
        </c:ser>
        <c:ser>
          <c:idx val="2"/>
          <c:order val="2"/>
          <c:tx>
            <c:strRef>
              <c:f>'R1100 - Quality Reports'!$A$37</c:f>
              <c:strCache>
                <c:ptCount val="1"/>
                <c:pt idx="0">
                  <c:v>Good performance</c:v>
                </c:pt>
              </c:strCache>
            </c:strRef>
          </c:tx>
          <c:spPr>
            <a:solidFill>
              <a:srgbClr val="00B050"/>
            </a:solidFill>
          </c:spPr>
          <c:invertIfNegative val="0"/>
          <c:cat>
            <c:multiLvlStrRef>
              <c:f>'R1100 - Quality Reports'!$B$33:$M$34</c:f>
              <c:multiLvlStrCache>
                <c:ptCount val="12"/>
                <c:lvl>
                  <c:pt idx="0">
                    <c:v>2011</c:v>
                  </c:pt>
                  <c:pt idx="1">
                    <c:v>2012</c:v>
                  </c:pt>
                  <c:pt idx="2">
                    <c:v>2011</c:v>
                  </c:pt>
                  <c:pt idx="3">
                    <c:v>2012</c:v>
                  </c:pt>
                  <c:pt idx="4">
                    <c:v>2011</c:v>
                  </c:pt>
                  <c:pt idx="5">
                    <c:v>2012</c:v>
                  </c:pt>
                  <c:pt idx="6">
                    <c:v>2011</c:v>
                  </c:pt>
                  <c:pt idx="7">
                    <c:v>2012</c:v>
                  </c:pt>
                  <c:pt idx="8">
                    <c:v>2011</c:v>
                  </c:pt>
                  <c:pt idx="9">
                    <c:v>2012</c:v>
                  </c:pt>
                  <c:pt idx="10">
                    <c:v>2011</c:v>
                  </c:pt>
                  <c:pt idx="11">
                    <c:v>2012</c:v>
                  </c:pt>
                </c:lvl>
                <c:lvl>
                  <c:pt idx="0">
                    <c:v>QAI Relevance</c:v>
                  </c:pt>
                  <c:pt idx="2">
                    <c:v>QAI Effectiveness</c:v>
                  </c:pt>
                  <c:pt idx="4">
                    <c:v>QAI Efficiency</c:v>
                  </c:pt>
                  <c:pt idx="6">
                    <c:v>QAI M&amp;E</c:v>
                  </c:pt>
                  <c:pt idx="8">
                    <c:v>QAISustainability</c:v>
                  </c:pt>
                  <c:pt idx="10">
                    <c:v>QAI Gender equality</c:v>
                  </c:pt>
                </c:lvl>
              </c:multiLvlStrCache>
            </c:multiLvlStrRef>
          </c:cat>
          <c:val>
            <c:numRef>
              <c:f>'R1100 - Quality Reports'!$B$37:$M$37</c:f>
              <c:numCache>
                <c:formatCode>General</c:formatCode>
                <c:ptCount val="12"/>
                <c:pt idx="0">
                  <c:v>12</c:v>
                </c:pt>
                <c:pt idx="1">
                  <c:v>14</c:v>
                </c:pt>
                <c:pt idx="2">
                  <c:v>11</c:v>
                </c:pt>
                <c:pt idx="3">
                  <c:v>9</c:v>
                </c:pt>
                <c:pt idx="4">
                  <c:v>7</c:v>
                </c:pt>
                <c:pt idx="5">
                  <c:v>7</c:v>
                </c:pt>
                <c:pt idx="6">
                  <c:v>7</c:v>
                </c:pt>
                <c:pt idx="7">
                  <c:v>7</c:v>
                </c:pt>
                <c:pt idx="8">
                  <c:v>5</c:v>
                </c:pt>
                <c:pt idx="9">
                  <c:v>9</c:v>
                </c:pt>
                <c:pt idx="10">
                  <c:v>6</c:v>
                </c:pt>
                <c:pt idx="11">
                  <c:v>5</c:v>
                </c:pt>
              </c:numCache>
            </c:numRef>
          </c:val>
        </c:ser>
        <c:dLbls>
          <c:showLegendKey val="0"/>
          <c:showVal val="0"/>
          <c:showCatName val="0"/>
          <c:showSerName val="0"/>
          <c:showPercent val="0"/>
          <c:showBubbleSize val="0"/>
        </c:dLbls>
        <c:gapWidth val="55"/>
        <c:gapDepth val="55"/>
        <c:shape val="box"/>
        <c:axId val="52778112"/>
        <c:axId val="52779648"/>
        <c:axId val="0"/>
      </c:bar3DChart>
      <c:catAx>
        <c:axId val="52778112"/>
        <c:scaling>
          <c:orientation val="minMax"/>
        </c:scaling>
        <c:delete val="0"/>
        <c:axPos val="b"/>
        <c:majorTickMark val="none"/>
        <c:minorTickMark val="none"/>
        <c:tickLblPos val="nextTo"/>
        <c:txPr>
          <a:bodyPr/>
          <a:lstStyle/>
          <a:p>
            <a:pPr>
              <a:defRPr sz="800"/>
            </a:pPr>
            <a:endParaRPr lang="en-US"/>
          </a:p>
        </c:txPr>
        <c:crossAx val="52779648"/>
        <c:crosses val="autoZero"/>
        <c:auto val="1"/>
        <c:lblAlgn val="ctr"/>
        <c:lblOffset val="100"/>
        <c:noMultiLvlLbl val="0"/>
      </c:catAx>
      <c:valAx>
        <c:axId val="52779648"/>
        <c:scaling>
          <c:orientation val="minMax"/>
        </c:scaling>
        <c:delete val="0"/>
        <c:axPos val="l"/>
        <c:majorGridlines/>
        <c:numFmt formatCode="General" sourceLinked="1"/>
        <c:majorTickMark val="none"/>
        <c:minorTickMark val="none"/>
        <c:tickLblPos val="nextTo"/>
        <c:crossAx val="52778112"/>
        <c:crosses val="autoZero"/>
        <c:crossBetween val="between"/>
      </c:valAx>
    </c:plotArea>
    <c:legend>
      <c:legendPos val="b"/>
      <c:layout>
        <c:manualLayout>
          <c:xMode val="edge"/>
          <c:yMode val="edge"/>
          <c:x val="0.17905301787811301"/>
          <c:y val="0.85465163793301402"/>
          <c:w val="0.62739458717320895"/>
          <c:h val="9.2276147379536294E-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AU" sz="1400"/>
              <a:t>Rating distribution of</a:t>
            </a:r>
            <a:r>
              <a:rPr lang="en-AU" sz="1400" baseline="0"/>
              <a:t> implementing agency groups</a:t>
            </a:r>
            <a:endParaRPr lang="en-AU" sz="14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6233536774919605E-2"/>
          <c:y val="0.152248043640346"/>
          <c:w val="0.90177745772782902"/>
          <c:h val="0.38171200095271701"/>
        </c:manualLayout>
      </c:layout>
      <c:bar3DChart>
        <c:barDir val="col"/>
        <c:grouping val="stacked"/>
        <c:varyColors val="0"/>
        <c:ser>
          <c:idx val="1"/>
          <c:order val="0"/>
          <c:tx>
            <c:strRef>
              <c:f>Sheet3!$N$5</c:f>
              <c:strCache>
                <c:ptCount val="1"/>
                <c:pt idx="0">
                  <c:v>6</c:v>
                </c:pt>
              </c:strCache>
            </c:strRef>
          </c:tx>
          <c:spPr>
            <a:solidFill>
              <a:srgbClr val="00B050"/>
            </a:solidFill>
          </c:spPr>
          <c:invertIfNegative val="0"/>
          <c:cat>
            <c:multiLvlStrRef>
              <c:f>Sheet3!$O$3:$AL$4</c:f>
              <c:multiLvlStrCache>
                <c:ptCount val="24"/>
                <c:lvl>
                  <c:pt idx="0">
                    <c:v>Managing Contractor</c:v>
                  </c:pt>
                  <c:pt idx="1">
                    <c:v>Multilateral Bank</c:v>
                  </c:pt>
                  <c:pt idx="2">
                    <c:v>Non-government Organisation</c:v>
                  </c:pt>
                  <c:pt idx="3">
                    <c:v>Partner Government</c:v>
                  </c:pt>
                  <c:pt idx="4">
                    <c:v>Managing Contractor</c:v>
                  </c:pt>
                  <c:pt idx="5">
                    <c:v>Multilateral Bank</c:v>
                  </c:pt>
                  <c:pt idx="6">
                    <c:v>Non-government Organisation</c:v>
                  </c:pt>
                  <c:pt idx="7">
                    <c:v>Partner Government</c:v>
                  </c:pt>
                  <c:pt idx="8">
                    <c:v>Managing Contractor</c:v>
                  </c:pt>
                  <c:pt idx="9">
                    <c:v>Multilateral Bank</c:v>
                  </c:pt>
                  <c:pt idx="10">
                    <c:v>Non-government Organisation</c:v>
                  </c:pt>
                  <c:pt idx="11">
                    <c:v>Partner Government</c:v>
                  </c:pt>
                  <c:pt idx="12">
                    <c:v>Managing Contractor</c:v>
                  </c:pt>
                  <c:pt idx="13">
                    <c:v>Multilateral Bank</c:v>
                  </c:pt>
                  <c:pt idx="14">
                    <c:v>Non-government Organisation</c:v>
                  </c:pt>
                  <c:pt idx="15">
                    <c:v>Partner Government</c:v>
                  </c:pt>
                  <c:pt idx="16">
                    <c:v>Managing Contractor</c:v>
                  </c:pt>
                  <c:pt idx="17">
                    <c:v>Multilateral Bank</c:v>
                  </c:pt>
                  <c:pt idx="18">
                    <c:v>Non-government Organisation</c:v>
                  </c:pt>
                  <c:pt idx="19">
                    <c:v>Partner Government</c:v>
                  </c:pt>
                  <c:pt idx="20">
                    <c:v>Managing Contractor</c:v>
                  </c:pt>
                  <c:pt idx="21">
                    <c:v>Multilateral Bank</c:v>
                  </c:pt>
                  <c:pt idx="22">
                    <c:v>Non-government Organisation</c:v>
                  </c:pt>
                  <c:pt idx="23">
                    <c:v>Partner Government</c:v>
                  </c:pt>
                </c:lvl>
                <c:lvl>
                  <c:pt idx="0">
                    <c:v>Relevance</c:v>
                  </c:pt>
                  <c:pt idx="4">
                    <c:v>Effectiveness</c:v>
                  </c:pt>
                  <c:pt idx="8">
                    <c:v>Efficiency</c:v>
                  </c:pt>
                  <c:pt idx="12">
                    <c:v>M&amp;E</c:v>
                  </c:pt>
                  <c:pt idx="16">
                    <c:v>Sustainable</c:v>
                  </c:pt>
                  <c:pt idx="20">
                    <c:v>Gender</c:v>
                  </c:pt>
                </c:lvl>
              </c:multiLvlStrCache>
            </c:multiLvlStrRef>
          </c:cat>
          <c:val>
            <c:numRef>
              <c:f>Sheet3!$O$5:$AL$5</c:f>
              <c:numCache>
                <c:formatCode>0%</c:formatCode>
                <c:ptCount val="24"/>
                <c:pt idx="0">
                  <c:v>0</c:v>
                </c:pt>
                <c:pt idx="1">
                  <c:v>0.66666666666666696</c:v>
                </c:pt>
                <c:pt idx="2">
                  <c:v>0.66666666666666696</c:v>
                </c:pt>
                <c:pt idx="3">
                  <c:v>0.33333333333333298</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er>
        <c:ser>
          <c:idx val="2"/>
          <c:order val="1"/>
          <c:tx>
            <c:strRef>
              <c:f>Sheet3!$N$6</c:f>
              <c:strCache>
                <c:ptCount val="1"/>
                <c:pt idx="0">
                  <c:v>5</c:v>
                </c:pt>
              </c:strCache>
            </c:strRef>
          </c:tx>
          <c:invertIfNegative val="0"/>
          <c:cat>
            <c:multiLvlStrRef>
              <c:f>Sheet3!$O$3:$AL$4</c:f>
              <c:multiLvlStrCache>
                <c:ptCount val="24"/>
                <c:lvl>
                  <c:pt idx="0">
                    <c:v>Managing Contractor</c:v>
                  </c:pt>
                  <c:pt idx="1">
                    <c:v>Multilateral Bank</c:v>
                  </c:pt>
                  <c:pt idx="2">
                    <c:v>Non-government Organisation</c:v>
                  </c:pt>
                  <c:pt idx="3">
                    <c:v>Partner Government</c:v>
                  </c:pt>
                  <c:pt idx="4">
                    <c:v>Managing Contractor</c:v>
                  </c:pt>
                  <c:pt idx="5">
                    <c:v>Multilateral Bank</c:v>
                  </c:pt>
                  <c:pt idx="6">
                    <c:v>Non-government Organisation</c:v>
                  </c:pt>
                  <c:pt idx="7">
                    <c:v>Partner Government</c:v>
                  </c:pt>
                  <c:pt idx="8">
                    <c:v>Managing Contractor</c:v>
                  </c:pt>
                  <c:pt idx="9">
                    <c:v>Multilateral Bank</c:v>
                  </c:pt>
                  <c:pt idx="10">
                    <c:v>Non-government Organisation</c:v>
                  </c:pt>
                  <c:pt idx="11">
                    <c:v>Partner Government</c:v>
                  </c:pt>
                  <c:pt idx="12">
                    <c:v>Managing Contractor</c:v>
                  </c:pt>
                  <c:pt idx="13">
                    <c:v>Multilateral Bank</c:v>
                  </c:pt>
                  <c:pt idx="14">
                    <c:v>Non-government Organisation</c:v>
                  </c:pt>
                  <c:pt idx="15">
                    <c:v>Partner Government</c:v>
                  </c:pt>
                  <c:pt idx="16">
                    <c:v>Managing Contractor</c:v>
                  </c:pt>
                  <c:pt idx="17">
                    <c:v>Multilateral Bank</c:v>
                  </c:pt>
                  <c:pt idx="18">
                    <c:v>Non-government Organisation</c:v>
                  </c:pt>
                  <c:pt idx="19">
                    <c:v>Partner Government</c:v>
                  </c:pt>
                  <c:pt idx="20">
                    <c:v>Managing Contractor</c:v>
                  </c:pt>
                  <c:pt idx="21">
                    <c:v>Multilateral Bank</c:v>
                  </c:pt>
                  <c:pt idx="22">
                    <c:v>Non-government Organisation</c:v>
                  </c:pt>
                  <c:pt idx="23">
                    <c:v>Partner Government</c:v>
                  </c:pt>
                </c:lvl>
                <c:lvl>
                  <c:pt idx="0">
                    <c:v>Relevance</c:v>
                  </c:pt>
                  <c:pt idx="4">
                    <c:v>Effectiveness</c:v>
                  </c:pt>
                  <c:pt idx="8">
                    <c:v>Efficiency</c:v>
                  </c:pt>
                  <c:pt idx="12">
                    <c:v>M&amp;E</c:v>
                  </c:pt>
                  <c:pt idx="16">
                    <c:v>Sustainable</c:v>
                  </c:pt>
                  <c:pt idx="20">
                    <c:v>Gender</c:v>
                  </c:pt>
                </c:lvl>
              </c:multiLvlStrCache>
            </c:multiLvlStrRef>
          </c:cat>
          <c:val>
            <c:numRef>
              <c:f>Sheet3!$O$6:$AL$6</c:f>
              <c:numCache>
                <c:formatCode>0%</c:formatCode>
                <c:ptCount val="24"/>
                <c:pt idx="0">
                  <c:v>1</c:v>
                </c:pt>
                <c:pt idx="1">
                  <c:v>0</c:v>
                </c:pt>
                <c:pt idx="2">
                  <c:v>0.33333333333333298</c:v>
                </c:pt>
                <c:pt idx="3">
                  <c:v>0.66666666666666696</c:v>
                </c:pt>
                <c:pt idx="4">
                  <c:v>1</c:v>
                </c:pt>
                <c:pt idx="5">
                  <c:v>0.5</c:v>
                </c:pt>
                <c:pt idx="6">
                  <c:v>0.66666666666666696</c:v>
                </c:pt>
                <c:pt idx="7">
                  <c:v>0.33333333333333298</c:v>
                </c:pt>
                <c:pt idx="8">
                  <c:v>1</c:v>
                </c:pt>
                <c:pt idx="9">
                  <c:v>0.16666666666666699</c:v>
                </c:pt>
                <c:pt idx="10">
                  <c:v>0.66666666666666696</c:v>
                </c:pt>
                <c:pt idx="11">
                  <c:v>0.33333333333333298</c:v>
                </c:pt>
                <c:pt idx="12">
                  <c:v>0.5</c:v>
                </c:pt>
                <c:pt idx="13">
                  <c:v>0</c:v>
                </c:pt>
                <c:pt idx="14">
                  <c:v>1</c:v>
                </c:pt>
                <c:pt idx="15">
                  <c:v>0.33333333333333298</c:v>
                </c:pt>
                <c:pt idx="16">
                  <c:v>0.5</c:v>
                </c:pt>
                <c:pt idx="17">
                  <c:v>0.5</c:v>
                </c:pt>
                <c:pt idx="18">
                  <c:v>0.66666666666666696</c:v>
                </c:pt>
                <c:pt idx="19">
                  <c:v>0.33333333333333298</c:v>
                </c:pt>
                <c:pt idx="20">
                  <c:v>0</c:v>
                </c:pt>
                <c:pt idx="21">
                  <c:v>0.33333333333333298</c:v>
                </c:pt>
                <c:pt idx="22">
                  <c:v>1</c:v>
                </c:pt>
                <c:pt idx="23">
                  <c:v>0</c:v>
                </c:pt>
              </c:numCache>
            </c:numRef>
          </c:val>
        </c:ser>
        <c:ser>
          <c:idx val="3"/>
          <c:order val="2"/>
          <c:tx>
            <c:strRef>
              <c:f>Sheet3!$N$7</c:f>
              <c:strCache>
                <c:ptCount val="1"/>
                <c:pt idx="0">
                  <c:v>4</c:v>
                </c:pt>
              </c:strCache>
            </c:strRef>
          </c:tx>
          <c:spPr>
            <a:solidFill>
              <a:srgbClr val="FFC000"/>
            </a:solidFill>
          </c:spPr>
          <c:invertIfNegative val="0"/>
          <c:cat>
            <c:multiLvlStrRef>
              <c:f>Sheet3!$O$3:$AL$4</c:f>
              <c:multiLvlStrCache>
                <c:ptCount val="24"/>
                <c:lvl>
                  <c:pt idx="0">
                    <c:v>Managing Contractor</c:v>
                  </c:pt>
                  <c:pt idx="1">
                    <c:v>Multilateral Bank</c:v>
                  </c:pt>
                  <c:pt idx="2">
                    <c:v>Non-government Organisation</c:v>
                  </c:pt>
                  <c:pt idx="3">
                    <c:v>Partner Government</c:v>
                  </c:pt>
                  <c:pt idx="4">
                    <c:v>Managing Contractor</c:v>
                  </c:pt>
                  <c:pt idx="5">
                    <c:v>Multilateral Bank</c:v>
                  </c:pt>
                  <c:pt idx="6">
                    <c:v>Non-government Organisation</c:v>
                  </c:pt>
                  <c:pt idx="7">
                    <c:v>Partner Government</c:v>
                  </c:pt>
                  <c:pt idx="8">
                    <c:v>Managing Contractor</c:v>
                  </c:pt>
                  <c:pt idx="9">
                    <c:v>Multilateral Bank</c:v>
                  </c:pt>
                  <c:pt idx="10">
                    <c:v>Non-government Organisation</c:v>
                  </c:pt>
                  <c:pt idx="11">
                    <c:v>Partner Government</c:v>
                  </c:pt>
                  <c:pt idx="12">
                    <c:v>Managing Contractor</c:v>
                  </c:pt>
                  <c:pt idx="13">
                    <c:v>Multilateral Bank</c:v>
                  </c:pt>
                  <c:pt idx="14">
                    <c:v>Non-government Organisation</c:v>
                  </c:pt>
                  <c:pt idx="15">
                    <c:v>Partner Government</c:v>
                  </c:pt>
                  <c:pt idx="16">
                    <c:v>Managing Contractor</c:v>
                  </c:pt>
                  <c:pt idx="17">
                    <c:v>Multilateral Bank</c:v>
                  </c:pt>
                  <c:pt idx="18">
                    <c:v>Non-government Organisation</c:v>
                  </c:pt>
                  <c:pt idx="19">
                    <c:v>Partner Government</c:v>
                  </c:pt>
                  <c:pt idx="20">
                    <c:v>Managing Contractor</c:v>
                  </c:pt>
                  <c:pt idx="21">
                    <c:v>Multilateral Bank</c:v>
                  </c:pt>
                  <c:pt idx="22">
                    <c:v>Non-government Organisation</c:v>
                  </c:pt>
                  <c:pt idx="23">
                    <c:v>Partner Government</c:v>
                  </c:pt>
                </c:lvl>
                <c:lvl>
                  <c:pt idx="0">
                    <c:v>Relevance</c:v>
                  </c:pt>
                  <c:pt idx="4">
                    <c:v>Effectiveness</c:v>
                  </c:pt>
                  <c:pt idx="8">
                    <c:v>Efficiency</c:v>
                  </c:pt>
                  <c:pt idx="12">
                    <c:v>M&amp;E</c:v>
                  </c:pt>
                  <c:pt idx="16">
                    <c:v>Sustainable</c:v>
                  </c:pt>
                  <c:pt idx="20">
                    <c:v>Gender</c:v>
                  </c:pt>
                </c:lvl>
              </c:multiLvlStrCache>
            </c:multiLvlStrRef>
          </c:cat>
          <c:val>
            <c:numRef>
              <c:f>Sheet3!$O$7:$AL$7</c:f>
              <c:numCache>
                <c:formatCode>0%</c:formatCode>
                <c:ptCount val="24"/>
                <c:pt idx="0">
                  <c:v>0</c:v>
                </c:pt>
                <c:pt idx="1">
                  <c:v>0.33333333333333298</c:v>
                </c:pt>
                <c:pt idx="2">
                  <c:v>0</c:v>
                </c:pt>
                <c:pt idx="3">
                  <c:v>0</c:v>
                </c:pt>
                <c:pt idx="4">
                  <c:v>0</c:v>
                </c:pt>
                <c:pt idx="5">
                  <c:v>0.5</c:v>
                </c:pt>
                <c:pt idx="6">
                  <c:v>0.33333333333333298</c:v>
                </c:pt>
                <c:pt idx="7">
                  <c:v>0.33333333333333298</c:v>
                </c:pt>
                <c:pt idx="8">
                  <c:v>0</c:v>
                </c:pt>
                <c:pt idx="9">
                  <c:v>0.83333333333333304</c:v>
                </c:pt>
                <c:pt idx="10">
                  <c:v>0.33333333333333298</c:v>
                </c:pt>
                <c:pt idx="11">
                  <c:v>0</c:v>
                </c:pt>
                <c:pt idx="12">
                  <c:v>0.5</c:v>
                </c:pt>
                <c:pt idx="13">
                  <c:v>0.66666666666666696</c:v>
                </c:pt>
                <c:pt idx="14">
                  <c:v>0</c:v>
                </c:pt>
                <c:pt idx="15">
                  <c:v>0.33333333333333298</c:v>
                </c:pt>
                <c:pt idx="16">
                  <c:v>0.5</c:v>
                </c:pt>
                <c:pt idx="17">
                  <c:v>0.5</c:v>
                </c:pt>
                <c:pt idx="18">
                  <c:v>0.33333333333333298</c:v>
                </c:pt>
                <c:pt idx="19">
                  <c:v>0.66666666666666696</c:v>
                </c:pt>
                <c:pt idx="20">
                  <c:v>1</c:v>
                </c:pt>
                <c:pt idx="21">
                  <c:v>0.66666666666666696</c:v>
                </c:pt>
                <c:pt idx="22">
                  <c:v>0</c:v>
                </c:pt>
                <c:pt idx="23">
                  <c:v>0.66666666666666696</c:v>
                </c:pt>
              </c:numCache>
            </c:numRef>
          </c:val>
        </c:ser>
        <c:ser>
          <c:idx val="4"/>
          <c:order val="3"/>
          <c:tx>
            <c:strRef>
              <c:f>Sheet3!$N$8</c:f>
              <c:strCache>
                <c:ptCount val="1"/>
                <c:pt idx="0">
                  <c:v>3</c:v>
                </c:pt>
              </c:strCache>
            </c:strRef>
          </c:tx>
          <c:spPr>
            <a:solidFill>
              <a:schemeClr val="accent6">
                <a:lumMod val="75000"/>
              </a:schemeClr>
            </a:solidFill>
          </c:spPr>
          <c:invertIfNegative val="0"/>
          <c:cat>
            <c:multiLvlStrRef>
              <c:f>Sheet3!$O$3:$AL$4</c:f>
              <c:multiLvlStrCache>
                <c:ptCount val="24"/>
                <c:lvl>
                  <c:pt idx="0">
                    <c:v>Managing Contractor</c:v>
                  </c:pt>
                  <c:pt idx="1">
                    <c:v>Multilateral Bank</c:v>
                  </c:pt>
                  <c:pt idx="2">
                    <c:v>Non-government Organisation</c:v>
                  </c:pt>
                  <c:pt idx="3">
                    <c:v>Partner Government</c:v>
                  </c:pt>
                  <c:pt idx="4">
                    <c:v>Managing Contractor</c:v>
                  </c:pt>
                  <c:pt idx="5">
                    <c:v>Multilateral Bank</c:v>
                  </c:pt>
                  <c:pt idx="6">
                    <c:v>Non-government Organisation</c:v>
                  </c:pt>
                  <c:pt idx="7">
                    <c:v>Partner Government</c:v>
                  </c:pt>
                  <c:pt idx="8">
                    <c:v>Managing Contractor</c:v>
                  </c:pt>
                  <c:pt idx="9">
                    <c:v>Multilateral Bank</c:v>
                  </c:pt>
                  <c:pt idx="10">
                    <c:v>Non-government Organisation</c:v>
                  </c:pt>
                  <c:pt idx="11">
                    <c:v>Partner Government</c:v>
                  </c:pt>
                  <c:pt idx="12">
                    <c:v>Managing Contractor</c:v>
                  </c:pt>
                  <c:pt idx="13">
                    <c:v>Multilateral Bank</c:v>
                  </c:pt>
                  <c:pt idx="14">
                    <c:v>Non-government Organisation</c:v>
                  </c:pt>
                  <c:pt idx="15">
                    <c:v>Partner Government</c:v>
                  </c:pt>
                  <c:pt idx="16">
                    <c:v>Managing Contractor</c:v>
                  </c:pt>
                  <c:pt idx="17">
                    <c:v>Multilateral Bank</c:v>
                  </c:pt>
                  <c:pt idx="18">
                    <c:v>Non-government Organisation</c:v>
                  </c:pt>
                  <c:pt idx="19">
                    <c:v>Partner Government</c:v>
                  </c:pt>
                  <c:pt idx="20">
                    <c:v>Managing Contractor</c:v>
                  </c:pt>
                  <c:pt idx="21">
                    <c:v>Multilateral Bank</c:v>
                  </c:pt>
                  <c:pt idx="22">
                    <c:v>Non-government Organisation</c:v>
                  </c:pt>
                  <c:pt idx="23">
                    <c:v>Partner Government</c:v>
                  </c:pt>
                </c:lvl>
                <c:lvl>
                  <c:pt idx="0">
                    <c:v>Relevance</c:v>
                  </c:pt>
                  <c:pt idx="4">
                    <c:v>Effectiveness</c:v>
                  </c:pt>
                  <c:pt idx="8">
                    <c:v>Efficiency</c:v>
                  </c:pt>
                  <c:pt idx="12">
                    <c:v>M&amp;E</c:v>
                  </c:pt>
                  <c:pt idx="16">
                    <c:v>Sustainable</c:v>
                  </c:pt>
                  <c:pt idx="20">
                    <c:v>Gender</c:v>
                  </c:pt>
                </c:lvl>
              </c:multiLvlStrCache>
            </c:multiLvlStrRef>
          </c:cat>
          <c:val>
            <c:numRef>
              <c:f>Sheet3!$O$8:$AL$8</c:f>
              <c:numCache>
                <c:formatCode>0%</c:formatCode>
                <c:ptCount val="24"/>
                <c:pt idx="0">
                  <c:v>0</c:v>
                </c:pt>
                <c:pt idx="1">
                  <c:v>0</c:v>
                </c:pt>
                <c:pt idx="2">
                  <c:v>0</c:v>
                </c:pt>
                <c:pt idx="3">
                  <c:v>0</c:v>
                </c:pt>
                <c:pt idx="4">
                  <c:v>0</c:v>
                </c:pt>
                <c:pt idx="5">
                  <c:v>0</c:v>
                </c:pt>
                <c:pt idx="6">
                  <c:v>0</c:v>
                </c:pt>
                <c:pt idx="7">
                  <c:v>0.33333333333333298</c:v>
                </c:pt>
                <c:pt idx="8">
                  <c:v>0</c:v>
                </c:pt>
                <c:pt idx="9">
                  <c:v>0</c:v>
                </c:pt>
                <c:pt idx="10">
                  <c:v>0</c:v>
                </c:pt>
                <c:pt idx="11">
                  <c:v>0.66666666666666696</c:v>
                </c:pt>
                <c:pt idx="12">
                  <c:v>0</c:v>
                </c:pt>
                <c:pt idx="13">
                  <c:v>0.33333333333333298</c:v>
                </c:pt>
                <c:pt idx="14">
                  <c:v>0</c:v>
                </c:pt>
                <c:pt idx="15">
                  <c:v>0.33333333333333298</c:v>
                </c:pt>
                <c:pt idx="16">
                  <c:v>0</c:v>
                </c:pt>
                <c:pt idx="17">
                  <c:v>0</c:v>
                </c:pt>
                <c:pt idx="18">
                  <c:v>0</c:v>
                </c:pt>
                <c:pt idx="19">
                  <c:v>0</c:v>
                </c:pt>
                <c:pt idx="20">
                  <c:v>0</c:v>
                </c:pt>
                <c:pt idx="21">
                  <c:v>0</c:v>
                </c:pt>
                <c:pt idx="22">
                  <c:v>0</c:v>
                </c:pt>
                <c:pt idx="23">
                  <c:v>0.33333333333333298</c:v>
                </c:pt>
              </c:numCache>
            </c:numRef>
          </c:val>
        </c:ser>
        <c:dLbls>
          <c:showLegendKey val="0"/>
          <c:showVal val="0"/>
          <c:showCatName val="0"/>
          <c:showSerName val="0"/>
          <c:showPercent val="0"/>
          <c:showBubbleSize val="0"/>
        </c:dLbls>
        <c:gapWidth val="75"/>
        <c:shape val="box"/>
        <c:axId val="52808704"/>
        <c:axId val="52818688"/>
        <c:axId val="0"/>
      </c:bar3DChart>
      <c:catAx>
        <c:axId val="52808704"/>
        <c:scaling>
          <c:orientation val="minMax"/>
        </c:scaling>
        <c:delete val="0"/>
        <c:axPos val="b"/>
        <c:majorTickMark val="none"/>
        <c:minorTickMark val="none"/>
        <c:tickLblPos val="nextTo"/>
        <c:txPr>
          <a:bodyPr/>
          <a:lstStyle/>
          <a:p>
            <a:pPr>
              <a:defRPr sz="800"/>
            </a:pPr>
            <a:endParaRPr lang="en-US"/>
          </a:p>
        </c:txPr>
        <c:crossAx val="52818688"/>
        <c:crosses val="autoZero"/>
        <c:auto val="1"/>
        <c:lblAlgn val="ctr"/>
        <c:lblOffset val="100"/>
        <c:noMultiLvlLbl val="0"/>
      </c:catAx>
      <c:valAx>
        <c:axId val="52818688"/>
        <c:scaling>
          <c:orientation val="minMax"/>
        </c:scaling>
        <c:delete val="0"/>
        <c:axPos val="l"/>
        <c:majorGridlines/>
        <c:numFmt formatCode="0%" sourceLinked="1"/>
        <c:majorTickMark val="none"/>
        <c:minorTickMark val="none"/>
        <c:tickLblPos val="nextTo"/>
        <c:spPr>
          <a:ln w="9525">
            <a:noFill/>
          </a:ln>
        </c:spPr>
        <c:crossAx val="52808704"/>
        <c:crosses val="autoZero"/>
        <c:crossBetween val="between"/>
      </c:valAx>
    </c:plotArea>
    <c:legend>
      <c:legendPos val="b"/>
      <c:overlay val="0"/>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E5142A-F735-490F-8477-2AF59DE30831}"/>
</file>

<file path=customXml/itemProps2.xml><?xml version="1.0" encoding="utf-8"?>
<ds:datastoreItem xmlns:ds="http://schemas.openxmlformats.org/officeDocument/2006/customXml" ds:itemID="{92860CB3-D8EC-4BB3-A1FA-AE6A102A71F4}"/>
</file>

<file path=customXml/itemProps3.xml><?xml version="1.0" encoding="utf-8"?>
<ds:datastoreItem xmlns:ds="http://schemas.openxmlformats.org/officeDocument/2006/customXml" ds:itemID="{6DFF678E-B9A3-4262-A40C-9009B137ADE6}"/>
</file>

<file path=customXml/itemProps4.xml><?xml version="1.0" encoding="utf-8"?>
<ds:datastoreItem xmlns:ds="http://schemas.openxmlformats.org/officeDocument/2006/customXml" ds:itemID="{0D4E0124-4230-44F9-82CB-A6A1729B4973}"/>
</file>

<file path=docProps/app.xml><?xml version="1.0" encoding="utf-8"?>
<Properties xmlns="http://schemas.openxmlformats.org/officeDocument/2006/extended-properties" xmlns:vt="http://schemas.openxmlformats.org/officeDocument/2006/docPropsVTypes">
  <Template>Normal.dotm</Template>
  <TotalTime>0</TotalTime>
  <Pages>41</Pages>
  <Words>16555</Words>
  <Characters>94369</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TOOL</vt:lpstr>
    </vt:vector>
  </TitlesOfParts>
  <Manager/>
  <Company/>
  <LinksUpToDate>false</LinksUpToDate>
  <CharactersWithSpaces>110703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creator/>
  <cp:lastModifiedBy/>
  <cp:revision>1</cp:revision>
  <dcterms:created xsi:type="dcterms:W3CDTF">2013-09-05T06:00:00Z</dcterms:created>
  <dcterms:modified xsi:type="dcterms:W3CDTF">2014-01-29T04:43:00Z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312300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