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iagrams/data1.xml" ContentType="application/vnd.openxmlformats-officedocument.drawingml.diagramData+xml"/>
  <Override PartName="/word/document.xml" ContentType="application/vnd.openxmlformats-officedocument.wordprocessingml.document.main+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2900" w:type="dxa"/>
        <w:tblInd w:w="-885" w:type="dxa"/>
        <w:tblLayout w:type="fixed"/>
        <w:tblLook w:val="04A0" w:firstRow="1" w:lastRow="0" w:firstColumn="1" w:lastColumn="0" w:noHBand="0" w:noVBand="1"/>
      </w:tblPr>
      <w:tblGrid>
        <w:gridCol w:w="6947"/>
        <w:gridCol w:w="5953"/>
      </w:tblGrid>
      <w:tr w:rsidR="00CF72B0" w:rsidRPr="00D72D9A" w14:paraId="5FEE2059" w14:textId="77777777" w:rsidTr="00725B15">
        <w:tc>
          <w:tcPr>
            <w:tcW w:w="12900" w:type="dxa"/>
            <w:gridSpan w:val="2"/>
            <w:tcBorders>
              <w:top w:val="nil"/>
              <w:left w:val="nil"/>
              <w:bottom w:val="nil"/>
              <w:right w:val="nil"/>
            </w:tcBorders>
            <w:shd w:val="clear" w:color="auto" w:fill="EAF1DD" w:themeFill="accent3" w:themeFillTint="33"/>
          </w:tcPr>
          <w:p w14:paraId="72451972" w14:textId="77777777" w:rsidR="00CF72B0" w:rsidRPr="00D72D9A" w:rsidRDefault="00CF72B0" w:rsidP="00CF72B0">
            <w:pPr>
              <w:spacing w:before="0" w:after="0"/>
              <w:rPr>
                <w:color w:val="C00000"/>
                <w:sz w:val="24"/>
                <w:szCs w:val="24"/>
                <w:highlight w:val="yellow"/>
              </w:rPr>
            </w:pPr>
            <w:bookmarkStart w:id="0" w:name="_Toc289376409"/>
            <w:bookmarkStart w:id="1" w:name="_Toc289265523"/>
            <w:bookmarkStart w:id="2" w:name="_GoBack"/>
            <w:bookmarkEnd w:id="2"/>
          </w:p>
        </w:tc>
      </w:tr>
      <w:tr w:rsidR="00CF72B0" w:rsidRPr="00D72D9A" w14:paraId="5B83BDA6" w14:textId="77777777" w:rsidTr="001112FB">
        <w:trPr>
          <w:trHeight w:val="419"/>
        </w:trPr>
        <w:tc>
          <w:tcPr>
            <w:tcW w:w="12900" w:type="dxa"/>
            <w:gridSpan w:val="2"/>
            <w:tcBorders>
              <w:top w:val="nil"/>
              <w:left w:val="nil"/>
              <w:bottom w:val="nil"/>
              <w:right w:val="nil"/>
            </w:tcBorders>
            <w:shd w:val="clear" w:color="auto" w:fill="548DD4" w:themeFill="text2" w:themeFillTint="99"/>
          </w:tcPr>
          <w:p w14:paraId="4D5BF2F0" w14:textId="77777777" w:rsidR="00CF72B0" w:rsidRPr="00D72D9A" w:rsidRDefault="00CF72B0" w:rsidP="00CF72B0">
            <w:pPr>
              <w:spacing w:before="0" w:after="0"/>
              <w:rPr>
                <w:color w:val="C00000"/>
                <w:sz w:val="16"/>
                <w:szCs w:val="16"/>
                <w:highlight w:val="yellow"/>
              </w:rPr>
            </w:pPr>
          </w:p>
        </w:tc>
      </w:tr>
      <w:tr w:rsidR="00B10CFD" w:rsidRPr="00D72D9A" w14:paraId="1DDC7E36" w14:textId="77777777" w:rsidTr="001112FB">
        <w:trPr>
          <w:trHeight w:val="9643"/>
        </w:trPr>
        <w:tc>
          <w:tcPr>
            <w:tcW w:w="6947" w:type="dxa"/>
            <w:tcBorders>
              <w:top w:val="nil"/>
              <w:left w:val="nil"/>
              <w:bottom w:val="nil"/>
              <w:right w:val="nil"/>
            </w:tcBorders>
            <w:shd w:val="clear" w:color="auto" w:fill="548DD4" w:themeFill="text2" w:themeFillTint="99"/>
          </w:tcPr>
          <w:p w14:paraId="680F68B0" w14:textId="77777777" w:rsidR="00CF72B0" w:rsidRDefault="00CF72B0" w:rsidP="00CF72B0">
            <w:pPr>
              <w:pStyle w:val="Header-Left"/>
              <w:jc w:val="right"/>
              <w:rPr>
                <w:sz w:val="48"/>
                <w:szCs w:val="48"/>
                <w:lang w:val="en-AU"/>
              </w:rPr>
            </w:pPr>
          </w:p>
          <w:p w14:paraId="32300A8B" w14:textId="77777777" w:rsidR="00CF72B0" w:rsidRDefault="00CF72B0" w:rsidP="00CF72B0">
            <w:pPr>
              <w:pStyle w:val="Header-Left"/>
              <w:jc w:val="right"/>
              <w:rPr>
                <w:sz w:val="48"/>
                <w:szCs w:val="48"/>
                <w:lang w:val="en-AU"/>
              </w:rPr>
            </w:pPr>
          </w:p>
          <w:p w14:paraId="781151D5" w14:textId="77777777" w:rsidR="00CF72B0" w:rsidRDefault="00CF72B0" w:rsidP="00CF72B0">
            <w:pPr>
              <w:pStyle w:val="Header-Left"/>
              <w:jc w:val="right"/>
              <w:rPr>
                <w:sz w:val="48"/>
                <w:szCs w:val="48"/>
                <w:lang w:val="en-AU"/>
              </w:rPr>
            </w:pPr>
          </w:p>
          <w:p w14:paraId="4B7D4254" w14:textId="77777777" w:rsidR="00B10CFD" w:rsidRDefault="00B10CFD" w:rsidP="00B10CFD">
            <w:pPr>
              <w:pStyle w:val="Header-Left"/>
              <w:ind w:left="1878"/>
              <w:jc w:val="right"/>
              <w:rPr>
                <w:sz w:val="48"/>
                <w:szCs w:val="48"/>
                <w:lang w:val="en-AU"/>
              </w:rPr>
            </w:pPr>
          </w:p>
          <w:p w14:paraId="1F66645D" w14:textId="77777777" w:rsidR="00B10CFD" w:rsidRDefault="00B10CFD" w:rsidP="00B10CFD">
            <w:pPr>
              <w:pStyle w:val="Header-Left"/>
              <w:ind w:left="1878"/>
              <w:jc w:val="right"/>
              <w:rPr>
                <w:sz w:val="48"/>
                <w:szCs w:val="48"/>
                <w:lang w:val="en-AU"/>
              </w:rPr>
            </w:pPr>
          </w:p>
          <w:p w14:paraId="36250114" w14:textId="77777777" w:rsidR="00B10CFD" w:rsidRDefault="00B10CFD" w:rsidP="00B10CFD">
            <w:pPr>
              <w:pStyle w:val="Header-Left"/>
              <w:ind w:left="1878"/>
              <w:jc w:val="right"/>
              <w:rPr>
                <w:sz w:val="48"/>
                <w:szCs w:val="48"/>
                <w:lang w:val="en-AU"/>
              </w:rPr>
            </w:pPr>
          </w:p>
          <w:p w14:paraId="44A72612" w14:textId="77777777" w:rsidR="00CF72B0" w:rsidRPr="009C790C" w:rsidRDefault="00467304" w:rsidP="00467304">
            <w:pPr>
              <w:pStyle w:val="Header-Left"/>
              <w:ind w:left="1452"/>
              <w:jc w:val="right"/>
              <w:rPr>
                <w:color w:val="FFFFFF" w:themeColor="background1"/>
                <w:sz w:val="40"/>
                <w:szCs w:val="40"/>
                <w:lang w:val="en-AU"/>
              </w:rPr>
            </w:pPr>
            <w:r w:rsidRPr="009C790C">
              <w:rPr>
                <w:color w:val="FFFFFF" w:themeColor="background1"/>
                <w:sz w:val="40"/>
                <w:szCs w:val="40"/>
                <w:lang w:val="en-AU"/>
              </w:rPr>
              <w:t xml:space="preserve">Skills for </w:t>
            </w:r>
            <w:r w:rsidR="004E40CB" w:rsidRPr="009C790C">
              <w:rPr>
                <w:color w:val="FFFFFF" w:themeColor="background1"/>
                <w:sz w:val="40"/>
                <w:szCs w:val="40"/>
                <w:lang w:val="en-AU"/>
              </w:rPr>
              <w:t>Economic Growth</w:t>
            </w:r>
          </w:p>
          <w:p w14:paraId="5B6C5728" w14:textId="77777777" w:rsidR="00CF72B0" w:rsidRPr="009C790C" w:rsidRDefault="00CF72B0" w:rsidP="00B10CFD">
            <w:pPr>
              <w:pStyle w:val="Header-Left"/>
              <w:tabs>
                <w:tab w:val="left" w:pos="3200"/>
              </w:tabs>
              <w:ind w:left="2728" w:firstLine="142"/>
              <w:jc w:val="right"/>
              <w:rPr>
                <w:color w:val="FFFFFF" w:themeColor="background1"/>
                <w:sz w:val="24"/>
                <w:szCs w:val="24"/>
                <w:lang w:val="en-AU"/>
              </w:rPr>
            </w:pPr>
            <w:r w:rsidRPr="009C790C">
              <w:rPr>
                <w:color w:val="FFFFFF" w:themeColor="background1"/>
                <w:sz w:val="24"/>
                <w:szCs w:val="24"/>
                <w:lang w:val="en-AU"/>
              </w:rPr>
              <w:t>[Vanuatu Technical and Vocational Education and Training Sector Strengthening Program]</w:t>
            </w:r>
          </w:p>
          <w:p w14:paraId="66587278" w14:textId="77777777" w:rsidR="00CF72B0" w:rsidRPr="009C790C" w:rsidRDefault="00CF72B0" w:rsidP="00CF72B0">
            <w:pPr>
              <w:pStyle w:val="Header-Left"/>
              <w:jc w:val="right"/>
              <w:rPr>
                <w:color w:val="FFFFFF" w:themeColor="background1"/>
                <w:lang w:val="en-AU"/>
              </w:rPr>
            </w:pPr>
            <w:r w:rsidRPr="009C790C">
              <w:rPr>
                <w:color w:val="FFFFFF" w:themeColor="background1"/>
                <w:lang w:val="en-AU"/>
              </w:rPr>
              <w:t xml:space="preserve">Phase </w:t>
            </w:r>
            <w:r w:rsidR="00025E46">
              <w:rPr>
                <w:color w:val="FFFFFF" w:themeColor="background1"/>
                <w:lang w:val="en-AU"/>
              </w:rPr>
              <w:t>3</w:t>
            </w:r>
          </w:p>
          <w:p w14:paraId="6A2C56BC" w14:textId="77777777" w:rsidR="00CF72B0" w:rsidRPr="00D72D9A" w:rsidRDefault="00CF72B0" w:rsidP="00CF72B0">
            <w:pPr>
              <w:spacing w:before="0" w:after="0"/>
              <w:rPr>
                <w:color w:val="C00000"/>
                <w:sz w:val="16"/>
                <w:szCs w:val="16"/>
                <w:highlight w:val="yellow"/>
              </w:rPr>
            </w:pPr>
          </w:p>
        </w:tc>
        <w:tc>
          <w:tcPr>
            <w:tcW w:w="5953" w:type="dxa"/>
            <w:tcBorders>
              <w:top w:val="nil"/>
              <w:left w:val="nil"/>
              <w:bottom w:val="nil"/>
              <w:right w:val="nil"/>
            </w:tcBorders>
            <w:shd w:val="clear" w:color="auto" w:fill="C2D69B" w:themeFill="accent3" w:themeFillTint="99"/>
          </w:tcPr>
          <w:p w14:paraId="42084EC7" w14:textId="77777777" w:rsidR="00B10CFD" w:rsidRDefault="004F31A9" w:rsidP="00B10CFD">
            <w:pPr>
              <w:tabs>
                <w:tab w:val="left" w:pos="5434"/>
              </w:tabs>
              <w:spacing w:before="0" w:after="0"/>
              <w:ind w:left="756"/>
              <w:rPr>
                <w:color w:val="C00000"/>
                <w:sz w:val="16"/>
                <w:szCs w:val="16"/>
              </w:rPr>
            </w:pPr>
            <w:r w:rsidRPr="004F31A9">
              <w:rPr>
                <w:noProof/>
                <w:color w:val="C00000"/>
                <w:sz w:val="16"/>
                <w:szCs w:val="16"/>
                <w:lang w:val="en-AU" w:eastAsia="en-AU"/>
              </w:rPr>
              <w:drawing>
                <wp:anchor distT="0" distB="0" distL="114300" distR="114300" simplePos="0" relativeHeight="251653120" behindDoc="0" locked="0" layoutInCell="1" allowOverlap="1" wp14:anchorId="1F3FB483" wp14:editId="69FCCC8B">
                  <wp:simplePos x="0" y="0"/>
                  <wp:positionH relativeFrom="column">
                    <wp:posOffset>-43815</wp:posOffset>
                  </wp:positionH>
                  <wp:positionV relativeFrom="paragraph">
                    <wp:posOffset>27133</wp:posOffset>
                  </wp:positionV>
                  <wp:extent cx="3648651" cy="3691898"/>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7240" cy="3700589"/>
                          </a:xfrm>
                          <a:prstGeom prst="rect">
                            <a:avLst/>
                          </a:prstGeom>
                        </pic:spPr>
                      </pic:pic>
                    </a:graphicData>
                  </a:graphic>
                  <wp14:sizeRelH relativeFrom="page">
                    <wp14:pctWidth>0</wp14:pctWidth>
                  </wp14:sizeRelH>
                  <wp14:sizeRelV relativeFrom="page">
                    <wp14:pctHeight>0</wp14:pctHeight>
                  </wp14:sizeRelV>
                </wp:anchor>
              </w:drawing>
            </w:r>
          </w:p>
          <w:p w14:paraId="53C2F206" w14:textId="77777777" w:rsidR="00B10CFD" w:rsidRDefault="00B10CFD" w:rsidP="00B10CFD">
            <w:pPr>
              <w:tabs>
                <w:tab w:val="left" w:pos="5434"/>
              </w:tabs>
              <w:spacing w:before="0" w:after="0"/>
              <w:ind w:left="756"/>
              <w:rPr>
                <w:color w:val="C00000"/>
                <w:sz w:val="16"/>
                <w:szCs w:val="16"/>
              </w:rPr>
            </w:pPr>
          </w:p>
          <w:p w14:paraId="78CB9FD3" w14:textId="77777777" w:rsidR="00B10CFD" w:rsidRDefault="00B10CFD" w:rsidP="00B10CFD">
            <w:pPr>
              <w:tabs>
                <w:tab w:val="left" w:pos="5434"/>
              </w:tabs>
              <w:spacing w:before="0" w:after="0"/>
              <w:ind w:left="756"/>
              <w:rPr>
                <w:color w:val="C00000"/>
                <w:sz w:val="16"/>
                <w:szCs w:val="16"/>
              </w:rPr>
            </w:pPr>
          </w:p>
          <w:p w14:paraId="36BF6514" w14:textId="77777777" w:rsidR="00B10CFD" w:rsidRDefault="00B10CFD" w:rsidP="00B10CFD">
            <w:pPr>
              <w:tabs>
                <w:tab w:val="left" w:pos="5434"/>
              </w:tabs>
              <w:spacing w:before="0" w:after="0"/>
              <w:ind w:left="756"/>
              <w:rPr>
                <w:color w:val="C00000"/>
                <w:sz w:val="16"/>
                <w:szCs w:val="16"/>
              </w:rPr>
            </w:pPr>
          </w:p>
          <w:p w14:paraId="67957AD1" w14:textId="77777777" w:rsidR="00B10CFD" w:rsidRDefault="00B10CFD" w:rsidP="00B10CFD">
            <w:pPr>
              <w:tabs>
                <w:tab w:val="left" w:pos="5434"/>
              </w:tabs>
              <w:spacing w:before="0" w:after="0"/>
              <w:ind w:left="756"/>
              <w:rPr>
                <w:color w:val="C00000"/>
                <w:sz w:val="16"/>
                <w:szCs w:val="16"/>
              </w:rPr>
            </w:pPr>
          </w:p>
          <w:p w14:paraId="6C9599DC" w14:textId="77777777" w:rsidR="00B10CFD" w:rsidRDefault="00B10CFD" w:rsidP="00B10CFD">
            <w:pPr>
              <w:tabs>
                <w:tab w:val="left" w:pos="5434"/>
              </w:tabs>
              <w:spacing w:before="0" w:after="0"/>
              <w:ind w:left="756"/>
              <w:rPr>
                <w:color w:val="C00000"/>
                <w:sz w:val="16"/>
                <w:szCs w:val="16"/>
              </w:rPr>
            </w:pPr>
          </w:p>
          <w:p w14:paraId="423C8961" w14:textId="77777777" w:rsidR="00B10CFD" w:rsidRDefault="00B10CFD" w:rsidP="00B10CFD">
            <w:pPr>
              <w:tabs>
                <w:tab w:val="left" w:pos="5434"/>
              </w:tabs>
              <w:spacing w:before="0" w:after="0"/>
              <w:ind w:left="756"/>
              <w:rPr>
                <w:color w:val="C00000"/>
                <w:sz w:val="16"/>
                <w:szCs w:val="16"/>
              </w:rPr>
            </w:pPr>
          </w:p>
          <w:p w14:paraId="276F1CD7" w14:textId="77777777" w:rsidR="00B10CFD" w:rsidRDefault="00B10CFD" w:rsidP="00B10CFD">
            <w:pPr>
              <w:tabs>
                <w:tab w:val="left" w:pos="5434"/>
              </w:tabs>
              <w:spacing w:before="0" w:after="0"/>
              <w:ind w:left="756"/>
              <w:rPr>
                <w:color w:val="C00000"/>
                <w:sz w:val="16"/>
                <w:szCs w:val="16"/>
              </w:rPr>
            </w:pPr>
          </w:p>
          <w:p w14:paraId="6CB22C55" w14:textId="77777777" w:rsidR="00B10CFD" w:rsidRDefault="00B10CFD" w:rsidP="00B10CFD">
            <w:pPr>
              <w:tabs>
                <w:tab w:val="left" w:pos="5434"/>
              </w:tabs>
              <w:spacing w:before="0" w:after="0"/>
              <w:ind w:left="756"/>
              <w:rPr>
                <w:color w:val="C00000"/>
                <w:sz w:val="16"/>
                <w:szCs w:val="16"/>
              </w:rPr>
            </w:pPr>
          </w:p>
          <w:p w14:paraId="0A5BBCFB" w14:textId="77777777" w:rsidR="00B10CFD" w:rsidRDefault="00B10CFD" w:rsidP="00B10CFD">
            <w:pPr>
              <w:tabs>
                <w:tab w:val="left" w:pos="5434"/>
              </w:tabs>
              <w:spacing w:before="0" w:after="0"/>
              <w:ind w:left="756"/>
              <w:rPr>
                <w:color w:val="C00000"/>
                <w:sz w:val="16"/>
                <w:szCs w:val="16"/>
              </w:rPr>
            </w:pPr>
          </w:p>
          <w:p w14:paraId="7C6DA5A6" w14:textId="77777777" w:rsidR="00B10CFD" w:rsidRDefault="00B10CFD" w:rsidP="00B10CFD">
            <w:pPr>
              <w:tabs>
                <w:tab w:val="left" w:pos="5434"/>
              </w:tabs>
              <w:spacing w:before="0" w:after="0"/>
              <w:ind w:left="756"/>
              <w:rPr>
                <w:color w:val="C00000"/>
                <w:sz w:val="16"/>
                <w:szCs w:val="16"/>
              </w:rPr>
            </w:pPr>
          </w:p>
          <w:p w14:paraId="1578C18D" w14:textId="77777777" w:rsidR="00B10CFD" w:rsidRDefault="00B10CFD" w:rsidP="00B10CFD">
            <w:pPr>
              <w:tabs>
                <w:tab w:val="left" w:pos="5434"/>
              </w:tabs>
              <w:spacing w:before="0" w:after="0"/>
              <w:ind w:left="756"/>
              <w:rPr>
                <w:color w:val="C00000"/>
                <w:sz w:val="16"/>
                <w:szCs w:val="16"/>
              </w:rPr>
            </w:pPr>
          </w:p>
          <w:p w14:paraId="54A5F598" w14:textId="77777777" w:rsidR="00B10CFD" w:rsidRDefault="00B10CFD" w:rsidP="00B10CFD">
            <w:pPr>
              <w:tabs>
                <w:tab w:val="left" w:pos="5434"/>
              </w:tabs>
              <w:spacing w:before="0" w:after="0"/>
              <w:ind w:left="756"/>
              <w:rPr>
                <w:color w:val="C00000"/>
                <w:sz w:val="16"/>
                <w:szCs w:val="16"/>
              </w:rPr>
            </w:pPr>
          </w:p>
          <w:p w14:paraId="7DCBAAF9" w14:textId="77777777" w:rsidR="00B10CFD" w:rsidRDefault="00B10CFD" w:rsidP="00B10CFD">
            <w:pPr>
              <w:tabs>
                <w:tab w:val="left" w:pos="5434"/>
              </w:tabs>
              <w:spacing w:before="0" w:after="0"/>
              <w:ind w:left="756"/>
              <w:rPr>
                <w:color w:val="C00000"/>
                <w:sz w:val="16"/>
                <w:szCs w:val="16"/>
              </w:rPr>
            </w:pPr>
          </w:p>
          <w:p w14:paraId="096AFBBC" w14:textId="77777777" w:rsidR="00B10CFD" w:rsidRDefault="00B10CFD" w:rsidP="00B10CFD">
            <w:pPr>
              <w:tabs>
                <w:tab w:val="left" w:pos="5434"/>
              </w:tabs>
              <w:spacing w:before="0" w:after="0"/>
              <w:ind w:left="756"/>
              <w:rPr>
                <w:color w:val="C00000"/>
                <w:sz w:val="16"/>
                <w:szCs w:val="16"/>
              </w:rPr>
            </w:pPr>
          </w:p>
          <w:p w14:paraId="684816B6" w14:textId="77777777" w:rsidR="00B10CFD" w:rsidRDefault="00B10CFD" w:rsidP="00B10CFD">
            <w:pPr>
              <w:tabs>
                <w:tab w:val="left" w:pos="5434"/>
              </w:tabs>
              <w:spacing w:before="0" w:after="0"/>
              <w:ind w:left="756"/>
              <w:rPr>
                <w:color w:val="C00000"/>
                <w:sz w:val="16"/>
                <w:szCs w:val="16"/>
              </w:rPr>
            </w:pPr>
          </w:p>
          <w:p w14:paraId="309C45E5" w14:textId="77777777" w:rsidR="00B10CFD" w:rsidRDefault="00B10CFD" w:rsidP="00B10CFD">
            <w:pPr>
              <w:tabs>
                <w:tab w:val="left" w:pos="5434"/>
              </w:tabs>
              <w:spacing w:before="0" w:after="0"/>
              <w:ind w:left="756"/>
              <w:rPr>
                <w:color w:val="C00000"/>
                <w:sz w:val="16"/>
                <w:szCs w:val="16"/>
              </w:rPr>
            </w:pPr>
          </w:p>
          <w:p w14:paraId="76322CBE" w14:textId="77777777" w:rsidR="00B10CFD" w:rsidRDefault="00B10CFD" w:rsidP="00B10CFD">
            <w:pPr>
              <w:tabs>
                <w:tab w:val="left" w:pos="5434"/>
              </w:tabs>
              <w:spacing w:before="0" w:after="0"/>
              <w:ind w:left="175"/>
              <w:rPr>
                <w:color w:val="C00000"/>
                <w:sz w:val="16"/>
                <w:szCs w:val="16"/>
              </w:rPr>
            </w:pPr>
          </w:p>
          <w:p w14:paraId="7DEB6AF5" w14:textId="77777777" w:rsidR="00B10CFD" w:rsidRDefault="00B10CFD" w:rsidP="00B10CFD">
            <w:pPr>
              <w:tabs>
                <w:tab w:val="left" w:pos="5434"/>
              </w:tabs>
              <w:spacing w:before="0" w:after="0"/>
              <w:ind w:left="756"/>
              <w:rPr>
                <w:color w:val="C00000"/>
                <w:sz w:val="16"/>
                <w:szCs w:val="16"/>
              </w:rPr>
            </w:pPr>
          </w:p>
          <w:p w14:paraId="4B73359C" w14:textId="77777777" w:rsidR="00CF72B0" w:rsidRPr="00D72D9A" w:rsidRDefault="001112FB" w:rsidP="00B10CFD">
            <w:pPr>
              <w:tabs>
                <w:tab w:val="left" w:pos="5434"/>
              </w:tabs>
              <w:spacing w:before="0" w:after="0"/>
              <w:ind w:left="756"/>
              <w:rPr>
                <w:color w:val="C00000"/>
                <w:sz w:val="16"/>
                <w:szCs w:val="16"/>
                <w:highlight w:val="yellow"/>
              </w:rPr>
            </w:pPr>
            <w:r w:rsidRPr="006321FC">
              <w:rPr>
                <w:noProof/>
                <w:color w:val="C00000"/>
                <w:sz w:val="16"/>
                <w:szCs w:val="16"/>
                <w:lang w:val="en-AU" w:eastAsia="en-AU"/>
              </w:rPr>
              <w:drawing>
                <wp:anchor distT="0" distB="0" distL="114300" distR="114300" simplePos="0" relativeHeight="251655168" behindDoc="0" locked="0" layoutInCell="1" allowOverlap="1" wp14:anchorId="223FF13A" wp14:editId="0A15F3CC">
                  <wp:simplePos x="0" y="0"/>
                  <wp:positionH relativeFrom="column">
                    <wp:posOffset>-45582</wp:posOffset>
                  </wp:positionH>
                  <wp:positionV relativeFrom="paragraph">
                    <wp:posOffset>1411467</wp:posOffset>
                  </wp:positionV>
                  <wp:extent cx="3635090" cy="235834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5090" cy="2358341"/>
                          </a:xfrm>
                          <a:prstGeom prst="rect">
                            <a:avLst/>
                          </a:prstGeom>
                        </pic:spPr>
                      </pic:pic>
                    </a:graphicData>
                  </a:graphic>
                  <wp14:sizeRelH relativeFrom="page">
                    <wp14:pctWidth>0</wp14:pctWidth>
                  </wp14:sizeRelH>
                  <wp14:sizeRelV relativeFrom="page">
                    <wp14:pctHeight>0</wp14:pctHeight>
                  </wp14:sizeRelV>
                </wp:anchor>
              </w:drawing>
            </w:r>
            <w:r>
              <w:rPr>
                <w:noProof/>
                <w:color w:val="C00000"/>
                <w:sz w:val="16"/>
                <w:szCs w:val="16"/>
                <w:lang w:val="en-AU" w:eastAsia="en-AU"/>
              </w:rPr>
              <mc:AlternateContent>
                <mc:Choice Requires="wps">
                  <w:drawing>
                    <wp:anchor distT="4294967293" distB="4294967293" distL="114300" distR="114300" simplePos="0" relativeHeight="251649024" behindDoc="0" locked="0" layoutInCell="1" allowOverlap="1" wp14:anchorId="073695A8" wp14:editId="5417F884">
                      <wp:simplePos x="0" y="0"/>
                      <wp:positionH relativeFrom="column">
                        <wp:posOffset>-44036</wp:posOffset>
                      </wp:positionH>
                      <wp:positionV relativeFrom="paragraph">
                        <wp:posOffset>1325493</wp:posOffset>
                      </wp:positionV>
                      <wp:extent cx="3780155" cy="0"/>
                      <wp:effectExtent l="0" t="25400" r="55245" b="101600"/>
                      <wp:wrapNone/>
                      <wp:docPr id="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155" cy="0"/>
                              </a:xfrm>
                              <a:prstGeom prst="line">
                                <a:avLst/>
                              </a:prstGeom>
                              <a:noFill/>
                              <a:ln w="76200">
                                <a:solidFill>
                                  <a:schemeClr val="bg2">
                                    <a:lumMod val="100000"/>
                                    <a:lumOff val="0"/>
                                  </a:schemeClr>
                                </a:solidFill>
                                <a:round/>
                                <a:headEnd/>
                                <a:tailEnd/>
                              </a:ln>
                              <a:effectLst>
                                <a:outerShdw dist="381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2E1360" id="Straight Connector 18"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5pt,104.35pt" to="294.2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" strokecolor="#eeece1 [3214]" strokeweight="6pt">
                      <v:shadow on="t" opacity="22936f" origin=",.5" offset="0,3pt"/>
                    </v:line>
                  </w:pict>
                </mc:Fallback>
              </mc:AlternateContent>
            </w:r>
            <w:r>
              <w:rPr>
                <w:noProof/>
                <w:color w:val="C00000"/>
                <w:sz w:val="16"/>
                <w:szCs w:val="16"/>
                <w:lang w:val="en-AU" w:eastAsia="en-AU"/>
              </w:rPr>
              <mc:AlternateContent>
                <mc:Choice Requires="wps">
                  <w:drawing>
                    <wp:anchor distT="4294967293" distB="4294967293" distL="114300" distR="114300" simplePos="0" relativeHeight="251651072" behindDoc="0" locked="0" layoutInCell="1" allowOverlap="1" wp14:anchorId="36A5B96B" wp14:editId="0EC71311">
                      <wp:simplePos x="0" y="0"/>
                      <wp:positionH relativeFrom="column">
                        <wp:posOffset>-42214</wp:posOffset>
                      </wp:positionH>
                      <wp:positionV relativeFrom="paragraph">
                        <wp:posOffset>1325493</wp:posOffset>
                      </wp:positionV>
                      <wp:extent cx="3780155" cy="0"/>
                      <wp:effectExtent l="0" t="25400" r="29845" b="76200"/>
                      <wp:wrapNone/>
                      <wp:docPr id="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155" cy="0"/>
                              </a:xfrm>
                              <a:prstGeom prst="line">
                                <a:avLst/>
                              </a:prstGeom>
                              <a:noFill/>
                              <a:ln w="38100">
                                <a:solidFill>
                                  <a:schemeClr val="tx2">
                                    <a:lumMod val="60000"/>
                                    <a:lumOff val="40000"/>
                                  </a:schemeClr>
                                </a:solidFill>
                                <a:round/>
                                <a:headEnd/>
                                <a:tailEnd/>
                              </a:ln>
                              <a:effectLst>
                                <a:outerShdw dist="381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D3E710" id="Straight Connector 19" o:spid="_x0000_s1026" style="position:absolute;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pt,104.35pt" to="294.3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" strokecolor="#548dd4 [1951]" strokeweight="3pt">
                      <v:shadow on="t" opacity="22936f" origin=",.5" offset="0,3pt"/>
                    </v:line>
                  </w:pict>
                </mc:Fallback>
              </mc:AlternateContent>
            </w:r>
          </w:p>
        </w:tc>
      </w:tr>
      <w:tr w:rsidR="00CF72B0" w14:paraId="1F8522EF" w14:textId="77777777" w:rsidTr="009C790C">
        <w:trPr>
          <w:trHeight w:val="2166"/>
        </w:trPr>
        <w:sdt>
          <w:sdtPr>
            <w:rPr>
              <w:b/>
              <w:caps/>
              <w:color w:val="FFFFFF" w:themeColor="background1"/>
              <w:sz w:val="48"/>
              <w:szCs w:val="48"/>
            </w:rPr>
            <w:id w:val="-1547375268"/>
            <w:placeholder>
              <w:docPart w:val="8EAA5B4F6161024D85292148BD8CBD9D"/>
            </w:placeholder>
          </w:sdtPr>
          <w:sdtEndPr/>
          <w:sdtContent>
            <w:tc>
              <w:tcPr>
                <w:tcW w:w="12900" w:type="dxa"/>
                <w:gridSpan w:val="2"/>
                <w:tcBorders>
                  <w:top w:val="nil"/>
                  <w:left w:val="nil"/>
                  <w:bottom w:val="nil"/>
                  <w:right w:val="nil"/>
                </w:tcBorders>
                <w:shd w:val="clear" w:color="auto" w:fill="F79646" w:themeFill="accent6"/>
              </w:tcPr>
              <w:p w14:paraId="2EE29D9B" w14:textId="77777777" w:rsidR="00CF72B0" w:rsidRPr="00346774" w:rsidRDefault="00D23335" w:rsidP="00CF72B0">
                <w:pPr>
                  <w:tabs>
                    <w:tab w:val="left" w:pos="9249"/>
                  </w:tabs>
                  <w:spacing w:before="240"/>
                  <w:ind w:right="1734"/>
                  <w:jc w:val="right"/>
                  <w:rPr>
                    <w:b/>
                    <w:caps/>
                    <w:color w:val="FFFFFF" w:themeColor="background1"/>
                    <w:sz w:val="36"/>
                    <w:szCs w:val="36"/>
                    <w:lang w:val="en-AU"/>
                  </w:rPr>
                </w:pPr>
                <w:r>
                  <w:rPr>
                    <w:b/>
                    <w:caps/>
                    <w:color w:val="FFFFFF" w:themeColor="background1"/>
                    <w:sz w:val="36"/>
                    <w:szCs w:val="36"/>
                    <w:lang w:val="en-AU"/>
                  </w:rPr>
                  <w:t>Completion report</w:t>
                </w:r>
                <w:r w:rsidR="00CF72B0" w:rsidRPr="00346774">
                  <w:rPr>
                    <w:b/>
                    <w:caps/>
                    <w:color w:val="FFFFFF" w:themeColor="background1"/>
                    <w:sz w:val="36"/>
                    <w:szCs w:val="36"/>
                    <w:lang w:val="en-AU"/>
                  </w:rPr>
                  <w:t xml:space="preserve"> </w:t>
                </w:r>
              </w:p>
              <w:p w14:paraId="46C521CB" w14:textId="77777777" w:rsidR="00CF72B0" w:rsidRPr="00346774" w:rsidRDefault="00CF72B0" w:rsidP="00B10CFD">
                <w:pPr>
                  <w:tabs>
                    <w:tab w:val="left" w:pos="9249"/>
                    <w:tab w:val="left" w:pos="11375"/>
                  </w:tabs>
                  <w:ind w:right="1734"/>
                  <w:jc w:val="right"/>
                  <w:rPr>
                    <w:b/>
                    <w:caps/>
                    <w:color w:val="FFFFFF" w:themeColor="background1"/>
                    <w:sz w:val="36"/>
                    <w:szCs w:val="36"/>
                    <w:lang w:val="en-AU"/>
                  </w:rPr>
                </w:pPr>
                <w:r w:rsidRPr="00346774">
                  <w:rPr>
                    <w:b/>
                    <w:caps/>
                    <w:color w:val="FFFFFF" w:themeColor="background1"/>
                    <w:sz w:val="36"/>
                    <w:szCs w:val="36"/>
                    <w:lang w:val="en-AU"/>
                  </w:rPr>
                  <w:t>201</w:t>
                </w:r>
                <w:r w:rsidR="00D23335">
                  <w:rPr>
                    <w:b/>
                    <w:caps/>
                    <w:color w:val="FFFFFF" w:themeColor="background1"/>
                    <w:sz w:val="36"/>
                    <w:szCs w:val="36"/>
                    <w:lang w:val="en-AU"/>
                  </w:rPr>
                  <w:t>3</w:t>
                </w:r>
                <w:r w:rsidRPr="00346774">
                  <w:rPr>
                    <w:b/>
                    <w:caps/>
                    <w:color w:val="FFFFFF" w:themeColor="background1"/>
                    <w:sz w:val="36"/>
                    <w:szCs w:val="36"/>
                    <w:lang w:val="en-AU"/>
                  </w:rPr>
                  <w:t xml:space="preserve"> – 201</w:t>
                </w:r>
                <w:r w:rsidR="00D23335">
                  <w:rPr>
                    <w:b/>
                    <w:caps/>
                    <w:color w:val="FFFFFF" w:themeColor="background1"/>
                    <w:sz w:val="36"/>
                    <w:szCs w:val="36"/>
                    <w:lang w:val="en-AU"/>
                  </w:rPr>
                  <w:t>6</w:t>
                </w:r>
              </w:p>
              <w:p w14:paraId="13AE4476" w14:textId="77777777" w:rsidR="00CF72B0" w:rsidRDefault="008A1030" w:rsidP="005228DC">
                <w:pPr>
                  <w:tabs>
                    <w:tab w:val="left" w:pos="9249"/>
                  </w:tabs>
                  <w:spacing w:before="0" w:after="0"/>
                  <w:ind w:right="1734"/>
                  <w:jc w:val="right"/>
                </w:pPr>
                <w:r>
                  <w:rPr>
                    <w:b/>
                    <w:caps/>
                    <w:color w:val="FFFFFF" w:themeColor="background1"/>
                    <w:sz w:val="24"/>
                    <w:szCs w:val="24"/>
                    <w:lang w:val="en-AU"/>
                  </w:rPr>
                  <w:t>JUNE</w:t>
                </w:r>
                <w:r w:rsidR="00CF72B0" w:rsidRPr="00346774">
                  <w:rPr>
                    <w:b/>
                    <w:caps/>
                    <w:color w:val="FFFFFF" w:themeColor="background1"/>
                    <w:sz w:val="24"/>
                    <w:szCs w:val="24"/>
                    <w:lang w:val="en-AU"/>
                  </w:rPr>
                  <w:t xml:space="preserve"> 201</w:t>
                </w:r>
                <w:r w:rsidR="005228DC" w:rsidRPr="00346774">
                  <w:rPr>
                    <w:b/>
                    <w:caps/>
                    <w:color w:val="FFFFFF" w:themeColor="background1"/>
                    <w:sz w:val="24"/>
                    <w:szCs w:val="24"/>
                    <w:lang w:val="en-AU"/>
                  </w:rPr>
                  <w:t>6</w:t>
                </w:r>
              </w:p>
            </w:tc>
          </w:sdtContent>
        </w:sdt>
      </w:tr>
      <w:tr w:rsidR="009C790C" w14:paraId="18AF8D9A" w14:textId="77777777" w:rsidTr="009C790C">
        <w:trPr>
          <w:trHeight w:val="2934"/>
        </w:trPr>
        <w:tc>
          <w:tcPr>
            <w:tcW w:w="12900" w:type="dxa"/>
            <w:gridSpan w:val="2"/>
            <w:tcBorders>
              <w:top w:val="nil"/>
              <w:left w:val="nil"/>
              <w:bottom w:val="nil"/>
              <w:right w:val="nil"/>
            </w:tcBorders>
            <w:shd w:val="clear" w:color="auto" w:fill="D6E3BC" w:themeFill="accent3" w:themeFillTint="66"/>
          </w:tcPr>
          <w:p w14:paraId="5199E9EA" w14:textId="77777777" w:rsidR="009C790C" w:rsidRDefault="009C790C" w:rsidP="00CF72B0">
            <w:pPr>
              <w:tabs>
                <w:tab w:val="left" w:pos="9249"/>
              </w:tabs>
              <w:spacing w:before="240"/>
              <w:ind w:right="1734"/>
              <w:jc w:val="right"/>
              <w:rPr>
                <w:b/>
                <w:caps/>
                <w:color w:val="FFFFFF" w:themeColor="background1"/>
                <w:sz w:val="48"/>
                <w:szCs w:val="48"/>
              </w:rPr>
            </w:pPr>
          </w:p>
        </w:tc>
      </w:tr>
      <w:tr w:rsidR="00CF72B0" w:rsidRPr="00D72D9A" w14:paraId="78864A88" w14:textId="77777777" w:rsidTr="009C790C">
        <w:trPr>
          <w:trHeight w:val="127"/>
        </w:trPr>
        <w:tc>
          <w:tcPr>
            <w:tcW w:w="12900" w:type="dxa"/>
            <w:gridSpan w:val="2"/>
            <w:tcBorders>
              <w:top w:val="nil"/>
              <w:left w:val="nil"/>
              <w:bottom w:val="nil"/>
              <w:right w:val="nil"/>
            </w:tcBorders>
            <w:shd w:val="clear" w:color="auto" w:fill="548DD4" w:themeFill="text2" w:themeFillTint="99"/>
          </w:tcPr>
          <w:p w14:paraId="21D80D63" w14:textId="77777777" w:rsidR="00CF72B0" w:rsidRPr="00D72D9A" w:rsidRDefault="00CF72B0" w:rsidP="0080036D">
            <w:pPr>
              <w:spacing w:before="0" w:after="0"/>
              <w:rPr>
                <w:color w:val="C00000"/>
                <w:sz w:val="16"/>
                <w:szCs w:val="16"/>
                <w:highlight w:val="yellow"/>
              </w:rPr>
            </w:pPr>
          </w:p>
        </w:tc>
      </w:tr>
      <w:tr w:rsidR="00CF72B0" w:rsidRPr="00D72D9A" w14:paraId="634FD0F0" w14:textId="77777777" w:rsidTr="009C790C">
        <w:trPr>
          <w:trHeight w:val="156"/>
        </w:trPr>
        <w:tc>
          <w:tcPr>
            <w:tcW w:w="12900" w:type="dxa"/>
            <w:gridSpan w:val="2"/>
            <w:tcBorders>
              <w:top w:val="nil"/>
              <w:left w:val="nil"/>
              <w:bottom w:val="nil"/>
              <w:right w:val="nil"/>
            </w:tcBorders>
            <w:shd w:val="clear" w:color="auto" w:fill="F79646" w:themeFill="accent6"/>
          </w:tcPr>
          <w:p w14:paraId="52E62CC1" w14:textId="77777777" w:rsidR="00CF72B0" w:rsidRPr="00D72D9A" w:rsidRDefault="00CF72B0" w:rsidP="00CF72B0">
            <w:pPr>
              <w:spacing w:before="0" w:after="0"/>
              <w:rPr>
                <w:color w:val="C00000"/>
                <w:sz w:val="24"/>
                <w:szCs w:val="24"/>
                <w:highlight w:val="yellow"/>
              </w:rPr>
            </w:pPr>
          </w:p>
        </w:tc>
      </w:tr>
    </w:tbl>
    <w:p w14:paraId="080F6573" w14:textId="77777777" w:rsidR="00D72D9A" w:rsidRDefault="00D72D9A" w:rsidP="00510B16">
      <w:pPr>
        <w:rPr>
          <w:color w:val="C00000"/>
          <w:sz w:val="36"/>
          <w:szCs w:val="36"/>
          <w:highlight w:val="yellow"/>
        </w:rPr>
        <w:sectPr w:rsidR="00D72D9A" w:rsidSect="00DC6407">
          <w:headerReference w:type="even" r:id="rId10"/>
          <w:headerReference w:type="default" r:id="rId11"/>
          <w:footerReference w:type="even" r:id="rId12"/>
          <w:footerReference w:type="default" r:id="rId13"/>
          <w:headerReference w:type="first" r:id="rId14"/>
          <w:footerReference w:type="first" r:id="rId15"/>
          <w:pgSz w:w="11900" w:h="16840" w:code="1"/>
          <w:pgMar w:top="0" w:right="0" w:bottom="0" w:left="0" w:header="0" w:footer="0" w:gutter="0"/>
          <w:pgNumType w:start="1"/>
          <w:cols w:space="720"/>
          <w:titlePg/>
          <w:docGrid w:linePitch="360"/>
        </w:sectPr>
      </w:pPr>
    </w:p>
    <w:p w14:paraId="51B3B395" w14:textId="77777777" w:rsidR="00D9298C" w:rsidRPr="007905EC" w:rsidRDefault="00D9298C" w:rsidP="007905EC">
      <w:pPr>
        <w:pStyle w:val="Heading1"/>
      </w:pPr>
      <w:bookmarkStart w:id="3" w:name="_Toc456600673"/>
      <w:r w:rsidRPr="007905EC">
        <w:lastRenderedPageBreak/>
        <w:t>Contents</w:t>
      </w:r>
      <w:bookmarkEnd w:id="3"/>
    </w:p>
    <w:p w14:paraId="75FD4DEB" w14:textId="3099A426" w:rsidR="00702280" w:rsidRPr="00782E1D" w:rsidRDefault="005D6ACC">
      <w:pPr>
        <w:pStyle w:val="TOC1"/>
        <w:rPr>
          <w:rFonts w:asciiTheme="minorHAnsi" w:hAnsiTheme="minorHAnsi"/>
          <w:bCs w:val="0"/>
          <w:u w:val="none"/>
          <w:lang w:eastAsia="en-AU"/>
        </w:rPr>
      </w:pPr>
      <w:r w:rsidRPr="00782E1D">
        <w:rPr>
          <w:rFonts w:asciiTheme="minorHAnsi" w:hAnsiTheme="minorHAnsi"/>
        </w:rPr>
        <w:fldChar w:fldCharType="begin"/>
      </w:r>
      <w:r w:rsidR="00C14289" w:rsidRPr="00782E1D">
        <w:rPr>
          <w:rFonts w:asciiTheme="minorHAnsi" w:hAnsiTheme="minorHAnsi"/>
        </w:rPr>
        <w:instrText xml:space="preserve"> TOC \o "1-2" </w:instrText>
      </w:r>
      <w:r w:rsidRPr="00782E1D">
        <w:rPr>
          <w:rFonts w:asciiTheme="minorHAnsi" w:hAnsiTheme="minorHAnsi"/>
        </w:rPr>
        <w:fldChar w:fldCharType="separate"/>
      </w:r>
      <w:r w:rsidR="00702280" w:rsidRPr="00782E1D">
        <w:t>Contents</w:t>
      </w:r>
      <w:r w:rsidR="00702280" w:rsidRPr="00782E1D">
        <w:tab/>
      </w:r>
      <w:r w:rsidR="00702280" w:rsidRPr="00782E1D">
        <w:tab/>
      </w:r>
      <w:r w:rsidR="00702280" w:rsidRPr="00782E1D">
        <w:fldChar w:fldCharType="begin"/>
      </w:r>
      <w:r w:rsidR="00702280" w:rsidRPr="00782E1D">
        <w:instrText xml:space="preserve"> PAGEREF _Toc456600673 \h </w:instrText>
      </w:r>
      <w:r w:rsidR="00702280" w:rsidRPr="00782E1D">
        <w:fldChar w:fldCharType="separate"/>
      </w:r>
      <w:r w:rsidR="000A4484" w:rsidRPr="00782E1D">
        <w:t>i</w:t>
      </w:r>
      <w:r w:rsidR="00702280" w:rsidRPr="00782E1D">
        <w:fldChar w:fldCharType="end"/>
      </w:r>
    </w:p>
    <w:p w14:paraId="11A314B4" w14:textId="2384B6C3" w:rsidR="00702280" w:rsidRPr="00782E1D" w:rsidRDefault="00702280">
      <w:pPr>
        <w:pStyle w:val="TOC1"/>
        <w:rPr>
          <w:rFonts w:asciiTheme="minorHAnsi" w:hAnsiTheme="minorHAnsi"/>
          <w:bCs w:val="0"/>
          <w:u w:val="none"/>
          <w:lang w:eastAsia="en-AU"/>
        </w:rPr>
      </w:pPr>
      <w:r w:rsidRPr="00782E1D">
        <w:t>Acronyms</w:t>
      </w:r>
      <w:r w:rsidRPr="00782E1D">
        <w:tab/>
      </w:r>
      <w:r w:rsidRPr="00782E1D">
        <w:tab/>
      </w:r>
      <w:r w:rsidRPr="00782E1D">
        <w:fldChar w:fldCharType="begin"/>
      </w:r>
      <w:r w:rsidRPr="00782E1D">
        <w:instrText xml:space="preserve"> PAGEREF _Toc456600674 \h </w:instrText>
      </w:r>
      <w:r w:rsidRPr="00782E1D">
        <w:fldChar w:fldCharType="separate"/>
      </w:r>
      <w:r w:rsidR="000A4484" w:rsidRPr="00782E1D">
        <w:t>ii</w:t>
      </w:r>
      <w:r w:rsidRPr="00782E1D">
        <w:fldChar w:fldCharType="end"/>
      </w:r>
    </w:p>
    <w:p w14:paraId="385DF942" w14:textId="5E45050C" w:rsidR="00702280" w:rsidRPr="00782E1D" w:rsidRDefault="00702280">
      <w:pPr>
        <w:pStyle w:val="TOC1"/>
        <w:rPr>
          <w:rFonts w:asciiTheme="minorHAnsi" w:hAnsiTheme="minorHAnsi"/>
          <w:bCs w:val="0"/>
          <w:u w:val="none"/>
          <w:lang w:eastAsia="en-AU"/>
        </w:rPr>
      </w:pPr>
      <w:r w:rsidRPr="00782E1D">
        <w:t>1.0</w:t>
      </w:r>
      <w:r w:rsidRPr="00782E1D">
        <w:rPr>
          <w:rFonts w:asciiTheme="minorHAnsi" w:hAnsiTheme="minorHAnsi"/>
          <w:bCs w:val="0"/>
          <w:u w:val="none"/>
          <w:lang w:eastAsia="en-AU"/>
        </w:rPr>
        <w:tab/>
      </w:r>
      <w:r w:rsidRPr="00782E1D">
        <w:t>Purpose</w:t>
      </w:r>
      <w:r w:rsidRPr="00782E1D">
        <w:tab/>
      </w:r>
      <w:r w:rsidRPr="00782E1D">
        <w:fldChar w:fldCharType="begin"/>
      </w:r>
      <w:r w:rsidRPr="00782E1D">
        <w:instrText xml:space="preserve"> PAGEREF _Toc456600675 \h </w:instrText>
      </w:r>
      <w:r w:rsidRPr="00782E1D">
        <w:fldChar w:fldCharType="separate"/>
      </w:r>
      <w:r w:rsidR="000A4484" w:rsidRPr="00782E1D">
        <w:t>1</w:t>
      </w:r>
      <w:r w:rsidRPr="00782E1D">
        <w:fldChar w:fldCharType="end"/>
      </w:r>
    </w:p>
    <w:p w14:paraId="083037D7" w14:textId="5250F5A7" w:rsidR="00702280" w:rsidRPr="00782E1D" w:rsidRDefault="00702280">
      <w:pPr>
        <w:pStyle w:val="TOC1"/>
        <w:rPr>
          <w:rFonts w:asciiTheme="minorHAnsi" w:hAnsiTheme="minorHAnsi"/>
          <w:bCs w:val="0"/>
          <w:u w:val="none"/>
          <w:lang w:eastAsia="en-AU"/>
        </w:rPr>
      </w:pPr>
      <w:r w:rsidRPr="00782E1D">
        <w:t>2.0</w:t>
      </w:r>
      <w:r w:rsidRPr="00782E1D">
        <w:rPr>
          <w:rFonts w:asciiTheme="minorHAnsi" w:hAnsiTheme="minorHAnsi"/>
          <w:bCs w:val="0"/>
          <w:u w:val="none"/>
          <w:lang w:eastAsia="en-AU"/>
        </w:rPr>
        <w:tab/>
      </w:r>
      <w:r w:rsidRPr="00782E1D">
        <w:t>Background</w:t>
      </w:r>
      <w:r w:rsidRPr="00782E1D">
        <w:tab/>
      </w:r>
      <w:r w:rsidRPr="00782E1D">
        <w:fldChar w:fldCharType="begin"/>
      </w:r>
      <w:r w:rsidRPr="00782E1D">
        <w:instrText xml:space="preserve"> PAGEREF _Toc456600676 \h </w:instrText>
      </w:r>
      <w:r w:rsidRPr="00782E1D">
        <w:fldChar w:fldCharType="separate"/>
      </w:r>
      <w:r w:rsidR="000A4484" w:rsidRPr="00782E1D">
        <w:t>1</w:t>
      </w:r>
      <w:r w:rsidRPr="00782E1D">
        <w:fldChar w:fldCharType="end"/>
      </w:r>
    </w:p>
    <w:p w14:paraId="3CDAE4EF" w14:textId="493222C9" w:rsidR="00702280" w:rsidRPr="00782E1D" w:rsidRDefault="00702280">
      <w:pPr>
        <w:pStyle w:val="TOC1"/>
        <w:rPr>
          <w:rFonts w:asciiTheme="minorHAnsi" w:hAnsiTheme="minorHAnsi"/>
          <w:bCs w:val="0"/>
          <w:u w:val="none"/>
          <w:lang w:eastAsia="en-AU"/>
        </w:rPr>
      </w:pPr>
      <w:r w:rsidRPr="00782E1D">
        <w:t>3.0</w:t>
      </w:r>
      <w:r w:rsidRPr="00782E1D">
        <w:rPr>
          <w:rFonts w:asciiTheme="minorHAnsi" w:hAnsiTheme="minorHAnsi"/>
          <w:bCs w:val="0"/>
          <w:u w:val="none"/>
          <w:lang w:eastAsia="en-AU"/>
        </w:rPr>
        <w:tab/>
      </w:r>
      <w:r w:rsidRPr="00782E1D">
        <w:t>Work Progress</w:t>
      </w:r>
      <w:r w:rsidRPr="00782E1D">
        <w:tab/>
      </w:r>
      <w:r w:rsidRPr="00782E1D">
        <w:fldChar w:fldCharType="begin"/>
      </w:r>
      <w:r w:rsidRPr="00782E1D">
        <w:instrText xml:space="preserve"> PAGEREF _Toc456600677 \h </w:instrText>
      </w:r>
      <w:r w:rsidRPr="00782E1D">
        <w:fldChar w:fldCharType="separate"/>
      </w:r>
      <w:r w:rsidR="000A4484" w:rsidRPr="00782E1D">
        <w:t>2</w:t>
      </w:r>
      <w:r w:rsidRPr="00782E1D">
        <w:fldChar w:fldCharType="end"/>
      </w:r>
    </w:p>
    <w:p w14:paraId="348D76A6" w14:textId="34866E4B"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3.1</w:t>
      </w:r>
      <w:r w:rsidRPr="00782E1D">
        <w:rPr>
          <w:rFonts w:asciiTheme="minorHAnsi" w:hAnsiTheme="minorHAnsi"/>
          <w:bCs w:val="0"/>
          <w:noProof/>
          <w:lang w:val="en-AU" w:eastAsia="en-AU"/>
        </w:rPr>
        <w:tab/>
      </w:r>
      <w:r w:rsidRPr="00782E1D">
        <w:rPr>
          <w:noProof/>
        </w:rPr>
        <w:t>KRA 1: National TVET System</w:t>
      </w:r>
      <w:r w:rsidRPr="00782E1D">
        <w:rPr>
          <w:noProof/>
        </w:rPr>
        <w:tab/>
      </w:r>
      <w:r w:rsidRPr="00782E1D">
        <w:rPr>
          <w:noProof/>
        </w:rPr>
        <w:fldChar w:fldCharType="begin"/>
      </w:r>
      <w:r w:rsidRPr="00782E1D">
        <w:rPr>
          <w:noProof/>
        </w:rPr>
        <w:instrText xml:space="preserve"> PAGEREF _Toc456600678 \h </w:instrText>
      </w:r>
      <w:r w:rsidRPr="00782E1D">
        <w:rPr>
          <w:noProof/>
        </w:rPr>
      </w:r>
      <w:r w:rsidRPr="00782E1D">
        <w:rPr>
          <w:noProof/>
        </w:rPr>
        <w:fldChar w:fldCharType="separate"/>
      </w:r>
      <w:r w:rsidR="000A4484" w:rsidRPr="00782E1D">
        <w:rPr>
          <w:noProof/>
        </w:rPr>
        <w:t>2</w:t>
      </w:r>
      <w:r w:rsidRPr="00782E1D">
        <w:rPr>
          <w:noProof/>
        </w:rPr>
        <w:fldChar w:fldCharType="end"/>
      </w:r>
    </w:p>
    <w:p w14:paraId="320D7F45" w14:textId="12989237"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3.2</w:t>
      </w:r>
      <w:r w:rsidRPr="00782E1D">
        <w:rPr>
          <w:rFonts w:asciiTheme="minorHAnsi" w:hAnsiTheme="minorHAnsi"/>
          <w:bCs w:val="0"/>
          <w:noProof/>
          <w:lang w:val="en-AU" w:eastAsia="en-AU"/>
        </w:rPr>
        <w:tab/>
      </w:r>
      <w:r w:rsidRPr="00782E1D">
        <w:rPr>
          <w:noProof/>
        </w:rPr>
        <w:t>KRA 2: Provincial Skills Development Coordination</w:t>
      </w:r>
      <w:r w:rsidRPr="00782E1D">
        <w:rPr>
          <w:noProof/>
        </w:rPr>
        <w:tab/>
      </w:r>
      <w:r w:rsidRPr="00782E1D">
        <w:rPr>
          <w:noProof/>
        </w:rPr>
        <w:fldChar w:fldCharType="begin"/>
      </w:r>
      <w:r w:rsidRPr="00782E1D">
        <w:rPr>
          <w:noProof/>
        </w:rPr>
        <w:instrText xml:space="preserve"> PAGEREF _Toc456600679 \h </w:instrText>
      </w:r>
      <w:r w:rsidRPr="00782E1D">
        <w:rPr>
          <w:noProof/>
        </w:rPr>
      </w:r>
      <w:r w:rsidRPr="00782E1D">
        <w:rPr>
          <w:noProof/>
        </w:rPr>
        <w:fldChar w:fldCharType="separate"/>
      </w:r>
      <w:r w:rsidR="000A4484" w:rsidRPr="00782E1D">
        <w:rPr>
          <w:noProof/>
        </w:rPr>
        <w:t>5</w:t>
      </w:r>
      <w:r w:rsidRPr="00782E1D">
        <w:rPr>
          <w:noProof/>
        </w:rPr>
        <w:fldChar w:fldCharType="end"/>
      </w:r>
    </w:p>
    <w:p w14:paraId="4AD8400D" w14:textId="3853F1D7"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3.3</w:t>
      </w:r>
      <w:r w:rsidRPr="00782E1D">
        <w:rPr>
          <w:rFonts w:asciiTheme="minorHAnsi" w:hAnsiTheme="minorHAnsi"/>
          <w:bCs w:val="0"/>
          <w:noProof/>
          <w:lang w:val="en-AU" w:eastAsia="en-AU"/>
        </w:rPr>
        <w:tab/>
      </w:r>
      <w:r w:rsidRPr="00782E1D">
        <w:rPr>
          <w:noProof/>
        </w:rPr>
        <w:t>KRA 3: Training, Business Development and Employment</w:t>
      </w:r>
      <w:r w:rsidRPr="00782E1D">
        <w:rPr>
          <w:noProof/>
        </w:rPr>
        <w:tab/>
      </w:r>
      <w:r w:rsidRPr="00782E1D">
        <w:rPr>
          <w:noProof/>
        </w:rPr>
        <w:fldChar w:fldCharType="begin"/>
      </w:r>
      <w:r w:rsidRPr="00782E1D">
        <w:rPr>
          <w:noProof/>
        </w:rPr>
        <w:instrText xml:space="preserve"> PAGEREF _Toc456600680 \h </w:instrText>
      </w:r>
      <w:r w:rsidRPr="00782E1D">
        <w:rPr>
          <w:noProof/>
        </w:rPr>
      </w:r>
      <w:r w:rsidRPr="00782E1D">
        <w:rPr>
          <w:noProof/>
        </w:rPr>
        <w:fldChar w:fldCharType="separate"/>
      </w:r>
      <w:r w:rsidR="000A4484" w:rsidRPr="00782E1D">
        <w:rPr>
          <w:noProof/>
        </w:rPr>
        <w:t>7</w:t>
      </w:r>
      <w:r w:rsidRPr="00782E1D">
        <w:rPr>
          <w:noProof/>
        </w:rPr>
        <w:fldChar w:fldCharType="end"/>
      </w:r>
    </w:p>
    <w:p w14:paraId="651DFF39" w14:textId="2DFCA64E" w:rsidR="00702280" w:rsidRPr="00782E1D" w:rsidRDefault="00702280">
      <w:pPr>
        <w:pStyle w:val="TOC1"/>
        <w:rPr>
          <w:rFonts w:asciiTheme="minorHAnsi" w:hAnsiTheme="minorHAnsi"/>
          <w:bCs w:val="0"/>
          <w:u w:val="none"/>
          <w:lang w:eastAsia="en-AU"/>
        </w:rPr>
      </w:pPr>
      <w:r w:rsidRPr="00782E1D">
        <w:t>4.0</w:t>
      </w:r>
      <w:r w:rsidRPr="00782E1D">
        <w:rPr>
          <w:rFonts w:asciiTheme="minorHAnsi" w:hAnsiTheme="minorHAnsi"/>
          <w:bCs w:val="0"/>
          <w:u w:val="none"/>
          <w:lang w:eastAsia="en-AU"/>
        </w:rPr>
        <w:tab/>
      </w:r>
      <w:r w:rsidRPr="00782E1D">
        <w:t>Indicative Results</w:t>
      </w:r>
      <w:r w:rsidRPr="00782E1D">
        <w:tab/>
      </w:r>
      <w:r w:rsidRPr="00782E1D">
        <w:fldChar w:fldCharType="begin"/>
      </w:r>
      <w:r w:rsidRPr="00782E1D">
        <w:instrText xml:space="preserve"> PAGEREF _Toc456600681 \h </w:instrText>
      </w:r>
      <w:r w:rsidRPr="00782E1D">
        <w:fldChar w:fldCharType="separate"/>
      </w:r>
      <w:r w:rsidR="000A4484" w:rsidRPr="00782E1D">
        <w:t>10</w:t>
      </w:r>
      <w:r w:rsidRPr="00782E1D">
        <w:fldChar w:fldCharType="end"/>
      </w:r>
    </w:p>
    <w:p w14:paraId="4AD51901" w14:textId="10CB2607"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4.1</w:t>
      </w:r>
      <w:r w:rsidRPr="00782E1D">
        <w:rPr>
          <w:rFonts w:asciiTheme="minorHAnsi" w:hAnsiTheme="minorHAnsi"/>
          <w:bCs w:val="0"/>
          <w:noProof/>
          <w:lang w:val="en-AU" w:eastAsia="en-AU"/>
        </w:rPr>
        <w:tab/>
      </w:r>
      <w:r w:rsidRPr="00782E1D">
        <w:rPr>
          <w:noProof/>
        </w:rPr>
        <w:t>Outputs</w:t>
      </w:r>
      <w:r w:rsidRPr="00782E1D">
        <w:rPr>
          <w:noProof/>
        </w:rPr>
        <w:tab/>
      </w:r>
      <w:r w:rsidRPr="00782E1D">
        <w:rPr>
          <w:noProof/>
        </w:rPr>
        <w:fldChar w:fldCharType="begin"/>
      </w:r>
      <w:r w:rsidRPr="00782E1D">
        <w:rPr>
          <w:noProof/>
        </w:rPr>
        <w:instrText xml:space="preserve"> PAGEREF _Toc456600682 \h </w:instrText>
      </w:r>
      <w:r w:rsidRPr="00782E1D">
        <w:rPr>
          <w:noProof/>
        </w:rPr>
      </w:r>
      <w:r w:rsidRPr="00782E1D">
        <w:rPr>
          <w:noProof/>
        </w:rPr>
        <w:fldChar w:fldCharType="separate"/>
      </w:r>
      <w:r w:rsidR="000A4484" w:rsidRPr="00782E1D">
        <w:rPr>
          <w:noProof/>
        </w:rPr>
        <w:t>10</w:t>
      </w:r>
      <w:r w:rsidRPr="00782E1D">
        <w:rPr>
          <w:noProof/>
        </w:rPr>
        <w:fldChar w:fldCharType="end"/>
      </w:r>
    </w:p>
    <w:p w14:paraId="6C2D1965" w14:textId="7D96ED6F"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4.2</w:t>
      </w:r>
      <w:r w:rsidRPr="00782E1D">
        <w:rPr>
          <w:rFonts w:asciiTheme="minorHAnsi" w:hAnsiTheme="minorHAnsi"/>
          <w:bCs w:val="0"/>
          <w:noProof/>
          <w:lang w:val="en-AU" w:eastAsia="en-AU"/>
        </w:rPr>
        <w:tab/>
      </w:r>
      <w:r w:rsidRPr="00782E1D">
        <w:rPr>
          <w:noProof/>
        </w:rPr>
        <w:t>Outcomes</w:t>
      </w:r>
      <w:r w:rsidRPr="00782E1D">
        <w:rPr>
          <w:noProof/>
        </w:rPr>
        <w:tab/>
      </w:r>
      <w:r w:rsidRPr="00782E1D">
        <w:rPr>
          <w:noProof/>
        </w:rPr>
        <w:fldChar w:fldCharType="begin"/>
      </w:r>
      <w:r w:rsidRPr="00782E1D">
        <w:rPr>
          <w:noProof/>
        </w:rPr>
        <w:instrText xml:space="preserve"> PAGEREF _Toc456600683 \h </w:instrText>
      </w:r>
      <w:r w:rsidRPr="00782E1D">
        <w:rPr>
          <w:noProof/>
        </w:rPr>
      </w:r>
      <w:r w:rsidRPr="00782E1D">
        <w:rPr>
          <w:noProof/>
        </w:rPr>
        <w:fldChar w:fldCharType="separate"/>
      </w:r>
      <w:r w:rsidR="000A4484" w:rsidRPr="00782E1D">
        <w:rPr>
          <w:noProof/>
        </w:rPr>
        <w:t>12</w:t>
      </w:r>
      <w:r w:rsidRPr="00782E1D">
        <w:rPr>
          <w:noProof/>
        </w:rPr>
        <w:fldChar w:fldCharType="end"/>
      </w:r>
    </w:p>
    <w:p w14:paraId="19343653" w14:textId="36028072" w:rsidR="00702280" w:rsidRPr="00782E1D" w:rsidRDefault="00702280">
      <w:pPr>
        <w:pStyle w:val="TOC1"/>
        <w:rPr>
          <w:rFonts w:asciiTheme="minorHAnsi" w:hAnsiTheme="minorHAnsi"/>
          <w:bCs w:val="0"/>
          <w:u w:val="none"/>
          <w:lang w:eastAsia="en-AU"/>
        </w:rPr>
      </w:pPr>
      <w:r w:rsidRPr="00782E1D">
        <w:t>5.0</w:t>
      </w:r>
      <w:r w:rsidRPr="00782E1D">
        <w:rPr>
          <w:rFonts w:asciiTheme="minorHAnsi" w:hAnsiTheme="minorHAnsi"/>
          <w:bCs w:val="0"/>
          <w:u w:val="none"/>
          <w:lang w:eastAsia="en-AU"/>
        </w:rPr>
        <w:tab/>
      </w:r>
      <w:r w:rsidRPr="00782E1D">
        <w:t>Program Management</w:t>
      </w:r>
      <w:r w:rsidRPr="00782E1D">
        <w:tab/>
      </w:r>
      <w:r w:rsidRPr="00782E1D">
        <w:fldChar w:fldCharType="begin"/>
      </w:r>
      <w:r w:rsidRPr="00782E1D">
        <w:instrText xml:space="preserve"> PAGEREF _Toc456600684 \h </w:instrText>
      </w:r>
      <w:r w:rsidRPr="00782E1D">
        <w:fldChar w:fldCharType="separate"/>
      </w:r>
      <w:r w:rsidR="000A4484" w:rsidRPr="00782E1D">
        <w:t>14</w:t>
      </w:r>
      <w:r w:rsidRPr="00782E1D">
        <w:fldChar w:fldCharType="end"/>
      </w:r>
    </w:p>
    <w:p w14:paraId="0314C0BC" w14:textId="271D7FD4"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lang w:val="en-AU"/>
        </w:rPr>
        <w:t xml:space="preserve">5.1 </w:t>
      </w:r>
      <w:r w:rsidRPr="00782E1D">
        <w:rPr>
          <w:rFonts w:asciiTheme="minorHAnsi" w:hAnsiTheme="minorHAnsi"/>
          <w:bCs w:val="0"/>
          <w:noProof/>
          <w:lang w:val="en-AU" w:eastAsia="en-AU"/>
        </w:rPr>
        <w:tab/>
      </w:r>
      <w:r w:rsidRPr="00782E1D">
        <w:rPr>
          <w:noProof/>
          <w:lang w:val="en-AU"/>
        </w:rPr>
        <w:t>Personnel</w:t>
      </w:r>
      <w:r w:rsidRPr="00782E1D">
        <w:rPr>
          <w:noProof/>
        </w:rPr>
        <w:tab/>
      </w:r>
      <w:r w:rsidRPr="00782E1D">
        <w:rPr>
          <w:noProof/>
        </w:rPr>
        <w:fldChar w:fldCharType="begin"/>
      </w:r>
      <w:r w:rsidRPr="00782E1D">
        <w:rPr>
          <w:noProof/>
        </w:rPr>
        <w:instrText xml:space="preserve"> PAGEREF _Toc456600685 \h </w:instrText>
      </w:r>
      <w:r w:rsidRPr="00782E1D">
        <w:rPr>
          <w:noProof/>
        </w:rPr>
      </w:r>
      <w:r w:rsidRPr="00782E1D">
        <w:rPr>
          <w:noProof/>
        </w:rPr>
        <w:fldChar w:fldCharType="separate"/>
      </w:r>
      <w:r w:rsidR="000A4484" w:rsidRPr="00782E1D">
        <w:rPr>
          <w:noProof/>
        </w:rPr>
        <w:t>14</w:t>
      </w:r>
      <w:r w:rsidRPr="00782E1D">
        <w:rPr>
          <w:noProof/>
        </w:rPr>
        <w:fldChar w:fldCharType="end"/>
      </w:r>
    </w:p>
    <w:p w14:paraId="4E3290B6" w14:textId="7CA0C2A7"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5.2</w:t>
      </w:r>
      <w:r w:rsidRPr="00782E1D">
        <w:rPr>
          <w:rFonts w:asciiTheme="minorHAnsi" w:hAnsiTheme="minorHAnsi"/>
          <w:bCs w:val="0"/>
          <w:noProof/>
          <w:lang w:val="en-AU" w:eastAsia="en-AU"/>
        </w:rPr>
        <w:tab/>
      </w:r>
      <w:r w:rsidRPr="00782E1D">
        <w:rPr>
          <w:noProof/>
        </w:rPr>
        <w:t xml:space="preserve"> Information and Communications Technology</w:t>
      </w:r>
      <w:r w:rsidRPr="00782E1D">
        <w:rPr>
          <w:noProof/>
        </w:rPr>
        <w:tab/>
      </w:r>
      <w:r w:rsidRPr="00782E1D">
        <w:rPr>
          <w:noProof/>
        </w:rPr>
        <w:fldChar w:fldCharType="begin"/>
      </w:r>
      <w:r w:rsidRPr="00782E1D">
        <w:rPr>
          <w:noProof/>
        </w:rPr>
        <w:instrText xml:space="preserve"> PAGEREF _Toc456600686 \h </w:instrText>
      </w:r>
      <w:r w:rsidRPr="00782E1D">
        <w:rPr>
          <w:noProof/>
        </w:rPr>
      </w:r>
      <w:r w:rsidRPr="00782E1D">
        <w:rPr>
          <w:noProof/>
        </w:rPr>
        <w:fldChar w:fldCharType="separate"/>
      </w:r>
      <w:r w:rsidR="000A4484" w:rsidRPr="00782E1D">
        <w:rPr>
          <w:noProof/>
        </w:rPr>
        <w:t>1</w:t>
      </w:r>
      <w:r w:rsidRPr="00782E1D">
        <w:rPr>
          <w:noProof/>
        </w:rPr>
        <w:fldChar w:fldCharType="end"/>
      </w:r>
      <w:r w:rsidR="00B10B58" w:rsidRPr="00782E1D">
        <w:rPr>
          <w:noProof/>
        </w:rPr>
        <w:t>7</w:t>
      </w:r>
    </w:p>
    <w:p w14:paraId="04E67A9A" w14:textId="0BF38D9C"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5.3</w:t>
      </w:r>
      <w:r w:rsidRPr="00782E1D">
        <w:rPr>
          <w:rFonts w:asciiTheme="minorHAnsi" w:hAnsiTheme="minorHAnsi"/>
          <w:bCs w:val="0"/>
          <w:noProof/>
          <w:lang w:val="en-AU" w:eastAsia="en-AU"/>
        </w:rPr>
        <w:tab/>
      </w:r>
      <w:r w:rsidRPr="00782E1D">
        <w:rPr>
          <w:noProof/>
        </w:rPr>
        <w:t xml:space="preserve"> Finance and Audit</w:t>
      </w:r>
      <w:r w:rsidRPr="00782E1D">
        <w:rPr>
          <w:noProof/>
        </w:rPr>
        <w:tab/>
      </w:r>
      <w:r w:rsidR="00B10B58" w:rsidRPr="00782E1D">
        <w:rPr>
          <w:noProof/>
        </w:rPr>
        <w:t>20</w:t>
      </w:r>
    </w:p>
    <w:p w14:paraId="18FA2051" w14:textId="6398F75F" w:rsidR="00702280" w:rsidRPr="00782E1D" w:rsidRDefault="00702280">
      <w:pPr>
        <w:pStyle w:val="TOC1"/>
        <w:rPr>
          <w:rFonts w:asciiTheme="minorHAnsi" w:hAnsiTheme="minorHAnsi"/>
          <w:bCs w:val="0"/>
          <w:u w:val="none"/>
          <w:lang w:eastAsia="en-AU"/>
        </w:rPr>
      </w:pPr>
      <w:r w:rsidRPr="00782E1D">
        <w:t>6.0</w:t>
      </w:r>
      <w:r w:rsidRPr="00782E1D">
        <w:rPr>
          <w:rFonts w:asciiTheme="minorHAnsi" w:hAnsiTheme="minorHAnsi"/>
          <w:bCs w:val="0"/>
          <w:u w:val="none"/>
          <w:lang w:eastAsia="en-AU"/>
        </w:rPr>
        <w:tab/>
      </w:r>
      <w:r w:rsidRPr="00782E1D">
        <w:t>Lessons Learned</w:t>
      </w:r>
      <w:r w:rsidRPr="00782E1D">
        <w:tab/>
      </w:r>
      <w:r w:rsidR="00731909" w:rsidRPr="00782E1D">
        <w:t>22</w:t>
      </w:r>
    </w:p>
    <w:p w14:paraId="4EB68A02" w14:textId="40C9A767" w:rsidR="00702280" w:rsidRPr="00782E1D" w:rsidRDefault="00702280">
      <w:pPr>
        <w:pStyle w:val="TOC1"/>
        <w:rPr>
          <w:rFonts w:asciiTheme="minorHAnsi" w:hAnsiTheme="minorHAnsi"/>
          <w:bCs w:val="0"/>
          <w:u w:val="none"/>
          <w:lang w:eastAsia="en-AU"/>
        </w:rPr>
      </w:pPr>
      <w:r w:rsidRPr="00782E1D">
        <w:t>7.0</w:t>
      </w:r>
      <w:r w:rsidRPr="00782E1D">
        <w:rPr>
          <w:rFonts w:asciiTheme="minorHAnsi" w:hAnsiTheme="minorHAnsi"/>
          <w:bCs w:val="0"/>
          <w:u w:val="none"/>
          <w:lang w:eastAsia="en-AU"/>
        </w:rPr>
        <w:tab/>
      </w:r>
      <w:r w:rsidRPr="00782E1D">
        <w:t>Summary</w:t>
      </w:r>
      <w:r w:rsidRPr="00782E1D">
        <w:tab/>
      </w:r>
      <w:r w:rsidRPr="00782E1D">
        <w:fldChar w:fldCharType="begin"/>
      </w:r>
      <w:r w:rsidRPr="00782E1D">
        <w:instrText xml:space="preserve"> PAGEREF _Toc456600689 \h </w:instrText>
      </w:r>
      <w:r w:rsidRPr="00782E1D">
        <w:fldChar w:fldCharType="separate"/>
      </w:r>
      <w:r w:rsidR="000A4484" w:rsidRPr="00782E1D">
        <w:t>24</w:t>
      </w:r>
      <w:r w:rsidRPr="00782E1D">
        <w:fldChar w:fldCharType="end"/>
      </w:r>
    </w:p>
    <w:p w14:paraId="4BD94C9C" w14:textId="7F763246" w:rsidR="00702280" w:rsidRPr="00782E1D" w:rsidRDefault="00702280">
      <w:pPr>
        <w:pStyle w:val="TOC1"/>
        <w:rPr>
          <w:rFonts w:asciiTheme="minorHAnsi" w:hAnsiTheme="minorHAnsi"/>
          <w:bCs w:val="0"/>
          <w:u w:val="none"/>
          <w:lang w:eastAsia="en-AU"/>
        </w:rPr>
      </w:pPr>
      <w:r w:rsidRPr="00782E1D">
        <w:t>8.0</w:t>
      </w:r>
      <w:r w:rsidRPr="00782E1D">
        <w:rPr>
          <w:rFonts w:asciiTheme="minorHAnsi" w:hAnsiTheme="minorHAnsi"/>
          <w:bCs w:val="0"/>
          <w:u w:val="none"/>
          <w:lang w:eastAsia="en-AU"/>
        </w:rPr>
        <w:tab/>
      </w:r>
      <w:r w:rsidRPr="00782E1D">
        <w:t xml:space="preserve"> Annexes</w:t>
      </w:r>
      <w:r w:rsidRPr="00782E1D">
        <w:tab/>
      </w:r>
      <w:r w:rsidRPr="00782E1D">
        <w:fldChar w:fldCharType="begin"/>
      </w:r>
      <w:r w:rsidRPr="00782E1D">
        <w:instrText xml:space="preserve"> PAGEREF _Toc456600690 \h </w:instrText>
      </w:r>
      <w:r w:rsidRPr="00782E1D">
        <w:fldChar w:fldCharType="separate"/>
      </w:r>
      <w:r w:rsidR="000A4484" w:rsidRPr="00782E1D">
        <w:t>1</w:t>
      </w:r>
      <w:r w:rsidRPr="00782E1D">
        <w:fldChar w:fldCharType="end"/>
      </w:r>
    </w:p>
    <w:p w14:paraId="6A5CED5D" w14:textId="132C6C9A"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 xml:space="preserve">8.1 </w:t>
      </w:r>
      <w:r w:rsidRPr="00782E1D">
        <w:rPr>
          <w:rFonts w:asciiTheme="minorHAnsi" w:hAnsiTheme="minorHAnsi"/>
          <w:bCs w:val="0"/>
          <w:noProof/>
          <w:lang w:val="en-AU" w:eastAsia="en-AU"/>
        </w:rPr>
        <w:tab/>
      </w:r>
      <w:r w:rsidRPr="00782E1D">
        <w:rPr>
          <w:noProof/>
        </w:rPr>
        <w:t>Resource Schedule</w:t>
      </w:r>
      <w:r w:rsidRPr="00782E1D">
        <w:rPr>
          <w:noProof/>
        </w:rPr>
        <w:tab/>
      </w:r>
      <w:r w:rsidRPr="00782E1D">
        <w:rPr>
          <w:noProof/>
        </w:rPr>
        <w:fldChar w:fldCharType="begin"/>
      </w:r>
      <w:r w:rsidRPr="00782E1D">
        <w:rPr>
          <w:noProof/>
        </w:rPr>
        <w:instrText xml:space="preserve"> PAGEREF _Toc456600691 \h </w:instrText>
      </w:r>
      <w:r w:rsidRPr="00782E1D">
        <w:rPr>
          <w:noProof/>
        </w:rPr>
      </w:r>
      <w:r w:rsidRPr="00782E1D">
        <w:rPr>
          <w:noProof/>
        </w:rPr>
        <w:fldChar w:fldCharType="separate"/>
      </w:r>
      <w:r w:rsidR="000A4484" w:rsidRPr="00782E1D">
        <w:rPr>
          <w:noProof/>
        </w:rPr>
        <w:t>2</w:t>
      </w:r>
      <w:r w:rsidRPr="00782E1D">
        <w:rPr>
          <w:noProof/>
        </w:rPr>
        <w:fldChar w:fldCharType="end"/>
      </w:r>
    </w:p>
    <w:p w14:paraId="0A0AE9D2" w14:textId="24D8B119" w:rsidR="00702280" w:rsidRPr="00782E1D" w:rsidRDefault="00702280">
      <w:pPr>
        <w:pStyle w:val="TOC2"/>
        <w:tabs>
          <w:tab w:val="left" w:pos="993"/>
          <w:tab w:val="right" w:pos="9112"/>
        </w:tabs>
        <w:rPr>
          <w:rFonts w:asciiTheme="minorHAnsi" w:hAnsiTheme="minorHAnsi"/>
          <w:bCs w:val="0"/>
          <w:noProof/>
          <w:lang w:val="en-AU" w:eastAsia="en-AU"/>
        </w:rPr>
      </w:pPr>
      <w:r w:rsidRPr="00782E1D">
        <w:rPr>
          <w:noProof/>
        </w:rPr>
        <w:t xml:space="preserve">8.2 </w:t>
      </w:r>
      <w:r w:rsidRPr="00782E1D">
        <w:rPr>
          <w:rFonts w:asciiTheme="minorHAnsi" w:hAnsiTheme="minorHAnsi"/>
          <w:bCs w:val="0"/>
          <w:noProof/>
          <w:lang w:val="en-AU" w:eastAsia="en-AU"/>
        </w:rPr>
        <w:tab/>
      </w:r>
      <w:r w:rsidR="004F5B54" w:rsidRPr="00782E1D">
        <w:rPr>
          <w:noProof/>
        </w:rPr>
        <w:t>Sample Budget Tracker</w:t>
      </w:r>
      <w:r w:rsidRPr="00782E1D">
        <w:rPr>
          <w:noProof/>
        </w:rPr>
        <w:tab/>
      </w:r>
      <w:r w:rsidR="00782E1D" w:rsidRPr="00782E1D">
        <w:rPr>
          <w:noProof/>
        </w:rPr>
        <w:t>3</w:t>
      </w:r>
    </w:p>
    <w:p w14:paraId="3DA2F093" w14:textId="5BC300FF" w:rsidR="00782E1D" w:rsidRPr="00782E1D" w:rsidRDefault="00702280">
      <w:pPr>
        <w:pStyle w:val="TOC2"/>
        <w:tabs>
          <w:tab w:val="left" w:pos="993"/>
          <w:tab w:val="right" w:pos="9112"/>
        </w:tabs>
        <w:rPr>
          <w:noProof/>
        </w:rPr>
      </w:pPr>
      <w:r w:rsidRPr="00782E1D">
        <w:rPr>
          <w:noProof/>
        </w:rPr>
        <w:t xml:space="preserve">8.3 </w:t>
      </w:r>
      <w:r w:rsidRPr="00782E1D">
        <w:rPr>
          <w:rFonts w:asciiTheme="minorHAnsi" w:hAnsiTheme="minorHAnsi"/>
          <w:bCs w:val="0"/>
          <w:noProof/>
          <w:lang w:val="en-AU" w:eastAsia="en-AU"/>
        </w:rPr>
        <w:tab/>
      </w:r>
      <w:r w:rsidR="004F5B54" w:rsidRPr="00782E1D">
        <w:rPr>
          <w:noProof/>
        </w:rPr>
        <w:t xml:space="preserve">Summary </w:t>
      </w:r>
      <w:r w:rsidR="00782E1D" w:rsidRPr="00782E1D">
        <w:rPr>
          <w:noProof/>
        </w:rPr>
        <w:t>Expenditure by Year to Budget</w:t>
      </w:r>
      <w:r w:rsidR="00782E1D" w:rsidRPr="00782E1D">
        <w:rPr>
          <w:noProof/>
        </w:rPr>
        <w:tab/>
        <w:t>4</w:t>
      </w:r>
    </w:p>
    <w:p w14:paraId="5FB8D961" w14:textId="147D261E" w:rsidR="00702280" w:rsidRPr="00782E1D" w:rsidRDefault="00782E1D">
      <w:pPr>
        <w:pStyle w:val="TOC2"/>
        <w:tabs>
          <w:tab w:val="left" w:pos="993"/>
          <w:tab w:val="right" w:pos="9112"/>
        </w:tabs>
        <w:rPr>
          <w:noProof/>
        </w:rPr>
      </w:pPr>
      <w:r w:rsidRPr="00782E1D">
        <w:rPr>
          <w:noProof/>
        </w:rPr>
        <w:t>8.4</w:t>
      </w:r>
      <w:r w:rsidR="00702280" w:rsidRPr="00782E1D">
        <w:rPr>
          <w:noProof/>
        </w:rPr>
        <w:tab/>
      </w:r>
      <w:r w:rsidRPr="00782E1D">
        <w:rPr>
          <w:noProof/>
        </w:rPr>
        <w:t>PEN fund re-allocation</w:t>
      </w:r>
      <w:r w:rsidRPr="00782E1D">
        <w:rPr>
          <w:noProof/>
        </w:rPr>
        <w:tab/>
        <w:t>5</w:t>
      </w:r>
    </w:p>
    <w:p w14:paraId="390248CB" w14:textId="4BFBB958" w:rsidR="00782E1D" w:rsidRPr="00782E1D" w:rsidRDefault="00782E1D" w:rsidP="00782E1D">
      <w:pPr>
        <w:pStyle w:val="TOC2"/>
        <w:tabs>
          <w:tab w:val="left" w:pos="993"/>
          <w:tab w:val="right" w:pos="9112"/>
        </w:tabs>
        <w:rPr>
          <w:noProof/>
        </w:rPr>
      </w:pPr>
      <w:r w:rsidRPr="00782E1D">
        <w:rPr>
          <w:noProof/>
        </w:rPr>
        <w:t>8.5</w:t>
      </w:r>
      <w:r w:rsidRPr="00782E1D">
        <w:rPr>
          <w:noProof/>
        </w:rPr>
        <w:tab/>
        <w:t>Insurance refund calculation</w:t>
      </w:r>
      <w:r w:rsidRPr="00782E1D">
        <w:rPr>
          <w:noProof/>
        </w:rPr>
        <w:tab/>
        <w:t>6</w:t>
      </w:r>
    </w:p>
    <w:p w14:paraId="42F91A19" w14:textId="1AAEA525" w:rsidR="00782E1D" w:rsidRPr="00782E1D" w:rsidRDefault="00782E1D" w:rsidP="00782E1D">
      <w:pPr>
        <w:rPr>
          <w:noProof/>
        </w:rPr>
      </w:pPr>
      <w:r w:rsidRPr="00782E1D">
        <w:rPr>
          <w:noProof/>
        </w:rPr>
        <w:tab/>
      </w:r>
    </w:p>
    <w:p w14:paraId="51785200" w14:textId="77777777" w:rsidR="00EA7600" w:rsidRDefault="005D6ACC" w:rsidP="00996D98">
      <w:pPr>
        <w:tabs>
          <w:tab w:val="right" w:pos="9072"/>
        </w:tabs>
      </w:pPr>
      <w:r w:rsidRPr="00782E1D">
        <w:rPr>
          <w:rFonts w:asciiTheme="minorHAnsi" w:hAnsiTheme="minorHAnsi"/>
          <w:u w:val="single"/>
        </w:rPr>
        <w:fldChar w:fldCharType="end"/>
      </w:r>
      <w:r w:rsidR="00EA7600">
        <w:t xml:space="preserve"> </w:t>
      </w:r>
    </w:p>
    <w:p w14:paraId="0FEEBC32" w14:textId="77777777" w:rsidR="00D9298C" w:rsidRPr="004458E7" w:rsidRDefault="00D9298C" w:rsidP="004458E7">
      <w:pPr>
        <w:contextualSpacing/>
        <w:rPr>
          <w:lang w:val="en-AU"/>
        </w:rPr>
      </w:pPr>
      <w:r>
        <w:br w:type="page"/>
      </w:r>
    </w:p>
    <w:p w14:paraId="54B676BF" w14:textId="77777777" w:rsidR="00D9298C" w:rsidRDefault="00D9298C" w:rsidP="00371725">
      <w:pPr>
        <w:pStyle w:val="Heading1"/>
      </w:pPr>
      <w:bookmarkStart w:id="4" w:name="_Toc352682439"/>
      <w:bookmarkStart w:id="5" w:name="_Toc228940549"/>
      <w:bookmarkStart w:id="6" w:name="_Toc355088234"/>
      <w:bookmarkStart w:id="7" w:name="_Toc385346323"/>
      <w:bookmarkStart w:id="8" w:name="_Toc456600674"/>
      <w:r w:rsidRPr="00D50E43">
        <w:lastRenderedPageBreak/>
        <w:t>Acronyms</w:t>
      </w:r>
      <w:bookmarkEnd w:id="4"/>
      <w:bookmarkEnd w:id="5"/>
      <w:bookmarkEnd w:id="6"/>
      <w:bookmarkEnd w:id="7"/>
      <w:bookmarkEnd w:id="8"/>
    </w:p>
    <w:tbl>
      <w:tblPr>
        <w:tblW w:w="0" w:type="auto"/>
        <w:tblLook w:val="01E0" w:firstRow="1" w:lastRow="1" w:firstColumn="1" w:lastColumn="1" w:noHBand="0" w:noVBand="0"/>
      </w:tblPr>
      <w:tblGrid>
        <w:gridCol w:w="1242"/>
        <w:gridCol w:w="7614"/>
      </w:tblGrid>
      <w:tr w:rsidR="00D611F1" w14:paraId="1EA4FD3A"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76F65A25" w14:textId="77777777" w:rsidR="00D611F1" w:rsidRPr="00001AD6" w:rsidRDefault="00D611F1" w:rsidP="00D611F1">
            <w:pPr>
              <w:spacing w:after="0"/>
            </w:pPr>
            <w:r w:rsidRPr="000E7285">
              <w:t>ACER</w:t>
            </w:r>
          </w:p>
        </w:tc>
        <w:tc>
          <w:tcPr>
            <w:tcW w:w="7614" w:type="dxa"/>
            <w:tcBorders>
              <w:left w:val="single" w:sz="4" w:space="0" w:color="FFFFFF" w:themeColor="background1"/>
            </w:tcBorders>
          </w:tcPr>
          <w:p w14:paraId="63ED38B2" w14:textId="77777777" w:rsidR="00D611F1" w:rsidRDefault="00D611F1" w:rsidP="00D611F1">
            <w:pPr>
              <w:spacing w:after="0"/>
            </w:pPr>
            <w:r w:rsidRPr="000E7285">
              <w:t>Australian Council for Educational Research</w:t>
            </w:r>
          </w:p>
        </w:tc>
      </w:tr>
      <w:tr w:rsidR="002510CC" w14:paraId="75C5CF40"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A935783" w14:textId="77777777" w:rsidR="002510CC" w:rsidRDefault="002510CC" w:rsidP="005528AB">
            <w:pPr>
              <w:spacing w:after="0"/>
            </w:pPr>
            <w:r w:rsidRPr="00001AD6">
              <w:t>ACTI</w:t>
            </w:r>
            <w:r>
              <w:t>V</w:t>
            </w:r>
          </w:p>
        </w:tc>
        <w:tc>
          <w:tcPr>
            <w:tcW w:w="7614" w:type="dxa"/>
            <w:tcBorders>
              <w:left w:val="single" w:sz="4" w:space="0" w:color="FFFFFF" w:themeColor="background1"/>
            </w:tcBorders>
          </w:tcPr>
          <w:p w14:paraId="41911455" w14:textId="77777777" w:rsidR="002510CC" w:rsidRDefault="002510CC" w:rsidP="005528AB">
            <w:pPr>
              <w:spacing w:after="0"/>
            </w:pPr>
            <w:r>
              <w:t>Alternative Community Trade in Vanuatu</w:t>
            </w:r>
          </w:p>
        </w:tc>
      </w:tr>
      <w:tr w:rsidR="00C33ABA" w14:paraId="22F9320B"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40ACCA4E" w14:textId="77777777" w:rsidR="00C33ABA" w:rsidRDefault="00C33ABA" w:rsidP="005528AB">
            <w:pPr>
              <w:spacing w:after="0"/>
            </w:pPr>
            <w:r>
              <w:t>APTC</w:t>
            </w:r>
          </w:p>
        </w:tc>
        <w:tc>
          <w:tcPr>
            <w:tcW w:w="7614" w:type="dxa"/>
            <w:tcBorders>
              <w:left w:val="single" w:sz="4" w:space="0" w:color="FFFFFF" w:themeColor="background1"/>
            </w:tcBorders>
          </w:tcPr>
          <w:p w14:paraId="3FD9D625" w14:textId="77777777" w:rsidR="00C33ABA" w:rsidRDefault="00C33ABA" w:rsidP="005528AB">
            <w:pPr>
              <w:spacing w:after="0"/>
            </w:pPr>
            <w:r>
              <w:t>Australia Pacific Technical College</w:t>
            </w:r>
          </w:p>
        </w:tc>
      </w:tr>
      <w:tr w:rsidR="00C33ABA" w14:paraId="26ACE3F4"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4D01995A" w14:textId="77777777" w:rsidR="00C33ABA" w:rsidRDefault="00C33ABA" w:rsidP="00D57B0B">
            <w:pPr>
              <w:spacing w:after="0"/>
            </w:pPr>
            <w:r>
              <w:t>BDS</w:t>
            </w:r>
          </w:p>
        </w:tc>
        <w:tc>
          <w:tcPr>
            <w:tcW w:w="7614" w:type="dxa"/>
            <w:tcBorders>
              <w:left w:val="single" w:sz="4" w:space="0" w:color="FFFFFF" w:themeColor="background1"/>
            </w:tcBorders>
          </w:tcPr>
          <w:p w14:paraId="5164E4DD" w14:textId="77777777" w:rsidR="00C33ABA" w:rsidRDefault="00C33ABA" w:rsidP="00D57B0B">
            <w:pPr>
              <w:spacing w:after="0"/>
            </w:pPr>
            <w:r>
              <w:t>Business Development Support Services</w:t>
            </w:r>
          </w:p>
        </w:tc>
      </w:tr>
      <w:tr w:rsidR="00C33ABA" w14:paraId="6E31D8B4"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1B1D02C" w14:textId="77777777" w:rsidR="00C33ABA" w:rsidRDefault="00C33ABA" w:rsidP="00D57B0B">
            <w:pPr>
              <w:spacing w:after="0"/>
            </w:pPr>
            <w:r>
              <w:t xml:space="preserve">BHI </w:t>
            </w:r>
          </w:p>
        </w:tc>
        <w:tc>
          <w:tcPr>
            <w:tcW w:w="7614" w:type="dxa"/>
            <w:tcBorders>
              <w:left w:val="single" w:sz="4" w:space="0" w:color="FFFFFF" w:themeColor="background1"/>
            </w:tcBorders>
          </w:tcPr>
          <w:p w14:paraId="2D8BFB3B" w14:textId="77777777" w:rsidR="00C33ABA" w:rsidRDefault="00C33ABA" w:rsidP="00D57B0B">
            <w:pPr>
              <w:spacing w:after="0"/>
            </w:pPr>
            <w:r>
              <w:t>Box Hill Institute</w:t>
            </w:r>
          </w:p>
        </w:tc>
      </w:tr>
      <w:tr w:rsidR="00111143" w14:paraId="48F6885C" w14:textId="77777777" w:rsidTr="00DC706D">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09535C2B" w14:textId="77777777" w:rsidR="00111143" w:rsidRDefault="00111143" w:rsidP="00DC706D">
            <w:pPr>
              <w:spacing w:after="0"/>
            </w:pPr>
            <w:r w:rsidRPr="0019451D">
              <w:t>DFAT</w:t>
            </w:r>
          </w:p>
        </w:tc>
        <w:tc>
          <w:tcPr>
            <w:tcW w:w="7614" w:type="dxa"/>
            <w:tcBorders>
              <w:left w:val="single" w:sz="4" w:space="0" w:color="FFFFFF" w:themeColor="background1"/>
            </w:tcBorders>
          </w:tcPr>
          <w:p w14:paraId="5E038AF4" w14:textId="77777777" w:rsidR="00111143" w:rsidRDefault="00111143" w:rsidP="00DC706D">
            <w:pPr>
              <w:spacing w:after="0"/>
            </w:pPr>
            <w:r w:rsidRPr="0019451D">
              <w:t>Department of Foreign Affairs and Tr</w:t>
            </w:r>
            <w:r>
              <w:t>ade</w:t>
            </w:r>
            <w:r w:rsidRPr="0019451D">
              <w:t xml:space="preserve"> </w:t>
            </w:r>
          </w:p>
        </w:tc>
      </w:tr>
      <w:tr w:rsidR="00C33ABA" w14:paraId="38B9D6DA" w14:textId="77777777" w:rsidTr="00C33ABA">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4DA0378" w14:textId="77777777" w:rsidR="00C33ABA" w:rsidRDefault="00C33ABA" w:rsidP="005528AB">
            <w:pPr>
              <w:spacing w:after="0"/>
            </w:pPr>
            <w:r>
              <w:t>DoT</w:t>
            </w:r>
          </w:p>
        </w:tc>
        <w:tc>
          <w:tcPr>
            <w:tcW w:w="7614" w:type="dxa"/>
            <w:tcBorders>
              <w:left w:val="single" w:sz="4" w:space="0" w:color="FFFFFF" w:themeColor="background1"/>
            </w:tcBorders>
          </w:tcPr>
          <w:p w14:paraId="2AC3E877" w14:textId="77777777" w:rsidR="00C33ABA" w:rsidRDefault="00C33ABA" w:rsidP="005528AB">
            <w:pPr>
              <w:spacing w:after="0"/>
            </w:pPr>
            <w:r>
              <w:t>Department of Tourism</w:t>
            </w:r>
          </w:p>
        </w:tc>
      </w:tr>
      <w:tr w:rsidR="00D63B44" w14:paraId="2C7C67C3"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4C7436D2" w14:textId="77777777" w:rsidR="00D63B44" w:rsidRDefault="00D63B44" w:rsidP="005528AB">
            <w:pPr>
              <w:spacing w:after="0"/>
            </w:pPr>
            <w:r>
              <w:t>DPO</w:t>
            </w:r>
          </w:p>
        </w:tc>
        <w:tc>
          <w:tcPr>
            <w:tcW w:w="7614" w:type="dxa"/>
            <w:tcBorders>
              <w:left w:val="single" w:sz="4" w:space="0" w:color="FFFFFF" w:themeColor="background1"/>
            </w:tcBorders>
          </w:tcPr>
          <w:p w14:paraId="2167F706" w14:textId="77777777" w:rsidR="00D63B44" w:rsidRDefault="00D63B44" w:rsidP="005528AB">
            <w:pPr>
              <w:spacing w:after="0"/>
            </w:pPr>
            <w:r>
              <w:t>Disabled People’s Organisation</w:t>
            </w:r>
          </w:p>
        </w:tc>
      </w:tr>
      <w:tr w:rsidR="00C33ABA" w14:paraId="463A0696"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BA581BA" w14:textId="77777777" w:rsidR="00C33ABA" w:rsidRDefault="00C33ABA" w:rsidP="00D57B0B">
            <w:pPr>
              <w:spacing w:after="0"/>
            </w:pPr>
            <w:r>
              <w:t>ETF</w:t>
            </w:r>
          </w:p>
        </w:tc>
        <w:tc>
          <w:tcPr>
            <w:tcW w:w="7614" w:type="dxa"/>
            <w:tcBorders>
              <w:left w:val="single" w:sz="4" w:space="0" w:color="FFFFFF" w:themeColor="background1"/>
            </w:tcBorders>
          </w:tcPr>
          <w:p w14:paraId="576E86E6" w14:textId="77777777" w:rsidR="00C33ABA" w:rsidRDefault="00C33ABA" w:rsidP="00D57B0B">
            <w:pPr>
              <w:spacing w:after="0"/>
            </w:pPr>
            <w:r>
              <w:t>Employment and Training Fund</w:t>
            </w:r>
          </w:p>
        </w:tc>
      </w:tr>
      <w:tr w:rsidR="00C6686D" w14:paraId="7DB33409"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B1B8AF3" w14:textId="77777777" w:rsidR="00C6686D" w:rsidRDefault="00C6686D" w:rsidP="005528AB">
            <w:pPr>
              <w:spacing w:after="0"/>
            </w:pPr>
            <w:r>
              <w:t>F1</w:t>
            </w:r>
          </w:p>
        </w:tc>
        <w:tc>
          <w:tcPr>
            <w:tcW w:w="7614" w:type="dxa"/>
            <w:tcBorders>
              <w:left w:val="single" w:sz="4" w:space="0" w:color="FFFFFF" w:themeColor="background1"/>
            </w:tcBorders>
          </w:tcPr>
          <w:p w14:paraId="2AAE59AE" w14:textId="77777777" w:rsidR="00C6686D" w:rsidRDefault="004E35FA" w:rsidP="005528AB">
            <w:pPr>
              <w:spacing w:after="0"/>
            </w:pPr>
            <w:r>
              <w:t xml:space="preserve">Finance One - </w:t>
            </w:r>
            <w:r w:rsidR="00C6686D">
              <w:t xml:space="preserve">Box Hill Institute Finance System </w:t>
            </w:r>
          </w:p>
        </w:tc>
      </w:tr>
      <w:tr w:rsidR="001642DB" w14:paraId="7A42F7CE"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EE03694" w14:textId="77777777" w:rsidR="001642DB" w:rsidRDefault="001642DB" w:rsidP="005528AB">
            <w:pPr>
              <w:spacing w:after="0"/>
            </w:pPr>
            <w:r>
              <w:t>GoA</w:t>
            </w:r>
          </w:p>
        </w:tc>
        <w:tc>
          <w:tcPr>
            <w:tcW w:w="7614" w:type="dxa"/>
            <w:tcBorders>
              <w:left w:val="single" w:sz="4" w:space="0" w:color="FFFFFF" w:themeColor="background1"/>
            </w:tcBorders>
          </w:tcPr>
          <w:p w14:paraId="5A9AA89A" w14:textId="77777777" w:rsidR="001642DB" w:rsidRDefault="001642DB" w:rsidP="005528AB">
            <w:pPr>
              <w:spacing w:after="0"/>
            </w:pPr>
            <w:r>
              <w:t>Government of Australia</w:t>
            </w:r>
          </w:p>
        </w:tc>
      </w:tr>
      <w:tr w:rsidR="00C33ABA" w14:paraId="633B65F2"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76298E32" w14:textId="77777777" w:rsidR="00C33ABA" w:rsidRDefault="00C33ABA" w:rsidP="00D57B0B">
            <w:pPr>
              <w:spacing w:after="0"/>
            </w:pPr>
            <w:r>
              <w:t>GoV</w:t>
            </w:r>
          </w:p>
        </w:tc>
        <w:tc>
          <w:tcPr>
            <w:tcW w:w="7614" w:type="dxa"/>
            <w:tcBorders>
              <w:left w:val="single" w:sz="4" w:space="0" w:color="FFFFFF" w:themeColor="background1"/>
            </w:tcBorders>
          </w:tcPr>
          <w:p w14:paraId="334117D0" w14:textId="77777777" w:rsidR="00C33ABA" w:rsidRDefault="00C33ABA" w:rsidP="00D57B0B">
            <w:pPr>
              <w:spacing w:after="0"/>
            </w:pPr>
            <w:r>
              <w:t>Government of Vanuatu</w:t>
            </w:r>
          </w:p>
        </w:tc>
      </w:tr>
      <w:tr w:rsidR="00FC7D1E" w14:paraId="669AC4B1"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78C2D784" w14:textId="77777777" w:rsidR="00FC7D1E" w:rsidRDefault="00FC7D1E" w:rsidP="005528AB">
            <w:pPr>
              <w:spacing w:after="0"/>
            </w:pPr>
            <w:r>
              <w:t>ICT</w:t>
            </w:r>
          </w:p>
        </w:tc>
        <w:tc>
          <w:tcPr>
            <w:tcW w:w="7614" w:type="dxa"/>
            <w:tcBorders>
              <w:left w:val="single" w:sz="4" w:space="0" w:color="FFFFFF" w:themeColor="background1"/>
            </w:tcBorders>
          </w:tcPr>
          <w:p w14:paraId="65D2E4A7" w14:textId="77777777" w:rsidR="00FC7D1E" w:rsidRDefault="00FC7D1E" w:rsidP="00F3062B">
            <w:pPr>
              <w:spacing w:after="0"/>
            </w:pPr>
            <w:r>
              <w:t>Information and Communication Technology</w:t>
            </w:r>
          </w:p>
        </w:tc>
      </w:tr>
      <w:tr w:rsidR="00F3062B" w14:paraId="5BC1FDEF"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A7894F6" w14:textId="77777777" w:rsidR="00F3062B" w:rsidRDefault="00F3062B" w:rsidP="005528AB">
            <w:pPr>
              <w:spacing w:after="0"/>
            </w:pPr>
            <w:r>
              <w:t>MALFFB</w:t>
            </w:r>
          </w:p>
        </w:tc>
        <w:tc>
          <w:tcPr>
            <w:tcW w:w="7614" w:type="dxa"/>
            <w:tcBorders>
              <w:left w:val="single" w:sz="4" w:space="0" w:color="FFFFFF" w:themeColor="background1"/>
            </w:tcBorders>
          </w:tcPr>
          <w:p w14:paraId="5EF79953" w14:textId="77777777" w:rsidR="00F3062B" w:rsidRDefault="00F3062B" w:rsidP="00F3062B">
            <w:pPr>
              <w:spacing w:after="0"/>
            </w:pPr>
            <w:r>
              <w:t>Ministry of Agriculture, Livestock, Fisheries, Forestry and Bio-security</w:t>
            </w:r>
          </w:p>
        </w:tc>
      </w:tr>
      <w:tr w:rsidR="00C33ABA" w14:paraId="1CA46A4E"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C37B289" w14:textId="77777777" w:rsidR="00C33ABA" w:rsidRDefault="00C33ABA" w:rsidP="00D57B0B">
            <w:pPr>
              <w:spacing w:after="0"/>
            </w:pPr>
            <w:r>
              <w:t>MoET</w:t>
            </w:r>
          </w:p>
        </w:tc>
        <w:tc>
          <w:tcPr>
            <w:tcW w:w="7614" w:type="dxa"/>
            <w:tcBorders>
              <w:left w:val="single" w:sz="4" w:space="0" w:color="FFFFFF" w:themeColor="background1"/>
            </w:tcBorders>
          </w:tcPr>
          <w:p w14:paraId="3FC8FD26" w14:textId="77777777" w:rsidR="00C33ABA" w:rsidRDefault="00C33ABA" w:rsidP="00D57B0B">
            <w:pPr>
              <w:spacing w:after="0"/>
            </w:pPr>
            <w:r>
              <w:t>Ministry of Education and Training</w:t>
            </w:r>
          </w:p>
        </w:tc>
      </w:tr>
      <w:tr w:rsidR="00C33ABA" w14:paraId="79602ED6" w14:textId="77777777" w:rsidTr="00C33ABA">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6A8F0175" w14:textId="77777777" w:rsidR="00C33ABA" w:rsidRDefault="00C33ABA" w:rsidP="005528AB">
            <w:pPr>
              <w:spacing w:after="0"/>
            </w:pPr>
            <w:r>
              <w:t>MYDST</w:t>
            </w:r>
          </w:p>
        </w:tc>
        <w:tc>
          <w:tcPr>
            <w:tcW w:w="7614" w:type="dxa"/>
            <w:tcBorders>
              <w:left w:val="single" w:sz="4" w:space="0" w:color="FFFFFF" w:themeColor="background1"/>
            </w:tcBorders>
          </w:tcPr>
          <w:p w14:paraId="0B37DE84" w14:textId="77777777" w:rsidR="00C33ABA" w:rsidRDefault="00C33ABA" w:rsidP="005528AB">
            <w:pPr>
              <w:spacing w:after="0"/>
            </w:pPr>
            <w:r>
              <w:t>Ministry of Youth Development Sports and Training</w:t>
            </w:r>
          </w:p>
        </w:tc>
      </w:tr>
      <w:tr w:rsidR="00C33ABA" w14:paraId="5334C6FD"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79F1D37B" w14:textId="77777777" w:rsidR="00C33ABA" w:rsidRDefault="00C33ABA" w:rsidP="005528AB">
            <w:pPr>
              <w:spacing w:after="0"/>
            </w:pPr>
            <w:r>
              <w:t>NTDC</w:t>
            </w:r>
          </w:p>
        </w:tc>
        <w:tc>
          <w:tcPr>
            <w:tcW w:w="7614" w:type="dxa"/>
            <w:tcBorders>
              <w:left w:val="single" w:sz="4" w:space="0" w:color="FFFFFF" w:themeColor="background1"/>
            </w:tcBorders>
          </w:tcPr>
          <w:p w14:paraId="4D4B0CBF" w14:textId="77777777" w:rsidR="00C33ABA" w:rsidRDefault="00C33ABA" w:rsidP="005528AB">
            <w:pPr>
              <w:spacing w:after="0"/>
            </w:pPr>
            <w:r>
              <w:t>National Trade Development Committee</w:t>
            </w:r>
          </w:p>
        </w:tc>
      </w:tr>
      <w:tr w:rsidR="00C33ABA" w14:paraId="40F52F35"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2AC2BC51" w14:textId="77777777" w:rsidR="00C33ABA" w:rsidRDefault="00C33ABA" w:rsidP="00D57B0B">
            <w:pPr>
              <w:spacing w:after="0"/>
            </w:pPr>
            <w:r>
              <w:t>PGTB</w:t>
            </w:r>
          </w:p>
        </w:tc>
        <w:tc>
          <w:tcPr>
            <w:tcW w:w="7614" w:type="dxa"/>
            <w:tcBorders>
              <w:left w:val="single" w:sz="4" w:space="0" w:color="FFFFFF" w:themeColor="background1"/>
            </w:tcBorders>
          </w:tcPr>
          <w:p w14:paraId="0BBF3231" w14:textId="77777777" w:rsidR="00C33ABA" w:rsidRDefault="00C33ABA" w:rsidP="00D57B0B">
            <w:pPr>
              <w:spacing w:after="0"/>
            </w:pPr>
            <w:r>
              <w:t>Provincial Government Training Board</w:t>
            </w:r>
          </w:p>
        </w:tc>
      </w:tr>
      <w:tr w:rsidR="0047245F" w14:paraId="5EF65D90" w14:textId="77777777" w:rsidTr="000256A3">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1920E0F1" w14:textId="77777777" w:rsidR="0047245F" w:rsidRDefault="0047245F" w:rsidP="0047245F">
            <w:pPr>
              <w:spacing w:after="0"/>
            </w:pPr>
            <w:r w:rsidRPr="005C01D9">
              <w:t>PHAMA</w:t>
            </w:r>
          </w:p>
        </w:tc>
        <w:tc>
          <w:tcPr>
            <w:tcW w:w="7614" w:type="dxa"/>
            <w:tcBorders>
              <w:left w:val="single" w:sz="4" w:space="0" w:color="FFFFFF" w:themeColor="background1"/>
            </w:tcBorders>
          </w:tcPr>
          <w:p w14:paraId="1D624B7B" w14:textId="77777777" w:rsidR="0047245F" w:rsidRDefault="0047245F" w:rsidP="0047245F">
            <w:pPr>
              <w:spacing w:after="0"/>
            </w:pPr>
            <w:r w:rsidRPr="005C01D9">
              <w:t xml:space="preserve">Pacific Horticulture and </w:t>
            </w:r>
            <w:r>
              <w:t>Agriculture Market Access</w:t>
            </w:r>
            <w:r w:rsidRPr="005C01D9">
              <w:t xml:space="preserve"> </w:t>
            </w:r>
            <w:r>
              <w:t>Program</w:t>
            </w:r>
          </w:p>
        </w:tc>
      </w:tr>
      <w:tr w:rsidR="00C33ABA" w14:paraId="0F611FAC"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2C7039C7" w14:textId="77777777" w:rsidR="00C33ABA" w:rsidRDefault="00C33ABA" w:rsidP="005528AB">
            <w:pPr>
              <w:spacing w:after="0"/>
            </w:pPr>
            <w:r>
              <w:t>QMS</w:t>
            </w:r>
          </w:p>
        </w:tc>
        <w:tc>
          <w:tcPr>
            <w:tcW w:w="7614" w:type="dxa"/>
            <w:tcBorders>
              <w:left w:val="single" w:sz="4" w:space="0" w:color="FFFFFF" w:themeColor="background1"/>
            </w:tcBorders>
          </w:tcPr>
          <w:p w14:paraId="68654050" w14:textId="77777777" w:rsidR="00C33ABA" w:rsidRDefault="00C33ABA" w:rsidP="005528AB">
            <w:pPr>
              <w:spacing w:after="0"/>
            </w:pPr>
            <w:r>
              <w:t>Quality Management System</w:t>
            </w:r>
          </w:p>
        </w:tc>
      </w:tr>
      <w:tr w:rsidR="00C33ABA" w14:paraId="333CCDD6" w14:textId="77777777" w:rsidTr="00C33ABA">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1C08BE76" w14:textId="77777777" w:rsidR="00C33ABA" w:rsidRDefault="00C33ABA" w:rsidP="00A8190D">
            <w:pPr>
              <w:spacing w:after="0"/>
            </w:pPr>
            <w:r>
              <w:t>RTC</w:t>
            </w:r>
          </w:p>
        </w:tc>
        <w:tc>
          <w:tcPr>
            <w:tcW w:w="7614" w:type="dxa"/>
            <w:tcBorders>
              <w:left w:val="single" w:sz="4" w:space="0" w:color="FFFFFF" w:themeColor="background1"/>
            </w:tcBorders>
          </w:tcPr>
          <w:p w14:paraId="167F7875" w14:textId="77777777" w:rsidR="00C33ABA" w:rsidRDefault="00C33ABA" w:rsidP="00A8190D">
            <w:pPr>
              <w:spacing w:after="0"/>
            </w:pPr>
            <w:r>
              <w:t>Rural Training Centre</w:t>
            </w:r>
          </w:p>
        </w:tc>
      </w:tr>
      <w:tr w:rsidR="00C33ABA" w14:paraId="4968C6E0" w14:textId="77777777" w:rsidTr="005528AB">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3EB16076" w14:textId="77777777" w:rsidR="00C33ABA" w:rsidRDefault="00C33ABA" w:rsidP="005528AB">
            <w:pPr>
              <w:spacing w:after="0"/>
            </w:pPr>
            <w:r>
              <w:t>TfT</w:t>
            </w:r>
          </w:p>
        </w:tc>
        <w:tc>
          <w:tcPr>
            <w:tcW w:w="7614" w:type="dxa"/>
            <w:tcBorders>
              <w:left w:val="single" w:sz="4" w:space="0" w:color="FFFFFF" w:themeColor="background1"/>
            </w:tcBorders>
          </w:tcPr>
          <w:p w14:paraId="35CE60EA" w14:textId="77777777" w:rsidR="00C33ABA" w:rsidRDefault="00C33ABA" w:rsidP="005528AB">
            <w:pPr>
              <w:spacing w:after="0"/>
            </w:pPr>
            <w:r>
              <w:t>TVET for Tourism</w:t>
            </w:r>
          </w:p>
        </w:tc>
      </w:tr>
      <w:tr w:rsidR="00C33ABA" w14:paraId="51C11F17"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3A25F5B" w14:textId="77777777" w:rsidR="00C33ABA" w:rsidRDefault="00C33ABA" w:rsidP="00D57B0B">
            <w:pPr>
              <w:spacing w:after="0"/>
            </w:pPr>
            <w:r>
              <w:t>TVET</w:t>
            </w:r>
          </w:p>
        </w:tc>
        <w:tc>
          <w:tcPr>
            <w:tcW w:w="7614" w:type="dxa"/>
            <w:tcBorders>
              <w:left w:val="single" w:sz="4" w:space="0" w:color="FFFFFF" w:themeColor="background1"/>
            </w:tcBorders>
          </w:tcPr>
          <w:p w14:paraId="17311A0D" w14:textId="77777777" w:rsidR="00C33ABA" w:rsidRDefault="00C33ABA" w:rsidP="00D57B0B">
            <w:pPr>
              <w:spacing w:after="0"/>
            </w:pPr>
            <w:r>
              <w:t>Technical and Vocational Education and Training</w:t>
            </w:r>
          </w:p>
        </w:tc>
      </w:tr>
      <w:tr w:rsidR="00B24E7C" w14:paraId="4F505F53" w14:textId="77777777" w:rsidTr="00C33ABA">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78D2A24C" w14:textId="77777777" w:rsidR="00B24E7C" w:rsidRDefault="00B24E7C" w:rsidP="00B24E7C">
            <w:pPr>
              <w:spacing w:after="0"/>
            </w:pPr>
            <w:r w:rsidRPr="00B94D23">
              <w:t>TVL</w:t>
            </w:r>
          </w:p>
        </w:tc>
        <w:tc>
          <w:tcPr>
            <w:tcW w:w="7614" w:type="dxa"/>
            <w:tcBorders>
              <w:left w:val="single" w:sz="4" w:space="0" w:color="FFFFFF" w:themeColor="background1"/>
            </w:tcBorders>
          </w:tcPr>
          <w:p w14:paraId="43A941DC" w14:textId="77777777" w:rsidR="00B24E7C" w:rsidRDefault="00B24E7C" w:rsidP="00B24E7C">
            <w:pPr>
              <w:spacing w:after="0"/>
            </w:pPr>
            <w:r w:rsidRPr="00B94D23">
              <w:t xml:space="preserve">Telecom </w:t>
            </w:r>
            <w:r>
              <w:t>Vanuatu Limited</w:t>
            </w:r>
          </w:p>
        </w:tc>
      </w:tr>
      <w:tr w:rsidR="00F05344" w14:paraId="009833A5"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965DB27" w14:textId="77777777" w:rsidR="00F05344" w:rsidRDefault="00F05344" w:rsidP="00D57B0B">
            <w:pPr>
              <w:spacing w:after="0"/>
            </w:pPr>
            <w:r>
              <w:t>VoIP</w:t>
            </w:r>
          </w:p>
        </w:tc>
        <w:tc>
          <w:tcPr>
            <w:tcW w:w="7614" w:type="dxa"/>
            <w:tcBorders>
              <w:left w:val="single" w:sz="4" w:space="0" w:color="FFFFFF" w:themeColor="background1"/>
            </w:tcBorders>
          </w:tcPr>
          <w:p w14:paraId="33954581" w14:textId="77777777" w:rsidR="00F05344" w:rsidRDefault="00F05344" w:rsidP="00D57B0B">
            <w:pPr>
              <w:spacing w:after="0"/>
            </w:pPr>
            <w:r>
              <w:t>Voice over Internet Protocol</w:t>
            </w:r>
          </w:p>
        </w:tc>
      </w:tr>
      <w:tr w:rsidR="00C33ABA" w14:paraId="2948B4F0"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6A01E2E2" w14:textId="77777777" w:rsidR="00C33ABA" w:rsidRDefault="00C33ABA" w:rsidP="00D57B0B">
            <w:pPr>
              <w:spacing w:after="0"/>
            </w:pPr>
            <w:r>
              <w:t>VQA</w:t>
            </w:r>
          </w:p>
        </w:tc>
        <w:tc>
          <w:tcPr>
            <w:tcW w:w="7614" w:type="dxa"/>
            <w:tcBorders>
              <w:left w:val="single" w:sz="4" w:space="0" w:color="FFFFFF" w:themeColor="background1"/>
            </w:tcBorders>
          </w:tcPr>
          <w:p w14:paraId="6569DCCE" w14:textId="77777777" w:rsidR="00C33ABA" w:rsidRDefault="00C33ABA" w:rsidP="00D57B0B">
            <w:pPr>
              <w:spacing w:after="0"/>
            </w:pPr>
            <w:r>
              <w:t>Vanuatu Qualifications Authority</w:t>
            </w:r>
          </w:p>
        </w:tc>
      </w:tr>
      <w:tr w:rsidR="00C33ABA" w14:paraId="078696FC"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65521674" w14:textId="77777777" w:rsidR="00C33ABA" w:rsidRDefault="00C33ABA" w:rsidP="00D57B0B">
            <w:pPr>
              <w:spacing w:after="0"/>
            </w:pPr>
            <w:r>
              <w:t>VQAF</w:t>
            </w:r>
          </w:p>
        </w:tc>
        <w:tc>
          <w:tcPr>
            <w:tcW w:w="7614" w:type="dxa"/>
            <w:tcBorders>
              <w:left w:val="single" w:sz="4" w:space="0" w:color="FFFFFF" w:themeColor="background1"/>
            </w:tcBorders>
          </w:tcPr>
          <w:p w14:paraId="193453FC" w14:textId="77777777" w:rsidR="00C33ABA" w:rsidRDefault="00C33ABA" w:rsidP="00A8190D">
            <w:pPr>
              <w:spacing w:after="0"/>
            </w:pPr>
            <w:r>
              <w:t>Vanuatu Quality Assurance Framework</w:t>
            </w:r>
          </w:p>
        </w:tc>
      </w:tr>
      <w:tr w:rsidR="00851DE0" w14:paraId="782F8EA7"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15AEA02" w14:textId="77777777" w:rsidR="00851DE0" w:rsidRDefault="00177808" w:rsidP="00DB3724">
            <w:pPr>
              <w:spacing w:after="0"/>
            </w:pPr>
            <w:r>
              <w:t>VTOMS</w:t>
            </w:r>
          </w:p>
        </w:tc>
        <w:tc>
          <w:tcPr>
            <w:tcW w:w="7614" w:type="dxa"/>
            <w:tcBorders>
              <w:left w:val="single" w:sz="4" w:space="0" w:color="FFFFFF" w:themeColor="background1"/>
            </w:tcBorders>
          </w:tcPr>
          <w:p w14:paraId="27D02BDD" w14:textId="77777777" w:rsidR="00851DE0" w:rsidRDefault="00177808" w:rsidP="00DB3724">
            <w:pPr>
              <w:spacing w:after="0"/>
            </w:pPr>
            <w:r w:rsidRPr="00987783">
              <w:t>Vanuatu Tourism Operator Minimum Standards</w:t>
            </w:r>
          </w:p>
        </w:tc>
      </w:tr>
      <w:tr w:rsidR="008A045A" w14:paraId="77DFA82E" w14:textId="77777777" w:rsidTr="00443835">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tcPr>
          <w:p w14:paraId="5380A6E9" w14:textId="77777777" w:rsidR="008A045A" w:rsidRDefault="008A045A" w:rsidP="00DB3724">
            <w:pPr>
              <w:spacing w:after="0"/>
            </w:pPr>
          </w:p>
        </w:tc>
        <w:tc>
          <w:tcPr>
            <w:tcW w:w="7614" w:type="dxa"/>
            <w:tcBorders>
              <w:left w:val="single" w:sz="4" w:space="0" w:color="FFFFFF" w:themeColor="background1"/>
            </w:tcBorders>
          </w:tcPr>
          <w:p w14:paraId="0990176F" w14:textId="77777777" w:rsidR="008A045A" w:rsidRDefault="008A045A" w:rsidP="00DB3724">
            <w:pPr>
              <w:spacing w:after="0"/>
            </w:pPr>
          </w:p>
        </w:tc>
      </w:tr>
    </w:tbl>
    <w:p w14:paraId="5A43E904" w14:textId="77777777" w:rsidR="00DB3724" w:rsidRDefault="00DB3724" w:rsidP="00D9298C">
      <w:pPr>
        <w:sectPr w:rsidR="00DB3724" w:rsidSect="00DC6407">
          <w:headerReference w:type="even" r:id="rId16"/>
          <w:headerReference w:type="default" r:id="rId17"/>
          <w:headerReference w:type="first" r:id="rId18"/>
          <w:footerReference w:type="first" r:id="rId19"/>
          <w:pgSz w:w="11900" w:h="16840" w:code="1"/>
          <w:pgMar w:top="2330" w:right="1077" w:bottom="567" w:left="1701" w:header="340" w:footer="431" w:gutter="0"/>
          <w:pgNumType w:fmt="lowerRoman" w:start="1"/>
          <w:cols w:space="720"/>
          <w:docGrid w:linePitch="360"/>
        </w:sectPr>
      </w:pPr>
    </w:p>
    <w:p w14:paraId="7A4F257A" w14:textId="77777777" w:rsidR="001E5865" w:rsidRDefault="001E5865" w:rsidP="00D9298C">
      <w:pPr>
        <w:sectPr w:rsidR="001E5865" w:rsidSect="00DC6407">
          <w:headerReference w:type="even" r:id="rId20"/>
          <w:headerReference w:type="default" r:id="rId21"/>
          <w:footerReference w:type="default" r:id="rId22"/>
          <w:headerReference w:type="first" r:id="rId23"/>
          <w:type w:val="continuous"/>
          <w:pgSz w:w="11900" w:h="16840" w:code="1"/>
          <w:pgMar w:top="1135" w:right="1080" w:bottom="567" w:left="1080" w:header="568" w:footer="432" w:gutter="0"/>
          <w:pgNumType w:start="5"/>
          <w:cols w:space="720"/>
          <w:titlePg/>
          <w:docGrid w:linePitch="360"/>
        </w:sectPr>
      </w:pPr>
    </w:p>
    <w:p w14:paraId="495DB028" w14:textId="77777777" w:rsidR="00371725" w:rsidRDefault="00E77013" w:rsidP="00EE7D1A">
      <w:pPr>
        <w:pStyle w:val="Heading1"/>
        <w:numPr>
          <w:ilvl w:val="0"/>
          <w:numId w:val="14"/>
        </w:numPr>
        <w:spacing w:before="0"/>
      </w:pPr>
      <w:bookmarkStart w:id="9" w:name="_Toc456600675"/>
      <w:bookmarkEnd w:id="0"/>
      <w:bookmarkEnd w:id="1"/>
      <w:r>
        <w:lastRenderedPageBreak/>
        <w:t>Purpose</w:t>
      </w:r>
      <w:bookmarkEnd w:id="9"/>
    </w:p>
    <w:p w14:paraId="2A3BCBAB" w14:textId="77777777" w:rsidR="00DC706D" w:rsidRDefault="00DC706D" w:rsidP="00C80621">
      <w:r w:rsidRPr="00E1783B">
        <w:rPr>
          <w:b/>
        </w:rPr>
        <w:t>Phase 3</w:t>
      </w:r>
      <w:r>
        <w:t xml:space="preserve"> of the </w:t>
      </w:r>
      <w:r w:rsidRPr="00E1783B">
        <w:rPr>
          <w:b/>
        </w:rPr>
        <w:t>Vanuatu Skills for Economic Growth Program</w:t>
      </w:r>
      <w:r>
        <w:t xml:space="preserve"> concludes after forty months at the end of June 2016. This report has been prepared as a summary of the important achievements and challenges that have been addressed by the Program during this period. Its content is a synthesis of a substantial number of significant reports including:</w:t>
      </w:r>
    </w:p>
    <w:p w14:paraId="5301307E" w14:textId="77777777" w:rsidR="00DC706D" w:rsidRDefault="00DC706D" w:rsidP="004248E6">
      <w:pPr>
        <w:pStyle w:val="ListParagraph"/>
      </w:pPr>
      <w:r>
        <w:t>Annual Plans (FY1314, FY1415, FY1516 and FY1617)</w:t>
      </w:r>
    </w:p>
    <w:p w14:paraId="6FAE35A6" w14:textId="77777777" w:rsidR="00DC706D" w:rsidRDefault="00DC706D" w:rsidP="004248E6">
      <w:pPr>
        <w:pStyle w:val="ListParagraph"/>
      </w:pPr>
      <w:r>
        <w:t>Annual Evaluation Reports (2014, 2015)</w:t>
      </w:r>
    </w:p>
    <w:p w14:paraId="094D2662" w14:textId="77777777" w:rsidR="00DC706D" w:rsidRPr="00DC706D" w:rsidRDefault="00DC706D" w:rsidP="004248E6">
      <w:pPr>
        <w:pStyle w:val="ListParagraph"/>
      </w:pPr>
      <w:r w:rsidRPr="00DC706D">
        <w:t>Supporting Women in Provincial Vanuatu – TVET Gender Equality Report (2013-2016)</w:t>
      </w:r>
    </w:p>
    <w:p w14:paraId="6FC6217D" w14:textId="77777777" w:rsidR="00DC706D" w:rsidRPr="00E1783B" w:rsidRDefault="00DC706D" w:rsidP="004248E6">
      <w:pPr>
        <w:pStyle w:val="ListParagraph"/>
        <w:rPr>
          <w:lang w:val="en-AU"/>
        </w:rPr>
      </w:pPr>
      <w:r w:rsidRPr="00E1783B">
        <w:rPr>
          <w:lang w:val="en-AU"/>
        </w:rPr>
        <w:t>TVET for Tourism - Final Report and Evaluation (2013-2016)</w:t>
      </w:r>
    </w:p>
    <w:p w14:paraId="1EFFB8D7" w14:textId="77777777" w:rsidR="00C80621" w:rsidRPr="00C80621" w:rsidRDefault="00DC706D" w:rsidP="004248E6">
      <w:pPr>
        <w:pStyle w:val="ListParagraph"/>
      </w:pPr>
      <w:r w:rsidRPr="00DC706D">
        <w:t>Independent Evaluation of the Vanuatu Technical and Vocational Education and Training Sector Strengthening Program (DFAT 2015)</w:t>
      </w:r>
    </w:p>
    <w:p w14:paraId="5362D078" w14:textId="77777777" w:rsidR="00371725" w:rsidRDefault="00E77013" w:rsidP="00EE7D1A">
      <w:pPr>
        <w:pStyle w:val="Heading1"/>
        <w:numPr>
          <w:ilvl w:val="0"/>
          <w:numId w:val="14"/>
        </w:numPr>
        <w:spacing w:before="0"/>
      </w:pPr>
      <w:bookmarkStart w:id="10" w:name="_Toc456600676"/>
      <w:r>
        <w:t>Background</w:t>
      </w:r>
      <w:bookmarkEnd w:id="10"/>
    </w:p>
    <w:p w14:paraId="10E4668F" w14:textId="77777777" w:rsidR="00D57B0B" w:rsidRPr="00276870" w:rsidRDefault="00D57B0B" w:rsidP="00D57B0B">
      <w:pPr>
        <w:rPr>
          <w:rFonts w:asciiTheme="majorHAnsi" w:hAnsiTheme="majorHAnsi"/>
          <w:lang w:val="en-AU"/>
        </w:rPr>
      </w:pPr>
      <w:r w:rsidRPr="00746CB8">
        <w:rPr>
          <w:rFonts w:asciiTheme="majorHAnsi" w:hAnsiTheme="majorHAnsi"/>
          <w:b/>
          <w:lang w:val="en-AU"/>
        </w:rPr>
        <w:t>Phase 1</w:t>
      </w:r>
      <w:r w:rsidRPr="00276870">
        <w:rPr>
          <w:rFonts w:asciiTheme="majorHAnsi" w:hAnsiTheme="majorHAnsi"/>
          <w:lang w:val="en-AU"/>
        </w:rPr>
        <w:t xml:space="preserve"> of The Vanuatu TVET Sector Strengthening Program, which commenced in November 2005 and finished in December 2007, focused on the establishment of a non-formal TVET curriculum, training of trainers and assistance to TVET providers to increase their efficiency.</w:t>
      </w:r>
    </w:p>
    <w:p w14:paraId="253F430F" w14:textId="77777777" w:rsidR="00D57B0B" w:rsidRPr="00276870" w:rsidRDefault="00D57B0B" w:rsidP="00D57B0B">
      <w:pPr>
        <w:rPr>
          <w:rFonts w:asciiTheme="majorHAnsi" w:hAnsiTheme="majorHAnsi"/>
          <w:lang w:val="en-AU"/>
        </w:rPr>
      </w:pPr>
      <w:r w:rsidRPr="00746CB8">
        <w:rPr>
          <w:rFonts w:asciiTheme="majorHAnsi" w:hAnsiTheme="majorHAnsi"/>
          <w:b/>
          <w:lang w:val="en-AU"/>
        </w:rPr>
        <w:t>Phase 2</w:t>
      </w:r>
      <w:r w:rsidRPr="00276870">
        <w:rPr>
          <w:rFonts w:asciiTheme="majorHAnsi" w:hAnsiTheme="majorHAnsi"/>
          <w:lang w:val="en-AU"/>
        </w:rPr>
        <w:t xml:space="preserve"> started in June 2008 with a new approach focused on the decentralisation of TVET service delivery. During this phase, the Program was successful in establishing TVET Centres in Malampa and Sanma provinces. The GoV selected these two provinces after a competitive provincial selection process. The </w:t>
      </w:r>
      <w:r>
        <w:rPr>
          <w:rFonts w:asciiTheme="majorHAnsi" w:hAnsiTheme="majorHAnsi"/>
          <w:lang w:val="en-AU"/>
        </w:rPr>
        <w:t xml:space="preserve">TVET </w:t>
      </w:r>
      <w:r w:rsidRPr="00276870">
        <w:rPr>
          <w:rFonts w:asciiTheme="majorHAnsi" w:hAnsiTheme="majorHAnsi"/>
          <w:lang w:val="en-AU"/>
        </w:rPr>
        <w:t>Centres began operations in June 2009 and deliver a range of services to facilitate better targeted training, business development, and employment growth through an Employment and Training Fund (ETF) which finances accredited training (AT) and business development support services (BDS). The Centres have worked closely with Provincial Government Training Boards (PGTB) in order to improve provincial training coordination, skills development planning and advocacy.</w:t>
      </w:r>
    </w:p>
    <w:p w14:paraId="06FC5864" w14:textId="77777777" w:rsidR="00D57B0B" w:rsidRPr="00276870" w:rsidRDefault="00D57B0B" w:rsidP="00D57B0B">
      <w:pPr>
        <w:rPr>
          <w:rFonts w:asciiTheme="majorHAnsi" w:hAnsiTheme="majorHAnsi"/>
          <w:lang w:val="en-AU"/>
        </w:rPr>
      </w:pPr>
      <w:r w:rsidRPr="00276870">
        <w:rPr>
          <w:rFonts w:asciiTheme="majorHAnsi" w:hAnsiTheme="majorHAnsi"/>
          <w:lang w:val="en-AU"/>
        </w:rPr>
        <w:t>In addition,</w:t>
      </w:r>
      <w:r>
        <w:rPr>
          <w:rFonts w:asciiTheme="majorHAnsi" w:hAnsiTheme="majorHAnsi"/>
          <w:lang w:val="en-AU"/>
        </w:rPr>
        <w:t xml:space="preserve"> during this Phase</w:t>
      </w:r>
      <w:r w:rsidRPr="00276870">
        <w:rPr>
          <w:rFonts w:asciiTheme="majorHAnsi" w:hAnsiTheme="majorHAnsi"/>
          <w:lang w:val="en-AU"/>
        </w:rPr>
        <w:t xml:space="preserve">, the Program contributed to </w:t>
      </w:r>
      <w:r>
        <w:rPr>
          <w:rFonts w:asciiTheme="majorHAnsi" w:hAnsiTheme="majorHAnsi"/>
          <w:lang w:val="en-AU"/>
        </w:rPr>
        <w:t>N</w:t>
      </w:r>
      <w:r w:rsidRPr="00276870">
        <w:rPr>
          <w:rFonts w:asciiTheme="majorHAnsi" w:hAnsiTheme="majorHAnsi"/>
          <w:lang w:val="en-AU"/>
        </w:rPr>
        <w:t xml:space="preserve">ational TVET policy development and supported its continuing implementation. Through the </w:t>
      </w:r>
      <w:r>
        <w:rPr>
          <w:rFonts w:asciiTheme="majorHAnsi" w:hAnsiTheme="majorHAnsi"/>
          <w:lang w:val="en-AU"/>
        </w:rPr>
        <w:t xml:space="preserve">National </w:t>
      </w:r>
      <w:r w:rsidRPr="00276870">
        <w:rPr>
          <w:rFonts w:asciiTheme="majorHAnsi" w:hAnsiTheme="majorHAnsi"/>
          <w:lang w:val="en-AU"/>
        </w:rPr>
        <w:t>Policy, there was a strong direction to expand TVET service delivery, by establishing TVET Centres in the other provinces.</w:t>
      </w:r>
    </w:p>
    <w:p w14:paraId="19D7A1D0" w14:textId="77777777" w:rsidR="00D57B0B" w:rsidRDefault="00D57B0B" w:rsidP="00D57B0B">
      <w:pPr>
        <w:rPr>
          <w:rFonts w:asciiTheme="majorHAnsi" w:hAnsiTheme="majorHAnsi"/>
          <w:lang w:val="en-AU"/>
        </w:rPr>
      </w:pPr>
      <w:r w:rsidRPr="00746CB8">
        <w:rPr>
          <w:rFonts w:asciiTheme="majorHAnsi" w:hAnsiTheme="majorHAnsi"/>
          <w:b/>
          <w:lang w:val="en-AU"/>
        </w:rPr>
        <w:t>Phase 3</w:t>
      </w:r>
      <w:r w:rsidRPr="00276870">
        <w:rPr>
          <w:rFonts w:asciiTheme="majorHAnsi" w:hAnsiTheme="majorHAnsi"/>
          <w:lang w:val="en-AU"/>
        </w:rPr>
        <w:t xml:space="preserve"> of the Vanuatu TVET Sector Strengthening Program was designed to operate over a forty-month year period – commencing March 2013 and concluding in June 2016. </w:t>
      </w:r>
      <w:r>
        <w:rPr>
          <w:rFonts w:asciiTheme="majorHAnsi" w:hAnsiTheme="majorHAnsi"/>
          <w:lang w:val="en-AU"/>
        </w:rPr>
        <w:t>Phase 3 continued the approaches commenced in Phase 2 with a view to expanding the number of TVET Centres and strengthening institutional support for the principal Government agencies responsible for TVET.</w:t>
      </w:r>
    </w:p>
    <w:p w14:paraId="006765DC" w14:textId="77777777" w:rsidR="00D57B0B" w:rsidRPr="00276870" w:rsidRDefault="00D57B0B" w:rsidP="00D57B0B">
      <w:pPr>
        <w:rPr>
          <w:lang w:val="en-AU"/>
        </w:rPr>
      </w:pPr>
      <w:r w:rsidRPr="00276870">
        <w:rPr>
          <w:rFonts w:asciiTheme="majorHAnsi" w:hAnsiTheme="majorHAnsi"/>
          <w:lang w:val="en-AU"/>
        </w:rPr>
        <w:t>T</w:t>
      </w:r>
      <w:r w:rsidRPr="00276870">
        <w:rPr>
          <w:lang w:val="en-AU"/>
        </w:rPr>
        <w:t xml:space="preserve">hree key strategies have </w:t>
      </w:r>
      <w:r>
        <w:rPr>
          <w:lang w:val="en-AU"/>
        </w:rPr>
        <w:t>underpinned</w:t>
      </w:r>
      <w:r w:rsidRPr="00276870">
        <w:rPr>
          <w:lang w:val="en-AU"/>
        </w:rPr>
        <w:t xml:space="preserve"> the implementation of the Phase 3 Program:</w:t>
      </w:r>
    </w:p>
    <w:p w14:paraId="19BB4C5E" w14:textId="77777777" w:rsidR="00D57B0B" w:rsidRPr="00276870" w:rsidRDefault="00D57B0B" w:rsidP="00D57B0B">
      <w:pPr>
        <w:rPr>
          <w:rFonts w:asciiTheme="majorHAnsi" w:hAnsiTheme="majorHAnsi"/>
          <w:lang w:val="en-AU"/>
        </w:rPr>
      </w:pPr>
      <w:r w:rsidRPr="00276870">
        <w:rPr>
          <w:b/>
          <w:bCs/>
          <w:i/>
          <w:iCs/>
          <w:lang w:val="en-AU"/>
        </w:rPr>
        <w:t>Convergence</w:t>
      </w:r>
      <w:r w:rsidRPr="00276870">
        <w:rPr>
          <w:bCs/>
          <w:iCs/>
          <w:lang w:val="en-AU"/>
        </w:rPr>
        <w:t xml:space="preserve"> - </w:t>
      </w:r>
      <w:r w:rsidRPr="00276870">
        <w:rPr>
          <w:lang w:val="en-AU"/>
        </w:rPr>
        <w:t>Implementation that has been programmatic in approach, working within the policies and procedures of the GoV, particularly in light of the</w:t>
      </w:r>
      <w:r>
        <w:rPr>
          <w:lang w:val="en-AU"/>
        </w:rPr>
        <w:t xml:space="preserve"> fact that</w:t>
      </w:r>
      <w:r w:rsidRPr="00276870">
        <w:rPr>
          <w:lang w:val="en-AU"/>
        </w:rPr>
        <w:t xml:space="preserve"> the Program </w:t>
      </w:r>
      <w:r>
        <w:rPr>
          <w:lang w:val="en-AU"/>
        </w:rPr>
        <w:t xml:space="preserve">Goal is identical to </w:t>
      </w:r>
      <w:r w:rsidRPr="00276870">
        <w:rPr>
          <w:lang w:val="en-AU"/>
        </w:rPr>
        <w:t>the Vanuatu National TVET Policy</w:t>
      </w:r>
      <w:r>
        <w:rPr>
          <w:lang w:val="en-AU"/>
        </w:rPr>
        <w:t xml:space="preserve"> Goal</w:t>
      </w:r>
      <w:r w:rsidRPr="00276870">
        <w:rPr>
          <w:lang w:val="en-AU"/>
        </w:rPr>
        <w:t xml:space="preserve">. </w:t>
      </w:r>
    </w:p>
    <w:p w14:paraId="416D6267" w14:textId="77777777" w:rsidR="00D57B0B" w:rsidRPr="00276870" w:rsidRDefault="00D57B0B" w:rsidP="00D57B0B">
      <w:pPr>
        <w:rPr>
          <w:b/>
          <w:bCs/>
          <w:i/>
          <w:iCs/>
          <w:lang w:val="en-AU"/>
        </w:rPr>
      </w:pPr>
      <w:r w:rsidRPr="00276870">
        <w:rPr>
          <w:b/>
          <w:bCs/>
          <w:i/>
          <w:iCs/>
          <w:lang w:val="en-AU"/>
        </w:rPr>
        <w:t xml:space="preserve">Consolidation - </w:t>
      </w:r>
      <w:r w:rsidRPr="00276870">
        <w:rPr>
          <w:bCs/>
          <w:iCs/>
          <w:lang w:val="en-AU"/>
        </w:rPr>
        <w:t xml:space="preserve">The Program </w:t>
      </w:r>
      <w:r>
        <w:rPr>
          <w:bCs/>
          <w:iCs/>
          <w:lang w:val="en-AU"/>
        </w:rPr>
        <w:t xml:space="preserve">has </w:t>
      </w:r>
      <w:r w:rsidRPr="00276870">
        <w:rPr>
          <w:bCs/>
          <w:iCs/>
          <w:lang w:val="en-AU"/>
        </w:rPr>
        <w:t>continued to build on the significant Phase 2 achievements in its support for a quality-assured, demand-driven, flexible and accessible TVET system</w:t>
      </w:r>
      <w:r w:rsidRPr="00276870">
        <w:rPr>
          <w:b/>
          <w:bCs/>
          <w:i/>
          <w:iCs/>
          <w:lang w:val="en-AU"/>
        </w:rPr>
        <w:t>.</w:t>
      </w:r>
      <w:r w:rsidRPr="00276870">
        <w:rPr>
          <w:lang w:val="en-AU"/>
        </w:rPr>
        <w:t xml:space="preserve"> The Program has strengthened the function of the TVET Centres as brokers of collaboration and coordination between diverse stakeholders within the TVET system to maximise outcomes (public sector, private sector, other donor-funded programs, volunteers).</w:t>
      </w:r>
      <w:r>
        <w:rPr>
          <w:lang w:val="en-AU"/>
        </w:rPr>
        <w:t xml:space="preserve"> National systems development has continued with the review of the Vanuatu National Training Council (VNTC) and the Ministry of Youth Development Sports and Training (MYDST) TVET Division leading to the establishment of the Vanuatu Qualifications Authority (VQA), the restructure of the Ministry of Education to become the Ministry of Education and Training with a Tertiary Education Division responsible for TVET.</w:t>
      </w:r>
    </w:p>
    <w:p w14:paraId="1C64F0BA" w14:textId="77777777" w:rsidR="00D57B0B" w:rsidRPr="00276870" w:rsidRDefault="00D57B0B" w:rsidP="00D57B0B">
      <w:pPr>
        <w:rPr>
          <w:rFonts w:asciiTheme="majorHAnsi" w:hAnsiTheme="majorHAnsi"/>
          <w:lang w:val="en-AU"/>
        </w:rPr>
      </w:pPr>
      <w:r w:rsidRPr="00276870">
        <w:rPr>
          <w:b/>
          <w:bCs/>
          <w:i/>
          <w:iCs/>
          <w:lang w:val="en-AU"/>
        </w:rPr>
        <w:t xml:space="preserve">Expansion </w:t>
      </w:r>
      <w:r w:rsidRPr="00276870">
        <w:rPr>
          <w:bCs/>
          <w:iCs/>
          <w:lang w:val="en-AU"/>
        </w:rPr>
        <w:t>- The vision of the TVET Program has been to support the development of a national TVET system that benefits the whole country and maximises efficiencies of Program/TVET Centre operations to achieve optimal impact within a resource constrained environment. During Phase 3, new TVET Centres have been established in Torba and Tafea provinces.</w:t>
      </w:r>
    </w:p>
    <w:p w14:paraId="6773DD6B" w14:textId="77777777" w:rsidR="00C80621" w:rsidRPr="00C80621" w:rsidRDefault="00D57B0B" w:rsidP="00D57B0B">
      <w:r w:rsidRPr="00276870">
        <w:rPr>
          <w:rFonts w:asciiTheme="majorHAnsi" w:hAnsiTheme="majorHAnsi"/>
          <w:lang w:val="en-AU"/>
        </w:rPr>
        <w:t xml:space="preserve">In March 2015, Vanuatu was struck by Cyclone Pam, which caused severe damage particularly to the southern provinces of Shefa and Tafea. This event has significantly impacted the context within which the Program operates. </w:t>
      </w:r>
      <w:r w:rsidRPr="00276870">
        <w:rPr>
          <w:lang w:val="en-AU"/>
        </w:rPr>
        <w:t xml:space="preserve">Following Cyclone Pam, the Program supported the </w:t>
      </w:r>
      <w:r w:rsidRPr="00276870">
        <w:rPr>
          <w:rFonts w:asciiTheme="majorHAnsi" w:hAnsiTheme="majorHAnsi"/>
          <w:lang w:val="en-AU"/>
        </w:rPr>
        <w:t>priorities of key productive sectors and GoV ministries to assist with food security and economic recovery through all TVET Centres.</w:t>
      </w:r>
      <w:r w:rsidRPr="00276870">
        <w:rPr>
          <w:lang w:val="en-AU"/>
        </w:rPr>
        <w:t xml:space="preserve"> </w:t>
      </w:r>
      <w:r w:rsidRPr="00276870">
        <w:rPr>
          <w:bCs/>
          <w:iCs/>
          <w:lang w:val="en-AU"/>
        </w:rPr>
        <w:t>E</w:t>
      </w:r>
      <w:r w:rsidRPr="00276870">
        <w:rPr>
          <w:rFonts w:asciiTheme="majorHAnsi" w:hAnsiTheme="majorHAnsi"/>
          <w:lang w:val="en-AU"/>
        </w:rPr>
        <w:t xml:space="preserve">xpansion into Tafea has a particular ‘Skills for Economic </w:t>
      </w:r>
      <w:r w:rsidRPr="00276870">
        <w:rPr>
          <w:rFonts w:asciiTheme="majorHAnsi" w:hAnsiTheme="majorHAnsi"/>
          <w:u w:val="single"/>
          <w:lang w:val="en-AU"/>
        </w:rPr>
        <w:t>Recovery’</w:t>
      </w:r>
      <w:r w:rsidRPr="00276870">
        <w:rPr>
          <w:rFonts w:asciiTheme="majorHAnsi" w:hAnsiTheme="majorHAnsi"/>
          <w:lang w:val="en-AU"/>
        </w:rPr>
        <w:t xml:space="preserve"> focus.</w:t>
      </w:r>
    </w:p>
    <w:p w14:paraId="63024782" w14:textId="77777777" w:rsidR="00371725" w:rsidRDefault="003D4E04" w:rsidP="00EE7D1A">
      <w:pPr>
        <w:pStyle w:val="Heading1"/>
        <w:numPr>
          <w:ilvl w:val="0"/>
          <w:numId w:val="14"/>
        </w:numPr>
        <w:spacing w:before="0"/>
      </w:pPr>
      <w:bookmarkStart w:id="11" w:name="_Toc456600677"/>
      <w:r w:rsidRPr="007905EC">
        <w:t>Work Progress</w:t>
      </w:r>
      <w:bookmarkEnd w:id="11"/>
    </w:p>
    <w:p w14:paraId="697E26CF" w14:textId="77777777" w:rsidR="00E43AAD" w:rsidRPr="007C27F7" w:rsidRDefault="00E43AAD" w:rsidP="00E43AAD">
      <w:pPr>
        <w:spacing w:after="0"/>
      </w:pPr>
      <w:r w:rsidRPr="007C27F7">
        <w:t xml:space="preserve">Program progress and key activities are outlined below across the three Key Result Areas (KRA) of the M&amp;E framework. </w:t>
      </w:r>
    </w:p>
    <w:p w14:paraId="27A3B236" w14:textId="77777777" w:rsidR="00E43AAD" w:rsidRPr="00776C0A" w:rsidRDefault="00E43AAD" w:rsidP="00E43AAD">
      <w:pPr>
        <w:pStyle w:val="Heading2"/>
      </w:pPr>
      <w:bookmarkStart w:id="12" w:name="_Toc385346328"/>
      <w:bookmarkStart w:id="13" w:name="_Toc452561634"/>
      <w:bookmarkStart w:id="14" w:name="_Toc456600678"/>
      <w:r>
        <w:t>3</w:t>
      </w:r>
      <w:r w:rsidRPr="00776C0A">
        <w:t>.1</w:t>
      </w:r>
      <w:r w:rsidRPr="00776C0A">
        <w:tab/>
        <w:t>KRA 1: National TVET System</w:t>
      </w:r>
      <w:bookmarkEnd w:id="12"/>
      <w:bookmarkEnd w:id="13"/>
      <w:bookmarkEnd w:id="14"/>
    </w:p>
    <w:p w14:paraId="4DF88161" w14:textId="77777777" w:rsidR="00571B05" w:rsidRDefault="00E43AAD" w:rsidP="00E43AAD">
      <w:r w:rsidRPr="007C27F7">
        <w:t xml:space="preserve">The Program has </w:t>
      </w:r>
      <w:r>
        <w:t>develop</w:t>
      </w:r>
      <w:r w:rsidR="00571B05">
        <w:t>ed</w:t>
      </w:r>
      <w:r>
        <w:t xml:space="preserve"> essential </w:t>
      </w:r>
      <w:r w:rsidRPr="007C27F7">
        <w:t xml:space="preserve">elements of an effective national TVET system </w:t>
      </w:r>
      <w:r w:rsidR="00571B05">
        <w:t>within</w:t>
      </w:r>
      <w:r w:rsidRPr="007C27F7">
        <w:t xml:space="preserve"> the Vanuatu context</w:t>
      </w:r>
      <w:r w:rsidR="00571B05">
        <w:t>. During Phase 3 it has:</w:t>
      </w:r>
    </w:p>
    <w:p w14:paraId="5188562E" w14:textId="77777777" w:rsidR="00571B05" w:rsidRDefault="00E43AAD" w:rsidP="004248E6">
      <w:pPr>
        <w:pStyle w:val="ListParagraph"/>
        <w:numPr>
          <w:ilvl w:val="0"/>
          <w:numId w:val="15"/>
        </w:numPr>
      </w:pPr>
      <w:r w:rsidRPr="007C27F7">
        <w:t>increase</w:t>
      </w:r>
      <w:r w:rsidR="00C50DC5">
        <w:t>d</w:t>
      </w:r>
      <w:r w:rsidRPr="007C27F7">
        <w:t xml:space="preserve"> TVET Centre geographic coverage;</w:t>
      </w:r>
    </w:p>
    <w:p w14:paraId="765F0AC9" w14:textId="77777777" w:rsidR="00571B05" w:rsidRDefault="00E43AAD" w:rsidP="004248E6">
      <w:pPr>
        <w:pStyle w:val="ListParagraph"/>
        <w:numPr>
          <w:ilvl w:val="0"/>
          <w:numId w:val="15"/>
        </w:numPr>
      </w:pPr>
      <w:r w:rsidRPr="007C27F7">
        <w:t>improve</w:t>
      </w:r>
      <w:r w:rsidR="00C50DC5">
        <w:t>d</w:t>
      </w:r>
      <w:r w:rsidRPr="007C27F7">
        <w:t xml:space="preserve"> TVET system structures and processes at central and provincial levels; </w:t>
      </w:r>
    </w:p>
    <w:p w14:paraId="372DA653" w14:textId="77777777" w:rsidR="00571B05" w:rsidRDefault="00E43AAD" w:rsidP="004248E6">
      <w:pPr>
        <w:pStyle w:val="ListParagraph"/>
        <w:numPr>
          <w:ilvl w:val="0"/>
          <w:numId w:val="15"/>
        </w:numPr>
      </w:pPr>
      <w:r w:rsidRPr="007C27F7">
        <w:t>buil</w:t>
      </w:r>
      <w:r w:rsidR="00571B05">
        <w:t>t</w:t>
      </w:r>
      <w:r w:rsidRPr="007C27F7">
        <w:t xml:space="preserve"> human resource/technical capacity</w:t>
      </w:r>
      <w:r w:rsidR="00571B05">
        <w:t xml:space="preserve"> across the TVET sector</w:t>
      </w:r>
      <w:r w:rsidRPr="007C27F7">
        <w:t xml:space="preserve">; and </w:t>
      </w:r>
    </w:p>
    <w:p w14:paraId="6D5287CE" w14:textId="77777777" w:rsidR="00E43AAD" w:rsidRDefault="00571B05" w:rsidP="004248E6">
      <w:pPr>
        <w:pStyle w:val="ListParagraph"/>
        <w:numPr>
          <w:ilvl w:val="0"/>
          <w:numId w:val="15"/>
        </w:numPr>
      </w:pPr>
      <w:r>
        <w:t xml:space="preserve">encouraged </w:t>
      </w:r>
      <w:r w:rsidR="00E43AAD" w:rsidRPr="007C27F7">
        <w:t>increase</w:t>
      </w:r>
      <w:r>
        <w:t>d</w:t>
      </w:r>
      <w:r w:rsidR="00E43AAD" w:rsidRPr="007C27F7">
        <w:t xml:space="preserve"> GoV investment in</w:t>
      </w:r>
      <w:r>
        <w:t xml:space="preserve"> </w:t>
      </w:r>
      <w:r w:rsidR="00E43AAD" w:rsidRPr="007C27F7">
        <w:t>the TVET Centre model</w:t>
      </w:r>
      <w:r>
        <w:t>.</w:t>
      </w:r>
    </w:p>
    <w:p w14:paraId="1230D8E2" w14:textId="77777777" w:rsidR="00E43AAD" w:rsidRPr="007C27F7" w:rsidRDefault="00E43AAD" w:rsidP="00E43AAD">
      <w:r>
        <w:t>K</w:t>
      </w:r>
      <w:r w:rsidRPr="007C27F7">
        <w:t>ey activities are summarised below:</w:t>
      </w:r>
    </w:p>
    <w:p w14:paraId="76FD1111" w14:textId="77777777" w:rsidR="00E43AAD" w:rsidRPr="00776C0A" w:rsidRDefault="00E43AAD" w:rsidP="00585DA1">
      <w:pPr>
        <w:pStyle w:val="Heading3"/>
      </w:pPr>
      <w:r w:rsidRPr="00776C0A">
        <w:t xml:space="preserve">Increasing TVET Centre geographic coverage </w:t>
      </w:r>
    </w:p>
    <w:p w14:paraId="6584B781" w14:textId="77777777" w:rsidR="00571B05" w:rsidRPr="00571B05" w:rsidRDefault="0026558F" w:rsidP="004248E6">
      <w:pPr>
        <w:pStyle w:val="ListParagraph"/>
      </w:pPr>
      <w:r w:rsidRPr="0026558F">
        <w:rPr>
          <w:b/>
        </w:rPr>
        <w:t>T</w:t>
      </w:r>
      <w:r w:rsidR="0088348A" w:rsidRPr="0026558F">
        <w:rPr>
          <w:b/>
        </w:rPr>
        <w:t>he selection of Torba as the host province for a third TVET Centre</w:t>
      </w:r>
      <w:r w:rsidR="0088348A">
        <w:t xml:space="preserve"> at the end of 2013 followed a national competitive process with four provinces vying for the right to host the third Centre. Recruitment of new TVET Centre staff followed and the refurbishment of the Provincial Education Office to house the new TVET Centre was completed </w:t>
      </w:r>
      <w:r>
        <w:t>and officially opened by the Minister of Education and Training</w:t>
      </w:r>
      <w:r w:rsidRPr="0026558F">
        <w:t xml:space="preserve"> </w:t>
      </w:r>
      <w:r>
        <w:t xml:space="preserve">in November 2014. </w:t>
      </w:r>
      <w:r w:rsidR="0088348A">
        <w:t xml:space="preserve">The opening provided an opportunity for important awareness raising of the work of the TVET Centre and the impact that access to skill development services </w:t>
      </w:r>
      <w:r>
        <w:t>was</w:t>
      </w:r>
      <w:r w:rsidR="0088348A">
        <w:t xml:space="preserve"> already having on communities across the province. </w:t>
      </w:r>
    </w:p>
    <w:p w14:paraId="2F80B34B" w14:textId="77777777" w:rsidR="006A40FA" w:rsidRDefault="00E43AAD" w:rsidP="004248E6">
      <w:pPr>
        <w:pStyle w:val="ListParagraph"/>
      </w:pPr>
      <w:r w:rsidRPr="008D61B3">
        <w:rPr>
          <w:b/>
        </w:rPr>
        <w:t>Roll-out of TVET Centre operations in Tafea province</w:t>
      </w:r>
      <w:r w:rsidR="0026558F">
        <w:t xml:space="preserve"> followed in 2015 as part of an agreement between the GoV and GoA. This agreement included the GoV officially taking responsibility</w:t>
      </w:r>
      <w:r w:rsidR="009C0D83">
        <w:t xml:space="preserve"> through the Public Service Commission</w:t>
      </w:r>
      <w:r w:rsidR="0026558F">
        <w:t xml:space="preserve"> for three Provincial Training Coordinator positions as a pre-condition for Australian support to establish a fourth centre. </w:t>
      </w:r>
      <w:r w:rsidR="0006561C">
        <w:t xml:space="preserve">Following recruitment of personnel, </w:t>
      </w:r>
      <w:r w:rsidR="009C0D83">
        <w:t>Tafea TVET Centre operations began successfully but became significantly impacted by Cyclone Pam which caused widespread devastation across Tafea province. Following the cyclone, the focus of this Centre shifted from economic growth to cyclone recovery with activities focused on food security and shelter. Staff were accommodated in very limited space within the Provincial Education Office while a new purpose built TVET Centre was being constructed. The Program designed the building, negotiated with the Province for</w:t>
      </w:r>
      <w:r w:rsidR="0006561C">
        <w:t xml:space="preserve"> the provision of</w:t>
      </w:r>
      <w:r w:rsidR="009C0D83">
        <w:t xml:space="preserve"> a suitable site free of land disputes, conducted a competitive tender process to select the construction contractor, and oversaw the building program. The </w:t>
      </w:r>
      <w:r w:rsidR="0006561C">
        <w:t xml:space="preserve">new </w:t>
      </w:r>
      <w:r w:rsidR="009C0D83">
        <w:t xml:space="preserve">building was </w:t>
      </w:r>
      <w:r w:rsidR="0006561C">
        <w:t>handed over by the contractor</w:t>
      </w:r>
      <w:r w:rsidR="009C0D83">
        <w:t xml:space="preserve"> in </w:t>
      </w:r>
      <w:r w:rsidR="0006561C">
        <w:t>April 2016 and immediately occupied by Tafea TVET Centre staff.</w:t>
      </w:r>
    </w:p>
    <w:p w14:paraId="776B1F81" w14:textId="77777777" w:rsidR="0026558F" w:rsidRDefault="006A40FA" w:rsidP="006A40FA">
      <w:pPr>
        <w:widowControl/>
        <w:spacing w:before="0" w:after="0"/>
      </w:pPr>
      <w:r>
        <w:br w:type="page"/>
      </w:r>
    </w:p>
    <w:p w14:paraId="63A4A134" w14:textId="77777777" w:rsidR="00E43AAD" w:rsidRPr="00776C0A" w:rsidRDefault="00E43AAD" w:rsidP="00585DA1">
      <w:pPr>
        <w:pStyle w:val="Heading3"/>
      </w:pPr>
      <w:r w:rsidRPr="00776C0A">
        <w:t>Improving system structures and processes at the central and provincial levels</w:t>
      </w:r>
    </w:p>
    <w:p w14:paraId="3DC94625" w14:textId="14646A05" w:rsidR="0088260D" w:rsidRDefault="00A8190D" w:rsidP="004248E6">
      <w:pPr>
        <w:pStyle w:val="ListParagraph"/>
      </w:pPr>
      <w:r w:rsidRPr="00A8190D">
        <w:rPr>
          <w:b/>
        </w:rPr>
        <w:t>New National Structures.</w:t>
      </w:r>
      <w:r>
        <w:t xml:space="preserve"> </w:t>
      </w:r>
      <w:r w:rsidR="003C3E95">
        <w:t xml:space="preserve">As recommended by the National TVET Policy, the Program facilitated the review of the Vanuatu National Training Council </w:t>
      </w:r>
      <w:r w:rsidR="0088260D">
        <w:t xml:space="preserve">(VNTC) </w:t>
      </w:r>
      <w:r w:rsidR="003C3E95">
        <w:t>and the Ministry of Youth Development Sports and Training (MYDST) which</w:t>
      </w:r>
      <w:r w:rsidR="000F1149">
        <w:t>,</w:t>
      </w:r>
      <w:r w:rsidR="003C3E95">
        <w:t xml:space="preserve"> at the time</w:t>
      </w:r>
      <w:r w:rsidR="000F1149">
        <w:t>,</w:t>
      </w:r>
      <w:r w:rsidR="003C3E95">
        <w:t xml:space="preserve"> had responsibility for TVET.</w:t>
      </w:r>
      <w:r w:rsidR="0088260D">
        <w:t xml:space="preserve"> Following the review, the Program prepared Concept Papers that led to the adoption by Government of an entirely new structure for the oversight, quality assurance and management of TVET in Vanuatu. New legislation to </w:t>
      </w:r>
      <w:r w:rsidR="000F1149">
        <w:t xml:space="preserve">repeal the VNTC Act and to </w:t>
      </w:r>
      <w:r w:rsidR="0088260D">
        <w:t>establish the Vanuatu Qualifications Authority (VQA) was drafted with Program assistance and brought into law in 2015. Responsibility for management of TVET shifted from the MYSDT to the Ministry of Education which</w:t>
      </w:r>
      <w:r w:rsidR="000F1149">
        <w:t>, following Concept Paper recommendations,</w:t>
      </w:r>
      <w:r w:rsidR="0088260D">
        <w:t xml:space="preserve"> was restructured to include a Tertiary Education </w:t>
      </w:r>
      <w:r w:rsidR="00941E5B">
        <w:t>Directorate</w:t>
      </w:r>
      <w:r w:rsidR="0088260D">
        <w:t xml:space="preserve"> and renamed the Ministry of Education and Training</w:t>
      </w:r>
      <w:r w:rsidR="009C67E9">
        <w:t>.</w:t>
      </w:r>
    </w:p>
    <w:p w14:paraId="6D94D5C0" w14:textId="77777777" w:rsidR="000256A3" w:rsidRDefault="00E43AAD" w:rsidP="004248E6">
      <w:pPr>
        <w:pStyle w:val="ListParagraph"/>
      </w:pPr>
      <w:r w:rsidRPr="007C27F7">
        <w:rPr>
          <w:b/>
        </w:rPr>
        <w:t xml:space="preserve">PGTB strengthening. </w:t>
      </w:r>
      <w:r w:rsidRPr="007C27F7">
        <w:t>As part of the establishment of the new TVET Centre</w:t>
      </w:r>
      <w:r w:rsidR="00BE5FCA">
        <w:t>s</w:t>
      </w:r>
      <w:r w:rsidRPr="007C27F7">
        <w:t xml:space="preserve"> in </w:t>
      </w:r>
      <w:r w:rsidR="00BE5FCA">
        <w:t xml:space="preserve">Torba and </w:t>
      </w:r>
      <w:r w:rsidRPr="007C27F7">
        <w:t xml:space="preserve">Tafea, the Program worked with the VQA and </w:t>
      </w:r>
      <w:r w:rsidR="00BE5FCA">
        <w:t>respective</w:t>
      </w:r>
      <w:r w:rsidRPr="007C27F7">
        <w:t xml:space="preserve"> Provincial Government</w:t>
      </w:r>
      <w:r w:rsidR="00BE5FCA">
        <w:t>s</w:t>
      </w:r>
      <w:r w:rsidRPr="007C27F7">
        <w:t xml:space="preserve"> to strengthen the structure and operations of the </w:t>
      </w:r>
      <w:r w:rsidR="00685962">
        <w:t>Provincial Government Training Board</w:t>
      </w:r>
      <w:r w:rsidR="00BE5FCA">
        <w:t>s</w:t>
      </w:r>
      <w:r w:rsidR="00685962">
        <w:t xml:space="preserve"> (</w:t>
      </w:r>
      <w:r w:rsidRPr="007C27F7">
        <w:t>PGTB</w:t>
      </w:r>
      <w:r w:rsidR="00685962">
        <w:t>)</w:t>
      </w:r>
      <w:r w:rsidRPr="007C27F7">
        <w:t>, in line with VQA requirements</w:t>
      </w:r>
      <w:r w:rsidR="00BE5FCA">
        <w:t>.</w:t>
      </w:r>
      <w:r w:rsidRPr="007C27F7">
        <w:t xml:space="preserve"> </w:t>
      </w:r>
      <w:r w:rsidR="00BE5FCA">
        <w:t>Capacity building activities were provided</w:t>
      </w:r>
      <w:r w:rsidRPr="007C27F7">
        <w:t xml:space="preserve"> to ensure </w:t>
      </w:r>
      <w:r w:rsidR="00BE5FCA">
        <w:t xml:space="preserve">PGTB </w:t>
      </w:r>
      <w:r w:rsidRPr="007C27F7">
        <w:t>members</w:t>
      </w:r>
      <w:r>
        <w:t xml:space="preserve"> </w:t>
      </w:r>
      <w:r w:rsidR="00BE5FCA" w:rsidRPr="007C27F7">
        <w:t>underst</w:t>
      </w:r>
      <w:r w:rsidR="00BE5FCA">
        <w:t xml:space="preserve">ood </w:t>
      </w:r>
      <w:r w:rsidR="00BE5FCA" w:rsidRPr="007C27F7">
        <w:t>their</w:t>
      </w:r>
      <w:r>
        <w:t xml:space="preserve"> role</w:t>
      </w:r>
      <w:r w:rsidR="00BE5FCA">
        <w:t>s</w:t>
      </w:r>
      <w:r>
        <w:t>,</w:t>
      </w:r>
      <w:r w:rsidRPr="007C27F7">
        <w:t xml:space="preserve"> responsibilities and national TVET system linkages. This involved facilitation of visits from key PGTB members from other TVET Centre provinces to assist cross-provincial learning.</w:t>
      </w:r>
    </w:p>
    <w:p w14:paraId="01D91E91" w14:textId="77777777" w:rsidR="00A8190D" w:rsidRPr="000256A3" w:rsidRDefault="00A8190D" w:rsidP="004248E6">
      <w:pPr>
        <w:pStyle w:val="ListParagraph"/>
      </w:pPr>
      <w:r>
        <w:rPr>
          <w:b/>
        </w:rPr>
        <w:t xml:space="preserve">National </w:t>
      </w:r>
      <w:r w:rsidR="000B3B45">
        <w:rPr>
          <w:b/>
        </w:rPr>
        <w:t>agencies</w:t>
      </w:r>
      <w:r>
        <w:rPr>
          <w:b/>
        </w:rPr>
        <w:t xml:space="preserve"> capacity building. </w:t>
      </w:r>
      <w:r w:rsidRPr="00A8190D">
        <w:t>The</w:t>
      </w:r>
      <w:r>
        <w:t xml:space="preserve"> </w:t>
      </w:r>
      <w:r w:rsidRPr="004248E6">
        <w:t>Program</w:t>
      </w:r>
      <w:r>
        <w:t xml:space="preserve"> has provided considerable capacity building support across </w:t>
      </w:r>
      <w:r w:rsidR="000B3B45">
        <w:t>both the VQA and MoET</w:t>
      </w:r>
      <w:r>
        <w:t xml:space="preserve"> including:</w:t>
      </w:r>
    </w:p>
    <w:p w14:paraId="01763EE0" w14:textId="77777777" w:rsidR="00A56F5E" w:rsidRDefault="00A8190D" w:rsidP="004248E6">
      <w:pPr>
        <w:pStyle w:val="ListParagraph"/>
      </w:pPr>
      <w:r w:rsidRPr="00A132A6">
        <w:t xml:space="preserve">In collaboration with the VQA, the Program engaged a short-term Quality Management System (QMS) Adviser to work with VQA CEO and staff to develop an internal QMS that is in line with the Vanuatu Quality Assurance Framework </w:t>
      </w:r>
      <w:r>
        <w:t xml:space="preserve">(VQAF) </w:t>
      </w:r>
      <w:r w:rsidRPr="00A132A6">
        <w:t>and the Secretariat of the Pacific Community - Educational Quality and Assessment Programme. Improvements in the VQA’</w:t>
      </w:r>
      <w:r>
        <w:t>s QMS have</w:t>
      </w:r>
      <w:r w:rsidRPr="00A132A6">
        <w:t xml:space="preserve"> enabled the processing of re-registration of training providers, with 19 providers registered as at end 2015.</w:t>
      </w:r>
    </w:p>
    <w:p w14:paraId="3056D292" w14:textId="77777777" w:rsidR="00A56F5E" w:rsidRPr="00283720" w:rsidRDefault="00A56F5E" w:rsidP="004248E6">
      <w:pPr>
        <w:pStyle w:val="ListParagraph"/>
      </w:pPr>
      <w:r w:rsidRPr="0092735E">
        <w:t xml:space="preserve">The Program engaged technical assistance to review the existing trainer regulatory framework and it associated </w:t>
      </w:r>
      <w:r w:rsidR="006B3AE2">
        <w:t xml:space="preserve">qualifications </w:t>
      </w:r>
      <w:r w:rsidRPr="0092735E">
        <w:t xml:space="preserve">and to re-develop policies, strategies and qualifications to bring them in line with new </w:t>
      </w:r>
      <w:r>
        <w:t>VQA</w:t>
      </w:r>
      <w:r w:rsidRPr="0092735E">
        <w:t xml:space="preserve"> quality standards. The </w:t>
      </w:r>
      <w:r>
        <w:t xml:space="preserve">objective of the </w:t>
      </w:r>
      <w:r w:rsidRPr="0092735E">
        <w:t xml:space="preserve">new trainer qualification standards </w:t>
      </w:r>
      <w:r>
        <w:t>is to</w:t>
      </w:r>
      <w:r w:rsidRPr="0092735E">
        <w:t xml:space="preserve"> at least match regional quality standards and add further to the credibility of the Vanuatu quality system within a regional context. </w:t>
      </w:r>
    </w:p>
    <w:p w14:paraId="0DD9088C" w14:textId="77777777" w:rsidR="00A8190D" w:rsidRDefault="00A8190D" w:rsidP="004248E6">
      <w:pPr>
        <w:pStyle w:val="ListParagraph"/>
      </w:pPr>
      <w:r>
        <w:t>Through its</w:t>
      </w:r>
      <w:r w:rsidRPr="00577831">
        <w:t xml:space="preserve"> Curriculum Specialist,</w:t>
      </w:r>
      <w:r>
        <w:t xml:space="preserve"> and in a capacity</w:t>
      </w:r>
      <w:r w:rsidRPr="00577831">
        <w:t xml:space="preserve"> strengthening relationship with key </w:t>
      </w:r>
      <w:r>
        <w:t xml:space="preserve">national </w:t>
      </w:r>
      <w:r w:rsidRPr="00577831">
        <w:t xml:space="preserve">providers and </w:t>
      </w:r>
      <w:r>
        <w:t>Rural Training Centres (</w:t>
      </w:r>
      <w:r w:rsidRPr="00577831">
        <w:t>RTCs</w:t>
      </w:r>
      <w:r>
        <w:t>)</w:t>
      </w:r>
      <w:r w:rsidRPr="00577831">
        <w:t xml:space="preserve">, </w:t>
      </w:r>
      <w:r>
        <w:t>the Program has established</w:t>
      </w:r>
      <w:r w:rsidRPr="00577831">
        <w:t xml:space="preserve"> models for course accreditation in line with the VQAF and the new national training packages. </w:t>
      </w:r>
      <w:r>
        <w:t>With a focus</w:t>
      </w:r>
      <w:r w:rsidRPr="00577831">
        <w:t xml:space="preserve"> on priority demand area</w:t>
      </w:r>
      <w:r>
        <w:t>s</w:t>
      </w:r>
      <w:r w:rsidRPr="00577831">
        <w:t xml:space="preserve"> in the Post-Pam environment</w:t>
      </w:r>
      <w:r>
        <w:t xml:space="preserve"> – construction and tourism rebuilding -</w:t>
      </w:r>
      <w:r w:rsidRPr="00577831">
        <w:t xml:space="preserve"> the qualifications developed include Certificate I in Tourism (Tour Guiding), Certificate I in Tourism (Accommodation Services), </w:t>
      </w:r>
      <w:r>
        <w:t>C</w:t>
      </w:r>
      <w:r w:rsidRPr="00577831">
        <w:t>ertificate 1 in For</w:t>
      </w:r>
      <w:r>
        <w:t>e</w:t>
      </w:r>
      <w:r w:rsidRPr="00577831">
        <w:t xml:space="preserve">stry and Forest Product, </w:t>
      </w:r>
      <w:r>
        <w:t>Certificate</w:t>
      </w:r>
      <w:r w:rsidRPr="00577831">
        <w:t xml:space="preserve"> 1 in Business </w:t>
      </w:r>
      <w:r>
        <w:t xml:space="preserve">(Rural Book-keeping) </w:t>
      </w:r>
      <w:r w:rsidRPr="00577831">
        <w:t xml:space="preserve">and </w:t>
      </w:r>
      <w:r>
        <w:t>Certificate 2</w:t>
      </w:r>
      <w:r w:rsidRPr="00577831">
        <w:t xml:space="preserve"> in </w:t>
      </w:r>
      <w:r>
        <w:t>C</w:t>
      </w:r>
      <w:r w:rsidRPr="00577831">
        <w:t>onstruction.</w:t>
      </w:r>
      <w:r>
        <w:t xml:space="preserve"> Pilot</w:t>
      </w:r>
      <w:r w:rsidRPr="00577831">
        <w:t xml:space="preserve"> deliver</w:t>
      </w:r>
      <w:r>
        <w:t>y</w:t>
      </w:r>
      <w:r w:rsidRPr="00577831">
        <w:t xml:space="preserve"> of the latter qualification focused on the construction of a</w:t>
      </w:r>
      <w:r>
        <w:t xml:space="preserve"> Komuniti Haos</w:t>
      </w:r>
      <w:r w:rsidRPr="00577831">
        <w:t xml:space="preserve"> </w:t>
      </w:r>
      <w:r>
        <w:t>in Ta</w:t>
      </w:r>
      <w:r w:rsidRPr="00577831">
        <w:t xml:space="preserve">fea province. </w:t>
      </w:r>
      <w:r>
        <w:t xml:space="preserve">Models have blended formal training with action plan coaching and included locally-driven teaching and learning material development. </w:t>
      </w:r>
    </w:p>
    <w:p w14:paraId="5A299D90" w14:textId="77777777" w:rsidR="00A8190D" w:rsidRDefault="00A8190D" w:rsidP="004248E6">
      <w:pPr>
        <w:pStyle w:val="ListParagraph"/>
      </w:pPr>
      <w:r>
        <w:t>The Program has also supported more efficient internal VQA processes through the development of the on-line Accreditation Toolkit but unfortunately, ongoing organisational issues within the VQA has meant that final course accreditation of the qualifications cited above has not as yet taken place.</w:t>
      </w:r>
    </w:p>
    <w:p w14:paraId="098E9670" w14:textId="77777777" w:rsidR="000B3B45" w:rsidRDefault="000B3B45" w:rsidP="004248E6">
      <w:pPr>
        <w:pStyle w:val="ListParagraph"/>
      </w:pPr>
      <w:r>
        <w:t xml:space="preserve">The Program facilitated a study tour for the VQA CEO and selected VQA Board members to the Samoa Qualifications Authority which culminated in the signing of an MoU between the two agencies focused on mutual support and resource sharing.   </w:t>
      </w:r>
    </w:p>
    <w:p w14:paraId="3E2DFEE2" w14:textId="77777777" w:rsidR="00E43AAD" w:rsidRDefault="00E43AAD" w:rsidP="004248E6">
      <w:pPr>
        <w:pStyle w:val="ListParagraph"/>
      </w:pPr>
      <w:r w:rsidRPr="00A132A6">
        <w:t>Following the appointment of the new Director for Tertiary Education, the Program, particularly through the Team Leader</w:t>
      </w:r>
      <w:r w:rsidR="0079183E">
        <w:t xml:space="preserve"> (TL)</w:t>
      </w:r>
      <w:r w:rsidRPr="00A132A6">
        <w:t xml:space="preserve"> and Technical Director, has concertedly built a strong working relationship with this key counterpart. The </w:t>
      </w:r>
      <w:r w:rsidR="0079183E">
        <w:t>TL</w:t>
      </w:r>
      <w:r w:rsidRPr="00A132A6">
        <w:t xml:space="preserve"> is now part of the regular internal meetings of the Directorate.</w:t>
      </w:r>
    </w:p>
    <w:p w14:paraId="059806C9" w14:textId="77777777" w:rsidR="00E43AAD" w:rsidRPr="00A132A6" w:rsidRDefault="00E43AAD" w:rsidP="004248E6">
      <w:pPr>
        <w:pStyle w:val="ListParagraph"/>
      </w:pPr>
      <w:r w:rsidRPr="00A132A6">
        <w:t>In response to a direct request from the GoV, the Program</w:t>
      </w:r>
      <w:r w:rsidR="000B3B45">
        <w:t xml:space="preserve"> </w:t>
      </w:r>
      <w:r w:rsidRPr="00A132A6">
        <w:t xml:space="preserve">has facilitated the review of the current national TVET policy and the collaborative development of </w:t>
      </w:r>
      <w:r w:rsidR="000B3B45">
        <w:t>a</w:t>
      </w:r>
      <w:r w:rsidRPr="00A132A6">
        <w:t xml:space="preserve"> new </w:t>
      </w:r>
      <w:r w:rsidR="000B3B45">
        <w:t>Post School Education and Training (</w:t>
      </w:r>
      <w:r w:rsidRPr="00A132A6">
        <w:t>PSET</w:t>
      </w:r>
      <w:r w:rsidR="000B3B45">
        <w:t>)</w:t>
      </w:r>
      <w:r w:rsidRPr="00A132A6">
        <w:t xml:space="preserve"> policy.</w:t>
      </w:r>
    </w:p>
    <w:p w14:paraId="344908F7" w14:textId="77777777" w:rsidR="00961DF6" w:rsidRDefault="00961DF6" w:rsidP="004248E6">
      <w:pPr>
        <w:pStyle w:val="ListParagraph"/>
      </w:pPr>
      <w:r w:rsidRPr="00961DF6">
        <w:t>A significant Program output</w:t>
      </w:r>
      <w:r>
        <w:t>, following extensive consultation and collaboration with key disability support agencies,</w:t>
      </w:r>
      <w:r w:rsidRPr="00961DF6">
        <w:t xml:space="preserve"> has been the </w:t>
      </w:r>
      <w:r w:rsidRPr="0079183E">
        <w:rPr>
          <w:i/>
        </w:rPr>
        <w:t>National TVET Sector Disability Inclusion Strategy</w:t>
      </w:r>
      <w:r>
        <w:t>. Based on the results of the Strategy, the MoET requested the Program to develop the first national disability inclusion policy for the sector. In parallel, the Program supported a ‘</w:t>
      </w:r>
      <w:r w:rsidRPr="00786360">
        <w:t>Toolkit for Disability Inclusion’ that is enabling TVET</w:t>
      </w:r>
      <w:r>
        <w:t xml:space="preserve"> Centre staff to continue promoting and supporting inclusion in skills development. In 2015, 8% of participants had a disability and at least half of these are experiencing positive changes in their livelihoods through skill development. Successful outcomes and approaches have been captured in the new DVD produced by the Program, ‘</w:t>
      </w:r>
      <w:r w:rsidRPr="00776C0A">
        <w:t>Skills for All: Disability inclusion, bisnis blong yumi everiwan</w:t>
      </w:r>
      <w:r>
        <w:t>’.</w:t>
      </w:r>
    </w:p>
    <w:p w14:paraId="70E9AB31" w14:textId="77777777" w:rsidR="00E43AAD" w:rsidRPr="009B086D" w:rsidRDefault="000B3B45" w:rsidP="004248E6">
      <w:pPr>
        <w:pStyle w:val="ListParagraph"/>
      </w:pPr>
      <w:r>
        <w:t>With specialist technical assistance, t</w:t>
      </w:r>
      <w:r w:rsidR="00E43AAD" w:rsidRPr="009B086D">
        <w:t xml:space="preserve">he Program </w:t>
      </w:r>
      <w:r>
        <w:t xml:space="preserve">developed a </w:t>
      </w:r>
      <w:r w:rsidRPr="009B086D">
        <w:t xml:space="preserve">National Language, Literacy and Numeracy </w:t>
      </w:r>
      <w:r>
        <w:t>(</w:t>
      </w:r>
      <w:r w:rsidRPr="009B086D">
        <w:t>LLN</w:t>
      </w:r>
      <w:r>
        <w:t>)</w:t>
      </w:r>
      <w:r w:rsidRPr="009B086D">
        <w:t xml:space="preserve"> Framework</w:t>
      </w:r>
      <w:r>
        <w:t xml:space="preserve"> and more recently</w:t>
      </w:r>
      <w:r w:rsidRPr="009B086D">
        <w:t xml:space="preserve"> </w:t>
      </w:r>
      <w:r w:rsidR="00E43AAD" w:rsidRPr="009B086D">
        <w:t xml:space="preserve">has been working </w:t>
      </w:r>
      <w:r w:rsidR="00E43AAD">
        <w:t xml:space="preserve">with </w:t>
      </w:r>
      <w:r w:rsidR="00E43AAD" w:rsidRPr="009B086D">
        <w:t>the VQA</w:t>
      </w:r>
      <w:r w:rsidR="00E43AAD">
        <w:t>, MoET</w:t>
      </w:r>
      <w:r w:rsidR="00E43AAD" w:rsidRPr="009B086D">
        <w:t xml:space="preserve"> and </w:t>
      </w:r>
      <w:r w:rsidR="00E43AAD">
        <w:t>key training providers</w:t>
      </w:r>
      <w:r w:rsidR="00E43AAD" w:rsidRPr="009B086D">
        <w:t xml:space="preserve"> to pilot </w:t>
      </w:r>
      <w:r>
        <w:t>a</w:t>
      </w:r>
      <w:r w:rsidR="00E43AAD" w:rsidRPr="009B086D">
        <w:t xml:space="preserve"> new LLN</w:t>
      </w:r>
      <w:r w:rsidR="00E43AAD">
        <w:t xml:space="preserve"> Diagnostic Tool. </w:t>
      </w:r>
      <w:r w:rsidR="00E43AAD" w:rsidRPr="009B086D">
        <w:t>The aim is to ensure that the Tool aligns with the National LLN Framework descriptors and levels, that it provides meaningful LLN data to inform curriculum development and training delivery, and to develop a pool of practitioners that are competent in conducting LLN assessments. A National Adult LLN Pilot Working Group has been established which, informed by the results of the pilot, will then oversee the development of a national Workplace LLN strat</w:t>
      </w:r>
      <w:r w:rsidR="00E43AAD">
        <w:t>egy.</w:t>
      </w:r>
    </w:p>
    <w:p w14:paraId="4F59713C" w14:textId="77777777" w:rsidR="00E43AAD" w:rsidRPr="002077F4" w:rsidRDefault="00E43AAD" w:rsidP="00585DA1">
      <w:pPr>
        <w:pStyle w:val="Heading3"/>
      </w:pPr>
      <w:r w:rsidRPr="002077F4">
        <w:t>Building sectoral human resource/technical capacity</w:t>
      </w:r>
    </w:p>
    <w:p w14:paraId="3559DD25" w14:textId="77777777" w:rsidR="00E43AAD" w:rsidRPr="002077F4" w:rsidRDefault="00E43AAD" w:rsidP="004248E6">
      <w:pPr>
        <w:pStyle w:val="ListParagraph"/>
      </w:pPr>
      <w:r w:rsidRPr="002077F4">
        <w:t xml:space="preserve">The Program has continued to support the professional development of TVET Centre staff as leaders of the developing TVET system in Vanuatu. </w:t>
      </w:r>
      <w:r w:rsidR="00D8354F">
        <w:t>A</w:t>
      </w:r>
      <w:r w:rsidR="00D8354F" w:rsidRPr="002077F4">
        <w:t xml:space="preserve">s well as a series of province-specific strategic </w:t>
      </w:r>
      <w:r w:rsidR="00D8354F">
        <w:t>planning workshops, ‘w</w:t>
      </w:r>
      <w:r w:rsidRPr="002077F4">
        <w:t>hole-of-Program</w:t>
      </w:r>
      <w:r w:rsidR="00D8354F">
        <w:t>’</w:t>
      </w:r>
      <w:r w:rsidRPr="002077F4">
        <w:t xml:space="preserve"> staff capacity building/strategic planning </w:t>
      </w:r>
      <w:r w:rsidR="00D8354F">
        <w:t>workshops</w:t>
      </w:r>
      <w:r w:rsidRPr="002077F4">
        <w:t xml:space="preserve"> ha</w:t>
      </w:r>
      <w:r w:rsidR="00D8354F">
        <w:t>ve</w:t>
      </w:r>
      <w:r w:rsidRPr="002077F4">
        <w:t xml:space="preserve"> been conducted</w:t>
      </w:r>
      <w:r w:rsidR="00D8354F">
        <w:t xml:space="preserve"> bi-annually</w:t>
      </w:r>
      <w:r w:rsidRPr="002077F4">
        <w:t>.</w:t>
      </w:r>
      <w:r>
        <w:t xml:space="preserve"> Senior management </w:t>
      </w:r>
      <w:r w:rsidR="00D8354F">
        <w:t>have been</w:t>
      </w:r>
      <w:r>
        <w:t xml:space="preserve"> supported to participate in leadership training</w:t>
      </w:r>
      <w:r w:rsidR="00D8354F">
        <w:t xml:space="preserve"> including a Diploma of Management delivered by the Australian Pacific Technical College</w:t>
      </w:r>
      <w:r w:rsidR="00147A9E">
        <w:t xml:space="preserve"> (APTC)</w:t>
      </w:r>
      <w:r w:rsidR="00D8354F">
        <w:t>.</w:t>
      </w:r>
      <w:r>
        <w:t xml:space="preserve"> </w:t>
      </w:r>
      <w:r w:rsidR="00D8354F">
        <w:t xml:space="preserve">More recently senior management </w:t>
      </w:r>
      <w:r w:rsidR="0070377E">
        <w:t xml:space="preserve">have </w:t>
      </w:r>
      <w:r w:rsidR="00D8354F">
        <w:t>participate</w:t>
      </w:r>
      <w:r w:rsidR="0070377E">
        <w:t>d</w:t>
      </w:r>
      <w:r w:rsidR="00D8354F">
        <w:t xml:space="preserve"> in a </w:t>
      </w:r>
      <w:r>
        <w:t xml:space="preserve">DFAT-funded Pacific Leadership Program focused on ‘Adaptive Leadership within Organisations’. The Implementation Adviser has also provided ongoing on-the-job coaching to the local Team Leader to enable </w:t>
      </w:r>
      <w:r w:rsidR="00D8354F">
        <w:t>continuing growth of</w:t>
      </w:r>
      <w:r>
        <w:t xml:space="preserve"> local </w:t>
      </w:r>
      <w:r w:rsidR="00D8354F">
        <w:t xml:space="preserve">Program </w:t>
      </w:r>
      <w:r>
        <w:t xml:space="preserve">leadership. </w:t>
      </w:r>
    </w:p>
    <w:p w14:paraId="53859FD2" w14:textId="77777777" w:rsidR="00E43AAD" w:rsidRPr="002077F4" w:rsidRDefault="00E43AAD" w:rsidP="004248E6">
      <w:pPr>
        <w:pStyle w:val="ListParagraph"/>
      </w:pPr>
      <w:r w:rsidRPr="002077F4">
        <w:t xml:space="preserve">The Program has coordinated and supported the acquisition of </w:t>
      </w:r>
      <w:r w:rsidR="00147A9E">
        <w:t xml:space="preserve">APTC </w:t>
      </w:r>
      <w:r w:rsidR="00147A9E" w:rsidRPr="002077F4">
        <w:t xml:space="preserve">Certificate IV TAE </w:t>
      </w:r>
      <w:r w:rsidRPr="002077F4">
        <w:t xml:space="preserve">qualifications for selected key personnel from </w:t>
      </w:r>
      <w:r w:rsidR="00147A9E">
        <w:t>the Vanuatu Agriculture College (</w:t>
      </w:r>
      <w:r w:rsidRPr="002077F4">
        <w:t>VAC</w:t>
      </w:r>
      <w:r w:rsidR="00147A9E">
        <w:t>)</w:t>
      </w:r>
      <w:r w:rsidRPr="002077F4">
        <w:t xml:space="preserve">, the </w:t>
      </w:r>
      <w:r w:rsidR="00147A9E">
        <w:t>Department of Tourism (</w:t>
      </w:r>
      <w:r w:rsidRPr="002077F4">
        <w:t>DoT</w:t>
      </w:r>
      <w:r w:rsidR="00147A9E">
        <w:t>)</w:t>
      </w:r>
      <w:r w:rsidRPr="002077F4">
        <w:t>, and individuals with high demand industry skills and experience but no formal training qualifications</w:t>
      </w:r>
      <w:r w:rsidR="00147A9E">
        <w:t>.</w:t>
      </w:r>
      <w:r>
        <w:t xml:space="preserve"> These trainers have then been affiliated with registered providers to deliver training through the TVET Centres.</w:t>
      </w:r>
    </w:p>
    <w:p w14:paraId="48510ACA" w14:textId="77777777" w:rsidR="00E43AAD" w:rsidRDefault="00E43AAD" w:rsidP="004248E6">
      <w:pPr>
        <w:pStyle w:val="ListParagraph"/>
      </w:pPr>
      <w:r w:rsidRPr="002077F4">
        <w:t>Intensive capacity building has continued to be provided to the local trainers involved in both training delivery and the development of contextually appropriate teaching and learning resources for the new qualifications, which also meet the requirements of the VQA guidelines for the development of training packa</w:t>
      </w:r>
      <w:r>
        <w:t>ge support material, and the national standards</w:t>
      </w:r>
      <w:r w:rsidRPr="002077F4">
        <w:t xml:space="preserve"> of </w:t>
      </w:r>
      <w:r>
        <w:t xml:space="preserve">the </w:t>
      </w:r>
      <w:r w:rsidRPr="002077F4">
        <w:t xml:space="preserve">Department of Tourism (DoT). </w:t>
      </w:r>
      <w:r>
        <w:t>The c</w:t>
      </w:r>
      <w:r w:rsidRPr="002077F4">
        <w:t>apacity of affiliated trainers (specifically those who have recently completed Certificate IV TAE) has also been strengthened through a targeted program providing coaching in competency-based training delivery and assessment in outer island locations.</w:t>
      </w:r>
      <w:r>
        <w:t xml:space="preserve"> Trainer capacity remains, however, an ongoing limitation of the TVET system and needs to be concertedly addressed through the Phase 4 Program.</w:t>
      </w:r>
    </w:p>
    <w:p w14:paraId="6817B681" w14:textId="77777777" w:rsidR="00E43AAD" w:rsidRPr="004F40D7" w:rsidRDefault="00E43AAD" w:rsidP="004248E6">
      <w:pPr>
        <w:pStyle w:val="ListParagraph"/>
        <w:rPr>
          <w:rFonts w:eastAsia="Times New Roman" w:cs="Tahoma"/>
          <w:color w:val="000000"/>
        </w:rPr>
      </w:pPr>
      <w:r>
        <w:t xml:space="preserve">In addition to upskilling key DoT staff through supporting successful completion of a </w:t>
      </w:r>
      <w:r>
        <w:rPr>
          <w:rFonts w:eastAsia="Times New Roman"/>
        </w:rPr>
        <w:t>Certificate IV TAE</w:t>
      </w:r>
      <w:r>
        <w:t xml:space="preserve"> with the APTC, other key DoT capacity building activities have included: a) Malampa DoT staff mentored to a stage where they are able to independently  coach all Malekula tourism businesses; b) one-on-one support provided to the </w:t>
      </w:r>
      <w:r w:rsidRPr="00260CD1">
        <w:rPr>
          <w:rFonts w:eastAsia="Times New Roman"/>
        </w:rPr>
        <w:t>National Cruise Tourism Offi</w:t>
      </w:r>
      <w:r>
        <w:t xml:space="preserve">cer to coordinate skill development activity at selected Ports of Call; c) conduct of ‘Disability Inclusion and </w:t>
      </w:r>
      <w:r>
        <w:rPr>
          <w:rFonts w:eastAsia="Times New Roman"/>
        </w:rPr>
        <w:t>Accessible Tourism</w:t>
      </w:r>
      <w:r>
        <w:t>’</w:t>
      </w:r>
      <w:r>
        <w:rPr>
          <w:rFonts w:eastAsia="Times New Roman"/>
        </w:rPr>
        <w:t xml:space="preserve"> workshop for</w:t>
      </w:r>
      <w:r w:rsidRPr="00260CD1">
        <w:rPr>
          <w:rFonts w:eastAsia="Times New Roman"/>
        </w:rPr>
        <w:t xml:space="preserve"> all D</w:t>
      </w:r>
      <w:r>
        <w:t xml:space="preserve">oT staff; e) collaborative </w:t>
      </w:r>
      <w:r>
        <w:rPr>
          <w:lang w:val="en-AU"/>
        </w:rPr>
        <w:t xml:space="preserve">design </w:t>
      </w:r>
      <w:r w:rsidRPr="004F40D7">
        <w:rPr>
          <w:lang w:val="en-AU"/>
        </w:rPr>
        <w:t xml:space="preserve">of an interactive </w:t>
      </w:r>
      <w:r>
        <w:rPr>
          <w:lang w:val="en-AU"/>
        </w:rPr>
        <w:t>‘</w:t>
      </w:r>
      <w:r w:rsidRPr="004F40D7">
        <w:rPr>
          <w:lang w:val="en-AU"/>
        </w:rPr>
        <w:t>Product Development Toolkit</w:t>
      </w:r>
      <w:r>
        <w:rPr>
          <w:lang w:val="en-AU"/>
        </w:rPr>
        <w:t>’</w:t>
      </w:r>
      <w:r w:rsidRPr="004F40D7">
        <w:rPr>
          <w:lang w:val="en-AU"/>
        </w:rPr>
        <w:t xml:space="preserve"> for DoT Officers including </w:t>
      </w:r>
      <w:r w:rsidRPr="00260CD1">
        <w:t xml:space="preserve">Product </w:t>
      </w:r>
      <w:r w:rsidRPr="00FE0B53">
        <w:t>Development (coaching) Guidelines</w:t>
      </w:r>
      <w:r>
        <w:t>, and the ‘Marketing Guidelines for Rural Tourism Businesses’.</w:t>
      </w:r>
    </w:p>
    <w:p w14:paraId="70C16BDF" w14:textId="77777777" w:rsidR="00E43AAD" w:rsidRPr="00153661" w:rsidRDefault="00E43AAD" w:rsidP="00585DA1">
      <w:pPr>
        <w:pStyle w:val="Heading3"/>
      </w:pPr>
      <w:r w:rsidRPr="00153661">
        <w:t>Increasing GoV and GoA support for, and investment in, the TVET Centre model through strategic communications</w:t>
      </w:r>
    </w:p>
    <w:p w14:paraId="47543143" w14:textId="77777777" w:rsidR="00EF6BB5" w:rsidRPr="00EF6BB5" w:rsidRDefault="00E43AAD" w:rsidP="004248E6">
      <w:pPr>
        <w:pStyle w:val="ListParagraph"/>
        <w:rPr>
          <w:rFonts w:eastAsia="Times New Roman"/>
        </w:rPr>
      </w:pPr>
      <w:r w:rsidRPr="00277E6E">
        <w:t xml:space="preserve">The Program has continued to direct efforts to its national/international media and communications campaign to build understanding of, and advocacy for, GoV and GoA commitment to the TVET sector and the TVET Centre model in Vanuatu. </w:t>
      </w:r>
      <w:r w:rsidR="00EF0CCA">
        <w:t xml:space="preserve">Following on from a series of DVDs in Phase 2 including the </w:t>
      </w:r>
      <w:r w:rsidR="005C5C35">
        <w:t>frequently</w:t>
      </w:r>
      <w:r w:rsidR="00EF0CCA">
        <w:t xml:space="preserve"> viewed </w:t>
      </w:r>
      <w:r w:rsidR="00EF0CCA" w:rsidRPr="00EF6BB5">
        <w:rPr>
          <w:i/>
        </w:rPr>
        <w:t>TVET for Tourism</w:t>
      </w:r>
      <w:r w:rsidR="00EF0CCA">
        <w:t xml:space="preserve"> program, the Program has continued to use this effective medium</w:t>
      </w:r>
      <w:r w:rsidR="00EF6BB5">
        <w:t xml:space="preserve"> to produce </w:t>
      </w:r>
      <w:r w:rsidR="00EF6BB5" w:rsidRPr="00EF6BB5">
        <w:rPr>
          <w:i/>
        </w:rPr>
        <w:t>Skilling Women Empowering Communities</w:t>
      </w:r>
      <w:r w:rsidR="00EF6BB5">
        <w:t xml:space="preserve"> and </w:t>
      </w:r>
      <w:r w:rsidR="00EF6BB5" w:rsidRPr="00EF6BB5">
        <w:rPr>
          <w:i/>
        </w:rPr>
        <w:t>Skills for All – Disability Inclusion – Bisnis blong yumi evriwan</w:t>
      </w:r>
      <w:r w:rsidR="00EF6BB5">
        <w:t xml:space="preserve"> in Phase 3. </w:t>
      </w:r>
      <w:r w:rsidR="00EF6BB5" w:rsidRPr="00277E6E">
        <w:t xml:space="preserve">There has been wide dissemination of </w:t>
      </w:r>
      <w:r w:rsidR="005C5C35">
        <w:t>these</w:t>
      </w:r>
      <w:r w:rsidR="00EF6BB5" w:rsidRPr="00277E6E">
        <w:t xml:space="preserve"> Gender </w:t>
      </w:r>
      <w:r w:rsidR="00EF6BB5">
        <w:t>and Disability Inclusion DVDs, bo</w:t>
      </w:r>
      <w:r w:rsidR="00EF6BB5" w:rsidRPr="00277E6E">
        <w:t xml:space="preserve">th domestically and </w:t>
      </w:r>
      <w:r w:rsidR="00EF6BB5">
        <w:t>internationally, including on third-party websites.</w:t>
      </w:r>
    </w:p>
    <w:p w14:paraId="03F2BCDF" w14:textId="77777777" w:rsidR="001642DB" w:rsidRPr="00EF6BB5" w:rsidRDefault="005C5C35" w:rsidP="004248E6">
      <w:pPr>
        <w:pStyle w:val="ListParagraph"/>
        <w:rPr>
          <w:rFonts w:eastAsia="Times New Roman"/>
        </w:rPr>
      </w:pPr>
      <w:r>
        <w:t>Program</w:t>
      </w:r>
      <w:r w:rsidR="00EF6BB5">
        <w:t xml:space="preserve"> </w:t>
      </w:r>
      <w:r>
        <w:t>DVDs</w:t>
      </w:r>
      <w:r w:rsidR="00EF6BB5">
        <w:t xml:space="preserve"> together with a comprehensive range of other material including reports, photographs and numerous media clippings are all freely available on the Program’s website – </w:t>
      </w:r>
      <w:hyperlink r:id="rId24" w:history="1">
        <w:r w:rsidR="00EF6BB5" w:rsidRPr="002F19D6">
          <w:rPr>
            <w:rStyle w:val="Hyperlink"/>
          </w:rPr>
          <w:t>www.vanuatutvet.org.vu</w:t>
        </w:r>
      </w:hyperlink>
      <w:r w:rsidR="00EF6BB5" w:rsidRPr="00EF6BB5">
        <w:t xml:space="preserve"> </w:t>
      </w:r>
      <w:r w:rsidR="00EF6BB5">
        <w:t xml:space="preserve"> </w:t>
      </w:r>
      <w:r w:rsidR="00EF6BB5" w:rsidRPr="00277E6E">
        <w:t xml:space="preserve">The Program has continued to update its website to reflect Program achievements and publications and in 2015 there were </w:t>
      </w:r>
      <w:r w:rsidR="00EF6BB5" w:rsidRPr="00277E6E">
        <w:rPr>
          <w:rFonts w:eastAsia="Times New Roman"/>
        </w:rPr>
        <w:t>6</w:t>
      </w:r>
      <w:r w:rsidR="00EF6BB5">
        <w:rPr>
          <w:rFonts w:eastAsia="Times New Roman"/>
        </w:rPr>
        <w:t>,</w:t>
      </w:r>
      <w:r w:rsidR="00EF6BB5" w:rsidRPr="00277E6E">
        <w:rPr>
          <w:rFonts w:eastAsia="Times New Roman"/>
        </w:rPr>
        <w:t>662 sessions with 13</w:t>
      </w:r>
      <w:r w:rsidR="00EF6BB5">
        <w:rPr>
          <w:rFonts w:eastAsia="Times New Roman"/>
        </w:rPr>
        <w:t>,</w:t>
      </w:r>
      <w:r w:rsidR="00EF6BB5" w:rsidRPr="00277E6E">
        <w:rPr>
          <w:rFonts w:eastAsia="Times New Roman"/>
        </w:rPr>
        <w:t>340 page views</w:t>
      </w:r>
      <w:r w:rsidR="00EF6BB5" w:rsidRPr="00277E6E">
        <w:t xml:space="preserve"> recorded</w:t>
      </w:r>
      <w:r w:rsidR="00EF6BB5">
        <w:t>,</w:t>
      </w:r>
      <w:r w:rsidR="00EF6BB5" w:rsidRPr="00277E6E">
        <w:t xml:space="preserve"> up from</w:t>
      </w:r>
      <w:r w:rsidR="00EF6BB5" w:rsidRPr="00277E6E">
        <w:rPr>
          <w:rFonts w:eastAsia="Times New Roman"/>
        </w:rPr>
        <w:t xml:space="preserve"> 1962 sessions with 5</w:t>
      </w:r>
      <w:r w:rsidR="00EF6BB5">
        <w:rPr>
          <w:rFonts w:eastAsia="Times New Roman"/>
        </w:rPr>
        <w:t>,</w:t>
      </w:r>
      <w:r w:rsidR="00EF6BB5" w:rsidRPr="00277E6E">
        <w:rPr>
          <w:rFonts w:eastAsia="Times New Roman"/>
        </w:rPr>
        <w:t>042 page views</w:t>
      </w:r>
      <w:r w:rsidR="00EF6BB5" w:rsidRPr="00277E6E">
        <w:t xml:space="preserve"> in 2014</w:t>
      </w:r>
      <w:r w:rsidR="00EF6BB5">
        <w:t>.</w:t>
      </w:r>
    </w:p>
    <w:p w14:paraId="12446F36" w14:textId="77777777" w:rsidR="00E43AAD" w:rsidRPr="00277E6E" w:rsidRDefault="00E43AAD" w:rsidP="004248E6">
      <w:pPr>
        <w:pStyle w:val="ListParagraph"/>
        <w:rPr>
          <w:rFonts w:eastAsia="Times New Roman"/>
        </w:rPr>
      </w:pPr>
      <w:r>
        <w:t>Strategic</w:t>
      </w:r>
      <w:r w:rsidRPr="00277E6E">
        <w:t xml:space="preserve"> communication of Program outcomes and approaches has led to high-level recognition of Program impact within the GoV, including in the</w:t>
      </w:r>
      <w:r>
        <w:t xml:space="preserve"> 2016 bi-annual</w:t>
      </w:r>
      <w:r w:rsidRPr="00277E6E">
        <w:t xml:space="preserve"> </w:t>
      </w:r>
      <w:r w:rsidR="00EF6BB5">
        <w:t>National Trade Development Committee</w:t>
      </w:r>
      <w:r w:rsidR="00EF6BB5" w:rsidRPr="00277E6E">
        <w:t xml:space="preserve"> </w:t>
      </w:r>
      <w:r w:rsidR="00EF6BB5">
        <w:t>(</w:t>
      </w:r>
      <w:r w:rsidRPr="00277E6E">
        <w:t>NDTC</w:t>
      </w:r>
      <w:r w:rsidR="00EF6BB5">
        <w:t>)</w:t>
      </w:r>
      <w:r w:rsidRPr="00277E6E">
        <w:t xml:space="preserve"> report</w:t>
      </w:r>
      <w:r>
        <w:t>, in which two of its</w:t>
      </w:r>
      <w:r w:rsidRPr="00277E6E">
        <w:t xml:space="preserve"> three national highlights were directly attri</w:t>
      </w:r>
      <w:r>
        <w:t>butable</w:t>
      </w:r>
      <w:r w:rsidRPr="00277E6E">
        <w:t xml:space="preserve"> to </w:t>
      </w:r>
      <w:r w:rsidR="0079183E">
        <w:t xml:space="preserve">the </w:t>
      </w:r>
      <w:r w:rsidR="0079183E" w:rsidRPr="00277E6E">
        <w:t xml:space="preserve">Program </w:t>
      </w:r>
      <w:r w:rsidR="0079183E">
        <w:t xml:space="preserve">- </w:t>
      </w:r>
      <w:r w:rsidRPr="00277E6E">
        <w:t>provincial touris</w:t>
      </w:r>
      <w:r>
        <w:t>m development and Sanma aquacul</w:t>
      </w:r>
      <w:r w:rsidR="0079183E">
        <w:t>ture development</w:t>
      </w:r>
      <w:r w:rsidRPr="00277E6E">
        <w:t xml:space="preserve">. </w:t>
      </w:r>
    </w:p>
    <w:p w14:paraId="666B26EF" w14:textId="77777777" w:rsidR="00E43AAD" w:rsidRPr="001A1D93" w:rsidRDefault="00E43AAD" w:rsidP="00E43AAD">
      <w:pPr>
        <w:pStyle w:val="Heading2"/>
      </w:pPr>
      <w:bookmarkStart w:id="15" w:name="_Toc385346329"/>
      <w:bookmarkStart w:id="16" w:name="_Toc452561635"/>
      <w:bookmarkStart w:id="17" w:name="_Toc456600679"/>
      <w:r>
        <w:t>3</w:t>
      </w:r>
      <w:r w:rsidRPr="001A1D93">
        <w:t>.2</w:t>
      </w:r>
      <w:r w:rsidRPr="001A1D93">
        <w:tab/>
        <w:t>KRA 2: Provincial Skills Development Coordination</w:t>
      </w:r>
      <w:bookmarkEnd w:id="15"/>
      <w:bookmarkEnd w:id="16"/>
      <w:bookmarkEnd w:id="17"/>
    </w:p>
    <w:p w14:paraId="37C18122" w14:textId="77777777" w:rsidR="007065AF" w:rsidRDefault="00E43AAD" w:rsidP="00E43AAD">
      <w:r w:rsidRPr="001A1D93">
        <w:t xml:space="preserve">Improving coordination in the planning and delivery of skill development services has focused around three key areas: </w:t>
      </w:r>
    </w:p>
    <w:p w14:paraId="1583B4D2" w14:textId="77777777" w:rsidR="007065AF" w:rsidRDefault="00E43AAD" w:rsidP="005F699B">
      <w:pPr>
        <w:pStyle w:val="ListParagraph"/>
        <w:numPr>
          <w:ilvl w:val="0"/>
          <w:numId w:val="16"/>
        </w:numPr>
        <w:ind w:firstLine="66"/>
      </w:pPr>
      <w:r w:rsidRPr="001A1D93">
        <w:t>strengthening coordination structures and processes at the provincial level;</w:t>
      </w:r>
    </w:p>
    <w:p w14:paraId="78BC89FE" w14:textId="77777777" w:rsidR="007065AF" w:rsidRDefault="00E43AAD" w:rsidP="005F699B">
      <w:pPr>
        <w:pStyle w:val="ListParagraph"/>
        <w:numPr>
          <w:ilvl w:val="0"/>
          <w:numId w:val="16"/>
        </w:numPr>
        <w:ind w:left="851" w:hanging="425"/>
      </w:pPr>
      <w:r w:rsidRPr="001A1D93">
        <w:t xml:space="preserve">improving coordination between national and provincial sectoral stakeholders; and </w:t>
      </w:r>
    </w:p>
    <w:p w14:paraId="7406CDD5" w14:textId="77777777" w:rsidR="007065AF" w:rsidRDefault="00E43AAD" w:rsidP="005F699B">
      <w:pPr>
        <w:pStyle w:val="ListParagraph"/>
        <w:numPr>
          <w:ilvl w:val="0"/>
          <w:numId w:val="16"/>
        </w:numPr>
        <w:ind w:left="851" w:hanging="425"/>
      </w:pPr>
      <w:r w:rsidRPr="001A1D93">
        <w:t xml:space="preserve">building multi-sectoral partnerships at the provincial level to maximise skill development impact. </w:t>
      </w:r>
    </w:p>
    <w:p w14:paraId="44134842" w14:textId="77777777" w:rsidR="00E43AAD" w:rsidRPr="001A1D93" w:rsidRDefault="00E43AAD" w:rsidP="007065AF">
      <w:r w:rsidRPr="001A1D93">
        <w:t>Key activities are summarised below:</w:t>
      </w:r>
    </w:p>
    <w:p w14:paraId="32C7EAC3" w14:textId="77777777" w:rsidR="00E43AAD" w:rsidRPr="001A1D93" w:rsidRDefault="00E43AAD" w:rsidP="00585DA1">
      <w:pPr>
        <w:pStyle w:val="Heading3"/>
      </w:pPr>
      <w:r w:rsidRPr="00DA16A9">
        <w:t>Strengthening</w:t>
      </w:r>
      <w:r w:rsidRPr="001A1D93">
        <w:t xml:space="preserve"> coordination structures and processes at the provincial level</w:t>
      </w:r>
    </w:p>
    <w:p w14:paraId="3A860C10" w14:textId="77777777" w:rsidR="007065AF" w:rsidRPr="007065AF" w:rsidRDefault="007065AF" w:rsidP="004248E6">
      <w:pPr>
        <w:pStyle w:val="ListParagraph"/>
      </w:pPr>
      <w:r>
        <w:t>Engagement with provincial governments and provincial productive sector departments through Provincial Government Training Boards(PGTBs) has been a primary coordination strategy</w:t>
      </w:r>
      <w:r w:rsidR="00ED5FB9">
        <w:t xml:space="preserve"> since TVET Centres were first established in Phase 2</w:t>
      </w:r>
      <w:r>
        <w:t xml:space="preserve">. PGTBs have played a pivotal role in determining provincial skill development priorities, the development of provincial skills plans, and advocacy for national TVET reform to improve provincial service delivery of skills training. </w:t>
      </w:r>
      <w:r w:rsidR="00E07EA0">
        <w:t>Their strength of advocacy is attributable to the evidence base generated by the Program’s monitoring and evaluation system in which PGTB members have played a direct role in data analysis, evaluation and presentation in national fora such as the Strategic Advisory Group. W</w:t>
      </w:r>
      <w:r>
        <w:t>orking closely with TVET Centre staff, PGTBs also</w:t>
      </w:r>
      <w:r w:rsidR="00ED5FB9">
        <w:t xml:space="preserve"> play a role in funding approvals for accredited skills training and business development support services </w:t>
      </w:r>
      <w:r w:rsidR="00E07EA0">
        <w:t xml:space="preserve">to ensure </w:t>
      </w:r>
      <w:r w:rsidR="00D63B44">
        <w:t>funded activities</w:t>
      </w:r>
      <w:r w:rsidR="00E07EA0">
        <w:t xml:space="preserve"> are</w:t>
      </w:r>
      <w:r w:rsidR="00ED5FB9">
        <w:t xml:space="preserve"> aligned to provincial economic development priorities.</w:t>
      </w:r>
    </w:p>
    <w:p w14:paraId="438997C1" w14:textId="59351C8D" w:rsidR="00A36411" w:rsidRPr="007B20F1" w:rsidRDefault="00A36411" w:rsidP="004248E6">
      <w:pPr>
        <w:pStyle w:val="ListParagraph"/>
      </w:pPr>
      <w:r w:rsidRPr="007B20F1">
        <w:t xml:space="preserve">Capacity building </w:t>
      </w:r>
      <w:r>
        <w:t>of PGTB</w:t>
      </w:r>
      <w:r w:rsidRPr="007B20F1">
        <w:t xml:space="preserve"> members</w:t>
      </w:r>
      <w:r>
        <w:t xml:space="preserve"> </w:t>
      </w:r>
      <w:r w:rsidRPr="007B20F1">
        <w:t xml:space="preserve">has been ongoing </w:t>
      </w:r>
      <w:r>
        <w:t>through technical</w:t>
      </w:r>
      <w:r w:rsidRPr="007B20F1">
        <w:t xml:space="preserve"> TVET Centre staff in </w:t>
      </w:r>
      <w:r>
        <w:t>each of the</w:t>
      </w:r>
      <w:r w:rsidRPr="007B20F1">
        <w:t xml:space="preserve"> provinces</w:t>
      </w:r>
      <w:r>
        <w:t xml:space="preserve">. </w:t>
      </w:r>
      <w:r w:rsidR="00AC56C6">
        <w:t xml:space="preserve">The response from the different PGTBs has been variable, so the Program continues to provide support with the </w:t>
      </w:r>
      <w:r>
        <w:t xml:space="preserve">purpose </w:t>
      </w:r>
      <w:r w:rsidRPr="007B20F1">
        <w:t xml:space="preserve">to increase PGTB involvement in training planning, and monitoring and evaluation, and strengthening their function as a skills advisory body for the TVET Centres, as well as ensuring inclusive representation, particularly of women’s groups and </w:t>
      </w:r>
      <w:r w:rsidR="00472031">
        <w:t>disabled people’s organisations (</w:t>
      </w:r>
      <w:r w:rsidRPr="007B20F1">
        <w:t>DPOs</w:t>
      </w:r>
      <w:r w:rsidR="00472031">
        <w:t>)</w:t>
      </w:r>
      <w:r w:rsidRPr="007B20F1">
        <w:t>.</w:t>
      </w:r>
    </w:p>
    <w:p w14:paraId="108FAE11" w14:textId="77777777" w:rsidR="00D63B44" w:rsidRPr="007B20F1" w:rsidRDefault="00D63B44" w:rsidP="004248E6">
      <w:pPr>
        <w:pStyle w:val="ListParagraph"/>
      </w:pPr>
      <w:r w:rsidRPr="007B20F1">
        <w:t>The Program has continued to strengthen engagement with Area Secretaries across all TVET Centre provinces, and many are now playing a greater role in training needs identification, participant selection and logistical coordination arrangements.</w:t>
      </w:r>
    </w:p>
    <w:p w14:paraId="73158BAD" w14:textId="607632B7" w:rsidR="00D63B44" w:rsidRPr="00DA16A9" w:rsidRDefault="00D63B44" w:rsidP="004248E6">
      <w:pPr>
        <w:pStyle w:val="ListParagraph"/>
      </w:pPr>
      <w:r w:rsidRPr="007B20F1">
        <w:t>Efforts have been directed to strengthening the industry and productive sector associations tha</w:t>
      </w:r>
      <w:r>
        <w:t xml:space="preserve">t have emerged from </w:t>
      </w:r>
      <w:r w:rsidRPr="007B20F1">
        <w:t xml:space="preserve">TVET Centre skill development activities. </w:t>
      </w:r>
      <w:r w:rsidR="00D741DE">
        <w:t>For example,</w:t>
      </w:r>
      <w:r w:rsidRPr="007B20F1">
        <w:t xml:space="preserve"> the Pinalum Women’s Market Association in Malekula formed by women having participated in TVET Centre agriculture trainings. Through the </w:t>
      </w:r>
      <w:r>
        <w:t>strength of the association, the women fa</w:t>
      </w:r>
      <w:r w:rsidR="00F278FC">
        <w:t>r</w:t>
      </w:r>
      <w:r>
        <w:t>mers have been able to lobby for, and secure,</w:t>
      </w:r>
      <w:r w:rsidRPr="007B20F1">
        <w:t xml:space="preserve"> a land space as a market area for the sale of their products.</w:t>
      </w:r>
      <w:r>
        <w:t xml:space="preserve"> </w:t>
      </w:r>
      <w:r w:rsidR="00D741DE">
        <w:t>Another example,</w:t>
      </w:r>
      <w:r w:rsidRPr="007B20F1">
        <w:t xml:space="preserve"> the Port Olry Tourism Zone Committee</w:t>
      </w:r>
      <w:r>
        <w:t xml:space="preserve"> has been provided with targeted</w:t>
      </w:r>
      <w:r w:rsidRPr="007B20F1">
        <w:t xml:space="preserve"> capacity building support</w:t>
      </w:r>
      <w:r>
        <w:t>. This has focused on assisting the</w:t>
      </w:r>
      <w:r w:rsidRPr="007B20F1">
        <w:t xml:space="preserve"> diverse community and industry stakeholders </w:t>
      </w:r>
      <w:r>
        <w:t xml:space="preserve">to </w:t>
      </w:r>
      <w:r w:rsidRPr="007B20F1">
        <w:t xml:space="preserve">work together in a coordinated and harmonious manner </w:t>
      </w:r>
      <w:r>
        <w:t>to ensure</w:t>
      </w:r>
      <w:r w:rsidRPr="007B20F1">
        <w:t xml:space="preserve"> that the area remains a popular destination for both cruise</w:t>
      </w:r>
      <w:r w:rsidR="00D741DE">
        <w:t xml:space="preserve"> ship</w:t>
      </w:r>
      <w:r w:rsidRPr="007B20F1">
        <w:t xml:space="preserve"> </w:t>
      </w:r>
      <w:r>
        <w:t>passengers and air arrivals, un</w:t>
      </w:r>
      <w:r w:rsidRPr="007B20F1">
        <w:t xml:space="preserve">compromised by community conflict. </w:t>
      </w:r>
    </w:p>
    <w:p w14:paraId="1C9C7352" w14:textId="77777777" w:rsidR="00E43AAD" w:rsidRPr="001A1D93" w:rsidRDefault="00D741DE" w:rsidP="004248E6">
      <w:pPr>
        <w:pStyle w:val="ListParagraph"/>
      </w:pPr>
      <w:r w:rsidRPr="00D741DE">
        <w:t xml:space="preserve">The strength of the TVET Centres as </w:t>
      </w:r>
      <w:r>
        <w:t xml:space="preserve">effective </w:t>
      </w:r>
      <w:r w:rsidRPr="00D741DE">
        <w:t xml:space="preserve">coordination centres was illustrated in February </w:t>
      </w:r>
      <w:r w:rsidR="00F728E6" w:rsidRPr="00D741DE">
        <w:t>2015,</w:t>
      </w:r>
      <w:r w:rsidR="00F728E6">
        <w:rPr>
          <w:b/>
        </w:rPr>
        <w:t xml:space="preserve"> </w:t>
      </w:r>
      <w:r w:rsidR="00F728E6">
        <w:t>following</w:t>
      </w:r>
      <w:r w:rsidR="00E43AAD" w:rsidRPr="001A1D93">
        <w:t xml:space="preserve"> Cyclone Pam</w:t>
      </w:r>
      <w:r>
        <w:t>.</w:t>
      </w:r>
      <w:r w:rsidR="00E43AAD" w:rsidRPr="001A1D93">
        <w:t xml:space="preserve"> TVET Program senior management concentrated efforts on ensuring the operations of the new TVET Centre in Tafea </w:t>
      </w:r>
      <w:r w:rsidR="00E43AAD">
        <w:t>contributed to</w:t>
      </w:r>
      <w:r w:rsidR="00E43AAD" w:rsidRPr="001A1D93">
        <w:t xml:space="preserve"> coordinating reconstruction activity in a complex post-disaster environment. </w:t>
      </w:r>
      <w:r>
        <w:t>S</w:t>
      </w:r>
      <w:r w:rsidR="00E43AAD" w:rsidRPr="001A1D93">
        <w:t>trong relationships</w:t>
      </w:r>
      <w:r>
        <w:t xml:space="preserve"> were built</w:t>
      </w:r>
      <w:r w:rsidR="00E43AAD" w:rsidRPr="001A1D93">
        <w:t xml:space="preserve"> across government, international NGOs and civil society</w:t>
      </w:r>
      <w:r>
        <w:t>.</w:t>
      </w:r>
      <w:r w:rsidR="00E43AAD" w:rsidRPr="001A1D93">
        <w:t xml:space="preserve"> </w:t>
      </w:r>
      <w:r>
        <w:t xml:space="preserve">As well, </w:t>
      </w:r>
      <w:r w:rsidR="00E43AAD" w:rsidRPr="001A1D93">
        <w:t>the Tafea PGTB</w:t>
      </w:r>
      <w:r>
        <w:t xml:space="preserve"> was </w:t>
      </w:r>
      <w:r w:rsidR="00F728E6">
        <w:t xml:space="preserve">supported to enable it </w:t>
      </w:r>
      <w:r w:rsidR="00E43AAD">
        <w:t>to function as</w:t>
      </w:r>
      <w:r w:rsidR="00E43AAD" w:rsidRPr="001A1D93">
        <w:t xml:space="preserve"> the key skills development coordination mechanism for the province. Activity in this latter area focused around the updating of the Tafea Skills Plan</w:t>
      </w:r>
      <w:r w:rsidR="00057A4D">
        <w:t>.</w:t>
      </w:r>
      <w:r w:rsidR="00E43AAD" w:rsidRPr="001A1D93">
        <w:t xml:space="preserve"> </w:t>
      </w:r>
    </w:p>
    <w:p w14:paraId="3900D3DA" w14:textId="77777777" w:rsidR="00E43AAD" w:rsidRPr="00FF0091" w:rsidRDefault="00E43AAD" w:rsidP="00585DA1">
      <w:pPr>
        <w:pStyle w:val="Heading3"/>
      </w:pPr>
      <w:r w:rsidRPr="00FF0091">
        <w:t>Improving coordination between national and provincial sectoral stakeholders</w:t>
      </w:r>
    </w:p>
    <w:p w14:paraId="6FCC1B79" w14:textId="5F3CA1B8" w:rsidR="00E43AAD" w:rsidRPr="00FF0091" w:rsidRDefault="003C14E2" w:rsidP="004248E6">
      <w:pPr>
        <w:pStyle w:val="ListParagraph"/>
      </w:pPr>
      <w:r w:rsidRPr="00D01F24">
        <w:t xml:space="preserve">In May 2013, the Program initiated </w:t>
      </w:r>
      <w:r>
        <w:t>and</w:t>
      </w:r>
      <w:r w:rsidRPr="00D01F24">
        <w:t xml:space="preserve"> establish</w:t>
      </w:r>
      <w:r>
        <w:t xml:space="preserve">ed </w:t>
      </w:r>
      <w:r w:rsidRPr="00D01F24">
        <w:t xml:space="preserve">a formal MoU </w:t>
      </w:r>
      <w:r>
        <w:t>(</w:t>
      </w:r>
      <w:r w:rsidRPr="00FF0091">
        <w:t>‘TVE</w:t>
      </w:r>
      <w:r>
        <w:t>T for Tourism Work Program’) with</w:t>
      </w:r>
      <w:r w:rsidRPr="00D01F24">
        <w:t xml:space="preserve"> the Department of Tourism (DoT) which, as reported by the Director DoT, has been an important factor in improved coordination between DoT officers at the national and provincial levels, and has provided a collaboratively agreed roadmap to guide delivery of skill development services to support this sector.</w:t>
      </w:r>
      <w:r>
        <w:t xml:space="preserve"> </w:t>
      </w:r>
      <w:r w:rsidRPr="003C14E2">
        <w:t xml:space="preserve">This MOU has been renewed annually and </w:t>
      </w:r>
      <w:r>
        <w:t xml:space="preserve">is </w:t>
      </w:r>
      <w:r w:rsidR="00E43AAD" w:rsidRPr="00FF0091">
        <w:t xml:space="preserve">now providing a coordination model for other sectors. </w:t>
      </w:r>
    </w:p>
    <w:p w14:paraId="0446E387" w14:textId="77777777" w:rsidR="00E43AAD" w:rsidRDefault="003C14E2" w:rsidP="004248E6">
      <w:pPr>
        <w:pStyle w:val="ListParagraph"/>
      </w:pPr>
      <w:r w:rsidRPr="00D01F24">
        <w:t>While engagement at the national level from some key productive sector</w:t>
      </w:r>
      <w:r>
        <w:t>s</w:t>
      </w:r>
      <w:r w:rsidRPr="00D01F24">
        <w:t xml:space="preserve">, namely Agriculture, </w:t>
      </w:r>
      <w:r w:rsidR="00E17DF8">
        <w:t xml:space="preserve">Livestock, </w:t>
      </w:r>
      <w:r w:rsidRPr="00D01F24">
        <w:t>Fisheries and Forestry ha</w:t>
      </w:r>
      <w:r w:rsidR="00E17DF8">
        <w:t>d</w:t>
      </w:r>
      <w:r w:rsidRPr="00D01F24">
        <w:t xml:space="preserve"> been disappointing, a breakthrough was achieved through the productive sector skills planning workshop for these </w:t>
      </w:r>
      <w:r w:rsidR="00E17DF8">
        <w:t>four</w:t>
      </w:r>
      <w:r w:rsidRPr="00D01F24">
        <w:t xml:space="preserve"> </w:t>
      </w:r>
      <w:r>
        <w:t>areas</w:t>
      </w:r>
      <w:r w:rsidRPr="00D01F24">
        <w:t xml:space="preserve"> held in March 2014 in Luganville.</w:t>
      </w:r>
      <w:r w:rsidR="00F3062B">
        <w:t xml:space="preserve"> This led to a formal MOU with the Ministry of Agriculture, Livestock, Forestry, </w:t>
      </w:r>
      <w:r w:rsidR="00F3062B" w:rsidRPr="00F3062B">
        <w:t>Fisheries and Bio-security (</w:t>
      </w:r>
      <w:r w:rsidR="00E43AAD" w:rsidRPr="00F3062B">
        <w:t>MALFFB</w:t>
      </w:r>
      <w:r w:rsidR="00F3062B" w:rsidRPr="00F3062B">
        <w:t>)</w:t>
      </w:r>
      <w:r w:rsidR="00E43AAD" w:rsidRPr="00F3062B">
        <w:t>. The Program continue</w:t>
      </w:r>
      <w:r w:rsidR="00E17DF8">
        <w:t>s</w:t>
      </w:r>
      <w:r w:rsidR="00E43AAD" w:rsidRPr="00F3062B">
        <w:t xml:space="preserve"> to advocate for improved</w:t>
      </w:r>
      <w:r w:rsidR="00E43AAD" w:rsidRPr="00A518C5">
        <w:t xml:space="preserve"> coordination regarding skills development </w:t>
      </w:r>
      <w:r w:rsidR="00E17DF8">
        <w:t xml:space="preserve">through this MOU </w:t>
      </w:r>
      <w:r w:rsidR="00E43AAD">
        <w:t xml:space="preserve">and the subsidiary MoUs with the individual departments. Anecdotal evidence collected through the Program’s M&amp;E indicates that it has been due to the evidence of </w:t>
      </w:r>
      <w:r w:rsidR="00A770A4">
        <w:t xml:space="preserve">measurable economic </w:t>
      </w:r>
      <w:r w:rsidR="00E43AAD">
        <w:t xml:space="preserve">outcomes at the provincial level </w:t>
      </w:r>
      <w:r w:rsidR="00A770A4">
        <w:t>(</w:t>
      </w:r>
      <w:r w:rsidR="00E43AAD">
        <w:t>achieved through the collaboration between the provincial department and the TVET Centre</w:t>
      </w:r>
      <w:r w:rsidR="00A770A4">
        <w:t>)</w:t>
      </w:r>
      <w:r w:rsidR="00E43AAD">
        <w:t xml:space="preserve"> that has been a catalyst for increased decentralisation of funding. </w:t>
      </w:r>
    </w:p>
    <w:p w14:paraId="2E935B2E" w14:textId="77777777" w:rsidR="00C873E4" w:rsidRDefault="00E43AAD" w:rsidP="004248E6">
      <w:pPr>
        <w:pStyle w:val="ListParagraph"/>
      </w:pPr>
      <w:r w:rsidRPr="007E0D69">
        <w:t xml:space="preserve">The MoU signed between the Ministry of Justice and Community Services and the Program in December 2014 has also enabled the TVET Centres to work closely with the Department of Women’s Affairs </w:t>
      </w:r>
      <w:r>
        <w:t xml:space="preserve">(DoWA) </w:t>
      </w:r>
      <w:r w:rsidRPr="007E0D69">
        <w:t>for the ongoing support to the Malampa Handicraft Centre</w:t>
      </w:r>
      <w:r>
        <w:t xml:space="preserve"> (MHC)</w:t>
      </w:r>
      <w:r w:rsidRPr="007E0D69">
        <w:t xml:space="preserve">. The successful model </w:t>
      </w:r>
      <w:r>
        <w:t>of the MHC</w:t>
      </w:r>
      <w:r w:rsidRPr="007E0D69">
        <w:t xml:space="preserve"> has informed the decision of the DoWA to work with the Torba TVET Centre, the Department of Agriculture, the Torba Provincial Government and relevant communities to secure funding from DFAT’s Direct Aid Program to build a Market House in Sola which will also be used as a Handicraft Centre. </w:t>
      </w:r>
    </w:p>
    <w:p w14:paraId="661DC2D5" w14:textId="77777777" w:rsidR="00E43AAD" w:rsidRPr="001A1D93" w:rsidRDefault="00E43AAD" w:rsidP="00585DA1">
      <w:pPr>
        <w:pStyle w:val="Heading3"/>
      </w:pPr>
      <w:r w:rsidRPr="001A1D93">
        <w:t xml:space="preserve">Building multi-sectoral partnerships to maximise skill development impact </w:t>
      </w:r>
    </w:p>
    <w:p w14:paraId="1EC85E64" w14:textId="33800377" w:rsidR="0047245F" w:rsidRDefault="00E43AAD" w:rsidP="004248E6">
      <w:pPr>
        <w:pStyle w:val="ListParagraph"/>
      </w:pPr>
      <w:r w:rsidRPr="00722814">
        <w:t xml:space="preserve">The Program has continued to build linkages across sectors and with other donor partners </w:t>
      </w:r>
      <w:r w:rsidR="00831BE8">
        <w:t xml:space="preserve">(e.g. Peace Corp volunteers) </w:t>
      </w:r>
      <w:r w:rsidRPr="00722814">
        <w:t>to maximise skill development impact. This has been most successful in the tourism sector across the provinces, particularly with the NZ Aid Programme</w:t>
      </w:r>
      <w:r w:rsidR="0047245F">
        <w:t>. T</w:t>
      </w:r>
      <w:r>
        <w:t xml:space="preserve">hrough formalised partnerships </w:t>
      </w:r>
      <w:r w:rsidR="0047245F">
        <w:t>there has been</w:t>
      </w:r>
      <w:r>
        <w:t xml:space="preserve"> </w:t>
      </w:r>
      <w:r w:rsidRPr="00722814">
        <w:t>a significant number of Volunteer Service Abroad (VSA) personnel in both Sanma and Malampa provinces, specifically with regard to the strengthening of operations of the Sanma and Malampa Call Centres</w:t>
      </w:r>
      <w:r w:rsidR="0047245F">
        <w:t xml:space="preserve"> </w:t>
      </w:r>
      <w:r w:rsidRPr="00722814">
        <w:t xml:space="preserve">and in the consolidation of the Malampa Handicraft Centre. </w:t>
      </w:r>
    </w:p>
    <w:p w14:paraId="07D9E338" w14:textId="77777777" w:rsidR="007A59C0" w:rsidRDefault="00E43AAD" w:rsidP="004248E6">
      <w:pPr>
        <w:pStyle w:val="ListParagraph"/>
      </w:pPr>
      <w:r w:rsidRPr="00722814">
        <w:t xml:space="preserve">The Program has also partnered with the </w:t>
      </w:r>
      <w:r w:rsidR="0047245F">
        <w:t>Pacific Horticulture and Agriculture Market Access (</w:t>
      </w:r>
      <w:r w:rsidRPr="00722814">
        <w:t>PHAMA</w:t>
      </w:r>
      <w:r w:rsidR="0047245F">
        <w:t>)</w:t>
      </w:r>
      <w:r w:rsidRPr="00722814">
        <w:t xml:space="preserve"> Program and the Tourism Ambassador Program to facilitate improved market access for handicraft producers in the outer islands. Relationships have been established with international NGOs such as CARE and Live and Learn, the latter with regard to the production and sale of value-added products to cruise tourists at Champagne Beach. </w:t>
      </w:r>
    </w:p>
    <w:p w14:paraId="4CEE9A5C" w14:textId="77777777" w:rsidR="00E43AAD" w:rsidRPr="00DA16A9" w:rsidRDefault="007A59C0" w:rsidP="004248E6">
      <w:pPr>
        <w:pStyle w:val="ListParagraph"/>
      </w:pPr>
      <w:r>
        <w:t>S</w:t>
      </w:r>
      <w:r w:rsidR="00E43AAD" w:rsidRPr="00722814">
        <w:t>trengthening of formal partnerships with the private sector is ongoing</w:t>
      </w:r>
      <w:r w:rsidR="00871FCF">
        <w:t>.</w:t>
      </w:r>
      <w:r w:rsidR="00E43AAD" w:rsidRPr="00722814">
        <w:t xml:space="preserve"> </w:t>
      </w:r>
      <w:r w:rsidR="00871FCF">
        <w:t>B</w:t>
      </w:r>
      <w:r w:rsidR="00E43AAD" w:rsidRPr="00722814">
        <w:t xml:space="preserve">ased on the success of the Sanma and Malampa Call Centres, both of which are now fully sustainable, </w:t>
      </w:r>
      <w:r w:rsidR="00871FCF">
        <w:t>Telecom Vanuatu Limited (</w:t>
      </w:r>
      <w:r w:rsidR="00E43AAD" w:rsidRPr="00722814">
        <w:t>TVL</w:t>
      </w:r>
      <w:r w:rsidR="00871FCF">
        <w:t>)</w:t>
      </w:r>
      <w:r w:rsidR="00E43AAD" w:rsidRPr="00722814">
        <w:t xml:space="preserve"> has indicated its desire to partner again with the Program in the establishment of a new Call Centre in Tafea province in Phase 4.</w:t>
      </w:r>
    </w:p>
    <w:p w14:paraId="78A48C0B" w14:textId="77777777" w:rsidR="00E43AAD" w:rsidRPr="001F3D2F" w:rsidRDefault="00E43AAD" w:rsidP="00E43AAD">
      <w:pPr>
        <w:pStyle w:val="Heading2"/>
      </w:pPr>
      <w:bookmarkStart w:id="18" w:name="_Toc452561636"/>
      <w:bookmarkStart w:id="19" w:name="_Toc456600680"/>
      <w:r w:rsidRPr="00ED483A">
        <w:t>3.3</w:t>
      </w:r>
      <w:r w:rsidRPr="00ED483A">
        <w:tab/>
        <w:t>KRA 3: Training, Business Development and Employment</w:t>
      </w:r>
      <w:bookmarkEnd w:id="18"/>
      <w:bookmarkEnd w:id="19"/>
    </w:p>
    <w:p w14:paraId="5B9D6CEB" w14:textId="77777777" w:rsidR="00BB6C62" w:rsidRDefault="00BB6C62" w:rsidP="00E43AAD">
      <w:r>
        <w:t xml:space="preserve">TVET Centres have now been established in </w:t>
      </w:r>
      <w:r w:rsidR="00057A4D">
        <w:t>4</w:t>
      </w:r>
      <w:r>
        <w:t xml:space="preserve"> provinces. Two were established during Phase 2</w:t>
      </w:r>
      <w:r w:rsidRPr="00BB6C62">
        <w:t xml:space="preserve"> </w:t>
      </w:r>
      <w:r>
        <w:t xml:space="preserve">in Malampa and Sanma provinces following a national competitive bidding process across the </w:t>
      </w:r>
      <w:r w:rsidR="00057A4D">
        <w:t>6</w:t>
      </w:r>
      <w:r>
        <w:t xml:space="preserve"> provinces. Early in Phase 3 another competitive bidding process was undertaken across </w:t>
      </w:r>
      <w:r w:rsidR="00057A4D">
        <w:t>4</w:t>
      </w:r>
      <w:r>
        <w:t xml:space="preserve"> provinces resulting in the selection by </w:t>
      </w:r>
      <w:r w:rsidR="00057A4D">
        <w:t>a GoV committee of Torba. The Torba TVET C</w:t>
      </w:r>
      <w:r>
        <w:t xml:space="preserve">entre commenced in 2014 </w:t>
      </w:r>
      <w:r w:rsidR="00057A4D">
        <w:t>in a purposively reconstructed part of the Provincial Education Office.</w:t>
      </w:r>
    </w:p>
    <w:p w14:paraId="41685501" w14:textId="6AF752EE" w:rsidR="00B071A2" w:rsidRDefault="00BB6C62" w:rsidP="00E43AAD">
      <w:r>
        <w:t xml:space="preserve">The competitive process generated a high level of interest across the provinces and in response the GoV sought Australian assistance to </w:t>
      </w:r>
      <w:r w:rsidR="00B071A2">
        <w:t xml:space="preserve">develop a fourth centre in the south to serve the Tafea Province. While there was some expectation in the Phase 3 design that a small coordination unit might emerge in a fourth province, the establishment of a fully functioning fourth centre was not provided for. Nevertheless, the Australian Government agreed to support this expansion conditional on increased levels of financial commitment by the GoV.  This was provided with the GoV formalising three provincial coordinator positions within the Vanuatu public service and progressively filling TVET related positions in the new Tertiary Education Division of the MoET. As a </w:t>
      </w:r>
      <w:r w:rsidR="0089536A">
        <w:t>result,</w:t>
      </w:r>
      <w:r w:rsidR="00B071A2">
        <w:t xml:space="preserve"> the </w:t>
      </w:r>
      <w:r w:rsidR="00F278FC">
        <w:t xml:space="preserve">Tafea </w:t>
      </w:r>
      <w:r w:rsidR="00B071A2">
        <w:t xml:space="preserve">TVET Centre commenced at the beginning of 2015 </w:t>
      </w:r>
      <w:r w:rsidR="0089536A">
        <w:t xml:space="preserve">(just prior to Cyclone Pam) </w:t>
      </w:r>
      <w:r w:rsidR="00B071A2">
        <w:t xml:space="preserve">and </w:t>
      </w:r>
      <w:r w:rsidR="008714A0">
        <w:t xml:space="preserve">in April 2016 </w:t>
      </w:r>
      <w:r w:rsidR="00B071A2">
        <w:t xml:space="preserve">moved into a purpose built </w:t>
      </w:r>
      <w:r w:rsidR="0089536A">
        <w:t>centre</w:t>
      </w:r>
      <w:r w:rsidR="008714A0">
        <w:t xml:space="preserve"> on land provided by the Tafea Provincial Council</w:t>
      </w:r>
      <w:r w:rsidR="0089536A">
        <w:t>.</w:t>
      </w:r>
    </w:p>
    <w:p w14:paraId="5A91D4D6" w14:textId="77777777" w:rsidR="0089536A" w:rsidRDefault="00570DE4" w:rsidP="00E43AAD">
      <w:r>
        <w:t>In each province, the TVET Centres operate as coordination hubs to facilitate the determination of skill development priorities and to arrange</w:t>
      </w:r>
      <w:r w:rsidR="00C873E4">
        <w:t>,</w:t>
      </w:r>
      <w:r>
        <w:t xml:space="preserve"> in response</w:t>
      </w:r>
      <w:r w:rsidR="00C873E4">
        <w:t>,</w:t>
      </w:r>
      <w:r>
        <w:t xml:space="preserve"> suitable skill development interventions including accredited training, business development support services and information technology support for clients.</w:t>
      </w:r>
    </w:p>
    <w:p w14:paraId="279F0EE7" w14:textId="77777777" w:rsidR="005A2A03" w:rsidRDefault="00570DE4" w:rsidP="00E43AAD">
      <w:r>
        <w:t>T</w:t>
      </w:r>
      <w:r w:rsidR="005A2A03">
        <w:t xml:space="preserve">hroughout Phase 3 </w:t>
      </w:r>
      <w:r>
        <w:t>i</w:t>
      </w:r>
      <w:r w:rsidRPr="00987783">
        <w:t xml:space="preserve">mplementation of TVET Centre skills development activity </w:t>
      </w:r>
      <w:r w:rsidR="005A2A03">
        <w:t>has focused on:</w:t>
      </w:r>
    </w:p>
    <w:p w14:paraId="1C0B82BF" w14:textId="77777777" w:rsidR="00E43AAD" w:rsidRPr="00987783" w:rsidRDefault="00E43AAD" w:rsidP="004248E6">
      <w:pPr>
        <w:pStyle w:val="ListParagraph"/>
      </w:pPr>
      <w:r w:rsidRPr="00987783">
        <w:t>More targeted selection of TVET Centre clients, prioritising existing ‘active’ clients who have demonstrated concrete commitment to achieving economic outcomes.</w:t>
      </w:r>
    </w:p>
    <w:p w14:paraId="00A3902A" w14:textId="77777777" w:rsidR="00E43AAD" w:rsidRPr="00987783" w:rsidRDefault="00E43AAD" w:rsidP="004248E6">
      <w:pPr>
        <w:pStyle w:val="ListParagraph"/>
      </w:pPr>
      <w:r w:rsidRPr="00987783">
        <w:t>Increased emphasis on training follow-up and coaching and progressive needs identification, in partnership with trainers and productive sector representatives.</w:t>
      </w:r>
    </w:p>
    <w:p w14:paraId="1DDE4645" w14:textId="77777777" w:rsidR="00E43AAD" w:rsidRPr="00987783" w:rsidRDefault="00E43AAD" w:rsidP="004248E6">
      <w:pPr>
        <w:pStyle w:val="ListParagraph"/>
      </w:pPr>
      <w:r w:rsidRPr="00987783">
        <w:t>Increased collaboration between formal trainers and BDS industry consultants.</w:t>
      </w:r>
    </w:p>
    <w:p w14:paraId="733A8295" w14:textId="77777777" w:rsidR="004E4C56" w:rsidRDefault="00E43AAD" w:rsidP="004248E6">
      <w:pPr>
        <w:pStyle w:val="ListParagraph"/>
      </w:pPr>
      <w:r w:rsidRPr="00987783">
        <w:t>Capacity building and engagement of an increased number of ni-Vanuatu industry consultants and coaches, with a focus on supporting female trainers as positive role models across all sectors, particularly in non-traditional trade areas.</w:t>
      </w:r>
    </w:p>
    <w:p w14:paraId="26B07857" w14:textId="77777777" w:rsidR="00570DE4" w:rsidRDefault="0045278D" w:rsidP="004E4C56">
      <w:r>
        <w:t xml:space="preserve">As coordination hubs the TVET Centres seek to improve the match between skill demand and skill supply. </w:t>
      </w:r>
      <w:r w:rsidR="00570DE4">
        <w:t>Skill demand is determined by the TVET Centres principally with the support of Provincial Government Training Boards (PGTBs).</w:t>
      </w:r>
      <w:r>
        <w:t xml:space="preserve"> In response to identified priorities the Centres arrange the procurement of relevant skill development services from a range of suppliers. These include major national institutions such as the Vanuatu Institute of Technology, the Vanuatu Agriculture College and the Vanuatu Maritime College as well as a number of small rural training centres operated mainly by faith based organisations. In addition, industry coaches and mentors are engaged to support local business clients grow their businesses. It has been the interaction between accredited training and business development support services that has added significant value for TVET Centre clients</w:t>
      </w:r>
      <w:r w:rsidR="00DA4634">
        <w:t>.</w:t>
      </w:r>
    </w:p>
    <w:p w14:paraId="5B057A8B" w14:textId="77777777" w:rsidR="00F733BF" w:rsidRDefault="00F733BF" w:rsidP="004E4C56">
      <w:r>
        <w:t>A wide variety of skill development activities have been delivered throughout the four provinces and across a number of different sectors. The following is a snapshot of a number of these activities:</w:t>
      </w:r>
    </w:p>
    <w:p w14:paraId="7C3B17A2" w14:textId="77777777" w:rsidR="00DA173D" w:rsidRPr="00DA173D" w:rsidRDefault="00DA173D" w:rsidP="004248E6">
      <w:pPr>
        <w:pStyle w:val="ListParagraph"/>
      </w:pPr>
      <w:r w:rsidRPr="00DA173D">
        <w:t xml:space="preserve">Based on the recognised value of the Sanma and Malampa Skills Plans developed during Phase 2, the Program, in consultation with the VQA and the MoET engaged technical assistance to review the existing </w:t>
      </w:r>
      <w:r w:rsidR="00F733BF">
        <w:t>p</w:t>
      </w:r>
      <w:r w:rsidRPr="00DA173D">
        <w:t>lans and to prepare</w:t>
      </w:r>
      <w:r w:rsidR="00F733BF">
        <w:t>,</w:t>
      </w:r>
      <w:r w:rsidRPr="00DA173D">
        <w:t xml:space="preserve"> for the first-time</w:t>
      </w:r>
      <w:r w:rsidR="00F733BF">
        <w:t>,</w:t>
      </w:r>
      <w:r w:rsidRPr="00DA173D">
        <w:t xml:space="preserve"> Skills </w:t>
      </w:r>
      <w:r w:rsidR="00F733BF">
        <w:t xml:space="preserve">Development </w:t>
      </w:r>
      <w:r w:rsidRPr="00DA173D">
        <w:t>Plans</w:t>
      </w:r>
      <w:r w:rsidR="00941E5B">
        <w:t xml:space="preserve"> (SDS)</w:t>
      </w:r>
      <w:r w:rsidRPr="00DA173D">
        <w:t xml:space="preserve"> for the remaining four provinces. Over a period of six months, in-depth and wide-ranging consultation took place with representatives from all productive sectors and key industries at provincial and national level to determine and document the projected skill needs of each province 2015-2018. The </w:t>
      </w:r>
      <w:r w:rsidR="00941E5B">
        <w:t>SDS</w:t>
      </w:r>
      <w:r w:rsidRPr="00DA173D">
        <w:t xml:space="preserve"> were formally handed over to the respective</w:t>
      </w:r>
      <w:r w:rsidR="00F733BF">
        <w:t xml:space="preserve"> Secretaries</w:t>
      </w:r>
      <w:r w:rsidRPr="00DA173D">
        <w:t xml:space="preserve"> General (SG) of each province in February 2015 with wide recognition that these documents will guide priority training delivery in support of economic growth outcomes. The six </w:t>
      </w:r>
      <w:r w:rsidR="00F733BF">
        <w:t xml:space="preserve">provincial </w:t>
      </w:r>
      <w:r w:rsidRPr="00DA173D">
        <w:t xml:space="preserve">Skill </w:t>
      </w:r>
      <w:r w:rsidR="00F733BF">
        <w:t xml:space="preserve">Development </w:t>
      </w:r>
      <w:r w:rsidRPr="00DA173D">
        <w:t>Plans are available on the Program website.</w:t>
      </w:r>
    </w:p>
    <w:p w14:paraId="0206ACB3" w14:textId="77777777" w:rsidR="00E43AAD" w:rsidRPr="00987783" w:rsidRDefault="00E43AAD" w:rsidP="004248E6">
      <w:pPr>
        <w:pStyle w:val="ListParagraph"/>
      </w:pPr>
      <w:r w:rsidRPr="00987783">
        <w:t xml:space="preserve">Implementation of the ‘TVET for Tourism’ (TfT) </w:t>
      </w:r>
      <w:r w:rsidR="005A2A03">
        <w:t>activity</w:t>
      </w:r>
      <w:r w:rsidRPr="00987783">
        <w:t xml:space="preserve"> has resulted in significant business growth of the local tourism industry. Full details of training, business development and employment under the TfT </w:t>
      </w:r>
      <w:r>
        <w:t>sub-</w:t>
      </w:r>
      <w:r w:rsidRPr="00987783">
        <w:t xml:space="preserve">program </w:t>
      </w:r>
      <w:r w:rsidR="005642EE">
        <w:t>have been</w:t>
      </w:r>
      <w:r w:rsidRPr="00987783">
        <w:t xml:space="preserve"> detailed in </w:t>
      </w:r>
      <w:r w:rsidR="005642EE">
        <w:t>the</w:t>
      </w:r>
      <w:r w:rsidRPr="00987783">
        <w:t xml:space="preserve"> TfT Evaluation (May 2016)</w:t>
      </w:r>
      <w:r w:rsidR="00B84811">
        <w:rPr>
          <w:rStyle w:val="FootnoteReference"/>
        </w:rPr>
        <w:footnoteReference w:id="1"/>
      </w:r>
      <w:r w:rsidRPr="00987783">
        <w:t xml:space="preserve">. </w:t>
      </w:r>
      <w:r w:rsidR="00EF1505">
        <w:t>Some of the highlights from this very successful activity include</w:t>
      </w:r>
      <w:r w:rsidRPr="00987783">
        <w:t>:</w:t>
      </w:r>
    </w:p>
    <w:p w14:paraId="551BF278" w14:textId="77777777" w:rsidR="00E43AAD" w:rsidRPr="00987783" w:rsidRDefault="005642EE" w:rsidP="004248E6">
      <w:pPr>
        <w:pStyle w:val="ListParagraph"/>
      </w:pPr>
      <w:r>
        <w:t xml:space="preserve">In 2015, </w:t>
      </w:r>
      <w:r w:rsidR="00E43AAD" w:rsidRPr="00987783">
        <w:t xml:space="preserve">77 local operators in three provinces now meet national Vanuatu Tourism Operator Minimum Standards (VTOMS), up from 59 in 2014 and 12% of client businesses are now operating in the formal economy, up from 5% in 2014; 37% are semi-formal businesses, up from only 12% in 2013. </w:t>
      </w:r>
    </w:p>
    <w:p w14:paraId="2C31BC37" w14:textId="77777777" w:rsidR="00E43AAD" w:rsidRPr="00987783" w:rsidRDefault="00E43AAD" w:rsidP="004248E6">
      <w:pPr>
        <w:pStyle w:val="ListParagraph"/>
      </w:pPr>
      <w:r w:rsidRPr="00987783">
        <w:t xml:space="preserve">In September 2015 nine accommodation businesses and six tours and activities throughout Torba province had reached VTOMS from a zero </w:t>
      </w:r>
      <w:r w:rsidR="00177808">
        <w:t xml:space="preserve">2014 </w:t>
      </w:r>
      <w:r w:rsidRPr="00987783">
        <w:t xml:space="preserve">baseline. Through a partnership with the VTO, the Program facilitated a professional photo shoot for the new businesses to assist with marketing and promotion at individual and destination levels. </w:t>
      </w:r>
      <w:r>
        <w:t>Following intensive capacity building support to the Sanma Call Centre to improve operational efficiency, a</w:t>
      </w:r>
      <w:r w:rsidRPr="00987783">
        <w:t>ll businesses are now being marketed through</w:t>
      </w:r>
      <w:r>
        <w:t xml:space="preserve"> this mechanism, </w:t>
      </w:r>
      <w:r w:rsidRPr="00987783">
        <w:t xml:space="preserve">and </w:t>
      </w:r>
      <w:r>
        <w:t xml:space="preserve">on the </w:t>
      </w:r>
      <w:r w:rsidRPr="00987783">
        <w:t xml:space="preserve">VTO website in regional and international campaigns. </w:t>
      </w:r>
    </w:p>
    <w:p w14:paraId="0B0E5390" w14:textId="77777777" w:rsidR="00E43AAD" w:rsidRPr="00987783" w:rsidRDefault="00177808" w:rsidP="004248E6">
      <w:pPr>
        <w:pStyle w:val="ListParagraph"/>
      </w:pPr>
      <w:r>
        <w:t>I</w:t>
      </w:r>
      <w:r w:rsidRPr="00987783">
        <w:t>n the post disaster environment on Tanna</w:t>
      </w:r>
      <w:r>
        <w:t xml:space="preserve"> following Cyclone Pam, t</w:t>
      </w:r>
      <w:r w:rsidR="00E43AAD" w:rsidRPr="00987783">
        <w:t xml:space="preserve">he </w:t>
      </w:r>
      <w:r>
        <w:t xml:space="preserve">Program’s </w:t>
      </w:r>
      <w:r w:rsidR="00E43AAD" w:rsidRPr="00987783">
        <w:t>aim was to support the rebuilding of resilient tourism accommodation using local material and traditional methods that would also meet VTOMS and international tourist expectations.</w:t>
      </w:r>
      <w:r>
        <w:t xml:space="preserve"> I</w:t>
      </w:r>
      <w:r w:rsidRPr="00987783">
        <w:t>n partnership with the DoT and Provincial Government</w:t>
      </w:r>
      <w:r>
        <w:t>, the Program undertook</w:t>
      </w:r>
      <w:r w:rsidRPr="00987783">
        <w:t xml:space="preserve"> the ‘Build </w:t>
      </w:r>
      <w:r>
        <w:t>Strong</w:t>
      </w:r>
      <w:r w:rsidRPr="00987783">
        <w:t xml:space="preserve"> Build</w:t>
      </w:r>
      <w:r>
        <w:t xml:space="preserve"> Local’</w:t>
      </w:r>
      <w:r w:rsidRPr="00987783">
        <w:t xml:space="preserve"> initiative. </w:t>
      </w:r>
      <w:r w:rsidR="00E43AAD" w:rsidRPr="00987783">
        <w:t xml:space="preserve"> Th</w:t>
      </w:r>
      <w:r>
        <w:t>is</w:t>
      </w:r>
      <w:r w:rsidR="00E43AAD" w:rsidRPr="00987783">
        <w:t xml:space="preserve"> skill development activity engaged 40 participants from across the province in a range of workshops delivered onsite using local industry experts from Tanna and Port Vila.  The completed construction was the first full construction completed in Tafea province following </w:t>
      </w:r>
      <w:r>
        <w:t>the cyclone</w:t>
      </w:r>
      <w:r w:rsidR="00E43AAD" w:rsidRPr="00987783">
        <w:t xml:space="preserve"> </w:t>
      </w:r>
      <w:r w:rsidR="00E43AAD">
        <w:t xml:space="preserve">and </w:t>
      </w:r>
      <w:r>
        <w:t>is being</w:t>
      </w:r>
      <w:r w:rsidR="00E43AAD">
        <w:t xml:space="preserve"> used </w:t>
      </w:r>
      <w:r w:rsidR="00E43AAD" w:rsidRPr="00987783">
        <w:t xml:space="preserve">both </w:t>
      </w:r>
      <w:r>
        <w:t xml:space="preserve">as </w:t>
      </w:r>
      <w:r w:rsidR="00E43AAD" w:rsidRPr="00987783">
        <w:t xml:space="preserve">a commercial accommodation revenue source for the province, and a model for Tafea tourism operators to ensure they build at an international standard while also maintaining culture, safety and disaster risk management practices. </w:t>
      </w:r>
    </w:p>
    <w:p w14:paraId="3FA87D06" w14:textId="4497D055" w:rsidR="00E43AAD" w:rsidRPr="00987783" w:rsidRDefault="00831BE8" w:rsidP="004248E6">
      <w:pPr>
        <w:pStyle w:val="ListParagraph"/>
      </w:pPr>
      <w:r>
        <w:t xml:space="preserve">Considerable liaison and discussion with cruise ship operators, particularly </w:t>
      </w:r>
      <w:r w:rsidRPr="00831BE8">
        <w:rPr>
          <w:i/>
        </w:rPr>
        <w:t>Carnival Australia</w:t>
      </w:r>
      <w:r>
        <w:t xml:space="preserve"> has resulted in the d</w:t>
      </w:r>
      <w:r w:rsidR="00E43AAD" w:rsidRPr="00987783">
        <w:t>elivery of targeted tra</w:t>
      </w:r>
      <w:r w:rsidR="00E43AAD">
        <w:t xml:space="preserve">ining, in consultation with </w:t>
      </w:r>
      <w:r w:rsidR="00E43AAD" w:rsidRPr="00987783">
        <w:t xml:space="preserve">local industry, DoT and Luganville’s cruise line agent, to develop a range of additional tours and activities for cruise ship passengers, in expectation of the increase in </w:t>
      </w:r>
      <w:r w:rsidR="00E43AAD">
        <w:t xml:space="preserve">cruise ship visits </w:t>
      </w:r>
      <w:r w:rsidR="00E43AAD" w:rsidRPr="00987783">
        <w:t>to Luganville Port of Call in 2017-18.  11 new tours have been</w:t>
      </w:r>
      <w:r w:rsidR="00E43AAD">
        <w:t xml:space="preserve"> developed in 2015 for </w:t>
      </w:r>
      <w:r w:rsidR="00E43AAD" w:rsidRPr="00987783">
        <w:t xml:space="preserve">on-board sale. </w:t>
      </w:r>
    </w:p>
    <w:p w14:paraId="3DD1347C" w14:textId="77777777" w:rsidR="00E43AAD" w:rsidRPr="00987783" w:rsidRDefault="00E43AAD" w:rsidP="004248E6">
      <w:pPr>
        <w:pStyle w:val="ListParagraph"/>
      </w:pPr>
      <w:r w:rsidRPr="00987783">
        <w:t>Commencement of the Aneityum agri-tourism pilot project to increase linkages between agriculture and tourism sectors through a value chain approach, and improve sustainable and inclusive benefits from the increasing number of cruise ship visits. The initiative is working with a range of stakeholders from government, civil society and the local private sector, and comprises 80 participants from across the island with a strong focus on the participation of women and people with disabilities.</w:t>
      </w:r>
    </w:p>
    <w:p w14:paraId="1DD742B4" w14:textId="77777777" w:rsidR="00E43AAD" w:rsidRDefault="00E43AAD" w:rsidP="004248E6">
      <w:pPr>
        <w:pStyle w:val="ListParagraph"/>
      </w:pPr>
      <w:r w:rsidRPr="00987783">
        <w:t>Development of annual sectoral training plans in partnership with the Department</w:t>
      </w:r>
      <w:r>
        <w:t>s</w:t>
      </w:r>
      <w:r w:rsidRPr="00987783">
        <w:t xml:space="preserve"> of Agriculture</w:t>
      </w:r>
      <w:r>
        <w:t>, Fisheries and</w:t>
      </w:r>
      <w:r w:rsidRPr="00987783">
        <w:t xml:space="preserve"> Industry </w:t>
      </w:r>
      <w:r>
        <w:t xml:space="preserve">respectively have been </w:t>
      </w:r>
      <w:r w:rsidRPr="00987783">
        <w:t xml:space="preserve">directed to quality and quantity improvements of primary products and value addition. </w:t>
      </w:r>
      <w:r>
        <w:t xml:space="preserve">Of note, the measurable production outcomes achieved through the integrated training plan developed between the Sanma TVET Centre and the provincial Department of Fisheries for small-scale aquaculture in Sanma province has led to scale-up and replication across other provinces throughout 2015. </w:t>
      </w:r>
      <w:r w:rsidR="00941E5B">
        <w:t>T</w:t>
      </w:r>
      <w:r>
        <w:t>he economic impact of this targeted skills development program has been recognised at the national level by the National Trade Development Committee (NTDC).</w:t>
      </w:r>
    </w:p>
    <w:p w14:paraId="6626BC12" w14:textId="77777777" w:rsidR="00E43AAD" w:rsidRPr="00987783" w:rsidRDefault="00E43AAD" w:rsidP="004248E6">
      <w:pPr>
        <w:pStyle w:val="ListParagraph"/>
      </w:pPr>
      <w:r w:rsidRPr="00987783">
        <w:t>Cross-sectoral results achieved through coordinating skill development activities to link with market opportunities created by growing local tourism. Flow-on effects in sectors such as agriculture and handicraft have been particularly marked; for example, coordination between skills training in agriculture production and the training provided to tourism accommodation/</w:t>
      </w:r>
      <w:r w:rsidR="00941E5B">
        <w:t xml:space="preserve"> </w:t>
      </w:r>
      <w:r w:rsidRPr="00987783">
        <w:t xml:space="preserve">restaurant operators has resulted in increased vegetable production, diversification and sale </w:t>
      </w:r>
      <w:r>
        <w:t xml:space="preserve">in </w:t>
      </w:r>
      <w:r w:rsidR="002510CC">
        <w:t>Torba</w:t>
      </w:r>
      <w:r w:rsidRPr="00987783">
        <w:t xml:space="preserve">. Communities in Sanma have also benefitted from a partnership brokered by the Program between the Department of Fisheries and the DoT to replant coral reefs and remove </w:t>
      </w:r>
      <w:r w:rsidR="002510CC">
        <w:t>C</w:t>
      </w:r>
      <w:r w:rsidRPr="00987783">
        <w:t xml:space="preserve">rown of </w:t>
      </w:r>
      <w:r w:rsidR="002510CC">
        <w:t>T</w:t>
      </w:r>
      <w:r w:rsidRPr="00987783">
        <w:t xml:space="preserve">horns with the joint aim of reducing risks associated with </w:t>
      </w:r>
      <w:r>
        <w:t>climate change and</w:t>
      </w:r>
      <w:r w:rsidRPr="00987783">
        <w:t xml:space="preserve"> safeguarding the reefs for snorkeling as part of the tourist experience. </w:t>
      </w:r>
    </w:p>
    <w:p w14:paraId="7709DFB8" w14:textId="77777777" w:rsidR="00E43AAD" w:rsidRPr="00987783" w:rsidRDefault="00E43AAD" w:rsidP="004248E6">
      <w:pPr>
        <w:pStyle w:val="ListParagraph"/>
      </w:pPr>
      <w:r w:rsidRPr="00987783">
        <w:t>Implementation of skills development in line with the ‘Gender Equality Strategy for the TVET Centres’ has resulted in tangible outcomes for gender quality and women’s economic empowerment. Full details of pro</w:t>
      </w:r>
      <w:r>
        <w:t xml:space="preserve">gress </w:t>
      </w:r>
      <w:r w:rsidR="002510CC">
        <w:t>are</w:t>
      </w:r>
      <w:r>
        <w:t xml:space="preserve"> available in the </w:t>
      </w:r>
      <w:r w:rsidR="002510CC">
        <w:t>2016</w:t>
      </w:r>
      <w:r w:rsidRPr="00987783">
        <w:t xml:space="preserve"> Gender Equality </w:t>
      </w:r>
      <w:r w:rsidR="002510CC" w:rsidRPr="00987783">
        <w:t>Report;</w:t>
      </w:r>
      <w:r w:rsidRPr="00987783">
        <w:t xml:space="preserve"> however key features include:</w:t>
      </w:r>
    </w:p>
    <w:p w14:paraId="50D8863C" w14:textId="77777777" w:rsidR="00E43AAD" w:rsidRPr="00001AD6" w:rsidRDefault="00E43AAD" w:rsidP="004248E6">
      <w:pPr>
        <w:pStyle w:val="ListParagraph"/>
      </w:pPr>
      <w:r w:rsidRPr="00001AD6">
        <w:t xml:space="preserve">Maintenance of strong levels of women’s representation across TVET Centre activity. </w:t>
      </w:r>
    </w:p>
    <w:p w14:paraId="1DA29752" w14:textId="77777777" w:rsidR="00E43AAD" w:rsidRPr="00001AD6" w:rsidRDefault="00E43AAD" w:rsidP="004248E6">
      <w:pPr>
        <w:pStyle w:val="ListParagraph"/>
      </w:pPr>
      <w:r w:rsidRPr="00001AD6">
        <w:t>Ongoing support to the business development of the Malampa Handicraft Centre as a key mechanism for inclusive women’s economic empowerment.</w:t>
      </w:r>
    </w:p>
    <w:p w14:paraId="0193F15F" w14:textId="77777777" w:rsidR="002510CC" w:rsidRDefault="00E43AAD" w:rsidP="004248E6">
      <w:pPr>
        <w:pStyle w:val="ListParagraph"/>
      </w:pPr>
      <w:r w:rsidRPr="00001AD6">
        <w:t>Conduct of activities focused on survivors of gender-based violence (GBV) and reducing the vulnerability to GBV associated with economic empowerment. In the case of the former, the Program established a partnership with DFAT’s ‘Stretem Rod blong Jastis’ program to identify skills development activities linked to economic potential for survivors of GBV in the Maskelyns in Malekula. Focus has been directed to handicraft production for sale at the Malampa Handicraft Centre, integrated with GBV-related counselling.</w:t>
      </w:r>
    </w:p>
    <w:p w14:paraId="239F6F0E" w14:textId="77777777" w:rsidR="00E43AAD" w:rsidRPr="00683B84" w:rsidRDefault="00E43AAD" w:rsidP="004248E6">
      <w:pPr>
        <w:pStyle w:val="ListParagraph"/>
      </w:pPr>
      <w:r w:rsidRPr="00001AD6">
        <w:t xml:space="preserve">Collaboration with the Red Cross and </w:t>
      </w:r>
      <w:r w:rsidR="002510CC">
        <w:t>Alternative Community Trade in Vanuatu (</w:t>
      </w:r>
      <w:r w:rsidRPr="00001AD6">
        <w:t>ACTI</w:t>
      </w:r>
      <w:r>
        <w:t>V</w:t>
      </w:r>
      <w:r w:rsidR="002510CC">
        <w:t>)</w:t>
      </w:r>
      <w:r w:rsidRPr="00001AD6">
        <w:t xml:space="preserve"> focused on skilling women in the production of mats and pandanus leaves for post-Pam reconstruction in Tafea province. This particular activity generated AUD 32,000 with 80% going directly to the women</w:t>
      </w:r>
      <w:r w:rsidRPr="002510CC">
        <w:rPr>
          <w:sz w:val="23"/>
          <w:szCs w:val="23"/>
        </w:rPr>
        <w:t xml:space="preserve"> producers</w:t>
      </w:r>
      <w:r w:rsidR="00A46E25">
        <w:rPr>
          <w:sz w:val="23"/>
          <w:szCs w:val="23"/>
        </w:rPr>
        <w:t>.</w:t>
      </w:r>
    </w:p>
    <w:p w14:paraId="36741FA4" w14:textId="77777777" w:rsidR="00683B84" w:rsidRDefault="00683B84" w:rsidP="00EE7D1A">
      <w:pPr>
        <w:pStyle w:val="Heading1"/>
        <w:numPr>
          <w:ilvl w:val="0"/>
          <w:numId w:val="14"/>
        </w:numPr>
      </w:pPr>
      <w:bookmarkStart w:id="20" w:name="_Toc456600681"/>
      <w:r>
        <w:t>Indicative Results</w:t>
      </w:r>
      <w:bookmarkEnd w:id="20"/>
    </w:p>
    <w:p w14:paraId="1FEE945C" w14:textId="77777777" w:rsidR="00B84811" w:rsidRDefault="00683B84" w:rsidP="00683B84">
      <w:r>
        <w:t>A comprehensive approach to monitoring and evaluation has underpinned Program activity and provided the evidence base for the determination of results at output and outcome levels as well as the assessment of lessons learned and the application of learning to Program policy, planning and implementation.</w:t>
      </w:r>
      <w:r w:rsidR="005528AB">
        <w:t xml:space="preserve"> </w:t>
      </w:r>
      <w:r w:rsidR="00B84811">
        <w:t>Throughout Phase 3, six-monthly progress reports at activity level have been prepared based on 100% baseline data collection of all participants. Annual Evaluation Reports have also been prepared at outcome level based on sample surveys of participants 6 months after their participation in a skill development activity</w:t>
      </w:r>
      <w:r w:rsidR="00DE7C38">
        <w:t>.</w:t>
      </w:r>
    </w:p>
    <w:p w14:paraId="1EBE4B04" w14:textId="77777777" w:rsidR="00683B84" w:rsidRDefault="00941E5B" w:rsidP="00683B84">
      <w:r w:rsidRPr="005528AB">
        <w:rPr>
          <w:noProof/>
          <w:lang w:val="en-AU" w:eastAsia="en-AU"/>
        </w:rPr>
        <w:drawing>
          <wp:anchor distT="0" distB="0" distL="114300" distR="114300" simplePos="0" relativeHeight="251656192" behindDoc="0" locked="0" layoutInCell="1" allowOverlap="1" wp14:anchorId="06333AD0" wp14:editId="737A0F98">
            <wp:simplePos x="0" y="0"/>
            <wp:positionH relativeFrom="column">
              <wp:posOffset>2178050</wp:posOffset>
            </wp:positionH>
            <wp:positionV relativeFrom="paragraph">
              <wp:posOffset>579755</wp:posOffset>
            </wp:positionV>
            <wp:extent cx="3856990" cy="2543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699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8AB">
        <w:t xml:space="preserve">The presentation </w:t>
      </w:r>
      <w:r w:rsidR="00DE7C38">
        <w:t xml:space="preserve">by the M&amp;E team and PGTB Chairs of findings from both the six monthly and annual reports </w:t>
      </w:r>
      <w:r w:rsidR="005528AB">
        <w:t>to the bi-annual Strategic Advisory Group (SAG) meetings, has provided the basis for substantive discussion within the Program and with stakeholders about key aspects of the Program’s approach.</w:t>
      </w:r>
    </w:p>
    <w:p w14:paraId="055097C5" w14:textId="77777777" w:rsidR="00FF7BA6" w:rsidRDefault="00FF7BA6" w:rsidP="00FF7BA6">
      <w:pPr>
        <w:pStyle w:val="Heading2"/>
      </w:pPr>
      <w:bookmarkStart w:id="21" w:name="_Toc456600682"/>
      <w:r>
        <w:t>4.1</w:t>
      </w:r>
      <w:r>
        <w:tab/>
        <w:t>Outputs</w:t>
      </w:r>
      <w:bookmarkEnd w:id="21"/>
    </w:p>
    <w:p w14:paraId="7FDB26B2" w14:textId="77777777" w:rsidR="005528AB" w:rsidRPr="00683B84" w:rsidRDefault="005528AB" w:rsidP="00683B84">
      <w:r>
        <w:t>The following charts provide a summary of Program activities and achievements during Phase 3.</w:t>
      </w:r>
    </w:p>
    <w:p w14:paraId="15687B78" w14:textId="24403DE0" w:rsidR="00F4355D" w:rsidRDefault="001F1217" w:rsidP="00683B84">
      <w:r w:rsidRPr="00904483">
        <w:rPr>
          <w:noProof/>
          <w:lang w:val="en-AU" w:eastAsia="en-AU"/>
        </w:rPr>
        <w:drawing>
          <wp:anchor distT="0" distB="0" distL="114300" distR="114300" simplePos="0" relativeHeight="251667456" behindDoc="0" locked="0" layoutInCell="1" allowOverlap="1" wp14:anchorId="711D7595" wp14:editId="4F47E899">
            <wp:simplePos x="0" y="0"/>
            <wp:positionH relativeFrom="column">
              <wp:posOffset>2682240</wp:posOffset>
            </wp:positionH>
            <wp:positionV relativeFrom="paragraph">
              <wp:posOffset>1358265</wp:posOffset>
            </wp:positionV>
            <wp:extent cx="3002280" cy="30861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8AB">
        <w:t xml:space="preserve">As mentioned above, skill development activities comprise both accredited training and business development support services. The chart at right tracks the combined total of both activity types across each of the provinces. It illustrates the </w:t>
      </w:r>
      <w:r>
        <w:t>increase in activities with</w:t>
      </w:r>
      <w:r w:rsidR="005528AB">
        <w:t xml:space="preserve"> Torba coming on stream in 2014 and Tafea in 2015.</w:t>
      </w:r>
    </w:p>
    <w:p w14:paraId="6455675C" w14:textId="62E16FCB" w:rsidR="00F4355D" w:rsidRDefault="00F4355D" w:rsidP="00683B84">
      <w:r>
        <w:t>A broad range of economic sectors have been provided both accredited training and business development support services.</w:t>
      </w:r>
    </w:p>
    <w:p w14:paraId="3B6B1A2D" w14:textId="4F9288AD" w:rsidR="00F4355D" w:rsidRDefault="00F4355D" w:rsidP="00683B84">
      <w:r>
        <w:t xml:space="preserve">The largest proportion of activities has been in the tourism sector. </w:t>
      </w:r>
      <w:r w:rsidR="009C67E9">
        <w:t xml:space="preserve">As fully reported in the comprehensive TVET for Tourism Evaluation Report (2016), this </w:t>
      </w:r>
      <w:r>
        <w:t>has been a product of a partnership between the Program and the Department of Tourism</w:t>
      </w:r>
      <w:r w:rsidR="00031D00">
        <w:t>(DoT) which</w:t>
      </w:r>
      <w:r>
        <w:t xml:space="preserve"> from a very early stage has actively sort Program assistance to support its national tourism objectives.</w:t>
      </w:r>
    </w:p>
    <w:p w14:paraId="16D7FD74" w14:textId="77777777" w:rsidR="008576C5" w:rsidRDefault="00031D00" w:rsidP="00DE0272">
      <w:r>
        <w:t>Other departments have been slower to see the potential of this type of partnership but based on the demonstrable success with the DoT, and its strong advocacy of the benefits derived from its association with the Program, other productive sector departments and agencies have increasingly sought similar arrangements.</w:t>
      </w:r>
    </w:p>
    <w:p w14:paraId="7722FB17" w14:textId="77777777" w:rsidR="008576C5" w:rsidRDefault="004531B9" w:rsidP="00683B84">
      <w:r w:rsidRPr="008576C5">
        <w:rPr>
          <w:noProof/>
          <w:lang w:val="en-AU" w:eastAsia="en-AU"/>
        </w:rPr>
        <w:drawing>
          <wp:anchor distT="0" distB="0" distL="114300" distR="114300" simplePos="0" relativeHeight="251661312" behindDoc="0" locked="0" layoutInCell="1" allowOverlap="1" wp14:anchorId="0C0C1C1E" wp14:editId="479F6318">
            <wp:simplePos x="0" y="0"/>
            <wp:positionH relativeFrom="column">
              <wp:posOffset>2447290</wp:posOffset>
            </wp:positionH>
            <wp:positionV relativeFrom="paragraph">
              <wp:posOffset>7620</wp:posOffset>
            </wp:positionV>
            <wp:extent cx="3239770" cy="2743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9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C5">
        <w:t>Throughout P</w:t>
      </w:r>
      <w:r w:rsidR="007A34E3">
        <w:t>hase 3, just on 2,900 people have participated in Program facilitated accredited training and/or business development support services.</w:t>
      </w:r>
    </w:p>
    <w:p w14:paraId="1407AB27" w14:textId="77777777" w:rsidR="00AD2DA6" w:rsidRDefault="000416FF" w:rsidP="00A02BBB">
      <w:r w:rsidRPr="00E65651">
        <w:rPr>
          <w:noProof/>
          <w:lang w:val="en-AU" w:eastAsia="en-AU"/>
        </w:rPr>
        <w:drawing>
          <wp:anchor distT="0" distB="0" distL="114300" distR="114300" simplePos="0" relativeHeight="251665408" behindDoc="0" locked="0" layoutInCell="1" allowOverlap="1" wp14:anchorId="48A97266" wp14:editId="2796955D">
            <wp:simplePos x="0" y="0"/>
            <wp:positionH relativeFrom="column">
              <wp:posOffset>2454275</wp:posOffset>
            </wp:positionH>
            <wp:positionV relativeFrom="paragraph">
              <wp:posOffset>2032635</wp:posOffset>
            </wp:positionV>
            <wp:extent cx="3361055" cy="24860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105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4E3">
        <w:t>Of these approximately 40% have been female.</w:t>
      </w:r>
      <w:r w:rsidR="00A02BBB">
        <w:t xml:space="preserve"> A discrete Gender Equality Report</w:t>
      </w:r>
      <w:r w:rsidR="00AD2DA6">
        <w:rPr>
          <w:rStyle w:val="FootnoteReference"/>
        </w:rPr>
        <w:footnoteReference w:id="2"/>
      </w:r>
      <w:r w:rsidR="00A02BBB">
        <w:t xml:space="preserve"> prepared in 2016 noted </w:t>
      </w:r>
      <w:r w:rsidR="00906E5A">
        <w:t xml:space="preserve">that </w:t>
      </w:r>
      <w:r w:rsidR="00A02BBB">
        <w:t xml:space="preserve">the variable level of women’s participation is partly explained by the shifting levels of skills development activity across the different sectors. </w:t>
      </w:r>
      <w:r w:rsidR="00906E5A">
        <w:t>In particular,</w:t>
      </w:r>
      <w:r w:rsidR="00A02BBB">
        <w:t xml:space="preserve"> there has been increasing agriculture and forestry</w:t>
      </w:r>
      <w:r w:rsidR="00906E5A">
        <w:t xml:space="preserve"> activity</w:t>
      </w:r>
      <w:r w:rsidR="00A02BBB">
        <w:t>, as well as the need to support reconstruction skills in the aftermath of Cyclone Pam</w:t>
      </w:r>
      <w:r w:rsidR="00AD2DA6">
        <w:t>;</w:t>
      </w:r>
      <w:r w:rsidR="00A02BBB">
        <w:t xml:space="preserve"> most of these are sectors traditionally dominated by men. </w:t>
      </w:r>
    </w:p>
    <w:p w14:paraId="053DAC25" w14:textId="77777777" w:rsidR="00B73044" w:rsidRDefault="00E65651" w:rsidP="00B73044">
      <w:r>
        <w:t xml:space="preserve">The figures in the table represent the average participation levels across all sectors but as might be expected there has also been a high level of variability across sectors as illustrated in the next table </w:t>
      </w:r>
      <w:r w:rsidR="00A02BBB">
        <w:t>which highlights the very low levels of women’s participation in the productive sectors such as livestock, fisheries, and forestry, as well as construction focused trades and services.</w:t>
      </w:r>
      <w:bookmarkStart w:id="22" w:name="_Toc289376432"/>
    </w:p>
    <w:p w14:paraId="1FE82227" w14:textId="0490EDC4" w:rsidR="006339ED" w:rsidRDefault="005E6078" w:rsidP="00831BE8">
      <w:pPr>
        <w:rPr>
          <w:rFonts w:asciiTheme="majorHAnsi" w:eastAsiaTheme="majorEastAsia" w:hAnsiTheme="majorHAnsi" w:cstheme="majorBidi"/>
          <w:b/>
          <w:bCs/>
          <w:color w:val="9BBB59" w:themeColor="accent3"/>
          <w:sz w:val="26"/>
          <w:szCs w:val="26"/>
        </w:rPr>
      </w:pPr>
      <w:r w:rsidRPr="00B73044">
        <w:rPr>
          <w:noProof/>
          <w:lang w:val="en-AU" w:eastAsia="en-AU"/>
        </w:rPr>
        <w:drawing>
          <wp:anchor distT="0" distB="0" distL="114300" distR="114300" simplePos="0" relativeHeight="251659264" behindDoc="0" locked="0" layoutInCell="1" allowOverlap="1" wp14:anchorId="56ECD040" wp14:editId="55FDFB52">
            <wp:simplePos x="0" y="0"/>
            <wp:positionH relativeFrom="column">
              <wp:posOffset>2769235</wp:posOffset>
            </wp:positionH>
            <wp:positionV relativeFrom="paragraph">
              <wp:posOffset>470535</wp:posOffset>
            </wp:positionV>
            <wp:extent cx="2931795" cy="22860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17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044">
        <w:t>The Program’s inclusive approaches have included a very strong focus on improving opportunities for people with disabilities</w:t>
      </w:r>
      <w:r w:rsidR="00E04835">
        <w:t xml:space="preserve"> (PWD)</w:t>
      </w:r>
      <w:r w:rsidR="00B73044">
        <w:t xml:space="preserve">. In combination the </w:t>
      </w:r>
      <w:r w:rsidR="00E04835" w:rsidRPr="00961DF6">
        <w:t>National TVET Sector Disability Inclusion Strategy</w:t>
      </w:r>
      <w:r w:rsidR="00E04835">
        <w:t>, the identification of inclusion focal people within TVET Centre staff and partnerships with key disability support agencies have all worked to remove barriers to PWD participation in skill development programs and associated economic benefits. From 4% of all participants in 2013, participation rates hovered around 8% in 2014 and 2015 and it looks like a similar figure will be achieved in 2016.</w:t>
      </w:r>
      <w:bookmarkStart w:id="23" w:name="_Toc456600683"/>
      <w:r w:rsidR="006339ED">
        <w:br w:type="page"/>
      </w:r>
    </w:p>
    <w:p w14:paraId="21D69F3D" w14:textId="5B17175D" w:rsidR="00FF7BA6" w:rsidRDefault="00FF7BA6" w:rsidP="00FF7BA6">
      <w:pPr>
        <w:pStyle w:val="Heading2"/>
      </w:pPr>
      <w:r w:rsidRPr="0063537A">
        <w:t>4.2</w:t>
      </w:r>
      <w:r w:rsidRPr="0063537A">
        <w:tab/>
        <w:t>Outcomes</w:t>
      </w:r>
      <w:bookmarkEnd w:id="23"/>
    </w:p>
    <w:p w14:paraId="41A7BCE1" w14:textId="77777777" w:rsidR="0063537A" w:rsidRDefault="0063537A" w:rsidP="00585DA1">
      <w:pPr>
        <w:pStyle w:val="Heading3"/>
      </w:pPr>
      <w:r>
        <w:t>4.2.1</w:t>
      </w:r>
      <w:r>
        <w:tab/>
        <w:t>Quantitative Results</w:t>
      </w:r>
    </w:p>
    <w:p w14:paraId="5B05D5C9" w14:textId="77777777" w:rsidR="00D611F1" w:rsidRDefault="00D611F1" w:rsidP="00D611F1">
      <w:r>
        <w:t>The Outcomes Survey was launched in March 2014 and completed in October 2015. It was designed to explore personal, employment, business and economic outcomes for participants, six-to-eight months after participating in TVET Centre skills development.</w:t>
      </w:r>
    </w:p>
    <w:p w14:paraId="09E755E4" w14:textId="77777777" w:rsidR="00FF7BA6" w:rsidRDefault="00D611F1" w:rsidP="00D611F1">
      <w:r>
        <w:t>Using a stratified sampling approach, responses were analysed from 355 men and women, drawn from a population of 793</w:t>
      </w:r>
      <w:r>
        <w:rPr>
          <w:rStyle w:val="FootnoteReference"/>
        </w:rPr>
        <w:footnoteReference w:id="3"/>
      </w:r>
      <w:r>
        <w:t>. An interview team of two (the Program M&amp;E Manager and M&amp;E Officer) undertook data collection in four rounds, visiting past participants in their homes and workplaces to conduct a structured interview of 20-30 minutes’ duration. The majority of interviews were conducted face-to-face, although a small number of participants were interviewed by phone due to their travel away from home or other difficulties with access. The overall response rate was a very high 96%. Specialist personnel at the Australian Council for Educational Research (ACER) supported the quantitative analysis, including weighting to reflect the different sample populations, using SAS</w:t>
      </w:r>
      <w:r>
        <w:rPr>
          <w:rStyle w:val="FootnoteReference"/>
        </w:rPr>
        <w:footnoteReference w:id="4"/>
      </w:r>
      <w:r>
        <w:t>.</w:t>
      </w:r>
    </w:p>
    <w:p w14:paraId="0AD6C574" w14:textId="77777777" w:rsidR="0063537A" w:rsidRDefault="0063537A" w:rsidP="00D611F1">
      <w:r>
        <w:t>The following provides a summary of the evaluation findings</w:t>
      </w:r>
      <w:r w:rsidR="005F15D4">
        <w:rPr>
          <w:rStyle w:val="FootnoteReference"/>
        </w:rPr>
        <w:footnoteReference w:id="5"/>
      </w:r>
      <w:r>
        <w:t>:</w:t>
      </w:r>
    </w:p>
    <w:p w14:paraId="6C619A67" w14:textId="77777777" w:rsidR="0063537A" w:rsidRDefault="0063537A" w:rsidP="004248E6">
      <w:pPr>
        <w:pStyle w:val="ListParagraph"/>
        <w:numPr>
          <w:ilvl w:val="0"/>
          <w:numId w:val="18"/>
        </w:numPr>
      </w:pPr>
      <w:r>
        <w:t xml:space="preserve">63% of all TVET Centre participants report increased income </w:t>
      </w:r>
    </w:p>
    <w:p w14:paraId="776D4226" w14:textId="77777777" w:rsidR="0063537A" w:rsidRDefault="0063537A" w:rsidP="004248E6">
      <w:pPr>
        <w:pStyle w:val="ListParagraph"/>
        <w:numPr>
          <w:ilvl w:val="1"/>
          <w:numId w:val="18"/>
        </w:numPr>
      </w:pPr>
      <w:r>
        <w:t>60% of men</w:t>
      </w:r>
    </w:p>
    <w:p w14:paraId="358F98D4" w14:textId="77777777" w:rsidR="0063537A" w:rsidRDefault="0063537A" w:rsidP="004248E6">
      <w:pPr>
        <w:pStyle w:val="ListParagraph"/>
        <w:numPr>
          <w:ilvl w:val="1"/>
          <w:numId w:val="18"/>
        </w:numPr>
      </w:pPr>
      <w:r>
        <w:t xml:space="preserve">68% of women </w:t>
      </w:r>
    </w:p>
    <w:p w14:paraId="60E6BB94" w14:textId="77777777" w:rsidR="0063537A" w:rsidRDefault="0063537A" w:rsidP="004248E6">
      <w:pPr>
        <w:pStyle w:val="ListParagraph"/>
        <w:numPr>
          <w:ilvl w:val="1"/>
          <w:numId w:val="18"/>
        </w:numPr>
      </w:pPr>
      <w:r>
        <w:t>52% of participants with a disability</w:t>
      </w:r>
    </w:p>
    <w:p w14:paraId="0EB7104F" w14:textId="77777777" w:rsidR="0063537A" w:rsidRDefault="0063537A" w:rsidP="004248E6">
      <w:pPr>
        <w:pStyle w:val="ListParagraph"/>
        <w:numPr>
          <w:ilvl w:val="1"/>
          <w:numId w:val="18"/>
        </w:numPr>
      </w:pPr>
      <w:r>
        <w:t>21% of employed</w:t>
      </w:r>
    </w:p>
    <w:p w14:paraId="1FF95DA0" w14:textId="77777777" w:rsidR="0063537A" w:rsidRDefault="0063537A" w:rsidP="004248E6">
      <w:pPr>
        <w:pStyle w:val="ListParagraph"/>
        <w:numPr>
          <w:ilvl w:val="1"/>
          <w:numId w:val="18"/>
        </w:numPr>
      </w:pPr>
      <w:r>
        <w:t>89% of self-employed</w:t>
      </w:r>
    </w:p>
    <w:p w14:paraId="3C897C12" w14:textId="77777777" w:rsidR="0063537A" w:rsidRDefault="0063537A" w:rsidP="004248E6">
      <w:pPr>
        <w:pStyle w:val="ListParagraph"/>
        <w:numPr>
          <w:ilvl w:val="1"/>
          <w:numId w:val="18"/>
        </w:numPr>
      </w:pPr>
      <w:r>
        <w:t xml:space="preserve">72% of subsistence workers/ students/ others </w:t>
      </w:r>
    </w:p>
    <w:p w14:paraId="01699A2E" w14:textId="77777777" w:rsidR="0063537A" w:rsidRDefault="0063537A" w:rsidP="004248E6">
      <w:pPr>
        <w:pStyle w:val="ListParagraph"/>
        <w:numPr>
          <w:ilvl w:val="0"/>
          <w:numId w:val="18"/>
        </w:numPr>
      </w:pPr>
      <w:r>
        <w:t>Income improvements most common in the Forestry, Manufacturing and Tourism sectors within 6-8 months</w:t>
      </w:r>
    </w:p>
    <w:p w14:paraId="4B4C8FCE" w14:textId="77777777" w:rsidR="0063537A" w:rsidRDefault="0063537A" w:rsidP="004248E6">
      <w:pPr>
        <w:pStyle w:val="ListParagraph"/>
        <w:numPr>
          <w:ilvl w:val="0"/>
          <w:numId w:val="18"/>
        </w:numPr>
      </w:pPr>
      <w:r>
        <w:t>Improvements least common in Fisheries and IT</w:t>
      </w:r>
    </w:p>
    <w:p w14:paraId="5335BB69" w14:textId="77777777" w:rsidR="0063537A" w:rsidRDefault="0063537A" w:rsidP="004248E6">
      <w:pPr>
        <w:pStyle w:val="ListParagraph"/>
        <w:numPr>
          <w:ilvl w:val="0"/>
          <w:numId w:val="18"/>
        </w:numPr>
      </w:pPr>
      <w:r>
        <w:t xml:space="preserve">91% of self-employed participants report increased business income </w:t>
      </w:r>
    </w:p>
    <w:p w14:paraId="4F638DD3" w14:textId="77777777" w:rsidR="0063537A" w:rsidRDefault="0063537A" w:rsidP="004248E6">
      <w:pPr>
        <w:pStyle w:val="ListParagraph"/>
        <w:numPr>
          <w:ilvl w:val="0"/>
          <w:numId w:val="18"/>
        </w:numPr>
      </w:pPr>
      <w:r>
        <w:t xml:space="preserve">79% of employed participants improved their employment situation (e.g. responsibility, satisfaction, income, </w:t>
      </w:r>
      <w:r w:rsidR="007D4304">
        <w:t>etc.</w:t>
      </w:r>
      <w:r>
        <w:t xml:space="preserve">) </w:t>
      </w:r>
    </w:p>
    <w:p w14:paraId="3944B9F6" w14:textId="77777777" w:rsidR="0063537A" w:rsidRDefault="0063537A" w:rsidP="004248E6">
      <w:pPr>
        <w:pStyle w:val="ListParagraph"/>
        <w:numPr>
          <w:ilvl w:val="0"/>
          <w:numId w:val="18"/>
        </w:numPr>
      </w:pPr>
      <w:r>
        <w:t>Important personal changes included: increased confidence, and new ideas and inspiration for the future</w:t>
      </w:r>
    </w:p>
    <w:p w14:paraId="1C9ED1D5" w14:textId="77777777" w:rsidR="0063537A" w:rsidRDefault="0063537A" w:rsidP="00585DA1">
      <w:pPr>
        <w:pStyle w:val="Heading3"/>
      </w:pPr>
      <w:r>
        <w:t>4.2.2</w:t>
      </w:r>
      <w:r>
        <w:tab/>
        <w:t>Qualitative Observations</w:t>
      </w:r>
    </w:p>
    <w:p w14:paraId="13E4AC74" w14:textId="77777777" w:rsidR="0063537A" w:rsidRDefault="0063537A" w:rsidP="00D611F1">
      <w:r>
        <w:t xml:space="preserve">The face to face interview technique used in the evaluation survey enabled a great deal of qualitative observations to be captured. These observations correlate with the quantitative data as illustrated by the sample of statements </w:t>
      </w:r>
      <w:r w:rsidR="00325408">
        <w:t>provided below:</w:t>
      </w:r>
    </w:p>
    <w:p w14:paraId="46B889F9" w14:textId="77777777" w:rsidR="005F4ADC" w:rsidRDefault="005F4ADC" w:rsidP="00EE7D1A">
      <w:pPr>
        <w:pStyle w:val="Quote"/>
        <w:numPr>
          <w:ilvl w:val="0"/>
          <w:numId w:val="19"/>
        </w:numPr>
      </w:pPr>
      <w:r w:rsidRPr="003078A4">
        <w:t>“In the past there was a very distant relationship between the Provincial Council, the productive sectors, and Area Councils. Now with TVET there, it seems to be connecting everyone.”</w:t>
      </w:r>
      <w:r>
        <w:rPr>
          <w:rStyle w:val="FootnoteReference"/>
        </w:rPr>
        <w:t xml:space="preserve"> </w:t>
      </w:r>
      <w:r w:rsidRPr="005F4ADC">
        <w:rPr>
          <w:i w:val="0"/>
        </w:rPr>
        <w:t>Provincial Secretary General, 10 December 2015</w:t>
      </w:r>
    </w:p>
    <w:p w14:paraId="3091F943" w14:textId="77777777" w:rsidR="005F4ADC" w:rsidRDefault="005F4ADC" w:rsidP="00EE7D1A">
      <w:pPr>
        <w:pStyle w:val="Quote"/>
        <w:numPr>
          <w:ilvl w:val="0"/>
          <w:numId w:val="19"/>
        </w:numPr>
      </w:pPr>
      <w:r w:rsidRPr="00F13123">
        <w:t xml:space="preserve"> “Good governance is always a concern. We are looking forward to a better, stable government, so this Program can con</w:t>
      </w:r>
      <w:r>
        <w:t>tinue to benefit our country…</w:t>
      </w:r>
      <w:r w:rsidRPr="00F13123">
        <w:t xml:space="preserve">Success is determined by good leadership” </w:t>
      </w:r>
      <w:r w:rsidRPr="005F4ADC">
        <w:rPr>
          <w:i w:val="0"/>
        </w:rPr>
        <w:t>Provincial Secretary-General, 7 December 2015</w:t>
      </w:r>
    </w:p>
    <w:p w14:paraId="6B145714" w14:textId="77777777" w:rsidR="005F4ADC" w:rsidRDefault="005F4ADC" w:rsidP="004248E6">
      <w:pPr>
        <w:pStyle w:val="ListParagraph"/>
        <w:numPr>
          <w:ilvl w:val="0"/>
          <w:numId w:val="19"/>
        </w:numPr>
      </w:pPr>
      <w:r w:rsidRPr="005F4ADC">
        <w:t xml:space="preserve"> “Inside the Program we have strong advocates… [we have] won respect within the community for advocating the rights of people with disability to access services…”</w:t>
      </w:r>
      <w:r>
        <w:rPr>
          <w:rStyle w:val="FootnoteReference"/>
        </w:rPr>
        <w:t xml:space="preserve"> </w:t>
      </w:r>
      <w:r>
        <w:t>Senior Program staff member, 20 January 2016</w:t>
      </w:r>
    </w:p>
    <w:p w14:paraId="065D8F02" w14:textId="77777777" w:rsidR="0063537A" w:rsidRDefault="0063537A" w:rsidP="004248E6">
      <w:pPr>
        <w:pStyle w:val="ListParagraph"/>
        <w:numPr>
          <w:ilvl w:val="0"/>
          <w:numId w:val="19"/>
        </w:numPr>
      </w:pPr>
      <w:r w:rsidRPr="005F4ADC">
        <w:t xml:space="preserve">“The Program is a very excellent program. It’s been a huge success. You see these ni-Vanuatu guys building hotels, getting tourists every day, not just expatriates but local tourists and government offices. And the service you get in these guest houses [breakfast, cleaning of the room, reception]; you can see the difference in these businesses…for ni-Vanuatu entrepreneurs.” </w:t>
      </w:r>
      <w:r>
        <w:t>(Senior MoET official, stakeholder interview)</w:t>
      </w:r>
    </w:p>
    <w:p w14:paraId="4E43F334" w14:textId="77777777" w:rsidR="00111143" w:rsidRDefault="00111143" w:rsidP="00111143">
      <w:r>
        <w:t xml:space="preserve">In addition to the Program’s intensive monitoring and evaluation approach, the Department of Foreign Affairs and Trade (DFAT) commissioned an </w:t>
      </w:r>
      <w:r w:rsidR="0030272B">
        <w:t>I</w:t>
      </w:r>
      <w:r>
        <w:t xml:space="preserve">ndependent </w:t>
      </w:r>
      <w:r w:rsidR="0030272B">
        <w:t>E</w:t>
      </w:r>
      <w:r>
        <w:t>valuation</w:t>
      </w:r>
      <w:r w:rsidR="00AF2A7E">
        <w:rPr>
          <w:rStyle w:val="FootnoteReference"/>
        </w:rPr>
        <w:footnoteReference w:id="6"/>
      </w:r>
      <w:r>
        <w:t xml:space="preserve"> in 2015. Its conclusions about the factors underpinning the success of the TVET Program: </w:t>
      </w:r>
    </w:p>
    <w:p w14:paraId="1FD5E391" w14:textId="77777777" w:rsidR="00111143" w:rsidRDefault="00111143" w:rsidP="004248E6">
      <w:pPr>
        <w:pStyle w:val="ListParagraph"/>
        <w:numPr>
          <w:ilvl w:val="0"/>
          <w:numId w:val="20"/>
        </w:numPr>
      </w:pPr>
      <w:r>
        <w:t xml:space="preserve">the value chain approach; </w:t>
      </w:r>
    </w:p>
    <w:p w14:paraId="6B87E4B3" w14:textId="77777777" w:rsidR="00111143" w:rsidRDefault="00111143" w:rsidP="004248E6">
      <w:pPr>
        <w:pStyle w:val="ListParagraph"/>
        <w:numPr>
          <w:ilvl w:val="0"/>
          <w:numId w:val="20"/>
        </w:numPr>
      </w:pPr>
      <w:r>
        <w:t xml:space="preserve">decentralised service delivery; </w:t>
      </w:r>
    </w:p>
    <w:p w14:paraId="575D9B9D" w14:textId="77777777" w:rsidR="00111143" w:rsidRDefault="00111143" w:rsidP="004248E6">
      <w:pPr>
        <w:pStyle w:val="ListParagraph"/>
        <w:numPr>
          <w:ilvl w:val="0"/>
          <w:numId w:val="20"/>
        </w:numPr>
      </w:pPr>
      <w:r>
        <w:t xml:space="preserve">the M&amp;E system; </w:t>
      </w:r>
    </w:p>
    <w:p w14:paraId="3D27C827" w14:textId="77777777" w:rsidR="00111143" w:rsidRDefault="00111143" w:rsidP="004248E6">
      <w:pPr>
        <w:pStyle w:val="ListParagraph"/>
        <w:numPr>
          <w:ilvl w:val="0"/>
          <w:numId w:val="20"/>
        </w:numPr>
      </w:pPr>
      <w:r>
        <w:t xml:space="preserve">communications and relationships; </w:t>
      </w:r>
    </w:p>
    <w:p w14:paraId="3A364C25" w14:textId="77777777" w:rsidR="00111143" w:rsidRDefault="00111143" w:rsidP="004248E6">
      <w:pPr>
        <w:pStyle w:val="ListParagraph"/>
        <w:numPr>
          <w:ilvl w:val="0"/>
          <w:numId w:val="20"/>
        </w:numPr>
      </w:pPr>
      <w:r>
        <w:t xml:space="preserve">the Program’s sustainability framework; </w:t>
      </w:r>
    </w:p>
    <w:p w14:paraId="50140853" w14:textId="77777777" w:rsidR="00111143" w:rsidRDefault="00111143" w:rsidP="004248E6">
      <w:pPr>
        <w:pStyle w:val="ListParagraph"/>
        <w:numPr>
          <w:ilvl w:val="0"/>
          <w:numId w:val="20"/>
        </w:numPr>
      </w:pPr>
      <w:r>
        <w:t xml:space="preserve">the Program’s links with other aid programs; </w:t>
      </w:r>
    </w:p>
    <w:p w14:paraId="2B902CAC" w14:textId="77777777" w:rsidR="00111143" w:rsidRDefault="00111143" w:rsidP="004248E6">
      <w:pPr>
        <w:pStyle w:val="ListParagraph"/>
        <w:numPr>
          <w:ilvl w:val="0"/>
          <w:numId w:val="20"/>
        </w:numPr>
      </w:pPr>
      <w:r>
        <w:t xml:space="preserve">local leadership; and </w:t>
      </w:r>
    </w:p>
    <w:p w14:paraId="550E9820" w14:textId="77777777" w:rsidR="00111143" w:rsidRDefault="00111143" w:rsidP="004248E6">
      <w:pPr>
        <w:pStyle w:val="ListParagraph"/>
        <w:numPr>
          <w:ilvl w:val="0"/>
          <w:numId w:val="20"/>
        </w:numPr>
      </w:pPr>
      <w:r>
        <w:t xml:space="preserve">ethical, values-based leadership. </w:t>
      </w:r>
    </w:p>
    <w:p w14:paraId="2BEEF511" w14:textId="77777777" w:rsidR="00111143" w:rsidRDefault="00111143" w:rsidP="00111143">
      <w:r>
        <w:t xml:space="preserve">The independent evaluation concluded that: </w:t>
      </w:r>
    </w:p>
    <w:p w14:paraId="093C672B" w14:textId="77777777" w:rsidR="0063537A" w:rsidRDefault="00111143" w:rsidP="004248E6">
      <w:pPr>
        <w:pStyle w:val="ListParagraph"/>
        <w:numPr>
          <w:ilvl w:val="0"/>
          <w:numId w:val="21"/>
        </w:numPr>
      </w:pPr>
      <w:r w:rsidRPr="00111143">
        <w:t>“the most important of these was the decision to move to decentralised service delivery in the Provinces, although other factors were in play that facilitated this successful change.  The M&amp;E system and the value chain approach to sectoral development have also been important drivers</w:t>
      </w:r>
      <w:r>
        <w:t>”</w:t>
      </w:r>
    </w:p>
    <w:p w14:paraId="6D4E95DD" w14:textId="77777777" w:rsidR="00440E3A" w:rsidRDefault="00440E3A" w:rsidP="00585DA1">
      <w:pPr>
        <w:pStyle w:val="Heading3"/>
      </w:pPr>
      <w:r>
        <w:t>4.2.3</w:t>
      </w:r>
      <w:r>
        <w:tab/>
        <w:t>Sustainability</w:t>
      </w:r>
    </w:p>
    <w:p w14:paraId="7AD836CB" w14:textId="77777777" w:rsidR="00440E3A" w:rsidRDefault="00801AB0" w:rsidP="00440E3A">
      <w:pPr>
        <w:rPr>
          <w:lang w:val="en-AU"/>
        </w:rPr>
      </w:pPr>
      <w:r w:rsidRPr="004C7C4D">
        <w:rPr>
          <w:lang w:val="en-AU"/>
        </w:rPr>
        <w:t xml:space="preserve">In June 2010, the Phase 2 </w:t>
      </w:r>
      <w:r>
        <w:rPr>
          <w:lang w:val="en-AU"/>
        </w:rPr>
        <w:t>Strategic Advisory Group (</w:t>
      </w:r>
      <w:r w:rsidRPr="004C7C4D">
        <w:rPr>
          <w:lang w:val="en-AU"/>
        </w:rPr>
        <w:t>SAG</w:t>
      </w:r>
      <w:r>
        <w:rPr>
          <w:lang w:val="en-AU"/>
        </w:rPr>
        <w:t>)</w:t>
      </w:r>
      <w:r w:rsidRPr="004C7C4D">
        <w:rPr>
          <w:lang w:val="en-AU"/>
        </w:rPr>
        <w:t xml:space="preserve"> discussed the concept of sustainability in relation to the continuing development of the Vanuatu TVET sector and developed a set of criteria against which progress in the TVET sector could be assessed. Progress against these criteria has been discussed at each of the subsequent SAG meetings</w:t>
      </w:r>
      <w:r w:rsidR="0066162D">
        <w:rPr>
          <w:lang w:val="en-AU"/>
        </w:rPr>
        <w:t xml:space="preserve"> on a six-monthly basis</w:t>
      </w:r>
      <w:r w:rsidRPr="004C7C4D">
        <w:rPr>
          <w:lang w:val="en-AU"/>
        </w:rPr>
        <w:t>.</w:t>
      </w:r>
    </w:p>
    <w:p w14:paraId="16231631" w14:textId="27730411" w:rsidR="006339ED" w:rsidRDefault="006339ED">
      <w:pPr>
        <w:widowControl/>
        <w:spacing w:before="0" w:after="0"/>
        <w:rPr>
          <w:lang w:val="en-AU"/>
        </w:rPr>
      </w:pPr>
    </w:p>
    <w:p w14:paraId="53BAFF28" w14:textId="2F421B6E" w:rsidR="00FB0F23" w:rsidRPr="00232440" w:rsidRDefault="0066162D">
      <w:pPr>
        <w:rPr>
          <w:lang w:val="en-AU"/>
        </w:rPr>
      </w:pPr>
      <w:r>
        <w:rPr>
          <w:lang w:val="en-AU"/>
        </w:rPr>
        <w:t xml:space="preserve">The following table provides an assessment as to how confident the SAG members were with respect to each of the criterion at the beginning and end of Phase 3. From the table it can be seen that there were already a number of criterion that were already well progressed and the SAG </w:t>
      </w:r>
      <w:r w:rsidR="00AF3236">
        <w:rPr>
          <w:lang w:val="en-AU"/>
        </w:rPr>
        <w:t xml:space="preserve">members </w:t>
      </w:r>
      <w:r>
        <w:rPr>
          <w:lang w:val="en-AU"/>
        </w:rPr>
        <w:t>ha</w:t>
      </w:r>
      <w:r w:rsidR="00AF3236">
        <w:rPr>
          <w:lang w:val="en-AU"/>
        </w:rPr>
        <w:t>ve</w:t>
      </w:r>
      <w:r>
        <w:rPr>
          <w:lang w:val="en-AU"/>
        </w:rPr>
        <w:t xml:space="preserve"> maintained a continuing level of confidence that these factors point strongly to sustainable outcomes.</w:t>
      </w:r>
      <w:r w:rsidR="00AF3236">
        <w:rPr>
          <w:lang w:val="en-AU"/>
        </w:rPr>
        <w:t xml:space="preserve"> In some of these high confidence areas there has also been some progression such as in the level of coordination and TVET Centre human resource capacity.</w:t>
      </w:r>
    </w:p>
    <w:tbl>
      <w:tblPr>
        <w:tblW w:w="4824" w:type="pct"/>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Layout w:type="fixed"/>
        <w:tblLook w:val="0000" w:firstRow="0" w:lastRow="0" w:firstColumn="0" w:lastColumn="0" w:noHBand="0" w:noVBand="0"/>
      </w:tblPr>
      <w:tblGrid>
        <w:gridCol w:w="447"/>
        <w:gridCol w:w="5028"/>
        <w:gridCol w:w="500"/>
        <w:gridCol w:w="281"/>
        <w:gridCol w:w="281"/>
        <w:gridCol w:w="281"/>
        <w:gridCol w:w="281"/>
        <w:gridCol w:w="281"/>
        <w:gridCol w:w="281"/>
        <w:gridCol w:w="281"/>
        <w:gridCol w:w="281"/>
        <w:gridCol w:w="281"/>
        <w:gridCol w:w="268"/>
        <w:gridCol w:w="13"/>
      </w:tblGrid>
      <w:tr w:rsidR="00A5310E" w:rsidRPr="006E05D9" w14:paraId="0017D3D1" w14:textId="77777777" w:rsidTr="00A5310E">
        <w:trPr>
          <w:gridAfter w:val="1"/>
          <w:wAfter w:w="13" w:type="dxa"/>
          <w:trHeight w:val="443"/>
          <w:tblHeader/>
        </w:trPr>
        <w:tc>
          <w:tcPr>
            <w:tcW w:w="454" w:type="dxa"/>
            <w:vMerge w:val="restart"/>
            <w:shd w:val="clear" w:color="auto" w:fill="76923C" w:themeFill="accent3" w:themeFillShade="BF"/>
          </w:tcPr>
          <w:p w14:paraId="47DB93A6" w14:textId="77777777" w:rsidR="00A5310E" w:rsidRPr="00A518C5" w:rsidRDefault="00A5310E" w:rsidP="00FB0F23">
            <w:pPr>
              <w:rPr>
                <w:rFonts w:asciiTheme="majorHAnsi" w:hAnsiTheme="majorHAnsi"/>
                <w:b/>
                <w:bCs/>
                <w:color w:val="943634" w:themeColor="accent2" w:themeShade="BF"/>
                <w:sz w:val="18"/>
                <w:szCs w:val="18"/>
              </w:rPr>
            </w:pPr>
          </w:p>
        </w:tc>
        <w:tc>
          <w:tcPr>
            <w:tcW w:w="5215" w:type="dxa"/>
            <w:vMerge w:val="restart"/>
            <w:shd w:val="clear" w:color="auto" w:fill="76923C" w:themeFill="accent3" w:themeFillShade="BF"/>
            <w:vAlign w:val="bottom"/>
          </w:tcPr>
          <w:p w14:paraId="4DBC1348" w14:textId="77777777" w:rsidR="00A5310E" w:rsidRPr="006E05D9" w:rsidRDefault="00A5310E" w:rsidP="00FB0F23">
            <w:pPr>
              <w:rPr>
                <w:rFonts w:asciiTheme="majorHAnsi" w:hAnsiTheme="majorHAnsi"/>
                <w:b/>
                <w:bCs/>
                <w:color w:val="FFFFFF" w:themeColor="background1"/>
                <w:sz w:val="18"/>
                <w:szCs w:val="18"/>
              </w:rPr>
            </w:pPr>
            <w:r w:rsidRPr="006E05D9">
              <w:rPr>
                <w:rFonts w:asciiTheme="majorHAnsi" w:hAnsiTheme="majorHAnsi"/>
                <w:b/>
                <w:bCs/>
                <w:color w:val="FFFFFF" w:themeColor="background1"/>
                <w:sz w:val="18"/>
                <w:szCs w:val="18"/>
              </w:rPr>
              <w:t>Criteria for Sustainability</w:t>
            </w:r>
          </w:p>
        </w:tc>
        <w:tc>
          <w:tcPr>
            <w:tcW w:w="510" w:type="dxa"/>
            <w:vMerge w:val="restart"/>
            <w:shd w:val="clear" w:color="auto" w:fill="76923C" w:themeFill="accent3" w:themeFillShade="BF"/>
          </w:tcPr>
          <w:p w14:paraId="433C920A" w14:textId="77777777" w:rsidR="00A5310E" w:rsidRPr="00B8561E" w:rsidRDefault="00A5310E" w:rsidP="00FB0F23">
            <w:pPr>
              <w:jc w:val="center"/>
              <w:rPr>
                <w:rFonts w:asciiTheme="majorHAnsi" w:hAnsiTheme="majorHAnsi"/>
                <w:b/>
                <w:bCs/>
                <w:color w:val="FFFFFF" w:themeColor="background1"/>
                <w:sz w:val="16"/>
                <w:szCs w:val="16"/>
              </w:rPr>
            </w:pPr>
          </w:p>
        </w:tc>
        <w:tc>
          <w:tcPr>
            <w:tcW w:w="2817" w:type="dxa"/>
            <w:gridSpan w:val="10"/>
            <w:shd w:val="clear" w:color="auto" w:fill="76923C" w:themeFill="accent3" w:themeFillShade="BF"/>
          </w:tcPr>
          <w:p w14:paraId="05BB5E28" w14:textId="77777777" w:rsidR="00A5310E" w:rsidRPr="006E05D9" w:rsidRDefault="00A5310E" w:rsidP="00FB0F23">
            <w:pPr>
              <w:jc w:val="center"/>
              <w:rPr>
                <w:rFonts w:asciiTheme="majorHAnsi" w:hAnsiTheme="majorHAnsi"/>
                <w:b/>
                <w:bCs/>
                <w:color w:val="FFFFFF" w:themeColor="background1"/>
                <w:sz w:val="18"/>
                <w:szCs w:val="18"/>
              </w:rPr>
            </w:pPr>
            <w:r w:rsidRPr="006E05D9">
              <w:rPr>
                <w:rFonts w:asciiTheme="majorHAnsi" w:hAnsiTheme="majorHAnsi"/>
                <w:b/>
                <w:bCs/>
                <w:color w:val="FFFFFF" w:themeColor="background1"/>
                <w:sz w:val="18"/>
                <w:szCs w:val="18"/>
              </w:rPr>
              <w:t>Level of confidence (%)</w:t>
            </w:r>
          </w:p>
        </w:tc>
      </w:tr>
      <w:tr w:rsidR="00A5310E" w:rsidRPr="006E05D9" w14:paraId="298EBDD1" w14:textId="77777777" w:rsidTr="00EF44F1">
        <w:trPr>
          <w:trHeight w:val="443"/>
          <w:tblHeader/>
        </w:trPr>
        <w:tc>
          <w:tcPr>
            <w:tcW w:w="454" w:type="dxa"/>
            <w:vMerge/>
            <w:tcBorders>
              <w:bottom w:val="double" w:sz="4" w:space="0" w:color="auto"/>
            </w:tcBorders>
            <w:shd w:val="clear" w:color="auto" w:fill="76923C" w:themeFill="accent3" w:themeFillShade="BF"/>
          </w:tcPr>
          <w:p w14:paraId="2D259DA4" w14:textId="77777777" w:rsidR="00A5310E" w:rsidRPr="00A518C5" w:rsidRDefault="00A5310E" w:rsidP="00FB0F23">
            <w:pPr>
              <w:rPr>
                <w:rFonts w:asciiTheme="majorHAnsi" w:hAnsiTheme="majorHAnsi"/>
                <w:b/>
                <w:bCs/>
                <w:color w:val="943634" w:themeColor="accent2" w:themeShade="BF"/>
                <w:sz w:val="18"/>
                <w:szCs w:val="18"/>
              </w:rPr>
            </w:pPr>
          </w:p>
        </w:tc>
        <w:tc>
          <w:tcPr>
            <w:tcW w:w="5215" w:type="dxa"/>
            <w:vMerge/>
            <w:tcBorders>
              <w:bottom w:val="double" w:sz="4" w:space="0" w:color="auto"/>
            </w:tcBorders>
            <w:shd w:val="clear" w:color="auto" w:fill="76923C" w:themeFill="accent3" w:themeFillShade="BF"/>
          </w:tcPr>
          <w:p w14:paraId="171D7692" w14:textId="77777777" w:rsidR="00A5310E" w:rsidRPr="006E05D9" w:rsidRDefault="00A5310E" w:rsidP="00FB0F23">
            <w:pPr>
              <w:rPr>
                <w:rFonts w:asciiTheme="majorHAnsi" w:hAnsiTheme="majorHAnsi"/>
                <w:b/>
                <w:bCs/>
                <w:color w:val="FFFFFF" w:themeColor="background1"/>
                <w:sz w:val="18"/>
                <w:szCs w:val="18"/>
              </w:rPr>
            </w:pPr>
          </w:p>
        </w:tc>
        <w:tc>
          <w:tcPr>
            <w:tcW w:w="510" w:type="dxa"/>
            <w:vMerge/>
            <w:tcBorders>
              <w:bottom w:val="double" w:sz="4" w:space="0" w:color="auto"/>
            </w:tcBorders>
            <w:shd w:val="clear" w:color="auto" w:fill="76923C" w:themeFill="accent3" w:themeFillShade="BF"/>
          </w:tcPr>
          <w:p w14:paraId="605A85EB" w14:textId="77777777" w:rsidR="00A5310E" w:rsidRPr="00B8561E" w:rsidRDefault="00A5310E" w:rsidP="00FB0F23">
            <w:pPr>
              <w:jc w:val="center"/>
              <w:rPr>
                <w:rFonts w:asciiTheme="majorHAnsi" w:hAnsiTheme="majorHAnsi"/>
                <w:b/>
                <w:bCs/>
                <w:color w:val="FFFFFF" w:themeColor="background1"/>
                <w:sz w:val="16"/>
                <w:szCs w:val="16"/>
              </w:rPr>
            </w:pPr>
          </w:p>
        </w:tc>
        <w:tc>
          <w:tcPr>
            <w:tcW w:w="283" w:type="dxa"/>
            <w:tcBorders>
              <w:bottom w:val="double" w:sz="4" w:space="0" w:color="auto"/>
            </w:tcBorders>
            <w:shd w:val="clear" w:color="auto" w:fill="76923C" w:themeFill="accent3" w:themeFillShade="BF"/>
          </w:tcPr>
          <w:p w14:paraId="0BD08222"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10</w:t>
            </w:r>
          </w:p>
        </w:tc>
        <w:tc>
          <w:tcPr>
            <w:tcW w:w="283" w:type="dxa"/>
            <w:tcBorders>
              <w:bottom w:val="double" w:sz="4" w:space="0" w:color="auto"/>
            </w:tcBorders>
            <w:shd w:val="clear" w:color="auto" w:fill="76923C" w:themeFill="accent3" w:themeFillShade="BF"/>
          </w:tcPr>
          <w:p w14:paraId="591D0C32"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20</w:t>
            </w:r>
          </w:p>
        </w:tc>
        <w:tc>
          <w:tcPr>
            <w:tcW w:w="283" w:type="dxa"/>
            <w:tcBorders>
              <w:bottom w:val="double" w:sz="4" w:space="0" w:color="auto"/>
            </w:tcBorders>
            <w:shd w:val="clear" w:color="auto" w:fill="76923C" w:themeFill="accent3" w:themeFillShade="BF"/>
          </w:tcPr>
          <w:p w14:paraId="4A69BCB2"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30</w:t>
            </w:r>
          </w:p>
        </w:tc>
        <w:tc>
          <w:tcPr>
            <w:tcW w:w="283" w:type="dxa"/>
            <w:tcBorders>
              <w:bottom w:val="double" w:sz="4" w:space="0" w:color="auto"/>
            </w:tcBorders>
            <w:shd w:val="clear" w:color="auto" w:fill="76923C" w:themeFill="accent3" w:themeFillShade="BF"/>
          </w:tcPr>
          <w:p w14:paraId="5578CD08"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40</w:t>
            </w:r>
          </w:p>
        </w:tc>
        <w:tc>
          <w:tcPr>
            <w:tcW w:w="283" w:type="dxa"/>
            <w:tcBorders>
              <w:bottom w:val="double" w:sz="4" w:space="0" w:color="auto"/>
            </w:tcBorders>
            <w:shd w:val="clear" w:color="auto" w:fill="76923C" w:themeFill="accent3" w:themeFillShade="BF"/>
          </w:tcPr>
          <w:p w14:paraId="165E99FB"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50</w:t>
            </w:r>
          </w:p>
        </w:tc>
        <w:tc>
          <w:tcPr>
            <w:tcW w:w="283" w:type="dxa"/>
            <w:tcBorders>
              <w:bottom w:val="double" w:sz="4" w:space="0" w:color="auto"/>
            </w:tcBorders>
            <w:shd w:val="clear" w:color="auto" w:fill="76923C" w:themeFill="accent3" w:themeFillShade="BF"/>
          </w:tcPr>
          <w:p w14:paraId="4645DF24"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60</w:t>
            </w:r>
          </w:p>
        </w:tc>
        <w:tc>
          <w:tcPr>
            <w:tcW w:w="283" w:type="dxa"/>
            <w:tcBorders>
              <w:bottom w:val="double" w:sz="4" w:space="0" w:color="auto"/>
            </w:tcBorders>
            <w:shd w:val="clear" w:color="auto" w:fill="76923C" w:themeFill="accent3" w:themeFillShade="BF"/>
          </w:tcPr>
          <w:p w14:paraId="018E4152"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70</w:t>
            </w:r>
          </w:p>
        </w:tc>
        <w:tc>
          <w:tcPr>
            <w:tcW w:w="283" w:type="dxa"/>
            <w:tcBorders>
              <w:bottom w:val="double" w:sz="4" w:space="0" w:color="auto"/>
            </w:tcBorders>
            <w:shd w:val="clear" w:color="auto" w:fill="76923C" w:themeFill="accent3" w:themeFillShade="BF"/>
          </w:tcPr>
          <w:p w14:paraId="496CA714"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80</w:t>
            </w:r>
          </w:p>
        </w:tc>
        <w:tc>
          <w:tcPr>
            <w:tcW w:w="283" w:type="dxa"/>
            <w:tcBorders>
              <w:bottom w:val="double" w:sz="4" w:space="0" w:color="auto"/>
            </w:tcBorders>
            <w:shd w:val="clear" w:color="auto" w:fill="76923C" w:themeFill="accent3" w:themeFillShade="BF"/>
          </w:tcPr>
          <w:p w14:paraId="68527E42"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90</w:t>
            </w:r>
          </w:p>
        </w:tc>
        <w:tc>
          <w:tcPr>
            <w:tcW w:w="283" w:type="dxa"/>
            <w:gridSpan w:val="2"/>
            <w:tcBorders>
              <w:bottom w:val="double" w:sz="4" w:space="0" w:color="auto"/>
            </w:tcBorders>
            <w:shd w:val="clear" w:color="auto" w:fill="76923C" w:themeFill="accent3" w:themeFillShade="BF"/>
          </w:tcPr>
          <w:p w14:paraId="3FC2A708" w14:textId="77777777" w:rsidR="00A5310E" w:rsidRPr="00A5310E" w:rsidRDefault="00A5310E" w:rsidP="00FB0F23">
            <w:pPr>
              <w:jc w:val="center"/>
              <w:rPr>
                <w:rFonts w:asciiTheme="majorHAnsi" w:hAnsiTheme="majorHAnsi"/>
                <w:b/>
                <w:bCs/>
                <w:color w:val="FFFFFF" w:themeColor="background1"/>
                <w:sz w:val="16"/>
                <w:szCs w:val="16"/>
              </w:rPr>
            </w:pPr>
            <w:r w:rsidRPr="00A5310E">
              <w:rPr>
                <w:rFonts w:asciiTheme="majorHAnsi" w:hAnsiTheme="majorHAnsi"/>
                <w:b/>
                <w:bCs/>
                <w:color w:val="FFFFFF" w:themeColor="background1"/>
                <w:sz w:val="16"/>
                <w:szCs w:val="16"/>
              </w:rPr>
              <w:t>100</w:t>
            </w:r>
          </w:p>
        </w:tc>
      </w:tr>
      <w:tr w:rsidR="00FB0F23" w:rsidRPr="00A518C5" w14:paraId="65B22B37" w14:textId="77777777" w:rsidTr="00EF44F1">
        <w:trPr>
          <w:trHeight w:val="57"/>
        </w:trPr>
        <w:tc>
          <w:tcPr>
            <w:tcW w:w="454" w:type="dxa"/>
            <w:vMerge w:val="restart"/>
            <w:tcBorders>
              <w:top w:val="double" w:sz="4" w:space="0" w:color="auto"/>
            </w:tcBorders>
            <w:shd w:val="clear" w:color="auto" w:fill="auto"/>
          </w:tcPr>
          <w:p w14:paraId="6414C195" w14:textId="77777777" w:rsidR="00FB0F23" w:rsidRPr="0000273D" w:rsidRDefault="00FB0F23" w:rsidP="00FB0F23">
            <w:pPr>
              <w:spacing w:before="60" w:after="60"/>
              <w:rPr>
                <w:rFonts w:asciiTheme="majorHAnsi" w:hAnsiTheme="majorHAnsi"/>
                <w:sz w:val="18"/>
                <w:szCs w:val="18"/>
              </w:rPr>
            </w:pPr>
            <w:r w:rsidRPr="0000273D">
              <w:rPr>
                <w:rFonts w:asciiTheme="majorHAnsi" w:hAnsiTheme="majorHAnsi"/>
                <w:sz w:val="18"/>
                <w:szCs w:val="18"/>
              </w:rPr>
              <w:t>1</w:t>
            </w:r>
          </w:p>
        </w:tc>
        <w:tc>
          <w:tcPr>
            <w:tcW w:w="5215" w:type="dxa"/>
            <w:vMerge w:val="restart"/>
            <w:tcBorders>
              <w:top w:val="double" w:sz="4" w:space="0" w:color="auto"/>
            </w:tcBorders>
            <w:shd w:val="clear" w:color="auto" w:fill="auto"/>
          </w:tcPr>
          <w:p w14:paraId="0B5355FC" w14:textId="77777777" w:rsidR="00FB0F23" w:rsidRPr="0000273D" w:rsidRDefault="00FB0F23" w:rsidP="00FB0F23">
            <w:pPr>
              <w:spacing w:before="60" w:after="60"/>
              <w:rPr>
                <w:rFonts w:asciiTheme="majorHAnsi" w:hAnsiTheme="majorHAnsi"/>
                <w:bCs/>
                <w:sz w:val="18"/>
                <w:szCs w:val="18"/>
              </w:rPr>
            </w:pPr>
            <w:r w:rsidRPr="0000273D">
              <w:rPr>
                <w:rFonts w:asciiTheme="majorHAnsi" w:hAnsiTheme="majorHAnsi"/>
                <w:bCs/>
                <w:sz w:val="18"/>
                <w:szCs w:val="18"/>
              </w:rPr>
              <w:t>Policy – have the Policy framework in place</w:t>
            </w:r>
          </w:p>
        </w:tc>
        <w:tc>
          <w:tcPr>
            <w:tcW w:w="510" w:type="dxa"/>
            <w:tcBorders>
              <w:top w:val="double" w:sz="4" w:space="0" w:color="auto"/>
            </w:tcBorders>
            <w:vAlign w:val="center"/>
          </w:tcPr>
          <w:p w14:paraId="17166AC2" w14:textId="77777777" w:rsidR="00FB0F23" w:rsidRPr="00B8561E" w:rsidRDefault="00FB0F23"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sidR="00B8561E">
              <w:rPr>
                <w:rFonts w:asciiTheme="majorHAnsi" w:hAnsiTheme="majorHAnsi"/>
                <w:bCs/>
                <w:sz w:val="12"/>
                <w:szCs w:val="12"/>
              </w:rPr>
              <w:t>2</w:t>
            </w:r>
          </w:p>
        </w:tc>
        <w:tc>
          <w:tcPr>
            <w:tcW w:w="283" w:type="dxa"/>
            <w:tcBorders>
              <w:top w:val="double" w:sz="4" w:space="0" w:color="auto"/>
            </w:tcBorders>
            <w:shd w:val="clear" w:color="auto" w:fill="FF0000"/>
          </w:tcPr>
          <w:p w14:paraId="520A4F85"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FF0000"/>
          </w:tcPr>
          <w:p w14:paraId="7099803F"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FF0000"/>
          </w:tcPr>
          <w:p w14:paraId="4BD9F669"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FFC000"/>
          </w:tcPr>
          <w:p w14:paraId="03CEE800"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FFC000"/>
          </w:tcPr>
          <w:p w14:paraId="33A6F0E9"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FFC000"/>
          </w:tcPr>
          <w:p w14:paraId="2674FB3B"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92D050"/>
          </w:tcPr>
          <w:p w14:paraId="70D6BF14"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92D050"/>
          </w:tcPr>
          <w:p w14:paraId="796D4864"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top w:val="double" w:sz="4" w:space="0" w:color="auto"/>
            </w:tcBorders>
            <w:shd w:val="clear" w:color="auto" w:fill="92D050"/>
          </w:tcPr>
          <w:p w14:paraId="707F1458"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gridSpan w:val="2"/>
            <w:tcBorders>
              <w:top w:val="double" w:sz="4" w:space="0" w:color="auto"/>
              <w:right w:val="single" w:sz="4" w:space="0" w:color="auto"/>
            </w:tcBorders>
            <w:shd w:val="clear" w:color="auto" w:fill="auto"/>
          </w:tcPr>
          <w:p w14:paraId="563C6316" w14:textId="77777777" w:rsidR="00FB0F23" w:rsidRPr="00FB0F23" w:rsidRDefault="00FB0F23" w:rsidP="00FB0F23">
            <w:pPr>
              <w:spacing w:before="0" w:after="0"/>
              <w:rPr>
                <w:rFonts w:asciiTheme="majorHAnsi" w:hAnsiTheme="majorHAnsi"/>
                <w:b/>
                <w:bCs/>
                <w:color w:val="943634" w:themeColor="accent2" w:themeShade="BF"/>
                <w:sz w:val="12"/>
                <w:szCs w:val="12"/>
              </w:rPr>
            </w:pPr>
          </w:p>
        </w:tc>
      </w:tr>
      <w:tr w:rsidR="00FB0F23" w:rsidRPr="00A518C5" w14:paraId="05034A1A" w14:textId="77777777" w:rsidTr="00A5310E">
        <w:trPr>
          <w:trHeight w:val="57"/>
        </w:trPr>
        <w:tc>
          <w:tcPr>
            <w:tcW w:w="454" w:type="dxa"/>
            <w:vMerge/>
            <w:tcBorders>
              <w:bottom w:val="double" w:sz="4" w:space="0" w:color="auto"/>
            </w:tcBorders>
            <w:shd w:val="clear" w:color="auto" w:fill="auto"/>
          </w:tcPr>
          <w:p w14:paraId="7F30D037" w14:textId="77777777" w:rsidR="00FB0F23" w:rsidRPr="0000273D" w:rsidRDefault="00FB0F23" w:rsidP="00FB0F23">
            <w:pPr>
              <w:spacing w:before="60" w:after="60"/>
              <w:rPr>
                <w:rFonts w:asciiTheme="majorHAnsi" w:hAnsiTheme="majorHAnsi"/>
                <w:sz w:val="18"/>
                <w:szCs w:val="18"/>
              </w:rPr>
            </w:pPr>
          </w:p>
        </w:tc>
        <w:tc>
          <w:tcPr>
            <w:tcW w:w="5215" w:type="dxa"/>
            <w:vMerge/>
            <w:tcBorders>
              <w:bottom w:val="double" w:sz="4" w:space="0" w:color="auto"/>
            </w:tcBorders>
            <w:shd w:val="clear" w:color="auto" w:fill="auto"/>
          </w:tcPr>
          <w:p w14:paraId="0EB0DC1F" w14:textId="77777777" w:rsidR="00FB0F23" w:rsidRPr="0000273D" w:rsidRDefault="00FB0F23" w:rsidP="00FB0F23">
            <w:pPr>
              <w:spacing w:before="60" w:after="60"/>
              <w:rPr>
                <w:rFonts w:asciiTheme="majorHAnsi" w:hAnsiTheme="majorHAnsi"/>
                <w:bCs/>
                <w:sz w:val="18"/>
                <w:szCs w:val="18"/>
              </w:rPr>
            </w:pPr>
          </w:p>
        </w:tc>
        <w:tc>
          <w:tcPr>
            <w:tcW w:w="510" w:type="dxa"/>
            <w:tcBorders>
              <w:bottom w:val="double" w:sz="4" w:space="0" w:color="auto"/>
            </w:tcBorders>
            <w:vAlign w:val="center"/>
          </w:tcPr>
          <w:p w14:paraId="31F95AC4" w14:textId="77777777" w:rsidR="00FB0F23" w:rsidRPr="00B8561E" w:rsidRDefault="00FB0F23"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461BF24F"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FF0000"/>
          </w:tcPr>
          <w:p w14:paraId="392BAA20"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FF0000"/>
          </w:tcPr>
          <w:p w14:paraId="5B2A56E7"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FFC000"/>
          </w:tcPr>
          <w:p w14:paraId="0254CE7D"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FFC000"/>
          </w:tcPr>
          <w:p w14:paraId="0A823A79"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FFC000"/>
          </w:tcPr>
          <w:p w14:paraId="4109FC1E"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92D050"/>
          </w:tcPr>
          <w:p w14:paraId="3719D24C"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92D050"/>
          </w:tcPr>
          <w:p w14:paraId="74A57C22"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tcBorders>
              <w:bottom w:val="double" w:sz="4" w:space="0" w:color="auto"/>
            </w:tcBorders>
            <w:shd w:val="clear" w:color="auto" w:fill="92D050"/>
          </w:tcPr>
          <w:p w14:paraId="0B980BFB" w14:textId="77777777" w:rsidR="00FB0F23" w:rsidRPr="00FB0F23" w:rsidRDefault="00FB0F23" w:rsidP="00FB0F23">
            <w:pPr>
              <w:spacing w:before="0" w:after="0"/>
              <w:rPr>
                <w:rFonts w:asciiTheme="majorHAnsi" w:hAnsiTheme="majorHAnsi"/>
                <w:b/>
                <w:bCs/>
                <w:color w:val="943634" w:themeColor="accent2" w:themeShade="BF"/>
                <w:sz w:val="12"/>
                <w:szCs w:val="12"/>
              </w:rPr>
            </w:pPr>
          </w:p>
        </w:tc>
        <w:tc>
          <w:tcPr>
            <w:tcW w:w="283" w:type="dxa"/>
            <w:gridSpan w:val="2"/>
            <w:tcBorders>
              <w:bottom w:val="double" w:sz="4" w:space="0" w:color="auto"/>
              <w:right w:val="single" w:sz="4" w:space="0" w:color="auto"/>
            </w:tcBorders>
            <w:shd w:val="clear" w:color="auto" w:fill="auto"/>
          </w:tcPr>
          <w:p w14:paraId="631057C0" w14:textId="77777777" w:rsidR="00FB0F23" w:rsidRPr="00FB0F23" w:rsidRDefault="00FB0F23" w:rsidP="00FB0F23">
            <w:pPr>
              <w:spacing w:before="0" w:after="0"/>
              <w:rPr>
                <w:rFonts w:asciiTheme="majorHAnsi" w:hAnsiTheme="majorHAnsi"/>
                <w:b/>
                <w:bCs/>
                <w:color w:val="943634" w:themeColor="accent2" w:themeShade="BF"/>
                <w:sz w:val="12"/>
                <w:szCs w:val="12"/>
              </w:rPr>
            </w:pPr>
          </w:p>
        </w:tc>
      </w:tr>
      <w:tr w:rsidR="00B8561E" w:rsidRPr="00A518C5" w14:paraId="1C3A1457" w14:textId="77777777" w:rsidTr="00A5310E">
        <w:tc>
          <w:tcPr>
            <w:tcW w:w="454" w:type="dxa"/>
            <w:vMerge w:val="restart"/>
            <w:tcBorders>
              <w:top w:val="double" w:sz="4" w:space="0" w:color="auto"/>
            </w:tcBorders>
            <w:shd w:val="clear" w:color="auto" w:fill="auto"/>
          </w:tcPr>
          <w:p w14:paraId="6A3E89C1"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2</w:t>
            </w:r>
          </w:p>
        </w:tc>
        <w:tc>
          <w:tcPr>
            <w:tcW w:w="5215" w:type="dxa"/>
            <w:vMerge w:val="restart"/>
            <w:tcBorders>
              <w:top w:val="double" w:sz="4" w:space="0" w:color="auto"/>
            </w:tcBorders>
            <w:shd w:val="clear" w:color="auto" w:fill="auto"/>
          </w:tcPr>
          <w:p w14:paraId="7C37A7CC"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Training providers’ human resource capacity</w:t>
            </w:r>
          </w:p>
        </w:tc>
        <w:tc>
          <w:tcPr>
            <w:tcW w:w="510" w:type="dxa"/>
            <w:tcBorders>
              <w:top w:val="double" w:sz="4" w:space="0" w:color="auto"/>
            </w:tcBorders>
            <w:vAlign w:val="center"/>
          </w:tcPr>
          <w:p w14:paraId="7E2D3285"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26F80A6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14B5106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01421AB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600821F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330BFD1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DFA148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2DF36F5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F02474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457521E5"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39A22389"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408C74F6" w14:textId="77777777" w:rsidTr="00A5310E">
        <w:tc>
          <w:tcPr>
            <w:tcW w:w="454" w:type="dxa"/>
            <w:vMerge/>
            <w:tcBorders>
              <w:bottom w:val="double" w:sz="4" w:space="0" w:color="auto"/>
            </w:tcBorders>
            <w:shd w:val="clear" w:color="auto" w:fill="auto"/>
          </w:tcPr>
          <w:p w14:paraId="7B2B11B6"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3E537797"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231FBB17"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1359360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607A67C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52EB66A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2BCED59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38E4B40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38DC71C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7C04A57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594CDAD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74733EE4"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0440AF29"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1AE624D4" w14:textId="77777777" w:rsidTr="00A5310E">
        <w:tc>
          <w:tcPr>
            <w:tcW w:w="454" w:type="dxa"/>
            <w:vMerge w:val="restart"/>
            <w:tcBorders>
              <w:top w:val="double" w:sz="4" w:space="0" w:color="auto"/>
            </w:tcBorders>
            <w:shd w:val="clear" w:color="auto" w:fill="auto"/>
          </w:tcPr>
          <w:p w14:paraId="676FDCA1"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3</w:t>
            </w:r>
          </w:p>
        </w:tc>
        <w:tc>
          <w:tcPr>
            <w:tcW w:w="5215" w:type="dxa"/>
            <w:vMerge w:val="restart"/>
            <w:tcBorders>
              <w:top w:val="double" w:sz="4" w:space="0" w:color="auto"/>
            </w:tcBorders>
            <w:shd w:val="clear" w:color="auto" w:fill="auto"/>
          </w:tcPr>
          <w:p w14:paraId="496FEF78"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Government funding</w:t>
            </w:r>
          </w:p>
        </w:tc>
        <w:tc>
          <w:tcPr>
            <w:tcW w:w="510" w:type="dxa"/>
            <w:tcBorders>
              <w:top w:val="double" w:sz="4" w:space="0" w:color="auto"/>
            </w:tcBorders>
            <w:vAlign w:val="center"/>
          </w:tcPr>
          <w:p w14:paraId="6642A668"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25F6DF7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AE893F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1781C84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8EDC35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46C594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4BAA66E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33B029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9DF1DB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2F82EA0A"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4C595A33"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69368E51" w14:textId="77777777" w:rsidTr="00A5310E">
        <w:tc>
          <w:tcPr>
            <w:tcW w:w="454" w:type="dxa"/>
            <w:vMerge/>
            <w:tcBorders>
              <w:bottom w:val="double" w:sz="4" w:space="0" w:color="auto"/>
            </w:tcBorders>
            <w:shd w:val="clear" w:color="auto" w:fill="auto"/>
          </w:tcPr>
          <w:p w14:paraId="0A1FABBD"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7C0C3983"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7C075E35"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41B60EC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0061444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2E843D4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22302B4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2CF8500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4D2205B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2D41FEA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57D3C10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71A0503A"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2E32AD7E"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35BDE4AA" w14:textId="77777777" w:rsidTr="00A5310E">
        <w:tc>
          <w:tcPr>
            <w:tcW w:w="454" w:type="dxa"/>
            <w:vMerge w:val="restart"/>
            <w:tcBorders>
              <w:top w:val="double" w:sz="4" w:space="0" w:color="auto"/>
            </w:tcBorders>
            <w:shd w:val="clear" w:color="auto" w:fill="auto"/>
          </w:tcPr>
          <w:p w14:paraId="6CFEA791"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4</w:t>
            </w:r>
          </w:p>
        </w:tc>
        <w:tc>
          <w:tcPr>
            <w:tcW w:w="5215" w:type="dxa"/>
            <w:vMerge w:val="restart"/>
            <w:tcBorders>
              <w:top w:val="double" w:sz="4" w:space="0" w:color="auto"/>
            </w:tcBorders>
            <w:shd w:val="clear" w:color="auto" w:fill="auto"/>
          </w:tcPr>
          <w:p w14:paraId="006F6655"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Coordination systems to maximise use of resources</w:t>
            </w:r>
          </w:p>
        </w:tc>
        <w:tc>
          <w:tcPr>
            <w:tcW w:w="510" w:type="dxa"/>
            <w:tcBorders>
              <w:top w:val="double" w:sz="4" w:space="0" w:color="auto"/>
            </w:tcBorders>
            <w:vAlign w:val="center"/>
          </w:tcPr>
          <w:p w14:paraId="4CB579B5"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690B02B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6675579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3EAD2B0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1458346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16DE7E1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70977D0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7EA3BB5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6A5633E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811C2D1"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2C6B919C"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47EB65CB" w14:textId="77777777" w:rsidTr="00A5310E">
        <w:tc>
          <w:tcPr>
            <w:tcW w:w="454" w:type="dxa"/>
            <w:vMerge/>
            <w:tcBorders>
              <w:bottom w:val="double" w:sz="4" w:space="0" w:color="auto"/>
            </w:tcBorders>
            <w:shd w:val="clear" w:color="auto" w:fill="auto"/>
          </w:tcPr>
          <w:p w14:paraId="50FA232D"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272451E3"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37663174"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66840DA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730B8ED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1D738E2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7521ED2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3193A95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08D5379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76C3724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4303EB6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0869BD23"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5B899379"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1C0ED667" w14:textId="77777777" w:rsidTr="00A5310E">
        <w:tc>
          <w:tcPr>
            <w:tcW w:w="454" w:type="dxa"/>
            <w:vMerge w:val="restart"/>
            <w:tcBorders>
              <w:top w:val="double" w:sz="4" w:space="0" w:color="auto"/>
            </w:tcBorders>
            <w:shd w:val="clear" w:color="auto" w:fill="auto"/>
          </w:tcPr>
          <w:p w14:paraId="2CACF89C"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5</w:t>
            </w:r>
          </w:p>
        </w:tc>
        <w:tc>
          <w:tcPr>
            <w:tcW w:w="5215" w:type="dxa"/>
            <w:vMerge w:val="restart"/>
            <w:tcBorders>
              <w:top w:val="double" w:sz="4" w:space="0" w:color="auto"/>
            </w:tcBorders>
            <w:shd w:val="clear" w:color="auto" w:fill="auto"/>
          </w:tcPr>
          <w:p w14:paraId="02CA46AD"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TVET Centres human resource capacity</w:t>
            </w:r>
          </w:p>
        </w:tc>
        <w:tc>
          <w:tcPr>
            <w:tcW w:w="510" w:type="dxa"/>
            <w:tcBorders>
              <w:top w:val="double" w:sz="4" w:space="0" w:color="auto"/>
            </w:tcBorders>
            <w:vAlign w:val="center"/>
          </w:tcPr>
          <w:p w14:paraId="250611B2"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74E1B20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1176C72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14C1ECB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6EA31D5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02AA86C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63013BD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4162504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73AE66B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4A874A6"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4D8FADE4"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3AE99CF8" w14:textId="77777777" w:rsidTr="00A5310E">
        <w:tc>
          <w:tcPr>
            <w:tcW w:w="454" w:type="dxa"/>
            <w:vMerge/>
            <w:tcBorders>
              <w:bottom w:val="double" w:sz="4" w:space="0" w:color="auto"/>
            </w:tcBorders>
            <w:shd w:val="clear" w:color="auto" w:fill="auto"/>
          </w:tcPr>
          <w:p w14:paraId="0043E757"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480EB7BE"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77ABC445"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139587E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6A8B4DB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7D30F9B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5AE8969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27E689E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52455BB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49DBDAB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1263500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07025F23"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01086A7B"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44A78533" w14:textId="77777777" w:rsidTr="00A5310E">
        <w:tc>
          <w:tcPr>
            <w:tcW w:w="454" w:type="dxa"/>
            <w:vMerge w:val="restart"/>
            <w:tcBorders>
              <w:top w:val="double" w:sz="4" w:space="0" w:color="auto"/>
            </w:tcBorders>
            <w:shd w:val="clear" w:color="auto" w:fill="auto"/>
          </w:tcPr>
          <w:p w14:paraId="2F3796FC"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6</w:t>
            </w:r>
          </w:p>
        </w:tc>
        <w:tc>
          <w:tcPr>
            <w:tcW w:w="5215" w:type="dxa"/>
            <w:vMerge w:val="restart"/>
            <w:tcBorders>
              <w:top w:val="double" w:sz="4" w:space="0" w:color="auto"/>
            </w:tcBorders>
            <w:shd w:val="clear" w:color="auto" w:fill="auto"/>
          </w:tcPr>
          <w:p w14:paraId="02A80C08"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 xml:space="preserve">Local ownership/ empowerment </w:t>
            </w:r>
          </w:p>
        </w:tc>
        <w:tc>
          <w:tcPr>
            <w:tcW w:w="510" w:type="dxa"/>
            <w:tcBorders>
              <w:top w:val="double" w:sz="4" w:space="0" w:color="auto"/>
            </w:tcBorders>
            <w:vAlign w:val="center"/>
          </w:tcPr>
          <w:p w14:paraId="03E23127"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1784590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4B57F9F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091D253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3E28FAF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453146C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0E7500B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39A9E7D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4630F2A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5ED91986"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49B5205E"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7D1E096A" w14:textId="77777777" w:rsidTr="00A5310E">
        <w:tc>
          <w:tcPr>
            <w:tcW w:w="454" w:type="dxa"/>
            <w:vMerge/>
            <w:tcBorders>
              <w:bottom w:val="double" w:sz="4" w:space="0" w:color="auto"/>
            </w:tcBorders>
            <w:shd w:val="clear" w:color="auto" w:fill="auto"/>
          </w:tcPr>
          <w:p w14:paraId="69ADC134"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49D9D343"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448A9658"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13B6821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5BAA6BB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33F291B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7BCCCB3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7A9D87A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0869D6D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5F634FA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7FF425F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54625711"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5BB30044"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09A820FD" w14:textId="77777777" w:rsidTr="00A5310E">
        <w:tc>
          <w:tcPr>
            <w:tcW w:w="454" w:type="dxa"/>
            <w:vMerge w:val="restart"/>
            <w:tcBorders>
              <w:top w:val="double" w:sz="4" w:space="0" w:color="auto"/>
            </w:tcBorders>
            <w:shd w:val="clear" w:color="auto" w:fill="auto"/>
          </w:tcPr>
          <w:p w14:paraId="045C2A1D" w14:textId="77777777" w:rsidR="00B8561E" w:rsidRPr="0000273D" w:rsidRDefault="00B8561E" w:rsidP="00B8561E">
            <w:pPr>
              <w:spacing w:before="60" w:after="60"/>
              <w:rPr>
                <w:rFonts w:asciiTheme="majorHAnsi" w:hAnsiTheme="majorHAnsi"/>
                <w:sz w:val="18"/>
                <w:szCs w:val="18"/>
              </w:rPr>
            </w:pPr>
            <w:r w:rsidRPr="0000273D">
              <w:rPr>
                <w:rFonts w:asciiTheme="majorHAnsi" w:hAnsiTheme="majorHAnsi"/>
                <w:sz w:val="18"/>
                <w:szCs w:val="18"/>
              </w:rPr>
              <w:t>7</w:t>
            </w:r>
          </w:p>
        </w:tc>
        <w:tc>
          <w:tcPr>
            <w:tcW w:w="5215" w:type="dxa"/>
            <w:vMerge w:val="restart"/>
            <w:tcBorders>
              <w:top w:val="double" w:sz="4" w:space="0" w:color="auto"/>
            </w:tcBorders>
            <w:shd w:val="clear" w:color="auto" w:fill="auto"/>
          </w:tcPr>
          <w:p w14:paraId="5EC83EB9"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sz w:val="18"/>
                <w:szCs w:val="18"/>
              </w:rPr>
              <w:t xml:space="preserve"> </w:t>
            </w:r>
            <w:r w:rsidRPr="0000273D">
              <w:rPr>
                <w:rFonts w:asciiTheme="majorHAnsi" w:hAnsiTheme="majorHAnsi"/>
                <w:bCs/>
                <w:sz w:val="18"/>
                <w:szCs w:val="18"/>
              </w:rPr>
              <w:t>Realistic cost structures</w:t>
            </w:r>
          </w:p>
        </w:tc>
        <w:tc>
          <w:tcPr>
            <w:tcW w:w="510" w:type="dxa"/>
            <w:tcBorders>
              <w:top w:val="double" w:sz="4" w:space="0" w:color="auto"/>
            </w:tcBorders>
            <w:vAlign w:val="center"/>
          </w:tcPr>
          <w:p w14:paraId="431B3525"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05D2A28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7CB2304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5AF394D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4DA310F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03CDD6E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0ABA1E3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21268DC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5F191A8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11B78B8"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75F31637"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1CAE85BD" w14:textId="77777777" w:rsidTr="00A5310E">
        <w:tc>
          <w:tcPr>
            <w:tcW w:w="454" w:type="dxa"/>
            <w:vMerge/>
            <w:tcBorders>
              <w:bottom w:val="double" w:sz="4" w:space="0" w:color="auto"/>
            </w:tcBorders>
            <w:shd w:val="clear" w:color="auto" w:fill="auto"/>
          </w:tcPr>
          <w:p w14:paraId="120637B2" w14:textId="77777777" w:rsidR="00B8561E" w:rsidRPr="0000273D" w:rsidRDefault="00B8561E" w:rsidP="00B8561E">
            <w:pPr>
              <w:spacing w:before="60" w:after="60"/>
              <w:rPr>
                <w:rFonts w:asciiTheme="majorHAnsi" w:hAnsiTheme="majorHAnsi"/>
                <w:sz w:val="18"/>
                <w:szCs w:val="18"/>
              </w:rPr>
            </w:pPr>
          </w:p>
        </w:tc>
        <w:tc>
          <w:tcPr>
            <w:tcW w:w="5215" w:type="dxa"/>
            <w:vMerge/>
            <w:tcBorders>
              <w:bottom w:val="double" w:sz="4" w:space="0" w:color="auto"/>
            </w:tcBorders>
            <w:shd w:val="clear" w:color="auto" w:fill="auto"/>
          </w:tcPr>
          <w:p w14:paraId="13935A78" w14:textId="77777777" w:rsidR="00B8561E" w:rsidRPr="0000273D" w:rsidRDefault="00B8561E" w:rsidP="00B8561E">
            <w:pPr>
              <w:spacing w:before="60" w:after="60"/>
              <w:rPr>
                <w:rFonts w:asciiTheme="majorHAnsi" w:hAnsiTheme="majorHAnsi"/>
                <w:sz w:val="18"/>
                <w:szCs w:val="18"/>
              </w:rPr>
            </w:pPr>
          </w:p>
        </w:tc>
        <w:tc>
          <w:tcPr>
            <w:tcW w:w="510" w:type="dxa"/>
            <w:tcBorders>
              <w:bottom w:val="double" w:sz="4" w:space="0" w:color="auto"/>
            </w:tcBorders>
            <w:vAlign w:val="center"/>
          </w:tcPr>
          <w:p w14:paraId="170266EB"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5232F71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083F517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0025A0C6"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3E956B2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053D6D6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2099BD7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4505490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76D06FF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3564DE7B"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79B7D68B"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0DA03CD2" w14:textId="77777777" w:rsidTr="00A5310E">
        <w:tc>
          <w:tcPr>
            <w:tcW w:w="454" w:type="dxa"/>
            <w:vMerge w:val="restart"/>
            <w:tcBorders>
              <w:top w:val="double" w:sz="4" w:space="0" w:color="auto"/>
            </w:tcBorders>
            <w:shd w:val="clear" w:color="auto" w:fill="auto"/>
          </w:tcPr>
          <w:p w14:paraId="6E4D6538" w14:textId="77777777" w:rsidR="00B8561E" w:rsidRPr="0000273D" w:rsidRDefault="00B8561E" w:rsidP="00B8561E">
            <w:pPr>
              <w:spacing w:before="60" w:after="60"/>
              <w:rPr>
                <w:rFonts w:asciiTheme="majorHAnsi" w:hAnsiTheme="majorHAnsi"/>
                <w:sz w:val="18"/>
                <w:szCs w:val="18"/>
              </w:rPr>
            </w:pPr>
            <w:r w:rsidRPr="0000273D">
              <w:rPr>
                <w:rFonts w:asciiTheme="majorHAnsi" w:hAnsiTheme="majorHAnsi"/>
                <w:sz w:val="18"/>
                <w:szCs w:val="18"/>
              </w:rPr>
              <w:t>8</w:t>
            </w:r>
          </w:p>
        </w:tc>
        <w:tc>
          <w:tcPr>
            <w:tcW w:w="5215" w:type="dxa"/>
            <w:vMerge w:val="restart"/>
            <w:tcBorders>
              <w:top w:val="double" w:sz="4" w:space="0" w:color="auto"/>
            </w:tcBorders>
            <w:shd w:val="clear" w:color="auto" w:fill="auto"/>
          </w:tcPr>
          <w:p w14:paraId="2A311313"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Politicians aware of success</w:t>
            </w:r>
          </w:p>
        </w:tc>
        <w:tc>
          <w:tcPr>
            <w:tcW w:w="510" w:type="dxa"/>
            <w:tcBorders>
              <w:top w:val="double" w:sz="4" w:space="0" w:color="auto"/>
            </w:tcBorders>
            <w:vAlign w:val="center"/>
          </w:tcPr>
          <w:p w14:paraId="37B591F3"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4BACED2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4412846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156F173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1DAC67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20FBA3A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70C15BB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44E92BF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404969F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5B722501"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45028B21"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33CDB14E" w14:textId="77777777" w:rsidTr="00A5310E">
        <w:tc>
          <w:tcPr>
            <w:tcW w:w="454" w:type="dxa"/>
            <w:vMerge/>
            <w:tcBorders>
              <w:bottom w:val="double" w:sz="4" w:space="0" w:color="auto"/>
            </w:tcBorders>
            <w:shd w:val="clear" w:color="auto" w:fill="auto"/>
          </w:tcPr>
          <w:p w14:paraId="5749F0DF" w14:textId="77777777" w:rsidR="00B8561E" w:rsidRPr="0000273D" w:rsidRDefault="00B8561E" w:rsidP="00B8561E">
            <w:pPr>
              <w:spacing w:before="60" w:after="60"/>
              <w:rPr>
                <w:rFonts w:asciiTheme="majorHAnsi" w:hAnsiTheme="majorHAnsi"/>
                <w:sz w:val="18"/>
                <w:szCs w:val="18"/>
              </w:rPr>
            </w:pPr>
          </w:p>
        </w:tc>
        <w:tc>
          <w:tcPr>
            <w:tcW w:w="5215" w:type="dxa"/>
            <w:vMerge/>
            <w:tcBorders>
              <w:bottom w:val="double" w:sz="4" w:space="0" w:color="auto"/>
            </w:tcBorders>
            <w:shd w:val="clear" w:color="auto" w:fill="auto"/>
          </w:tcPr>
          <w:p w14:paraId="4AAA77C6"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08C1BBD4"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0B4F5FC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7F1A0BC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25423A1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78BA6C5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22DA974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36EB353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786593C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6BE37C2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111FDBC9"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0E3F773A"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1CAE959D" w14:textId="77777777" w:rsidTr="00A5310E">
        <w:tc>
          <w:tcPr>
            <w:tcW w:w="454" w:type="dxa"/>
            <w:vMerge w:val="restart"/>
            <w:tcBorders>
              <w:top w:val="double" w:sz="4" w:space="0" w:color="auto"/>
            </w:tcBorders>
            <w:shd w:val="clear" w:color="auto" w:fill="auto"/>
          </w:tcPr>
          <w:p w14:paraId="7517D0E1"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9</w:t>
            </w:r>
          </w:p>
        </w:tc>
        <w:tc>
          <w:tcPr>
            <w:tcW w:w="5215" w:type="dxa"/>
            <w:vMerge w:val="restart"/>
            <w:tcBorders>
              <w:top w:val="double" w:sz="4" w:space="0" w:color="auto"/>
            </w:tcBorders>
            <w:shd w:val="clear" w:color="auto" w:fill="auto"/>
          </w:tcPr>
          <w:p w14:paraId="2DB535E2"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Technology transfer – skills pass to counterparts</w:t>
            </w:r>
          </w:p>
        </w:tc>
        <w:tc>
          <w:tcPr>
            <w:tcW w:w="510" w:type="dxa"/>
            <w:tcBorders>
              <w:top w:val="double" w:sz="4" w:space="0" w:color="auto"/>
            </w:tcBorders>
            <w:vAlign w:val="center"/>
          </w:tcPr>
          <w:p w14:paraId="1BE0F98B"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20D2063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34443E3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3913E1E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4ACF3D67"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0B737F5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68EA290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7A345F8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4642DA6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DC05E3C"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27EBD09B"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41058F65" w14:textId="77777777" w:rsidTr="00A5310E">
        <w:tc>
          <w:tcPr>
            <w:tcW w:w="454" w:type="dxa"/>
            <w:vMerge/>
            <w:tcBorders>
              <w:bottom w:val="double" w:sz="4" w:space="0" w:color="auto"/>
            </w:tcBorders>
            <w:shd w:val="clear" w:color="auto" w:fill="auto"/>
          </w:tcPr>
          <w:p w14:paraId="70AE7090"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6F213DEB"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69515914"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70D3461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74346A1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19D70C3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69FD3AD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32C6B97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0CC6245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286DA94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1202CF3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10D38DEE"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1EF891FE"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25DC9E90" w14:textId="77777777" w:rsidTr="00A5310E">
        <w:tc>
          <w:tcPr>
            <w:tcW w:w="454" w:type="dxa"/>
            <w:vMerge w:val="restart"/>
            <w:tcBorders>
              <w:top w:val="double" w:sz="4" w:space="0" w:color="auto"/>
            </w:tcBorders>
            <w:shd w:val="clear" w:color="auto" w:fill="auto"/>
          </w:tcPr>
          <w:p w14:paraId="0D5AF288" w14:textId="77777777" w:rsidR="00B8561E" w:rsidRPr="0000273D" w:rsidRDefault="00B8561E" w:rsidP="00B8561E">
            <w:pPr>
              <w:spacing w:before="60" w:after="60"/>
              <w:rPr>
                <w:rFonts w:asciiTheme="majorHAnsi" w:hAnsiTheme="majorHAnsi"/>
                <w:sz w:val="18"/>
                <w:szCs w:val="18"/>
              </w:rPr>
            </w:pPr>
            <w:r w:rsidRPr="0000273D">
              <w:rPr>
                <w:rFonts w:asciiTheme="majorHAnsi" w:hAnsiTheme="majorHAnsi"/>
                <w:bCs/>
                <w:sz w:val="18"/>
                <w:szCs w:val="18"/>
              </w:rPr>
              <w:t>10</w:t>
            </w:r>
          </w:p>
        </w:tc>
        <w:tc>
          <w:tcPr>
            <w:tcW w:w="5215" w:type="dxa"/>
            <w:vMerge w:val="restart"/>
            <w:tcBorders>
              <w:top w:val="double" w:sz="4" w:space="0" w:color="auto"/>
            </w:tcBorders>
            <w:shd w:val="clear" w:color="auto" w:fill="auto"/>
          </w:tcPr>
          <w:p w14:paraId="751700E7" w14:textId="77777777" w:rsidR="00B8561E" w:rsidRPr="0000273D" w:rsidRDefault="00B8561E" w:rsidP="002417CD">
            <w:pPr>
              <w:spacing w:before="60" w:after="60"/>
              <w:rPr>
                <w:rFonts w:asciiTheme="majorHAnsi" w:hAnsiTheme="majorHAnsi"/>
                <w:bCs/>
                <w:sz w:val="18"/>
                <w:szCs w:val="18"/>
              </w:rPr>
            </w:pPr>
            <w:r w:rsidRPr="0000273D">
              <w:rPr>
                <w:rFonts w:asciiTheme="majorHAnsi" w:hAnsiTheme="majorHAnsi"/>
                <w:bCs/>
                <w:sz w:val="18"/>
                <w:szCs w:val="18"/>
              </w:rPr>
              <w:t xml:space="preserve">Holistic (whole of Government) approach to economic development </w:t>
            </w:r>
          </w:p>
        </w:tc>
        <w:tc>
          <w:tcPr>
            <w:tcW w:w="510" w:type="dxa"/>
            <w:tcBorders>
              <w:top w:val="double" w:sz="4" w:space="0" w:color="auto"/>
            </w:tcBorders>
            <w:vAlign w:val="center"/>
          </w:tcPr>
          <w:p w14:paraId="0E8A9249"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751AB17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1C161B5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1724741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C8542E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4F64A7DB"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638853D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00059D2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7269A0A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5945F4B3"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6BC9555C"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5DAA2254" w14:textId="77777777" w:rsidTr="00A5310E">
        <w:tc>
          <w:tcPr>
            <w:tcW w:w="454" w:type="dxa"/>
            <w:vMerge/>
            <w:tcBorders>
              <w:bottom w:val="double" w:sz="4" w:space="0" w:color="auto"/>
            </w:tcBorders>
            <w:shd w:val="clear" w:color="auto" w:fill="auto"/>
          </w:tcPr>
          <w:p w14:paraId="1BBBC2C5"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0D2BCBD9"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6437F3DC"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51932952"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15A505E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76E15ED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3EFF4C38"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631BE78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408DB7B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17CE2F5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5BF9FA9C"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201017C1"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246BFBDD"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2FF821A1" w14:textId="77777777" w:rsidTr="00A5310E">
        <w:tc>
          <w:tcPr>
            <w:tcW w:w="454" w:type="dxa"/>
            <w:vMerge w:val="restart"/>
            <w:tcBorders>
              <w:top w:val="double" w:sz="4" w:space="0" w:color="auto"/>
            </w:tcBorders>
            <w:shd w:val="clear" w:color="auto" w:fill="auto"/>
          </w:tcPr>
          <w:p w14:paraId="62F3D092" w14:textId="77777777" w:rsidR="00B8561E" w:rsidRPr="0000273D" w:rsidRDefault="00B8561E" w:rsidP="00B8561E">
            <w:pPr>
              <w:spacing w:before="60" w:after="60"/>
              <w:rPr>
                <w:rFonts w:asciiTheme="majorHAnsi" w:hAnsiTheme="majorHAnsi"/>
                <w:bCs/>
                <w:sz w:val="18"/>
                <w:szCs w:val="18"/>
              </w:rPr>
            </w:pPr>
            <w:r w:rsidRPr="0000273D">
              <w:rPr>
                <w:rFonts w:asciiTheme="majorHAnsi" w:hAnsiTheme="majorHAnsi"/>
                <w:bCs/>
                <w:sz w:val="18"/>
                <w:szCs w:val="18"/>
              </w:rPr>
              <w:t>11</w:t>
            </w:r>
          </w:p>
        </w:tc>
        <w:tc>
          <w:tcPr>
            <w:tcW w:w="5215" w:type="dxa"/>
            <w:vMerge w:val="restart"/>
            <w:tcBorders>
              <w:top w:val="double" w:sz="4" w:space="0" w:color="auto"/>
            </w:tcBorders>
            <w:shd w:val="clear" w:color="auto" w:fill="auto"/>
          </w:tcPr>
          <w:p w14:paraId="3E956BFF" w14:textId="77777777" w:rsidR="00B8561E" w:rsidRPr="0000273D" w:rsidRDefault="00B8561E" w:rsidP="002417CD">
            <w:pPr>
              <w:spacing w:before="60" w:after="60"/>
              <w:rPr>
                <w:rFonts w:asciiTheme="majorHAnsi" w:hAnsiTheme="majorHAnsi"/>
                <w:bCs/>
                <w:sz w:val="18"/>
                <w:szCs w:val="18"/>
              </w:rPr>
            </w:pPr>
            <w:r w:rsidRPr="0000273D">
              <w:rPr>
                <w:rFonts w:asciiTheme="majorHAnsi" w:hAnsiTheme="majorHAnsi"/>
                <w:bCs/>
                <w:sz w:val="18"/>
                <w:szCs w:val="18"/>
              </w:rPr>
              <w:t xml:space="preserve">Communications/ information/ M&amp;E </w:t>
            </w:r>
          </w:p>
        </w:tc>
        <w:tc>
          <w:tcPr>
            <w:tcW w:w="510" w:type="dxa"/>
            <w:tcBorders>
              <w:top w:val="double" w:sz="4" w:space="0" w:color="auto"/>
            </w:tcBorders>
            <w:vAlign w:val="center"/>
          </w:tcPr>
          <w:p w14:paraId="055CF241"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w:t>
            </w:r>
            <w:r>
              <w:rPr>
                <w:rFonts w:asciiTheme="majorHAnsi" w:hAnsiTheme="majorHAnsi"/>
                <w:bCs/>
                <w:sz w:val="12"/>
                <w:szCs w:val="12"/>
              </w:rPr>
              <w:t>2</w:t>
            </w:r>
          </w:p>
        </w:tc>
        <w:tc>
          <w:tcPr>
            <w:tcW w:w="283" w:type="dxa"/>
            <w:tcBorders>
              <w:top w:val="double" w:sz="4" w:space="0" w:color="auto"/>
            </w:tcBorders>
            <w:shd w:val="clear" w:color="auto" w:fill="FF0000"/>
          </w:tcPr>
          <w:p w14:paraId="59C64835"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26CCF39F"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0000"/>
          </w:tcPr>
          <w:p w14:paraId="1FAAD07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770D07F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49F6EC7D"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FFC000"/>
          </w:tcPr>
          <w:p w14:paraId="20DB50F4"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18BD567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92D050"/>
          </w:tcPr>
          <w:p w14:paraId="32A9F09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top w:val="double" w:sz="4" w:space="0" w:color="auto"/>
            </w:tcBorders>
            <w:shd w:val="clear" w:color="auto" w:fill="auto"/>
          </w:tcPr>
          <w:p w14:paraId="3C7E910A"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top w:val="double" w:sz="4" w:space="0" w:color="auto"/>
            </w:tcBorders>
            <w:shd w:val="clear" w:color="auto" w:fill="auto"/>
          </w:tcPr>
          <w:p w14:paraId="5E8F0678" w14:textId="77777777" w:rsidR="00B8561E" w:rsidRPr="00B8561E" w:rsidRDefault="00B8561E" w:rsidP="00B8561E">
            <w:pPr>
              <w:spacing w:before="0" w:after="0"/>
              <w:jc w:val="center"/>
              <w:rPr>
                <w:rFonts w:asciiTheme="majorHAnsi" w:hAnsiTheme="majorHAnsi"/>
                <w:bCs/>
                <w:sz w:val="12"/>
                <w:szCs w:val="12"/>
              </w:rPr>
            </w:pPr>
          </w:p>
        </w:tc>
      </w:tr>
      <w:tr w:rsidR="00B8561E" w:rsidRPr="00A518C5" w14:paraId="45EAA6B8" w14:textId="77777777" w:rsidTr="00A5310E">
        <w:tc>
          <w:tcPr>
            <w:tcW w:w="454" w:type="dxa"/>
            <w:vMerge/>
            <w:tcBorders>
              <w:bottom w:val="double" w:sz="4" w:space="0" w:color="auto"/>
            </w:tcBorders>
            <w:shd w:val="clear" w:color="auto" w:fill="auto"/>
          </w:tcPr>
          <w:p w14:paraId="5D2EF6E0" w14:textId="77777777" w:rsidR="00B8561E" w:rsidRPr="0000273D" w:rsidRDefault="00B8561E" w:rsidP="00B8561E">
            <w:pPr>
              <w:spacing w:before="60" w:after="60"/>
              <w:rPr>
                <w:rFonts w:asciiTheme="majorHAnsi" w:hAnsiTheme="majorHAnsi"/>
                <w:bCs/>
                <w:sz w:val="18"/>
                <w:szCs w:val="18"/>
              </w:rPr>
            </w:pPr>
          </w:p>
        </w:tc>
        <w:tc>
          <w:tcPr>
            <w:tcW w:w="5215" w:type="dxa"/>
            <w:vMerge/>
            <w:tcBorders>
              <w:bottom w:val="double" w:sz="4" w:space="0" w:color="auto"/>
            </w:tcBorders>
            <w:shd w:val="clear" w:color="auto" w:fill="auto"/>
          </w:tcPr>
          <w:p w14:paraId="6DC1E3F6" w14:textId="77777777" w:rsidR="00B8561E" w:rsidRPr="0000273D" w:rsidRDefault="00B8561E" w:rsidP="00B8561E">
            <w:pPr>
              <w:spacing w:before="60" w:after="60"/>
              <w:rPr>
                <w:rFonts w:asciiTheme="majorHAnsi" w:hAnsiTheme="majorHAnsi"/>
                <w:bCs/>
                <w:sz w:val="18"/>
                <w:szCs w:val="18"/>
              </w:rPr>
            </w:pPr>
          </w:p>
        </w:tc>
        <w:tc>
          <w:tcPr>
            <w:tcW w:w="510" w:type="dxa"/>
            <w:tcBorders>
              <w:bottom w:val="double" w:sz="4" w:space="0" w:color="auto"/>
            </w:tcBorders>
            <w:vAlign w:val="center"/>
          </w:tcPr>
          <w:p w14:paraId="4253467C" w14:textId="77777777" w:rsidR="00B8561E" w:rsidRPr="00B8561E" w:rsidRDefault="00B8561E" w:rsidP="00B8561E">
            <w:pPr>
              <w:spacing w:before="0" w:after="0"/>
              <w:jc w:val="center"/>
              <w:rPr>
                <w:rFonts w:asciiTheme="majorHAnsi" w:hAnsiTheme="majorHAnsi"/>
                <w:bCs/>
                <w:sz w:val="12"/>
                <w:szCs w:val="12"/>
              </w:rPr>
            </w:pPr>
            <w:r w:rsidRPr="00B8561E">
              <w:rPr>
                <w:rFonts w:asciiTheme="majorHAnsi" w:hAnsiTheme="majorHAnsi"/>
                <w:bCs/>
                <w:sz w:val="12"/>
                <w:szCs w:val="12"/>
              </w:rPr>
              <w:t>2016</w:t>
            </w:r>
          </w:p>
        </w:tc>
        <w:tc>
          <w:tcPr>
            <w:tcW w:w="283" w:type="dxa"/>
            <w:tcBorders>
              <w:bottom w:val="double" w:sz="4" w:space="0" w:color="auto"/>
            </w:tcBorders>
            <w:shd w:val="clear" w:color="auto" w:fill="FF0000"/>
          </w:tcPr>
          <w:p w14:paraId="0FC3CF1A"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65ECD9E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0000"/>
          </w:tcPr>
          <w:p w14:paraId="4A71763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7DD13EB9"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5F602D20"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FFC000"/>
          </w:tcPr>
          <w:p w14:paraId="07B01073"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0873CDDE"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92D050"/>
          </w:tcPr>
          <w:p w14:paraId="5DAD7911" w14:textId="77777777" w:rsidR="00B8561E" w:rsidRPr="00B8561E" w:rsidRDefault="00B8561E" w:rsidP="00B8561E">
            <w:pPr>
              <w:spacing w:before="0" w:after="0"/>
              <w:jc w:val="center"/>
              <w:rPr>
                <w:rFonts w:asciiTheme="majorHAnsi" w:hAnsiTheme="majorHAnsi"/>
                <w:bCs/>
                <w:sz w:val="12"/>
                <w:szCs w:val="12"/>
              </w:rPr>
            </w:pPr>
          </w:p>
        </w:tc>
        <w:tc>
          <w:tcPr>
            <w:tcW w:w="283" w:type="dxa"/>
            <w:tcBorders>
              <w:bottom w:val="double" w:sz="4" w:space="0" w:color="auto"/>
            </w:tcBorders>
            <w:shd w:val="clear" w:color="auto" w:fill="auto"/>
          </w:tcPr>
          <w:p w14:paraId="630A5C96" w14:textId="77777777" w:rsidR="00B8561E" w:rsidRPr="00B8561E" w:rsidRDefault="00B8561E" w:rsidP="00B8561E">
            <w:pPr>
              <w:spacing w:before="0" w:after="0"/>
              <w:jc w:val="center"/>
              <w:rPr>
                <w:rFonts w:asciiTheme="majorHAnsi" w:hAnsiTheme="majorHAnsi"/>
                <w:bCs/>
                <w:sz w:val="12"/>
                <w:szCs w:val="12"/>
              </w:rPr>
            </w:pPr>
          </w:p>
        </w:tc>
        <w:tc>
          <w:tcPr>
            <w:tcW w:w="283" w:type="dxa"/>
            <w:gridSpan w:val="2"/>
            <w:tcBorders>
              <w:bottom w:val="double" w:sz="4" w:space="0" w:color="auto"/>
            </w:tcBorders>
            <w:shd w:val="clear" w:color="auto" w:fill="auto"/>
          </w:tcPr>
          <w:p w14:paraId="1F8ED769" w14:textId="77777777" w:rsidR="00B8561E" w:rsidRPr="00B8561E" w:rsidRDefault="00B8561E" w:rsidP="00B8561E">
            <w:pPr>
              <w:spacing w:before="0" w:after="0"/>
              <w:jc w:val="center"/>
              <w:rPr>
                <w:rFonts w:asciiTheme="majorHAnsi" w:hAnsiTheme="majorHAnsi"/>
                <w:bCs/>
                <w:sz w:val="12"/>
                <w:szCs w:val="12"/>
              </w:rPr>
            </w:pPr>
          </w:p>
        </w:tc>
      </w:tr>
    </w:tbl>
    <w:p w14:paraId="560AB6EF" w14:textId="77777777" w:rsidR="00232440" w:rsidRDefault="00232440" w:rsidP="00232440">
      <w:pPr>
        <w:rPr>
          <w:lang w:val="en-AU"/>
        </w:rPr>
      </w:pPr>
      <w:r>
        <w:rPr>
          <w:lang w:val="en-AU"/>
        </w:rPr>
        <w:t>Of significance during Phase 3 has been positive movement in areas such as Government funding</w:t>
      </w:r>
      <w:r w:rsidR="008B192C">
        <w:rPr>
          <w:lang w:val="en-AU"/>
        </w:rPr>
        <w:t>, political awareness</w:t>
      </w:r>
      <w:r>
        <w:rPr>
          <w:lang w:val="en-AU"/>
        </w:rPr>
        <w:t xml:space="preserve"> and </w:t>
      </w:r>
      <w:r w:rsidR="008B192C">
        <w:rPr>
          <w:lang w:val="en-AU"/>
        </w:rPr>
        <w:t>an h</w:t>
      </w:r>
      <w:r>
        <w:rPr>
          <w:lang w:val="en-AU"/>
        </w:rPr>
        <w:t xml:space="preserve">olistic approach to economic development. While </w:t>
      </w:r>
      <w:r w:rsidR="008B192C">
        <w:rPr>
          <w:lang w:val="en-AU"/>
        </w:rPr>
        <w:t>these</w:t>
      </w:r>
      <w:r>
        <w:rPr>
          <w:lang w:val="en-AU"/>
        </w:rPr>
        <w:t xml:space="preserve"> remain in the lower confidence level categories, it is significant that there has been relatively substantial movement since 2012. Especially considering that these areas are outside the Program’s direct control – both being areas where the Program can only seek to influence change. </w:t>
      </w:r>
    </w:p>
    <w:p w14:paraId="7418E3B6" w14:textId="77777777" w:rsidR="00801AB0" w:rsidRPr="00440E3A" w:rsidRDefault="00232440" w:rsidP="00232440">
      <w:r>
        <w:rPr>
          <w:lang w:val="en-AU"/>
        </w:rPr>
        <w:t>Two areas have stubbornly remained in the mid-confidence category – training provider capacity and realistic cost structures. The view of the SAG in both these areas is that while there has been assistance provided by the Program, particularly with respect to provider quality management systems to support compliance with the VQA’s registration and course accreditation requirements, there has been little observable change in provider capacity. Compounding this negative assessment has been the SAG’s observation that despite limited capacity improvements, training providers have increased their charges for service delivery funded through the TVET Centres to unsustainable levels.</w:t>
      </w:r>
    </w:p>
    <w:p w14:paraId="79E4A4BD" w14:textId="77777777" w:rsidR="00D80A20" w:rsidRPr="00E77013" w:rsidRDefault="00D80A20" w:rsidP="004E35FA">
      <w:pPr>
        <w:pStyle w:val="Heading1"/>
        <w:ind w:left="0" w:firstLine="0"/>
      </w:pPr>
      <w:bookmarkStart w:id="24" w:name="_Toc450315762"/>
      <w:bookmarkStart w:id="25" w:name="_Toc456600684"/>
      <w:bookmarkEnd w:id="22"/>
      <w:r>
        <w:t>5</w:t>
      </w:r>
      <w:r w:rsidRPr="00371725">
        <w:t>.0</w:t>
      </w:r>
      <w:r w:rsidRPr="00371725">
        <w:tab/>
      </w:r>
      <w:bookmarkStart w:id="26" w:name="_Toc289265565"/>
      <w:bookmarkStart w:id="27" w:name="_Toc289376452"/>
      <w:r>
        <w:t>Program Management</w:t>
      </w:r>
      <w:bookmarkEnd w:id="24"/>
      <w:bookmarkEnd w:id="25"/>
    </w:p>
    <w:p w14:paraId="5390EEF4" w14:textId="77777777" w:rsidR="00CF3D47" w:rsidRDefault="00CF3D47" w:rsidP="00CF3D47">
      <w:pPr>
        <w:pStyle w:val="Heading2"/>
        <w:rPr>
          <w:lang w:val="en-AU"/>
        </w:rPr>
      </w:pPr>
      <w:bookmarkStart w:id="28" w:name="_Toc456600685"/>
      <w:bookmarkEnd w:id="26"/>
      <w:bookmarkEnd w:id="27"/>
      <w:r>
        <w:rPr>
          <w:lang w:val="en-AU"/>
        </w:rPr>
        <w:t xml:space="preserve">5.1 </w:t>
      </w:r>
      <w:r>
        <w:rPr>
          <w:lang w:val="en-AU"/>
        </w:rPr>
        <w:tab/>
        <w:t>Personnel</w:t>
      </w:r>
      <w:bookmarkEnd w:id="28"/>
    </w:p>
    <w:p w14:paraId="31A928D9" w14:textId="4A0B22C4" w:rsidR="00A020CA" w:rsidRDefault="00A020CA" w:rsidP="00A020CA">
      <w:r>
        <w:t>As the managing contractor, BHI Group has been responsible for the contracting and payroll of in-country and contracted personnel.  Over the last 20 months, the organisational structure for the BHI Group been reviewed in light of the BHI Group’s strategic plan which impacted the TVET program.</w:t>
      </w:r>
    </w:p>
    <w:p w14:paraId="6A7059E2" w14:textId="77777777" w:rsidR="00A020CA" w:rsidRDefault="00A020CA" w:rsidP="00A020CA">
      <w:r>
        <w:t xml:space="preserve"> In late 2014, the BHI Group underwent an organisational wide realignment, which affected the TVET project management team.</w:t>
      </w:r>
    </w:p>
    <w:p w14:paraId="5ABECBDA" w14:textId="77777777" w:rsidR="00A020CA" w:rsidRDefault="00A020CA" w:rsidP="00A020CA">
      <w:r>
        <w:t xml:space="preserve">The International Business Development area, which is the business unit that the TVET project management team was located in, was broadened to include domestic projects.   This revamped business unit, Contracted Delivery was located in the portfolio of Enterprise Delivery. </w:t>
      </w:r>
    </w:p>
    <w:p w14:paraId="4F0747AA" w14:textId="77777777" w:rsidR="00A020CA" w:rsidRDefault="00A020CA" w:rsidP="00A020CA">
      <w:r>
        <w:t xml:space="preserve">As part of the broadening of this Contracted Delivery business unit, the BHI TVET Project Director was assigned to a consulting role with the program and the Project Manager was successful in obtaining a new position within the BHI Group.  </w:t>
      </w:r>
    </w:p>
    <w:p w14:paraId="65551142" w14:textId="77777777" w:rsidR="00A020CA" w:rsidRDefault="00A020CA" w:rsidP="00A020CA"/>
    <w:p w14:paraId="0B83FC47" w14:textId="77777777" w:rsidR="00A020CA" w:rsidRDefault="00A020CA" w:rsidP="00A020CA">
      <w:r>
        <w:t xml:space="preserve">In late 2015, the Executive Director Enterprise Delivery departed the BHI Group, which resulted in the Contracted Delivery business unit being realigned to the Executive General Manager Business Development.  The current team have been in place since November 2015.  </w:t>
      </w:r>
    </w:p>
    <w:p w14:paraId="02A58576" w14:textId="77777777" w:rsidR="00D80A20" w:rsidRDefault="00D80A20" w:rsidP="002E21AD">
      <w:pPr>
        <w:pStyle w:val="Heading3"/>
      </w:pPr>
      <w:r>
        <w:t xml:space="preserve">5.1.1. Long-term staff </w:t>
      </w:r>
    </w:p>
    <w:p w14:paraId="22FDA5DC" w14:textId="24780A89" w:rsidR="004E35FA" w:rsidRDefault="004E35FA" w:rsidP="004248E6">
      <w:pPr>
        <w:pStyle w:val="ListParagraph"/>
        <w:numPr>
          <w:ilvl w:val="0"/>
          <w:numId w:val="21"/>
        </w:numPr>
      </w:pPr>
      <w:r>
        <w:t xml:space="preserve">Long-term staff are contracted directly by BHI. </w:t>
      </w:r>
      <w:r w:rsidR="00796314">
        <w:t>In terms of payroll and conditions of employment, they are considered part of the Box Hill Institute workforce and therefore afforded the same fair workplace employment conditions as their Australian co</w:t>
      </w:r>
      <w:r w:rsidR="004F5B54">
        <w:t>lleagues</w:t>
      </w:r>
      <w:r>
        <w:t xml:space="preserve">. </w:t>
      </w:r>
    </w:p>
    <w:p w14:paraId="1993F7A7" w14:textId="636F9F20" w:rsidR="00D80A20" w:rsidRDefault="00D80A20" w:rsidP="004248E6">
      <w:pPr>
        <w:pStyle w:val="ListParagraph"/>
        <w:numPr>
          <w:ilvl w:val="0"/>
          <w:numId w:val="21"/>
        </w:numPr>
      </w:pPr>
      <w:r>
        <w:t xml:space="preserve">The recruitment and induction processes </w:t>
      </w:r>
      <w:r w:rsidR="004E35FA">
        <w:t>follow</w:t>
      </w:r>
      <w:r>
        <w:t xml:space="preserve"> BHI policies and procedures which are written under the laws of Victorian and Vanuatu governments. By complying with these processes, the in country team </w:t>
      </w:r>
      <w:r w:rsidR="00CF3D47">
        <w:t xml:space="preserve">has </w:t>
      </w:r>
      <w:r>
        <w:t>developed a working knowledge of the best practice processes and legal obligations</w:t>
      </w:r>
      <w:r w:rsidR="004E35FA">
        <w:t xml:space="preserve"> under Australian law</w:t>
      </w:r>
      <w:r>
        <w:t>. Box Hill lnstitute (BHI) processes have been contextualized to the local cultural overlay. For example, jobs are advertised and interviewed locally. Recommendations are submitted by the in country team and due diligence and contract issuing are completed by</w:t>
      </w:r>
      <w:r w:rsidR="00CF3D47">
        <w:t xml:space="preserve"> the</w:t>
      </w:r>
      <w:r>
        <w:t xml:space="preserve"> </w:t>
      </w:r>
      <w:r w:rsidRPr="004F5B54">
        <w:rPr>
          <w:i/>
        </w:rPr>
        <w:t xml:space="preserve">BHI People and Capability </w:t>
      </w:r>
      <w:r w:rsidRPr="00CF3D47">
        <w:t>team</w:t>
      </w:r>
      <w:r>
        <w:t>.</w:t>
      </w:r>
    </w:p>
    <w:p w14:paraId="5C90901E" w14:textId="2268FD37" w:rsidR="00D80A20" w:rsidRDefault="004F5B54" w:rsidP="004248E6">
      <w:pPr>
        <w:pStyle w:val="ListParagraph"/>
        <w:numPr>
          <w:ilvl w:val="0"/>
          <w:numId w:val="21"/>
        </w:numPr>
      </w:pPr>
      <w:r>
        <w:t xml:space="preserve">Payroll is processed on a fortnightly basis and pay slips are </w:t>
      </w:r>
      <w:r w:rsidR="00E511EA">
        <w:t xml:space="preserve">emailed </w:t>
      </w:r>
      <w:r>
        <w:t xml:space="preserve">directly from BHI to individual employees. </w:t>
      </w:r>
      <w:r w:rsidR="00D80A20">
        <w:t>Leave is managed and approved in country and reported to BHI payroll for processing.</w:t>
      </w:r>
      <w:r w:rsidR="00CF3D47">
        <w:t xml:space="preserve"> Vanuatu National Provident Fund</w:t>
      </w:r>
      <w:r w:rsidR="00D80A20">
        <w:t xml:space="preserve"> </w:t>
      </w:r>
      <w:r w:rsidR="00CF3D47">
        <w:t>(</w:t>
      </w:r>
      <w:r w:rsidR="00D80A20">
        <w:t>VNPF</w:t>
      </w:r>
      <w:r w:rsidR="00CF3D47">
        <w:t>)</w:t>
      </w:r>
      <w:r w:rsidR="00D80A20">
        <w:t xml:space="preserve"> (superannuation) is calculated by BHI’s payroll team and reported monthly to the in country team for payment locally.</w:t>
      </w:r>
      <w:r w:rsidRPr="004F5B54">
        <w:t xml:space="preserve"> </w:t>
      </w:r>
    </w:p>
    <w:p w14:paraId="6D543651" w14:textId="5BBC9DE0" w:rsidR="00D80A20" w:rsidRDefault="00D80A20" w:rsidP="004248E6">
      <w:pPr>
        <w:pStyle w:val="ListParagraph"/>
        <w:numPr>
          <w:ilvl w:val="0"/>
          <w:numId w:val="21"/>
        </w:numPr>
      </w:pPr>
      <w:r>
        <w:t>Communication between BHI and the in country team has been regular and productive</w:t>
      </w:r>
      <w:r w:rsidR="00495693">
        <w:t xml:space="preserve"> usually by Email to ensure that all relevant stakeholders are informed</w:t>
      </w:r>
      <w:r>
        <w:t xml:space="preserve">. </w:t>
      </w:r>
      <w:r w:rsidR="004F5B54">
        <w:t xml:space="preserve"> </w:t>
      </w:r>
      <w:r w:rsidR="00535EA6">
        <w:t xml:space="preserve">Some roles have engaged frequently with the Project Manager at BHI. Such </w:t>
      </w:r>
      <w:r w:rsidR="00E511EA">
        <w:t>as monthly</w:t>
      </w:r>
      <w:r>
        <w:t xml:space="preserve"> calculation of cashbook replenishment </w:t>
      </w:r>
      <w:r w:rsidR="00535EA6">
        <w:t xml:space="preserve">which </w:t>
      </w:r>
      <w:r>
        <w:t xml:space="preserve">is </w:t>
      </w:r>
      <w:r w:rsidR="00CF3D47">
        <w:t xml:space="preserve">calculated </w:t>
      </w:r>
      <w:r>
        <w:t xml:space="preserve">with the </w:t>
      </w:r>
      <w:r w:rsidR="00CF3D47">
        <w:t xml:space="preserve">support of the </w:t>
      </w:r>
      <w:r>
        <w:t>in</w:t>
      </w:r>
      <w:r w:rsidR="00535EA6">
        <w:t>-</w:t>
      </w:r>
      <w:r>
        <w:t xml:space="preserve">country Finance and Administration Manager </w:t>
      </w:r>
      <w:r w:rsidR="00CF3D47">
        <w:t>and T</w:t>
      </w:r>
      <w:r>
        <w:t xml:space="preserve">eam </w:t>
      </w:r>
      <w:r w:rsidR="00CF3D47">
        <w:t>L</w:t>
      </w:r>
      <w:r>
        <w:t xml:space="preserve">eader. </w:t>
      </w:r>
    </w:p>
    <w:p w14:paraId="52B4B1BE" w14:textId="6E018898" w:rsidR="00D80A20" w:rsidRDefault="004F5B54" w:rsidP="004248E6">
      <w:pPr>
        <w:pStyle w:val="ListParagraph"/>
        <w:numPr>
          <w:ilvl w:val="0"/>
          <w:numId w:val="21"/>
        </w:numPr>
      </w:pPr>
      <w:r>
        <w:t>Personnel b</w:t>
      </w:r>
      <w:r w:rsidR="00D80A20">
        <w:t>udget management</w:t>
      </w:r>
      <w:r w:rsidR="00535EA6">
        <w:t xml:space="preserve"> has been a collaborative effort between Australia and Vanuatu</w:t>
      </w:r>
      <w:r>
        <w:t xml:space="preserve"> using </w:t>
      </w:r>
      <w:r w:rsidR="00F350AB">
        <w:t>a</w:t>
      </w:r>
      <w:r>
        <w:t xml:space="preserve"> shared tracking spreadsheet (the “Budget Tracker” explained later.</w:t>
      </w:r>
      <w:r w:rsidR="00535EA6">
        <w:t xml:space="preserve"> </w:t>
      </w:r>
      <w:r w:rsidR="00495693">
        <w:t xml:space="preserve"> </w:t>
      </w:r>
    </w:p>
    <w:p w14:paraId="7913AAA6" w14:textId="7B059EC9" w:rsidR="00495693" w:rsidRDefault="00495693" w:rsidP="004248E6">
      <w:pPr>
        <w:pStyle w:val="ListParagraph"/>
        <w:numPr>
          <w:ilvl w:val="0"/>
          <w:numId w:val="21"/>
        </w:numPr>
      </w:pPr>
      <w:r>
        <w:t xml:space="preserve">In late 2014, the Government of the Republic of Vanuatu agreed to contract three personnel as salaried employees in the role of Provincial Training Coordinator at Torba, Santo and Malekula. The Australian Government agreed to pay the difference between the TVET salary and the local government salary, identified as the “Gap Payment”.  </w:t>
      </w:r>
      <w:r w:rsidR="004F5B54">
        <w:t xml:space="preserve">Currently </w:t>
      </w:r>
      <w:r>
        <w:t>three personnel work in th</w:t>
      </w:r>
      <w:r w:rsidR="004F5B54">
        <w:t>is arrangement.</w:t>
      </w:r>
    </w:p>
    <w:p w14:paraId="0286A057" w14:textId="4BE2107A" w:rsidR="00E90527" w:rsidRDefault="009A26F4" w:rsidP="004248E6">
      <w:pPr>
        <w:pStyle w:val="ListParagraph"/>
        <w:numPr>
          <w:ilvl w:val="0"/>
          <w:numId w:val="21"/>
        </w:numPr>
      </w:pPr>
      <w:r>
        <w:t>A r</w:t>
      </w:r>
      <w:r w:rsidR="00E90527">
        <w:t>eview of</w:t>
      </w:r>
      <w:r w:rsidR="00796314">
        <w:t xml:space="preserve"> Program personnel needs</w:t>
      </w:r>
      <w:r w:rsidR="00535EA6">
        <w:t xml:space="preserve"> for Phase 4</w:t>
      </w:r>
      <w:r w:rsidR="00796314">
        <w:t xml:space="preserve"> was </w:t>
      </w:r>
      <w:r w:rsidR="00E90527">
        <w:t>conducted in 2016</w:t>
      </w:r>
      <w:r w:rsidR="00796314">
        <w:t>.</w:t>
      </w:r>
      <w:r w:rsidR="00E90527">
        <w:t xml:space="preserve"> </w:t>
      </w:r>
      <w:r>
        <w:t xml:space="preserve">Most current employees will continue with TVET </w:t>
      </w:r>
      <w:r w:rsidR="00535EA6">
        <w:t xml:space="preserve">from Phase 3 to </w:t>
      </w:r>
      <w:r>
        <w:t>Phase 4</w:t>
      </w:r>
      <w:r w:rsidR="00796314">
        <w:t>. F</w:t>
      </w:r>
      <w:r>
        <w:t xml:space="preserve">our positions were terminated due to change of role. </w:t>
      </w:r>
      <w:r w:rsidR="00796314">
        <w:t xml:space="preserve">Three new roles were created and cleaners will be employed directly. </w:t>
      </w:r>
      <w:r>
        <w:t xml:space="preserve">The table below highlights in blue the roles that will continue to Phase 4. Those highlighted in purple are changed roles and those in </w:t>
      </w:r>
      <w:r w:rsidR="00F350AB">
        <w:t xml:space="preserve">pink </w:t>
      </w:r>
      <w:r>
        <w:t xml:space="preserve">are new roles being introduced in Phase 4. </w:t>
      </w:r>
    </w:p>
    <w:p w14:paraId="68C40146" w14:textId="2D88B764" w:rsidR="00ED67BC" w:rsidRDefault="00ED67BC" w:rsidP="00ED67BC">
      <w:pPr>
        <w:ind w:left="360"/>
      </w:pPr>
    </w:p>
    <w:p w14:paraId="5584AB41" w14:textId="77777777" w:rsidR="00B10B58" w:rsidRDefault="00B10B58">
      <w:pPr>
        <w:widowControl/>
        <w:spacing w:before="0" w:after="0"/>
        <w:rPr>
          <w:u w:val="single"/>
        </w:rPr>
      </w:pPr>
      <w:r>
        <w:rPr>
          <w:u w:val="single"/>
        </w:rPr>
        <w:br w:type="page"/>
      </w:r>
    </w:p>
    <w:p w14:paraId="320344D8" w14:textId="460A8FEE" w:rsidR="00B10B58" w:rsidRDefault="00B10B58" w:rsidP="00B10B58">
      <w:pPr>
        <w:widowControl/>
        <w:spacing w:before="0" w:after="0"/>
      </w:pPr>
      <w:r>
        <w:rPr>
          <w:noProof/>
          <w:lang w:val="en-AU" w:eastAsia="en-AU"/>
        </w:rPr>
        <mc:AlternateContent>
          <mc:Choice Requires="wps">
            <w:drawing>
              <wp:anchor distT="0" distB="0" distL="114300" distR="114300" simplePos="0" relativeHeight="251669504" behindDoc="1" locked="0" layoutInCell="1" allowOverlap="1" wp14:anchorId="5BF7D6AA" wp14:editId="702186D5">
                <wp:simplePos x="0" y="0"/>
                <wp:positionH relativeFrom="column">
                  <wp:posOffset>-89535</wp:posOffset>
                </wp:positionH>
                <wp:positionV relativeFrom="paragraph">
                  <wp:posOffset>-182880</wp:posOffset>
                </wp:positionV>
                <wp:extent cx="6086475" cy="4810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810125"/>
                        </a:xfrm>
                        <a:prstGeom prst="rect">
                          <a:avLst/>
                        </a:prstGeom>
                        <a:solidFill>
                          <a:srgbClr val="FFFFFF"/>
                        </a:solidFill>
                        <a:ln w="9525">
                          <a:noFill/>
                          <a:miter lim="800000"/>
                          <a:headEnd/>
                          <a:tailEnd/>
                        </a:ln>
                      </wps:spPr>
                      <wps:txbx>
                        <w:txbxContent>
                          <w:p w14:paraId="3ECD6C2C" w14:textId="0364F569" w:rsidR="00E511EA" w:rsidRDefault="00E511EA"/>
                          <w:tbl>
                            <w:tblPr>
                              <w:tblW w:w="9229" w:type="dxa"/>
                              <w:tblInd w:w="93" w:type="dxa"/>
                              <w:tblLayout w:type="fixed"/>
                              <w:tblLook w:val="04A0" w:firstRow="1" w:lastRow="0" w:firstColumn="1" w:lastColumn="0" w:noHBand="0" w:noVBand="1"/>
                            </w:tblPr>
                            <w:tblGrid>
                              <w:gridCol w:w="4094"/>
                              <w:gridCol w:w="1027"/>
                              <w:gridCol w:w="1027"/>
                              <w:gridCol w:w="1027"/>
                              <w:gridCol w:w="1027"/>
                              <w:gridCol w:w="1027"/>
                            </w:tblGrid>
                            <w:tr w:rsidR="00E511EA" w:rsidRPr="00ED67BC" w14:paraId="56EE88C8" w14:textId="77777777" w:rsidTr="00F45C80">
                              <w:trPr>
                                <w:trHeight w:val="315"/>
                              </w:trPr>
                              <w:tc>
                                <w:tcPr>
                                  <w:tcW w:w="3843" w:type="dxa"/>
                                  <w:tcBorders>
                                    <w:top w:val="nil"/>
                                    <w:left w:val="nil"/>
                                    <w:bottom w:val="nil"/>
                                    <w:right w:val="nil"/>
                                  </w:tcBorders>
                                  <w:shd w:val="clear" w:color="auto" w:fill="auto"/>
                                  <w:noWrap/>
                                  <w:vAlign w:val="bottom"/>
                                  <w:hideMark/>
                                </w:tcPr>
                                <w:p w14:paraId="69BB9BD7" w14:textId="77777777" w:rsidR="00E511EA" w:rsidRPr="00ED67BC" w:rsidRDefault="00E511EA" w:rsidP="00ED67BC">
                                  <w:pPr>
                                    <w:widowControl/>
                                    <w:spacing w:before="0" w:after="0"/>
                                    <w:rPr>
                                      <w:rFonts w:eastAsia="Times New Roman" w:cs="Times New Roman"/>
                                      <w:color w:val="000000"/>
                                      <w:sz w:val="20"/>
                                      <w:szCs w:val="20"/>
                                      <w:lang w:val="en-AU" w:eastAsia="en-AU"/>
                                    </w:rPr>
                                  </w:pPr>
                                </w:p>
                              </w:tc>
                              <w:tc>
                                <w:tcPr>
                                  <w:tcW w:w="96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56685C"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TVET Centre Location</w:t>
                                  </w:r>
                                </w:p>
                              </w:tc>
                            </w:tr>
                            <w:tr w:rsidR="00E511EA" w:rsidRPr="00ED67BC" w14:paraId="5F7F347E" w14:textId="77777777" w:rsidTr="00F45C80">
                              <w:trPr>
                                <w:trHeight w:val="315"/>
                              </w:trPr>
                              <w:tc>
                                <w:tcPr>
                                  <w:tcW w:w="3843" w:type="dxa"/>
                                  <w:tcBorders>
                                    <w:top w:val="single" w:sz="8" w:space="0" w:color="auto"/>
                                    <w:left w:val="single" w:sz="8" w:space="0" w:color="auto"/>
                                    <w:bottom w:val="single" w:sz="8" w:space="0" w:color="auto"/>
                                    <w:right w:val="nil"/>
                                  </w:tcBorders>
                                  <w:shd w:val="clear" w:color="auto" w:fill="auto"/>
                                  <w:noWrap/>
                                  <w:vAlign w:val="center"/>
                                  <w:hideMark/>
                                </w:tcPr>
                                <w:p w14:paraId="1802480F" w14:textId="77777777" w:rsidR="00E511EA" w:rsidRPr="00ED67BC" w:rsidRDefault="00E511EA" w:rsidP="00ED67BC">
                                  <w:pPr>
                                    <w:widowControl/>
                                    <w:spacing w:before="0" w:after="0"/>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Position Title</w:t>
                                  </w:r>
                                </w:p>
                              </w:tc>
                              <w:tc>
                                <w:tcPr>
                                  <w:tcW w:w="964" w:type="dxa"/>
                                  <w:tcBorders>
                                    <w:top w:val="nil"/>
                                    <w:left w:val="single" w:sz="8" w:space="0" w:color="auto"/>
                                    <w:bottom w:val="single" w:sz="8" w:space="0" w:color="auto"/>
                                    <w:right w:val="nil"/>
                                  </w:tcBorders>
                                  <w:shd w:val="clear" w:color="auto" w:fill="auto"/>
                                  <w:noWrap/>
                                  <w:vAlign w:val="center"/>
                                  <w:hideMark/>
                                </w:tcPr>
                                <w:p w14:paraId="2A933467"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Vila</w:t>
                                  </w:r>
                                </w:p>
                              </w:tc>
                              <w:tc>
                                <w:tcPr>
                                  <w:tcW w:w="964" w:type="dxa"/>
                                  <w:tcBorders>
                                    <w:top w:val="nil"/>
                                    <w:left w:val="nil"/>
                                    <w:bottom w:val="single" w:sz="8" w:space="0" w:color="auto"/>
                                    <w:right w:val="nil"/>
                                  </w:tcBorders>
                                  <w:shd w:val="clear" w:color="auto" w:fill="auto"/>
                                  <w:noWrap/>
                                  <w:vAlign w:val="center"/>
                                  <w:hideMark/>
                                </w:tcPr>
                                <w:p w14:paraId="6C4E1BCC"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Sanma</w:t>
                                  </w:r>
                                </w:p>
                              </w:tc>
                              <w:tc>
                                <w:tcPr>
                                  <w:tcW w:w="964" w:type="dxa"/>
                                  <w:tcBorders>
                                    <w:top w:val="nil"/>
                                    <w:left w:val="nil"/>
                                    <w:bottom w:val="single" w:sz="8" w:space="0" w:color="auto"/>
                                    <w:right w:val="nil"/>
                                  </w:tcBorders>
                                  <w:shd w:val="clear" w:color="auto" w:fill="auto"/>
                                  <w:noWrap/>
                                  <w:vAlign w:val="center"/>
                                  <w:hideMark/>
                                </w:tcPr>
                                <w:p w14:paraId="0B8D4CC9"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Torba</w:t>
                                  </w:r>
                                </w:p>
                              </w:tc>
                              <w:tc>
                                <w:tcPr>
                                  <w:tcW w:w="964" w:type="dxa"/>
                                  <w:tcBorders>
                                    <w:top w:val="nil"/>
                                    <w:left w:val="nil"/>
                                    <w:bottom w:val="single" w:sz="8" w:space="0" w:color="auto"/>
                                    <w:right w:val="nil"/>
                                  </w:tcBorders>
                                  <w:shd w:val="clear" w:color="auto" w:fill="auto"/>
                                  <w:noWrap/>
                                  <w:vAlign w:val="center"/>
                                  <w:hideMark/>
                                </w:tcPr>
                                <w:p w14:paraId="46C76F3F"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Tafea</w:t>
                                  </w:r>
                                </w:p>
                              </w:tc>
                              <w:tc>
                                <w:tcPr>
                                  <w:tcW w:w="964" w:type="dxa"/>
                                  <w:tcBorders>
                                    <w:top w:val="nil"/>
                                    <w:left w:val="nil"/>
                                    <w:bottom w:val="single" w:sz="8" w:space="0" w:color="auto"/>
                                    <w:right w:val="single" w:sz="8" w:space="0" w:color="auto"/>
                                  </w:tcBorders>
                                  <w:shd w:val="clear" w:color="auto" w:fill="auto"/>
                                  <w:noWrap/>
                                  <w:vAlign w:val="center"/>
                                  <w:hideMark/>
                                </w:tcPr>
                                <w:p w14:paraId="6C038E83"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Malampa</w:t>
                                  </w:r>
                                </w:p>
                              </w:tc>
                            </w:tr>
                            <w:tr w:rsidR="00E511EA" w:rsidRPr="00ED67BC" w14:paraId="6E7A6D98"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2E0DBE2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Team Leader</w:t>
                                  </w:r>
                                </w:p>
                              </w:tc>
                              <w:tc>
                                <w:tcPr>
                                  <w:tcW w:w="964" w:type="dxa"/>
                                  <w:tcBorders>
                                    <w:top w:val="nil"/>
                                    <w:left w:val="single" w:sz="8" w:space="0" w:color="auto"/>
                                    <w:bottom w:val="nil"/>
                                    <w:right w:val="nil"/>
                                  </w:tcBorders>
                                  <w:shd w:val="clear" w:color="000000" w:fill="538DD5"/>
                                  <w:noWrap/>
                                  <w:vAlign w:val="center"/>
                                  <w:hideMark/>
                                </w:tcPr>
                                <w:p w14:paraId="6045E6F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74B98B8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D2AD46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F23076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3DE0A72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FA23CB6"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69CB50E9"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Finance &amp; Administration Manager</w:t>
                                  </w:r>
                                </w:p>
                              </w:tc>
                              <w:tc>
                                <w:tcPr>
                                  <w:tcW w:w="964" w:type="dxa"/>
                                  <w:tcBorders>
                                    <w:top w:val="nil"/>
                                    <w:left w:val="single" w:sz="8" w:space="0" w:color="auto"/>
                                    <w:bottom w:val="nil"/>
                                    <w:right w:val="nil"/>
                                  </w:tcBorders>
                                  <w:shd w:val="clear" w:color="auto" w:fill="auto"/>
                                  <w:noWrap/>
                                  <w:vAlign w:val="center"/>
                                  <w:hideMark/>
                                </w:tcPr>
                                <w:p w14:paraId="37EBDBA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E575E4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8C9A3B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5A9B559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42E4F3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07DF59D4"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DFFE763"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Operations Manager</w:t>
                                  </w:r>
                                </w:p>
                              </w:tc>
                              <w:tc>
                                <w:tcPr>
                                  <w:tcW w:w="964" w:type="dxa"/>
                                  <w:tcBorders>
                                    <w:top w:val="nil"/>
                                    <w:left w:val="single" w:sz="8" w:space="0" w:color="auto"/>
                                    <w:bottom w:val="nil"/>
                                    <w:right w:val="nil"/>
                                  </w:tcBorders>
                                  <w:shd w:val="clear" w:color="000000" w:fill="538DD5"/>
                                  <w:noWrap/>
                                  <w:vAlign w:val="center"/>
                                  <w:hideMark/>
                                </w:tcPr>
                                <w:p w14:paraId="7D5C8F9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62FC75E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A44230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7300333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69B96187"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1043CCC"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E85CF11"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xml:space="preserve">TVET Centre Manager </w:t>
                                  </w:r>
                                </w:p>
                              </w:tc>
                              <w:tc>
                                <w:tcPr>
                                  <w:tcW w:w="964" w:type="dxa"/>
                                  <w:tcBorders>
                                    <w:top w:val="nil"/>
                                    <w:left w:val="single" w:sz="8" w:space="0" w:color="auto"/>
                                    <w:bottom w:val="nil"/>
                                    <w:right w:val="nil"/>
                                  </w:tcBorders>
                                  <w:shd w:val="clear" w:color="auto" w:fill="auto"/>
                                  <w:noWrap/>
                                  <w:vAlign w:val="center"/>
                                  <w:hideMark/>
                                </w:tcPr>
                                <w:p w14:paraId="0E6589B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8619A8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0371435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2B306F5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7C2B37A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73C8B1CF"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A9D1A47" w14:textId="2DDA86FD"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Provincial Training/Bus</w:t>
                                  </w:r>
                                  <w:r>
                                    <w:rPr>
                                      <w:rFonts w:eastAsia="Times New Roman" w:cs="Times New Roman"/>
                                      <w:color w:val="000000"/>
                                      <w:sz w:val="20"/>
                                      <w:szCs w:val="20"/>
                                      <w:lang w:val="en-AU" w:eastAsia="en-AU"/>
                                    </w:rPr>
                                    <w:t xml:space="preserve">. </w:t>
                                  </w:r>
                                  <w:r w:rsidRPr="00ED67BC">
                                    <w:rPr>
                                      <w:rFonts w:eastAsia="Times New Roman" w:cs="Times New Roman"/>
                                      <w:color w:val="000000"/>
                                      <w:sz w:val="20"/>
                                      <w:szCs w:val="20"/>
                                      <w:lang w:val="en-AU" w:eastAsia="en-AU"/>
                                    </w:rPr>
                                    <w:t>Dev. Services Coord</w:t>
                                  </w:r>
                                  <w:r>
                                    <w:rPr>
                                      <w:rFonts w:eastAsia="Times New Roman" w:cs="Times New Roman"/>
                                      <w:color w:val="000000"/>
                                      <w:sz w:val="20"/>
                                      <w:szCs w:val="20"/>
                                      <w:lang w:val="en-AU" w:eastAsia="en-AU"/>
                                    </w:rPr>
                                    <w:t>.</w:t>
                                  </w:r>
                                </w:p>
                              </w:tc>
                              <w:tc>
                                <w:tcPr>
                                  <w:tcW w:w="964" w:type="dxa"/>
                                  <w:tcBorders>
                                    <w:top w:val="nil"/>
                                    <w:left w:val="single" w:sz="8" w:space="0" w:color="auto"/>
                                    <w:bottom w:val="nil"/>
                                    <w:right w:val="nil"/>
                                  </w:tcBorders>
                                  <w:shd w:val="clear" w:color="auto" w:fill="auto"/>
                                  <w:noWrap/>
                                  <w:vAlign w:val="center"/>
                                  <w:hideMark/>
                                </w:tcPr>
                                <w:p w14:paraId="3805EA2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55F514F7"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center"/>
                                  <w:hideMark/>
                                </w:tcPr>
                                <w:p w14:paraId="36321B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nil"/>
                                  </w:tcBorders>
                                  <w:shd w:val="clear" w:color="auto" w:fill="auto"/>
                                  <w:noWrap/>
                                  <w:vAlign w:val="center"/>
                                  <w:hideMark/>
                                </w:tcPr>
                                <w:p w14:paraId="3B449AF6"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51F9B60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DF11D6D"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55A43CA"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Provincial Training Coordinator (PTC*)</w:t>
                                  </w:r>
                                </w:p>
                              </w:tc>
                              <w:tc>
                                <w:tcPr>
                                  <w:tcW w:w="964" w:type="dxa"/>
                                  <w:tcBorders>
                                    <w:top w:val="nil"/>
                                    <w:left w:val="single" w:sz="8" w:space="0" w:color="auto"/>
                                    <w:bottom w:val="nil"/>
                                    <w:right w:val="nil"/>
                                  </w:tcBorders>
                                  <w:shd w:val="clear" w:color="auto" w:fill="auto"/>
                                  <w:noWrap/>
                                  <w:vAlign w:val="center"/>
                                  <w:hideMark/>
                                </w:tcPr>
                                <w:p w14:paraId="22E7844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auto" w:fill="auto"/>
                                  <w:noWrap/>
                                  <w:vAlign w:val="center"/>
                                  <w:hideMark/>
                                </w:tcPr>
                                <w:p w14:paraId="26CBA22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nil"/>
                                  </w:tcBorders>
                                  <w:shd w:val="clear" w:color="000000" w:fill="538DD5"/>
                                  <w:noWrap/>
                                  <w:vAlign w:val="center"/>
                                  <w:hideMark/>
                                </w:tcPr>
                                <w:p w14:paraId="6D1817F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505B62B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5CE73B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61C24524"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602ADA6"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Finance &amp; Administration Assistant</w:t>
                                  </w:r>
                                </w:p>
                              </w:tc>
                              <w:tc>
                                <w:tcPr>
                                  <w:tcW w:w="964" w:type="dxa"/>
                                  <w:tcBorders>
                                    <w:top w:val="nil"/>
                                    <w:left w:val="single" w:sz="8" w:space="0" w:color="auto"/>
                                    <w:bottom w:val="nil"/>
                                    <w:right w:val="nil"/>
                                  </w:tcBorders>
                                  <w:shd w:val="clear" w:color="auto" w:fill="auto"/>
                                  <w:noWrap/>
                                  <w:vAlign w:val="center"/>
                                  <w:hideMark/>
                                </w:tcPr>
                                <w:p w14:paraId="7FCC84F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4167C8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4DB538A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3C4BACD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3E33BC0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11DF8A78"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4E37108"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Administration Assistant</w:t>
                                  </w:r>
                                </w:p>
                              </w:tc>
                              <w:tc>
                                <w:tcPr>
                                  <w:tcW w:w="964" w:type="dxa"/>
                                  <w:tcBorders>
                                    <w:top w:val="nil"/>
                                    <w:left w:val="single" w:sz="8" w:space="0" w:color="auto"/>
                                    <w:bottom w:val="nil"/>
                                    <w:right w:val="nil"/>
                                  </w:tcBorders>
                                  <w:shd w:val="clear" w:color="000000" w:fill="538DD5"/>
                                  <w:noWrap/>
                                  <w:vAlign w:val="center"/>
                                  <w:hideMark/>
                                </w:tcPr>
                                <w:p w14:paraId="547442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0B369F1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980DCD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6FA3F3A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FC70A3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13041263"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47CFD0C5" w14:textId="7D6F6F91" w:rsidR="00E511EA" w:rsidRPr="00ED67BC" w:rsidRDefault="00E511EA" w:rsidP="0065109D">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Training Provider Support Coordinator</w:t>
                                  </w:r>
                                </w:p>
                              </w:tc>
                              <w:tc>
                                <w:tcPr>
                                  <w:tcW w:w="964" w:type="dxa"/>
                                  <w:tcBorders>
                                    <w:top w:val="nil"/>
                                    <w:left w:val="single" w:sz="8" w:space="0" w:color="auto"/>
                                    <w:bottom w:val="nil"/>
                                    <w:right w:val="nil"/>
                                  </w:tcBorders>
                                  <w:shd w:val="clear" w:color="000000" w:fill="FF33CC"/>
                                  <w:noWrap/>
                                  <w:vAlign w:val="center"/>
                                  <w:hideMark/>
                                </w:tcPr>
                                <w:p w14:paraId="0A88F1B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42AE5672"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5372024"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1ED8DEE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00ECAF0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4AEFBA9"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E422E32"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Disability Inclusion Officer</w:t>
                                  </w:r>
                                </w:p>
                              </w:tc>
                              <w:tc>
                                <w:tcPr>
                                  <w:tcW w:w="964" w:type="dxa"/>
                                  <w:tcBorders>
                                    <w:top w:val="nil"/>
                                    <w:left w:val="single" w:sz="8" w:space="0" w:color="auto"/>
                                    <w:bottom w:val="nil"/>
                                    <w:right w:val="nil"/>
                                  </w:tcBorders>
                                  <w:shd w:val="clear" w:color="auto" w:fill="auto"/>
                                  <w:noWrap/>
                                  <w:vAlign w:val="center"/>
                                  <w:hideMark/>
                                </w:tcPr>
                                <w:p w14:paraId="6BF2E5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FF33CC"/>
                                  <w:noWrap/>
                                  <w:vAlign w:val="center"/>
                                  <w:hideMark/>
                                </w:tcPr>
                                <w:p w14:paraId="604A24B6"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76F3B74"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14882B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5CC964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5417EDF0"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07F96D9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IT Officer/Trainer</w:t>
                                  </w:r>
                                </w:p>
                              </w:tc>
                              <w:tc>
                                <w:tcPr>
                                  <w:tcW w:w="964" w:type="dxa"/>
                                  <w:tcBorders>
                                    <w:top w:val="nil"/>
                                    <w:left w:val="single" w:sz="8" w:space="0" w:color="auto"/>
                                    <w:bottom w:val="nil"/>
                                    <w:right w:val="nil"/>
                                  </w:tcBorders>
                                  <w:shd w:val="clear" w:color="000000" w:fill="B1A0C7"/>
                                  <w:noWrap/>
                                  <w:vAlign w:val="center"/>
                                  <w:hideMark/>
                                </w:tcPr>
                                <w:p w14:paraId="06EF1D7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E4A3A9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0B797D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E47ED4A"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68670AD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3CCE87BE"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50FF87D"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M&amp;E Manager</w:t>
                                  </w:r>
                                </w:p>
                              </w:tc>
                              <w:tc>
                                <w:tcPr>
                                  <w:tcW w:w="964" w:type="dxa"/>
                                  <w:tcBorders>
                                    <w:top w:val="nil"/>
                                    <w:left w:val="single" w:sz="8" w:space="0" w:color="auto"/>
                                    <w:bottom w:val="nil"/>
                                    <w:right w:val="nil"/>
                                  </w:tcBorders>
                                  <w:shd w:val="clear" w:color="000000" w:fill="538DD5"/>
                                  <w:noWrap/>
                                  <w:vAlign w:val="center"/>
                                  <w:hideMark/>
                                </w:tcPr>
                                <w:p w14:paraId="40BCA74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0694C4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29FBC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51D8DA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9CF326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604E8612"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5A3A5F6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M&amp;E Officer</w:t>
                                  </w:r>
                                </w:p>
                              </w:tc>
                              <w:tc>
                                <w:tcPr>
                                  <w:tcW w:w="964" w:type="dxa"/>
                                  <w:tcBorders>
                                    <w:top w:val="nil"/>
                                    <w:left w:val="single" w:sz="8" w:space="0" w:color="auto"/>
                                    <w:bottom w:val="nil"/>
                                    <w:right w:val="nil"/>
                                  </w:tcBorders>
                                  <w:shd w:val="clear" w:color="000000" w:fill="538DD5"/>
                                  <w:noWrap/>
                                  <w:vAlign w:val="center"/>
                                  <w:hideMark/>
                                </w:tcPr>
                                <w:p w14:paraId="0C6C163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99E1819"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10F4D2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31085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BECA3A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7A60F11B"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F7A42EC"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National Communications Officer</w:t>
                                  </w:r>
                                </w:p>
                              </w:tc>
                              <w:tc>
                                <w:tcPr>
                                  <w:tcW w:w="964" w:type="dxa"/>
                                  <w:tcBorders>
                                    <w:top w:val="nil"/>
                                    <w:left w:val="single" w:sz="8" w:space="0" w:color="auto"/>
                                    <w:bottom w:val="nil"/>
                                    <w:right w:val="nil"/>
                                  </w:tcBorders>
                                  <w:shd w:val="clear" w:color="000000" w:fill="538DD5"/>
                                  <w:noWrap/>
                                  <w:vAlign w:val="center"/>
                                  <w:hideMark/>
                                </w:tcPr>
                                <w:p w14:paraId="50661E2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78A0279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31ADE9C"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8DAE71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0E0C7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6A23311B"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40E8813"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Office Support Officer</w:t>
                                  </w:r>
                                </w:p>
                              </w:tc>
                              <w:tc>
                                <w:tcPr>
                                  <w:tcW w:w="964" w:type="dxa"/>
                                  <w:tcBorders>
                                    <w:top w:val="nil"/>
                                    <w:left w:val="single" w:sz="8" w:space="0" w:color="auto"/>
                                    <w:bottom w:val="nil"/>
                                    <w:right w:val="nil"/>
                                  </w:tcBorders>
                                  <w:shd w:val="clear" w:color="000000" w:fill="538DD5"/>
                                  <w:noWrap/>
                                  <w:vAlign w:val="center"/>
                                  <w:hideMark/>
                                </w:tcPr>
                                <w:p w14:paraId="6C87371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A584BE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8640CA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146E7B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5834516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3F4D2A77"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631FD975"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TfT Coordinator</w:t>
                                  </w:r>
                                </w:p>
                              </w:tc>
                              <w:tc>
                                <w:tcPr>
                                  <w:tcW w:w="964" w:type="dxa"/>
                                  <w:tcBorders>
                                    <w:top w:val="nil"/>
                                    <w:left w:val="single" w:sz="8" w:space="0" w:color="auto"/>
                                    <w:bottom w:val="nil"/>
                                    <w:right w:val="nil"/>
                                  </w:tcBorders>
                                  <w:shd w:val="clear" w:color="000000" w:fill="538DD5"/>
                                  <w:noWrap/>
                                  <w:vAlign w:val="center"/>
                                  <w:hideMark/>
                                </w:tcPr>
                                <w:p w14:paraId="57E658F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3AF0A29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C99B1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6F49BB5C"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AA5A23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7DB1B405"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0E62F545"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xml:space="preserve">TVET Systems Specialist </w:t>
                                  </w:r>
                                </w:p>
                              </w:tc>
                              <w:tc>
                                <w:tcPr>
                                  <w:tcW w:w="964" w:type="dxa"/>
                                  <w:tcBorders>
                                    <w:top w:val="nil"/>
                                    <w:left w:val="single" w:sz="8" w:space="0" w:color="auto"/>
                                    <w:bottom w:val="nil"/>
                                    <w:right w:val="nil"/>
                                  </w:tcBorders>
                                  <w:shd w:val="clear" w:color="000000" w:fill="538DD5"/>
                                  <w:noWrap/>
                                  <w:vAlign w:val="center"/>
                                  <w:hideMark/>
                                </w:tcPr>
                                <w:p w14:paraId="056809F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035347E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CF98C4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7C88790E"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A99146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12CE333"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255431E2"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TVET Systems Specialist (Gender)</w:t>
                                  </w:r>
                                </w:p>
                              </w:tc>
                              <w:tc>
                                <w:tcPr>
                                  <w:tcW w:w="964" w:type="dxa"/>
                                  <w:tcBorders>
                                    <w:top w:val="nil"/>
                                    <w:left w:val="single" w:sz="8" w:space="0" w:color="auto"/>
                                    <w:bottom w:val="nil"/>
                                    <w:right w:val="nil"/>
                                  </w:tcBorders>
                                  <w:shd w:val="clear" w:color="000000" w:fill="538DD5"/>
                                  <w:noWrap/>
                                  <w:vAlign w:val="center"/>
                                  <w:hideMark/>
                                </w:tcPr>
                                <w:p w14:paraId="2A0A6D9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6D1A0B92"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1B3ACD3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9DF5D1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49043332"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6FE728D" w14:textId="77777777" w:rsidTr="00F45C80">
                              <w:trPr>
                                <w:trHeight w:val="315"/>
                              </w:trPr>
                              <w:tc>
                                <w:tcPr>
                                  <w:tcW w:w="3843" w:type="dxa"/>
                                  <w:tcBorders>
                                    <w:top w:val="nil"/>
                                    <w:left w:val="single" w:sz="8" w:space="0" w:color="auto"/>
                                    <w:bottom w:val="nil"/>
                                    <w:right w:val="nil"/>
                                  </w:tcBorders>
                                  <w:shd w:val="clear" w:color="auto" w:fill="auto"/>
                                  <w:noWrap/>
                                  <w:vAlign w:val="center"/>
                                  <w:hideMark/>
                                </w:tcPr>
                                <w:p w14:paraId="7214F3CA"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Cleaner</w:t>
                                  </w:r>
                                </w:p>
                              </w:tc>
                              <w:tc>
                                <w:tcPr>
                                  <w:tcW w:w="964" w:type="dxa"/>
                                  <w:tcBorders>
                                    <w:top w:val="nil"/>
                                    <w:left w:val="single" w:sz="8" w:space="0" w:color="auto"/>
                                    <w:bottom w:val="nil"/>
                                    <w:right w:val="nil"/>
                                  </w:tcBorders>
                                  <w:shd w:val="clear" w:color="auto" w:fill="auto"/>
                                  <w:noWrap/>
                                  <w:vAlign w:val="center"/>
                                  <w:hideMark/>
                                </w:tcPr>
                                <w:p w14:paraId="28D98B8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FF33CC"/>
                                  <w:noWrap/>
                                  <w:vAlign w:val="center"/>
                                  <w:hideMark/>
                                </w:tcPr>
                                <w:p w14:paraId="3CCAEA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FF33CC"/>
                                  <w:noWrap/>
                                  <w:vAlign w:val="center"/>
                                  <w:hideMark/>
                                </w:tcPr>
                                <w:p w14:paraId="4F81C20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FF33CC"/>
                                  <w:noWrap/>
                                  <w:vAlign w:val="center"/>
                                  <w:hideMark/>
                                </w:tcPr>
                                <w:p w14:paraId="3FFE319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FF33CC"/>
                                  <w:noWrap/>
                                  <w:vAlign w:val="center"/>
                                  <w:hideMark/>
                                </w:tcPr>
                                <w:p w14:paraId="15C0F83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32F4A3E0" w14:textId="77777777" w:rsidTr="00F45C80">
                              <w:trPr>
                                <w:trHeight w:val="315"/>
                              </w:trPr>
                              <w:tc>
                                <w:tcPr>
                                  <w:tcW w:w="3843" w:type="dxa"/>
                                  <w:tcBorders>
                                    <w:top w:val="single" w:sz="8" w:space="0" w:color="auto"/>
                                    <w:left w:val="single" w:sz="8" w:space="0" w:color="auto"/>
                                    <w:bottom w:val="single" w:sz="8" w:space="0" w:color="auto"/>
                                    <w:right w:val="nil"/>
                                  </w:tcBorders>
                                  <w:shd w:val="clear" w:color="auto" w:fill="auto"/>
                                  <w:noWrap/>
                                  <w:vAlign w:val="center"/>
                                  <w:hideMark/>
                                </w:tcPr>
                                <w:p w14:paraId="0A7D63A4"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Grand Total</w:t>
                                  </w:r>
                                </w:p>
                              </w:tc>
                              <w:tc>
                                <w:tcPr>
                                  <w:tcW w:w="964" w:type="dxa"/>
                                  <w:tcBorders>
                                    <w:top w:val="single" w:sz="8" w:space="0" w:color="auto"/>
                                    <w:left w:val="single" w:sz="8" w:space="0" w:color="auto"/>
                                    <w:bottom w:val="single" w:sz="8" w:space="0" w:color="auto"/>
                                    <w:right w:val="nil"/>
                                  </w:tcBorders>
                                  <w:shd w:val="clear" w:color="auto" w:fill="auto"/>
                                  <w:noWrap/>
                                  <w:vAlign w:val="center"/>
                                  <w:hideMark/>
                                </w:tcPr>
                                <w:p w14:paraId="07644AF2"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12</w:t>
                                  </w:r>
                                </w:p>
                              </w:tc>
                              <w:tc>
                                <w:tcPr>
                                  <w:tcW w:w="964" w:type="dxa"/>
                                  <w:tcBorders>
                                    <w:top w:val="single" w:sz="8" w:space="0" w:color="auto"/>
                                    <w:left w:val="nil"/>
                                    <w:bottom w:val="single" w:sz="8" w:space="0" w:color="auto"/>
                                    <w:right w:val="nil"/>
                                  </w:tcBorders>
                                  <w:shd w:val="clear" w:color="auto" w:fill="auto"/>
                                  <w:noWrap/>
                                  <w:vAlign w:val="center"/>
                                  <w:hideMark/>
                                </w:tcPr>
                                <w:p w14:paraId="2D9BDA8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6</w:t>
                                  </w:r>
                                </w:p>
                              </w:tc>
                              <w:tc>
                                <w:tcPr>
                                  <w:tcW w:w="964" w:type="dxa"/>
                                  <w:tcBorders>
                                    <w:top w:val="single" w:sz="8" w:space="0" w:color="auto"/>
                                    <w:left w:val="nil"/>
                                    <w:bottom w:val="single" w:sz="8" w:space="0" w:color="auto"/>
                                    <w:right w:val="nil"/>
                                  </w:tcBorders>
                                  <w:shd w:val="clear" w:color="auto" w:fill="auto"/>
                                  <w:noWrap/>
                                  <w:vAlign w:val="center"/>
                                  <w:hideMark/>
                                </w:tcPr>
                                <w:p w14:paraId="4F1AC10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c>
                                <w:tcPr>
                                  <w:tcW w:w="964" w:type="dxa"/>
                                  <w:tcBorders>
                                    <w:top w:val="single" w:sz="8" w:space="0" w:color="auto"/>
                                    <w:left w:val="nil"/>
                                    <w:bottom w:val="single" w:sz="8" w:space="0" w:color="auto"/>
                                    <w:right w:val="nil"/>
                                  </w:tcBorders>
                                  <w:shd w:val="clear" w:color="auto" w:fill="auto"/>
                                  <w:noWrap/>
                                  <w:vAlign w:val="center"/>
                                  <w:hideMark/>
                                </w:tcPr>
                                <w:p w14:paraId="506D44C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c>
                                <w:tcPr>
                                  <w:tcW w:w="964" w:type="dxa"/>
                                  <w:tcBorders>
                                    <w:top w:val="single" w:sz="8" w:space="0" w:color="auto"/>
                                    <w:left w:val="nil"/>
                                    <w:bottom w:val="single" w:sz="8" w:space="0" w:color="auto"/>
                                    <w:right w:val="single" w:sz="8" w:space="0" w:color="auto"/>
                                  </w:tcBorders>
                                  <w:shd w:val="clear" w:color="auto" w:fill="auto"/>
                                  <w:noWrap/>
                                  <w:vAlign w:val="center"/>
                                  <w:hideMark/>
                                </w:tcPr>
                                <w:p w14:paraId="0AF34D9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r>
                          </w:tbl>
                          <w:p w14:paraId="220BD2F1" w14:textId="38D5F6AC" w:rsidR="00E511EA" w:rsidRDefault="00E51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7D6AA" id="_x0000_t202" coordsize="21600,21600" o:spt="202" path="m,l,21600r21600,l21600,xe">
                <v:stroke joinstyle="miter"/>
                <v:path gradientshapeok="t" o:connecttype="rect"/>
              </v:shapetype>
              <v:shape id="Text Box 2" o:spid="_x0000_s1026" type="#_x0000_t202" style="position:absolute;margin-left:-7.05pt;margin-top:-14.4pt;width:479.25pt;height:37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" stroked="f">
                <v:textbox>
                  <w:txbxContent>
                    <w:p w14:paraId="3ECD6C2C" w14:textId="0364F569" w:rsidR="00E511EA" w:rsidRDefault="00E511EA"/>
                    <w:tbl>
                      <w:tblPr>
                        <w:tblW w:w="9229" w:type="dxa"/>
                        <w:tblInd w:w="93" w:type="dxa"/>
                        <w:tblLayout w:type="fixed"/>
                        <w:tblLook w:val="04A0" w:firstRow="1" w:lastRow="0" w:firstColumn="1" w:lastColumn="0" w:noHBand="0" w:noVBand="1"/>
                      </w:tblPr>
                      <w:tblGrid>
                        <w:gridCol w:w="4094"/>
                        <w:gridCol w:w="1027"/>
                        <w:gridCol w:w="1027"/>
                        <w:gridCol w:w="1027"/>
                        <w:gridCol w:w="1027"/>
                        <w:gridCol w:w="1027"/>
                      </w:tblGrid>
                      <w:tr w:rsidR="00E511EA" w:rsidRPr="00ED67BC" w14:paraId="56EE88C8" w14:textId="77777777" w:rsidTr="00F45C80">
                        <w:trPr>
                          <w:trHeight w:val="315"/>
                        </w:trPr>
                        <w:tc>
                          <w:tcPr>
                            <w:tcW w:w="3843" w:type="dxa"/>
                            <w:tcBorders>
                              <w:top w:val="nil"/>
                              <w:left w:val="nil"/>
                              <w:bottom w:val="nil"/>
                              <w:right w:val="nil"/>
                            </w:tcBorders>
                            <w:shd w:val="clear" w:color="auto" w:fill="auto"/>
                            <w:noWrap/>
                            <w:vAlign w:val="bottom"/>
                            <w:hideMark/>
                          </w:tcPr>
                          <w:p w14:paraId="69BB9BD7" w14:textId="77777777" w:rsidR="00E511EA" w:rsidRPr="00ED67BC" w:rsidRDefault="00E511EA" w:rsidP="00ED67BC">
                            <w:pPr>
                              <w:widowControl/>
                              <w:spacing w:before="0" w:after="0"/>
                              <w:rPr>
                                <w:rFonts w:eastAsia="Times New Roman" w:cs="Times New Roman"/>
                                <w:color w:val="000000"/>
                                <w:sz w:val="20"/>
                                <w:szCs w:val="20"/>
                                <w:lang w:val="en-AU" w:eastAsia="en-AU"/>
                              </w:rPr>
                            </w:pPr>
                          </w:p>
                        </w:tc>
                        <w:tc>
                          <w:tcPr>
                            <w:tcW w:w="96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56685C"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TVET Centre Location</w:t>
                            </w:r>
                          </w:p>
                        </w:tc>
                      </w:tr>
                      <w:tr w:rsidR="00E511EA" w:rsidRPr="00ED67BC" w14:paraId="5F7F347E" w14:textId="77777777" w:rsidTr="00F45C80">
                        <w:trPr>
                          <w:trHeight w:val="315"/>
                        </w:trPr>
                        <w:tc>
                          <w:tcPr>
                            <w:tcW w:w="3843" w:type="dxa"/>
                            <w:tcBorders>
                              <w:top w:val="single" w:sz="8" w:space="0" w:color="auto"/>
                              <w:left w:val="single" w:sz="8" w:space="0" w:color="auto"/>
                              <w:bottom w:val="single" w:sz="8" w:space="0" w:color="auto"/>
                              <w:right w:val="nil"/>
                            </w:tcBorders>
                            <w:shd w:val="clear" w:color="auto" w:fill="auto"/>
                            <w:noWrap/>
                            <w:vAlign w:val="center"/>
                            <w:hideMark/>
                          </w:tcPr>
                          <w:p w14:paraId="1802480F" w14:textId="77777777" w:rsidR="00E511EA" w:rsidRPr="00ED67BC" w:rsidRDefault="00E511EA" w:rsidP="00ED67BC">
                            <w:pPr>
                              <w:widowControl/>
                              <w:spacing w:before="0" w:after="0"/>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Position Title</w:t>
                            </w:r>
                          </w:p>
                        </w:tc>
                        <w:tc>
                          <w:tcPr>
                            <w:tcW w:w="964" w:type="dxa"/>
                            <w:tcBorders>
                              <w:top w:val="nil"/>
                              <w:left w:val="single" w:sz="8" w:space="0" w:color="auto"/>
                              <w:bottom w:val="single" w:sz="8" w:space="0" w:color="auto"/>
                              <w:right w:val="nil"/>
                            </w:tcBorders>
                            <w:shd w:val="clear" w:color="auto" w:fill="auto"/>
                            <w:noWrap/>
                            <w:vAlign w:val="center"/>
                            <w:hideMark/>
                          </w:tcPr>
                          <w:p w14:paraId="2A933467"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Vila</w:t>
                            </w:r>
                          </w:p>
                        </w:tc>
                        <w:tc>
                          <w:tcPr>
                            <w:tcW w:w="964" w:type="dxa"/>
                            <w:tcBorders>
                              <w:top w:val="nil"/>
                              <w:left w:val="nil"/>
                              <w:bottom w:val="single" w:sz="8" w:space="0" w:color="auto"/>
                              <w:right w:val="nil"/>
                            </w:tcBorders>
                            <w:shd w:val="clear" w:color="auto" w:fill="auto"/>
                            <w:noWrap/>
                            <w:vAlign w:val="center"/>
                            <w:hideMark/>
                          </w:tcPr>
                          <w:p w14:paraId="6C4E1BCC"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Sanma</w:t>
                            </w:r>
                          </w:p>
                        </w:tc>
                        <w:tc>
                          <w:tcPr>
                            <w:tcW w:w="964" w:type="dxa"/>
                            <w:tcBorders>
                              <w:top w:val="nil"/>
                              <w:left w:val="nil"/>
                              <w:bottom w:val="single" w:sz="8" w:space="0" w:color="auto"/>
                              <w:right w:val="nil"/>
                            </w:tcBorders>
                            <w:shd w:val="clear" w:color="auto" w:fill="auto"/>
                            <w:noWrap/>
                            <w:vAlign w:val="center"/>
                            <w:hideMark/>
                          </w:tcPr>
                          <w:p w14:paraId="0B8D4CC9"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Torba</w:t>
                            </w:r>
                          </w:p>
                        </w:tc>
                        <w:tc>
                          <w:tcPr>
                            <w:tcW w:w="964" w:type="dxa"/>
                            <w:tcBorders>
                              <w:top w:val="nil"/>
                              <w:left w:val="nil"/>
                              <w:bottom w:val="single" w:sz="8" w:space="0" w:color="auto"/>
                              <w:right w:val="nil"/>
                            </w:tcBorders>
                            <w:shd w:val="clear" w:color="auto" w:fill="auto"/>
                            <w:noWrap/>
                            <w:vAlign w:val="center"/>
                            <w:hideMark/>
                          </w:tcPr>
                          <w:p w14:paraId="46C76F3F"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Tafea</w:t>
                            </w:r>
                          </w:p>
                        </w:tc>
                        <w:tc>
                          <w:tcPr>
                            <w:tcW w:w="964" w:type="dxa"/>
                            <w:tcBorders>
                              <w:top w:val="nil"/>
                              <w:left w:val="nil"/>
                              <w:bottom w:val="single" w:sz="8" w:space="0" w:color="auto"/>
                              <w:right w:val="single" w:sz="8" w:space="0" w:color="auto"/>
                            </w:tcBorders>
                            <w:shd w:val="clear" w:color="auto" w:fill="auto"/>
                            <w:noWrap/>
                            <w:vAlign w:val="center"/>
                            <w:hideMark/>
                          </w:tcPr>
                          <w:p w14:paraId="6C038E83" w14:textId="77777777" w:rsidR="00E511EA" w:rsidRPr="00ED67BC" w:rsidRDefault="00E511EA" w:rsidP="00ED67BC">
                            <w:pPr>
                              <w:widowControl/>
                              <w:spacing w:before="0" w:after="0"/>
                              <w:jc w:val="center"/>
                              <w:rPr>
                                <w:rFonts w:eastAsia="Times New Roman" w:cs="Times New Roman"/>
                                <w:b/>
                                <w:bCs/>
                                <w:color w:val="000000"/>
                                <w:sz w:val="20"/>
                                <w:szCs w:val="20"/>
                                <w:lang w:val="en-AU" w:eastAsia="en-AU"/>
                              </w:rPr>
                            </w:pPr>
                            <w:r w:rsidRPr="00ED67BC">
                              <w:rPr>
                                <w:rFonts w:eastAsia="Times New Roman" w:cs="Times New Roman"/>
                                <w:b/>
                                <w:bCs/>
                                <w:color w:val="000000"/>
                                <w:sz w:val="20"/>
                                <w:szCs w:val="20"/>
                                <w:lang w:val="en-AU" w:eastAsia="en-AU"/>
                              </w:rPr>
                              <w:t>Malampa</w:t>
                            </w:r>
                          </w:p>
                        </w:tc>
                      </w:tr>
                      <w:tr w:rsidR="00E511EA" w:rsidRPr="00ED67BC" w14:paraId="6E7A6D98"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2E0DBE2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Team Leader</w:t>
                            </w:r>
                          </w:p>
                        </w:tc>
                        <w:tc>
                          <w:tcPr>
                            <w:tcW w:w="964" w:type="dxa"/>
                            <w:tcBorders>
                              <w:top w:val="nil"/>
                              <w:left w:val="single" w:sz="8" w:space="0" w:color="auto"/>
                              <w:bottom w:val="nil"/>
                              <w:right w:val="nil"/>
                            </w:tcBorders>
                            <w:shd w:val="clear" w:color="000000" w:fill="538DD5"/>
                            <w:noWrap/>
                            <w:vAlign w:val="center"/>
                            <w:hideMark/>
                          </w:tcPr>
                          <w:p w14:paraId="6045E6F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74B98B8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D2AD46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F23076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3DE0A72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FA23CB6"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69CB50E9"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Finance &amp; Administration Manager</w:t>
                            </w:r>
                          </w:p>
                        </w:tc>
                        <w:tc>
                          <w:tcPr>
                            <w:tcW w:w="964" w:type="dxa"/>
                            <w:tcBorders>
                              <w:top w:val="nil"/>
                              <w:left w:val="single" w:sz="8" w:space="0" w:color="auto"/>
                              <w:bottom w:val="nil"/>
                              <w:right w:val="nil"/>
                            </w:tcBorders>
                            <w:shd w:val="clear" w:color="auto" w:fill="auto"/>
                            <w:noWrap/>
                            <w:vAlign w:val="center"/>
                            <w:hideMark/>
                          </w:tcPr>
                          <w:p w14:paraId="37EBDBA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E575E4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8C9A3B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5A9B559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42E4F3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07DF59D4"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DFFE763"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Operations Manager</w:t>
                            </w:r>
                          </w:p>
                        </w:tc>
                        <w:tc>
                          <w:tcPr>
                            <w:tcW w:w="964" w:type="dxa"/>
                            <w:tcBorders>
                              <w:top w:val="nil"/>
                              <w:left w:val="single" w:sz="8" w:space="0" w:color="auto"/>
                              <w:bottom w:val="nil"/>
                              <w:right w:val="nil"/>
                            </w:tcBorders>
                            <w:shd w:val="clear" w:color="000000" w:fill="538DD5"/>
                            <w:noWrap/>
                            <w:vAlign w:val="center"/>
                            <w:hideMark/>
                          </w:tcPr>
                          <w:p w14:paraId="7D5C8F9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62FC75E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A44230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7300333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69B96187"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1043CCC"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E85CF11"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xml:space="preserve">TVET Centre Manager </w:t>
                            </w:r>
                          </w:p>
                        </w:tc>
                        <w:tc>
                          <w:tcPr>
                            <w:tcW w:w="964" w:type="dxa"/>
                            <w:tcBorders>
                              <w:top w:val="nil"/>
                              <w:left w:val="single" w:sz="8" w:space="0" w:color="auto"/>
                              <w:bottom w:val="nil"/>
                              <w:right w:val="nil"/>
                            </w:tcBorders>
                            <w:shd w:val="clear" w:color="auto" w:fill="auto"/>
                            <w:noWrap/>
                            <w:vAlign w:val="center"/>
                            <w:hideMark/>
                          </w:tcPr>
                          <w:p w14:paraId="0E6589B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8619A8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0371435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2B306F5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7C2B37A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73C8B1CF"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A9D1A47" w14:textId="2DDA86FD"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Provincial Training/Bus</w:t>
                            </w:r>
                            <w:r>
                              <w:rPr>
                                <w:rFonts w:eastAsia="Times New Roman" w:cs="Times New Roman"/>
                                <w:color w:val="000000"/>
                                <w:sz w:val="20"/>
                                <w:szCs w:val="20"/>
                                <w:lang w:val="en-AU" w:eastAsia="en-AU"/>
                              </w:rPr>
                              <w:t xml:space="preserve">. </w:t>
                            </w:r>
                            <w:r w:rsidRPr="00ED67BC">
                              <w:rPr>
                                <w:rFonts w:eastAsia="Times New Roman" w:cs="Times New Roman"/>
                                <w:color w:val="000000"/>
                                <w:sz w:val="20"/>
                                <w:szCs w:val="20"/>
                                <w:lang w:val="en-AU" w:eastAsia="en-AU"/>
                              </w:rPr>
                              <w:t>Dev. Services Coord</w:t>
                            </w:r>
                            <w:r>
                              <w:rPr>
                                <w:rFonts w:eastAsia="Times New Roman" w:cs="Times New Roman"/>
                                <w:color w:val="000000"/>
                                <w:sz w:val="20"/>
                                <w:szCs w:val="20"/>
                                <w:lang w:val="en-AU" w:eastAsia="en-AU"/>
                              </w:rPr>
                              <w:t>.</w:t>
                            </w:r>
                          </w:p>
                        </w:tc>
                        <w:tc>
                          <w:tcPr>
                            <w:tcW w:w="964" w:type="dxa"/>
                            <w:tcBorders>
                              <w:top w:val="nil"/>
                              <w:left w:val="single" w:sz="8" w:space="0" w:color="auto"/>
                              <w:bottom w:val="nil"/>
                              <w:right w:val="nil"/>
                            </w:tcBorders>
                            <w:shd w:val="clear" w:color="auto" w:fill="auto"/>
                            <w:noWrap/>
                            <w:vAlign w:val="center"/>
                            <w:hideMark/>
                          </w:tcPr>
                          <w:p w14:paraId="3805EA2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55F514F7"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center"/>
                            <w:hideMark/>
                          </w:tcPr>
                          <w:p w14:paraId="36321B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nil"/>
                            </w:tcBorders>
                            <w:shd w:val="clear" w:color="auto" w:fill="auto"/>
                            <w:noWrap/>
                            <w:vAlign w:val="center"/>
                            <w:hideMark/>
                          </w:tcPr>
                          <w:p w14:paraId="3B449AF6"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51F9B60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DF11D6D"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55A43CA"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Provincial Training Coordinator (PTC*)</w:t>
                            </w:r>
                          </w:p>
                        </w:tc>
                        <w:tc>
                          <w:tcPr>
                            <w:tcW w:w="964" w:type="dxa"/>
                            <w:tcBorders>
                              <w:top w:val="nil"/>
                              <w:left w:val="single" w:sz="8" w:space="0" w:color="auto"/>
                              <w:bottom w:val="nil"/>
                              <w:right w:val="nil"/>
                            </w:tcBorders>
                            <w:shd w:val="clear" w:color="auto" w:fill="auto"/>
                            <w:noWrap/>
                            <w:vAlign w:val="center"/>
                            <w:hideMark/>
                          </w:tcPr>
                          <w:p w14:paraId="22E7844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auto" w:fill="auto"/>
                            <w:noWrap/>
                            <w:vAlign w:val="center"/>
                            <w:hideMark/>
                          </w:tcPr>
                          <w:p w14:paraId="26CBA22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p>
                        </w:tc>
                        <w:tc>
                          <w:tcPr>
                            <w:tcW w:w="964" w:type="dxa"/>
                            <w:tcBorders>
                              <w:top w:val="nil"/>
                              <w:left w:val="nil"/>
                              <w:bottom w:val="nil"/>
                              <w:right w:val="nil"/>
                            </w:tcBorders>
                            <w:shd w:val="clear" w:color="000000" w:fill="538DD5"/>
                            <w:noWrap/>
                            <w:vAlign w:val="center"/>
                            <w:hideMark/>
                          </w:tcPr>
                          <w:p w14:paraId="6D1817F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505B62B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5CE73B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61C24524"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602ADA6"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Finance &amp; Administration Assistant</w:t>
                            </w:r>
                          </w:p>
                        </w:tc>
                        <w:tc>
                          <w:tcPr>
                            <w:tcW w:w="964" w:type="dxa"/>
                            <w:tcBorders>
                              <w:top w:val="nil"/>
                              <w:left w:val="single" w:sz="8" w:space="0" w:color="auto"/>
                              <w:bottom w:val="nil"/>
                              <w:right w:val="nil"/>
                            </w:tcBorders>
                            <w:shd w:val="clear" w:color="auto" w:fill="auto"/>
                            <w:noWrap/>
                            <w:vAlign w:val="center"/>
                            <w:hideMark/>
                          </w:tcPr>
                          <w:p w14:paraId="7FCC84F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538DD5"/>
                            <w:noWrap/>
                            <w:vAlign w:val="center"/>
                            <w:hideMark/>
                          </w:tcPr>
                          <w:p w14:paraId="64167C8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4DB538A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538DD5"/>
                            <w:noWrap/>
                            <w:vAlign w:val="center"/>
                            <w:hideMark/>
                          </w:tcPr>
                          <w:p w14:paraId="3C4BACD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538DD5"/>
                            <w:noWrap/>
                            <w:vAlign w:val="center"/>
                            <w:hideMark/>
                          </w:tcPr>
                          <w:p w14:paraId="3E33BC0E"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11DF8A78"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4E37108"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Administration Assistant</w:t>
                            </w:r>
                          </w:p>
                        </w:tc>
                        <w:tc>
                          <w:tcPr>
                            <w:tcW w:w="964" w:type="dxa"/>
                            <w:tcBorders>
                              <w:top w:val="nil"/>
                              <w:left w:val="single" w:sz="8" w:space="0" w:color="auto"/>
                              <w:bottom w:val="nil"/>
                              <w:right w:val="nil"/>
                            </w:tcBorders>
                            <w:shd w:val="clear" w:color="000000" w:fill="538DD5"/>
                            <w:noWrap/>
                            <w:vAlign w:val="center"/>
                            <w:hideMark/>
                          </w:tcPr>
                          <w:p w14:paraId="547442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0B369F1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980DCD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6FA3F3A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FC70A3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13041263"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47CFD0C5" w14:textId="7D6F6F91" w:rsidR="00E511EA" w:rsidRPr="00ED67BC" w:rsidRDefault="00E511EA" w:rsidP="0065109D">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Training Provider Support Coordinator</w:t>
                            </w:r>
                          </w:p>
                        </w:tc>
                        <w:tc>
                          <w:tcPr>
                            <w:tcW w:w="964" w:type="dxa"/>
                            <w:tcBorders>
                              <w:top w:val="nil"/>
                              <w:left w:val="single" w:sz="8" w:space="0" w:color="auto"/>
                              <w:bottom w:val="nil"/>
                              <w:right w:val="nil"/>
                            </w:tcBorders>
                            <w:shd w:val="clear" w:color="000000" w:fill="FF33CC"/>
                            <w:noWrap/>
                            <w:vAlign w:val="center"/>
                            <w:hideMark/>
                          </w:tcPr>
                          <w:p w14:paraId="0A88F1B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42AE5672"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5372024"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1ED8DEE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00ECAF0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4AEFBA9"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1E422E32"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Disability Inclusion Officer</w:t>
                            </w:r>
                          </w:p>
                        </w:tc>
                        <w:tc>
                          <w:tcPr>
                            <w:tcW w:w="964" w:type="dxa"/>
                            <w:tcBorders>
                              <w:top w:val="nil"/>
                              <w:left w:val="single" w:sz="8" w:space="0" w:color="auto"/>
                              <w:bottom w:val="nil"/>
                              <w:right w:val="nil"/>
                            </w:tcBorders>
                            <w:shd w:val="clear" w:color="auto" w:fill="auto"/>
                            <w:noWrap/>
                            <w:vAlign w:val="center"/>
                            <w:hideMark/>
                          </w:tcPr>
                          <w:p w14:paraId="6BF2E5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FF33CC"/>
                            <w:noWrap/>
                            <w:vAlign w:val="center"/>
                            <w:hideMark/>
                          </w:tcPr>
                          <w:p w14:paraId="604A24B6"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76F3B74"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14882B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5CC964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5417EDF0"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07F96D9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IT Officer/Trainer</w:t>
                            </w:r>
                          </w:p>
                        </w:tc>
                        <w:tc>
                          <w:tcPr>
                            <w:tcW w:w="964" w:type="dxa"/>
                            <w:tcBorders>
                              <w:top w:val="nil"/>
                              <w:left w:val="single" w:sz="8" w:space="0" w:color="auto"/>
                              <w:bottom w:val="nil"/>
                              <w:right w:val="nil"/>
                            </w:tcBorders>
                            <w:shd w:val="clear" w:color="000000" w:fill="B1A0C7"/>
                            <w:noWrap/>
                            <w:vAlign w:val="center"/>
                            <w:hideMark/>
                          </w:tcPr>
                          <w:p w14:paraId="06EF1D7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E4A3A9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0B797D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E47ED4A"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68670AD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3CCE87BE"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50FF87D"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M&amp;E Manager</w:t>
                            </w:r>
                          </w:p>
                        </w:tc>
                        <w:tc>
                          <w:tcPr>
                            <w:tcW w:w="964" w:type="dxa"/>
                            <w:tcBorders>
                              <w:top w:val="nil"/>
                              <w:left w:val="single" w:sz="8" w:space="0" w:color="auto"/>
                              <w:bottom w:val="nil"/>
                              <w:right w:val="nil"/>
                            </w:tcBorders>
                            <w:shd w:val="clear" w:color="000000" w:fill="538DD5"/>
                            <w:noWrap/>
                            <w:vAlign w:val="center"/>
                            <w:hideMark/>
                          </w:tcPr>
                          <w:p w14:paraId="40BCA74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0694C45"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029FBC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51D8DA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9CF326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604E8612"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5A3A5F6F"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M&amp;E Officer</w:t>
                            </w:r>
                          </w:p>
                        </w:tc>
                        <w:tc>
                          <w:tcPr>
                            <w:tcW w:w="964" w:type="dxa"/>
                            <w:tcBorders>
                              <w:top w:val="nil"/>
                              <w:left w:val="single" w:sz="8" w:space="0" w:color="auto"/>
                              <w:bottom w:val="nil"/>
                              <w:right w:val="nil"/>
                            </w:tcBorders>
                            <w:shd w:val="clear" w:color="000000" w:fill="538DD5"/>
                            <w:noWrap/>
                            <w:vAlign w:val="center"/>
                            <w:hideMark/>
                          </w:tcPr>
                          <w:p w14:paraId="0C6C163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299E1819"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10F4D2D"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31085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BECA3A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7A60F11B"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3F7A42EC"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National Communications Officer</w:t>
                            </w:r>
                          </w:p>
                        </w:tc>
                        <w:tc>
                          <w:tcPr>
                            <w:tcW w:w="964" w:type="dxa"/>
                            <w:tcBorders>
                              <w:top w:val="nil"/>
                              <w:left w:val="single" w:sz="8" w:space="0" w:color="auto"/>
                              <w:bottom w:val="nil"/>
                              <w:right w:val="nil"/>
                            </w:tcBorders>
                            <w:shd w:val="clear" w:color="000000" w:fill="538DD5"/>
                            <w:noWrap/>
                            <w:vAlign w:val="center"/>
                            <w:hideMark/>
                          </w:tcPr>
                          <w:p w14:paraId="50661E2B"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78A02791"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31ADE9C"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8DAE71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0E0C7E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6A23311B"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740E8813"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Office Support Officer</w:t>
                            </w:r>
                          </w:p>
                        </w:tc>
                        <w:tc>
                          <w:tcPr>
                            <w:tcW w:w="964" w:type="dxa"/>
                            <w:tcBorders>
                              <w:top w:val="nil"/>
                              <w:left w:val="single" w:sz="8" w:space="0" w:color="auto"/>
                              <w:bottom w:val="nil"/>
                              <w:right w:val="nil"/>
                            </w:tcBorders>
                            <w:shd w:val="clear" w:color="000000" w:fill="538DD5"/>
                            <w:noWrap/>
                            <w:vAlign w:val="center"/>
                            <w:hideMark/>
                          </w:tcPr>
                          <w:p w14:paraId="6C87371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1A584BE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8640CAB"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4146E7B8"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5834516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3F4D2A77"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631FD975"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TfT Coordinator</w:t>
                            </w:r>
                          </w:p>
                        </w:tc>
                        <w:tc>
                          <w:tcPr>
                            <w:tcW w:w="964" w:type="dxa"/>
                            <w:tcBorders>
                              <w:top w:val="nil"/>
                              <w:left w:val="single" w:sz="8" w:space="0" w:color="auto"/>
                              <w:bottom w:val="nil"/>
                              <w:right w:val="nil"/>
                            </w:tcBorders>
                            <w:shd w:val="clear" w:color="000000" w:fill="538DD5"/>
                            <w:noWrap/>
                            <w:vAlign w:val="center"/>
                            <w:hideMark/>
                          </w:tcPr>
                          <w:p w14:paraId="57E658F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3AF0A29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C99B1E0"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6F49BB5C"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7AA5A238"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7DB1B405"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0E62F545"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xml:space="preserve">TVET Systems Specialist </w:t>
                            </w:r>
                          </w:p>
                        </w:tc>
                        <w:tc>
                          <w:tcPr>
                            <w:tcW w:w="964" w:type="dxa"/>
                            <w:tcBorders>
                              <w:top w:val="nil"/>
                              <w:left w:val="single" w:sz="8" w:space="0" w:color="auto"/>
                              <w:bottom w:val="nil"/>
                              <w:right w:val="nil"/>
                            </w:tcBorders>
                            <w:shd w:val="clear" w:color="000000" w:fill="538DD5"/>
                            <w:noWrap/>
                            <w:vAlign w:val="center"/>
                            <w:hideMark/>
                          </w:tcPr>
                          <w:p w14:paraId="056809F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035347E3"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2CF98C4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7C88790E"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1A99146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412CE333" w14:textId="77777777" w:rsidTr="00F45C80">
                        <w:trPr>
                          <w:trHeight w:val="300"/>
                        </w:trPr>
                        <w:tc>
                          <w:tcPr>
                            <w:tcW w:w="3843" w:type="dxa"/>
                            <w:tcBorders>
                              <w:top w:val="nil"/>
                              <w:left w:val="single" w:sz="8" w:space="0" w:color="auto"/>
                              <w:bottom w:val="nil"/>
                              <w:right w:val="nil"/>
                            </w:tcBorders>
                            <w:shd w:val="clear" w:color="auto" w:fill="auto"/>
                            <w:noWrap/>
                            <w:vAlign w:val="center"/>
                            <w:hideMark/>
                          </w:tcPr>
                          <w:p w14:paraId="255431E2"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TVET Systems Specialist (Gender)</w:t>
                            </w:r>
                          </w:p>
                        </w:tc>
                        <w:tc>
                          <w:tcPr>
                            <w:tcW w:w="964" w:type="dxa"/>
                            <w:tcBorders>
                              <w:top w:val="nil"/>
                              <w:left w:val="single" w:sz="8" w:space="0" w:color="auto"/>
                              <w:bottom w:val="nil"/>
                              <w:right w:val="nil"/>
                            </w:tcBorders>
                            <w:shd w:val="clear" w:color="000000" w:fill="538DD5"/>
                            <w:noWrap/>
                            <w:vAlign w:val="center"/>
                            <w:hideMark/>
                          </w:tcPr>
                          <w:p w14:paraId="2A0A6D91"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auto" w:fill="auto"/>
                            <w:noWrap/>
                            <w:vAlign w:val="bottom"/>
                            <w:hideMark/>
                          </w:tcPr>
                          <w:p w14:paraId="6D1A0B92"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1B3ACD36"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nil"/>
                            </w:tcBorders>
                            <w:shd w:val="clear" w:color="auto" w:fill="auto"/>
                            <w:noWrap/>
                            <w:vAlign w:val="bottom"/>
                            <w:hideMark/>
                          </w:tcPr>
                          <w:p w14:paraId="39DF5D1F" w14:textId="77777777" w:rsidR="00E511EA" w:rsidRPr="00ED67BC" w:rsidRDefault="00E511EA" w:rsidP="00ED67BC">
                            <w:pPr>
                              <w:widowControl/>
                              <w:spacing w:before="0" w:after="0"/>
                              <w:jc w:val="center"/>
                              <w:rPr>
                                <w:rFonts w:ascii="Cambria" w:eastAsia="Times New Roman" w:hAnsi="Cambria" w:cs="Times New Roman"/>
                                <w:color w:val="000000"/>
                                <w:sz w:val="20"/>
                                <w:szCs w:val="20"/>
                                <w:lang w:val="en-AU" w:eastAsia="en-AU"/>
                              </w:rPr>
                            </w:pPr>
                          </w:p>
                        </w:tc>
                        <w:tc>
                          <w:tcPr>
                            <w:tcW w:w="964" w:type="dxa"/>
                            <w:tcBorders>
                              <w:top w:val="nil"/>
                              <w:left w:val="nil"/>
                              <w:bottom w:val="nil"/>
                              <w:right w:val="single" w:sz="8" w:space="0" w:color="auto"/>
                            </w:tcBorders>
                            <w:shd w:val="clear" w:color="auto" w:fill="auto"/>
                            <w:noWrap/>
                            <w:vAlign w:val="center"/>
                            <w:hideMark/>
                          </w:tcPr>
                          <w:p w14:paraId="49043332"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r>
                      <w:tr w:rsidR="00E511EA" w:rsidRPr="00ED67BC" w14:paraId="26FE728D" w14:textId="77777777" w:rsidTr="00F45C80">
                        <w:trPr>
                          <w:trHeight w:val="315"/>
                        </w:trPr>
                        <w:tc>
                          <w:tcPr>
                            <w:tcW w:w="3843" w:type="dxa"/>
                            <w:tcBorders>
                              <w:top w:val="nil"/>
                              <w:left w:val="single" w:sz="8" w:space="0" w:color="auto"/>
                              <w:bottom w:val="nil"/>
                              <w:right w:val="nil"/>
                            </w:tcBorders>
                            <w:shd w:val="clear" w:color="auto" w:fill="auto"/>
                            <w:noWrap/>
                            <w:vAlign w:val="center"/>
                            <w:hideMark/>
                          </w:tcPr>
                          <w:p w14:paraId="7214F3CA"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Cleaner</w:t>
                            </w:r>
                          </w:p>
                        </w:tc>
                        <w:tc>
                          <w:tcPr>
                            <w:tcW w:w="964" w:type="dxa"/>
                            <w:tcBorders>
                              <w:top w:val="nil"/>
                              <w:left w:val="single" w:sz="8" w:space="0" w:color="auto"/>
                              <w:bottom w:val="nil"/>
                              <w:right w:val="nil"/>
                            </w:tcBorders>
                            <w:shd w:val="clear" w:color="auto" w:fill="auto"/>
                            <w:noWrap/>
                            <w:vAlign w:val="center"/>
                            <w:hideMark/>
                          </w:tcPr>
                          <w:p w14:paraId="28D98B8A"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 </w:t>
                            </w:r>
                          </w:p>
                        </w:tc>
                        <w:tc>
                          <w:tcPr>
                            <w:tcW w:w="964" w:type="dxa"/>
                            <w:tcBorders>
                              <w:top w:val="nil"/>
                              <w:left w:val="nil"/>
                              <w:bottom w:val="nil"/>
                              <w:right w:val="nil"/>
                            </w:tcBorders>
                            <w:shd w:val="clear" w:color="000000" w:fill="FF33CC"/>
                            <w:noWrap/>
                            <w:vAlign w:val="center"/>
                            <w:hideMark/>
                          </w:tcPr>
                          <w:p w14:paraId="3CCAEA0D"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FF33CC"/>
                            <w:noWrap/>
                            <w:vAlign w:val="center"/>
                            <w:hideMark/>
                          </w:tcPr>
                          <w:p w14:paraId="4F81C20C"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nil"/>
                            </w:tcBorders>
                            <w:shd w:val="clear" w:color="000000" w:fill="FF33CC"/>
                            <w:noWrap/>
                            <w:vAlign w:val="center"/>
                            <w:hideMark/>
                          </w:tcPr>
                          <w:p w14:paraId="3FFE3195"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c>
                          <w:tcPr>
                            <w:tcW w:w="964" w:type="dxa"/>
                            <w:tcBorders>
                              <w:top w:val="nil"/>
                              <w:left w:val="nil"/>
                              <w:bottom w:val="nil"/>
                              <w:right w:val="single" w:sz="8" w:space="0" w:color="auto"/>
                            </w:tcBorders>
                            <w:shd w:val="clear" w:color="000000" w:fill="FF33CC"/>
                            <w:noWrap/>
                            <w:vAlign w:val="center"/>
                            <w:hideMark/>
                          </w:tcPr>
                          <w:p w14:paraId="15C0F833"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w:t>
                            </w:r>
                          </w:p>
                        </w:tc>
                      </w:tr>
                      <w:tr w:rsidR="00E511EA" w:rsidRPr="00ED67BC" w14:paraId="32F4A3E0" w14:textId="77777777" w:rsidTr="00F45C80">
                        <w:trPr>
                          <w:trHeight w:val="315"/>
                        </w:trPr>
                        <w:tc>
                          <w:tcPr>
                            <w:tcW w:w="3843" w:type="dxa"/>
                            <w:tcBorders>
                              <w:top w:val="single" w:sz="8" w:space="0" w:color="auto"/>
                              <w:left w:val="single" w:sz="8" w:space="0" w:color="auto"/>
                              <w:bottom w:val="single" w:sz="8" w:space="0" w:color="auto"/>
                              <w:right w:val="nil"/>
                            </w:tcBorders>
                            <w:shd w:val="clear" w:color="auto" w:fill="auto"/>
                            <w:noWrap/>
                            <w:vAlign w:val="center"/>
                            <w:hideMark/>
                          </w:tcPr>
                          <w:p w14:paraId="0A7D63A4" w14:textId="77777777" w:rsidR="00E511EA" w:rsidRPr="00ED67BC" w:rsidRDefault="00E511EA" w:rsidP="00ED67BC">
                            <w:pPr>
                              <w:widowControl/>
                              <w:spacing w:before="0" w:after="0"/>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Grand Total</w:t>
                            </w:r>
                          </w:p>
                        </w:tc>
                        <w:tc>
                          <w:tcPr>
                            <w:tcW w:w="964" w:type="dxa"/>
                            <w:tcBorders>
                              <w:top w:val="single" w:sz="8" w:space="0" w:color="auto"/>
                              <w:left w:val="single" w:sz="8" w:space="0" w:color="auto"/>
                              <w:bottom w:val="single" w:sz="8" w:space="0" w:color="auto"/>
                              <w:right w:val="nil"/>
                            </w:tcBorders>
                            <w:shd w:val="clear" w:color="auto" w:fill="auto"/>
                            <w:noWrap/>
                            <w:vAlign w:val="center"/>
                            <w:hideMark/>
                          </w:tcPr>
                          <w:p w14:paraId="07644AF2"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12</w:t>
                            </w:r>
                          </w:p>
                        </w:tc>
                        <w:tc>
                          <w:tcPr>
                            <w:tcW w:w="964" w:type="dxa"/>
                            <w:tcBorders>
                              <w:top w:val="single" w:sz="8" w:space="0" w:color="auto"/>
                              <w:left w:val="nil"/>
                              <w:bottom w:val="single" w:sz="8" w:space="0" w:color="auto"/>
                              <w:right w:val="nil"/>
                            </w:tcBorders>
                            <w:shd w:val="clear" w:color="auto" w:fill="auto"/>
                            <w:noWrap/>
                            <w:vAlign w:val="center"/>
                            <w:hideMark/>
                          </w:tcPr>
                          <w:p w14:paraId="2D9BDA84"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6</w:t>
                            </w:r>
                          </w:p>
                        </w:tc>
                        <w:tc>
                          <w:tcPr>
                            <w:tcW w:w="964" w:type="dxa"/>
                            <w:tcBorders>
                              <w:top w:val="single" w:sz="8" w:space="0" w:color="auto"/>
                              <w:left w:val="nil"/>
                              <w:bottom w:val="single" w:sz="8" w:space="0" w:color="auto"/>
                              <w:right w:val="nil"/>
                            </w:tcBorders>
                            <w:shd w:val="clear" w:color="auto" w:fill="auto"/>
                            <w:noWrap/>
                            <w:vAlign w:val="center"/>
                            <w:hideMark/>
                          </w:tcPr>
                          <w:p w14:paraId="4F1AC10F"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c>
                          <w:tcPr>
                            <w:tcW w:w="964" w:type="dxa"/>
                            <w:tcBorders>
                              <w:top w:val="single" w:sz="8" w:space="0" w:color="auto"/>
                              <w:left w:val="nil"/>
                              <w:bottom w:val="single" w:sz="8" w:space="0" w:color="auto"/>
                              <w:right w:val="nil"/>
                            </w:tcBorders>
                            <w:shd w:val="clear" w:color="auto" w:fill="auto"/>
                            <w:noWrap/>
                            <w:vAlign w:val="center"/>
                            <w:hideMark/>
                          </w:tcPr>
                          <w:p w14:paraId="506D44C0"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c>
                          <w:tcPr>
                            <w:tcW w:w="964" w:type="dxa"/>
                            <w:tcBorders>
                              <w:top w:val="single" w:sz="8" w:space="0" w:color="auto"/>
                              <w:left w:val="nil"/>
                              <w:bottom w:val="single" w:sz="8" w:space="0" w:color="auto"/>
                              <w:right w:val="single" w:sz="8" w:space="0" w:color="auto"/>
                            </w:tcBorders>
                            <w:shd w:val="clear" w:color="auto" w:fill="auto"/>
                            <w:noWrap/>
                            <w:vAlign w:val="center"/>
                            <w:hideMark/>
                          </w:tcPr>
                          <w:p w14:paraId="0AF34D99" w14:textId="77777777" w:rsidR="00E511EA" w:rsidRPr="00ED67BC" w:rsidRDefault="00E511EA" w:rsidP="00ED67BC">
                            <w:pPr>
                              <w:widowControl/>
                              <w:spacing w:before="0" w:after="0"/>
                              <w:jc w:val="center"/>
                              <w:rPr>
                                <w:rFonts w:eastAsia="Times New Roman" w:cs="Times New Roman"/>
                                <w:color w:val="000000"/>
                                <w:sz w:val="20"/>
                                <w:szCs w:val="20"/>
                                <w:lang w:val="en-AU" w:eastAsia="en-AU"/>
                              </w:rPr>
                            </w:pPr>
                            <w:r w:rsidRPr="00ED67BC">
                              <w:rPr>
                                <w:rFonts w:eastAsia="Times New Roman" w:cs="Times New Roman"/>
                                <w:color w:val="000000"/>
                                <w:sz w:val="20"/>
                                <w:szCs w:val="20"/>
                                <w:lang w:val="en-AU" w:eastAsia="en-AU"/>
                              </w:rPr>
                              <w:t>4</w:t>
                            </w:r>
                          </w:p>
                        </w:tc>
                      </w:tr>
                    </w:tbl>
                    <w:p w14:paraId="220BD2F1" w14:textId="38D5F6AC" w:rsidR="00E511EA" w:rsidRDefault="00E511EA"/>
                  </w:txbxContent>
                </v:textbox>
              </v:shape>
            </w:pict>
          </mc:Fallback>
        </mc:AlternateContent>
      </w:r>
      <w:r w:rsidRPr="00B10B58">
        <w:rPr>
          <w:u w:val="single"/>
        </w:rPr>
        <w:t>Table 5.1. Staff changes Phase 3 to Phase 4</w:t>
      </w:r>
    </w:p>
    <w:p w14:paraId="4274D1DC" w14:textId="77777777" w:rsidR="00B10B58" w:rsidRDefault="00B10B58" w:rsidP="0040376B">
      <w:pPr>
        <w:pStyle w:val="Heading3"/>
      </w:pPr>
    </w:p>
    <w:p w14:paraId="16A3B207" w14:textId="77777777" w:rsidR="00B10B58" w:rsidRDefault="00B10B58" w:rsidP="0040376B">
      <w:pPr>
        <w:pStyle w:val="Heading3"/>
      </w:pPr>
    </w:p>
    <w:p w14:paraId="20F16680" w14:textId="77777777" w:rsidR="00B10B58" w:rsidRDefault="00B10B58" w:rsidP="0040376B">
      <w:pPr>
        <w:pStyle w:val="Heading3"/>
      </w:pPr>
    </w:p>
    <w:p w14:paraId="67F5F990" w14:textId="77777777" w:rsidR="00B10B58" w:rsidRDefault="00B10B58" w:rsidP="0040376B">
      <w:pPr>
        <w:pStyle w:val="Heading3"/>
      </w:pPr>
    </w:p>
    <w:p w14:paraId="62740AF0" w14:textId="77777777" w:rsidR="00B10B58" w:rsidRDefault="00B10B58" w:rsidP="0040376B">
      <w:pPr>
        <w:pStyle w:val="Heading3"/>
      </w:pPr>
    </w:p>
    <w:p w14:paraId="18D47C2C" w14:textId="77777777" w:rsidR="00B10B58" w:rsidRDefault="00B10B58" w:rsidP="0040376B">
      <w:pPr>
        <w:pStyle w:val="Heading3"/>
      </w:pPr>
    </w:p>
    <w:p w14:paraId="2AAC5570" w14:textId="77777777" w:rsidR="00B10B58" w:rsidRDefault="00B10B58" w:rsidP="0040376B">
      <w:pPr>
        <w:pStyle w:val="Heading3"/>
      </w:pPr>
    </w:p>
    <w:p w14:paraId="30567F08" w14:textId="77777777" w:rsidR="00B10B58" w:rsidRDefault="00B10B58" w:rsidP="0040376B">
      <w:pPr>
        <w:pStyle w:val="Heading3"/>
      </w:pPr>
    </w:p>
    <w:p w14:paraId="01542B7A" w14:textId="77777777" w:rsidR="00B10B58" w:rsidRDefault="00B10B58" w:rsidP="0040376B">
      <w:pPr>
        <w:pStyle w:val="Heading3"/>
      </w:pPr>
    </w:p>
    <w:p w14:paraId="1514AB6F" w14:textId="77777777" w:rsidR="00B10B58" w:rsidRDefault="00B10B58" w:rsidP="0040376B">
      <w:pPr>
        <w:pStyle w:val="Heading3"/>
      </w:pPr>
    </w:p>
    <w:p w14:paraId="0E53C9A0" w14:textId="77777777" w:rsidR="00B10B58" w:rsidRDefault="00B10B58" w:rsidP="0040376B">
      <w:pPr>
        <w:pStyle w:val="Heading3"/>
      </w:pPr>
    </w:p>
    <w:p w14:paraId="3F6ACA5A" w14:textId="77777777" w:rsidR="00B10B58" w:rsidRDefault="00B10B58" w:rsidP="0040376B">
      <w:pPr>
        <w:pStyle w:val="Heading3"/>
      </w:pPr>
    </w:p>
    <w:p w14:paraId="7EE1C69E" w14:textId="77777777" w:rsidR="00B10B58" w:rsidRDefault="00B10B58" w:rsidP="0040376B">
      <w:pPr>
        <w:pStyle w:val="Heading3"/>
      </w:pPr>
    </w:p>
    <w:p w14:paraId="368D9921" w14:textId="77777777" w:rsidR="00B10B58" w:rsidRDefault="00B10B58" w:rsidP="0040376B">
      <w:pPr>
        <w:pStyle w:val="Heading3"/>
      </w:pPr>
    </w:p>
    <w:p w14:paraId="71385908" w14:textId="77777777" w:rsidR="00B10B58" w:rsidRDefault="00B10B58" w:rsidP="0040376B">
      <w:pPr>
        <w:pStyle w:val="Heading3"/>
      </w:pPr>
    </w:p>
    <w:p w14:paraId="19BC8424" w14:textId="77777777" w:rsidR="00B10B58" w:rsidRDefault="00B10B58" w:rsidP="0040376B">
      <w:pPr>
        <w:pStyle w:val="Heading3"/>
      </w:pPr>
    </w:p>
    <w:p w14:paraId="702612D8" w14:textId="77777777" w:rsidR="00B10B58" w:rsidRDefault="00B10B58" w:rsidP="0040376B">
      <w:pPr>
        <w:pStyle w:val="Heading3"/>
      </w:pPr>
    </w:p>
    <w:p w14:paraId="513E7EE8" w14:textId="77777777" w:rsidR="00B10B58" w:rsidRDefault="00B10B58" w:rsidP="0040376B">
      <w:pPr>
        <w:pStyle w:val="Heading3"/>
      </w:pPr>
    </w:p>
    <w:p w14:paraId="78426C18" w14:textId="293BDF27" w:rsidR="00D80A20" w:rsidRDefault="00D80A20" w:rsidP="0040376B">
      <w:pPr>
        <w:pStyle w:val="Heading3"/>
      </w:pPr>
      <w:r>
        <w:t xml:space="preserve">5.1.2. Independent contractors </w:t>
      </w:r>
    </w:p>
    <w:p w14:paraId="2739BCDF" w14:textId="1A5199D2" w:rsidR="00D80A20" w:rsidRDefault="00D80A20" w:rsidP="004248E6">
      <w:pPr>
        <w:pStyle w:val="ListParagraph"/>
        <w:numPr>
          <w:ilvl w:val="0"/>
          <w:numId w:val="21"/>
        </w:numPr>
      </w:pPr>
      <w:r>
        <w:t>Independent contracts are entered into with sub-contractors based on the requirements of the program and under the advice of the in country team and DFAT. The independent contract process is governed by BHI independent contractor process</w:t>
      </w:r>
      <w:r w:rsidR="00CF3D47">
        <w:t>.</w:t>
      </w:r>
    </w:p>
    <w:p w14:paraId="6D0F7D11" w14:textId="4786C0EA" w:rsidR="00D80A20" w:rsidRDefault="00D80A20" w:rsidP="004248E6">
      <w:pPr>
        <w:pStyle w:val="ListParagraph"/>
        <w:numPr>
          <w:ilvl w:val="0"/>
          <w:numId w:val="21"/>
        </w:numPr>
      </w:pPr>
      <w:r>
        <w:t>Independent contracts are written in line with the named positions in the head contract that specify input days and conditions. From time to time, variations to independent contracts are made based on the requirements that emerge from the budgeting and annual planning process. Any variation is made with endorsement from DFAT.</w:t>
      </w:r>
      <w:r w:rsidR="00616E1B">
        <w:t xml:space="preserve"> </w:t>
      </w:r>
    </w:p>
    <w:p w14:paraId="063DEF03" w14:textId="463B9D6F" w:rsidR="00D80A20" w:rsidRDefault="00D80A20" w:rsidP="0040376B">
      <w:pPr>
        <w:pStyle w:val="Heading3"/>
      </w:pPr>
      <w:r>
        <w:t xml:space="preserve">5.1.3. Staff welfare </w:t>
      </w:r>
    </w:p>
    <w:p w14:paraId="1107070E" w14:textId="49DC4CF2" w:rsidR="00D80A20" w:rsidRDefault="00D80A20" w:rsidP="004248E6">
      <w:pPr>
        <w:pStyle w:val="ListParagraph"/>
        <w:numPr>
          <w:ilvl w:val="0"/>
          <w:numId w:val="21"/>
        </w:numPr>
      </w:pPr>
      <w:r>
        <w:t xml:space="preserve">The welfare of staff is supported by the practices governed by individual work contracts. Following cyclone Pam, BHI made a payment to each staff member (from its management fee) to support employees through the rehabilitation and re-construction period. </w:t>
      </w:r>
    </w:p>
    <w:p w14:paraId="55A66A11" w14:textId="75B823B9" w:rsidR="00BD05EF" w:rsidRDefault="00D80A20" w:rsidP="0040376B">
      <w:pPr>
        <w:pStyle w:val="Heading3"/>
      </w:pPr>
      <w:r>
        <w:t xml:space="preserve">5.1.4. Workplace relations </w:t>
      </w:r>
    </w:p>
    <w:p w14:paraId="6C40010A" w14:textId="3C59E154" w:rsidR="00D80A20" w:rsidRDefault="00D80A20" w:rsidP="004248E6">
      <w:pPr>
        <w:pStyle w:val="ListParagraph"/>
        <w:numPr>
          <w:ilvl w:val="0"/>
          <w:numId w:val="21"/>
        </w:numPr>
      </w:pPr>
      <w:r>
        <w:t>Day to day management of the team is the responsibility of the in country leadership team. In circumstances of a breach of the staff code of conduct, BH</w:t>
      </w:r>
      <w:r w:rsidR="00616E1B">
        <w:t>I policies and procedures apply.</w:t>
      </w:r>
      <w:r>
        <w:t xml:space="preserve"> </w:t>
      </w:r>
    </w:p>
    <w:p w14:paraId="198C877B" w14:textId="2DAEA6F5" w:rsidR="006F72A3" w:rsidRDefault="00D80A20" w:rsidP="0040376B">
      <w:pPr>
        <w:pStyle w:val="ListParagraph"/>
        <w:numPr>
          <w:ilvl w:val="0"/>
          <w:numId w:val="21"/>
        </w:numPr>
      </w:pPr>
      <w:r>
        <w:t xml:space="preserve">Fraud management is assessed under the independent audit process. The Finance and Administration </w:t>
      </w:r>
      <w:r w:rsidR="00F350AB">
        <w:t xml:space="preserve">Manager </w:t>
      </w:r>
      <w:r>
        <w:t>reconciles cheques to receipts to identify anomalies in financial tracking. Guidelines for this process have been supplied in the form of a Financial Management Manual.</w:t>
      </w:r>
    </w:p>
    <w:p w14:paraId="3F363314" w14:textId="77777777" w:rsidR="00E77013" w:rsidRDefault="00683B84" w:rsidP="000E3D45">
      <w:pPr>
        <w:pStyle w:val="Heading2"/>
      </w:pPr>
      <w:bookmarkStart w:id="29" w:name="_Toc456600686"/>
      <w:r>
        <w:t>5</w:t>
      </w:r>
      <w:r w:rsidR="00E77013">
        <w:t>.2</w:t>
      </w:r>
      <w:r w:rsidR="00E77013">
        <w:tab/>
      </w:r>
      <w:r w:rsidR="00E77013">
        <w:tab/>
        <w:t>Information and Communications Technology</w:t>
      </w:r>
      <w:bookmarkEnd w:id="29"/>
    </w:p>
    <w:p w14:paraId="1D52655A" w14:textId="77777777" w:rsidR="00D80A20" w:rsidRDefault="00D80A20" w:rsidP="00D80A20">
      <w:r>
        <w:t xml:space="preserve">On commencement of Phase 3 of the ‘Vanuatu Technical and Vocational Education and Training Sector Strengthening Program’ a preliminary investigation of the TVET Offices in country was undertaken in April 2013 to assess the capability of </w:t>
      </w:r>
      <w:r w:rsidR="004920B8">
        <w:t xml:space="preserve">information and communication technology </w:t>
      </w:r>
      <w:r>
        <w:t xml:space="preserve">services in relation to Services Clause 3.3 of the contract, specifically: </w:t>
      </w:r>
    </w:p>
    <w:p w14:paraId="7D06F46D" w14:textId="77777777" w:rsidR="00BD05EF" w:rsidRDefault="00D80A20" w:rsidP="004248E6">
      <w:pPr>
        <w:pStyle w:val="ListParagraph"/>
        <w:numPr>
          <w:ilvl w:val="0"/>
          <w:numId w:val="24"/>
        </w:numPr>
      </w:pPr>
      <w:r>
        <w:t xml:space="preserve">establish and maintain an effective Program Office in Port Vila, which is sufficiently resourced (including security, logistics </w:t>
      </w:r>
      <w:r w:rsidR="005567FB">
        <w:t>and communications</w:t>
      </w:r>
      <w:r>
        <w:t>) and operate in accordance with appropriate administrative systems;</w:t>
      </w:r>
    </w:p>
    <w:p w14:paraId="0EDBE56C" w14:textId="77777777" w:rsidR="00BD05EF" w:rsidRDefault="00D80A20" w:rsidP="004248E6">
      <w:pPr>
        <w:pStyle w:val="ListParagraph"/>
        <w:numPr>
          <w:ilvl w:val="0"/>
          <w:numId w:val="24"/>
        </w:numPr>
      </w:pPr>
      <w:r>
        <w:t xml:space="preserve">establish and maintain effective TVET Centres in Sanma and Malampa provinces and other locations in Vanuatu to be agreed between </w:t>
      </w:r>
      <w:r w:rsidR="00AB00B0">
        <w:t>DFAT</w:t>
      </w:r>
      <w:r>
        <w:t xml:space="preserve"> and the GoV, which are sufficiently resourced (including security, logistics </w:t>
      </w:r>
      <w:r w:rsidR="005567FB">
        <w:t>and communications</w:t>
      </w:r>
      <w:r>
        <w:t>) and operate in accordance with appropriate administrative systems;</w:t>
      </w:r>
    </w:p>
    <w:p w14:paraId="24FD2266" w14:textId="77777777" w:rsidR="00D80A20" w:rsidRDefault="00D80A20" w:rsidP="004248E6">
      <w:pPr>
        <w:pStyle w:val="ListParagraph"/>
        <w:numPr>
          <w:ilvl w:val="0"/>
          <w:numId w:val="24"/>
        </w:numPr>
      </w:pPr>
      <w:r>
        <w:t>establish and maintain an information and communication technology system with necessary hardware and software to allow for effective communication between offices and personnel.</w:t>
      </w:r>
    </w:p>
    <w:p w14:paraId="1E1D6572" w14:textId="77777777" w:rsidR="00D80A20" w:rsidRDefault="00D80A20" w:rsidP="00D80A20">
      <w:r>
        <w:t xml:space="preserve">A summary of activity and deliverables as a result of the preliminary </w:t>
      </w:r>
      <w:r w:rsidR="00440E3A">
        <w:t>investigation in</w:t>
      </w:r>
      <w:r>
        <w:t xml:space="preserve"> April 2013 is outlined here:</w:t>
      </w:r>
    </w:p>
    <w:p w14:paraId="68C97757" w14:textId="77777777" w:rsidR="00D80A20" w:rsidRDefault="00D80A20" w:rsidP="00BD05EF">
      <w:r w:rsidRPr="00BD05EF">
        <w:rPr>
          <w:b/>
          <w:bCs/>
        </w:rPr>
        <w:t>1.</w:t>
      </w:r>
      <w:r w:rsidRPr="00BD05EF">
        <w:rPr>
          <w:rFonts w:ascii="Times New Roman" w:hAnsi="Times New Roman"/>
          <w:b/>
          <w:bCs/>
          <w:sz w:val="14"/>
          <w:szCs w:val="14"/>
        </w:rPr>
        <w:t xml:space="preserve">       </w:t>
      </w:r>
      <w:r w:rsidRPr="00BD05EF">
        <w:rPr>
          <w:b/>
          <w:bCs/>
        </w:rPr>
        <w:t>Initial Investigation results:</w:t>
      </w:r>
      <w:r>
        <w:t xml:space="preserve"> </w:t>
      </w:r>
    </w:p>
    <w:p w14:paraId="13F435E6" w14:textId="77777777" w:rsidR="00D80A20" w:rsidRDefault="00D80A20" w:rsidP="00D80A20">
      <w:r>
        <w:t>The investigation identified a number of observations, specifically:</w:t>
      </w:r>
    </w:p>
    <w:p w14:paraId="1AC4849C" w14:textId="77777777" w:rsidR="00D80A20" w:rsidRDefault="00D80A20" w:rsidP="0040376B">
      <w:pPr>
        <w:pStyle w:val="ListParagraph"/>
        <w:numPr>
          <w:ilvl w:val="0"/>
          <w:numId w:val="20"/>
        </w:numPr>
      </w:pPr>
      <w:r>
        <w:t>Overall the speed and functionality of internet services to the program was limited and presented a number of difficulties</w:t>
      </w:r>
      <w:r w:rsidR="004920B8">
        <w:t xml:space="preserve"> especially in Torba province</w:t>
      </w:r>
      <w:r>
        <w:t>.</w:t>
      </w:r>
      <w:r w:rsidR="004920B8">
        <w:t xml:space="preserve"> </w:t>
      </w:r>
      <w:r>
        <w:t xml:space="preserve"> </w:t>
      </w:r>
    </w:p>
    <w:p w14:paraId="0020162A" w14:textId="77777777" w:rsidR="00D80A20" w:rsidRDefault="00D80A20" w:rsidP="0040376B">
      <w:pPr>
        <w:pStyle w:val="ListParagraph"/>
        <w:numPr>
          <w:ilvl w:val="0"/>
          <w:numId w:val="20"/>
        </w:numPr>
      </w:pPr>
      <w:r>
        <w:t>Each office location had adequate structured cabling and client office equipment.</w:t>
      </w:r>
    </w:p>
    <w:p w14:paraId="69FEF34A" w14:textId="77777777" w:rsidR="00D80A20" w:rsidRDefault="00D80A20" w:rsidP="0040376B">
      <w:pPr>
        <w:pStyle w:val="ListParagraph"/>
        <w:numPr>
          <w:ilvl w:val="0"/>
          <w:numId w:val="20"/>
        </w:numPr>
      </w:pPr>
      <w:r>
        <w:t>File servers were located at each office but effective staff uptake of these systems was poor and data storage on these servers was inconsistent.</w:t>
      </w:r>
    </w:p>
    <w:p w14:paraId="74C85A43" w14:textId="77777777" w:rsidR="00D80A20" w:rsidRDefault="00D80A20" w:rsidP="0040376B">
      <w:pPr>
        <w:pStyle w:val="ListParagraph"/>
        <w:numPr>
          <w:ilvl w:val="0"/>
          <w:numId w:val="20"/>
        </w:numPr>
      </w:pPr>
      <w:r>
        <w:t>Data backup processes relied on practices undertaken on a location by location basis.</w:t>
      </w:r>
    </w:p>
    <w:p w14:paraId="30BF1008" w14:textId="77777777" w:rsidR="00F278FC" w:rsidRDefault="00D80A20" w:rsidP="003E2545">
      <w:r>
        <w:t>Webmail access provided the best means to manage email in light of internet connectivity in order to limit loss associated with download to local computers.</w:t>
      </w:r>
    </w:p>
    <w:p w14:paraId="1F2778F8" w14:textId="2CD6DAE0" w:rsidR="00D80A20" w:rsidRDefault="00D80A20" w:rsidP="003E2545">
      <w:r w:rsidRPr="003E2545">
        <w:rPr>
          <w:b/>
          <w:bCs/>
        </w:rPr>
        <w:t>2.</w:t>
      </w:r>
      <w:r w:rsidRPr="003E2545">
        <w:rPr>
          <w:rFonts w:ascii="Times New Roman" w:hAnsi="Times New Roman"/>
          <w:b/>
          <w:bCs/>
          <w:sz w:val="14"/>
          <w:szCs w:val="14"/>
        </w:rPr>
        <w:t xml:space="preserve">       </w:t>
      </w:r>
      <w:r w:rsidRPr="003E2545">
        <w:rPr>
          <w:b/>
          <w:bCs/>
        </w:rPr>
        <w:t>Indicative deliverables recommended as a result of initial investigation:</w:t>
      </w:r>
      <w:r>
        <w:t xml:space="preserve"> </w:t>
      </w:r>
    </w:p>
    <w:p w14:paraId="48589291" w14:textId="77777777" w:rsidR="00D80A20" w:rsidRDefault="00D80A20" w:rsidP="00D80A20">
      <w:r>
        <w:t>A set of functional IT requirements were subsequently developed aligned to the needs of the program, specifically:  </w:t>
      </w:r>
    </w:p>
    <w:p w14:paraId="08FBA1AA" w14:textId="77777777" w:rsidR="00D80A20" w:rsidRDefault="00D80A20" w:rsidP="00D80A20">
      <w:pPr>
        <w:rPr>
          <w:b/>
          <w:bCs/>
        </w:rPr>
      </w:pPr>
      <w:r>
        <w:rPr>
          <w:b/>
          <w:bCs/>
        </w:rPr>
        <w:t>Telecommunications Requirements</w:t>
      </w:r>
    </w:p>
    <w:p w14:paraId="3875BA32" w14:textId="77777777" w:rsidR="00D80A20" w:rsidRDefault="00D80A20" w:rsidP="003E2545">
      <w:pPr>
        <w:ind w:left="1080"/>
      </w:pPr>
      <w:r>
        <w:t>1.</w:t>
      </w:r>
      <w:r w:rsidRPr="003E2545">
        <w:rPr>
          <w:rFonts w:ascii="Times New Roman" w:hAnsi="Times New Roman"/>
          <w:sz w:val="14"/>
          <w:szCs w:val="14"/>
        </w:rPr>
        <w:t xml:space="preserve">       </w:t>
      </w:r>
      <w:r>
        <w:t>Connection to the TVET network at all program locations.</w:t>
      </w:r>
    </w:p>
    <w:p w14:paraId="1774D5ED" w14:textId="77777777" w:rsidR="00D80A20" w:rsidRDefault="00D80A20" w:rsidP="003E2545">
      <w:pPr>
        <w:ind w:left="1080"/>
      </w:pPr>
      <w:r>
        <w:t>2.</w:t>
      </w:r>
      <w:r w:rsidRPr="003E2545">
        <w:rPr>
          <w:rFonts w:ascii="Times New Roman" w:hAnsi="Times New Roman"/>
          <w:sz w:val="14"/>
          <w:szCs w:val="14"/>
        </w:rPr>
        <w:t xml:space="preserve">       </w:t>
      </w:r>
      <w:r>
        <w:t>Internet access to each location.</w:t>
      </w:r>
    </w:p>
    <w:p w14:paraId="783F9CB1" w14:textId="77777777" w:rsidR="00AB00B0" w:rsidRPr="00AB00B0" w:rsidRDefault="00D80A20" w:rsidP="00AB00B0">
      <w:pPr>
        <w:ind w:left="1080"/>
      </w:pPr>
      <w:r>
        <w:t>3.</w:t>
      </w:r>
      <w:r w:rsidRPr="00AB00B0">
        <w:t xml:space="preserve">       </w:t>
      </w:r>
      <w:r>
        <w:t xml:space="preserve">VoIP telephony to each </w:t>
      </w:r>
      <w:r w:rsidR="00AB00B0">
        <w:t>location</w:t>
      </w:r>
      <w:r w:rsidR="00AB00B0" w:rsidRPr="00AB00B0">
        <w:t xml:space="preserve"> </w:t>
      </w:r>
    </w:p>
    <w:p w14:paraId="3B6B29F6" w14:textId="77777777" w:rsidR="00D80A20" w:rsidRDefault="00AB00B0" w:rsidP="00D80A20">
      <w:pPr>
        <w:rPr>
          <w:b/>
          <w:bCs/>
        </w:rPr>
      </w:pPr>
      <w:r>
        <w:rPr>
          <w:b/>
          <w:bCs/>
        </w:rPr>
        <w:t>Network</w:t>
      </w:r>
      <w:r w:rsidR="00D80A20">
        <w:rPr>
          <w:b/>
          <w:bCs/>
        </w:rPr>
        <w:t xml:space="preserve"> Service Requirements - Managed Services</w:t>
      </w:r>
    </w:p>
    <w:p w14:paraId="19359F5B" w14:textId="77777777" w:rsidR="00D80A20" w:rsidRDefault="00D80A20" w:rsidP="005567FB">
      <w:pPr>
        <w:ind w:left="1080"/>
      </w:pPr>
      <w:r>
        <w:t>1.</w:t>
      </w:r>
      <w:r w:rsidRPr="005567FB">
        <w:rPr>
          <w:rFonts w:ascii="Times New Roman" w:hAnsi="Times New Roman"/>
          <w:sz w:val="14"/>
          <w:szCs w:val="14"/>
        </w:rPr>
        <w:t xml:space="preserve">       </w:t>
      </w:r>
      <w:r>
        <w:t>Centralised network accounts for all staff.</w:t>
      </w:r>
    </w:p>
    <w:p w14:paraId="392F297F" w14:textId="77777777" w:rsidR="00D80A20" w:rsidRDefault="00D80A20" w:rsidP="005567FB">
      <w:pPr>
        <w:ind w:left="1080"/>
      </w:pPr>
      <w:r>
        <w:t>2.</w:t>
      </w:r>
      <w:r w:rsidRPr="005567FB">
        <w:rPr>
          <w:rFonts w:ascii="Times New Roman" w:hAnsi="Times New Roman"/>
          <w:sz w:val="14"/>
          <w:szCs w:val="14"/>
        </w:rPr>
        <w:t xml:space="preserve">       </w:t>
      </w:r>
      <w:r>
        <w:t>Centralised email for all staff.</w:t>
      </w:r>
    </w:p>
    <w:p w14:paraId="6157B2E5" w14:textId="77777777" w:rsidR="00D80A20" w:rsidRDefault="00D80A20" w:rsidP="005567FB">
      <w:pPr>
        <w:ind w:left="1080"/>
      </w:pPr>
      <w:r>
        <w:t>3.</w:t>
      </w:r>
      <w:r w:rsidRPr="005567FB">
        <w:rPr>
          <w:rFonts w:ascii="Times New Roman" w:hAnsi="Times New Roman"/>
          <w:sz w:val="14"/>
          <w:szCs w:val="14"/>
        </w:rPr>
        <w:t xml:space="preserve">       </w:t>
      </w:r>
      <w:r>
        <w:t>Centralised shared printing for all staff.</w:t>
      </w:r>
    </w:p>
    <w:p w14:paraId="7C76D926" w14:textId="77777777" w:rsidR="00D80A20" w:rsidRDefault="00D80A20" w:rsidP="005567FB">
      <w:pPr>
        <w:ind w:left="1080"/>
      </w:pPr>
      <w:r>
        <w:t>4.</w:t>
      </w:r>
      <w:r w:rsidRPr="005567FB">
        <w:rPr>
          <w:rFonts w:ascii="Times New Roman" w:hAnsi="Times New Roman"/>
          <w:sz w:val="14"/>
          <w:szCs w:val="14"/>
        </w:rPr>
        <w:t xml:space="preserve">       </w:t>
      </w:r>
      <w:r>
        <w:t>Centralised individual and shared file storage.</w:t>
      </w:r>
    </w:p>
    <w:p w14:paraId="76757E76" w14:textId="77777777" w:rsidR="00D80A20" w:rsidRDefault="00D80A20" w:rsidP="005567FB">
      <w:pPr>
        <w:ind w:left="1080"/>
      </w:pPr>
      <w:r>
        <w:t>5.</w:t>
      </w:r>
      <w:r w:rsidRPr="005567FB">
        <w:rPr>
          <w:rFonts w:ascii="Times New Roman" w:hAnsi="Times New Roman"/>
          <w:sz w:val="14"/>
          <w:szCs w:val="14"/>
        </w:rPr>
        <w:t xml:space="preserve">       </w:t>
      </w:r>
      <w:r>
        <w:t>Centralised tiered backup of all program data.</w:t>
      </w:r>
    </w:p>
    <w:p w14:paraId="14817838" w14:textId="77777777" w:rsidR="00D80A20" w:rsidRDefault="00D80A20" w:rsidP="005567FB">
      <w:pPr>
        <w:ind w:left="1080"/>
      </w:pPr>
      <w:r>
        <w:t>6.</w:t>
      </w:r>
      <w:r w:rsidRPr="005567FB">
        <w:rPr>
          <w:rFonts w:ascii="Times New Roman" w:hAnsi="Times New Roman"/>
          <w:sz w:val="14"/>
          <w:szCs w:val="14"/>
        </w:rPr>
        <w:t xml:space="preserve">       </w:t>
      </w:r>
      <w:r>
        <w:t>Centralised Website hosting.</w:t>
      </w:r>
    </w:p>
    <w:p w14:paraId="45EDBFDB" w14:textId="77777777" w:rsidR="00EF44F1" w:rsidRDefault="00D80A20" w:rsidP="0040376B">
      <w:pPr>
        <w:ind w:left="1080"/>
      </w:pPr>
      <w:r>
        <w:t>7.</w:t>
      </w:r>
      <w:r w:rsidRPr="0040376B">
        <w:t>     </w:t>
      </w:r>
      <w:r>
        <w:t>Capacity to manage future Business Systems.</w:t>
      </w:r>
    </w:p>
    <w:p w14:paraId="4CE60149" w14:textId="77777777" w:rsidR="00D80A20" w:rsidRPr="00EF44F1" w:rsidRDefault="00D80A20" w:rsidP="00EF44F1">
      <w:r>
        <w:rPr>
          <w:b/>
          <w:bCs/>
        </w:rPr>
        <w:t>3.</w:t>
      </w:r>
      <w:r w:rsidR="00AB00B0">
        <w:rPr>
          <w:b/>
          <w:bCs/>
        </w:rPr>
        <w:tab/>
      </w:r>
      <w:r>
        <w:rPr>
          <w:b/>
          <w:bCs/>
        </w:rPr>
        <w:t>Vendor Comparison:</w:t>
      </w:r>
    </w:p>
    <w:p w14:paraId="690EC617" w14:textId="5F2617B3" w:rsidR="00EF44F1" w:rsidRDefault="00D80A20">
      <w:pPr>
        <w:widowControl/>
        <w:spacing w:before="0" w:after="0"/>
        <w:rPr>
          <w:sz w:val="20"/>
          <w:szCs w:val="20"/>
        </w:rPr>
      </w:pPr>
      <w:r>
        <w:t xml:space="preserve">These requirements were then subsequently presented to both commercial providers and </w:t>
      </w:r>
      <w:r w:rsidR="005567FB">
        <w:t xml:space="preserve">the Government of Vanuatu’s </w:t>
      </w:r>
      <w:r>
        <w:t>eGov</w:t>
      </w:r>
      <w:r w:rsidR="005567FB">
        <w:t xml:space="preserve"> network</w:t>
      </w:r>
      <w:r>
        <w:t>, in which their ability to meet the requirements were subsequently compared against the programs requirements, as illustrated in Figure 1 below:</w:t>
      </w:r>
    </w:p>
    <w:tbl>
      <w:tblPr>
        <w:tblW w:w="0" w:type="auto"/>
        <w:tblInd w:w="108" w:type="dxa"/>
        <w:tblCellMar>
          <w:left w:w="0" w:type="dxa"/>
          <w:right w:w="0" w:type="dxa"/>
        </w:tblCellMar>
        <w:tblLook w:val="04A0" w:firstRow="1" w:lastRow="0" w:firstColumn="1" w:lastColumn="0" w:noHBand="0" w:noVBand="1"/>
      </w:tblPr>
      <w:tblGrid>
        <w:gridCol w:w="3338"/>
        <w:gridCol w:w="3792"/>
        <w:gridCol w:w="714"/>
        <w:gridCol w:w="512"/>
        <w:gridCol w:w="638"/>
      </w:tblGrid>
      <w:tr w:rsidR="00591337" w14:paraId="73ED757C" w14:textId="77777777" w:rsidTr="00591337">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FBDE065" w14:textId="64BC715F" w:rsidR="00591337" w:rsidRPr="00585DA1" w:rsidRDefault="004248E6">
            <w:pPr>
              <w:rPr>
                <w:rFonts w:asciiTheme="majorHAnsi" w:eastAsiaTheme="minorHAnsi" w:hAnsiTheme="majorHAnsi"/>
                <w:sz w:val="20"/>
                <w:szCs w:val="20"/>
              </w:rPr>
            </w:pPr>
            <w:r>
              <w:rPr>
                <w:sz w:val="20"/>
                <w:szCs w:val="20"/>
              </w:rPr>
              <w:t xml:space="preserve">Figure </w:t>
            </w:r>
            <w:r>
              <w:rPr>
                <w:color w:val="1F497D"/>
                <w:sz w:val="20"/>
                <w:szCs w:val="20"/>
              </w:rPr>
              <w:t>1</w:t>
            </w:r>
            <w:r>
              <w:rPr>
                <w:sz w:val="20"/>
                <w:szCs w:val="20"/>
              </w:rPr>
              <w:t xml:space="preserve"> - TVET Program Requirements – Vendor Comparisons</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25674CF" w14:textId="77777777" w:rsidR="00591337" w:rsidRPr="00585DA1" w:rsidRDefault="00591337">
            <w:pPr>
              <w:rPr>
                <w:rFonts w:asciiTheme="majorHAnsi" w:eastAsiaTheme="minorHAnsi" w:hAnsiTheme="majorHAnsi"/>
                <w:sz w:val="20"/>
                <w:szCs w:val="20"/>
              </w:rPr>
            </w:pPr>
            <w:r w:rsidRPr="00585DA1">
              <w:rPr>
                <w:rFonts w:asciiTheme="majorHAnsi" w:hAnsiTheme="majorHAnsi"/>
                <w:sz w:val="20"/>
                <w:szCs w:val="20"/>
              </w:rPr>
              <w:t>TVET Program Requirements</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9CBF541" w14:textId="77777777" w:rsidR="00591337" w:rsidRPr="00585DA1" w:rsidRDefault="00591337">
            <w:pPr>
              <w:jc w:val="center"/>
              <w:rPr>
                <w:rFonts w:asciiTheme="majorHAnsi" w:eastAsiaTheme="minorHAnsi" w:hAnsiTheme="majorHAnsi"/>
                <w:sz w:val="20"/>
                <w:szCs w:val="20"/>
              </w:rPr>
            </w:pPr>
            <w:r w:rsidRPr="00585DA1">
              <w:rPr>
                <w:rFonts w:asciiTheme="majorHAnsi" w:hAnsiTheme="majorHAnsi"/>
                <w:sz w:val="20"/>
                <w:szCs w:val="20"/>
              </w:rPr>
              <w:t>TelSat</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08C8019" w14:textId="77777777" w:rsidR="00591337" w:rsidRPr="00585DA1" w:rsidRDefault="00591337">
            <w:pPr>
              <w:jc w:val="center"/>
              <w:rPr>
                <w:rFonts w:asciiTheme="majorHAnsi" w:eastAsiaTheme="minorHAnsi" w:hAnsiTheme="majorHAnsi"/>
                <w:sz w:val="20"/>
                <w:szCs w:val="20"/>
              </w:rPr>
            </w:pPr>
            <w:r w:rsidRPr="00585DA1">
              <w:rPr>
                <w:rFonts w:asciiTheme="majorHAnsi" w:hAnsiTheme="majorHAnsi"/>
                <w:sz w:val="20"/>
                <w:szCs w:val="20"/>
              </w:rPr>
              <w:t>TVL</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91B35D9" w14:textId="77777777" w:rsidR="00591337" w:rsidRPr="00585DA1" w:rsidRDefault="00591337">
            <w:pPr>
              <w:jc w:val="center"/>
              <w:rPr>
                <w:rFonts w:asciiTheme="majorHAnsi" w:eastAsiaTheme="minorHAnsi" w:hAnsiTheme="majorHAnsi"/>
                <w:sz w:val="20"/>
                <w:szCs w:val="20"/>
              </w:rPr>
            </w:pPr>
            <w:r w:rsidRPr="00585DA1">
              <w:rPr>
                <w:rFonts w:asciiTheme="majorHAnsi" w:hAnsiTheme="majorHAnsi"/>
                <w:sz w:val="20"/>
                <w:szCs w:val="20"/>
              </w:rPr>
              <w:t>eGov</w:t>
            </w:r>
          </w:p>
        </w:tc>
      </w:tr>
      <w:tr w:rsidR="00591337" w14:paraId="6F69F0A7" w14:textId="77777777" w:rsidTr="00591337">
        <w:tc>
          <w:tcPr>
            <w:tcW w:w="0" w:type="auto"/>
            <w:tcBorders>
              <w:top w:val="nil"/>
              <w:left w:val="single" w:sz="8" w:space="0" w:color="auto"/>
              <w:bottom w:val="single" w:sz="8" w:space="0" w:color="auto"/>
              <w:right w:val="single" w:sz="8" w:space="0" w:color="auto"/>
            </w:tcBorders>
            <w:shd w:val="clear" w:color="auto" w:fill="AEB51B"/>
            <w:tcMar>
              <w:top w:w="0" w:type="dxa"/>
              <w:left w:w="108" w:type="dxa"/>
              <w:bottom w:w="0" w:type="dxa"/>
              <w:right w:w="108" w:type="dxa"/>
            </w:tcMar>
          </w:tcPr>
          <w:p w14:paraId="77C103F7" w14:textId="77777777" w:rsidR="00591337" w:rsidRPr="00585DA1" w:rsidRDefault="00591337">
            <w:pPr>
              <w:rPr>
                <w:rFonts w:asciiTheme="majorHAnsi" w:eastAsiaTheme="minorHAnsi" w:hAnsiTheme="majorHAnsi"/>
                <w:sz w:val="20"/>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hideMark/>
          </w:tcPr>
          <w:p w14:paraId="42C2068D" w14:textId="77777777" w:rsidR="00591337" w:rsidRPr="00585DA1" w:rsidRDefault="00591337">
            <w:pPr>
              <w:rPr>
                <w:rFonts w:asciiTheme="majorHAnsi" w:eastAsiaTheme="minorHAnsi" w:hAnsiTheme="majorHAnsi"/>
                <w:sz w:val="20"/>
                <w:szCs w:val="20"/>
              </w:rPr>
            </w:pPr>
            <w:r w:rsidRPr="00585DA1">
              <w:rPr>
                <w:rFonts w:asciiTheme="majorHAnsi" w:hAnsiTheme="majorHAnsi"/>
                <w:sz w:val="20"/>
                <w:szCs w:val="20"/>
              </w:rPr>
              <w:t>Telecommunications  Services</w:t>
            </w: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288237C0" w14:textId="77777777" w:rsidR="00591337" w:rsidRPr="00585DA1" w:rsidRDefault="00591337">
            <w:pPr>
              <w:jc w:val="center"/>
              <w:rPr>
                <w:rFonts w:asciiTheme="majorHAnsi" w:eastAsiaTheme="minorHAnsi" w:hAnsiTheme="majorHAnsi"/>
                <w:sz w:val="20"/>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26A18323" w14:textId="77777777" w:rsidR="00591337" w:rsidRPr="00585DA1" w:rsidRDefault="00591337">
            <w:pPr>
              <w:jc w:val="center"/>
              <w:rPr>
                <w:rFonts w:asciiTheme="majorHAnsi" w:eastAsiaTheme="minorHAnsi" w:hAnsiTheme="majorHAnsi"/>
                <w:sz w:val="20"/>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1D30AD02" w14:textId="77777777" w:rsidR="00591337" w:rsidRPr="00585DA1" w:rsidRDefault="00591337">
            <w:pPr>
              <w:jc w:val="center"/>
              <w:rPr>
                <w:rFonts w:asciiTheme="majorHAnsi" w:eastAsiaTheme="minorHAnsi" w:hAnsiTheme="majorHAnsi"/>
                <w:sz w:val="20"/>
                <w:szCs w:val="20"/>
              </w:rPr>
            </w:pPr>
          </w:p>
        </w:tc>
      </w:tr>
      <w:tr w:rsidR="00591337" w14:paraId="58A74609"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22915"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2EF28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Connection to the eGov network at all program locations.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1C08F4"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904A89"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885811"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7EB24535"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6BA83"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9DF500"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Internet access to each location.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CCF0CB"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3E75E3"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3D4CA6"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0625BED3"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5F858"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E505A3"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VoIP telephony to each location.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16047F"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B76483"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97D07B"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68DB38C2" w14:textId="77777777" w:rsidTr="00591337">
        <w:tc>
          <w:tcPr>
            <w:tcW w:w="0" w:type="auto"/>
            <w:tcBorders>
              <w:top w:val="nil"/>
              <w:left w:val="single" w:sz="8" w:space="0" w:color="auto"/>
              <w:bottom w:val="single" w:sz="8" w:space="0" w:color="auto"/>
              <w:right w:val="single" w:sz="8" w:space="0" w:color="auto"/>
            </w:tcBorders>
            <w:shd w:val="clear" w:color="auto" w:fill="AEB51B"/>
            <w:tcMar>
              <w:top w:w="0" w:type="dxa"/>
              <w:left w:w="108" w:type="dxa"/>
              <w:bottom w:w="0" w:type="dxa"/>
              <w:right w:w="108" w:type="dxa"/>
            </w:tcMar>
          </w:tcPr>
          <w:p w14:paraId="71166AB5" w14:textId="77777777" w:rsidR="00591337" w:rsidRPr="00585DA1" w:rsidRDefault="00591337">
            <w:pPr>
              <w:pStyle w:val="NoSpacing"/>
              <w:rPr>
                <w:rFonts w:asciiTheme="majorHAnsi" w:hAnsiTheme="majorHAnsi"/>
                <w:color w:val="auto"/>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hideMark/>
          </w:tcPr>
          <w:p w14:paraId="04089B97"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Network Services</w:t>
            </w: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5945B0D1" w14:textId="77777777" w:rsidR="00591337" w:rsidRPr="00585DA1" w:rsidRDefault="00591337">
            <w:pPr>
              <w:pStyle w:val="NoSpacing"/>
              <w:jc w:val="center"/>
              <w:rPr>
                <w:rFonts w:asciiTheme="majorHAnsi" w:hAnsiTheme="majorHAnsi"/>
                <w:color w:val="auto"/>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619D2E45" w14:textId="77777777" w:rsidR="00591337" w:rsidRPr="00585DA1" w:rsidRDefault="00591337">
            <w:pPr>
              <w:pStyle w:val="NoSpacing"/>
              <w:jc w:val="center"/>
              <w:rPr>
                <w:rFonts w:asciiTheme="majorHAnsi" w:hAnsiTheme="majorHAnsi"/>
                <w:color w:val="auto"/>
                <w:szCs w:val="20"/>
              </w:rPr>
            </w:pPr>
          </w:p>
        </w:tc>
        <w:tc>
          <w:tcPr>
            <w:tcW w:w="0" w:type="auto"/>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6604FFEE" w14:textId="77777777" w:rsidR="00591337" w:rsidRPr="00585DA1" w:rsidRDefault="00591337">
            <w:pPr>
              <w:pStyle w:val="NoSpacing"/>
              <w:jc w:val="center"/>
              <w:rPr>
                <w:rFonts w:asciiTheme="majorHAnsi" w:hAnsiTheme="majorHAnsi"/>
                <w:color w:val="auto"/>
                <w:szCs w:val="20"/>
              </w:rPr>
            </w:pPr>
          </w:p>
        </w:tc>
      </w:tr>
      <w:tr w:rsidR="00591337" w14:paraId="460C52C1"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1D4883"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73A1DB"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network accounts for all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15275A"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93648A"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84C87E"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3195B9AA"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F8CC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599AB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email for all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92580B"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4882EC"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D38B59"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02FCD90B"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06A8D"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047B1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shared printing for all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F3E3D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78CD4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6807B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4E9A6B58"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F1B24"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610AF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individual and shared file storage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EFBE1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5C501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799D75"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34D703D7"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4E0A5"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FACCF7"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tiered backup of all program data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961452"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96598B"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F5F579"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19D4E68F"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B23A0"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5286C5"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Centralised Website hosting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08FEA4"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1DD9EE"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3E5F25"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2CE2F3BA" w14:textId="77777777" w:rsidTr="0059133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DC6CE"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N7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E091EC"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Capacity to manage future Business Systems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4AD058"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278FFE"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CBDCD0"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C</w:t>
            </w:r>
          </w:p>
        </w:tc>
      </w:tr>
      <w:tr w:rsidR="00591337" w14:paraId="14212F76" w14:textId="77777777" w:rsidTr="00591337">
        <w:tc>
          <w:tcPr>
            <w:tcW w:w="0" w:type="auto"/>
            <w:gridSpan w:val="2"/>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9ACEA15" w14:textId="77777777" w:rsidR="00591337" w:rsidRPr="00585DA1" w:rsidRDefault="00591337">
            <w:pPr>
              <w:pStyle w:val="NoSpacing"/>
              <w:rPr>
                <w:rFonts w:asciiTheme="majorHAnsi" w:hAnsiTheme="majorHAnsi"/>
                <w:color w:val="auto"/>
                <w:szCs w:val="20"/>
              </w:rPr>
            </w:pPr>
            <w:r w:rsidRPr="00585DA1">
              <w:rPr>
                <w:rFonts w:asciiTheme="majorHAnsi" w:hAnsiTheme="majorHAnsi"/>
                <w:color w:val="auto"/>
                <w:szCs w:val="20"/>
              </w:rPr>
              <w:t>Ranking</w:t>
            </w:r>
          </w:p>
        </w:tc>
        <w:tc>
          <w:tcPr>
            <w:tcW w:w="0" w:type="auto"/>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99CF45C"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N/A</w:t>
            </w:r>
          </w:p>
        </w:tc>
        <w:tc>
          <w:tcPr>
            <w:tcW w:w="0" w:type="auto"/>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55720E6"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2</w:t>
            </w:r>
          </w:p>
        </w:tc>
        <w:tc>
          <w:tcPr>
            <w:tcW w:w="0" w:type="auto"/>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A95E939" w14:textId="77777777" w:rsidR="00591337" w:rsidRPr="00585DA1" w:rsidRDefault="00591337">
            <w:pPr>
              <w:pStyle w:val="NoSpacing"/>
              <w:jc w:val="center"/>
              <w:rPr>
                <w:rFonts w:asciiTheme="majorHAnsi" w:hAnsiTheme="majorHAnsi"/>
                <w:color w:val="auto"/>
                <w:szCs w:val="20"/>
              </w:rPr>
            </w:pPr>
            <w:r w:rsidRPr="00585DA1">
              <w:rPr>
                <w:rFonts w:asciiTheme="majorHAnsi" w:hAnsiTheme="majorHAnsi"/>
                <w:color w:val="auto"/>
                <w:szCs w:val="20"/>
              </w:rPr>
              <w:t>1</w:t>
            </w:r>
          </w:p>
        </w:tc>
      </w:tr>
    </w:tbl>
    <w:p w14:paraId="58269017" w14:textId="77777777" w:rsidR="00EF44F1" w:rsidRPr="0026529D" w:rsidRDefault="00D80A20" w:rsidP="0040376B">
      <w:pPr>
        <w:jc w:val="both"/>
        <w:rPr>
          <w:rFonts w:eastAsiaTheme="minorHAnsi"/>
          <w:sz w:val="20"/>
          <w:szCs w:val="20"/>
        </w:rPr>
      </w:pPr>
      <w:r>
        <w:rPr>
          <w:sz w:val="20"/>
          <w:szCs w:val="20"/>
        </w:rPr>
        <w:t>NC – Non-compliant, C-Compliant</w:t>
      </w:r>
    </w:p>
    <w:p w14:paraId="0B8E1EB6" w14:textId="7D2659B4" w:rsidR="00AB00B0" w:rsidRDefault="0026529D" w:rsidP="00AB00B0">
      <w:r w:rsidRPr="0026529D">
        <w:rPr>
          <w:b/>
          <w:bCs/>
        </w:rPr>
        <w:t>4.</w:t>
      </w:r>
      <w:r>
        <w:rPr>
          <w:b/>
          <w:bCs/>
        </w:rPr>
        <w:tab/>
      </w:r>
      <w:r w:rsidR="00D80A20" w:rsidRPr="0026529D">
        <w:rPr>
          <w:b/>
          <w:bCs/>
        </w:rPr>
        <w:t xml:space="preserve">Vendor and deliverable confirmation: </w:t>
      </w:r>
      <w:r w:rsidR="00D80A20">
        <w:t>eGov was subsequently identified as best meeting the requirements of the program.  A letter of approval to proceed was presented to Mr Fred Samuel, Chief Information Officer, Office of the Government Chief Information Officer on July 2, 2013</w:t>
      </w:r>
      <w:r w:rsidR="00D80A20">
        <w:rPr>
          <w:color w:val="1F497D"/>
        </w:rPr>
        <w:t xml:space="preserve"> </w:t>
      </w:r>
      <w:r w:rsidR="00D80A20">
        <w:t>from Jesse Dick, Director General, Ministry of Education</w:t>
      </w:r>
      <w:r w:rsidR="00CF6D05">
        <w:t xml:space="preserve"> and Training</w:t>
      </w:r>
      <w:r w:rsidR="00D80A20">
        <w:t>. Works then proceeded to in</w:t>
      </w:r>
      <w:r w:rsidR="00041131">
        <w:t>t</w:t>
      </w:r>
      <w:r w:rsidR="00D80A20">
        <w:t xml:space="preserve">egrate the TVET Offices in Port Villa, Santo and </w:t>
      </w:r>
      <w:r w:rsidR="004248E6">
        <w:t>Malampa</w:t>
      </w:r>
      <w:r w:rsidR="00D80A20">
        <w:t>.</w:t>
      </w:r>
    </w:p>
    <w:p w14:paraId="663CDA59" w14:textId="77777777" w:rsidR="00AB00B0" w:rsidRPr="0026529D" w:rsidRDefault="0026529D" w:rsidP="0026529D">
      <w:pPr>
        <w:jc w:val="both"/>
        <w:rPr>
          <w:b/>
          <w:bCs/>
        </w:rPr>
      </w:pPr>
      <w:r w:rsidRPr="0026529D">
        <w:rPr>
          <w:b/>
          <w:bCs/>
        </w:rPr>
        <w:t>5.</w:t>
      </w:r>
      <w:r>
        <w:rPr>
          <w:b/>
          <w:bCs/>
        </w:rPr>
        <w:tab/>
      </w:r>
      <w:r w:rsidR="00D80A20" w:rsidRPr="0026529D">
        <w:rPr>
          <w:b/>
          <w:bCs/>
        </w:rPr>
        <w:t xml:space="preserve">Operational </w:t>
      </w:r>
      <w:r w:rsidR="00AB00B0" w:rsidRPr="0026529D">
        <w:rPr>
          <w:b/>
          <w:bCs/>
        </w:rPr>
        <w:t xml:space="preserve">Deliverables </w:t>
      </w:r>
    </w:p>
    <w:p w14:paraId="479164F1" w14:textId="77777777" w:rsidR="00AB00B0" w:rsidRDefault="00AB00B0" w:rsidP="00EF44F1">
      <w:r>
        <w:t>Following</w:t>
      </w:r>
      <w:r w:rsidR="00D80A20">
        <w:t xml:space="preserve"> the initial rollout of eGov services works proceed</w:t>
      </w:r>
      <w:r w:rsidR="00041131">
        <w:t>ed</w:t>
      </w:r>
      <w:r w:rsidR="00D80A20">
        <w:t xml:space="preserve"> to align systems and processes with eGov and maintain ongoing technical operations for the </w:t>
      </w:r>
      <w:r w:rsidR="00900F6B">
        <w:t>P</w:t>
      </w:r>
      <w:r w:rsidR="00D80A20">
        <w:t>rogram.</w:t>
      </w:r>
    </w:p>
    <w:p w14:paraId="2FDA5EDF" w14:textId="77777777" w:rsidR="00AB00B0" w:rsidRDefault="00D80A20" w:rsidP="00AB00B0">
      <w:pPr>
        <w:rPr>
          <w:b/>
        </w:rPr>
      </w:pPr>
      <w:r w:rsidRPr="00EF44F1">
        <w:rPr>
          <w:b/>
        </w:rPr>
        <w:t>Key Features included</w:t>
      </w:r>
      <w:r w:rsidR="00900F6B">
        <w:rPr>
          <w:b/>
        </w:rPr>
        <w:t>:</w:t>
      </w:r>
    </w:p>
    <w:p w14:paraId="67766B60" w14:textId="77777777" w:rsidR="003E2545" w:rsidRDefault="00D80A20" w:rsidP="00AB00B0">
      <w:pPr>
        <w:pStyle w:val="ListParagraph"/>
        <w:numPr>
          <w:ilvl w:val="0"/>
          <w:numId w:val="20"/>
        </w:numPr>
      </w:pPr>
      <w:r>
        <w:t xml:space="preserve">Design and development of an ICT Service Delivery Framework (SDF) </w:t>
      </w:r>
    </w:p>
    <w:p w14:paraId="45021DF6" w14:textId="77777777" w:rsidR="003E2545" w:rsidRDefault="00D80A20" w:rsidP="0040376B">
      <w:pPr>
        <w:pStyle w:val="ListParagraph"/>
        <w:numPr>
          <w:ilvl w:val="0"/>
          <w:numId w:val="20"/>
        </w:numPr>
      </w:pPr>
      <w:r>
        <w:t>User documentation for common ICT services</w:t>
      </w:r>
      <w:r w:rsidR="00440E3A">
        <w:t xml:space="preserve"> </w:t>
      </w:r>
      <w:r>
        <w:t xml:space="preserve">TVET </w:t>
      </w:r>
    </w:p>
    <w:p w14:paraId="7D444945" w14:textId="77777777" w:rsidR="003E2545" w:rsidRDefault="00D80A20" w:rsidP="0040376B">
      <w:pPr>
        <w:pStyle w:val="ListParagraph"/>
        <w:numPr>
          <w:ilvl w:val="0"/>
          <w:numId w:val="20"/>
        </w:numPr>
      </w:pPr>
      <w:r>
        <w:t>ICT Policy Procedures and Forms</w:t>
      </w:r>
      <w:r w:rsidR="003E2545">
        <w:t xml:space="preserve"> </w:t>
      </w:r>
    </w:p>
    <w:p w14:paraId="3FBBD347" w14:textId="77777777" w:rsidR="003E2545" w:rsidRDefault="00D80A20" w:rsidP="0040376B">
      <w:pPr>
        <w:pStyle w:val="ListParagraph"/>
        <w:numPr>
          <w:ilvl w:val="0"/>
          <w:numId w:val="20"/>
        </w:numPr>
      </w:pPr>
      <w:r>
        <w:t>Appointment of an IT Support Officer</w:t>
      </w:r>
    </w:p>
    <w:p w14:paraId="23A52456" w14:textId="77777777" w:rsidR="003E2545" w:rsidRPr="003E2545" w:rsidRDefault="00D80A20" w:rsidP="0040376B">
      <w:pPr>
        <w:pStyle w:val="ListParagraph"/>
        <w:numPr>
          <w:ilvl w:val="0"/>
          <w:numId w:val="20"/>
        </w:numPr>
      </w:pPr>
      <w:r>
        <w:t xml:space="preserve">Established new operational processes and procedures with eGov to accommodate TVET specific requirements. </w:t>
      </w:r>
      <w:r w:rsidRPr="0040376B">
        <w:t xml:space="preserve"> </w:t>
      </w:r>
    </w:p>
    <w:p w14:paraId="116FAD0B" w14:textId="77777777" w:rsidR="003E2545" w:rsidRPr="003E2545" w:rsidRDefault="00D80A20" w:rsidP="0040376B">
      <w:pPr>
        <w:pStyle w:val="ListParagraph"/>
        <w:numPr>
          <w:ilvl w:val="0"/>
          <w:numId w:val="20"/>
        </w:numPr>
      </w:pPr>
      <w:r>
        <w:t>Inducted the Service Delivery Framework to all Centre managers in Country.</w:t>
      </w:r>
      <w:r w:rsidRPr="0040376B">
        <w:t xml:space="preserve"> </w:t>
      </w:r>
    </w:p>
    <w:p w14:paraId="044E4283" w14:textId="77777777" w:rsidR="003E2545" w:rsidRPr="003E2545" w:rsidRDefault="00D80A20" w:rsidP="0040376B">
      <w:pPr>
        <w:pStyle w:val="ListParagraph"/>
        <w:numPr>
          <w:ilvl w:val="0"/>
          <w:numId w:val="20"/>
        </w:numPr>
      </w:pPr>
      <w:r>
        <w:t>User provisioning process and forms</w:t>
      </w:r>
      <w:r w:rsidR="003E2545">
        <w:t xml:space="preserve"> </w:t>
      </w:r>
      <w:r w:rsidRPr="0040376B">
        <w:t xml:space="preserve"> </w:t>
      </w:r>
    </w:p>
    <w:p w14:paraId="495A41F4" w14:textId="77777777" w:rsidR="003E2545" w:rsidRPr="003E2545" w:rsidRDefault="00D80A20" w:rsidP="0040376B">
      <w:pPr>
        <w:pStyle w:val="ListParagraph"/>
        <w:numPr>
          <w:ilvl w:val="0"/>
          <w:numId w:val="20"/>
        </w:numPr>
      </w:pPr>
      <w:r>
        <w:t>User internet access, email access, shared folder access process and manuals</w:t>
      </w:r>
      <w:r w:rsidRPr="0040376B">
        <w:t xml:space="preserve"> </w:t>
      </w:r>
    </w:p>
    <w:p w14:paraId="26A1077B" w14:textId="77777777" w:rsidR="003E2545" w:rsidRDefault="00D80A20" w:rsidP="0040376B">
      <w:pPr>
        <w:pStyle w:val="ListParagraph"/>
        <w:numPr>
          <w:ilvl w:val="0"/>
          <w:numId w:val="20"/>
        </w:numPr>
      </w:pPr>
      <w:r>
        <w:t>Procurement process and forms</w:t>
      </w:r>
    </w:p>
    <w:p w14:paraId="0AA8CB5C" w14:textId="77777777" w:rsidR="003E2545" w:rsidRDefault="00D80A20" w:rsidP="0040376B">
      <w:pPr>
        <w:pStyle w:val="ListParagraph"/>
        <w:numPr>
          <w:ilvl w:val="0"/>
          <w:numId w:val="20"/>
        </w:numPr>
      </w:pPr>
      <w:r>
        <w:t>Communication with upstream eGov points of interconnection</w:t>
      </w:r>
    </w:p>
    <w:p w14:paraId="088E3B74" w14:textId="77777777" w:rsidR="003E2545" w:rsidRDefault="00D80A20" w:rsidP="0040376B">
      <w:pPr>
        <w:pStyle w:val="ListParagraph"/>
        <w:numPr>
          <w:ilvl w:val="0"/>
          <w:numId w:val="20"/>
        </w:numPr>
      </w:pPr>
      <w:r>
        <w:t>Established communication of network outages and major incidents</w:t>
      </w:r>
    </w:p>
    <w:p w14:paraId="538B7900" w14:textId="77777777" w:rsidR="003E2545" w:rsidRDefault="00D80A20" w:rsidP="0040376B">
      <w:pPr>
        <w:pStyle w:val="ListParagraph"/>
        <w:numPr>
          <w:ilvl w:val="0"/>
          <w:numId w:val="20"/>
        </w:numPr>
      </w:pPr>
      <w:r>
        <w:t>Established escalation process and opened communication channels between TVET Centre Managers and eGov</w:t>
      </w:r>
    </w:p>
    <w:p w14:paraId="28ADE71E" w14:textId="77777777" w:rsidR="00D80A20" w:rsidRDefault="00D80A20" w:rsidP="0040376B">
      <w:pPr>
        <w:pStyle w:val="ListParagraph"/>
        <w:numPr>
          <w:ilvl w:val="0"/>
          <w:numId w:val="20"/>
        </w:numPr>
      </w:pPr>
      <w:r w:rsidRPr="0040376B">
        <w:t xml:space="preserve"> </w:t>
      </w:r>
      <w:r>
        <w:t>Improved ICT Infrastructure, specifically</w:t>
      </w:r>
      <w:r w:rsidR="00927B32">
        <w:t>:</w:t>
      </w:r>
    </w:p>
    <w:p w14:paraId="328835E0" w14:textId="77777777" w:rsidR="00D80A20" w:rsidRDefault="00D80A20" w:rsidP="00927B32">
      <w:pPr>
        <w:pStyle w:val="ListParagraph"/>
        <w:numPr>
          <w:ilvl w:val="1"/>
          <w:numId w:val="18"/>
        </w:numPr>
      </w:pPr>
      <w:r>
        <w:t>Cutover TVET to eGov network services (VANGOV) including rollout of high speed Optical Fibre in Santo</w:t>
      </w:r>
    </w:p>
    <w:p w14:paraId="2E87B342" w14:textId="77777777" w:rsidR="00D80A20" w:rsidRDefault="00D80A20" w:rsidP="00927B32">
      <w:pPr>
        <w:pStyle w:val="ListParagraph"/>
        <w:numPr>
          <w:ilvl w:val="1"/>
          <w:numId w:val="18"/>
        </w:numPr>
      </w:pPr>
      <w:r w:rsidRPr="00927B32">
        <w:t xml:space="preserve"> </w:t>
      </w:r>
      <w:r>
        <w:t>Implementation of eGov VoIP telephony across all Centres</w:t>
      </w:r>
    </w:p>
    <w:p w14:paraId="26F4BF7F" w14:textId="77777777" w:rsidR="00D80A20" w:rsidRDefault="00D80A20" w:rsidP="00927B32">
      <w:pPr>
        <w:pStyle w:val="ListParagraph"/>
        <w:numPr>
          <w:ilvl w:val="1"/>
          <w:numId w:val="18"/>
        </w:numPr>
      </w:pPr>
      <w:r w:rsidRPr="00927B32">
        <w:t xml:space="preserve"> </w:t>
      </w:r>
      <w:r>
        <w:t xml:space="preserve">Introduction of centralised document management </w:t>
      </w:r>
    </w:p>
    <w:p w14:paraId="166340C8" w14:textId="77777777" w:rsidR="00D80A20" w:rsidRDefault="00D80A20" w:rsidP="00927B32">
      <w:pPr>
        <w:pStyle w:val="ListParagraph"/>
        <w:numPr>
          <w:ilvl w:val="1"/>
          <w:numId w:val="18"/>
        </w:numPr>
      </w:pPr>
      <w:r w:rsidRPr="00927B32">
        <w:t xml:space="preserve"> </w:t>
      </w:r>
      <w:r>
        <w:t>Improved wireless infrastructure and network connectivity through open communication between TVET ICT and eGov</w:t>
      </w:r>
    </w:p>
    <w:p w14:paraId="78B903BB" w14:textId="77777777" w:rsidR="00D80A20" w:rsidRDefault="00D80A20" w:rsidP="00927B32">
      <w:pPr>
        <w:pStyle w:val="ListParagraph"/>
        <w:numPr>
          <w:ilvl w:val="1"/>
          <w:numId w:val="18"/>
        </w:numPr>
      </w:pPr>
      <w:r w:rsidRPr="00927B32">
        <w:t xml:space="preserve"> </w:t>
      </w:r>
      <w:r>
        <w:t>Introduction of standardised TVL Calling Circle for TVET mobile services.</w:t>
      </w:r>
    </w:p>
    <w:p w14:paraId="6CD11D49" w14:textId="77777777" w:rsidR="00D80A20" w:rsidRDefault="00D80A20" w:rsidP="00D80A20">
      <w:pPr>
        <w:pStyle w:val="ListParagraph"/>
        <w:numPr>
          <w:ilvl w:val="1"/>
          <w:numId w:val="18"/>
        </w:numPr>
      </w:pPr>
      <w:r w:rsidRPr="00927B32">
        <w:t xml:space="preserve"> </w:t>
      </w:r>
      <w:r>
        <w:t>Introduced Standard Operating Environment for Staff End user Computing</w:t>
      </w:r>
    </w:p>
    <w:p w14:paraId="2D5D5934" w14:textId="7235ABC6" w:rsidR="00D80A20" w:rsidRPr="0026529D" w:rsidRDefault="0026529D" w:rsidP="0026529D">
      <w:pPr>
        <w:jc w:val="both"/>
        <w:rPr>
          <w:b/>
          <w:bCs/>
        </w:rPr>
      </w:pPr>
      <w:r w:rsidRPr="0026529D">
        <w:rPr>
          <w:b/>
          <w:bCs/>
        </w:rPr>
        <w:t>6.</w:t>
      </w:r>
      <w:r w:rsidRPr="0026529D">
        <w:rPr>
          <w:b/>
          <w:bCs/>
        </w:rPr>
        <w:tab/>
      </w:r>
      <w:r w:rsidR="00D80A20" w:rsidRPr="0026529D">
        <w:rPr>
          <w:b/>
          <w:bCs/>
        </w:rPr>
        <w:t>Work Completion Summary</w:t>
      </w:r>
    </w:p>
    <w:p w14:paraId="7133F814" w14:textId="77777777" w:rsidR="00D80A20" w:rsidRDefault="00D80A20" w:rsidP="00D80A20">
      <w:r>
        <w:t>On completion of contract the majority of services were transitioned to eGov, a</w:t>
      </w:r>
      <w:r w:rsidR="00585DA1">
        <w:t xml:space="preserve">s outlined in the table below. </w:t>
      </w:r>
    </w:p>
    <w:tbl>
      <w:tblPr>
        <w:tblW w:w="9039" w:type="dxa"/>
        <w:tblCellMar>
          <w:left w:w="0" w:type="dxa"/>
          <w:right w:w="0" w:type="dxa"/>
        </w:tblCellMar>
        <w:tblLook w:val="04A0" w:firstRow="1" w:lastRow="0" w:firstColumn="1" w:lastColumn="0" w:noHBand="0" w:noVBand="1"/>
      </w:tblPr>
      <w:tblGrid>
        <w:gridCol w:w="464"/>
        <w:gridCol w:w="2905"/>
        <w:gridCol w:w="1559"/>
        <w:gridCol w:w="4111"/>
      </w:tblGrid>
      <w:tr w:rsidR="00D80A20" w14:paraId="4376253A" w14:textId="77777777" w:rsidTr="00B15B4D">
        <w:tc>
          <w:tcPr>
            <w:tcW w:w="4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1C10F73" w14:textId="77777777" w:rsidR="00D80A20" w:rsidRPr="00585DA1" w:rsidRDefault="00D80A20">
            <w:pPr>
              <w:rPr>
                <w:rFonts w:asciiTheme="majorHAnsi" w:eastAsiaTheme="minorHAnsi" w:hAnsiTheme="majorHAnsi"/>
                <w:sz w:val="20"/>
                <w:szCs w:val="20"/>
              </w:rPr>
            </w:pPr>
          </w:p>
        </w:tc>
        <w:tc>
          <w:tcPr>
            <w:tcW w:w="29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67A961B" w14:textId="77777777" w:rsidR="00D80A20" w:rsidRPr="00585DA1" w:rsidRDefault="00D80A20">
            <w:pPr>
              <w:rPr>
                <w:rFonts w:asciiTheme="majorHAnsi" w:eastAsiaTheme="minorHAnsi" w:hAnsiTheme="majorHAnsi"/>
                <w:sz w:val="20"/>
                <w:szCs w:val="20"/>
              </w:rPr>
            </w:pPr>
            <w:r w:rsidRPr="00585DA1">
              <w:rPr>
                <w:rFonts w:asciiTheme="majorHAnsi" w:hAnsiTheme="majorHAnsi"/>
                <w:sz w:val="20"/>
                <w:szCs w:val="20"/>
              </w:rPr>
              <w:t>Service Offering</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7DD4FDD" w14:textId="77777777" w:rsidR="00D80A20" w:rsidRPr="00585DA1" w:rsidRDefault="00D80A20">
            <w:pPr>
              <w:rPr>
                <w:rFonts w:asciiTheme="majorHAnsi" w:eastAsiaTheme="minorHAnsi" w:hAnsiTheme="majorHAnsi"/>
                <w:sz w:val="20"/>
                <w:szCs w:val="20"/>
              </w:rPr>
            </w:pPr>
            <w:r w:rsidRPr="00585DA1">
              <w:rPr>
                <w:rFonts w:asciiTheme="majorHAnsi" w:hAnsiTheme="majorHAnsi"/>
                <w:sz w:val="20"/>
                <w:szCs w:val="20"/>
              </w:rPr>
              <w:t>Status</w:t>
            </w:r>
          </w:p>
        </w:tc>
        <w:tc>
          <w:tcPr>
            <w:tcW w:w="411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04DCB1F" w14:textId="77777777" w:rsidR="00D80A20" w:rsidRPr="00585DA1" w:rsidRDefault="00D80A20">
            <w:pPr>
              <w:rPr>
                <w:rFonts w:asciiTheme="majorHAnsi" w:eastAsiaTheme="minorHAnsi" w:hAnsiTheme="majorHAnsi"/>
                <w:sz w:val="20"/>
                <w:szCs w:val="20"/>
              </w:rPr>
            </w:pPr>
            <w:r w:rsidRPr="00585DA1">
              <w:rPr>
                <w:rFonts w:asciiTheme="majorHAnsi" w:hAnsiTheme="majorHAnsi"/>
                <w:sz w:val="20"/>
                <w:szCs w:val="20"/>
              </w:rPr>
              <w:t>Comments</w:t>
            </w:r>
          </w:p>
        </w:tc>
      </w:tr>
      <w:tr w:rsidR="00D80A20" w14:paraId="0BB7ED12" w14:textId="77777777" w:rsidTr="00B15B4D">
        <w:tc>
          <w:tcPr>
            <w:tcW w:w="464" w:type="dxa"/>
            <w:tcBorders>
              <w:top w:val="nil"/>
              <w:left w:val="single" w:sz="8" w:space="0" w:color="auto"/>
              <w:bottom w:val="single" w:sz="8" w:space="0" w:color="auto"/>
              <w:right w:val="single" w:sz="8" w:space="0" w:color="auto"/>
            </w:tcBorders>
            <w:shd w:val="clear" w:color="auto" w:fill="AEB51B"/>
            <w:tcMar>
              <w:top w:w="0" w:type="dxa"/>
              <w:left w:w="108" w:type="dxa"/>
              <w:bottom w:w="0" w:type="dxa"/>
              <w:right w:w="108" w:type="dxa"/>
            </w:tcMar>
          </w:tcPr>
          <w:p w14:paraId="267EE80F" w14:textId="77777777" w:rsidR="00D80A20" w:rsidRPr="00585DA1" w:rsidRDefault="00D80A20">
            <w:pPr>
              <w:rPr>
                <w:rFonts w:asciiTheme="majorHAnsi" w:eastAsiaTheme="minorHAnsi" w:hAnsiTheme="majorHAnsi"/>
                <w:sz w:val="20"/>
                <w:szCs w:val="20"/>
              </w:rPr>
            </w:pPr>
          </w:p>
        </w:tc>
        <w:tc>
          <w:tcPr>
            <w:tcW w:w="2905" w:type="dxa"/>
            <w:tcBorders>
              <w:top w:val="nil"/>
              <w:left w:val="nil"/>
              <w:bottom w:val="single" w:sz="8" w:space="0" w:color="auto"/>
              <w:right w:val="single" w:sz="8" w:space="0" w:color="auto"/>
            </w:tcBorders>
            <w:shd w:val="clear" w:color="auto" w:fill="AEB51B"/>
            <w:tcMar>
              <w:top w:w="0" w:type="dxa"/>
              <w:left w:w="108" w:type="dxa"/>
              <w:bottom w:w="0" w:type="dxa"/>
              <w:right w:w="108" w:type="dxa"/>
            </w:tcMar>
            <w:hideMark/>
          </w:tcPr>
          <w:p w14:paraId="6D993BF9" w14:textId="77777777" w:rsidR="00D80A20" w:rsidRPr="00585DA1" w:rsidRDefault="00585DA1">
            <w:pPr>
              <w:rPr>
                <w:rFonts w:asciiTheme="majorHAnsi" w:eastAsiaTheme="minorHAnsi" w:hAnsiTheme="majorHAnsi"/>
                <w:sz w:val="20"/>
                <w:szCs w:val="20"/>
              </w:rPr>
            </w:pPr>
            <w:r w:rsidRPr="00585DA1">
              <w:rPr>
                <w:rFonts w:asciiTheme="majorHAnsi" w:hAnsiTheme="majorHAnsi"/>
                <w:sz w:val="20"/>
                <w:szCs w:val="20"/>
              </w:rPr>
              <w:t>Telecommunications Services</w:t>
            </w:r>
          </w:p>
        </w:tc>
        <w:tc>
          <w:tcPr>
            <w:tcW w:w="1559" w:type="dxa"/>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2A9EA5F6" w14:textId="77777777" w:rsidR="00D80A20" w:rsidRPr="00585DA1" w:rsidRDefault="00D80A20">
            <w:pPr>
              <w:rPr>
                <w:rFonts w:asciiTheme="majorHAnsi" w:eastAsiaTheme="minorHAnsi" w:hAnsiTheme="majorHAnsi"/>
                <w:sz w:val="20"/>
                <w:szCs w:val="20"/>
              </w:rPr>
            </w:pPr>
          </w:p>
        </w:tc>
        <w:tc>
          <w:tcPr>
            <w:tcW w:w="4111" w:type="dxa"/>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2351946D" w14:textId="77777777" w:rsidR="00D80A20" w:rsidRPr="00585DA1" w:rsidRDefault="00D80A20">
            <w:pPr>
              <w:rPr>
                <w:rFonts w:asciiTheme="majorHAnsi" w:eastAsiaTheme="minorHAnsi" w:hAnsiTheme="majorHAnsi"/>
                <w:sz w:val="20"/>
                <w:szCs w:val="20"/>
              </w:rPr>
            </w:pPr>
          </w:p>
        </w:tc>
      </w:tr>
      <w:tr w:rsidR="00D80A20" w14:paraId="299A5CA5"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A0E8C5B"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T1</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B2B371C"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Connection to the eGov network at all program locations.</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3EDDB8E"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0C9AC6"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 xml:space="preserve">All TVET Locations connected to eGov </w:t>
            </w:r>
            <w:r w:rsidR="00585DA1" w:rsidRPr="00585DA1">
              <w:rPr>
                <w:rFonts w:asciiTheme="majorHAnsi" w:hAnsiTheme="majorHAnsi"/>
                <w:color w:val="auto"/>
                <w:szCs w:val="20"/>
              </w:rPr>
              <w:t>Network</w:t>
            </w:r>
          </w:p>
        </w:tc>
      </w:tr>
      <w:tr w:rsidR="00D80A20" w14:paraId="5D9CE640"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1E1010E"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T2</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FF24B21"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Internet access to each location.</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D39110C"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14FCDF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 xml:space="preserve">Resolved as of 18/9/2014. High speed with good band width. </w:t>
            </w:r>
          </w:p>
        </w:tc>
      </w:tr>
      <w:tr w:rsidR="00D80A20" w14:paraId="0E0A8D6B"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73A1291"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T3</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9E74567"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VoIP telephony to each location.</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85E5C80"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70FA3C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systems transitioned to eGov VoIP</w:t>
            </w:r>
          </w:p>
        </w:tc>
      </w:tr>
      <w:tr w:rsidR="00D80A20" w14:paraId="565E3683" w14:textId="77777777" w:rsidTr="00B15B4D">
        <w:tc>
          <w:tcPr>
            <w:tcW w:w="464" w:type="dxa"/>
            <w:tcBorders>
              <w:top w:val="nil"/>
              <w:left w:val="single" w:sz="8" w:space="0" w:color="auto"/>
              <w:bottom w:val="single" w:sz="8" w:space="0" w:color="auto"/>
              <w:right w:val="single" w:sz="8" w:space="0" w:color="auto"/>
            </w:tcBorders>
            <w:shd w:val="clear" w:color="auto" w:fill="AEB51B"/>
            <w:tcMar>
              <w:top w:w="0" w:type="dxa"/>
              <w:left w:w="108" w:type="dxa"/>
              <w:bottom w:w="0" w:type="dxa"/>
              <w:right w:w="108" w:type="dxa"/>
            </w:tcMar>
          </w:tcPr>
          <w:p w14:paraId="45DFF4F9" w14:textId="77777777" w:rsidR="00D80A20" w:rsidRPr="00585DA1" w:rsidRDefault="00D80A20">
            <w:pPr>
              <w:pStyle w:val="NoSpacing"/>
              <w:rPr>
                <w:rFonts w:asciiTheme="majorHAnsi" w:hAnsiTheme="majorHAnsi"/>
                <w:color w:val="auto"/>
                <w:szCs w:val="20"/>
              </w:rPr>
            </w:pPr>
          </w:p>
        </w:tc>
        <w:tc>
          <w:tcPr>
            <w:tcW w:w="2905" w:type="dxa"/>
            <w:tcBorders>
              <w:top w:val="nil"/>
              <w:left w:val="nil"/>
              <w:bottom w:val="single" w:sz="8" w:space="0" w:color="auto"/>
              <w:right w:val="single" w:sz="8" w:space="0" w:color="auto"/>
            </w:tcBorders>
            <w:shd w:val="clear" w:color="auto" w:fill="AEB51B"/>
            <w:tcMar>
              <w:top w:w="0" w:type="dxa"/>
              <w:left w:w="108" w:type="dxa"/>
              <w:bottom w:w="0" w:type="dxa"/>
              <w:right w:w="108" w:type="dxa"/>
            </w:tcMar>
            <w:hideMark/>
          </w:tcPr>
          <w:p w14:paraId="3BC5C9A7"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Network Services</w:t>
            </w:r>
          </w:p>
        </w:tc>
        <w:tc>
          <w:tcPr>
            <w:tcW w:w="1559" w:type="dxa"/>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2DD5D34D" w14:textId="77777777" w:rsidR="00D80A20" w:rsidRPr="00585DA1" w:rsidRDefault="00D80A20">
            <w:pPr>
              <w:pStyle w:val="NoSpacing"/>
              <w:rPr>
                <w:rFonts w:asciiTheme="majorHAnsi" w:hAnsiTheme="majorHAnsi"/>
                <w:color w:val="auto"/>
                <w:szCs w:val="20"/>
              </w:rPr>
            </w:pPr>
          </w:p>
        </w:tc>
        <w:tc>
          <w:tcPr>
            <w:tcW w:w="4111" w:type="dxa"/>
            <w:tcBorders>
              <w:top w:val="nil"/>
              <w:left w:val="nil"/>
              <w:bottom w:val="single" w:sz="8" w:space="0" w:color="auto"/>
              <w:right w:val="single" w:sz="8" w:space="0" w:color="auto"/>
            </w:tcBorders>
            <w:shd w:val="clear" w:color="auto" w:fill="AEB51B"/>
            <w:tcMar>
              <w:top w:w="0" w:type="dxa"/>
              <w:left w:w="108" w:type="dxa"/>
              <w:bottom w:w="0" w:type="dxa"/>
              <w:right w:w="108" w:type="dxa"/>
            </w:tcMar>
          </w:tcPr>
          <w:p w14:paraId="7F17FD52" w14:textId="77777777" w:rsidR="00D80A20" w:rsidRPr="00585DA1" w:rsidRDefault="00D80A20">
            <w:pPr>
              <w:pStyle w:val="NoSpacing"/>
              <w:rPr>
                <w:rFonts w:asciiTheme="majorHAnsi" w:hAnsiTheme="majorHAnsi"/>
                <w:color w:val="auto"/>
                <w:szCs w:val="20"/>
              </w:rPr>
            </w:pPr>
          </w:p>
        </w:tc>
      </w:tr>
      <w:tr w:rsidR="00D80A20" w14:paraId="5B3F5D25"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75E260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N1</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1E54CE7"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network accounts for all staff</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4C43807"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 xml:space="preserve">Completed </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6A60CA0"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 xml:space="preserve">Accounts have been created, including deployment of Standard Operating environment. </w:t>
            </w:r>
          </w:p>
        </w:tc>
      </w:tr>
      <w:tr w:rsidR="00D80A20" w14:paraId="251AE7DE" w14:textId="77777777" w:rsidTr="00B15B4D">
        <w:tc>
          <w:tcPr>
            <w:tcW w:w="464"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28E53A92"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N2</w:t>
            </w:r>
          </w:p>
        </w:tc>
        <w:tc>
          <w:tcPr>
            <w:tcW w:w="2905"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7D04BC9E"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email for all staff</w:t>
            </w:r>
          </w:p>
        </w:tc>
        <w:tc>
          <w:tcPr>
            <w:tcW w:w="1559"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39C4E179"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Existing</w:t>
            </w:r>
          </w:p>
        </w:tc>
        <w:tc>
          <w:tcPr>
            <w:tcW w:w="4111"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510AC456"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Existing email system remains in place.</w:t>
            </w:r>
          </w:p>
        </w:tc>
      </w:tr>
      <w:tr w:rsidR="00D80A20" w14:paraId="687C6BF4"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43DF436"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N3</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CE76D0"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shared printing for all staff</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6B0D012"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82B1975"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Deployed as part of Standard Operating environment.</w:t>
            </w:r>
          </w:p>
        </w:tc>
      </w:tr>
      <w:tr w:rsidR="00D80A20" w14:paraId="795357B1"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846504D"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N4</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C835997"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individual and shared file storage</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610B180"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976457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Implemented along with ICT Service Delivery Framework (SDF)</w:t>
            </w:r>
          </w:p>
        </w:tc>
      </w:tr>
      <w:tr w:rsidR="00D80A20" w14:paraId="5E083D33"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D58185E"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N5</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7AB736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tiered backup of all program data</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776815E"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Completed</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84DDC45"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 xml:space="preserve">Service provide by MoET ICT dependent on N1,N3 </w:t>
            </w:r>
          </w:p>
        </w:tc>
      </w:tr>
      <w:tr w:rsidR="00D80A20" w14:paraId="3BC23EFB" w14:textId="77777777" w:rsidTr="00B15B4D">
        <w:tc>
          <w:tcPr>
            <w:tcW w:w="464"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7D20AA5C"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N6</w:t>
            </w:r>
          </w:p>
        </w:tc>
        <w:tc>
          <w:tcPr>
            <w:tcW w:w="2905"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69348DA5"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Centralised Website hosting</w:t>
            </w:r>
          </w:p>
        </w:tc>
        <w:tc>
          <w:tcPr>
            <w:tcW w:w="1559"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202AE775"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Existing</w:t>
            </w:r>
          </w:p>
        </w:tc>
        <w:tc>
          <w:tcPr>
            <w:tcW w:w="4111"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28FE384A"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Existing website remains in place.</w:t>
            </w:r>
          </w:p>
        </w:tc>
      </w:tr>
      <w:tr w:rsidR="00D80A20" w14:paraId="00712A71" w14:textId="77777777" w:rsidTr="00B15B4D">
        <w:tc>
          <w:tcPr>
            <w:tcW w:w="46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5F703B1"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N7</w:t>
            </w:r>
          </w:p>
        </w:tc>
        <w:tc>
          <w:tcPr>
            <w:tcW w:w="290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0557558"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Capacity to manage future Business Systems</w:t>
            </w:r>
          </w:p>
        </w:tc>
        <w:tc>
          <w:tcPr>
            <w:tcW w:w="155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98374DB"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Future-capability</w:t>
            </w:r>
          </w:p>
        </w:tc>
        <w:tc>
          <w:tcPr>
            <w:tcW w:w="411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326BEC4" w14:textId="77777777" w:rsidR="00D80A20" w:rsidRPr="00585DA1" w:rsidRDefault="00D80A20">
            <w:pPr>
              <w:pStyle w:val="NoSpacing"/>
              <w:rPr>
                <w:rFonts w:asciiTheme="majorHAnsi" w:hAnsiTheme="majorHAnsi"/>
                <w:color w:val="auto"/>
                <w:szCs w:val="20"/>
              </w:rPr>
            </w:pPr>
            <w:r w:rsidRPr="00585DA1">
              <w:rPr>
                <w:rFonts w:asciiTheme="majorHAnsi" w:hAnsiTheme="majorHAnsi"/>
                <w:color w:val="auto"/>
                <w:szCs w:val="20"/>
              </w:rPr>
              <w:t>Within the capability of eGov managed services.</w:t>
            </w:r>
          </w:p>
        </w:tc>
      </w:tr>
    </w:tbl>
    <w:p w14:paraId="1075DE3D" w14:textId="77777777" w:rsidR="00D80A20" w:rsidRDefault="00D80A20" w:rsidP="00D80A20">
      <w:pPr>
        <w:rPr>
          <w:rFonts w:eastAsiaTheme="minorHAnsi"/>
          <w:sz w:val="20"/>
          <w:szCs w:val="20"/>
        </w:rPr>
      </w:pPr>
    </w:p>
    <w:p w14:paraId="14DB8294" w14:textId="6138E972" w:rsidR="00D80A20" w:rsidRPr="008A1030" w:rsidRDefault="00616E1B" w:rsidP="00D80A20">
      <w:pPr>
        <w:rPr>
          <w:b/>
        </w:rPr>
      </w:pPr>
      <w:r>
        <w:rPr>
          <w:b/>
        </w:rPr>
        <w:t>IT summary</w:t>
      </w:r>
    </w:p>
    <w:p w14:paraId="442D25DD" w14:textId="77777777" w:rsidR="00A80CBB" w:rsidRDefault="00D80A20" w:rsidP="00D80A20">
      <w:r>
        <w:t xml:space="preserve">The strategy undertaken throughout was in keeping with the </w:t>
      </w:r>
      <w:r w:rsidR="00585DA1">
        <w:t xml:space="preserve">Program’s </w:t>
      </w:r>
      <w:r>
        <w:t>objective to strengthen and align the program with gove</w:t>
      </w:r>
      <w:r w:rsidR="00AE3A7E">
        <w:t xml:space="preserve">rnment systems and capabilities.  There have been </w:t>
      </w:r>
      <w:r w:rsidR="00542DA7">
        <w:t xml:space="preserve">a number </w:t>
      </w:r>
      <w:r w:rsidR="00AE3A7E">
        <w:t xml:space="preserve">improvements achieved in Phase 3 TVET SSP. </w:t>
      </w:r>
      <w:r w:rsidR="00A80CBB">
        <w:t xml:space="preserve"> The introduction of the VoIP </w:t>
      </w:r>
      <w:r w:rsidR="00542DA7">
        <w:t xml:space="preserve">telephony </w:t>
      </w:r>
      <w:r w:rsidR="00A80CBB">
        <w:t xml:space="preserve">allows reliable communication between offices and </w:t>
      </w:r>
      <w:r w:rsidR="00585DA1">
        <w:t>government departments</w:t>
      </w:r>
      <w:r w:rsidR="00A80CBB">
        <w:t xml:space="preserve"> and reduced expenditure. The establishment </w:t>
      </w:r>
      <w:r w:rsidR="00A80CBB" w:rsidRPr="00B71E46">
        <w:t xml:space="preserve">of </w:t>
      </w:r>
      <w:r w:rsidR="00585DA1" w:rsidRPr="00B71E46">
        <w:t xml:space="preserve">centralised </w:t>
      </w:r>
      <w:r w:rsidR="00A80CBB" w:rsidRPr="00B71E46">
        <w:t xml:space="preserve">file sharing has </w:t>
      </w:r>
      <w:r w:rsidR="00585DA1" w:rsidRPr="00B71E46">
        <w:t xml:space="preserve">realised </w:t>
      </w:r>
      <w:r w:rsidR="00A80CBB" w:rsidRPr="00B71E46">
        <w:t xml:space="preserve">benefits </w:t>
      </w:r>
      <w:r w:rsidR="00A80CBB">
        <w:t>in convenience</w:t>
      </w:r>
      <w:r w:rsidR="00542DA7">
        <w:t xml:space="preserve"> including</w:t>
      </w:r>
      <w:r w:rsidR="00A80CBB">
        <w:t xml:space="preserve"> collaboration between centres, data security (backup) and knowledge management. The program </w:t>
      </w:r>
      <w:r w:rsidR="00AE3A7E">
        <w:t xml:space="preserve">Team Leader </w:t>
      </w:r>
      <w:r w:rsidR="00A80CBB">
        <w:t xml:space="preserve">identified “this was a great improvement in this phase”. </w:t>
      </w:r>
    </w:p>
    <w:p w14:paraId="131260DE" w14:textId="77777777" w:rsidR="00D80A20" w:rsidRDefault="00B71E46" w:rsidP="00D80A20">
      <w:r>
        <w:t>Provision for c</w:t>
      </w:r>
      <w:r w:rsidR="00AE3A7E">
        <w:t xml:space="preserve">entralised </w:t>
      </w:r>
      <w:r w:rsidR="0040376B">
        <w:t>e</w:t>
      </w:r>
      <w:r w:rsidR="00AE3A7E">
        <w:t xml:space="preserve">mail and website hosting </w:t>
      </w:r>
      <w:r>
        <w:t>with eGOV is available. Further dialogue between parties in country will assist in the transition of these services</w:t>
      </w:r>
      <w:r w:rsidR="00AE3A7E">
        <w:t xml:space="preserve">. </w:t>
      </w:r>
    </w:p>
    <w:p w14:paraId="77F35485" w14:textId="77777777" w:rsidR="000E3D45" w:rsidRDefault="00683B84" w:rsidP="004D4D19">
      <w:pPr>
        <w:pStyle w:val="Heading2"/>
      </w:pPr>
      <w:bookmarkStart w:id="30" w:name="_Toc456600687"/>
      <w:r>
        <w:t>5</w:t>
      </w:r>
      <w:r w:rsidR="000E3D45">
        <w:t>.3</w:t>
      </w:r>
      <w:r w:rsidR="000E3D45">
        <w:tab/>
      </w:r>
      <w:r w:rsidR="000E3D45">
        <w:tab/>
      </w:r>
      <w:r w:rsidR="004D4D19">
        <w:t>Finance and Audit</w:t>
      </w:r>
      <w:bookmarkEnd w:id="30"/>
    </w:p>
    <w:p w14:paraId="4CFE5958" w14:textId="1221D30F" w:rsidR="00B95CE1" w:rsidRDefault="00B95CE1" w:rsidP="008A1030">
      <w:r>
        <w:t>DFAT provides funding for the Vanuatu TVET SSP as outlined in the head contract. Funding is identified as management fees and reimbursable costs. Management fees are paid to BHI subject to approval of stated milestones. Reimbursable costs are borne by the in</w:t>
      </w:r>
      <w:r w:rsidR="00CD2DAD">
        <w:t>-</w:t>
      </w:r>
      <w:r>
        <w:t xml:space="preserve">country team and reimbursed via BHI to </w:t>
      </w:r>
      <w:r w:rsidR="003B4406">
        <w:t>maintain cashflow for</w:t>
      </w:r>
      <w:r>
        <w:t xml:space="preserve"> agreed activity and operational expenses as detailed in the Annual Plan.  </w:t>
      </w:r>
    </w:p>
    <w:p w14:paraId="54B65584" w14:textId="77777777" w:rsidR="00480AC8" w:rsidRDefault="00480AC8" w:rsidP="008A1030">
      <w:r>
        <w:t>BHI processes and procedures are applied in accordance with the requirements of the Financial Management Act 1994.</w:t>
      </w:r>
      <w:r w:rsidR="00753912">
        <w:t xml:space="preserve">  </w:t>
      </w:r>
    </w:p>
    <w:p w14:paraId="71FB8CE8" w14:textId="5F6094C7" w:rsidR="00FA0FBC" w:rsidRDefault="00683B84" w:rsidP="008A1030">
      <w:pPr>
        <w:pStyle w:val="Heading3"/>
      </w:pPr>
      <w:r>
        <w:t>5</w:t>
      </w:r>
      <w:r w:rsidR="00FA0FBC">
        <w:t xml:space="preserve">.3.1. </w:t>
      </w:r>
      <w:r w:rsidR="00C103F2">
        <w:t xml:space="preserve">Finance tasks and personnel </w:t>
      </w:r>
    </w:p>
    <w:p w14:paraId="5A5985F5" w14:textId="77777777" w:rsidR="001D5A82" w:rsidRDefault="001D5A82" w:rsidP="008A1030">
      <w:r>
        <w:t>Financial operational management is governed by the Financial Management Manual. Th</w:t>
      </w:r>
      <w:r w:rsidR="004251DA">
        <w:t xml:space="preserve">rough partnership with BHI and international advisors, the TVET program has seen improvements in financial governance of the TVET Centres. </w:t>
      </w:r>
    </w:p>
    <w:p w14:paraId="3774F493" w14:textId="4F0D85A3" w:rsidR="00615448" w:rsidRDefault="00E94878" w:rsidP="008A1030">
      <w:r>
        <w:t>In 2013 a BHI delegation visited Vanuatu to establish financial management processes</w:t>
      </w:r>
      <w:r w:rsidR="00D34E5E">
        <w:t xml:space="preserve"> contextualized to local financial mechanisms and existing processes</w:t>
      </w:r>
      <w:r>
        <w:t xml:space="preserve">. </w:t>
      </w:r>
      <w:r w:rsidR="00615448">
        <w:t>Mo</w:t>
      </w:r>
      <w:r w:rsidR="00D34E5E">
        <w:t xml:space="preserve">st </w:t>
      </w:r>
      <w:r w:rsidR="00615448">
        <w:t xml:space="preserve">business transactions are </w:t>
      </w:r>
      <w:r w:rsidR="00D34E5E">
        <w:t xml:space="preserve">by cheque. The BHI delegation </w:t>
      </w:r>
      <w:r w:rsidR="00615448">
        <w:t>and local team collaborated to develop an</w:t>
      </w:r>
      <w:r>
        <w:t xml:space="preserve"> appropriate </w:t>
      </w:r>
      <w:r w:rsidR="00D34E5E">
        <w:t>record keeping</w:t>
      </w:r>
      <w:r w:rsidR="00615448">
        <w:t xml:space="preserve"> procedure for</w:t>
      </w:r>
      <w:r>
        <w:t xml:space="preserve"> financial record keeping. The </w:t>
      </w:r>
      <w:r w:rsidR="00ED0775">
        <w:t>team was</w:t>
      </w:r>
      <w:r>
        <w:t xml:space="preserve"> provided with an Excel spreadsheet that included embedded formula to calculate accounting code that was compatible with coding used for BHI financial system journals, thereby allowing seamless downloading of transactions</w:t>
      </w:r>
      <w:r w:rsidR="00615448">
        <w:t xml:space="preserve"> to the finance system in Australia</w:t>
      </w:r>
      <w:r>
        <w:t xml:space="preserve">. This </w:t>
      </w:r>
      <w:r w:rsidR="00615448">
        <w:t xml:space="preserve">Excel </w:t>
      </w:r>
      <w:r>
        <w:t xml:space="preserve">spreadsheet is known as the “cashbook”. </w:t>
      </w:r>
      <w:r w:rsidR="00377E1D">
        <w:t>However, t</w:t>
      </w:r>
      <w:r w:rsidR="00D34E5E">
        <w:t xml:space="preserve">he cashbook </w:t>
      </w:r>
      <w:r w:rsidR="00615448">
        <w:t>is not only a recording device</w:t>
      </w:r>
      <w:r w:rsidR="00377E1D">
        <w:t>,</w:t>
      </w:r>
      <w:r w:rsidR="00615448">
        <w:t xml:space="preserve"> it is most importantly a means for the local team to monitor the bank balance</w:t>
      </w:r>
      <w:r w:rsidR="00AB437F">
        <w:t xml:space="preserve"> i</w:t>
      </w:r>
      <w:r w:rsidR="00615448">
        <w:t>n the absence of internet banking.</w:t>
      </w:r>
    </w:p>
    <w:p w14:paraId="1CD78CD0" w14:textId="54CC902F" w:rsidR="00334286" w:rsidRDefault="00544D55" w:rsidP="008A1030">
      <w:r>
        <w:t xml:space="preserve">The </w:t>
      </w:r>
      <w:r w:rsidR="00ED0775">
        <w:t xml:space="preserve">provincial </w:t>
      </w:r>
      <w:r>
        <w:t xml:space="preserve">TVET Centres were provided with the same </w:t>
      </w:r>
      <w:r w:rsidR="00334286">
        <w:t xml:space="preserve">process </w:t>
      </w:r>
      <w:r>
        <w:t>for recording transa</w:t>
      </w:r>
      <w:r w:rsidR="00334286">
        <w:t xml:space="preserve">ctions from a Petty Cash budget, maintaining a VUV 20,000 float (approx. AUD 270). </w:t>
      </w:r>
    </w:p>
    <w:p w14:paraId="1441C023" w14:textId="60A03BE3" w:rsidR="00334286" w:rsidRDefault="00334286" w:rsidP="008A1030">
      <w:r>
        <w:t xml:space="preserve">At the end of the month, all cashbooks </w:t>
      </w:r>
      <w:r w:rsidR="00AB437F">
        <w:t>wer</w:t>
      </w:r>
      <w:r>
        <w:t xml:space="preserve">e submitted to BHI in Australia, journaled and </w:t>
      </w:r>
      <w:r w:rsidR="00AB437F">
        <w:t>uploaded to</w:t>
      </w:r>
      <w:r>
        <w:t xml:space="preserve"> BHI finance system</w:t>
      </w:r>
      <w:r w:rsidR="00AB437F">
        <w:t>, F1</w:t>
      </w:r>
      <w:r>
        <w:t>.</w:t>
      </w:r>
    </w:p>
    <w:p w14:paraId="3974B783" w14:textId="77777777" w:rsidR="00334286" w:rsidRDefault="00E94878" w:rsidP="008A1030">
      <w:r>
        <w:t xml:space="preserve">Ongoing support has been provided to the </w:t>
      </w:r>
      <w:r w:rsidR="00334286">
        <w:t xml:space="preserve">in country team to assist with the correct coding of transactions and general communication around timing for replenishment of the </w:t>
      </w:r>
      <w:r w:rsidR="00377E1D">
        <w:t>account and</w:t>
      </w:r>
      <w:r w:rsidR="00334286">
        <w:t xml:space="preserve"> tracking to the budget.</w:t>
      </w:r>
    </w:p>
    <w:p w14:paraId="17190096" w14:textId="20EAE51A" w:rsidR="00B95CE1" w:rsidRDefault="00C808C3" w:rsidP="008A1030">
      <w:r>
        <w:t xml:space="preserve">Bank replenishment in Vanuatu and monthly reimbursable expense claims to DFAT are implemented </w:t>
      </w:r>
      <w:r w:rsidR="00AB437F">
        <w:t>in a cyclical</w:t>
      </w:r>
      <w:r>
        <w:t xml:space="preserve"> process</w:t>
      </w:r>
      <w:r w:rsidR="00B95CE1">
        <w:t xml:space="preserve">. </w:t>
      </w:r>
    </w:p>
    <w:p w14:paraId="35383CF4" w14:textId="77777777" w:rsidR="00B95CE1" w:rsidRDefault="00C808C3" w:rsidP="00FA0FBC">
      <w:pPr>
        <w:ind w:left="360"/>
      </w:pPr>
      <w:r w:rsidRPr="00C808C3">
        <w:rPr>
          <w:rFonts w:eastAsia="Calibri" w:cs="Times New Roman"/>
          <w:noProof/>
          <w:lang w:val="en-AU" w:eastAsia="en-AU"/>
        </w:rPr>
        <w:drawing>
          <wp:inline distT="0" distB="0" distL="0" distR="0" wp14:anchorId="0B9F4AFD" wp14:editId="790C8959">
            <wp:extent cx="5486400" cy="3200400"/>
            <wp:effectExtent l="0" t="3810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873AE6" w14:textId="77777777" w:rsidR="00C808C3" w:rsidRDefault="00C808C3" w:rsidP="00FA0FBC">
      <w:pPr>
        <w:ind w:left="360"/>
      </w:pPr>
    </w:p>
    <w:p w14:paraId="63EB76B9" w14:textId="46C45056" w:rsidR="00A409F9" w:rsidRDefault="00C808C3" w:rsidP="00FA0FBC">
      <w:pPr>
        <w:ind w:left="360"/>
      </w:pPr>
      <w:r>
        <w:t xml:space="preserve">Each step depends on the integrity </w:t>
      </w:r>
      <w:r w:rsidR="00C6686D">
        <w:t xml:space="preserve">and timeliness </w:t>
      </w:r>
      <w:r>
        <w:t xml:space="preserve">of the previous stage. </w:t>
      </w:r>
      <w:r w:rsidR="00C6686D">
        <w:t>On the whol</w:t>
      </w:r>
      <w:r w:rsidR="00A409F9">
        <w:t>e, the process has worked well</w:t>
      </w:r>
      <w:r w:rsidR="00E5038F">
        <w:t>. The process provides an opportunity for working understanding of accounting procedures and is simple and inexpensive to implement in Excel format. H</w:t>
      </w:r>
      <w:r w:rsidR="00A409F9">
        <w:t xml:space="preserve">owever as seen in the process map, there are many communication links that have potential for failure. </w:t>
      </w:r>
      <w:r w:rsidR="001E1785">
        <w:t xml:space="preserve">These situations have been rare however </w:t>
      </w:r>
      <w:r w:rsidR="002E21AD">
        <w:t xml:space="preserve">there was one incident in the three year period where </w:t>
      </w:r>
      <w:r w:rsidR="00A409F9">
        <w:t xml:space="preserve">the fund transfer was not </w:t>
      </w:r>
      <w:r w:rsidR="00585DA1" w:rsidRPr="008A1030">
        <w:t>authori</w:t>
      </w:r>
      <w:r w:rsidR="00E62B41" w:rsidRPr="008A1030">
        <w:t>s</w:t>
      </w:r>
      <w:r w:rsidR="00585DA1" w:rsidRPr="008A1030">
        <w:t>ed</w:t>
      </w:r>
      <w:r w:rsidR="00E62B41" w:rsidRPr="008A1030">
        <w:t xml:space="preserve"> within the usual timeframe</w:t>
      </w:r>
      <w:r w:rsidR="00A409F9" w:rsidRPr="008A1030">
        <w:t>, the funds were not transferred</w:t>
      </w:r>
      <w:r w:rsidR="00E62B41" w:rsidRPr="008A1030">
        <w:t xml:space="preserve"> when expected</w:t>
      </w:r>
      <w:r w:rsidR="00A409F9" w:rsidRPr="008A1030">
        <w:t xml:space="preserve">, the local team </w:t>
      </w:r>
      <w:r w:rsidR="002E21AD">
        <w:t xml:space="preserve">in Vanuatu, unaware of the depleted in country bank balance discovered that activities were </w:t>
      </w:r>
      <w:r w:rsidR="00A409F9" w:rsidRPr="008A1030">
        <w:t>compromised</w:t>
      </w:r>
      <w:r w:rsidR="00E5038F">
        <w:t xml:space="preserve"> due to insufficient funds being available</w:t>
      </w:r>
      <w:r w:rsidR="00A409F9">
        <w:t>.</w:t>
      </w:r>
      <w:r w:rsidR="00E5038F">
        <w:t xml:space="preserve"> </w:t>
      </w:r>
      <w:r w:rsidR="00014C73">
        <w:t xml:space="preserve">As a one off occurrence, it indicates that the process is sound however the implications of rare failures are profound. </w:t>
      </w:r>
      <w:r w:rsidR="001E1785">
        <w:t>To mitigate risk, increased quality control checks could be implemented</w:t>
      </w:r>
      <w:r w:rsidR="002E21AD">
        <w:t xml:space="preserve"> such as closer monitoring of bank account balances </w:t>
      </w:r>
      <w:r w:rsidR="00377E1D">
        <w:t xml:space="preserve">by </w:t>
      </w:r>
      <w:r w:rsidR="002E21AD">
        <w:t>the in country team</w:t>
      </w:r>
      <w:r w:rsidR="001E1785">
        <w:t>.</w:t>
      </w:r>
    </w:p>
    <w:p w14:paraId="5B3689FF" w14:textId="77777777" w:rsidR="00FA0FBC" w:rsidRDefault="00683B84" w:rsidP="00FA0FBC">
      <w:pPr>
        <w:ind w:left="360"/>
      </w:pPr>
      <w:r>
        <w:t>5</w:t>
      </w:r>
      <w:r w:rsidR="00FA0FBC">
        <w:t>.3.2. Budgeting &amp; Forecasting</w:t>
      </w:r>
    </w:p>
    <w:p w14:paraId="5658DFF7" w14:textId="77777777" w:rsidR="00753912" w:rsidRDefault="00753912" w:rsidP="00FA0FBC">
      <w:pPr>
        <w:ind w:left="360"/>
      </w:pPr>
      <w:r>
        <w:t>Top level budgeting and forecasting are performed as part of the Annual Plan preparation process</w:t>
      </w:r>
      <w:r w:rsidR="00CD2DAD">
        <w:t xml:space="preserve"> with</w:t>
      </w:r>
      <w:r>
        <w:t xml:space="preserve"> activities </w:t>
      </w:r>
      <w:r w:rsidR="00CD2DAD">
        <w:t xml:space="preserve">and associated </w:t>
      </w:r>
      <w:r w:rsidR="007F2187">
        <w:t>costs approved</w:t>
      </w:r>
      <w:r>
        <w:t xml:space="preserve"> by DFAT.</w:t>
      </w:r>
    </w:p>
    <w:p w14:paraId="2A94E8E3" w14:textId="6E63D382" w:rsidR="006C4CA4" w:rsidRDefault="002E21AD" w:rsidP="00FA0FBC">
      <w:pPr>
        <w:ind w:left="360"/>
      </w:pPr>
      <w:r>
        <w:t xml:space="preserve">In country operational </w:t>
      </w:r>
      <w:r w:rsidR="00CD2DAD">
        <w:t xml:space="preserve">expenditure </w:t>
      </w:r>
      <w:r>
        <w:t>has been planned and monitored with the aid of a simple Excel budgeting spreadsheet (the “Budget Tracker”) developed in collaboration with t</w:t>
      </w:r>
      <w:r w:rsidR="006C4CA4">
        <w:t xml:space="preserve">he Team Leader </w:t>
      </w:r>
      <w:r>
        <w:t xml:space="preserve">and </w:t>
      </w:r>
      <w:r w:rsidR="006C4CA4">
        <w:t>BHI, see appendix</w:t>
      </w:r>
      <w:r w:rsidR="006E3E64">
        <w:t xml:space="preserve"> 8.2</w:t>
      </w:r>
      <w:r w:rsidR="006C4CA4">
        <w:t xml:space="preserve">. </w:t>
      </w:r>
      <w:r>
        <w:t>Coded in line with DFAT allocated funds and the Annual Plan, it allows the in</w:t>
      </w:r>
      <w:r w:rsidR="00CD2DAD">
        <w:t>-</w:t>
      </w:r>
      <w:r>
        <w:t xml:space="preserve">country team to plan activity within financial limits and to monitor progress to budget. </w:t>
      </w:r>
      <w:r w:rsidR="00014C73">
        <w:t xml:space="preserve">BHI and </w:t>
      </w:r>
      <w:r w:rsidR="00CD2DAD">
        <w:t xml:space="preserve">the </w:t>
      </w:r>
      <w:r w:rsidR="00014C73">
        <w:t>in</w:t>
      </w:r>
      <w:r w:rsidR="00CD2DAD">
        <w:t>-</w:t>
      </w:r>
      <w:r w:rsidR="00014C73">
        <w:t xml:space="preserve">country team can proactively and promptly identify funding issues and allocate resources accordingly. </w:t>
      </w:r>
    </w:p>
    <w:p w14:paraId="2DB7245B" w14:textId="77777777" w:rsidR="00A53FEB" w:rsidRDefault="00A53FEB" w:rsidP="00A53FEB">
      <w:pPr>
        <w:ind w:left="360"/>
      </w:pPr>
      <w:r>
        <w:t>BHI financial management is augmented by their accounting system Finance One (F1). Purchase orders are raised in line with contracts and expenditure is drawn against the funds specified in the purchase order. This practice mostly per</w:t>
      </w:r>
      <w:r w:rsidR="00F401FD">
        <w:t xml:space="preserve">tains to independent contracts and it </w:t>
      </w:r>
      <w:r>
        <w:t>alerts the project manager to spending more than the allocated funds in the budget.</w:t>
      </w:r>
    </w:p>
    <w:p w14:paraId="65FA935E" w14:textId="71513797" w:rsidR="00A53FEB" w:rsidRDefault="00A53FEB" w:rsidP="00A53FEB">
      <w:pPr>
        <w:ind w:left="360"/>
      </w:pPr>
      <w:r>
        <w:t>The variable factor is the timing of expenditure</w:t>
      </w:r>
      <w:r w:rsidR="00F401FD">
        <w:t xml:space="preserve"> from the cashbook</w:t>
      </w:r>
      <w:r>
        <w:t xml:space="preserve">. Most expenses are incurred in country </w:t>
      </w:r>
      <w:r w:rsidR="00F401FD">
        <w:t xml:space="preserve">and the transactions are submitted to BHI for financial processing (reimbursement of the cashbook and invoicing to DFAT) at the end of the month. A time lag is experienced between when the expense is incurred and when the DFAT fund is updated with the revised available balance. Very close management of the budget is required to ensure local expenditure is </w:t>
      </w:r>
      <w:r w:rsidR="00AB437F">
        <w:t xml:space="preserve">tracking to forecast expenditure to ensure the Program performs within budget and that the local operations have cash reserves. </w:t>
      </w:r>
    </w:p>
    <w:p w14:paraId="58F474F5" w14:textId="45A873E3" w:rsidR="00E3664A" w:rsidRPr="00CE5F69" w:rsidRDefault="00E3664A" w:rsidP="00CE5F69">
      <w:pPr>
        <w:ind w:left="360"/>
        <w:rPr>
          <w:iCs/>
        </w:rPr>
      </w:pPr>
      <w:r w:rsidRPr="00CE5F69">
        <w:rPr>
          <w:iCs/>
        </w:rPr>
        <w:t>Overall the budget was exceeded by around $</w:t>
      </w:r>
      <w:r w:rsidR="00FE4C35">
        <w:rPr>
          <w:iCs/>
        </w:rPr>
        <w:t>72</w:t>
      </w:r>
      <w:r w:rsidRPr="00CE5F69">
        <w:rPr>
          <w:iCs/>
        </w:rPr>
        <w:t>,000 which BHI has absorbed within its Management Fee. The major reasons were the higher than budgeted expenditure in the operational expense line (office expenses, communications, vehicles and interisland travel) and in the TVET Centre Establishment Line. The most likely reason for this being the additional expenditure associated with the fourth TVET Centre and the construction of the Malampa TVET Centre Manager’s house. Both of these significant additional activities have been mostly absorbed within the original contract budget except for the amount cited above.</w:t>
      </w:r>
      <w:r w:rsidR="00FE4C35">
        <w:rPr>
          <w:iCs/>
        </w:rPr>
        <w:t xml:space="preserve"> Appendix 8.3 summarises budget performance. </w:t>
      </w:r>
    </w:p>
    <w:p w14:paraId="37AE16C9" w14:textId="434C3C89" w:rsidR="00F401FD" w:rsidRDefault="00FE3344" w:rsidP="00FE3344">
      <w:pPr>
        <w:ind w:left="360"/>
      </w:pPr>
      <w:r>
        <w:t>DFAT has allowed funds to be moved between</w:t>
      </w:r>
      <w:r w:rsidR="000C5927">
        <w:t xml:space="preserve"> original budget</w:t>
      </w:r>
      <w:r>
        <w:t xml:space="preserve"> lines which has assisted in budget management</w:t>
      </w:r>
      <w:r w:rsidR="00782E1D">
        <w:t>. Insurance premiums paid for the period in Phase 4 were scheduled for refund from the Phase 4 Managing Contractor</w:t>
      </w:r>
      <w:r>
        <w:t xml:space="preserve">. </w:t>
      </w:r>
      <w:r w:rsidR="00F401FD">
        <w:t xml:space="preserve"> </w:t>
      </w:r>
      <w:r w:rsidR="00782E1D">
        <w:t xml:space="preserve">See </w:t>
      </w:r>
      <w:r w:rsidR="00CF6D05">
        <w:t xml:space="preserve">Annexes </w:t>
      </w:r>
      <w:r w:rsidR="00782E1D">
        <w:t>8.3 to 8.5</w:t>
      </w:r>
    </w:p>
    <w:p w14:paraId="003FA1DA" w14:textId="77777777" w:rsidR="00FA0FBC" w:rsidRDefault="00683B84" w:rsidP="00FA0FBC">
      <w:pPr>
        <w:ind w:left="360"/>
      </w:pPr>
      <w:r>
        <w:t>5</w:t>
      </w:r>
      <w:r w:rsidR="00FA0FBC">
        <w:t xml:space="preserve">.3.3. </w:t>
      </w:r>
      <w:r w:rsidR="00C103F2">
        <w:t>Invoicing and financial reporting to DFAT</w:t>
      </w:r>
    </w:p>
    <w:p w14:paraId="2430D3CE" w14:textId="6CA8CC77" w:rsidR="008D0ACC" w:rsidRDefault="008D0ACC" w:rsidP="00014C73">
      <w:pPr>
        <w:ind w:left="360"/>
      </w:pPr>
      <w:r>
        <w:t>BHI invoice</w:t>
      </w:r>
      <w:r w:rsidR="00E3664A">
        <w:t>d</w:t>
      </w:r>
      <w:r>
        <w:t xml:space="preserve"> DFAT for reimbursable </w:t>
      </w:r>
      <w:r w:rsidR="000C5927">
        <w:t>expenses and</w:t>
      </w:r>
      <w:r>
        <w:t xml:space="preserve"> milestone achievement. DFAT Vanuatu ha</w:t>
      </w:r>
      <w:r w:rsidR="00E3664A">
        <w:t>s</w:t>
      </w:r>
      <w:r>
        <w:t xml:space="preserve"> been prompt in their certification of invoices. </w:t>
      </w:r>
    </w:p>
    <w:p w14:paraId="2AAA47A1" w14:textId="618AB42B" w:rsidR="00782E1D" w:rsidRDefault="008D0ACC" w:rsidP="00782E1D">
      <w:pPr>
        <w:ind w:left="360"/>
      </w:pPr>
      <w:r>
        <w:t xml:space="preserve">Quarterly financial reporting is a milestone requirement of the contract. It has also provided a valuable opportunity to reconcile BHI fund balance records with those at DFAT. </w:t>
      </w:r>
    </w:p>
    <w:p w14:paraId="58D1A2C9" w14:textId="77777777" w:rsidR="00C103F2" w:rsidRDefault="00683B84" w:rsidP="00FA0FBC">
      <w:pPr>
        <w:ind w:left="360"/>
      </w:pPr>
      <w:r>
        <w:t>5</w:t>
      </w:r>
      <w:r w:rsidR="00C103F2">
        <w:t xml:space="preserve">.3.4. Bank Account Management </w:t>
      </w:r>
    </w:p>
    <w:p w14:paraId="7D5EE7D6" w14:textId="77777777" w:rsidR="005C2967" w:rsidRDefault="00D90086" w:rsidP="00FA0FBC">
      <w:pPr>
        <w:ind w:left="360"/>
      </w:pPr>
      <w:r>
        <w:t xml:space="preserve">The TVET bank account is held with Westpac Bank in Port Vila. </w:t>
      </w:r>
      <w:r w:rsidR="004D7579">
        <w:t>Bank transactions in Vanuatu usually involve a visit to the local branch. For example, on preparation of the bank reconciliation to the cashbook, the Finance Manager visits the branch, requests a bank statement (paper copy) and reconciles transactions to the office records. Unpresented cheques are identified and reported</w:t>
      </w:r>
      <w:r w:rsidR="000C5927">
        <w:t xml:space="preserve"> as part of this manual process</w:t>
      </w:r>
      <w:r w:rsidR="004D7579">
        <w:t>.</w:t>
      </w:r>
    </w:p>
    <w:p w14:paraId="3CF0FDC5" w14:textId="77777777" w:rsidR="00C103F2" w:rsidRDefault="00683B84" w:rsidP="00FA0FBC">
      <w:pPr>
        <w:ind w:left="360"/>
      </w:pPr>
      <w:r>
        <w:t>5</w:t>
      </w:r>
      <w:r w:rsidR="00C103F2">
        <w:t>.3.5. Asset Management</w:t>
      </w:r>
    </w:p>
    <w:p w14:paraId="04444051" w14:textId="76343E95" w:rsidR="00CC2926" w:rsidRPr="00A77658" w:rsidRDefault="00B13A7A" w:rsidP="00FA0FBC">
      <w:pPr>
        <w:ind w:left="360"/>
      </w:pPr>
      <w:r w:rsidRPr="00A77658">
        <w:t>Assets are managed</w:t>
      </w:r>
      <w:r w:rsidR="00A77658" w:rsidRPr="00A77658">
        <w:t xml:space="preserve"> and recorded</w:t>
      </w:r>
      <w:r w:rsidRPr="00A77658">
        <w:t xml:space="preserve"> by the in country team. </w:t>
      </w:r>
      <w:r w:rsidR="00A77658" w:rsidRPr="00A77658">
        <w:t xml:space="preserve">The </w:t>
      </w:r>
      <w:r w:rsidR="00905F62" w:rsidRPr="00A77658">
        <w:t>team has fully embraced this requirement and records</w:t>
      </w:r>
      <w:r w:rsidR="00A77658" w:rsidRPr="00A77658">
        <w:t xml:space="preserve"> even the smallest of assets. In preparation of the handover report for the incumbent managing contractor, the asset register was checked and updated with condition reports. </w:t>
      </w:r>
    </w:p>
    <w:p w14:paraId="49641D6C" w14:textId="77777777" w:rsidR="00C103F2" w:rsidRDefault="00683B84" w:rsidP="00FA0FBC">
      <w:pPr>
        <w:ind w:left="360"/>
      </w:pPr>
      <w:r>
        <w:t>5</w:t>
      </w:r>
      <w:r w:rsidR="00C103F2">
        <w:t>.3.6. End of Financial Year Procedures</w:t>
      </w:r>
    </w:p>
    <w:p w14:paraId="20C98257" w14:textId="77777777" w:rsidR="00A53FEB" w:rsidRDefault="00A77658" w:rsidP="00FA0FBC">
      <w:pPr>
        <w:ind w:left="360"/>
      </w:pPr>
      <w:r>
        <w:t xml:space="preserve">During the course of the project, BHI has conducted three Annual Independent Financial Audits as per the conditions of the head contract. In all accounts, BHI </w:t>
      </w:r>
      <w:r w:rsidR="00CB4C8D">
        <w:t>processes were found to comply with the contractual financial procedures and requirements of the agreement.</w:t>
      </w:r>
    </w:p>
    <w:p w14:paraId="4A5A67C1" w14:textId="77777777" w:rsidR="00DE5FCC" w:rsidRDefault="00683B84" w:rsidP="00C103F2">
      <w:pPr>
        <w:ind w:left="360"/>
      </w:pPr>
      <w:r>
        <w:t>5</w:t>
      </w:r>
      <w:r w:rsidR="00C103F2">
        <w:t>.3.7. Risk Management</w:t>
      </w:r>
      <w:r w:rsidR="00DE5FCC">
        <w:t xml:space="preserve"> </w:t>
      </w:r>
    </w:p>
    <w:p w14:paraId="094B2378" w14:textId="77777777" w:rsidR="00B31D47" w:rsidRDefault="00C209BC" w:rsidP="00C103F2">
      <w:pPr>
        <w:ind w:left="360"/>
      </w:pPr>
      <w:r>
        <w:t>BHI risk management policy is established on a foundation of principles articulated in Risk Management – Principles and Guidelines AS/NZS ISO 31000:2009</w:t>
      </w:r>
      <w:r w:rsidR="00E3664A">
        <w:t xml:space="preserve">. </w:t>
      </w:r>
    </w:p>
    <w:p w14:paraId="658BAC21" w14:textId="6F88D22D" w:rsidR="00EE22C6" w:rsidRDefault="00EE22C6" w:rsidP="00C103F2">
      <w:pPr>
        <w:ind w:left="360"/>
      </w:pPr>
      <w:r>
        <w:t xml:space="preserve">In February 2016 an </w:t>
      </w:r>
      <w:r w:rsidR="00CF6D05">
        <w:t>employee in</w:t>
      </w:r>
      <w:r>
        <w:t xml:space="preserve"> the capacity of Finance Officer was suspected of fraud. The BHI </w:t>
      </w:r>
      <w:r w:rsidRPr="00CE5F69">
        <w:rPr>
          <w:i/>
        </w:rPr>
        <w:t>People and Capability</w:t>
      </w:r>
      <w:r>
        <w:t xml:space="preserve"> specialists provided the in country team with advice in terms of the correct course of action and provided tools to the in-country Team Leader and Implementation Advisor to assist with the process. These were speaking notes, Letter of Intent and Letter of Termination. </w:t>
      </w:r>
      <w:r w:rsidR="003B4406">
        <w:t xml:space="preserve"> </w:t>
      </w:r>
    </w:p>
    <w:p w14:paraId="46D2037B" w14:textId="20B5735D" w:rsidR="00EE22C6" w:rsidRDefault="00EE22C6" w:rsidP="00C103F2">
      <w:pPr>
        <w:ind w:left="360"/>
      </w:pPr>
      <w:r>
        <w:t>Managing projects from a distance can also present risks for example in the management of the building of the TVET Centre in Tafea.</w:t>
      </w:r>
      <w:r w:rsidR="00E42EDF">
        <w:t xml:space="preserve"> R</w:t>
      </w:r>
      <w:r>
        <w:t>isk management strategies</w:t>
      </w:r>
      <w:r w:rsidR="00E42EDF">
        <w:t xml:space="preserve"> were</w:t>
      </w:r>
      <w:r>
        <w:t xml:space="preserve"> adopted </w:t>
      </w:r>
      <w:r w:rsidR="00E42EDF">
        <w:t>such as</w:t>
      </w:r>
      <w:r w:rsidR="00D1225B">
        <w:t xml:space="preserve"> </w:t>
      </w:r>
      <w:r w:rsidR="00E42EDF">
        <w:t>in-country approval of</w:t>
      </w:r>
      <w:r w:rsidR="00D1225B">
        <w:t xml:space="preserve"> invoices by requiring photographic evidence of building works before invoices were approved.</w:t>
      </w:r>
      <w:r>
        <w:t xml:space="preserve">  </w:t>
      </w:r>
    </w:p>
    <w:p w14:paraId="2724F144" w14:textId="77777777" w:rsidR="004D4D19" w:rsidRDefault="00683B84" w:rsidP="004D4D19">
      <w:pPr>
        <w:pStyle w:val="Heading1"/>
      </w:pPr>
      <w:bookmarkStart w:id="31" w:name="_Toc456600688"/>
      <w:r>
        <w:t>6</w:t>
      </w:r>
      <w:r w:rsidR="004D4D19" w:rsidRPr="00371725">
        <w:t>.0</w:t>
      </w:r>
      <w:r w:rsidR="004D4D19" w:rsidRPr="00371725">
        <w:tab/>
      </w:r>
      <w:r w:rsidR="004D4D19">
        <w:t>Lessons Learned</w:t>
      </w:r>
      <w:bookmarkEnd w:id="31"/>
    </w:p>
    <w:p w14:paraId="4F4897EB" w14:textId="77777777" w:rsidR="00280B81" w:rsidRPr="00AA7C32" w:rsidRDefault="00280B81" w:rsidP="00280B81">
      <w:r>
        <w:t>The 2015 Independent Evaluation</w:t>
      </w:r>
      <w:r>
        <w:rPr>
          <w:rStyle w:val="FootnoteReference"/>
        </w:rPr>
        <w:footnoteReference w:id="7"/>
      </w:r>
      <w:r>
        <w:t xml:space="preserve"> of the Program identified e</w:t>
      </w:r>
      <w:r w:rsidRPr="00AA7C32">
        <w:t>ight</w:t>
      </w:r>
      <w:r>
        <w:t xml:space="preserve"> key lessons:</w:t>
      </w:r>
    </w:p>
    <w:p w14:paraId="2EF8E086" w14:textId="77777777" w:rsidR="00280B81" w:rsidRDefault="00280B81" w:rsidP="00280B81">
      <w:pPr>
        <w:pStyle w:val="List"/>
      </w:pPr>
      <w:r>
        <w:t>1.</w:t>
      </w:r>
      <w:r>
        <w:tab/>
        <w:t xml:space="preserve">In decentralised contexts with relatively large rural populations, a simultaneous bottom-up and top-down implementation strategy is more likely to support the development of a ‘joined-up’ TVET system in which the three TVET dimensions of strategy, oversight and service delivery are carefully aligned and mutually reinforcing. </w:t>
      </w:r>
    </w:p>
    <w:p w14:paraId="1CCA3977" w14:textId="77777777" w:rsidR="00280B81" w:rsidRDefault="00280B81" w:rsidP="00280B81">
      <w:pPr>
        <w:pStyle w:val="List"/>
      </w:pPr>
      <w:r>
        <w:t>2.</w:t>
      </w:r>
      <w:r>
        <w:tab/>
        <w:t>Cross-sector cooperation amongst a diverse range of public and private stakeholders is essential to the development of an effective TVET system; where this cooperation does not yet exist, it can be facilitated by programs that are sufficiently nimble to work at national, provincial and sectoral levels simultaneously to create critical breakthroughs.</w:t>
      </w:r>
    </w:p>
    <w:p w14:paraId="150B5A55" w14:textId="77777777" w:rsidR="00280B81" w:rsidRDefault="00280B81" w:rsidP="00280B81">
      <w:pPr>
        <w:pStyle w:val="List"/>
      </w:pPr>
      <w:r>
        <w:t>3.</w:t>
      </w:r>
      <w:r>
        <w:tab/>
        <w:t xml:space="preserve">A value-chain approach which links the formal and informal economies but which is grounded in the existing customary order of informality can be a powerful means of transforming sectoral skills development while also facilitating changed behaviour in both economies and fostering private-sector engagement in skills agendas.  </w:t>
      </w:r>
    </w:p>
    <w:p w14:paraId="6F952905" w14:textId="77777777" w:rsidR="00280B81" w:rsidRDefault="00280B81" w:rsidP="00280B81">
      <w:pPr>
        <w:pStyle w:val="List"/>
      </w:pPr>
      <w:r>
        <w:t>4.</w:t>
      </w:r>
      <w:r>
        <w:tab/>
        <w:t xml:space="preserve">Programs that focus on long-term transformations but persistently work day-to-day with the grain of local custom and culture rather than from an externally devised blue-print are more likely to achieve their outcomes and be sustainable.  </w:t>
      </w:r>
    </w:p>
    <w:p w14:paraId="4853A338" w14:textId="77777777" w:rsidR="00280B81" w:rsidRDefault="00280B81" w:rsidP="00280B81">
      <w:pPr>
        <w:pStyle w:val="List"/>
      </w:pPr>
      <w:r>
        <w:t>5.</w:t>
      </w:r>
      <w:r>
        <w:tab/>
        <w:t>An incremental, iterative, participatory and adaptive approach to both system and organisational change in Vanuatu is more likely to ensure those changes are locally sustainable.</w:t>
      </w:r>
    </w:p>
    <w:p w14:paraId="4BA985AB" w14:textId="77777777" w:rsidR="00280B81" w:rsidRDefault="00280B81" w:rsidP="00280B81">
      <w:pPr>
        <w:pStyle w:val="List"/>
      </w:pPr>
      <w:r>
        <w:t>6.</w:t>
      </w:r>
      <w:r>
        <w:tab/>
        <w:t>Consistent, regular, relevant and respectful two-way communication between development programs and country partners helps build consensus and facilitates the emergence of resilient local coalitions and leadership genuinely committed to better development outcomes.</w:t>
      </w:r>
    </w:p>
    <w:p w14:paraId="4179C14B" w14:textId="77777777" w:rsidR="00280B81" w:rsidRDefault="00280B81" w:rsidP="00280B81">
      <w:pPr>
        <w:pStyle w:val="List"/>
      </w:pPr>
      <w:r>
        <w:t>7.</w:t>
      </w:r>
      <w:r>
        <w:tab/>
        <w:t xml:space="preserve">Long-term continuity of both program personnel and DFAT personnel in program design, management, implementation and review allows for the growth of deep local knowledge and skills and the development of mutual trust between the Program and its implementation partners.   </w:t>
      </w:r>
    </w:p>
    <w:p w14:paraId="76F941B8" w14:textId="77777777" w:rsidR="00280B81" w:rsidRDefault="00280B81" w:rsidP="00280B81">
      <w:pPr>
        <w:pStyle w:val="List"/>
      </w:pPr>
      <w:r>
        <w:t>8.</w:t>
      </w:r>
      <w:r>
        <w:tab/>
        <w:t>The wider relationship between Australia and partner governments can be strengthened through actions that demonstrate a very long-term commitment to supporting a mutually agreed priority development agenda and in doing so opens up new opportunities to work cross-sectorally both in the country and regionally and enhances Australia’s reputation as a trusted, committed, and knowledgeable development partner.</w:t>
      </w:r>
    </w:p>
    <w:p w14:paraId="535B2A20" w14:textId="2978DB72" w:rsidR="007D56D4" w:rsidRDefault="007D56D4" w:rsidP="007D56D4">
      <w:r>
        <w:t>From the perspective of BHI</w:t>
      </w:r>
      <w:r w:rsidR="00280B81">
        <w:t xml:space="preserve"> as Managing Contractor</w:t>
      </w:r>
      <w:r>
        <w:t xml:space="preserve">, the </w:t>
      </w:r>
      <w:r w:rsidR="00280B81">
        <w:t xml:space="preserve">Program </w:t>
      </w:r>
      <w:r>
        <w:t xml:space="preserve">has been an enriching collaboration between the TVET Vanuatu team, international advisors and the BHI team. Vanuatu operates with emerging business practices and BHI operations are highly structured and legislated processes. </w:t>
      </w:r>
    </w:p>
    <w:p w14:paraId="6B6BF83F" w14:textId="77777777" w:rsidR="007D56D4" w:rsidRDefault="007D56D4" w:rsidP="007D56D4">
      <w:r>
        <w:t>The financial systems in Vanuatu are manually operated using simple tools like Excel spreadsheets (the cashbook) and paper-based bank statements. To bridge the in country system with BHI financial systems, BHI personnel had embedded the in country financial recording spreadsheet</w:t>
      </w:r>
      <w:r w:rsidR="00936F90">
        <w:t xml:space="preserve"> (the cashbook)</w:t>
      </w:r>
      <w:r>
        <w:t xml:space="preserve"> with coding compatible with BHI accounts and DFAT fund lines. The TVET Finance Manager enters transactions using locally relevant categories selected from a drop down menu, those categories are converted to BHI account code in hidden columns, then when the cashbook is sent to BHI for upload to the financial system, the code is already entered ready to be bridged to BHI journals and invoiced to DFAT. This process has been a success of the program because it has provided local personnel with a simple way to manage accounts. It was using a widely-used, inexpensive application (Excel) that could be easily implemented elsewhere.</w:t>
      </w:r>
    </w:p>
    <w:p w14:paraId="281F74EF" w14:textId="77777777" w:rsidR="007D56D4" w:rsidRDefault="007D56D4" w:rsidP="007D56D4">
      <w:r>
        <w:t xml:space="preserve">The TVET accounts comprise many small transactions. Due to the manual involvement in recording, there is a high risk of transactional error. Furthermore, the economy in Vanuatu often involves drawing cash from the bank from a cheque (to pay for activities) then banking the change (credit transaction). These </w:t>
      </w:r>
      <w:r w:rsidR="00AB5AD7">
        <w:t xml:space="preserve">and end of financial year processes can </w:t>
      </w:r>
      <w:r>
        <w:t>result in credit balances in lines</w:t>
      </w:r>
      <w:r w:rsidR="00AB5AD7">
        <w:t xml:space="preserve">. Credits </w:t>
      </w:r>
      <w:r>
        <w:t xml:space="preserve">  could not be invoiced to DFAT and were accrued to the following month(s)</w:t>
      </w:r>
      <w:r w:rsidR="00AB5AD7">
        <w:t xml:space="preserve"> through a BHI </w:t>
      </w:r>
      <w:r>
        <w:t>manual adjustment process</w:t>
      </w:r>
      <w:r w:rsidR="00AB5AD7">
        <w:t xml:space="preserve">. </w:t>
      </w:r>
      <w:r>
        <w:t xml:space="preserve">The ability to invoice credit balances to DFAT would alleviate some of these </w:t>
      </w:r>
      <w:r w:rsidR="00AB5AD7">
        <w:t>complicated adjustments and make book-keeping more straightforward</w:t>
      </w:r>
      <w:r>
        <w:t>.</w:t>
      </w:r>
    </w:p>
    <w:p w14:paraId="59D5CBF7" w14:textId="77777777" w:rsidR="008453F3" w:rsidRDefault="008453F3" w:rsidP="008453F3">
      <w:r>
        <w:t xml:space="preserve">Financial </w:t>
      </w:r>
      <w:r w:rsidR="007F2187">
        <w:t>management has</w:t>
      </w:r>
      <w:r>
        <w:t xml:space="preserve"> required the reconciliation of multiple sources of record: the cashbook, the budget tracker, BHI journal/invoices and DFAT records. When differences arise, identifying and correcting root-causes has involved detailed analysis, representing significant commitment of time.</w:t>
      </w:r>
    </w:p>
    <w:p w14:paraId="79FEA615" w14:textId="77777777" w:rsidR="00E159A7" w:rsidRDefault="007D56D4" w:rsidP="007D56D4">
      <w:r>
        <w:t xml:space="preserve">Managing perceptions has been a challenge. </w:t>
      </w:r>
      <w:r w:rsidR="00B13A7A">
        <w:t xml:space="preserve">BHI has appointed the International Advisors to manage in country relations. The performance of those advisors has been reviewed favourably in the PPA however it has limited </w:t>
      </w:r>
      <w:r w:rsidR="00F52C1E">
        <w:t xml:space="preserve">the need for </w:t>
      </w:r>
      <w:r w:rsidR="00B13A7A">
        <w:t>direct involvement between the BHI administration team in Australia and the team in Vanuatu</w:t>
      </w:r>
      <w:r w:rsidR="00AB5AD7">
        <w:t xml:space="preserve"> leading to risk of communication breakdown</w:t>
      </w:r>
      <w:r w:rsidR="00B13A7A">
        <w:t>.</w:t>
      </w:r>
      <w:r w:rsidR="00AB5AD7">
        <w:t xml:space="preserve"> For example,</w:t>
      </w:r>
      <w:r w:rsidR="00B13A7A">
        <w:t xml:space="preserve"> </w:t>
      </w:r>
      <w:r w:rsidR="00F52C1E">
        <w:t>BHI takes time to process transactions and contracts through its legislated and vigorous quality control system</w:t>
      </w:r>
      <w:r w:rsidR="00AB5AD7">
        <w:t xml:space="preserve"> and the delegation process. A</w:t>
      </w:r>
      <w:r w:rsidR="00F52C1E">
        <w:t>t times, th</w:t>
      </w:r>
      <w:r w:rsidR="00AB5AD7">
        <w:t xml:space="preserve">e timeliness of processing </w:t>
      </w:r>
      <w:r w:rsidR="00F52C1E">
        <w:t xml:space="preserve">may have been </w:t>
      </w:r>
      <w:r w:rsidR="008453F3">
        <w:t>p</w:t>
      </w:r>
      <w:r w:rsidR="00F52C1E">
        <w:t>erce</w:t>
      </w:r>
      <w:r w:rsidR="008453F3">
        <w:t>ived</w:t>
      </w:r>
      <w:r w:rsidR="00F52C1E">
        <w:t xml:space="preserve"> </w:t>
      </w:r>
      <w:r w:rsidR="008453F3">
        <w:t>as poor</w:t>
      </w:r>
      <w:r w:rsidR="00F52C1E">
        <w:t xml:space="preserve"> prioritising </w:t>
      </w:r>
      <w:r w:rsidR="008453F3">
        <w:t xml:space="preserve">of </w:t>
      </w:r>
      <w:r w:rsidR="00F52C1E">
        <w:t xml:space="preserve">TVET matters or </w:t>
      </w:r>
      <w:r w:rsidR="008453F3">
        <w:t>in</w:t>
      </w:r>
      <w:r w:rsidR="00F52C1E">
        <w:t>flexibility</w:t>
      </w:r>
      <w:r>
        <w:t xml:space="preserve">.  </w:t>
      </w:r>
    </w:p>
    <w:p w14:paraId="39366E4A" w14:textId="7B8C1A49" w:rsidR="004D4D19" w:rsidRDefault="00683B84" w:rsidP="004D4D19">
      <w:pPr>
        <w:pStyle w:val="Heading1"/>
      </w:pPr>
      <w:bookmarkStart w:id="32" w:name="_Toc456600689"/>
      <w:r>
        <w:t>7</w:t>
      </w:r>
      <w:r w:rsidR="004D4D19">
        <w:t>.0</w:t>
      </w:r>
      <w:r w:rsidR="004D4D19">
        <w:tab/>
        <w:t>Summary</w:t>
      </w:r>
      <w:bookmarkEnd w:id="32"/>
    </w:p>
    <w:p w14:paraId="7831CDB1" w14:textId="77777777" w:rsidR="005E01CD" w:rsidRDefault="00280B81" w:rsidP="004B5FA2">
      <w:r>
        <w:t>Phase 3 of the Vanuatu TVET Sector Strengthening Program</w:t>
      </w:r>
      <w:r w:rsidR="0006356B">
        <w:t xml:space="preserve"> has continued successfully over the past 40 months with Box Hill Institute as the Managing Contractor supporting and facilitating the work of a strong and experienced in-country team.</w:t>
      </w:r>
    </w:p>
    <w:p w14:paraId="29AD0413" w14:textId="1C876C0C" w:rsidR="0006356B" w:rsidRDefault="0006356B" w:rsidP="004B5FA2">
      <w:r>
        <w:t xml:space="preserve">During this period the Program grew substantially with the addition of two new Provincial TVET Centres. Program staffing grew commensurately to 33 full time staff spread across 5 Program locations. Of particular significance is the fact that during Phase 3 the in-country team was comprised entirely of </w:t>
      </w:r>
      <w:r w:rsidR="0035383B">
        <w:t>ni</w:t>
      </w:r>
      <w:r>
        <w:t xml:space="preserve">-Vanuatu personnel including the Team Leader. </w:t>
      </w:r>
    </w:p>
    <w:p w14:paraId="6D8221A5" w14:textId="77777777" w:rsidR="00443F30" w:rsidRDefault="0006356B" w:rsidP="004B5FA2">
      <w:r>
        <w:t xml:space="preserve">Importantly, despite natural calamities such as Cyclone Pam in 2015, the Program has continued to deliver improved economic outcomes for participants of the </w:t>
      </w:r>
      <w:r w:rsidR="00443F30">
        <w:t xml:space="preserve">Program facilitated skill development activities including both accredited training, coaching and mentoring, and other business development support services. </w:t>
      </w:r>
      <w:r w:rsidR="008931E0">
        <w:t>As evidenced by the extensive Program monitoring and evaluation reports, d</w:t>
      </w:r>
      <w:r w:rsidR="00443F30">
        <w:t>ecentralised and flexible service delivery has expanded access to economic outcomes derived from skill development for women and people with a disability.</w:t>
      </w:r>
    </w:p>
    <w:p w14:paraId="3451A17E" w14:textId="18EAC715" w:rsidR="0006356B" w:rsidRDefault="00443F30" w:rsidP="004B5FA2">
      <w:r>
        <w:t xml:space="preserve">National system development has continued with the repeal of the VNTC Act and the formation of the Vanuatu Qualifications Authority. The Program supported restructure of the Ministry of Education and its transformation to becoming the Ministry of Education and Training with a new Tertiary Education Directorate has also been an important development culminating in the finalisation of </w:t>
      </w:r>
      <w:r w:rsidR="00831BE8">
        <w:t>the National</w:t>
      </w:r>
      <w:r>
        <w:t xml:space="preserve"> Post-School Education and Training Policy by the end of Phase 3.</w:t>
      </w:r>
    </w:p>
    <w:p w14:paraId="3AAD1DA4" w14:textId="77777777" w:rsidR="00443F30" w:rsidRDefault="00443F30" w:rsidP="004B5FA2">
      <w:r>
        <w:t>Coordination structures have continued to be built including the agreements for the deployment of funding from the Pacific Women Shaping Pacific Development and the Governance for Growth initiatives. Sectoral MOUs have been established with a range of different agencies.</w:t>
      </w:r>
    </w:p>
    <w:p w14:paraId="31E035AC" w14:textId="1EBADA44" w:rsidR="00280B81" w:rsidRDefault="00186F11" w:rsidP="004B5FA2">
      <w:r>
        <w:t>The growth and complexity of Program operations in-country have created challenges for Box Hill Institute as the managing contractor at a time when itself, through external factors, was undergoing internal structural reform. Competing priorities have needed to be managed. While it has been difficult at times, the continuing success of the Program is reflective of the efforts of the in-country team, the DFAT Post in Vanuatu, and the on-going support and assistance they have been provided by BHI as the managing contractor.</w:t>
      </w:r>
    </w:p>
    <w:p w14:paraId="0177D50A" w14:textId="77777777" w:rsidR="00616F62" w:rsidRPr="004B5FA2" w:rsidRDefault="00616F62" w:rsidP="004B5FA2"/>
    <w:p w14:paraId="6D349408" w14:textId="77777777" w:rsidR="00616F62" w:rsidRDefault="00616F62" w:rsidP="004D4D19">
      <w:pPr>
        <w:pStyle w:val="Heading1"/>
        <w:sectPr w:rsidR="00616F62" w:rsidSect="00DC6407">
          <w:headerReference w:type="even" r:id="rId35"/>
          <w:footerReference w:type="first" r:id="rId36"/>
          <w:pgSz w:w="11900" w:h="16840" w:code="9"/>
          <w:pgMar w:top="1134" w:right="1077" w:bottom="907" w:left="1701" w:header="567" w:footer="431" w:gutter="0"/>
          <w:pgNumType w:start="1"/>
          <w:cols w:space="720"/>
          <w:titlePg/>
          <w:docGrid w:linePitch="360"/>
        </w:sectPr>
      </w:pPr>
    </w:p>
    <w:p w14:paraId="151FE7FA" w14:textId="77777777" w:rsidR="004D4D19" w:rsidRDefault="00683B84" w:rsidP="004D4D19">
      <w:pPr>
        <w:pStyle w:val="Heading1"/>
      </w:pPr>
      <w:bookmarkStart w:id="33" w:name="_Toc456600690"/>
      <w:r>
        <w:t>8</w:t>
      </w:r>
      <w:r w:rsidR="004D4D19">
        <w:t>.0</w:t>
      </w:r>
      <w:r w:rsidR="004D4D19">
        <w:tab/>
      </w:r>
      <w:r w:rsidR="004D4D19">
        <w:tab/>
        <w:t>Annexes</w:t>
      </w:r>
      <w:bookmarkEnd w:id="33"/>
    </w:p>
    <w:p w14:paraId="04132496" w14:textId="77777777" w:rsidR="00233461" w:rsidRDefault="00233461" w:rsidP="004B5FA2"/>
    <w:p w14:paraId="6D6F3BE5" w14:textId="77777777" w:rsidR="00616F62" w:rsidRDefault="00616F62" w:rsidP="004B5FA2"/>
    <w:p w14:paraId="5F59C33D" w14:textId="77777777" w:rsidR="00616F62" w:rsidRDefault="00616F62" w:rsidP="004B5FA2">
      <w:pPr>
        <w:sectPr w:rsidR="00616F62" w:rsidSect="00DC6407">
          <w:pgSz w:w="11900" w:h="16840" w:code="9"/>
          <w:pgMar w:top="1134" w:right="1077" w:bottom="907" w:left="1701" w:header="567" w:footer="431" w:gutter="0"/>
          <w:pgNumType w:start="1"/>
          <w:cols w:space="720"/>
          <w:titlePg/>
          <w:docGrid w:linePitch="360"/>
        </w:sectPr>
      </w:pPr>
    </w:p>
    <w:p w14:paraId="11A3EF87" w14:textId="77777777" w:rsidR="00616F62" w:rsidRDefault="00616F62" w:rsidP="00616F62">
      <w:pPr>
        <w:pStyle w:val="Heading2"/>
      </w:pPr>
      <w:bookmarkStart w:id="34" w:name="_Toc456600691"/>
      <w:r>
        <w:t xml:space="preserve">8.1 </w:t>
      </w:r>
      <w:r>
        <w:tab/>
        <w:t>Resource Schedule</w:t>
      </w:r>
      <w:bookmarkEnd w:id="34"/>
    </w:p>
    <w:p w14:paraId="5928C4E4" w14:textId="77777777" w:rsidR="00616F62" w:rsidRDefault="00616F62" w:rsidP="00616F62">
      <w:r>
        <w:t>Long term local personnel inputs by year</w:t>
      </w:r>
      <w:r w:rsidR="002A3C81">
        <w:t>:</w:t>
      </w:r>
      <w:r>
        <w:t xml:space="preserve"> </w:t>
      </w:r>
    </w:p>
    <w:p w14:paraId="0C16372C" w14:textId="77777777" w:rsidR="00233461" w:rsidRDefault="00616F62" w:rsidP="004B5FA2">
      <w:r w:rsidRPr="00233461">
        <w:rPr>
          <w:noProof/>
          <w:lang w:val="en-AU" w:eastAsia="en-AU"/>
        </w:rPr>
        <w:drawing>
          <wp:anchor distT="0" distB="0" distL="114300" distR="114300" simplePos="0" relativeHeight="251663360" behindDoc="1" locked="0" layoutInCell="1" allowOverlap="1" wp14:anchorId="70FE196F" wp14:editId="5F22AC23">
            <wp:simplePos x="0" y="0"/>
            <wp:positionH relativeFrom="column">
              <wp:posOffset>-3811</wp:posOffset>
            </wp:positionH>
            <wp:positionV relativeFrom="paragraph">
              <wp:posOffset>8890</wp:posOffset>
            </wp:positionV>
            <wp:extent cx="7972425" cy="52786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977539" cy="5282072"/>
                    </a:xfrm>
                    <a:prstGeom prst="rect">
                      <a:avLst/>
                    </a:prstGeom>
                  </pic:spPr>
                </pic:pic>
              </a:graphicData>
            </a:graphic>
            <wp14:sizeRelH relativeFrom="page">
              <wp14:pctWidth>0</wp14:pctWidth>
            </wp14:sizeRelH>
            <wp14:sizeRelV relativeFrom="page">
              <wp14:pctHeight>0</wp14:pctHeight>
            </wp14:sizeRelV>
          </wp:anchor>
        </w:drawing>
      </w:r>
    </w:p>
    <w:p w14:paraId="4B4F4C61" w14:textId="77777777" w:rsidR="00233461" w:rsidRDefault="00233461" w:rsidP="004B5FA2"/>
    <w:p w14:paraId="2B9803BF" w14:textId="77777777" w:rsidR="00ED67BC" w:rsidRDefault="00ED67BC" w:rsidP="004B5FA2"/>
    <w:p w14:paraId="01D48D62" w14:textId="77777777" w:rsidR="00ED67BC" w:rsidRDefault="00ED67BC" w:rsidP="004B5FA2"/>
    <w:p w14:paraId="524097A8" w14:textId="77777777" w:rsidR="00ED67BC" w:rsidRDefault="00ED67BC" w:rsidP="004B5FA2"/>
    <w:p w14:paraId="1306E493" w14:textId="77777777" w:rsidR="00ED67BC" w:rsidRDefault="00ED67BC" w:rsidP="004B5FA2"/>
    <w:p w14:paraId="0A7B8C09" w14:textId="77777777" w:rsidR="00ED67BC" w:rsidRDefault="00ED67BC" w:rsidP="004B5FA2"/>
    <w:p w14:paraId="40B7E453" w14:textId="77777777" w:rsidR="00ED67BC" w:rsidRDefault="00ED67BC" w:rsidP="004B5FA2"/>
    <w:p w14:paraId="69BF20B0" w14:textId="77777777" w:rsidR="00ED67BC" w:rsidRDefault="00ED67BC" w:rsidP="004B5FA2"/>
    <w:p w14:paraId="6455E64A" w14:textId="77777777" w:rsidR="00ED67BC" w:rsidRDefault="00ED67BC" w:rsidP="004B5FA2"/>
    <w:p w14:paraId="4E70835E" w14:textId="77777777" w:rsidR="00ED67BC" w:rsidRDefault="00ED67BC" w:rsidP="004B5FA2"/>
    <w:p w14:paraId="4D6C88DC" w14:textId="77777777" w:rsidR="00ED67BC" w:rsidRDefault="00ED67BC" w:rsidP="004B5FA2"/>
    <w:p w14:paraId="57CB4659" w14:textId="77777777" w:rsidR="00ED67BC" w:rsidRDefault="00ED67BC" w:rsidP="004B5FA2"/>
    <w:p w14:paraId="2C56A9C9" w14:textId="77777777" w:rsidR="00ED67BC" w:rsidRDefault="00ED67BC" w:rsidP="004B5FA2"/>
    <w:p w14:paraId="13BC5B9D" w14:textId="77777777" w:rsidR="00ED67BC" w:rsidRDefault="00ED67BC" w:rsidP="004B5FA2"/>
    <w:p w14:paraId="3C135679" w14:textId="77777777" w:rsidR="00ED67BC" w:rsidRDefault="00ED67BC" w:rsidP="004B5FA2"/>
    <w:p w14:paraId="4CE941E3" w14:textId="77777777" w:rsidR="00ED67BC" w:rsidRDefault="00ED67BC" w:rsidP="004B5FA2"/>
    <w:p w14:paraId="2B918AD1" w14:textId="77777777" w:rsidR="00ED67BC" w:rsidRDefault="00ED67BC" w:rsidP="004B5FA2"/>
    <w:p w14:paraId="0987363E" w14:textId="77777777" w:rsidR="00ED67BC" w:rsidRDefault="00ED67BC" w:rsidP="004B5FA2"/>
    <w:p w14:paraId="2338927C" w14:textId="77777777" w:rsidR="00ED67BC" w:rsidRDefault="00ED67BC" w:rsidP="004B5FA2"/>
    <w:p w14:paraId="4243993B" w14:textId="4FA6E241" w:rsidR="00ED67BC" w:rsidRDefault="00ED67BC" w:rsidP="00ED67BC">
      <w:pPr>
        <w:pStyle w:val="Heading2"/>
      </w:pPr>
      <w:r>
        <w:t xml:space="preserve">8.2 </w:t>
      </w:r>
      <w:r>
        <w:tab/>
      </w:r>
      <w:r w:rsidR="0061634B">
        <w:t>Sample Budget Tracker</w:t>
      </w:r>
    </w:p>
    <w:p w14:paraId="70FC4674" w14:textId="2F090F9B" w:rsidR="0061634B" w:rsidRPr="0061634B" w:rsidRDefault="0061634B" w:rsidP="0061634B"/>
    <w:p w14:paraId="2021BC37" w14:textId="09A86EE0" w:rsidR="0061634B" w:rsidRDefault="0061634B" w:rsidP="003776F9">
      <w:r>
        <w:rPr>
          <w:noProof/>
          <w:lang w:val="en-AU" w:eastAsia="en-AU"/>
        </w:rPr>
        <mc:AlternateContent>
          <mc:Choice Requires="wps">
            <w:drawing>
              <wp:anchor distT="0" distB="0" distL="114300" distR="114300" simplePos="0" relativeHeight="251671552" behindDoc="0" locked="0" layoutInCell="1" allowOverlap="1" wp14:anchorId="7BA6B92F" wp14:editId="72084D7F">
                <wp:simplePos x="0" y="0"/>
                <wp:positionH relativeFrom="column">
                  <wp:align>center</wp:align>
                </wp:positionH>
                <wp:positionV relativeFrom="paragraph">
                  <wp:posOffset>0</wp:posOffset>
                </wp:positionV>
                <wp:extent cx="8667750" cy="41814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4181475"/>
                        </a:xfrm>
                        <a:prstGeom prst="rect">
                          <a:avLst/>
                        </a:prstGeom>
                        <a:solidFill>
                          <a:srgbClr val="FFFFFF"/>
                        </a:solidFill>
                        <a:ln w="9525">
                          <a:noFill/>
                          <a:miter lim="800000"/>
                          <a:headEnd/>
                          <a:tailEnd/>
                        </a:ln>
                      </wps:spPr>
                      <wps:txbx>
                        <w:txbxContent>
                          <w:p w14:paraId="0275649A" w14:textId="3A24A693" w:rsidR="00E511EA" w:rsidRDefault="00E511EA">
                            <w:r>
                              <w:rPr>
                                <w:noProof/>
                                <w:lang w:val="en-AU" w:eastAsia="en-AU"/>
                              </w:rPr>
                              <w:drawing>
                                <wp:inline distT="0" distB="0" distL="0" distR="0" wp14:anchorId="3DE9ED15" wp14:editId="7863BD14">
                                  <wp:extent cx="8475980" cy="3345571"/>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5980" cy="33455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6B92F" id="_x0000_s1027" type="#_x0000_t202" style="position:absolute;margin-left:0;margin-top:0;width:682.5pt;height:329.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" stroked="f">
                <v:textbox>
                  <w:txbxContent>
                    <w:p w14:paraId="0275649A" w14:textId="3A24A693" w:rsidR="00E511EA" w:rsidRDefault="00E511EA">
                      <w:r>
                        <w:rPr>
                          <w:noProof/>
                          <w:lang w:val="en-AU" w:eastAsia="en-AU"/>
                        </w:rPr>
                        <w:drawing>
                          <wp:inline distT="0" distB="0" distL="0" distR="0" wp14:anchorId="3DE9ED15" wp14:editId="7863BD14">
                            <wp:extent cx="8475980" cy="3345571"/>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5980" cy="3345571"/>
                                    </a:xfrm>
                                    <a:prstGeom prst="rect">
                                      <a:avLst/>
                                    </a:prstGeom>
                                    <a:noFill/>
                                    <a:ln>
                                      <a:noFill/>
                                    </a:ln>
                                  </pic:spPr>
                                </pic:pic>
                              </a:graphicData>
                            </a:graphic>
                          </wp:inline>
                        </w:drawing>
                      </w:r>
                    </w:p>
                  </w:txbxContent>
                </v:textbox>
              </v:shape>
            </w:pict>
          </mc:Fallback>
        </mc:AlternateContent>
      </w:r>
    </w:p>
    <w:p w14:paraId="69673F0A" w14:textId="77777777" w:rsidR="0061634B" w:rsidRDefault="0061634B">
      <w:pPr>
        <w:widowControl/>
        <w:spacing w:before="0" w:after="0"/>
      </w:pPr>
      <w:r>
        <w:br w:type="page"/>
      </w:r>
    </w:p>
    <w:p w14:paraId="325E4908" w14:textId="403CFD30" w:rsidR="0061634B" w:rsidRDefault="00216457" w:rsidP="0061634B">
      <w:pPr>
        <w:pStyle w:val="Heading2"/>
      </w:pPr>
      <w:r>
        <w:t xml:space="preserve">8.3 </w:t>
      </w:r>
      <w:r>
        <w:tab/>
        <w:t>Summary Expenditure by Year to Budget</w:t>
      </w:r>
    </w:p>
    <w:p w14:paraId="66248F58" w14:textId="2559B210" w:rsidR="0061634B" w:rsidRPr="0061634B" w:rsidRDefault="0061634B" w:rsidP="0061634B"/>
    <w:tbl>
      <w:tblPr>
        <w:tblW w:w="15140" w:type="dxa"/>
        <w:tblInd w:w="93" w:type="dxa"/>
        <w:tblLook w:val="04A0" w:firstRow="1" w:lastRow="0" w:firstColumn="1" w:lastColumn="0" w:noHBand="0" w:noVBand="1"/>
      </w:tblPr>
      <w:tblGrid>
        <w:gridCol w:w="7700"/>
        <w:gridCol w:w="1107"/>
        <w:gridCol w:w="1107"/>
        <w:gridCol w:w="1107"/>
        <w:gridCol w:w="1180"/>
        <w:gridCol w:w="1110"/>
        <w:gridCol w:w="1107"/>
        <w:gridCol w:w="940"/>
      </w:tblGrid>
      <w:tr w:rsidR="00216457" w:rsidRPr="00216457" w14:paraId="62722279" w14:textId="77777777" w:rsidTr="00216457">
        <w:trPr>
          <w:trHeight w:val="960"/>
        </w:trPr>
        <w:tc>
          <w:tcPr>
            <w:tcW w:w="7700" w:type="dxa"/>
            <w:tcBorders>
              <w:top w:val="single" w:sz="8" w:space="0" w:color="auto"/>
              <w:left w:val="nil"/>
              <w:bottom w:val="single" w:sz="8" w:space="0" w:color="auto"/>
              <w:right w:val="nil"/>
            </w:tcBorders>
            <w:shd w:val="clear" w:color="auto" w:fill="auto"/>
            <w:noWrap/>
            <w:vAlign w:val="center"/>
            <w:hideMark/>
          </w:tcPr>
          <w:p w14:paraId="27911403"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By financial year, budgets and expenditure by primary budget categories</w:t>
            </w:r>
          </w:p>
        </w:tc>
        <w:tc>
          <w:tcPr>
            <w:tcW w:w="1060" w:type="dxa"/>
            <w:tcBorders>
              <w:top w:val="single" w:sz="8" w:space="0" w:color="auto"/>
              <w:left w:val="nil"/>
              <w:bottom w:val="single" w:sz="8" w:space="0" w:color="auto"/>
              <w:right w:val="nil"/>
            </w:tcBorders>
            <w:shd w:val="clear" w:color="auto" w:fill="auto"/>
            <w:noWrap/>
            <w:vAlign w:val="center"/>
            <w:hideMark/>
          </w:tcPr>
          <w:p w14:paraId="03B98C70"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2013</w:t>
            </w:r>
          </w:p>
        </w:tc>
        <w:tc>
          <w:tcPr>
            <w:tcW w:w="1060" w:type="dxa"/>
            <w:tcBorders>
              <w:top w:val="single" w:sz="8" w:space="0" w:color="auto"/>
              <w:left w:val="nil"/>
              <w:bottom w:val="single" w:sz="8" w:space="0" w:color="auto"/>
              <w:right w:val="nil"/>
            </w:tcBorders>
            <w:shd w:val="clear" w:color="auto" w:fill="auto"/>
            <w:noWrap/>
            <w:vAlign w:val="center"/>
            <w:hideMark/>
          </w:tcPr>
          <w:p w14:paraId="004D53E6"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2014</w:t>
            </w:r>
          </w:p>
        </w:tc>
        <w:tc>
          <w:tcPr>
            <w:tcW w:w="1060" w:type="dxa"/>
            <w:tcBorders>
              <w:top w:val="single" w:sz="8" w:space="0" w:color="auto"/>
              <w:left w:val="nil"/>
              <w:bottom w:val="single" w:sz="8" w:space="0" w:color="auto"/>
              <w:right w:val="nil"/>
            </w:tcBorders>
            <w:shd w:val="clear" w:color="auto" w:fill="auto"/>
            <w:noWrap/>
            <w:vAlign w:val="center"/>
            <w:hideMark/>
          </w:tcPr>
          <w:p w14:paraId="31983C4D"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2015</w:t>
            </w:r>
          </w:p>
        </w:tc>
        <w:tc>
          <w:tcPr>
            <w:tcW w:w="1180" w:type="dxa"/>
            <w:tcBorders>
              <w:top w:val="single" w:sz="8" w:space="0" w:color="auto"/>
              <w:left w:val="nil"/>
              <w:bottom w:val="single" w:sz="8" w:space="0" w:color="auto"/>
              <w:right w:val="nil"/>
            </w:tcBorders>
            <w:shd w:val="clear" w:color="auto" w:fill="auto"/>
            <w:noWrap/>
            <w:vAlign w:val="center"/>
            <w:hideMark/>
          </w:tcPr>
          <w:p w14:paraId="384E3416"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2016</w:t>
            </w:r>
          </w:p>
        </w:tc>
        <w:tc>
          <w:tcPr>
            <w:tcW w:w="1081" w:type="dxa"/>
            <w:tcBorders>
              <w:top w:val="single" w:sz="8" w:space="0" w:color="auto"/>
              <w:left w:val="nil"/>
              <w:bottom w:val="single" w:sz="8" w:space="0" w:color="auto"/>
              <w:right w:val="nil"/>
            </w:tcBorders>
            <w:shd w:val="clear" w:color="auto" w:fill="auto"/>
            <w:noWrap/>
            <w:vAlign w:val="center"/>
            <w:hideMark/>
          </w:tcPr>
          <w:p w14:paraId="2B30F740"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Total</w:t>
            </w:r>
          </w:p>
        </w:tc>
        <w:tc>
          <w:tcPr>
            <w:tcW w:w="1081" w:type="dxa"/>
            <w:tcBorders>
              <w:top w:val="single" w:sz="8" w:space="0" w:color="auto"/>
              <w:left w:val="nil"/>
              <w:bottom w:val="single" w:sz="8" w:space="0" w:color="auto"/>
              <w:right w:val="nil"/>
            </w:tcBorders>
            <w:shd w:val="clear" w:color="auto" w:fill="auto"/>
            <w:noWrap/>
            <w:vAlign w:val="center"/>
            <w:hideMark/>
          </w:tcPr>
          <w:p w14:paraId="108A2220"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Contract</w:t>
            </w:r>
          </w:p>
        </w:tc>
        <w:tc>
          <w:tcPr>
            <w:tcW w:w="918" w:type="dxa"/>
            <w:tcBorders>
              <w:top w:val="single" w:sz="8" w:space="0" w:color="auto"/>
              <w:left w:val="nil"/>
              <w:bottom w:val="single" w:sz="8" w:space="0" w:color="auto"/>
              <w:right w:val="nil"/>
            </w:tcBorders>
            <w:shd w:val="clear" w:color="auto" w:fill="auto"/>
            <w:vAlign w:val="center"/>
            <w:hideMark/>
          </w:tcPr>
          <w:p w14:paraId="1E4BF13B" w14:textId="77777777" w:rsidR="00216457" w:rsidRPr="00216457" w:rsidRDefault="00216457" w:rsidP="00216457">
            <w:pPr>
              <w:widowControl/>
              <w:spacing w:before="0" w:after="0"/>
              <w:jc w:val="center"/>
              <w:rPr>
                <w:rFonts w:eastAsia="Times New Roman" w:cs="Times New Roman"/>
                <w:b/>
                <w:bCs/>
                <w:color w:val="000000"/>
                <w:lang w:val="en-AU" w:eastAsia="en-AU"/>
              </w:rPr>
            </w:pPr>
            <w:r w:rsidRPr="00216457">
              <w:rPr>
                <w:rFonts w:eastAsia="Times New Roman" w:cs="Times New Roman"/>
                <w:b/>
                <w:bCs/>
                <w:color w:val="000000"/>
                <w:lang w:val="en-AU" w:eastAsia="en-AU"/>
              </w:rPr>
              <w:t>End of Phase 3 Balance</w:t>
            </w:r>
          </w:p>
        </w:tc>
      </w:tr>
      <w:tr w:rsidR="00216457" w:rsidRPr="00216457" w14:paraId="5D3F3B62" w14:textId="77777777" w:rsidTr="00216457">
        <w:trPr>
          <w:trHeight w:val="315"/>
        </w:trPr>
        <w:tc>
          <w:tcPr>
            <w:tcW w:w="7700" w:type="dxa"/>
            <w:tcBorders>
              <w:top w:val="nil"/>
              <w:left w:val="nil"/>
              <w:bottom w:val="nil"/>
              <w:right w:val="nil"/>
            </w:tcBorders>
            <w:shd w:val="clear" w:color="auto" w:fill="auto"/>
            <w:noWrap/>
            <w:vAlign w:val="center"/>
            <w:hideMark/>
          </w:tcPr>
          <w:p w14:paraId="4FA16515"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PEN6465 - Advisor Support Costs</w:t>
            </w:r>
          </w:p>
        </w:tc>
        <w:tc>
          <w:tcPr>
            <w:tcW w:w="1060" w:type="dxa"/>
            <w:tcBorders>
              <w:top w:val="nil"/>
              <w:left w:val="nil"/>
              <w:bottom w:val="nil"/>
              <w:right w:val="nil"/>
            </w:tcBorders>
            <w:shd w:val="clear" w:color="auto" w:fill="auto"/>
            <w:noWrap/>
            <w:vAlign w:val="center"/>
            <w:hideMark/>
          </w:tcPr>
          <w:p w14:paraId="7DAFAA6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51,226</w:t>
            </w:r>
          </w:p>
        </w:tc>
        <w:tc>
          <w:tcPr>
            <w:tcW w:w="1060" w:type="dxa"/>
            <w:tcBorders>
              <w:top w:val="nil"/>
              <w:left w:val="nil"/>
              <w:bottom w:val="nil"/>
              <w:right w:val="nil"/>
            </w:tcBorders>
            <w:shd w:val="clear" w:color="auto" w:fill="auto"/>
            <w:noWrap/>
            <w:vAlign w:val="center"/>
            <w:hideMark/>
          </w:tcPr>
          <w:p w14:paraId="5728E7BD"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87,313</w:t>
            </w:r>
          </w:p>
        </w:tc>
        <w:tc>
          <w:tcPr>
            <w:tcW w:w="1060" w:type="dxa"/>
            <w:tcBorders>
              <w:top w:val="nil"/>
              <w:left w:val="nil"/>
              <w:bottom w:val="nil"/>
              <w:right w:val="nil"/>
            </w:tcBorders>
            <w:shd w:val="clear" w:color="auto" w:fill="auto"/>
            <w:noWrap/>
            <w:vAlign w:val="center"/>
            <w:hideMark/>
          </w:tcPr>
          <w:p w14:paraId="574F3206"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20,288</w:t>
            </w:r>
          </w:p>
        </w:tc>
        <w:tc>
          <w:tcPr>
            <w:tcW w:w="1180" w:type="dxa"/>
            <w:tcBorders>
              <w:top w:val="nil"/>
              <w:left w:val="nil"/>
              <w:bottom w:val="nil"/>
              <w:right w:val="nil"/>
            </w:tcBorders>
            <w:shd w:val="clear" w:color="auto" w:fill="auto"/>
            <w:noWrap/>
            <w:vAlign w:val="center"/>
            <w:hideMark/>
          </w:tcPr>
          <w:p w14:paraId="143EED6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28,898</w:t>
            </w:r>
          </w:p>
        </w:tc>
        <w:tc>
          <w:tcPr>
            <w:tcW w:w="1081" w:type="dxa"/>
            <w:tcBorders>
              <w:top w:val="nil"/>
              <w:left w:val="nil"/>
              <w:bottom w:val="nil"/>
              <w:right w:val="nil"/>
            </w:tcBorders>
            <w:shd w:val="clear" w:color="auto" w:fill="auto"/>
            <w:noWrap/>
            <w:vAlign w:val="center"/>
            <w:hideMark/>
          </w:tcPr>
          <w:p w14:paraId="4D25EDAB"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187,725</w:t>
            </w:r>
          </w:p>
        </w:tc>
        <w:tc>
          <w:tcPr>
            <w:tcW w:w="1081" w:type="dxa"/>
            <w:tcBorders>
              <w:top w:val="nil"/>
              <w:left w:val="nil"/>
              <w:bottom w:val="nil"/>
              <w:right w:val="nil"/>
            </w:tcBorders>
            <w:shd w:val="clear" w:color="auto" w:fill="auto"/>
            <w:noWrap/>
            <w:vAlign w:val="center"/>
            <w:hideMark/>
          </w:tcPr>
          <w:p w14:paraId="431B98E1"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267,776</w:t>
            </w:r>
          </w:p>
        </w:tc>
        <w:tc>
          <w:tcPr>
            <w:tcW w:w="918" w:type="dxa"/>
            <w:tcBorders>
              <w:top w:val="nil"/>
              <w:left w:val="nil"/>
              <w:bottom w:val="nil"/>
              <w:right w:val="nil"/>
            </w:tcBorders>
            <w:shd w:val="clear" w:color="auto" w:fill="auto"/>
            <w:noWrap/>
            <w:vAlign w:val="center"/>
            <w:hideMark/>
          </w:tcPr>
          <w:p w14:paraId="14C4CED3"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80,051</w:t>
            </w:r>
          </w:p>
        </w:tc>
      </w:tr>
      <w:tr w:rsidR="00216457" w:rsidRPr="00216457" w14:paraId="32EF3573" w14:textId="77777777" w:rsidTr="00216457">
        <w:trPr>
          <w:trHeight w:val="315"/>
        </w:trPr>
        <w:tc>
          <w:tcPr>
            <w:tcW w:w="7700" w:type="dxa"/>
            <w:tcBorders>
              <w:top w:val="nil"/>
              <w:left w:val="nil"/>
              <w:bottom w:val="nil"/>
              <w:right w:val="nil"/>
            </w:tcBorders>
            <w:shd w:val="clear" w:color="auto" w:fill="auto"/>
            <w:noWrap/>
            <w:vAlign w:val="center"/>
            <w:hideMark/>
          </w:tcPr>
          <w:p w14:paraId="5DD60A6C"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PEN6480 - Long Term Locally Engaged Personnel</w:t>
            </w:r>
          </w:p>
        </w:tc>
        <w:tc>
          <w:tcPr>
            <w:tcW w:w="1060" w:type="dxa"/>
            <w:tcBorders>
              <w:top w:val="nil"/>
              <w:left w:val="nil"/>
              <w:bottom w:val="nil"/>
              <w:right w:val="nil"/>
            </w:tcBorders>
            <w:shd w:val="clear" w:color="auto" w:fill="auto"/>
            <w:noWrap/>
            <w:vAlign w:val="center"/>
            <w:hideMark/>
          </w:tcPr>
          <w:p w14:paraId="775AB9AE"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500,461</w:t>
            </w:r>
          </w:p>
        </w:tc>
        <w:tc>
          <w:tcPr>
            <w:tcW w:w="1060" w:type="dxa"/>
            <w:tcBorders>
              <w:top w:val="nil"/>
              <w:left w:val="nil"/>
              <w:bottom w:val="nil"/>
              <w:right w:val="nil"/>
            </w:tcBorders>
            <w:shd w:val="clear" w:color="auto" w:fill="auto"/>
            <w:noWrap/>
            <w:vAlign w:val="center"/>
            <w:hideMark/>
          </w:tcPr>
          <w:p w14:paraId="6E92505A"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760,235</w:t>
            </w:r>
          </w:p>
        </w:tc>
        <w:tc>
          <w:tcPr>
            <w:tcW w:w="1060" w:type="dxa"/>
            <w:tcBorders>
              <w:top w:val="nil"/>
              <w:left w:val="nil"/>
              <w:bottom w:val="nil"/>
              <w:right w:val="nil"/>
            </w:tcBorders>
            <w:shd w:val="clear" w:color="auto" w:fill="auto"/>
            <w:noWrap/>
            <w:vAlign w:val="center"/>
            <w:hideMark/>
          </w:tcPr>
          <w:p w14:paraId="7E218E8B"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776,524</w:t>
            </w:r>
          </w:p>
        </w:tc>
        <w:tc>
          <w:tcPr>
            <w:tcW w:w="1180" w:type="dxa"/>
            <w:tcBorders>
              <w:top w:val="nil"/>
              <w:left w:val="nil"/>
              <w:bottom w:val="nil"/>
              <w:right w:val="nil"/>
            </w:tcBorders>
            <w:shd w:val="clear" w:color="auto" w:fill="auto"/>
            <w:noWrap/>
            <w:vAlign w:val="center"/>
            <w:hideMark/>
          </w:tcPr>
          <w:p w14:paraId="68666274"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488,917</w:t>
            </w:r>
          </w:p>
        </w:tc>
        <w:tc>
          <w:tcPr>
            <w:tcW w:w="1081" w:type="dxa"/>
            <w:tcBorders>
              <w:top w:val="nil"/>
              <w:left w:val="nil"/>
              <w:bottom w:val="nil"/>
              <w:right w:val="nil"/>
            </w:tcBorders>
            <w:shd w:val="clear" w:color="auto" w:fill="auto"/>
            <w:noWrap/>
            <w:vAlign w:val="center"/>
            <w:hideMark/>
          </w:tcPr>
          <w:p w14:paraId="3ADBF500"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2,526,137</w:t>
            </w:r>
          </w:p>
        </w:tc>
        <w:tc>
          <w:tcPr>
            <w:tcW w:w="1081" w:type="dxa"/>
            <w:tcBorders>
              <w:top w:val="nil"/>
              <w:left w:val="nil"/>
              <w:bottom w:val="nil"/>
              <w:right w:val="nil"/>
            </w:tcBorders>
            <w:shd w:val="clear" w:color="auto" w:fill="auto"/>
            <w:noWrap/>
            <w:vAlign w:val="center"/>
            <w:hideMark/>
          </w:tcPr>
          <w:p w14:paraId="2352DA51"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2,484,837</w:t>
            </w:r>
          </w:p>
        </w:tc>
        <w:tc>
          <w:tcPr>
            <w:tcW w:w="918" w:type="dxa"/>
            <w:tcBorders>
              <w:top w:val="nil"/>
              <w:left w:val="nil"/>
              <w:bottom w:val="nil"/>
              <w:right w:val="nil"/>
            </w:tcBorders>
            <w:shd w:val="clear" w:color="auto" w:fill="auto"/>
            <w:noWrap/>
            <w:vAlign w:val="center"/>
            <w:hideMark/>
          </w:tcPr>
          <w:p w14:paraId="3C8E1CAF"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-41,300</w:t>
            </w:r>
          </w:p>
        </w:tc>
      </w:tr>
      <w:tr w:rsidR="00216457" w:rsidRPr="00216457" w14:paraId="5C740BB4" w14:textId="77777777" w:rsidTr="00216457">
        <w:trPr>
          <w:trHeight w:val="315"/>
        </w:trPr>
        <w:tc>
          <w:tcPr>
            <w:tcW w:w="7700" w:type="dxa"/>
            <w:tcBorders>
              <w:top w:val="nil"/>
              <w:left w:val="nil"/>
              <w:bottom w:val="nil"/>
              <w:right w:val="nil"/>
            </w:tcBorders>
            <w:shd w:val="clear" w:color="auto" w:fill="auto"/>
            <w:noWrap/>
            <w:vAlign w:val="center"/>
            <w:hideMark/>
          </w:tcPr>
          <w:p w14:paraId="1DE24862"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PEN6476 - Short Term Int. Advisors</w:t>
            </w:r>
          </w:p>
        </w:tc>
        <w:tc>
          <w:tcPr>
            <w:tcW w:w="1060" w:type="dxa"/>
            <w:tcBorders>
              <w:top w:val="nil"/>
              <w:left w:val="nil"/>
              <w:bottom w:val="nil"/>
              <w:right w:val="nil"/>
            </w:tcBorders>
            <w:shd w:val="clear" w:color="auto" w:fill="auto"/>
            <w:noWrap/>
            <w:vAlign w:val="center"/>
            <w:hideMark/>
          </w:tcPr>
          <w:p w14:paraId="0CFF95A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67,754</w:t>
            </w:r>
          </w:p>
        </w:tc>
        <w:tc>
          <w:tcPr>
            <w:tcW w:w="1060" w:type="dxa"/>
            <w:tcBorders>
              <w:top w:val="nil"/>
              <w:left w:val="nil"/>
              <w:bottom w:val="nil"/>
              <w:right w:val="nil"/>
            </w:tcBorders>
            <w:shd w:val="clear" w:color="auto" w:fill="auto"/>
            <w:noWrap/>
            <w:vAlign w:val="center"/>
            <w:hideMark/>
          </w:tcPr>
          <w:p w14:paraId="441C9DB4"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172,985</w:t>
            </w:r>
          </w:p>
        </w:tc>
        <w:tc>
          <w:tcPr>
            <w:tcW w:w="1060" w:type="dxa"/>
            <w:tcBorders>
              <w:top w:val="nil"/>
              <w:left w:val="nil"/>
              <w:bottom w:val="nil"/>
              <w:right w:val="nil"/>
            </w:tcBorders>
            <w:shd w:val="clear" w:color="auto" w:fill="auto"/>
            <w:noWrap/>
            <w:vAlign w:val="center"/>
            <w:hideMark/>
          </w:tcPr>
          <w:p w14:paraId="18DAD62A"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171,629</w:t>
            </w:r>
          </w:p>
        </w:tc>
        <w:tc>
          <w:tcPr>
            <w:tcW w:w="1180" w:type="dxa"/>
            <w:tcBorders>
              <w:top w:val="nil"/>
              <w:left w:val="nil"/>
              <w:bottom w:val="nil"/>
              <w:right w:val="nil"/>
            </w:tcBorders>
            <w:shd w:val="clear" w:color="auto" w:fill="auto"/>
            <w:noWrap/>
            <w:vAlign w:val="center"/>
            <w:hideMark/>
          </w:tcPr>
          <w:p w14:paraId="1E56BF9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138,772</w:t>
            </w:r>
          </w:p>
        </w:tc>
        <w:tc>
          <w:tcPr>
            <w:tcW w:w="1081" w:type="dxa"/>
            <w:tcBorders>
              <w:top w:val="nil"/>
              <w:left w:val="nil"/>
              <w:bottom w:val="nil"/>
              <w:right w:val="nil"/>
            </w:tcBorders>
            <w:shd w:val="clear" w:color="auto" w:fill="auto"/>
            <w:noWrap/>
            <w:vAlign w:val="center"/>
            <w:hideMark/>
          </w:tcPr>
          <w:p w14:paraId="0100850F"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551,141</w:t>
            </w:r>
          </w:p>
        </w:tc>
        <w:tc>
          <w:tcPr>
            <w:tcW w:w="1081" w:type="dxa"/>
            <w:tcBorders>
              <w:top w:val="nil"/>
              <w:left w:val="nil"/>
              <w:bottom w:val="nil"/>
              <w:right w:val="nil"/>
            </w:tcBorders>
            <w:shd w:val="clear" w:color="auto" w:fill="auto"/>
            <w:noWrap/>
            <w:vAlign w:val="center"/>
            <w:hideMark/>
          </w:tcPr>
          <w:p w14:paraId="0BFD405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566,218</w:t>
            </w:r>
          </w:p>
        </w:tc>
        <w:tc>
          <w:tcPr>
            <w:tcW w:w="918" w:type="dxa"/>
            <w:tcBorders>
              <w:top w:val="nil"/>
              <w:left w:val="nil"/>
              <w:bottom w:val="nil"/>
              <w:right w:val="nil"/>
            </w:tcBorders>
            <w:shd w:val="clear" w:color="auto" w:fill="auto"/>
            <w:noWrap/>
            <w:vAlign w:val="center"/>
            <w:hideMark/>
          </w:tcPr>
          <w:p w14:paraId="0D99B2FB"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15,077</w:t>
            </w:r>
          </w:p>
        </w:tc>
      </w:tr>
      <w:tr w:rsidR="00216457" w:rsidRPr="00216457" w14:paraId="4BB7D9B8" w14:textId="77777777" w:rsidTr="00216457">
        <w:trPr>
          <w:trHeight w:val="315"/>
        </w:trPr>
        <w:tc>
          <w:tcPr>
            <w:tcW w:w="7700" w:type="dxa"/>
            <w:tcBorders>
              <w:top w:val="nil"/>
              <w:left w:val="nil"/>
              <w:bottom w:val="nil"/>
              <w:right w:val="nil"/>
            </w:tcBorders>
            <w:shd w:val="clear" w:color="auto" w:fill="auto"/>
            <w:noWrap/>
            <w:vAlign w:val="center"/>
            <w:hideMark/>
          </w:tcPr>
          <w:p w14:paraId="6AF1E9A4" w14:textId="3B7F4B92"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PEN6472 - Unalloc</w:t>
            </w:r>
            <w:r w:rsidR="00E914C3">
              <w:rPr>
                <w:rFonts w:eastAsia="Times New Roman" w:cs="Times New Roman"/>
                <w:color w:val="000000"/>
                <w:lang w:val="en-AU" w:eastAsia="en-AU"/>
              </w:rPr>
              <w:t>ated</w:t>
            </w:r>
            <w:r w:rsidRPr="00216457">
              <w:rPr>
                <w:rFonts w:eastAsia="Times New Roman" w:cs="Times New Roman"/>
                <w:color w:val="000000"/>
                <w:lang w:val="en-AU" w:eastAsia="en-AU"/>
              </w:rPr>
              <w:t xml:space="preserve"> Short Term Advisors</w:t>
            </w:r>
          </w:p>
        </w:tc>
        <w:tc>
          <w:tcPr>
            <w:tcW w:w="1060" w:type="dxa"/>
            <w:tcBorders>
              <w:top w:val="nil"/>
              <w:left w:val="nil"/>
              <w:bottom w:val="nil"/>
              <w:right w:val="nil"/>
            </w:tcBorders>
            <w:shd w:val="clear" w:color="auto" w:fill="auto"/>
            <w:noWrap/>
            <w:vAlign w:val="center"/>
            <w:hideMark/>
          </w:tcPr>
          <w:p w14:paraId="5D9D3AA7"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44,143</w:t>
            </w:r>
          </w:p>
        </w:tc>
        <w:tc>
          <w:tcPr>
            <w:tcW w:w="1060" w:type="dxa"/>
            <w:tcBorders>
              <w:top w:val="nil"/>
              <w:left w:val="nil"/>
              <w:bottom w:val="nil"/>
              <w:right w:val="nil"/>
            </w:tcBorders>
            <w:shd w:val="clear" w:color="auto" w:fill="auto"/>
            <w:noWrap/>
            <w:vAlign w:val="center"/>
            <w:hideMark/>
          </w:tcPr>
          <w:p w14:paraId="73DFFF18"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581,158</w:t>
            </w:r>
          </w:p>
        </w:tc>
        <w:tc>
          <w:tcPr>
            <w:tcW w:w="1060" w:type="dxa"/>
            <w:tcBorders>
              <w:top w:val="nil"/>
              <w:left w:val="nil"/>
              <w:bottom w:val="nil"/>
              <w:right w:val="nil"/>
            </w:tcBorders>
            <w:shd w:val="clear" w:color="auto" w:fill="auto"/>
            <w:noWrap/>
            <w:vAlign w:val="center"/>
            <w:hideMark/>
          </w:tcPr>
          <w:p w14:paraId="734A212B"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394,636</w:t>
            </w:r>
          </w:p>
        </w:tc>
        <w:tc>
          <w:tcPr>
            <w:tcW w:w="1180" w:type="dxa"/>
            <w:tcBorders>
              <w:top w:val="nil"/>
              <w:left w:val="nil"/>
              <w:bottom w:val="nil"/>
              <w:right w:val="nil"/>
            </w:tcBorders>
            <w:shd w:val="clear" w:color="auto" w:fill="auto"/>
            <w:noWrap/>
            <w:vAlign w:val="center"/>
            <w:hideMark/>
          </w:tcPr>
          <w:p w14:paraId="7DE76CB9"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76,718</w:t>
            </w:r>
          </w:p>
        </w:tc>
        <w:tc>
          <w:tcPr>
            <w:tcW w:w="1081" w:type="dxa"/>
            <w:tcBorders>
              <w:top w:val="nil"/>
              <w:left w:val="nil"/>
              <w:bottom w:val="nil"/>
              <w:right w:val="nil"/>
            </w:tcBorders>
            <w:shd w:val="clear" w:color="auto" w:fill="auto"/>
            <w:noWrap/>
            <w:vAlign w:val="center"/>
            <w:hideMark/>
          </w:tcPr>
          <w:p w14:paraId="3242EA05"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1,096,655</w:t>
            </w:r>
          </w:p>
        </w:tc>
        <w:tc>
          <w:tcPr>
            <w:tcW w:w="1081" w:type="dxa"/>
            <w:tcBorders>
              <w:top w:val="nil"/>
              <w:left w:val="nil"/>
              <w:bottom w:val="nil"/>
              <w:right w:val="nil"/>
            </w:tcBorders>
            <w:shd w:val="clear" w:color="auto" w:fill="auto"/>
            <w:noWrap/>
            <w:vAlign w:val="center"/>
            <w:hideMark/>
          </w:tcPr>
          <w:p w14:paraId="4C18A28C"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1,150,000</w:t>
            </w:r>
          </w:p>
        </w:tc>
        <w:tc>
          <w:tcPr>
            <w:tcW w:w="918" w:type="dxa"/>
            <w:tcBorders>
              <w:top w:val="nil"/>
              <w:left w:val="nil"/>
              <w:bottom w:val="nil"/>
              <w:right w:val="nil"/>
            </w:tcBorders>
            <w:shd w:val="clear" w:color="auto" w:fill="auto"/>
            <w:noWrap/>
            <w:vAlign w:val="center"/>
            <w:hideMark/>
          </w:tcPr>
          <w:p w14:paraId="6820C1CE"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53,345</w:t>
            </w:r>
          </w:p>
        </w:tc>
      </w:tr>
      <w:tr w:rsidR="00216457" w:rsidRPr="00216457" w14:paraId="534C83D2" w14:textId="77777777" w:rsidTr="00216457">
        <w:trPr>
          <w:trHeight w:val="315"/>
        </w:trPr>
        <w:tc>
          <w:tcPr>
            <w:tcW w:w="7700" w:type="dxa"/>
            <w:tcBorders>
              <w:top w:val="nil"/>
              <w:left w:val="nil"/>
              <w:bottom w:val="nil"/>
              <w:right w:val="nil"/>
            </w:tcBorders>
            <w:shd w:val="clear" w:color="auto" w:fill="auto"/>
            <w:noWrap/>
            <w:vAlign w:val="center"/>
            <w:hideMark/>
          </w:tcPr>
          <w:p w14:paraId="67285889"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PEN6502 – Operational &amp; Establishment Costs</w:t>
            </w:r>
          </w:p>
        </w:tc>
        <w:tc>
          <w:tcPr>
            <w:tcW w:w="1060" w:type="dxa"/>
            <w:tcBorders>
              <w:top w:val="nil"/>
              <w:left w:val="nil"/>
              <w:bottom w:val="nil"/>
              <w:right w:val="nil"/>
            </w:tcBorders>
            <w:shd w:val="clear" w:color="auto" w:fill="auto"/>
            <w:noWrap/>
            <w:vAlign w:val="center"/>
            <w:hideMark/>
          </w:tcPr>
          <w:p w14:paraId="11D960CE"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413,590</w:t>
            </w:r>
          </w:p>
        </w:tc>
        <w:tc>
          <w:tcPr>
            <w:tcW w:w="1060" w:type="dxa"/>
            <w:tcBorders>
              <w:top w:val="nil"/>
              <w:left w:val="nil"/>
              <w:bottom w:val="nil"/>
              <w:right w:val="nil"/>
            </w:tcBorders>
            <w:shd w:val="clear" w:color="auto" w:fill="auto"/>
            <w:noWrap/>
            <w:vAlign w:val="center"/>
            <w:hideMark/>
          </w:tcPr>
          <w:p w14:paraId="5B637AED"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1,064,022</w:t>
            </w:r>
          </w:p>
        </w:tc>
        <w:tc>
          <w:tcPr>
            <w:tcW w:w="1060" w:type="dxa"/>
            <w:tcBorders>
              <w:top w:val="nil"/>
              <w:left w:val="nil"/>
              <w:bottom w:val="nil"/>
              <w:right w:val="nil"/>
            </w:tcBorders>
            <w:shd w:val="clear" w:color="auto" w:fill="auto"/>
            <w:noWrap/>
            <w:vAlign w:val="center"/>
            <w:hideMark/>
          </w:tcPr>
          <w:p w14:paraId="126FC9DD"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540,338</w:t>
            </w:r>
          </w:p>
        </w:tc>
        <w:tc>
          <w:tcPr>
            <w:tcW w:w="1180" w:type="dxa"/>
            <w:tcBorders>
              <w:top w:val="nil"/>
              <w:left w:val="nil"/>
              <w:bottom w:val="nil"/>
              <w:right w:val="nil"/>
            </w:tcBorders>
            <w:shd w:val="clear" w:color="auto" w:fill="auto"/>
            <w:noWrap/>
            <w:vAlign w:val="center"/>
            <w:hideMark/>
          </w:tcPr>
          <w:p w14:paraId="659FEF1C"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351,637</w:t>
            </w:r>
          </w:p>
        </w:tc>
        <w:tc>
          <w:tcPr>
            <w:tcW w:w="1081" w:type="dxa"/>
            <w:tcBorders>
              <w:top w:val="nil"/>
              <w:left w:val="nil"/>
              <w:bottom w:val="nil"/>
              <w:right w:val="nil"/>
            </w:tcBorders>
            <w:shd w:val="clear" w:color="auto" w:fill="auto"/>
            <w:noWrap/>
            <w:vAlign w:val="center"/>
            <w:hideMark/>
          </w:tcPr>
          <w:p w14:paraId="43A4FE7B"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2,389,303</w:t>
            </w:r>
          </w:p>
        </w:tc>
        <w:tc>
          <w:tcPr>
            <w:tcW w:w="1081" w:type="dxa"/>
            <w:tcBorders>
              <w:top w:val="nil"/>
              <w:left w:val="nil"/>
              <w:bottom w:val="nil"/>
              <w:right w:val="nil"/>
            </w:tcBorders>
            <w:shd w:val="clear" w:color="auto" w:fill="auto"/>
            <w:noWrap/>
            <w:vAlign w:val="center"/>
            <w:hideMark/>
          </w:tcPr>
          <w:p w14:paraId="2BC39172"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2,139,000</w:t>
            </w:r>
          </w:p>
        </w:tc>
        <w:tc>
          <w:tcPr>
            <w:tcW w:w="918" w:type="dxa"/>
            <w:tcBorders>
              <w:top w:val="nil"/>
              <w:left w:val="nil"/>
              <w:bottom w:val="nil"/>
              <w:right w:val="nil"/>
            </w:tcBorders>
            <w:shd w:val="clear" w:color="auto" w:fill="auto"/>
            <w:noWrap/>
            <w:vAlign w:val="center"/>
            <w:hideMark/>
          </w:tcPr>
          <w:p w14:paraId="08AF9750"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-250,303</w:t>
            </w:r>
          </w:p>
        </w:tc>
      </w:tr>
      <w:tr w:rsidR="00216457" w:rsidRPr="00216457" w14:paraId="1CE6D5D2" w14:textId="77777777" w:rsidTr="00216457">
        <w:trPr>
          <w:trHeight w:val="315"/>
        </w:trPr>
        <w:tc>
          <w:tcPr>
            <w:tcW w:w="7700" w:type="dxa"/>
            <w:tcBorders>
              <w:top w:val="nil"/>
              <w:left w:val="nil"/>
              <w:bottom w:val="nil"/>
              <w:right w:val="nil"/>
            </w:tcBorders>
            <w:shd w:val="clear" w:color="auto" w:fill="auto"/>
            <w:noWrap/>
            <w:vAlign w:val="center"/>
            <w:hideMark/>
          </w:tcPr>
          <w:p w14:paraId="3969EC20"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PEN6499 - Program Activity Costs</w:t>
            </w:r>
          </w:p>
        </w:tc>
        <w:tc>
          <w:tcPr>
            <w:tcW w:w="1060" w:type="dxa"/>
            <w:tcBorders>
              <w:top w:val="nil"/>
              <w:left w:val="nil"/>
              <w:bottom w:val="nil"/>
              <w:right w:val="nil"/>
            </w:tcBorders>
            <w:shd w:val="clear" w:color="auto" w:fill="auto"/>
            <w:noWrap/>
            <w:vAlign w:val="center"/>
            <w:hideMark/>
          </w:tcPr>
          <w:p w14:paraId="2F94637D"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177,163</w:t>
            </w:r>
          </w:p>
        </w:tc>
        <w:tc>
          <w:tcPr>
            <w:tcW w:w="1060" w:type="dxa"/>
            <w:tcBorders>
              <w:top w:val="nil"/>
              <w:left w:val="nil"/>
              <w:bottom w:val="nil"/>
              <w:right w:val="nil"/>
            </w:tcBorders>
            <w:shd w:val="clear" w:color="auto" w:fill="auto"/>
            <w:noWrap/>
            <w:vAlign w:val="center"/>
            <w:hideMark/>
          </w:tcPr>
          <w:p w14:paraId="6AB98069"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547,781</w:t>
            </w:r>
          </w:p>
        </w:tc>
        <w:tc>
          <w:tcPr>
            <w:tcW w:w="1060" w:type="dxa"/>
            <w:tcBorders>
              <w:top w:val="nil"/>
              <w:left w:val="nil"/>
              <w:bottom w:val="nil"/>
              <w:right w:val="nil"/>
            </w:tcBorders>
            <w:shd w:val="clear" w:color="auto" w:fill="auto"/>
            <w:noWrap/>
            <w:vAlign w:val="center"/>
            <w:hideMark/>
          </w:tcPr>
          <w:p w14:paraId="6980195A"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292,000</w:t>
            </w:r>
          </w:p>
        </w:tc>
        <w:tc>
          <w:tcPr>
            <w:tcW w:w="1180" w:type="dxa"/>
            <w:tcBorders>
              <w:top w:val="nil"/>
              <w:left w:val="nil"/>
              <w:bottom w:val="nil"/>
              <w:right w:val="nil"/>
            </w:tcBorders>
            <w:shd w:val="clear" w:color="auto" w:fill="auto"/>
            <w:noWrap/>
            <w:vAlign w:val="center"/>
            <w:hideMark/>
          </w:tcPr>
          <w:p w14:paraId="72599065"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41,522</w:t>
            </w:r>
          </w:p>
        </w:tc>
        <w:tc>
          <w:tcPr>
            <w:tcW w:w="1081" w:type="dxa"/>
            <w:tcBorders>
              <w:top w:val="nil"/>
              <w:left w:val="nil"/>
              <w:bottom w:val="nil"/>
              <w:right w:val="nil"/>
            </w:tcBorders>
            <w:shd w:val="clear" w:color="auto" w:fill="auto"/>
            <w:noWrap/>
            <w:vAlign w:val="center"/>
            <w:hideMark/>
          </w:tcPr>
          <w:p w14:paraId="710578CF"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1,058,466</w:t>
            </w:r>
          </w:p>
        </w:tc>
        <w:tc>
          <w:tcPr>
            <w:tcW w:w="1081" w:type="dxa"/>
            <w:tcBorders>
              <w:top w:val="nil"/>
              <w:left w:val="nil"/>
              <w:bottom w:val="nil"/>
              <w:right w:val="nil"/>
            </w:tcBorders>
            <w:shd w:val="clear" w:color="auto" w:fill="auto"/>
            <w:noWrap/>
            <w:vAlign w:val="center"/>
            <w:hideMark/>
          </w:tcPr>
          <w:p w14:paraId="79F8A2CB"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1,119,000</w:t>
            </w:r>
          </w:p>
        </w:tc>
        <w:tc>
          <w:tcPr>
            <w:tcW w:w="918" w:type="dxa"/>
            <w:tcBorders>
              <w:top w:val="nil"/>
              <w:left w:val="nil"/>
              <w:bottom w:val="nil"/>
              <w:right w:val="nil"/>
            </w:tcBorders>
            <w:shd w:val="clear" w:color="auto" w:fill="auto"/>
            <w:noWrap/>
            <w:vAlign w:val="center"/>
            <w:hideMark/>
          </w:tcPr>
          <w:p w14:paraId="528A40DA"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60,534</w:t>
            </w:r>
          </w:p>
        </w:tc>
      </w:tr>
      <w:tr w:rsidR="00216457" w:rsidRPr="00216457" w14:paraId="6F3FCC8F" w14:textId="77777777" w:rsidTr="00216457">
        <w:trPr>
          <w:trHeight w:val="330"/>
        </w:trPr>
        <w:tc>
          <w:tcPr>
            <w:tcW w:w="7700" w:type="dxa"/>
            <w:tcBorders>
              <w:top w:val="nil"/>
              <w:left w:val="nil"/>
              <w:bottom w:val="nil"/>
              <w:right w:val="nil"/>
            </w:tcBorders>
            <w:shd w:val="clear" w:color="auto" w:fill="auto"/>
            <w:noWrap/>
            <w:vAlign w:val="center"/>
            <w:hideMark/>
          </w:tcPr>
          <w:p w14:paraId="5EA59EF9"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PEO9907 - Pacific Women, Sanma Call Centre, Employment &amp; Training Fund</w:t>
            </w:r>
          </w:p>
        </w:tc>
        <w:tc>
          <w:tcPr>
            <w:tcW w:w="1060" w:type="dxa"/>
            <w:tcBorders>
              <w:top w:val="nil"/>
              <w:left w:val="nil"/>
              <w:bottom w:val="nil"/>
              <w:right w:val="nil"/>
            </w:tcBorders>
            <w:shd w:val="clear" w:color="auto" w:fill="auto"/>
            <w:noWrap/>
            <w:vAlign w:val="center"/>
            <w:hideMark/>
          </w:tcPr>
          <w:p w14:paraId="12D08D74"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523,981</w:t>
            </w:r>
          </w:p>
        </w:tc>
        <w:tc>
          <w:tcPr>
            <w:tcW w:w="1060" w:type="dxa"/>
            <w:tcBorders>
              <w:top w:val="nil"/>
              <w:left w:val="nil"/>
              <w:bottom w:val="nil"/>
              <w:right w:val="nil"/>
            </w:tcBorders>
            <w:shd w:val="clear" w:color="auto" w:fill="auto"/>
            <w:noWrap/>
            <w:vAlign w:val="center"/>
            <w:hideMark/>
          </w:tcPr>
          <w:p w14:paraId="65CF4A32"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587,731</w:t>
            </w:r>
          </w:p>
        </w:tc>
        <w:tc>
          <w:tcPr>
            <w:tcW w:w="1060" w:type="dxa"/>
            <w:tcBorders>
              <w:top w:val="nil"/>
              <w:left w:val="nil"/>
              <w:bottom w:val="nil"/>
              <w:right w:val="nil"/>
            </w:tcBorders>
            <w:shd w:val="clear" w:color="auto" w:fill="auto"/>
            <w:noWrap/>
            <w:vAlign w:val="center"/>
            <w:hideMark/>
          </w:tcPr>
          <w:p w14:paraId="5C5E3CB3"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787,113</w:t>
            </w:r>
          </w:p>
        </w:tc>
        <w:tc>
          <w:tcPr>
            <w:tcW w:w="1180" w:type="dxa"/>
            <w:tcBorders>
              <w:top w:val="nil"/>
              <w:left w:val="nil"/>
              <w:bottom w:val="nil"/>
              <w:right w:val="nil"/>
            </w:tcBorders>
            <w:shd w:val="clear" w:color="auto" w:fill="auto"/>
            <w:noWrap/>
            <w:vAlign w:val="center"/>
            <w:hideMark/>
          </w:tcPr>
          <w:p w14:paraId="264B8562"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159,106</w:t>
            </w:r>
          </w:p>
        </w:tc>
        <w:tc>
          <w:tcPr>
            <w:tcW w:w="1081" w:type="dxa"/>
            <w:tcBorders>
              <w:top w:val="nil"/>
              <w:left w:val="nil"/>
              <w:bottom w:val="nil"/>
              <w:right w:val="nil"/>
            </w:tcBorders>
            <w:shd w:val="clear" w:color="auto" w:fill="auto"/>
            <w:noWrap/>
            <w:vAlign w:val="center"/>
            <w:hideMark/>
          </w:tcPr>
          <w:p w14:paraId="3A48B8B9"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2,057,619</w:t>
            </w:r>
          </w:p>
        </w:tc>
        <w:tc>
          <w:tcPr>
            <w:tcW w:w="1081" w:type="dxa"/>
            <w:tcBorders>
              <w:top w:val="nil"/>
              <w:left w:val="nil"/>
              <w:bottom w:val="nil"/>
              <w:right w:val="nil"/>
            </w:tcBorders>
            <w:shd w:val="clear" w:color="auto" w:fill="auto"/>
            <w:noWrap/>
            <w:vAlign w:val="center"/>
            <w:hideMark/>
          </w:tcPr>
          <w:p w14:paraId="12E36CEC"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2,050,973</w:t>
            </w:r>
          </w:p>
        </w:tc>
        <w:tc>
          <w:tcPr>
            <w:tcW w:w="918" w:type="dxa"/>
            <w:tcBorders>
              <w:top w:val="nil"/>
              <w:left w:val="nil"/>
              <w:bottom w:val="nil"/>
              <w:right w:val="nil"/>
            </w:tcBorders>
            <w:shd w:val="clear" w:color="auto" w:fill="auto"/>
            <w:noWrap/>
            <w:vAlign w:val="center"/>
            <w:hideMark/>
          </w:tcPr>
          <w:p w14:paraId="39D659CC"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-6,646</w:t>
            </w:r>
          </w:p>
        </w:tc>
      </w:tr>
      <w:tr w:rsidR="00216457" w:rsidRPr="00216457" w14:paraId="76065E4B" w14:textId="77777777" w:rsidTr="00216457">
        <w:trPr>
          <w:trHeight w:val="330"/>
        </w:trPr>
        <w:tc>
          <w:tcPr>
            <w:tcW w:w="7700" w:type="dxa"/>
            <w:tcBorders>
              <w:top w:val="single" w:sz="8" w:space="0" w:color="auto"/>
              <w:left w:val="nil"/>
              <w:bottom w:val="single" w:sz="8" w:space="0" w:color="auto"/>
              <w:right w:val="nil"/>
            </w:tcBorders>
            <w:shd w:val="clear" w:color="auto" w:fill="auto"/>
            <w:noWrap/>
            <w:vAlign w:val="center"/>
            <w:hideMark/>
          </w:tcPr>
          <w:p w14:paraId="7D9787E6" w14:textId="77777777" w:rsidR="00216457" w:rsidRPr="00216457" w:rsidRDefault="00216457" w:rsidP="00216457">
            <w:pPr>
              <w:widowControl/>
              <w:spacing w:before="0" w:after="0"/>
              <w:rPr>
                <w:rFonts w:eastAsia="Times New Roman" w:cs="Times New Roman"/>
                <w:b/>
                <w:bCs/>
                <w:color w:val="000000"/>
                <w:lang w:val="en-AU" w:eastAsia="en-AU"/>
              </w:rPr>
            </w:pPr>
            <w:r w:rsidRPr="00216457">
              <w:rPr>
                <w:rFonts w:eastAsia="Times New Roman" w:cs="Times New Roman"/>
                <w:b/>
                <w:bCs/>
                <w:color w:val="000000"/>
                <w:lang w:val="en-AU" w:eastAsia="en-AU"/>
              </w:rPr>
              <w:t>Total Operational Expenditure</w:t>
            </w:r>
          </w:p>
        </w:tc>
        <w:tc>
          <w:tcPr>
            <w:tcW w:w="1060" w:type="dxa"/>
            <w:tcBorders>
              <w:top w:val="single" w:sz="8" w:space="0" w:color="auto"/>
              <w:left w:val="nil"/>
              <w:bottom w:val="single" w:sz="8" w:space="0" w:color="auto"/>
              <w:right w:val="nil"/>
            </w:tcBorders>
            <w:shd w:val="clear" w:color="auto" w:fill="auto"/>
            <w:noWrap/>
            <w:vAlign w:val="center"/>
            <w:hideMark/>
          </w:tcPr>
          <w:p w14:paraId="39458FCC"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1,778,318</w:t>
            </w:r>
          </w:p>
        </w:tc>
        <w:tc>
          <w:tcPr>
            <w:tcW w:w="1060" w:type="dxa"/>
            <w:tcBorders>
              <w:top w:val="single" w:sz="8" w:space="0" w:color="auto"/>
              <w:left w:val="nil"/>
              <w:bottom w:val="single" w:sz="8" w:space="0" w:color="auto"/>
              <w:right w:val="nil"/>
            </w:tcBorders>
            <w:shd w:val="clear" w:color="auto" w:fill="auto"/>
            <w:noWrap/>
            <w:vAlign w:val="center"/>
            <w:hideMark/>
          </w:tcPr>
          <w:p w14:paraId="3CAA47B9"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3,801,225</w:t>
            </w:r>
          </w:p>
        </w:tc>
        <w:tc>
          <w:tcPr>
            <w:tcW w:w="1060" w:type="dxa"/>
            <w:tcBorders>
              <w:top w:val="single" w:sz="8" w:space="0" w:color="auto"/>
              <w:left w:val="nil"/>
              <w:bottom w:val="single" w:sz="8" w:space="0" w:color="auto"/>
              <w:right w:val="nil"/>
            </w:tcBorders>
            <w:shd w:val="clear" w:color="auto" w:fill="auto"/>
            <w:noWrap/>
            <w:vAlign w:val="center"/>
            <w:hideMark/>
          </w:tcPr>
          <w:p w14:paraId="6B8E4A0A"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2,982,528</w:t>
            </w:r>
          </w:p>
        </w:tc>
        <w:tc>
          <w:tcPr>
            <w:tcW w:w="1180" w:type="dxa"/>
            <w:tcBorders>
              <w:top w:val="single" w:sz="8" w:space="0" w:color="auto"/>
              <w:left w:val="nil"/>
              <w:bottom w:val="single" w:sz="8" w:space="0" w:color="auto"/>
              <w:right w:val="nil"/>
            </w:tcBorders>
            <w:shd w:val="clear" w:color="auto" w:fill="auto"/>
            <w:noWrap/>
            <w:vAlign w:val="center"/>
            <w:hideMark/>
          </w:tcPr>
          <w:p w14:paraId="4CBB4690"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1,285,570</w:t>
            </w:r>
          </w:p>
        </w:tc>
        <w:tc>
          <w:tcPr>
            <w:tcW w:w="1081" w:type="dxa"/>
            <w:tcBorders>
              <w:top w:val="single" w:sz="8" w:space="0" w:color="auto"/>
              <w:left w:val="nil"/>
              <w:bottom w:val="single" w:sz="8" w:space="0" w:color="auto"/>
              <w:right w:val="nil"/>
            </w:tcBorders>
            <w:shd w:val="clear" w:color="auto" w:fill="auto"/>
            <w:noWrap/>
            <w:vAlign w:val="center"/>
            <w:hideMark/>
          </w:tcPr>
          <w:p w14:paraId="478ECF90" w14:textId="77777777" w:rsidR="00216457" w:rsidRPr="00216457" w:rsidRDefault="00216457" w:rsidP="00216457">
            <w:pPr>
              <w:widowControl/>
              <w:spacing w:before="0" w:after="0"/>
              <w:jc w:val="right"/>
              <w:rPr>
                <w:rFonts w:eastAsia="Times New Roman" w:cs="Times New Roman"/>
                <w:b/>
                <w:bCs/>
                <w:color w:val="000000"/>
                <w:lang w:val="en-AU" w:eastAsia="en-AU"/>
              </w:rPr>
            </w:pPr>
            <w:r w:rsidRPr="00216457">
              <w:rPr>
                <w:rFonts w:eastAsia="Times New Roman" w:cs="Times New Roman"/>
                <w:b/>
                <w:bCs/>
                <w:color w:val="000000"/>
                <w:lang w:val="en-AU" w:eastAsia="en-AU"/>
              </w:rPr>
              <w:t>9,867,046</w:t>
            </w:r>
          </w:p>
        </w:tc>
        <w:tc>
          <w:tcPr>
            <w:tcW w:w="1081" w:type="dxa"/>
            <w:tcBorders>
              <w:top w:val="single" w:sz="8" w:space="0" w:color="auto"/>
              <w:left w:val="nil"/>
              <w:bottom w:val="single" w:sz="8" w:space="0" w:color="auto"/>
              <w:right w:val="nil"/>
            </w:tcBorders>
            <w:shd w:val="clear" w:color="auto" w:fill="auto"/>
            <w:noWrap/>
            <w:vAlign w:val="center"/>
            <w:hideMark/>
          </w:tcPr>
          <w:p w14:paraId="4CBDAB91"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9,777,804</w:t>
            </w:r>
          </w:p>
        </w:tc>
        <w:tc>
          <w:tcPr>
            <w:tcW w:w="918" w:type="dxa"/>
            <w:tcBorders>
              <w:top w:val="single" w:sz="8" w:space="0" w:color="auto"/>
              <w:left w:val="nil"/>
              <w:bottom w:val="single" w:sz="8" w:space="0" w:color="auto"/>
              <w:right w:val="nil"/>
            </w:tcBorders>
            <w:shd w:val="clear" w:color="auto" w:fill="auto"/>
            <w:noWrap/>
            <w:vAlign w:val="center"/>
            <w:hideMark/>
          </w:tcPr>
          <w:p w14:paraId="236BB4DE"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-89,242</w:t>
            </w:r>
          </w:p>
        </w:tc>
      </w:tr>
      <w:tr w:rsidR="00216457" w:rsidRPr="00216457" w14:paraId="1956E751" w14:textId="77777777" w:rsidTr="00216457">
        <w:trPr>
          <w:trHeight w:val="315"/>
        </w:trPr>
        <w:tc>
          <w:tcPr>
            <w:tcW w:w="7700" w:type="dxa"/>
            <w:tcBorders>
              <w:top w:val="nil"/>
              <w:left w:val="nil"/>
              <w:bottom w:val="nil"/>
              <w:right w:val="nil"/>
            </w:tcBorders>
            <w:shd w:val="clear" w:color="auto" w:fill="auto"/>
            <w:noWrap/>
            <w:hideMark/>
          </w:tcPr>
          <w:p w14:paraId="6D5C658B"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hideMark/>
          </w:tcPr>
          <w:p w14:paraId="0CB080E8"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hideMark/>
          </w:tcPr>
          <w:p w14:paraId="6A4DFE0C"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hideMark/>
          </w:tcPr>
          <w:p w14:paraId="4D181449"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180" w:type="dxa"/>
            <w:tcBorders>
              <w:top w:val="nil"/>
              <w:left w:val="nil"/>
              <w:bottom w:val="nil"/>
              <w:right w:val="nil"/>
            </w:tcBorders>
            <w:shd w:val="clear" w:color="auto" w:fill="auto"/>
            <w:noWrap/>
            <w:hideMark/>
          </w:tcPr>
          <w:p w14:paraId="2FCF0D03"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81" w:type="dxa"/>
            <w:tcBorders>
              <w:top w:val="nil"/>
              <w:left w:val="nil"/>
              <w:bottom w:val="nil"/>
              <w:right w:val="nil"/>
            </w:tcBorders>
            <w:shd w:val="clear" w:color="auto" w:fill="auto"/>
            <w:noWrap/>
            <w:hideMark/>
          </w:tcPr>
          <w:p w14:paraId="3532F36C"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81" w:type="dxa"/>
            <w:tcBorders>
              <w:top w:val="nil"/>
              <w:left w:val="nil"/>
              <w:bottom w:val="nil"/>
              <w:right w:val="nil"/>
            </w:tcBorders>
            <w:shd w:val="clear" w:color="auto" w:fill="auto"/>
            <w:noWrap/>
            <w:hideMark/>
          </w:tcPr>
          <w:p w14:paraId="7EB14D13"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918" w:type="dxa"/>
            <w:tcBorders>
              <w:top w:val="nil"/>
              <w:left w:val="nil"/>
              <w:bottom w:val="nil"/>
              <w:right w:val="nil"/>
            </w:tcBorders>
            <w:shd w:val="clear" w:color="auto" w:fill="auto"/>
            <w:noWrap/>
            <w:hideMark/>
          </w:tcPr>
          <w:p w14:paraId="72E6BFBF"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r>
      <w:tr w:rsidR="00216457" w:rsidRPr="00216457" w14:paraId="1E6ABBE8" w14:textId="77777777" w:rsidTr="00216457">
        <w:trPr>
          <w:trHeight w:val="330"/>
        </w:trPr>
        <w:tc>
          <w:tcPr>
            <w:tcW w:w="7700" w:type="dxa"/>
            <w:tcBorders>
              <w:top w:val="nil"/>
              <w:left w:val="nil"/>
              <w:bottom w:val="nil"/>
              <w:right w:val="nil"/>
            </w:tcBorders>
            <w:shd w:val="clear" w:color="auto" w:fill="auto"/>
            <w:noWrap/>
            <w:hideMark/>
          </w:tcPr>
          <w:p w14:paraId="35F4DBAE"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vAlign w:val="bottom"/>
            <w:hideMark/>
          </w:tcPr>
          <w:p w14:paraId="0D9C601B"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vAlign w:val="bottom"/>
            <w:hideMark/>
          </w:tcPr>
          <w:p w14:paraId="431FA0A2"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060" w:type="dxa"/>
            <w:tcBorders>
              <w:top w:val="nil"/>
              <w:left w:val="nil"/>
              <w:bottom w:val="nil"/>
              <w:right w:val="nil"/>
            </w:tcBorders>
            <w:shd w:val="clear" w:color="auto" w:fill="auto"/>
            <w:noWrap/>
            <w:hideMark/>
          </w:tcPr>
          <w:p w14:paraId="2F6242DD"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1180" w:type="dxa"/>
            <w:tcBorders>
              <w:top w:val="nil"/>
              <w:left w:val="nil"/>
              <w:bottom w:val="nil"/>
              <w:right w:val="nil"/>
            </w:tcBorders>
            <w:shd w:val="clear" w:color="auto" w:fill="auto"/>
            <w:noWrap/>
            <w:hideMark/>
          </w:tcPr>
          <w:p w14:paraId="67ABF438" w14:textId="77777777" w:rsidR="00216457" w:rsidRPr="00216457" w:rsidRDefault="00216457" w:rsidP="00216457">
            <w:pPr>
              <w:widowControl/>
              <w:spacing w:before="0" w:after="0"/>
              <w:rPr>
                <w:rFonts w:ascii="Cambria" w:eastAsia="Times New Roman" w:hAnsi="Cambria" w:cs="Times New Roman"/>
                <w:color w:val="000000"/>
                <w:lang w:val="en-AU" w:eastAsia="en-AU"/>
              </w:rPr>
            </w:pPr>
          </w:p>
        </w:tc>
        <w:tc>
          <w:tcPr>
            <w:tcW w:w="2162" w:type="dxa"/>
            <w:gridSpan w:val="2"/>
            <w:tcBorders>
              <w:top w:val="single" w:sz="8" w:space="0" w:color="auto"/>
              <w:left w:val="nil"/>
              <w:bottom w:val="single" w:sz="8" w:space="0" w:color="auto"/>
              <w:right w:val="nil"/>
            </w:tcBorders>
            <w:shd w:val="clear" w:color="auto" w:fill="auto"/>
            <w:noWrap/>
            <w:vAlign w:val="center"/>
            <w:hideMark/>
          </w:tcPr>
          <w:p w14:paraId="4AC503AD" w14:textId="77777777" w:rsidR="00216457" w:rsidRPr="00216457" w:rsidRDefault="00216457" w:rsidP="00216457">
            <w:pPr>
              <w:widowControl/>
              <w:spacing w:before="0" w:after="0"/>
              <w:rPr>
                <w:rFonts w:eastAsia="Times New Roman" w:cs="Times New Roman"/>
                <w:b/>
                <w:bCs/>
                <w:color w:val="000000"/>
                <w:lang w:val="en-AU" w:eastAsia="en-AU"/>
              </w:rPr>
            </w:pPr>
            <w:r w:rsidRPr="00216457">
              <w:rPr>
                <w:rFonts w:eastAsia="Times New Roman" w:cs="Times New Roman"/>
                <w:b/>
                <w:bCs/>
                <w:color w:val="000000"/>
                <w:lang w:val="en-AU" w:eastAsia="en-AU"/>
              </w:rPr>
              <w:t>Total Funds Available</w:t>
            </w:r>
          </w:p>
        </w:tc>
        <w:tc>
          <w:tcPr>
            <w:tcW w:w="918" w:type="dxa"/>
            <w:tcBorders>
              <w:top w:val="single" w:sz="8" w:space="0" w:color="auto"/>
              <w:left w:val="nil"/>
              <w:bottom w:val="single" w:sz="8" w:space="0" w:color="auto"/>
              <w:right w:val="nil"/>
            </w:tcBorders>
            <w:shd w:val="clear" w:color="auto" w:fill="auto"/>
            <w:noWrap/>
            <w:vAlign w:val="center"/>
            <w:hideMark/>
          </w:tcPr>
          <w:p w14:paraId="032ADCF1" w14:textId="77777777" w:rsidR="00216457" w:rsidRPr="00216457" w:rsidRDefault="00216457" w:rsidP="00216457">
            <w:pPr>
              <w:widowControl/>
              <w:spacing w:before="0" w:after="0"/>
              <w:jc w:val="right"/>
              <w:rPr>
                <w:rFonts w:eastAsia="Times New Roman" w:cs="Times New Roman"/>
                <w:color w:val="000000"/>
                <w:lang w:val="en-AU" w:eastAsia="en-AU"/>
              </w:rPr>
            </w:pPr>
            <w:r w:rsidRPr="00216457">
              <w:rPr>
                <w:rFonts w:eastAsia="Times New Roman" w:cs="Times New Roman"/>
                <w:color w:val="000000"/>
                <w:lang w:val="en-AU" w:eastAsia="en-AU"/>
              </w:rPr>
              <w:t>-89,242</w:t>
            </w:r>
          </w:p>
        </w:tc>
      </w:tr>
    </w:tbl>
    <w:p w14:paraId="6BFB6AF8" w14:textId="77777777" w:rsidR="0061634B" w:rsidRDefault="0061634B" w:rsidP="0061634B"/>
    <w:p w14:paraId="0D10B384" w14:textId="77777777" w:rsidR="00DC6407" w:rsidRDefault="00DC6407" w:rsidP="003776F9"/>
    <w:p w14:paraId="75DC4B3F" w14:textId="6CC526D7" w:rsidR="00216457" w:rsidRDefault="00216457">
      <w:pPr>
        <w:widowControl/>
        <w:spacing w:before="0" w:after="0"/>
      </w:pPr>
      <w:r>
        <w:br w:type="page"/>
      </w:r>
    </w:p>
    <w:p w14:paraId="17AC7023" w14:textId="060F06BF" w:rsidR="00216457" w:rsidRDefault="00216457" w:rsidP="00216457">
      <w:pPr>
        <w:pStyle w:val="Heading2"/>
      </w:pPr>
      <w:r>
        <w:t xml:space="preserve">8.4 </w:t>
      </w:r>
      <w:r>
        <w:tab/>
        <w:t>PEN code reallocation</w:t>
      </w:r>
    </w:p>
    <w:tbl>
      <w:tblPr>
        <w:tblW w:w="5044" w:type="pct"/>
        <w:tblLayout w:type="fixed"/>
        <w:tblLook w:val="04A0" w:firstRow="1" w:lastRow="0" w:firstColumn="1" w:lastColumn="0" w:noHBand="0" w:noVBand="1"/>
      </w:tblPr>
      <w:tblGrid>
        <w:gridCol w:w="4021"/>
        <w:gridCol w:w="1536"/>
        <w:gridCol w:w="973"/>
        <w:gridCol w:w="281"/>
        <w:gridCol w:w="1258"/>
        <w:gridCol w:w="976"/>
        <w:gridCol w:w="979"/>
        <w:gridCol w:w="976"/>
        <w:gridCol w:w="976"/>
        <w:gridCol w:w="1072"/>
        <w:gridCol w:w="1018"/>
      </w:tblGrid>
      <w:tr w:rsidR="00216457" w:rsidRPr="00216457" w14:paraId="52928987" w14:textId="77777777" w:rsidTr="00216457">
        <w:trPr>
          <w:trHeight w:val="315"/>
        </w:trPr>
        <w:tc>
          <w:tcPr>
            <w:tcW w:w="1429" w:type="pct"/>
            <w:tcBorders>
              <w:top w:val="single" w:sz="4" w:space="0" w:color="auto"/>
              <w:left w:val="nil"/>
              <w:bottom w:val="single" w:sz="4" w:space="0" w:color="auto"/>
              <w:right w:val="nil"/>
            </w:tcBorders>
            <w:shd w:val="clear" w:color="auto" w:fill="auto"/>
            <w:noWrap/>
            <w:vAlign w:val="bottom"/>
            <w:hideMark/>
          </w:tcPr>
          <w:p w14:paraId="65FD182E" w14:textId="77777777" w:rsidR="00216457" w:rsidRPr="00216457" w:rsidRDefault="00216457" w:rsidP="00216457">
            <w:pPr>
              <w:widowControl/>
              <w:spacing w:before="0" w:after="0"/>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Fund</w:t>
            </w:r>
          </w:p>
        </w:tc>
        <w:tc>
          <w:tcPr>
            <w:tcW w:w="546" w:type="pct"/>
            <w:tcBorders>
              <w:top w:val="single" w:sz="4" w:space="0" w:color="auto"/>
              <w:left w:val="nil"/>
              <w:bottom w:val="single" w:sz="4" w:space="0" w:color="auto"/>
              <w:right w:val="nil"/>
            </w:tcBorders>
            <w:shd w:val="clear" w:color="000000" w:fill="F2DCDB"/>
            <w:noWrap/>
            <w:vAlign w:val="bottom"/>
            <w:hideMark/>
          </w:tcPr>
          <w:p w14:paraId="39958B15"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Expenditure</w:t>
            </w:r>
          </w:p>
        </w:tc>
        <w:tc>
          <w:tcPr>
            <w:tcW w:w="446" w:type="pct"/>
            <w:gridSpan w:val="2"/>
            <w:tcBorders>
              <w:top w:val="single" w:sz="4" w:space="0" w:color="auto"/>
              <w:left w:val="nil"/>
              <w:bottom w:val="single" w:sz="4" w:space="0" w:color="auto"/>
              <w:right w:val="nil"/>
            </w:tcBorders>
            <w:shd w:val="clear" w:color="000000" w:fill="FDE9D9"/>
            <w:noWrap/>
            <w:vAlign w:val="bottom"/>
            <w:hideMark/>
          </w:tcPr>
          <w:p w14:paraId="39056D76"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Contract</w:t>
            </w:r>
          </w:p>
        </w:tc>
        <w:tc>
          <w:tcPr>
            <w:tcW w:w="447" w:type="pct"/>
            <w:tcBorders>
              <w:top w:val="single" w:sz="4" w:space="0" w:color="auto"/>
              <w:left w:val="nil"/>
              <w:bottom w:val="single" w:sz="4" w:space="0" w:color="auto"/>
              <w:right w:val="nil"/>
            </w:tcBorders>
            <w:shd w:val="clear" w:color="auto" w:fill="auto"/>
            <w:noWrap/>
            <w:vAlign w:val="bottom"/>
            <w:hideMark/>
          </w:tcPr>
          <w:p w14:paraId="204510A0"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Fund bal.</w:t>
            </w:r>
          </w:p>
        </w:tc>
        <w:tc>
          <w:tcPr>
            <w:tcW w:w="347" w:type="pct"/>
            <w:tcBorders>
              <w:top w:val="single" w:sz="4" w:space="0" w:color="auto"/>
              <w:left w:val="nil"/>
              <w:bottom w:val="single" w:sz="4" w:space="0" w:color="auto"/>
              <w:right w:val="nil"/>
            </w:tcBorders>
            <w:shd w:val="clear" w:color="auto" w:fill="auto"/>
            <w:noWrap/>
            <w:vAlign w:val="bottom"/>
            <w:hideMark/>
          </w:tcPr>
          <w:p w14:paraId="149B8BEA"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Feb Adj</w:t>
            </w:r>
          </w:p>
        </w:tc>
        <w:tc>
          <w:tcPr>
            <w:tcW w:w="348" w:type="pct"/>
            <w:tcBorders>
              <w:top w:val="single" w:sz="4" w:space="0" w:color="auto"/>
              <w:left w:val="nil"/>
              <w:bottom w:val="single" w:sz="4" w:space="0" w:color="auto"/>
              <w:right w:val="nil"/>
            </w:tcBorders>
            <w:shd w:val="clear" w:color="auto" w:fill="auto"/>
            <w:noWrap/>
            <w:vAlign w:val="bottom"/>
            <w:hideMark/>
          </w:tcPr>
          <w:p w14:paraId="2E5355EB"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Mar Adj</w:t>
            </w:r>
          </w:p>
        </w:tc>
        <w:tc>
          <w:tcPr>
            <w:tcW w:w="347" w:type="pct"/>
            <w:tcBorders>
              <w:top w:val="single" w:sz="4" w:space="0" w:color="auto"/>
              <w:left w:val="nil"/>
              <w:bottom w:val="single" w:sz="4" w:space="0" w:color="auto"/>
              <w:right w:val="nil"/>
            </w:tcBorders>
            <w:shd w:val="clear" w:color="auto" w:fill="auto"/>
            <w:noWrap/>
            <w:vAlign w:val="bottom"/>
            <w:hideMark/>
          </w:tcPr>
          <w:p w14:paraId="4E13DDE7"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Apr Adj</w:t>
            </w:r>
          </w:p>
        </w:tc>
        <w:tc>
          <w:tcPr>
            <w:tcW w:w="347" w:type="pct"/>
            <w:tcBorders>
              <w:top w:val="single" w:sz="4" w:space="0" w:color="auto"/>
              <w:left w:val="nil"/>
              <w:bottom w:val="single" w:sz="4" w:space="0" w:color="auto"/>
              <w:right w:val="nil"/>
            </w:tcBorders>
            <w:shd w:val="clear" w:color="auto" w:fill="auto"/>
            <w:noWrap/>
            <w:vAlign w:val="bottom"/>
            <w:hideMark/>
          </w:tcPr>
          <w:p w14:paraId="6B34D656"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May Adj</w:t>
            </w:r>
          </w:p>
        </w:tc>
        <w:tc>
          <w:tcPr>
            <w:tcW w:w="381" w:type="pct"/>
            <w:tcBorders>
              <w:top w:val="single" w:sz="4" w:space="0" w:color="auto"/>
              <w:left w:val="nil"/>
              <w:bottom w:val="single" w:sz="4" w:space="0" w:color="auto"/>
              <w:right w:val="nil"/>
            </w:tcBorders>
            <w:shd w:val="clear" w:color="auto" w:fill="auto"/>
            <w:noWrap/>
            <w:vAlign w:val="bottom"/>
            <w:hideMark/>
          </w:tcPr>
          <w:p w14:paraId="650F7EE7"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June Adj</w:t>
            </w:r>
          </w:p>
        </w:tc>
        <w:tc>
          <w:tcPr>
            <w:tcW w:w="363" w:type="pct"/>
            <w:tcBorders>
              <w:top w:val="single" w:sz="4" w:space="0" w:color="auto"/>
              <w:left w:val="nil"/>
              <w:bottom w:val="single" w:sz="4" w:space="0" w:color="auto"/>
              <w:right w:val="nil"/>
            </w:tcBorders>
            <w:shd w:val="clear" w:color="auto" w:fill="auto"/>
            <w:noWrap/>
            <w:vAlign w:val="bottom"/>
            <w:hideMark/>
          </w:tcPr>
          <w:p w14:paraId="1E843FDB"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Fund bal.</w:t>
            </w:r>
          </w:p>
        </w:tc>
      </w:tr>
      <w:tr w:rsidR="00216457" w:rsidRPr="00216457" w14:paraId="38FEB479" w14:textId="77777777" w:rsidTr="00216457">
        <w:trPr>
          <w:trHeight w:val="315"/>
        </w:trPr>
        <w:tc>
          <w:tcPr>
            <w:tcW w:w="1429" w:type="pct"/>
            <w:tcBorders>
              <w:top w:val="nil"/>
              <w:left w:val="nil"/>
              <w:bottom w:val="nil"/>
              <w:right w:val="nil"/>
            </w:tcBorders>
            <w:shd w:val="clear" w:color="auto" w:fill="auto"/>
            <w:noWrap/>
            <w:vAlign w:val="bottom"/>
            <w:hideMark/>
          </w:tcPr>
          <w:p w14:paraId="5AB2D922"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PEN6480 - Long Term Locally Engaged Personnel &amp; Long term advisors</w:t>
            </w:r>
          </w:p>
        </w:tc>
        <w:tc>
          <w:tcPr>
            <w:tcW w:w="546" w:type="pct"/>
            <w:tcBorders>
              <w:top w:val="nil"/>
              <w:left w:val="nil"/>
              <w:bottom w:val="nil"/>
              <w:right w:val="nil"/>
            </w:tcBorders>
            <w:shd w:val="clear" w:color="000000" w:fill="F2DCDB"/>
            <w:noWrap/>
            <w:vAlign w:val="bottom"/>
            <w:hideMark/>
          </w:tcPr>
          <w:p w14:paraId="1A40C612"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2,526,138</w:t>
            </w:r>
          </w:p>
        </w:tc>
        <w:tc>
          <w:tcPr>
            <w:tcW w:w="446" w:type="pct"/>
            <w:gridSpan w:val="2"/>
            <w:tcBorders>
              <w:top w:val="nil"/>
              <w:left w:val="nil"/>
              <w:bottom w:val="nil"/>
              <w:right w:val="nil"/>
            </w:tcBorders>
            <w:shd w:val="clear" w:color="000000" w:fill="FDE9D9"/>
            <w:noWrap/>
            <w:vAlign w:val="bottom"/>
            <w:hideMark/>
          </w:tcPr>
          <w:p w14:paraId="41FB566A"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2,484,837</w:t>
            </w:r>
          </w:p>
        </w:tc>
        <w:tc>
          <w:tcPr>
            <w:tcW w:w="447" w:type="pct"/>
            <w:tcBorders>
              <w:top w:val="nil"/>
              <w:left w:val="nil"/>
              <w:bottom w:val="nil"/>
              <w:right w:val="nil"/>
            </w:tcBorders>
            <w:shd w:val="clear" w:color="auto" w:fill="auto"/>
            <w:noWrap/>
            <w:vAlign w:val="bottom"/>
            <w:hideMark/>
          </w:tcPr>
          <w:p w14:paraId="622EEAFC"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-41,301</w:t>
            </w:r>
          </w:p>
        </w:tc>
        <w:tc>
          <w:tcPr>
            <w:tcW w:w="347" w:type="pct"/>
            <w:tcBorders>
              <w:top w:val="nil"/>
              <w:left w:val="nil"/>
              <w:bottom w:val="nil"/>
              <w:right w:val="nil"/>
            </w:tcBorders>
            <w:shd w:val="clear" w:color="000000" w:fill="B7DEE8"/>
            <w:noWrap/>
            <w:vAlign w:val="bottom"/>
            <w:hideMark/>
          </w:tcPr>
          <w:p w14:paraId="3CF9B484"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8" w:type="pct"/>
            <w:tcBorders>
              <w:top w:val="nil"/>
              <w:left w:val="nil"/>
              <w:bottom w:val="nil"/>
              <w:right w:val="nil"/>
            </w:tcBorders>
            <w:shd w:val="clear" w:color="000000" w:fill="D8E4BC"/>
            <w:noWrap/>
            <w:vAlign w:val="bottom"/>
            <w:hideMark/>
          </w:tcPr>
          <w:p w14:paraId="528F062A"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B7DEE8"/>
            <w:noWrap/>
            <w:vAlign w:val="bottom"/>
            <w:hideMark/>
          </w:tcPr>
          <w:p w14:paraId="53EC6DC5"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D8E4BC"/>
            <w:noWrap/>
            <w:vAlign w:val="bottom"/>
            <w:hideMark/>
          </w:tcPr>
          <w:p w14:paraId="303C09B7"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81" w:type="pct"/>
            <w:tcBorders>
              <w:top w:val="nil"/>
              <w:left w:val="nil"/>
              <w:bottom w:val="nil"/>
              <w:right w:val="nil"/>
            </w:tcBorders>
            <w:shd w:val="clear" w:color="000000" w:fill="B7DEE8"/>
            <w:noWrap/>
            <w:vAlign w:val="bottom"/>
            <w:hideMark/>
          </w:tcPr>
          <w:p w14:paraId="0A4D8195"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7,004</w:t>
            </w:r>
          </w:p>
        </w:tc>
        <w:tc>
          <w:tcPr>
            <w:tcW w:w="363" w:type="pct"/>
            <w:tcBorders>
              <w:top w:val="nil"/>
              <w:left w:val="nil"/>
              <w:bottom w:val="nil"/>
              <w:right w:val="nil"/>
            </w:tcBorders>
            <w:shd w:val="clear" w:color="auto" w:fill="auto"/>
            <w:noWrap/>
            <w:vAlign w:val="bottom"/>
            <w:hideMark/>
          </w:tcPr>
          <w:p w14:paraId="5A70EB4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-34,296</w:t>
            </w:r>
          </w:p>
        </w:tc>
      </w:tr>
      <w:tr w:rsidR="00216457" w:rsidRPr="00216457" w14:paraId="3DA25AB6" w14:textId="77777777" w:rsidTr="00216457">
        <w:trPr>
          <w:trHeight w:val="315"/>
        </w:trPr>
        <w:tc>
          <w:tcPr>
            <w:tcW w:w="1429" w:type="pct"/>
            <w:tcBorders>
              <w:top w:val="nil"/>
              <w:left w:val="nil"/>
              <w:bottom w:val="nil"/>
              <w:right w:val="nil"/>
            </w:tcBorders>
            <w:shd w:val="clear" w:color="auto" w:fill="auto"/>
            <w:noWrap/>
            <w:vAlign w:val="bottom"/>
            <w:hideMark/>
          </w:tcPr>
          <w:p w14:paraId="1E5E49D8"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PEN6476 - Short Term Int. Advisors</w:t>
            </w:r>
          </w:p>
        </w:tc>
        <w:tc>
          <w:tcPr>
            <w:tcW w:w="546" w:type="pct"/>
            <w:tcBorders>
              <w:top w:val="nil"/>
              <w:left w:val="nil"/>
              <w:bottom w:val="nil"/>
              <w:right w:val="nil"/>
            </w:tcBorders>
            <w:shd w:val="clear" w:color="000000" w:fill="F2DCDB"/>
            <w:noWrap/>
            <w:vAlign w:val="bottom"/>
            <w:hideMark/>
          </w:tcPr>
          <w:p w14:paraId="2243ACA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551,141</w:t>
            </w:r>
          </w:p>
        </w:tc>
        <w:tc>
          <w:tcPr>
            <w:tcW w:w="446" w:type="pct"/>
            <w:gridSpan w:val="2"/>
            <w:tcBorders>
              <w:top w:val="nil"/>
              <w:left w:val="nil"/>
              <w:bottom w:val="nil"/>
              <w:right w:val="nil"/>
            </w:tcBorders>
            <w:shd w:val="clear" w:color="000000" w:fill="FDE9D9"/>
            <w:noWrap/>
            <w:vAlign w:val="bottom"/>
            <w:hideMark/>
          </w:tcPr>
          <w:p w14:paraId="19442E1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566,218</w:t>
            </w:r>
          </w:p>
        </w:tc>
        <w:tc>
          <w:tcPr>
            <w:tcW w:w="447" w:type="pct"/>
            <w:tcBorders>
              <w:top w:val="nil"/>
              <w:left w:val="nil"/>
              <w:bottom w:val="nil"/>
              <w:right w:val="nil"/>
            </w:tcBorders>
            <w:shd w:val="clear" w:color="auto" w:fill="auto"/>
            <w:noWrap/>
            <w:vAlign w:val="bottom"/>
            <w:hideMark/>
          </w:tcPr>
          <w:p w14:paraId="67A8AF2C"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15,077</w:t>
            </w:r>
          </w:p>
        </w:tc>
        <w:tc>
          <w:tcPr>
            <w:tcW w:w="347" w:type="pct"/>
            <w:tcBorders>
              <w:top w:val="nil"/>
              <w:left w:val="nil"/>
              <w:bottom w:val="nil"/>
              <w:right w:val="nil"/>
            </w:tcBorders>
            <w:shd w:val="clear" w:color="000000" w:fill="B7DEE8"/>
            <w:noWrap/>
            <w:vAlign w:val="bottom"/>
            <w:hideMark/>
          </w:tcPr>
          <w:p w14:paraId="4D551921"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8" w:type="pct"/>
            <w:tcBorders>
              <w:top w:val="nil"/>
              <w:left w:val="nil"/>
              <w:bottom w:val="nil"/>
              <w:right w:val="nil"/>
            </w:tcBorders>
            <w:shd w:val="clear" w:color="000000" w:fill="D8E4BC"/>
            <w:noWrap/>
            <w:vAlign w:val="bottom"/>
            <w:hideMark/>
          </w:tcPr>
          <w:p w14:paraId="54B1E147"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B7DEE8"/>
            <w:noWrap/>
            <w:vAlign w:val="bottom"/>
            <w:hideMark/>
          </w:tcPr>
          <w:p w14:paraId="471C35E9"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D8E4BC"/>
            <w:noWrap/>
            <w:vAlign w:val="bottom"/>
            <w:hideMark/>
          </w:tcPr>
          <w:p w14:paraId="204D12AC"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-9,755</w:t>
            </w:r>
          </w:p>
        </w:tc>
        <w:tc>
          <w:tcPr>
            <w:tcW w:w="381" w:type="pct"/>
            <w:tcBorders>
              <w:top w:val="nil"/>
              <w:left w:val="nil"/>
              <w:bottom w:val="nil"/>
              <w:right w:val="nil"/>
            </w:tcBorders>
            <w:shd w:val="clear" w:color="000000" w:fill="B7DEE8"/>
            <w:noWrap/>
            <w:vAlign w:val="bottom"/>
            <w:hideMark/>
          </w:tcPr>
          <w:p w14:paraId="47D220F5"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-5,322</w:t>
            </w:r>
          </w:p>
        </w:tc>
        <w:tc>
          <w:tcPr>
            <w:tcW w:w="363" w:type="pct"/>
            <w:tcBorders>
              <w:top w:val="nil"/>
              <w:left w:val="nil"/>
              <w:bottom w:val="nil"/>
              <w:right w:val="nil"/>
            </w:tcBorders>
            <w:shd w:val="clear" w:color="auto" w:fill="auto"/>
            <w:noWrap/>
            <w:vAlign w:val="bottom"/>
            <w:hideMark/>
          </w:tcPr>
          <w:p w14:paraId="634733F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w:t>
            </w:r>
          </w:p>
        </w:tc>
      </w:tr>
      <w:tr w:rsidR="00216457" w:rsidRPr="00216457" w14:paraId="55100C96" w14:textId="77777777" w:rsidTr="00216457">
        <w:trPr>
          <w:trHeight w:val="315"/>
        </w:trPr>
        <w:tc>
          <w:tcPr>
            <w:tcW w:w="1429" w:type="pct"/>
            <w:tcBorders>
              <w:top w:val="nil"/>
              <w:left w:val="nil"/>
              <w:bottom w:val="nil"/>
              <w:right w:val="nil"/>
            </w:tcBorders>
            <w:shd w:val="clear" w:color="auto" w:fill="auto"/>
            <w:noWrap/>
            <w:vAlign w:val="bottom"/>
            <w:hideMark/>
          </w:tcPr>
          <w:p w14:paraId="187EBDE1" w14:textId="1D82E7F9"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PEN6472 - Unalloc</w:t>
            </w:r>
            <w:r w:rsidR="00E914C3">
              <w:rPr>
                <w:rFonts w:eastAsia="Times New Roman" w:cs="Times New Roman"/>
                <w:color w:val="000000"/>
                <w:sz w:val="20"/>
                <w:szCs w:val="20"/>
                <w:lang w:val="en-AU" w:eastAsia="en-AU"/>
              </w:rPr>
              <w:t>ated</w:t>
            </w:r>
            <w:r w:rsidRPr="00216457">
              <w:rPr>
                <w:rFonts w:eastAsia="Times New Roman" w:cs="Times New Roman"/>
                <w:color w:val="000000"/>
                <w:sz w:val="20"/>
                <w:szCs w:val="20"/>
                <w:lang w:val="en-AU" w:eastAsia="en-AU"/>
              </w:rPr>
              <w:t xml:space="preserve"> Short Term Advisors</w:t>
            </w:r>
          </w:p>
        </w:tc>
        <w:tc>
          <w:tcPr>
            <w:tcW w:w="546" w:type="pct"/>
            <w:tcBorders>
              <w:top w:val="nil"/>
              <w:left w:val="nil"/>
              <w:bottom w:val="nil"/>
              <w:right w:val="nil"/>
            </w:tcBorders>
            <w:shd w:val="clear" w:color="000000" w:fill="F2DCDB"/>
            <w:noWrap/>
            <w:vAlign w:val="bottom"/>
            <w:hideMark/>
          </w:tcPr>
          <w:p w14:paraId="5147185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1,096,655</w:t>
            </w:r>
          </w:p>
        </w:tc>
        <w:tc>
          <w:tcPr>
            <w:tcW w:w="446" w:type="pct"/>
            <w:gridSpan w:val="2"/>
            <w:tcBorders>
              <w:top w:val="nil"/>
              <w:left w:val="nil"/>
              <w:bottom w:val="nil"/>
              <w:right w:val="nil"/>
            </w:tcBorders>
            <w:shd w:val="clear" w:color="000000" w:fill="FDE9D9"/>
            <w:noWrap/>
            <w:vAlign w:val="bottom"/>
            <w:hideMark/>
          </w:tcPr>
          <w:p w14:paraId="2F7D6C8A"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1,150,000</w:t>
            </w:r>
          </w:p>
        </w:tc>
        <w:tc>
          <w:tcPr>
            <w:tcW w:w="447" w:type="pct"/>
            <w:tcBorders>
              <w:top w:val="nil"/>
              <w:left w:val="nil"/>
              <w:bottom w:val="nil"/>
              <w:right w:val="nil"/>
            </w:tcBorders>
            <w:shd w:val="clear" w:color="auto" w:fill="auto"/>
            <w:noWrap/>
            <w:vAlign w:val="bottom"/>
            <w:hideMark/>
          </w:tcPr>
          <w:p w14:paraId="79B9C70A"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53,345</w:t>
            </w:r>
          </w:p>
        </w:tc>
        <w:tc>
          <w:tcPr>
            <w:tcW w:w="347" w:type="pct"/>
            <w:tcBorders>
              <w:top w:val="nil"/>
              <w:left w:val="nil"/>
              <w:bottom w:val="nil"/>
              <w:right w:val="nil"/>
            </w:tcBorders>
            <w:shd w:val="clear" w:color="000000" w:fill="B7DEE8"/>
            <w:noWrap/>
            <w:vAlign w:val="bottom"/>
            <w:hideMark/>
          </w:tcPr>
          <w:p w14:paraId="6715D3D3"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-9,485</w:t>
            </w:r>
          </w:p>
        </w:tc>
        <w:tc>
          <w:tcPr>
            <w:tcW w:w="348" w:type="pct"/>
            <w:tcBorders>
              <w:top w:val="nil"/>
              <w:left w:val="nil"/>
              <w:bottom w:val="nil"/>
              <w:right w:val="nil"/>
            </w:tcBorders>
            <w:shd w:val="clear" w:color="000000" w:fill="D8E4BC"/>
            <w:noWrap/>
            <w:vAlign w:val="bottom"/>
            <w:hideMark/>
          </w:tcPr>
          <w:p w14:paraId="4B6C35F8"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B7DEE8"/>
            <w:noWrap/>
            <w:vAlign w:val="bottom"/>
            <w:hideMark/>
          </w:tcPr>
          <w:p w14:paraId="115F4FA7"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-38,373</w:t>
            </w:r>
          </w:p>
        </w:tc>
        <w:tc>
          <w:tcPr>
            <w:tcW w:w="347" w:type="pct"/>
            <w:tcBorders>
              <w:top w:val="nil"/>
              <w:left w:val="nil"/>
              <w:bottom w:val="nil"/>
              <w:right w:val="nil"/>
            </w:tcBorders>
            <w:shd w:val="clear" w:color="000000" w:fill="D8E4BC"/>
            <w:noWrap/>
            <w:vAlign w:val="bottom"/>
            <w:hideMark/>
          </w:tcPr>
          <w:p w14:paraId="107F6401"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-5,487</w:t>
            </w:r>
          </w:p>
        </w:tc>
        <w:tc>
          <w:tcPr>
            <w:tcW w:w="381" w:type="pct"/>
            <w:tcBorders>
              <w:top w:val="nil"/>
              <w:left w:val="nil"/>
              <w:bottom w:val="nil"/>
              <w:right w:val="nil"/>
            </w:tcBorders>
            <w:shd w:val="clear" w:color="000000" w:fill="B7DEE8"/>
            <w:noWrap/>
            <w:vAlign w:val="bottom"/>
            <w:hideMark/>
          </w:tcPr>
          <w:p w14:paraId="022C45E5"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63" w:type="pct"/>
            <w:tcBorders>
              <w:top w:val="nil"/>
              <w:left w:val="nil"/>
              <w:bottom w:val="nil"/>
              <w:right w:val="nil"/>
            </w:tcBorders>
            <w:shd w:val="clear" w:color="auto" w:fill="auto"/>
            <w:noWrap/>
            <w:vAlign w:val="bottom"/>
            <w:hideMark/>
          </w:tcPr>
          <w:p w14:paraId="77821943"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r>
      <w:tr w:rsidR="00216457" w:rsidRPr="00216457" w14:paraId="2EA27C11" w14:textId="77777777" w:rsidTr="00216457">
        <w:trPr>
          <w:trHeight w:val="315"/>
        </w:trPr>
        <w:tc>
          <w:tcPr>
            <w:tcW w:w="1429" w:type="pct"/>
            <w:tcBorders>
              <w:top w:val="nil"/>
              <w:left w:val="nil"/>
              <w:bottom w:val="nil"/>
              <w:right w:val="nil"/>
            </w:tcBorders>
            <w:shd w:val="clear" w:color="auto" w:fill="auto"/>
            <w:noWrap/>
            <w:vAlign w:val="bottom"/>
            <w:hideMark/>
          </w:tcPr>
          <w:p w14:paraId="63BFC0F7"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PEN6465 - Advisor Support Costs</w:t>
            </w:r>
          </w:p>
        </w:tc>
        <w:tc>
          <w:tcPr>
            <w:tcW w:w="546" w:type="pct"/>
            <w:tcBorders>
              <w:top w:val="nil"/>
              <w:left w:val="nil"/>
              <w:bottom w:val="nil"/>
              <w:right w:val="nil"/>
            </w:tcBorders>
            <w:shd w:val="clear" w:color="000000" w:fill="F2DCDB"/>
            <w:noWrap/>
            <w:vAlign w:val="bottom"/>
            <w:hideMark/>
          </w:tcPr>
          <w:p w14:paraId="4E5AA1D7"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187,725</w:t>
            </w:r>
          </w:p>
        </w:tc>
        <w:tc>
          <w:tcPr>
            <w:tcW w:w="446" w:type="pct"/>
            <w:gridSpan w:val="2"/>
            <w:tcBorders>
              <w:top w:val="nil"/>
              <w:left w:val="nil"/>
              <w:bottom w:val="nil"/>
              <w:right w:val="nil"/>
            </w:tcBorders>
            <w:shd w:val="clear" w:color="000000" w:fill="FDE9D9"/>
            <w:noWrap/>
            <w:vAlign w:val="bottom"/>
            <w:hideMark/>
          </w:tcPr>
          <w:p w14:paraId="05FF9458"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267,776</w:t>
            </w:r>
          </w:p>
        </w:tc>
        <w:tc>
          <w:tcPr>
            <w:tcW w:w="447" w:type="pct"/>
            <w:tcBorders>
              <w:top w:val="nil"/>
              <w:left w:val="nil"/>
              <w:bottom w:val="nil"/>
              <w:right w:val="nil"/>
            </w:tcBorders>
            <w:shd w:val="clear" w:color="auto" w:fill="auto"/>
            <w:noWrap/>
            <w:vAlign w:val="bottom"/>
            <w:hideMark/>
          </w:tcPr>
          <w:p w14:paraId="38EAA24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80,051</w:t>
            </w:r>
          </w:p>
        </w:tc>
        <w:tc>
          <w:tcPr>
            <w:tcW w:w="347" w:type="pct"/>
            <w:tcBorders>
              <w:top w:val="nil"/>
              <w:left w:val="nil"/>
              <w:bottom w:val="nil"/>
              <w:right w:val="nil"/>
            </w:tcBorders>
            <w:shd w:val="clear" w:color="000000" w:fill="B7DEE8"/>
            <w:noWrap/>
            <w:vAlign w:val="bottom"/>
            <w:hideMark/>
          </w:tcPr>
          <w:p w14:paraId="1C603B03"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8" w:type="pct"/>
            <w:tcBorders>
              <w:top w:val="nil"/>
              <w:left w:val="nil"/>
              <w:bottom w:val="nil"/>
              <w:right w:val="nil"/>
            </w:tcBorders>
            <w:shd w:val="clear" w:color="000000" w:fill="D8E4BC"/>
            <w:noWrap/>
            <w:vAlign w:val="bottom"/>
            <w:hideMark/>
          </w:tcPr>
          <w:p w14:paraId="32C4A4E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-77,846</w:t>
            </w:r>
          </w:p>
        </w:tc>
        <w:tc>
          <w:tcPr>
            <w:tcW w:w="347" w:type="pct"/>
            <w:tcBorders>
              <w:top w:val="nil"/>
              <w:left w:val="nil"/>
              <w:bottom w:val="nil"/>
              <w:right w:val="nil"/>
            </w:tcBorders>
            <w:shd w:val="clear" w:color="000000" w:fill="B7DEE8"/>
            <w:noWrap/>
            <w:vAlign w:val="bottom"/>
            <w:hideMark/>
          </w:tcPr>
          <w:p w14:paraId="3CF7F2D6"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nil"/>
              <w:left w:val="nil"/>
              <w:bottom w:val="nil"/>
              <w:right w:val="nil"/>
            </w:tcBorders>
            <w:shd w:val="clear" w:color="000000" w:fill="D8E4BC"/>
            <w:noWrap/>
            <w:vAlign w:val="bottom"/>
            <w:hideMark/>
          </w:tcPr>
          <w:p w14:paraId="0F2BD450"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-523</w:t>
            </w:r>
          </w:p>
        </w:tc>
        <w:tc>
          <w:tcPr>
            <w:tcW w:w="381" w:type="pct"/>
            <w:tcBorders>
              <w:top w:val="nil"/>
              <w:left w:val="nil"/>
              <w:bottom w:val="nil"/>
              <w:right w:val="nil"/>
            </w:tcBorders>
            <w:shd w:val="clear" w:color="000000" w:fill="B7DEE8"/>
            <w:noWrap/>
            <w:vAlign w:val="bottom"/>
            <w:hideMark/>
          </w:tcPr>
          <w:p w14:paraId="1F7CA900"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-1,682</w:t>
            </w:r>
          </w:p>
        </w:tc>
        <w:tc>
          <w:tcPr>
            <w:tcW w:w="363" w:type="pct"/>
            <w:tcBorders>
              <w:top w:val="nil"/>
              <w:left w:val="nil"/>
              <w:bottom w:val="nil"/>
              <w:right w:val="nil"/>
            </w:tcBorders>
            <w:shd w:val="clear" w:color="auto" w:fill="auto"/>
            <w:noWrap/>
            <w:vAlign w:val="bottom"/>
            <w:hideMark/>
          </w:tcPr>
          <w:p w14:paraId="0C6C37B9"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w:t>
            </w:r>
          </w:p>
        </w:tc>
      </w:tr>
      <w:tr w:rsidR="00216457" w:rsidRPr="00216457" w14:paraId="214342F1" w14:textId="77777777" w:rsidTr="00216457">
        <w:trPr>
          <w:trHeight w:val="315"/>
        </w:trPr>
        <w:tc>
          <w:tcPr>
            <w:tcW w:w="1429" w:type="pct"/>
            <w:tcBorders>
              <w:top w:val="nil"/>
              <w:left w:val="nil"/>
              <w:bottom w:val="nil"/>
              <w:right w:val="nil"/>
            </w:tcBorders>
            <w:shd w:val="clear" w:color="auto" w:fill="auto"/>
            <w:noWrap/>
            <w:vAlign w:val="bottom"/>
            <w:hideMark/>
          </w:tcPr>
          <w:p w14:paraId="2A7E5312"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PEN6502 – Operational &amp; Establishment</w:t>
            </w:r>
          </w:p>
        </w:tc>
        <w:tc>
          <w:tcPr>
            <w:tcW w:w="546" w:type="pct"/>
            <w:tcBorders>
              <w:top w:val="nil"/>
              <w:left w:val="nil"/>
              <w:bottom w:val="nil"/>
              <w:right w:val="nil"/>
            </w:tcBorders>
            <w:shd w:val="clear" w:color="000000" w:fill="F2DCDB"/>
            <w:noWrap/>
            <w:vAlign w:val="bottom"/>
            <w:hideMark/>
          </w:tcPr>
          <w:p w14:paraId="4B45AA89"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2,389,303</w:t>
            </w:r>
          </w:p>
        </w:tc>
        <w:tc>
          <w:tcPr>
            <w:tcW w:w="446" w:type="pct"/>
            <w:gridSpan w:val="2"/>
            <w:tcBorders>
              <w:top w:val="nil"/>
              <w:left w:val="nil"/>
              <w:bottom w:val="nil"/>
              <w:right w:val="nil"/>
            </w:tcBorders>
            <w:shd w:val="clear" w:color="000000" w:fill="FDE9D9"/>
            <w:noWrap/>
            <w:vAlign w:val="bottom"/>
            <w:hideMark/>
          </w:tcPr>
          <w:p w14:paraId="4AAC312C"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2,139,000</w:t>
            </w:r>
          </w:p>
        </w:tc>
        <w:tc>
          <w:tcPr>
            <w:tcW w:w="447" w:type="pct"/>
            <w:tcBorders>
              <w:top w:val="nil"/>
              <w:left w:val="nil"/>
              <w:bottom w:val="nil"/>
              <w:right w:val="nil"/>
            </w:tcBorders>
            <w:shd w:val="clear" w:color="auto" w:fill="auto"/>
            <w:noWrap/>
            <w:vAlign w:val="bottom"/>
            <w:hideMark/>
          </w:tcPr>
          <w:p w14:paraId="4AE731EF"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-250,303</w:t>
            </w:r>
          </w:p>
        </w:tc>
        <w:tc>
          <w:tcPr>
            <w:tcW w:w="347" w:type="pct"/>
            <w:tcBorders>
              <w:top w:val="nil"/>
              <w:left w:val="nil"/>
              <w:bottom w:val="nil"/>
              <w:right w:val="nil"/>
            </w:tcBorders>
            <w:shd w:val="clear" w:color="000000" w:fill="B7DEE8"/>
            <w:noWrap/>
            <w:vAlign w:val="bottom"/>
            <w:hideMark/>
          </w:tcPr>
          <w:p w14:paraId="22738C92"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98,558</w:t>
            </w:r>
          </w:p>
        </w:tc>
        <w:tc>
          <w:tcPr>
            <w:tcW w:w="348" w:type="pct"/>
            <w:tcBorders>
              <w:top w:val="nil"/>
              <w:left w:val="nil"/>
              <w:bottom w:val="nil"/>
              <w:right w:val="nil"/>
            </w:tcBorders>
            <w:shd w:val="clear" w:color="000000" w:fill="D8E4BC"/>
            <w:noWrap/>
            <w:vAlign w:val="bottom"/>
            <w:hideMark/>
          </w:tcPr>
          <w:p w14:paraId="45E48259"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60,220</w:t>
            </w:r>
          </w:p>
        </w:tc>
        <w:tc>
          <w:tcPr>
            <w:tcW w:w="347" w:type="pct"/>
            <w:tcBorders>
              <w:top w:val="nil"/>
              <w:left w:val="nil"/>
              <w:bottom w:val="nil"/>
              <w:right w:val="nil"/>
            </w:tcBorders>
            <w:shd w:val="clear" w:color="000000" w:fill="B7DEE8"/>
            <w:noWrap/>
            <w:vAlign w:val="bottom"/>
            <w:hideMark/>
          </w:tcPr>
          <w:p w14:paraId="6A696AD8"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20,815</w:t>
            </w:r>
          </w:p>
        </w:tc>
        <w:tc>
          <w:tcPr>
            <w:tcW w:w="347" w:type="pct"/>
            <w:tcBorders>
              <w:top w:val="nil"/>
              <w:left w:val="nil"/>
              <w:bottom w:val="nil"/>
              <w:right w:val="nil"/>
            </w:tcBorders>
            <w:shd w:val="clear" w:color="000000" w:fill="D8E4BC"/>
            <w:noWrap/>
            <w:vAlign w:val="bottom"/>
            <w:hideMark/>
          </w:tcPr>
          <w:p w14:paraId="6934CA7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15,765</w:t>
            </w:r>
          </w:p>
        </w:tc>
        <w:tc>
          <w:tcPr>
            <w:tcW w:w="381" w:type="pct"/>
            <w:tcBorders>
              <w:top w:val="nil"/>
              <w:left w:val="nil"/>
              <w:bottom w:val="nil"/>
              <w:right w:val="nil"/>
            </w:tcBorders>
            <w:shd w:val="clear" w:color="000000" w:fill="B7DEE8"/>
            <w:noWrap/>
            <w:vAlign w:val="bottom"/>
            <w:hideMark/>
          </w:tcPr>
          <w:p w14:paraId="29491E70"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63" w:type="pct"/>
            <w:tcBorders>
              <w:top w:val="nil"/>
              <w:left w:val="nil"/>
              <w:bottom w:val="nil"/>
              <w:right w:val="nil"/>
            </w:tcBorders>
            <w:shd w:val="clear" w:color="auto" w:fill="auto"/>
            <w:noWrap/>
            <w:vAlign w:val="bottom"/>
            <w:hideMark/>
          </w:tcPr>
          <w:p w14:paraId="75218048"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-54,946</w:t>
            </w:r>
          </w:p>
        </w:tc>
      </w:tr>
      <w:tr w:rsidR="00216457" w:rsidRPr="00216457" w14:paraId="1AEA732E" w14:textId="77777777" w:rsidTr="00216457">
        <w:trPr>
          <w:trHeight w:val="315"/>
        </w:trPr>
        <w:tc>
          <w:tcPr>
            <w:tcW w:w="1429" w:type="pct"/>
            <w:tcBorders>
              <w:top w:val="nil"/>
              <w:left w:val="nil"/>
              <w:bottom w:val="nil"/>
              <w:right w:val="nil"/>
            </w:tcBorders>
            <w:shd w:val="clear" w:color="auto" w:fill="auto"/>
            <w:noWrap/>
            <w:vAlign w:val="bottom"/>
            <w:hideMark/>
          </w:tcPr>
          <w:p w14:paraId="2C6BE9E6"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PEN6499 - Program Activity Costs</w:t>
            </w:r>
          </w:p>
        </w:tc>
        <w:tc>
          <w:tcPr>
            <w:tcW w:w="546" w:type="pct"/>
            <w:tcBorders>
              <w:top w:val="nil"/>
              <w:left w:val="nil"/>
              <w:bottom w:val="nil"/>
              <w:right w:val="nil"/>
            </w:tcBorders>
            <w:shd w:val="clear" w:color="000000" w:fill="F2DCDB"/>
            <w:noWrap/>
            <w:vAlign w:val="bottom"/>
            <w:hideMark/>
          </w:tcPr>
          <w:p w14:paraId="42F8E7EF"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1,058,466</w:t>
            </w:r>
          </w:p>
        </w:tc>
        <w:tc>
          <w:tcPr>
            <w:tcW w:w="446" w:type="pct"/>
            <w:gridSpan w:val="2"/>
            <w:tcBorders>
              <w:top w:val="nil"/>
              <w:left w:val="nil"/>
              <w:bottom w:val="nil"/>
              <w:right w:val="nil"/>
            </w:tcBorders>
            <w:shd w:val="clear" w:color="000000" w:fill="FDE9D9"/>
            <w:noWrap/>
            <w:vAlign w:val="bottom"/>
            <w:hideMark/>
          </w:tcPr>
          <w:p w14:paraId="61E68B52"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1,119,000</w:t>
            </w:r>
          </w:p>
        </w:tc>
        <w:tc>
          <w:tcPr>
            <w:tcW w:w="447" w:type="pct"/>
            <w:tcBorders>
              <w:top w:val="nil"/>
              <w:left w:val="nil"/>
              <w:bottom w:val="nil"/>
              <w:right w:val="nil"/>
            </w:tcBorders>
            <w:shd w:val="clear" w:color="auto" w:fill="auto"/>
            <w:noWrap/>
            <w:vAlign w:val="bottom"/>
            <w:hideMark/>
          </w:tcPr>
          <w:p w14:paraId="647BBE4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60,534</w:t>
            </w:r>
          </w:p>
        </w:tc>
        <w:tc>
          <w:tcPr>
            <w:tcW w:w="347" w:type="pct"/>
            <w:tcBorders>
              <w:top w:val="nil"/>
              <w:left w:val="nil"/>
              <w:bottom w:val="nil"/>
              <w:right w:val="nil"/>
            </w:tcBorders>
            <w:shd w:val="clear" w:color="000000" w:fill="B7DEE8"/>
            <w:noWrap/>
            <w:vAlign w:val="bottom"/>
            <w:hideMark/>
          </w:tcPr>
          <w:p w14:paraId="7A3F7C70"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-89,073</w:t>
            </w:r>
          </w:p>
        </w:tc>
        <w:tc>
          <w:tcPr>
            <w:tcW w:w="348" w:type="pct"/>
            <w:tcBorders>
              <w:top w:val="nil"/>
              <w:left w:val="nil"/>
              <w:bottom w:val="nil"/>
              <w:right w:val="nil"/>
            </w:tcBorders>
            <w:shd w:val="clear" w:color="000000" w:fill="D8E4BC"/>
            <w:noWrap/>
            <w:vAlign w:val="bottom"/>
            <w:hideMark/>
          </w:tcPr>
          <w:p w14:paraId="7095BBF0"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20,753</w:t>
            </w:r>
          </w:p>
        </w:tc>
        <w:tc>
          <w:tcPr>
            <w:tcW w:w="347" w:type="pct"/>
            <w:tcBorders>
              <w:top w:val="nil"/>
              <w:left w:val="nil"/>
              <w:bottom w:val="nil"/>
              <w:right w:val="nil"/>
            </w:tcBorders>
            <w:shd w:val="clear" w:color="000000" w:fill="B7DEE8"/>
            <w:noWrap/>
            <w:vAlign w:val="bottom"/>
            <w:hideMark/>
          </w:tcPr>
          <w:p w14:paraId="3B57CBB7"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7,786</w:t>
            </w:r>
          </w:p>
        </w:tc>
        <w:tc>
          <w:tcPr>
            <w:tcW w:w="347" w:type="pct"/>
            <w:tcBorders>
              <w:top w:val="nil"/>
              <w:left w:val="nil"/>
              <w:bottom w:val="nil"/>
              <w:right w:val="nil"/>
            </w:tcBorders>
            <w:shd w:val="clear" w:color="000000" w:fill="D8E4BC"/>
            <w:noWrap/>
            <w:vAlign w:val="bottom"/>
            <w:hideMark/>
          </w:tcPr>
          <w:p w14:paraId="322F0A1E"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81" w:type="pct"/>
            <w:tcBorders>
              <w:top w:val="nil"/>
              <w:left w:val="nil"/>
              <w:bottom w:val="nil"/>
              <w:right w:val="nil"/>
            </w:tcBorders>
            <w:shd w:val="clear" w:color="000000" w:fill="B7DEE8"/>
            <w:noWrap/>
            <w:vAlign w:val="bottom"/>
            <w:hideMark/>
          </w:tcPr>
          <w:p w14:paraId="51A3E42F"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63" w:type="pct"/>
            <w:tcBorders>
              <w:top w:val="nil"/>
              <w:left w:val="nil"/>
              <w:bottom w:val="nil"/>
              <w:right w:val="nil"/>
            </w:tcBorders>
            <w:shd w:val="clear" w:color="auto" w:fill="auto"/>
            <w:noWrap/>
            <w:vAlign w:val="bottom"/>
            <w:hideMark/>
          </w:tcPr>
          <w:p w14:paraId="1775BD43"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r>
      <w:tr w:rsidR="00216457" w:rsidRPr="00216457" w14:paraId="40B0CBE8" w14:textId="77777777" w:rsidTr="00216457">
        <w:trPr>
          <w:trHeight w:val="315"/>
        </w:trPr>
        <w:tc>
          <w:tcPr>
            <w:tcW w:w="1429" w:type="pct"/>
            <w:tcBorders>
              <w:top w:val="nil"/>
              <w:left w:val="nil"/>
              <w:bottom w:val="nil"/>
              <w:right w:val="nil"/>
            </w:tcBorders>
            <w:shd w:val="clear" w:color="auto" w:fill="auto"/>
            <w:noWrap/>
            <w:vAlign w:val="bottom"/>
            <w:hideMark/>
          </w:tcPr>
          <w:p w14:paraId="2F517C43"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PEN6504 - ETF 1-5, PEO9907 Pacific Women</w:t>
            </w:r>
          </w:p>
        </w:tc>
        <w:tc>
          <w:tcPr>
            <w:tcW w:w="546" w:type="pct"/>
            <w:tcBorders>
              <w:top w:val="nil"/>
              <w:left w:val="nil"/>
              <w:bottom w:val="nil"/>
              <w:right w:val="nil"/>
            </w:tcBorders>
            <w:shd w:val="clear" w:color="000000" w:fill="F2DCDB"/>
            <w:noWrap/>
            <w:vAlign w:val="bottom"/>
            <w:hideMark/>
          </w:tcPr>
          <w:p w14:paraId="6418D3EE"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2,057,619</w:t>
            </w:r>
          </w:p>
        </w:tc>
        <w:tc>
          <w:tcPr>
            <w:tcW w:w="446" w:type="pct"/>
            <w:gridSpan w:val="2"/>
            <w:tcBorders>
              <w:top w:val="nil"/>
              <w:left w:val="nil"/>
              <w:bottom w:val="nil"/>
              <w:right w:val="nil"/>
            </w:tcBorders>
            <w:shd w:val="clear" w:color="000000" w:fill="FDE9D9"/>
            <w:noWrap/>
            <w:vAlign w:val="bottom"/>
            <w:hideMark/>
          </w:tcPr>
          <w:p w14:paraId="27873724"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2,050,973</w:t>
            </w:r>
          </w:p>
        </w:tc>
        <w:tc>
          <w:tcPr>
            <w:tcW w:w="447" w:type="pct"/>
            <w:tcBorders>
              <w:top w:val="nil"/>
              <w:left w:val="nil"/>
              <w:bottom w:val="nil"/>
              <w:right w:val="nil"/>
            </w:tcBorders>
            <w:shd w:val="clear" w:color="auto" w:fill="auto"/>
            <w:noWrap/>
            <w:vAlign w:val="bottom"/>
            <w:hideMark/>
          </w:tcPr>
          <w:p w14:paraId="095B2637"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-6,646</w:t>
            </w:r>
          </w:p>
        </w:tc>
        <w:tc>
          <w:tcPr>
            <w:tcW w:w="347" w:type="pct"/>
            <w:tcBorders>
              <w:top w:val="nil"/>
              <w:left w:val="nil"/>
              <w:bottom w:val="nil"/>
              <w:right w:val="nil"/>
            </w:tcBorders>
            <w:shd w:val="clear" w:color="000000" w:fill="B7DEE8"/>
            <w:noWrap/>
            <w:vAlign w:val="bottom"/>
            <w:hideMark/>
          </w:tcPr>
          <w:p w14:paraId="08D5C00F"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8" w:type="pct"/>
            <w:tcBorders>
              <w:top w:val="nil"/>
              <w:left w:val="nil"/>
              <w:bottom w:val="nil"/>
              <w:right w:val="nil"/>
            </w:tcBorders>
            <w:shd w:val="clear" w:color="000000" w:fill="D8E4BC"/>
            <w:noWrap/>
            <w:vAlign w:val="bottom"/>
            <w:hideMark/>
          </w:tcPr>
          <w:p w14:paraId="0B35BC25"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-3,126</w:t>
            </w:r>
          </w:p>
        </w:tc>
        <w:tc>
          <w:tcPr>
            <w:tcW w:w="347" w:type="pct"/>
            <w:tcBorders>
              <w:top w:val="nil"/>
              <w:left w:val="nil"/>
              <w:bottom w:val="nil"/>
              <w:right w:val="nil"/>
            </w:tcBorders>
            <w:shd w:val="clear" w:color="000000" w:fill="B7DEE8"/>
            <w:noWrap/>
            <w:vAlign w:val="bottom"/>
            <w:hideMark/>
          </w:tcPr>
          <w:p w14:paraId="277F8FD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9,772</w:t>
            </w:r>
          </w:p>
        </w:tc>
        <w:tc>
          <w:tcPr>
            <w:tcW w:w="347" w:type="pct"/>
            <w:tcBorders>
              <w:top w:val="nil"/>
              <w:left w:val="nil"/>
              <w:bottom w:val="nil"/>
              <w:right w:val="nil"/>
            </w:tcBorders>
            <w:shd w:val="clear" w:color="000000" w:fill="D8E4BC"/>
            <w:noWrap/>
            <w:vAlign w:val="bottom"/>
            <w:hideMark/>
          </w:tcPr>
          <w:p w14:paraId="63BEE281"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81" w:type="pct"/>
            <w:tcBorders>
              <w:top w:val="nil"/>
              <w:left w:val="nil"/>
              <w:bottom w:val="nil"/>
              <w:right w:val="nil"/>
            </w:tcBorders>
            <w:shd w:val="clear" w:color="000000" w:fill="B7DEE8"/>
            <w:noWrap/>
            <w:vAlign w:val="bottom"/>
            <w:hideMark/>
          </w:tcPr>
          <w:p w14:paraId="2D046B2C"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63" w:type="pct"/>
            <w:tcBorders>
              <w:top w:val="nil"/>
              <w:left w:val="nil"/>
              <w:bottom w:val="nil"/>
              <w:right w:val="nil"/>
            </w:tcBorders>
            <w:shd w:val="clear" w:color="auto" w:fill="auto"/>
            <w:noWrap/>
            <w:vAlign w:val="bottom"/>
            <w:hideMark/>
          </w:tcPr>
          <w:p w14:paraId="1D903793"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r>
      <w:tr w:rsidR="00216457" w:rsidRPr="00216457" w14:paraId="34AE7A84" w14:textId="77777777" w:rsidTr="00216457">
        <w:trPr>
          <w:trHeight w:val="315"/>
        </w:trPr>
        <w:tc>
          <w:tcPr>
            <w:tcW w:w="1429" w:type="pct"/>
            <w:tcBorders>
              <w:top w:val="nil"/>
              <w:left w:val="nil"/>
              <w:bottom w:val="nil"/>
              <w:right w:val="nil"/>
            </w:tcBorders>
            <w:shd w:val="clear" w:color="auto" w:fill="auto"/>
            <w:noWrap/>
            <w:vAlign w:val="bottom"/>
            <w:hideMark/>
          </w:tcPr>
          <w:p w14:paraId="598B6463"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546" w:type="pct"/>
            <w:tcBorders>
              <w:top w:val="single" w:sz="4" w:space="0" w:color="auto"/>
              <w:left w:val="nil"/>
              <w:bottom w:val="single" w:sz="4" w:space="0" w:color="auto"/>
              <w:right w:val="nil"/>
            </w:tcBorders>
            <w:shd w:val="clear" w:color="000000" w:fill="F2DCDB"/>
            <w:noWrap/>
            <w:vAlign w:val="bottom"/>
            <w:hideMark/>
          </w:tcPr>
          <w:p w14:paraId="53971363"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9,867,046</w:t>
            </w:r>
          </w:p>
        </w:tc>
        <w:tc>
          <w:tcPr>
            <w:tcW w:w="446" w:type="pct"/>
            <w:gridSpan w:val="2"/>
            <w:tcBorders>
              <w:top w:val="single" w:sz="4" w:space="0" w:color="auto"/>
              <w:left w:val="nil"/>
              <w:bottom w:val="single" w:sz="4" w:space="0" w:color="auto"/>
              <w:right w:val="nil"/>
            </w:tcBorders>
            <w:shd w:val="clear" w:color="000000" w:fill="FDE9D9"/>
            <w:noWrap/>
            <w:vAlign w:val="bottom"/>
            <w:hideMark/>
          </w:tcPr>
          <w:p w14:paraId="65CFAC9B"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9,777,804</w:t>
            </w:r>
          </w:p>
        </w:tc>
        <w:tc>
          <w:tcPr>
            <w:tcW w:w="447" w:type="pct"/>
            <w:tcBorders>
              <w:top w:val="single" w:sz="4" w:space="0" w:color="auto"/>
              <w:left w:val="nil"/>
              <w:bottom w:val="single" w:sz="4" w:space="0" w:color="auto"/>
              <w:right w:val="nil"/>
            </w:tcBorders>
            <w:shd w:val="clear" w:color="auto" w:fill="auto"/>
            <w:noWrap/>
            <w:vAlign w:val="bottom"/>
            <w:hideMark/>
          </w:tcPr>
          <w:p w14:paraId="6B1DA8DF"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-89,242</w:t>
            </w:r>
          </w:p>
        </w:tc>
        <w:tc>
          <w:tcPr>
            <w:tcW w:w="347" w:type="pct"/>
            <w:tcBorders>
              <w:top w:val="single" w:sz="4" w:space="0" w:color="auto"/>
              <w:left w:val="nil"/>
              <w:bottom w:val="single" w:sz="4" w:space="0" w:color="auto"/>
              <w:right w:val="nil"/>
            </w:tcBorders>
            <w:shd w:val="clear" w:color="auto" w:fill="auto"/>
            <w:noWrap/>
            <w:vAlign w:val="bottom"/>
            <w:hideMark/>
          </w:tcPr>
          <w:p w14:paraId="6BE468CC"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c>
          <w:tcPr>
            <w:tcW w:w="348" w:type="pct"/>
            <w:tcBorders>
              <w:top w:val="single" w:sz="4" w:space="0" w:color="auto"/>
              <w:left w:val="nil"/>
              <w:bottom w:val="single" w:sz="4" w:space="0" w:color="auto"/>
              <w:right w:val="nil"/>
            </w:tcBorders>
            <w:shd w:val="clear" w:color="auto" w:fill="auto"/>
            <w:noWrap/>
            <w:vAlign w:val="bottom"/>
            <w:hideMark/>
          </w:tcPr>
          <w:p w14:paraId="349548A1"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c>
          <w:tcPr>
            <w:tcW w:w="347" w:type="pct"/>
            <w:tcBorders>
              <w:top w:val="single" w:sz="4" w:space="0" w:color="auto"/>
              <w:left w:val="nil"/>
              <w:bottom w:val="single" w:sz="4" w:space="0" w:color="auto"/>
              <w:right w:val="nil"/>
            </w:tcBorders>
            <w:shd w:val="clear" w:color="auto" w:fill="auto"/>
            <w:noWrap/>
            <w:vAlign w:val="bottom"/>
            <w:hideMark/>
          </w:tcPr>
          <w:p w14:paraId="5E101F54"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c>
          <w:tcPr>
            <w:tcW w:w="347" w:type="pct"/>
            <w:tcBorders>
              <w:top w:val="single" w:sz="4" w:space="0" w:color="auto"/>
              <w:left w:val="nil"/>
              <w:bottom w:val="single" w:sz="4" w:space="0" w:color="auto"/>
              <w:right w:val="nil"/>
            </w:tcBorders>
            <w:shd w:val="clear" w:color="auto" w:fill="auto"/>
            <w:noWrap/>
            <w:vAlign w:val="bottom"/>
            <w:hideMark/>
          </w:tcPr>
          <w:p w14:paraId="2B8EC75D"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c>
          <w:tcPr>
            <w:tcW w:w="381" w:type="pct"/>
            <w:tcBorders>
              <w:top w:val="single" w:sz="4" w:space="0" w:color="auto"/>
              <w:left w:val="nil"/>
              <w:bottom w:val="single" w:sz="4" w:space="0" w:color="auto"/>
              <w:right w:val="nil"/>
            </w:tcBorders>
            <w:shd w:val="clear" w:color="auto" w:fill="auto"/>
            <w:noWrap/>
            <w:vAlign w:val="bottom"/>
            <w:hideMark/>
          </w:tcPr>
          <w:p w14:paraId="1F82F934"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0</w:t>
            </w:r>
          </w:p>
        </w:tc>
        <w:tc>
          <w:tcPr>
            <w:tcW w:w="363" w:type="pct"/>
            <w:tcBorders>
              <w:top w:val="single" w:sz="4" w:space="0" w:color="auto"/>
              <w:left w:val="nil"/>
              <w:bottom w:val="single" w:sz="4" w:space="0" w:color="auto"/>
              <w:right w:val="nil"/>
            </w:tcBorders>
            <w:shd w:val="clear" w:color="auto" w:fill="auto"/>
            <w:noWrap/>
            <w:vAlign w:val="bottom"/>
            <w:hideMark/>
          </w:tcPr>
          <w:p w14:paraId="7E9EFF20"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-89,242</w:t>
            </w:r>
          </w:p>
        </w:tc>
      </w:tr>
      <w:tr w:rsidR="00216457" w:rsidRPr="00216457" w14:paraId="28513732" w14:textId="77777777" w:rsidTr="00216457">
        <w:trPr>
          <w:trHeight w:val="300"/>
        </w:trPr>
        <w:tc>
          <w:tcPr>
            <w:tcW w:w="1429" w:type="pct"/>
            <w:tcBorders>
              <w:top w:val="nil"/>
              <w:left w:val="nil"/>
              <w:bottom w:val="nil"/>
              <w:right w:val="nil"/>
            </w:tcBorders>
            <w:shd w:val="clear" w:color="auto" w:fill="auto"/>
            <w:noWrap/>
            <w:hideMark/>
          </w:tcPr>
          <w:p w14:paraId="249EF897"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546" w:type="pct"/>
            <w:tcBorders>
              <w:top w:val="nil"/>
              <w:left w:val="nil"/>
              <w:bottom w:val="nil"/>
              <w:right w:val="nil"/>
            </w:tcBorders>
            <w:shd w:val="clear" w:color="auto" w:fill="auto"/>
            <w:noWrap/>
            <w:hideMark/>
          </w:tcPr>
          <w:p w14:paraId="01B37C25"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446" w:type="pct"/>
            <w:gridSpan w:val="2"/>
            <w:tcBorders>
              <w:top w:val="nil"/>
              <w:left w:val="nil"/>
              <w:bottom w:val="nil"/>
              <w:right w:val="nil"/>
            </w:tcBorders>
            <w:shd w:val="clear" w:color="auto" w:fill="auto"/>
            <w:noWrap/>
            <w:hideMark/>
          </w:tcPr>
          <w:p w14:paraId="5DAE4F43"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447" w:type="pct"/>
            <w:tcBorders>
              <w:top w:val="nil"/>
              <w:left w:val="nil"/>
              <w:bottom w:val="nil"/>
              <w:right w:val="nil"/>
            </w:tcBorders>
            <w:shd w:val="clear" w:color="auto" w:fill="auto"/>
            <w:noWrap/>
            <w:hideMark/>
          </w:tcPr>
          <w:p w14:paraId="0323A38C"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47" w:type="pct"/>
            <w:tcBorders>
              <w:top w:val="nil"/>
              <w:left w:val="nil"/>
              <w:bottom w:val="nil"/>
              <w:right w:val="nil"/>
            </w:tcBorders>
            <w:shd w:val="clear" w:color="auto" w:fill="auto"/>
            <w:noWrap/>
            <w:hideMark/>
          </w:tcPr>
          <w:p w14:paraId="0945F30D"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48" w:type="pct"/>
            <w:tcBorders>
              <w:top w:val="nil"/>
              <w:left w:val="nil"/>
              <w:bottom w:val="nil"/>
              <w:right w:val="nil"/>
            </w:tcBorders>
            <w:shd w:val="clear" w:color="auto" w:fill="auto"/>
            <w:noWrap/>
            <w:hideMark/>
          </w:tcPr>
          <w:p w14:paraId="5B89EE40"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47" w:type="pct"/>
            <w:tcBorders>
              <w:top w:val="nil"/>
              <w:left w:val="nil"/>
              <w:bottom w:val="nil"/>
              <w:right w:val="nil"/>
            </w:tcBorders>
            <w:shd w:val="clear" w:color="auto" w:fill="auto"/>
            <w:noWrap/>
            <w:hideMark/>
          </w:tcPr>
          <w:p w14:paraId="5585E462"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47" w:type="pct"/>
            <w:tcBorders>
              <w:top w:val="nil"/>
              <w:left w:val="nil"/>
              <w:bottom w:val="nil"/>
              <w:right w:val="nil"/>
            </w:tcBorders>
            <w:shd w:val="clear" w:color="auto" w:fill="auto"/>
            <w:noWrap/>
            <w:hideMark/>
          </w:tcPr>
          <w:p w14:paraId="0C9757AD"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81" w:type="pct"/>
            <w:tcBorders>
              <w:top w:val="nil"/>
              <w:left w:val="nil"/>
              <w:bottom w:val="nil"/>
              <w:right w:val="nil"/>
            </w:tcBorders>
            <w:shd w:val="clear" w:color="auto" w:fill="auto"/>
            <w:noWrap/>
            <w:hideMark/>
          </w:tcPr>
          <w:p w14:paraId="250B33AF"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c>
          <w:tcPr>
            <w:tcW w:w="363" w:type="pct"/>
            <w:tcBorders>
              <w:top w:val="nil"/>
              <w:left w:val="nil"/>
              <w:bottom w:val="nil"/>
              <w:right w:val="nil"/>
            </w:tcBorders>
            <w:shd w:val="clear" w:color="auto" w:fill="auto"/>
            <w:noWrap/>
            <w:hideMark/>
          </w:tcPr>
          <w:p w14:paraId="39CA7E04" w14:textId="77777777" w:rsidR="00216457" w:rsidRPr="00216457" w:rsidRDefault="00216457" w:rsidP="00216457">
            <w:pPr>
              <w:widowControl/>
              <w:spacing w:before="0" w:after="0"/>
              <w:rPr>
                <w:rFonts w:eastAsia="Times New Roman" w:cs="Times New Roman"/>
                <w:color w:val="000000"/>
                <w:sz w:val="20"/>
                <w:szCs w:val="20"/>
                <w:lang w:val="en-AU" w:eastAsia="en-AU"/>
              </w:rPr>
            </w:pPr>
          </w:p>
        </w:tc>
      </w:tr>
      <w:tr w:rsidR="00216457" w:rsidRPr="00216457" w14:paraId="51E2D776" w14:textId="77777777" w:rsidTr="00216457">
        <w:trPr>
          <w:trHeight w:val="315"/>
        </w:trPr>
        <w:tc>
          <w:tcPr>
            <w:tcW w:w="1429" w:type="pct"/>
            <w:tcBorders>
              <w:top w:val="nil"/>
              <w:left w:val="nil"/>
              <w:bottom w:val="nil"/>
              <w:right w:val="nil"/>
            </w:tcBorders>
            <w:shd w:val="clear" w:color="auto" w:fill="auto"/>
            <w:noWrap/>
            <w:hideMark/>
          </w:tcPr>
          <w:p w14:paraId="4EBF478A"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xml:space="preserve">   </w:t>
            </w:r>
          </w:p>
        </w:tc>
        <w:tc>
          <w:tcPr>
            <w:tcW w:w="892" w:type="pct"/>
            <w:gridSpan w:val="2"/>
            <w:tcBorders>
              <w:top w:val="single" w:sz="4" w:space="0" w:color="auto"/>
              <w:left w:val="nil"/>
              <w:bottom w:val="single" w:sz="4" w:space="0" w:color="auto"/>
              <w:right w:val="nil"/>
            </w:tcBorders>
            <w:shd w:val="clear" w:color="000000" w:fill="F2DCDB"/>
            <w:noWrap/>
            <w:vAlign w:val="bottom"/>
            <w:hideMark/>
          </w:tcPr>
          <w:p w14:paraId="1B2852D3" w14:textId="77777777" w:rsidR="00216457" w:rsidRPr="00216457" w:rsidRDefault="00216457" w:rsidP="00216457">
            <w:pPr>
              <w:widowControl/>
              <w:spacing w:before="0" w:after="0"/>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Total Funds Available</w:t>
            </w:r>
          </w:p>
        </w:tc>
        <w:tc>
          <w:tcPr>
            <w:tcW w:w="100" w:type="pct"/>
            <w:tcBorders>
              <w:top w:val="single" w:sz="4" w:space="0" w:color="auto"/>
              <w:left w:val="nil"/>
              <w:bottom w:val="single" w:sz="4" w:space="0" w:color="auto"/>
              <w:right w:val="nil"/>
            </w:tcBorders>
            <w:shd w:val="clear" w:color="000000" w:fill="FDE9D9"/>
            <w:noWrap/>
            <w:vAlign w:val="bottom"/>
            <w:hideMark/>
          </w:tcPr>
          <w:p w14:paraId="74FE2C62" w14:textId="77777777" w:rsidR="00216457" w:rsidRPr="00216457" w:rsidRDefault="00216457" w:rsidP="00216457">
            <w:pPr>
              <w:widowControl/>
              <w:spacing w:before="0" w:after="0"/>
              <w:jc w:val="center"/>
              <w:rPr>
                <w:rFonts w:eastAsia="Times New Roman" w:cs="Times New Roman"/>
                <w:b/>
                <w:bCs/>
                <w:color w:val="000000"/>
                <w:sz w:val="20"/>
                <w:szCs w:val="20"/>
                <w:lang w:val="en-AU" w:eastAsia="en-AU"/>
              </w:rPr>
            </w:pPr>
            <w:r w:rsidRPr="00216457">
              <w:rPr>
                <w:rFonts w:eastAsia="Times New Roman" w:cs="Times New Roman"/>
                <w:b/>
                <w:bCs/>
                <w:color w:val="000000"/>
                <w:sz w:val="20"/>
                <w:szCs w:val="20"/>
                <w:lang w:val="en-AU" w:eastAsia="en-AU"/>
              </w:rPr>
              <w:t> </w:t>
            </w:r>
          </w:p>
        </w:tc>
        <w:tc>
          <w:tcPr>
            <w:tcW w:w="447" w:type="pct"/>
            <w:tcBorders>
              <w:top w:val="single" w:sz="4" w:space="0" w:color="auto"/>
              <w:left w:val="nil"/>
              <w:bottom w:val="single" w:sz="4" w:space="0" w:color="auto"/>
              <w:right w:val="nil"/>
            </w:tcBorders>
            <w:shd w:val="clear" w:color="auto" w:fill="auto"/>
            <w:noWrap/>
            <w:vAlign w:val="bottom"/>
            <w:hideMark/>
          </w:tcPr>
          <w:p w14:paraId="55F9B398"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-89,242</w:t>
            </w:r>
          </w:p>
        </w:tc>
        <w:tc>
          <w:tcPr>
            <w:tcW w:w="347" w:type="pct"/>
            <w:tcBorders>
              <w:top w:val="single" w:sz="4" w:space="0" w:color="auto"/>
              <w:left w:val="nil"/>
              <w:bottom w:val="single" w:sz="4" w:space="0" w:color="auto"/>
              <w:right w:val="nil"/>
            </w:tcBorders>
            <w:shd w:val="clear" w:color="auto" w:fill="auto"/>
            <w:noWrap/>
            <w:vAlign w:val="bottom"/>
            <w:hideMark/>
          </w:tcPr>
          <w:p w14:paraId="676BC221"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8" w:type="pct"/>
            <w:tcBorders>
              <w:top w:val="single" w:sz="4" w:space="0" w:color="auto"/>
              <w:left w:val="nil"/>
              <w:bottom w:val="single" w:sz="4" w:space="0" w:color="auto"/>
              <w:right w:val="nil"/>
            </w:tcBorders>
            <w:shd w:val="clear" w:color="auto" w:fill="auto"/>
            <w:noWrap/>
            <w:vAlign w:val="bottom"/>
            <w:hideMark/>
          </w:tcPr>
          <w:p w14:paraId="2C036C1E"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single" w:sz="4" w:space="0" w:color="auto"/>
              <w:left w:val="nil"/>
              <w:bottom w:val="single" w:sz="4" w:space="0" w:color="auto"/>
              <w:right w:val="nil"/>
            </w:tcBorders>
            <w:shd w:val="clear" w:color="auto" w:fill="auto"/>
            <w:noWrap/>
            <w:vAlign w:val="bottom"/>
            <w:hideMark/>
          </w:tcPr>
          <w:p w14:paraId="1A57859B"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47" w:type="pct"/>
            <w:tcBorders>
              <w:top w:val="single" w:sz="4" w:space="0" w:color="auto"/>
              <w:left w:val="nil"/>
              <w:bottom w:val="single" w:sz="4" w:space="0" w:color="auto"/>
              <w:right w:val="nil"/>
            </w:tcBorders>
            <w:shd w:val="clear" w:color="auto" w:fill="auto"/>
            <w:noWrap/>
            <w:vAlign w:val="bottom"/>
            <w:hideMark/>
          </w:tcPr>
          <w:p w14:paraId="2AAD4275"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81" w:type="pct"/>
            <w:tcBorders>
              <w:top w:val="single" w:sz="4" w:space="0" w:color="auto"/>
              <w:left w:val="nil"/>
              <w:bottom w:val="single" w:sz="4" w:space="0" w:color="auto"/>
              <w:right w:val="nil"/>
            </w:tcBorders>
            <w:shd w:val="clear" w:color="auto" w:fill="auto"/>
            <w:noWrap/>
            <w:vAlign w:val="bottom"/>
            <w:hideMark/>
          </w:tcPr>
          <w:p w14:paraId="53DB505B" w14:textId="77777777" w:rsidR="00216457" w:rsidRPr="00216457" w:rsidRDefault="00216457" w:rsidP="00216457">
            <w:pPr>
              <w:widowControl/>
              <w:spacing w:before="0" w:after="0"/>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 </w:t>
            </w:r>
          </w:p>
        </w:tc>
        <w:tc>
          <w:tcPr>
            <w:tcW w:w="363" w:type="pct"/>
            <w:tcBorders>
              <w:top w:val="single" w:sz="4" w:space="0" w:color="auto"/>
              <w:left w:val="nil"/>
              <w:bottom w:val="single" w:sz="4" w:space="0" w:color="auto"/>
              <w:right w:val="nil"/>
            </w:tcBorders>
            <w:shd w:val="clear" w:color="auto" w:fill="auto"/>
            <w:noWrap/>
            <w:vAlign w:val="bottom"/>
            <w:hideMark/>
          </w:tcPr>
          <w:p w14:paraId="1FA68256" w14:textId="77777777" w:rsidR="00216457" w:rsidRPr="00216457" w:rsidRDefault="00216457" w:rsidP="00216457">
            <w:pPr>
              <w:widowControl/>
              <w:spacing w:before="0" w:after="0"/>
              <w:jc w:val="right"/>
              <w:rPr>
                <w:rFonts w:eastAsia="Times New Roman" w:cs="Times New Roman"/>
                <w:color w:val="000000"/>
                <w:sz w:val="20"/>
                <w:szCs w:val="20"/>
                <w:lang w:val="en-AU" w:eastAsia="en-AU"/>
              </w:rPr>
            </w:pPr>
            <w:r w:rsidRPr="00216457">
              <w:rPr>
                <w:rFonts w:eastAsia="Times New Roman" w:cs="Times New Roman"/>
                <w:color w:val="000000"/>
                <w:sz w:val="20"/>
                <w:szCs w:val="20"/>
                <w:lang w:val="en-AU" w:eastAsia="en-AU"/>
              </w:rPr>
              <w:t>-89,242</w:t>
            </w:r>
          </w:p>
        </w:tc>
      </w:tr>
    </w:tbl>
    <w:p w14:paraId="626FF8D2" w14:textId="77777777" w:rsidR="003B4406" w:rsidRDefault="003B4406" w:rsidP="003776F9"/>
    <w:p w14:paraId="719A38AC" w14:textId="0E9EFCA8" w:rsidR="00216457" w:rsidRDefault="00216457">
      <w:pPr>
        <w:widowControl/>
        <w:spacing w:before="0" w:after="0"/>
      </w:pPr>
      <w:r>
        <w:br w:type="page"/>
      </w:r>
    </w:p>
    <w:p w14:paraId="77081D20" w14:textId="57A88F12" w:rsidR="00216457" w:rsidRDefault="00216457" w:rsidP="00216457">
      <w:pPr>
        <w:pStyle w:val="Heading2"/>
      </w:pPr>
      <w:r>
        <w:t xml:space="preserve">8.5 </w:t>
      </w:r>
      <w:r>
        <w:tab/>
        <w:t>Insurance Refund Calculation</w:t>
      </w:r>
    </w:p>
    <w:p w14:paraId="2735FE4B" w14:textId="77777777" w:rsidR="00782E1D" w:rsidRDefault="00782E1D" w:rsidP="00782E1D"/>
    <w:tbl>
      <w:tblPr>
        <w:tblW w:w="12597" w:type="dxa"/>
        <w:tblInd w:w="93" w:type="dxa"/>
        <w:tblLook w:val="04A0" w:firstRow="1" w:lastRow="0" w:firstColumn="1" w:lastColumn="0" w:noHBand="0" w:noVBand="1"/>
      </w:tblPr>
      <w:tblGrid>
        <w:gridCol w:w="2380"/>
        <w:gridCol w:w="1945"/>
        <w:gridCol w:w="1260"/>
        <w:gridCol w:w="1387"/>
        <w:gridCol w:w="1278"/>
        <w:gridCol w:w="1278"/>
        <w:gridCol w:w="960"/>
        <w:gridCol w:w="1053"/>
        <w:gridCol w:w="1056"/>
      </w:tblGrid>
      <w:tr w:rsidR="00D74D14" w:rsidRPr="00D74D14" w14:paraId="025C6C38" w14:textId="77777777" w:rsidTr="00D74D14">
        <w:trPr>
          <w:gridAfter w:val="1"/>
          <w:wAfter w:w="1056" w:type="dxa"/>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D808" w14:textId="77777777" w:rsidR="00D74D14" w:rsidRPr="00D74D14" w:rsidRDefault="00D74D14" w:rsidP="00D74D14">
            <w:pPr>
              <w:widowControl/>
              <w:spacing w:before="0" w:after="0"/>
              <w:rPr>
                <w:rFonts w:eastAsia="Times New Roman" w:cs="Times New Roman"/>
                <w:b/>
                <w:bCs/>
                <w:color w:val="000000"/>
                <w:lang w:val="en-AU" w:eastAsia="en-AU"/>
              </w:rPr>
            </w:pPr>
            <w:r w:rsidRPr="00D74D14">
              <w:rPr>
                <w:rFonts w:eastAsia="Times New Roman" w:cs="Times New Roman"/>
                <w:b/>
                <w:bCs/>
                <w:color w:val="000000"/>
                <w:lang w:val="en-AU" w:eastAsia="en-AU"/>
              </w:rPr>
              <w:t>Insurance</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14:paraId="01E1AA10"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Policy number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945E4BB"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VUV</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1964A744"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AUD</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45719134"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Start</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30DC45E4"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Finish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72190B"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 MC</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6D376CF9"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Balance</w:t>
            </w:r>
          </w:p>
        </w:tc>
      </w:tr>
      <w:tr w:rsidR="00D74D14" w:rsidRPr="00D74D14" w14:paraId="17ADBC6F" w14:textId="77777777" w:rsidTr="00D74D14">
        <w:trPr>
          <w:gridAfter w:val="1"/>
          <w:wAfter w:w="1056"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EB05937"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Commercial fire package</w:t>
            </w:r>
          </w:p>
        </w:tc>
        <w:tc>
          <w:tcPr>
            <w:tcW w:w="1945" w:type="dxa"/>
            <w:tcBorders>
              <w:top w:val="nil"/>
              <w:left w:val="nil"/>
              <w:bottom w:val="single" w:sz="4" w:space="0" w:color="auto"/>
              <w:right w:val="single" w:sz="4" w:space="0" w:color="auto"/>
            </w:tcBorders>
            <w:shd w:val="clear" w:color="auto" w:fill="auto"/>
            <w:noWrap/>
            <w:vAlign w:val="bottom"/>
            <w:hideMark/>
          </w:tcPr>
          <w:p w14:paraId="3E5B67A7"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VU110009918COP</w:t>
            </w:r>
          </w:p>
        </w:tc>
        <w:tc>
          <w:tcPr>
            <w:tcW w:w="1260" w:type="dxa"/>
            <w:tcBorders>
              <w:top w:val="nil"/>
              <w:left w:val="nil"/>
              <w:bottom w:val="single" w:sz="4" w:space="0" w:color="auto"/>
              <w:right w:val="single" w:sz="4" w:space="0" w:color="auto"/>
            </w:tcBorders>
            <w:shd w:val="clear" w:color="auto" w:fill="auto"/>
            <w:noWrap/>
            <w:vAlign w:val="bottom"/>
            <w:hideMark/>
          </w:tcPr>
          <w:p w14:paraId="53A445E3"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228110</w:t>
            </w:r>
          </w:p>
        </w:tc>
        <w:tc>
          <w:tcPr>
            <w:tcW w:w="1387" w:type="dxa"/>
            <w:tcBorders>
              <w:top w:val="nil"/>
              <w:left w:val="nil"/>
              <w:bottom w:val="single" w:sz="4" w:space="0" w:color="auto"/>
              <w:right w:val="single" w:sz="4" w:space="0" w:color="auto"/>
            </w:tcBorders>
            <w:shd w:val="clear" w:color="auto" w:fill="auto"/>
            <w:noWrap/>
            <w:vAlign w:val="bottom"/>
            <w:hideMark/>
          </w:tcPr>
          <w:p w14:paraId="6019F599"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0</w:t>
            </w:r>
          </w:p>
        </w:tc>
        <w:tc>
          <w:tcPr>
            <w:tcW w:w="1278" w:type="dxa"/>
            <w:tcBorders>
              <w:top w:val="nil"/>
              <w:left w:val="nil"/>
              <w:bottom w:val="single" w:sz="4" w:space="0" w:color="auto"/>
              <w:right w:val="single" w:sz="4" w:space="0" w:color="auto"/>
            </w:tcBorders>
            <w:shd w:val="clear" w:color="auto" w:fill="auto"/>
            <w:noWrap/>
            <w:vAlign w:val="bottom"/>
            <w:hideMark/>
          </w:tcPr>
          <w:p w14:paraId="5EEFCA25"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1/02/2016</w:t>
            </w:r>
          </w:p>
        </w:tc>
        <w:tc>
          <w:tcPr>
            <w:tcW w:w="1278" w:type="dxa"/>
            <w:tcBorders>
              <w:top w:val="nil"/>
              <w:left w:val="nil"/>
              <w:bottom w:val="single" w:sz="4" w:space="0" w:color="auto"/>
              <w:right w:val="single" w:sz="4" w:space="0" w:color="auto"/>
            </w:tcBorders>
            <w:shd w:val="clear" w:color="auto" w:fill="auto"/>
            <w:noWrap/>
            <w:vAlign w:val="bottom"/>
            <w:hideMark/>
          </w:tcPr>
          <w:p w14:paraId="302AC5EF"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1/02/2017</w:t>
            </w:r>
          </w:p>
        </w:tc>
        <w:tc>
          <w:tcPr>
            <w:tcW w:w="960" w:type="dxa"/>
            <w:tcBorders>
              <w:top w:val="nil"/>
              <w:left w:val="nil"/>
              <w:bottom w:val="single" w:sz="4" w:space="0" w:color="auto"/>
              <w:right w:val="single" w:sz="4" w:space="0" w:color="auto"/>
            </w:tcBorders>
            <w:shd w:val="clear" w:color="auto" w:fill="auto"/>
            <w:noWrap/>
            <w:vAlign w:val="bottom"/>
            <w:hideMark/>
          </w:tcPr>
          <w:p w14:paraId="73F82927"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58%</w:t>
            </w:r>
          </w:p>
        </w:tc>
        <w:tc>
          <w:tcPr>
            <w:tcW w:w="1053" w:type="dxa"/>
            <w:tcBorders>
              <w:top w:val="nil"/>
              <w:left w:val="nil"/>
              <w:bottom w:val="single" w:sz="4" w:space="0" w:color="auto"/>
              <w:right w:val="single" w:sz="4" w:space="0" w:color="auto"/>
            </w:tcBorders>
            <w:shd w:val="clear" w:color="auto" w:fill="auto"/>
            <w:noWrap/>
            <w:vAlign w:val="bottom"/>
            <w:hideMark/>
          </w:tcPr>
          <w:p w14:paraId="124FBA60"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0</w:t>
            </w:r>
          </w:p>
        </w:tc>
      </w:tr>
      <w:tr w:rsidR="00D74D14" w:rsidRPr="00D74D14" w14:paraId="30D20B18" w14:textId="77777777" w:rsidTr="00D74D14">
        <w:trPr>
          <w:gridAfter w:val="1"/>
          <w:wAfter w:w="1056"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F22B3B4"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Vehicle</w:t>
            </w:r>
          </w:p>
        </w:tc>
        <w:tc>
          <w:tcPr>
            <w:tcW w:w="1945" w:type="dxa"/>
            <w:tcBorders>
              <w:top w:val="nil"/>
              <w:left w:val="nil"/>
              <w:bottom w:val="single" w:sz="4" w:space="0" w:color="auto"/>
              <w:right w:val="single" w:sz="4" w:space="0" w:color="auto"/>
            </w:tcBorders>
            <w:shd w:val="clear" w:color="auto" w:fill="auto"/>
            <w:noWrap/>
            <w:vAlign w:val="bottom"/>
            <w:hideMark/>
          </w:tcPr>
          <w:p w14:paraId="7155083C"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VU100055485COM</w:t>
            </w:r>
          </w:p>
        </w:tc>
        <w:tc>
          <w:tcPr>
            <w:tcW w:w="1260" w:type="dxa"/>
            <w:tcBorders>
              <w:top w:val="nil"/>
              <w:left w:val="nil"/>
              <w:bottom w:val="single" w:sz="4" w:space="0" w:color="auto"/>
              <w:right w:val="single" w:sz="4" w:space="0" w:color="auto"/>
            </w:tcBorders>
            <w:shd w:val="clear" w:color="auto" w:fill="auto"/>
            <w:noWrap/>
            <w:vAlign w:val="bottom"/>
            <w:hideMark/>
          </w:tcPr>
          <w:p w14:paraId="6629CBC6"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608725</w:t>
            </w:r>
          </w:p>
        </w:tc>
        <w:tc>
          <w:tcPr>
            <w:tcW w:w="1387" w:type="dxa"/>
            <w:tcBorders>
              <w:top w:val="nil"/>
              <w:left w:val="nil"/>
              <w:bottom w:val="single" w:sz="4" w:space="0" w:color="auto"/>
              <w:right w:val="single" w:sz="4" w:space="0" w:color="auto"/>
            </w:tcBorders>
            <w:shd w:val="clear" w:color="auto" w:fill="auto"/>
            <w:noWrap/>
            <w:vAlign w:val="bottom"/>
            <w:hideMark/>
          </w:tcPr>
          <w:p w14:paraId="6C7B4D02"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7,766.33</w:t>
            </w:r>
          </w:p>
        </w:tc>
        <w:tc>
          <w:tcPr>
            <w:tcW w:w="1278" w:type="dxa"/>
            <w:tcBorders>
              <w:top w:val="nil"/>
              <w:left w:val="nil"/>
              <w:bottom w:val="single" w:sz="4" w:space="0" w:color="auto"/>
              <w:right w:val="single" w:sz="4" w:space="0" w:color="auto"/>
            </w:tcBorders>
            <w:shd w:val="clear" w:color="auto" w:fill="auto"/>
            <w:noWrap/>
            <w:vAlign w:val="bottom"/>
            <w:hideMark/>
          </w:tcPr>
          <w:p w14:paraId="51463D03"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14/11/2015</w:t>
            </w:r>
          </w:p>
        </w:tc>
        <w:tc>
          <w:tcPr>
            <w:tcW w:w="1278" w:type="dxa"/>
            <w:tcBorders>
              <w:top w:val="nil"/>
              <w:left w:val="nil"/>
              <w:bottom w:val="single" w:sz="4" w:space="0" w:color="auto"/>
              <w:right w:val="single" w:sz="4" w:space="0" w:color="auto"/>
            </w:tcBorders>
            <w:shd w:val="clear" w:color="auto" w:fill="auto"/>
            <w:noWrap/>
            <w:vAlign w:val="bottom"/>
            <w:hideMark/>
          </w:tcPr>
          <w:p w14:paraId="0E9F7C87"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14/11/2016</w:t>
            </w:r>
          </w:p>
        </w:tc>
        <w:tc>
          <w:tcPr>
            <w:tcW w:w="960" w:type="dxa"/>
            <w:tcBorders>
              <w:top w:val="nil"/>
              <w:left w:val="nil"/>
              <w:bottom w:val="single" w:sz="4" w:space="0" w:color="auto"/>
              <w:right w:val="single" w:sz="4" w:space="0" w:color="auto"/>
            </w:tcBorders>
            <w:shd w:val="clear" w:color="auto" w:fill="auto"/>
            <w:noWrap/>
            <w:vAlign w:val="bottom"/>
            <w:hideMark/>
          </w:tcPr>
          <w:p w14:paraId="1778F1C1"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38%</w:t>
            </w:r>
          </w:p>
        </w:tc>
        <w:tc>
          <w:tcPr>
            <w:tcW w:w="1053" w:type="dxa"/>
            <w:tcBorders>
              <w:top w:val="nil"/>
              <w:left w:val="nil"/>
              <w:bottom w:val="single" w:sz="4" w:space="0" w:color="auto"/>
              <w:right w:val="single" w:sz="4" w:space="0" w:color="auto"/>
            </w:tcBorders>
            <w:shd w:val="clear" w:color="auto" w:fill="auto"/>
            <w:noWrap/>
            <w:vAlign w:val="bottom"/>
            <w:hideMark/>
          </w:tcPr>
          <w:p w14:paraId="15DF411F"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2912.374</w:t>
            </w:r>
          </w:p>
        </w:tc>
      </w:tr>
      <w:tr w:rsidR="00D74D14" w:rsidRPr="00D74D14" w14:paraId="5483705C" w14:textId="77777777" w:rsidTr="00D74D14">
        <w:trPr>
          <w:gridAfter w:val="1"/>
          <w:wAfter w:w="1056"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500607A"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Staff medical insurance</w:t>
            </w:r>
          </w:p>
        </w:tc>
        <w:tc>
          <w:tcPr>
            <w:tcW w:w="1945" w:type="dxa"/>
            <w:tcBorders>
              <w:top w:val="nil"/>
              <w:left w:val="nil"/>
              <w:bottom w:val="single" w:sz="4" w:space="0" w:color="auto"/>
              <w:right w:val="single" w:sz="4" w:space="0" w:color="auto"/>
            </w:tcBorders>
            <w:shd w:val="clear" w:color="auto" w:fill="auto"/>
            <w:noWrap/>
            <w:vAlign w:val="bottom"/>
            <w:hideMark/>
          </w:tcPr>
          <w:p w14:paraId="7A81EA1B"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VU110015373MRP</w:t>
            </w:r>
          </w:p>
        </w:tc>
        <w:tc>
          <w:tcPr>
            <w:tcW w:w="1260" w:type="dxa"/>
            <w:tcBorders>
              <w:top w:val="nil"/>
              <w:left w:val="nil"/>
              <w:bottom w:val="single" w:sz="4" w:space="0" w:color="auto"/>
              <w:right w:val="single" w:sz="4" w:space="0" w:color="auto"/>
            </w:tcBorders>
            <w:shd w:val="clear" w:color="auto" w:fill="auto"/>
            <w:noWrap/>
            <w:vAlign w:val="bottom"/>
            <w:hideMark/>
          </w:tcPr>
          <w:p w14:paraId="64FEFA14"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2596500</w:t>
            </w:r>
          </w:p>
        </w:tc>
        <w:tc>
          <w:tcPr>
            <w:tcW w:w="1387" w:type="dxa"/>
            <w:tcBorders>
              <w:top w:val="nil"/>
              <w:left w:val="nil"/>
              <w:bottom w:val="single" w:sz="4" w:space="0" w:color="auto"/>
              <w:right w:val="single" w:sz="4" w:space="0" w:color="auto"/>
            </w:tcBorders>
            <w:shd w:val="clear" w:color="auto" w:fill="auto"/>
            <w:noWrap/>
            <w:vAlign w:val="bottom"/>
            <w:hideMark/>
          </w:tcPr>
          <w:p w14:paraId="24CCBD3D"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34749.73</w:t>
            </w:r>
          </w:p>
        </w:tc>
        <w:tc>
          <w:tcPr>
            <w:tcW w:w="1278" w:type="dxa"/>
            <w:tcBorders>
              <w:top w:val="nil"/>
              <w:left w:val="nil"/>
              <w:bottom w:val="single" w:sz="4" w:space="0" w:color="auto"/>
              <w:right w:val="single" w:sz="4" w:space="0" w:color="auto"/>
            </w:tcBorders>
            <w:shd w:val="clear" w:color="auto" w:fill="auto"/>
            <w:noWrap/>
            <w:vAlign w:val="bottom"/>
            <w:hideMark/>
          </w:tcPr>
          <w:p w14:paraId="5D849D2F"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1/03/2016</w:t>
            </w:r>
          </w:p>
        </w:tc>
        <w:tc>
          <w:tcPr>
            <w:tcW w:w="1278" w:type="dxa"/>
            <w:tcBorders>
              <w:top w:val="nil"/>
              <w:left w:val="nil"/>
              <w:bottom w:val="single" w:sz="4" w:space="0" w:color="auto"/>
              <w:right w:val="single" w:sz="4" w:space="0" w:color="auto"/>
            </w:tcBorders>
            <w:shd w:val="clear" w:color="auto" w:fill="auto"/>
            <w:noWrap/>
            <w:vAlign w:val="bottom"/>
            <w:hideMark/>
          </w:tcPr>
          <w:p w14:paraId="438EED9D"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1/03/2017</w:t>
            </w:r>
          </w:p>
        </w:tc>
        <w:tc>
          <w:tcPr>
            <w:tcW w:w="960" w:type="dxa"/>
            <w:tcBorders>
              <w:top w:val="nil"/>
              <w:left w:val="nil"/>
              <w:bottom w:val="single" w:sz="4" w:space="0" w:color="auto"/>
              <w:right w:val="single" w:sz="4" w:space="0" w:color="auto"/>
            </w:tcBorders>
            <w:shd w:val="clear" w:color="auto" w:fill="auto"/>
            <w:noWrap/>
            <w:vAlign w:val="bottom"/>
            <w:hideMark/>
          </w:tcPr>
          <w:p w14:paraId="5D3E7C32"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67%</w:t>
            </w:r>
          </w:p>
        </w:tc>
        <w:tc>
          <w:tcPr>
            <w:tcW w:w="1053" w:type="dxa"/>
            <w:tcBorders>
              <w:top w:val="nil"/>
              <w:left w:val="nil"/>
              <w:bottom w:val="single" w:sz="4" w:space="0" w:color="auto"/>
              <w:right w:val="single" w:sz="4" w:space="0" w:color="auto"/>
            </w:tcBorders>
            <w:shd w:val="clear" w:color="auto" w:fill="auto"/>
            <w:noWrap/>
            <w:vAlign w:val="bottom"/>
            <w:hideMark/>
          </w:tcPr>
          <w:p w14:paraId="412F740A"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23166.49</w:t>
            </w:r>
          </w:p>
        </w:tc>
      </w:tr>
      <w:tr w:rsidR="00D74D14" w:rsidRPr="00D74D14" w14:paraId="7184A98F" w14:textId="77777777" w:rsidTr="00D74D14">
        <w:trPr>
          <w:gridAfter w:val="1"/>
          <w:wAfter w:w="1056" w:type="dxa"/>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17A5343"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Workers Compensation</w:t>
            </w:r>
          </w:p>
        </w:tc>
        <w:tc>
          <w:tcPr>
            <w:tcW w:w="1945" w:type="dxa"/>
            <w:tcBorders>
              <w:top w:val="nil"/>
              <w:left w:val="nil"/>
              <w:bottom w:val="single" w:sz="4" w:space="0" w:color="auto"/>
              <w:right w:val="single" w:sz="4" w:space="0" w:color="auto"/>
            </w:tcBorders>
            <w:shd w:val="clear" w:color="auto" w:fill="auto"/>
            <w:noWrap/>
            <w:vAlign w:val="bottom"/>
            <w:hideMark/>
          </w:tcPr>
          <w:p w14:paraId="5CD90303"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VU110009919WOC</w:t>
            </w:r>
          </w:p>
        </w:tc>
        <w:tc>
          <w:tcPr>
            <w:tcW w:w="1260" w:type="dxa"/>
            <w:tcBorders>
              <w:top w:val="nil"/>
              <w:left w:val="nil"/>
              <w:bottom w:val="single" w:sz="4" w:space="0" w:color="auto"/>
              <w:right w:val="single" w:sz="4" w:space="0" w:color="auto"/>
            </w:tcBorders>
            <w:shd w:val="clear" w:color="auto" w:fill="auto"/>
            <w:noWrap/>
            <w:vAlign w:val="bottom"/>
            <w:hideMark/>
          </w:tcPr>
          <w:p w14:paraId="0C55637C"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114650</w:t>
            </w:r>
          </w:p>
        </w:tc>
        <w:tc>
          <w:tcPr>
            <w:tcW w:w="1387" w:type="dxa"/>
            <w:tcBorders>
              <w:top w:val="nil"/>
              <w:left w:val="nil"/>
              <w:bottom w:val="single" w:sz="4" w:space="0" w:color="auto"/>
              <w:right w:val="single" w:sz="4" w:space="0" w:color="auto"/>
            </w:tcBorders>
            <w:shd w:val="clear" w:color="auto" w:fill="auto"/>
            <w:noWrap/>
            <w:vAlign w:val="bottom"/>
            <w:hideMark/>
          </w:tcPr>
          <w:p w14:paraId="42D633E9"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4769.166551</w:t>
            </w:r>
          </w:p>
        </w:tc>
        <w:tc>
          <w:tcPr>
            <w:tcW w:w="1278" w:type="dxa"/>
            <w:tcBorders>
              <w:top w:val="nil"/>
              <w:left w:val="nil"/>
              <w:bottom w:val="single" w:sz="4" w:space="0" w:color="auto"/>
              <w:right w:val="single" w:sz="4" w:space="0" w:color="auto"/>
            </w:tcBorders>
            <w:shd w:val="clear" w:color="auto" w:fill="auto"/>
            <w:noWrap/>
            <w:vAlign w:val="bottom"/>
            <w:hideMark/>
          </w:tcPr>
          <w:p w14:paraId="2E923D66"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1/02/2016</w:t>
            </w:r>
          </w:p>
        </w:tc>
        <w:tc>
          <w:tcPr>
            <w:tcW w:w="1278" w:type="dxa"/>
            <w:tcBorders>
              <w:top w:val="nil"/>
              <w:left w:val="nil"/>
              <w:bottom w:val="single" w:sz="4" w:space="0" w:color="auto"/>
              <w:right w:val="single" w:sz="4" w:space="0" w:color="auto"/>
            </w:tcBorders>
            <w:shd w:val="clear" w:color="auto" w:fill="auto"/>
            <w:noWrap/>
            <w:vAlign w:val="bottom"/>
            <w:hideMark/>
          </w:tcPr>
          <w:p w14:paraId="3B4A3E08"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1/02/2017</w:t>
            </w:r>
          </w:p>
        </w:tc>
        <w:tc>
          <w:tcPr>
            <w:tcW w:w="960" w:type="dxa"/>
            <w:tcBorders>
              <w:top w:val="nil"/>
              <w:left w:val="nil"/>
              <w:bottom w:val="single" w:sz="4" w:space="0" w:color="auto"/>
              <w:right w:val="single" w:sz="4" w:space="0" w:color="auto"/>
            </w:tcBorders>
            <w:shd w:val="clear" w:color="auto" w:fill="auto"/>
            <w:noWrap/>
            <w:vAlign w:val="bottom"/>
            <w:hideMark/>
          </w:tcPr>
          <w:p w14:paraId="2A3A99CA"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58%</w:t>
            </w:r>
          </w:p>
        </w:tc>
        <w:tc>
          <w:tcPr>
            <w:tcW w:w="1053" w:type="dxa"/>
            <w:tcBorders>
              <w:top w:val="nil"/>
              <w:left w:val="nil"/>
              <w:bottom w:val="single" w:sz="4" w:space="0" w:color="auto"/>
              <w:right w:val="single" w:sz="4" w:space="0" w:color="auto"/>
            </w:tcBorders>
            <w:shd w:val="clear" w:color="auto" w:fill="auto"/>
            <w:noWrap/>
            <w:vAlign w:val="bottom"/>
            <w:hideMark/>
          </w:tcPr>
          <w:p w14:paraId="252AAEE7" w14:textId="77777777" w:rsidR="00D74D14" w:rsidRPr="00D74D14" w:rsidRDefault="00D74D14" w:rsidP="00D74D14">
            <w:pPr>
              <w:widowControl/>
              <w:spacing w:before="0" w:after="0"/>
              <w:jc w:val="right"/>
              <w:rPr>
                <w:rFonts w:eastAsia="Times New Roman" w:cs="Times New Roman"/>
                <w:color w:val="000000"/>
                <w:lang w:val="en-AU" w:eastAsia="en-AU"/>
              </w:rPr>
            </w:pPr>
            <w:r w:rsidRPr="00D74D14">
              <w:rPr>
                <w:rFonts w:eastAsia="Times New Roman" w:cs="Times New Roman"/>
                <w:color w:val="000000"/>
                <w:lang w:val="en-AU" w:eastAsia="en-AU"/>
              </w:rPr>
              <w:t>2782.014</w:t>
            </w:r>
          </w:p>
        </w:tc>
      </w:tr>
      <w:tr w:rsidR="00D74D14" w:rsidRPr="00D74D14" w14:paraId="4D63D6EF" w14:textId="77777777" w:rsidTr="00D74D14">
        <w:trPr>
          <w:trHeight w:val="300"/>
        </w:trPr>
        <w:tc>
          <w:tcPr>
            <w:tcW w:w="2380" w:type="dxa"/>
            <w:shd w:val="clear" w:color="auto" w:fill="auto"/>
            <w:noWrap/>
            <w:vAlign w:val="bottom"/>
            <w:hideMark/>
          </w:tcPr>
          <w:p w14:paraId="0969C465" w14:textId="77777777" w:rsidR="00D74D14" w:rsidRPr="00D74D14" w:rsidRDefault="00D74D14" w:rsidP="00D74D14">
            <w:pPr>
              <w:widowControl/>
              <w:spacing w:before="0" w:after="0"/>
              <w:rPr>
                <w:rFonts w:eastAsia="Times New Roman" w:cs="Times New Roman"/>
                <w:color w:val="000000"/>
                <w:lang w:val="en-AU" w:eastAsia="en-AU"/>
              </w:rPr>
            </w:pPr>
          </w:p>
        </w:tc>
        <w:tc>
          <w:tcPr>
            <w:tcW w:w="1945" w:type="dxa"/>
            <w:shd w:val="clear" w:color="auto" w:fill="auto"/>
            <w:noWrap/>
            <w:vAlign w:val="bottom"/>
            <w:hideMark/>
          </w:tcPr>
          <w:p w14:paraId="39A00A78" w14:textId="77777777" w:rsidR="00D74D14" w:rsidRPr="00D74D14" w:rsidRDefault="00D74D14" w:rsidP="00D74D14">
            <w:pPr>
              <w:widowControl/>
              <w:spacing w:before="0" w:after="0"/>
              <w:rPr>
                <w:rFonts w:eastAsia="Times New Roman" w:cs="Times New Roman"/>
                <w:color w:val="000000"/>
                <w:lang w:val="en-AU" w:eastAsia="en-AU"/>
              </w:rPr>
            </w:pPr>
          </w:p>
        </w:tc>
        <w:tc>
          <w:tcPr>
            <w:tcW w:w="1260" w:type="dxa"/>
            <w:shd w:val="clear" w:color="auto" w:fill="auto"/>
            <w:noWrap/>
            <w:vAlign w:val="bottom"/>
            <w:hideMark/>
          </w:tcPr>
          <w:p w14:paraId="4BBE64C6" w14:textId="77777777" w:rsidR="00D74D14" w:rsidRPr="00D74D14" w:rsidRDefault="00D74D14" w:rsidP="00D74D14">
            <w:pPr>
              <w:widowControl/>
              <w:spacing w:before="0" w:after="0"/>
              <w:rPr>
                <w:rFonts w:eastAsia="Times New Roman" w:cs="Times New Roman"/>
                <w:color w:val="000000"/>
                <w:lang w:val="en-AU" w:eastAsia="en-AU"/>
              </w:rPr>
            </w:pPr>
          </w:p>
        </w:tc>
        <w:tc>
          <w:tcPr>
            <w:tcW w:w="4903" w:type="dxa"/>
            <w:gridSpan w:val="4"/>
            <w:shd w:val="clear" w:color="auto" w:fill="auto"/>
            <w:noWrap/>
            <w:vAlign w:val="bottom"/>
            <w:hideMark/>
          </w:tcPr>
          <w:p w14:paraId="0D774648" w14:textId="77777777" w:rsidR="00D74D14" w:rsidRPr="00D74D14" w:rsidRDefault="00D74D14" w:rsidP="00D74D14">
            <w:pPr>
              <w:widowControl/>
              <w:spacing w:before="0" w:after="0"/>
              <w:rPr>
                <w:rFonts w:eastAsia="Times New Roman" w:cs="Times New Roman"/>
                <w:color w:val="000000"/>
                <w:lang w:val="en-AU" w:eastAsia="en-AU"/>
              </w:rPr>
            </w:pPr>
            <w:r w:rsidRPr="00D74D14">
              <w:rPr>
                <w:rFonts w:eastAsia="Times New Roman" w:cs="Times New Roman"/>
                <w:color w:val="000000"/>
                <w:lang w:val="en-AU" w:eastAsia="en-AU"/>
              </w:rPr>
              <w:t>Approximate refund:</w:t>
            </w:r>
          </w:p>
        </w:tc>
        <w:tc>
          <w:tcPr>
            <w:tcW w:w="2109" w:type="dxa"/>
            <w:gridSpan w:val="2"/>
            <w:shd w:val="clear" w:color="auto" w:fill="auto"/>
            <w:noWrap/>
            <w:vAlign w:val="bottom"/>
            <w:hideMark/>
          </w:tcPr>
          <w:p w14:paraId="33CFFE84" w14:textId="77777777" w:rsidR="00D74D14" w:rsidRPr="00D74D14" w:rsidRDefault="00D74D14" w:rsidP="00D74D14">
            <w:pPr>
              <w:widowControl/>
              <w:spacing w:before="0" w:after="0"/>
              <w:rPr>
                <w:rFonts w:eastAsia="Times New Roman" w:cs="Times New Roman"/>
                <w:b/>
                <w:bCs/>
                <w:color w:val="000000"/>
                <w:lang w:val="en-AU" w:eastAsia="en-AU"/>
              </w:rPr>
            </w:pPr>
            <w:r w:rsidRPr="00D74D14">
              <w:rPr>
                <w:rFonts w:eastAsia="Times New Roman" w:cs="Times New Roman"/>
                <w:b/>
                <w:bCs/>
                <w:color w:val="000000"/>
                <w:lang w:val="en-AU" w:eastAsia="en-AU"/>
              </w:rPr>
              <w:t>28860.87</w:t>
            </w:r>
          </w:p>
        </w:tc>
      </w:tr>
    </w:tbl>
    <w:p w14:paraId="5D695A50" w14:textId="77777777" w:rsidR="00782E1D" w:rsidRPr="00782E1D" w:rsidRDefault="00782E1D" w:rsidP="00782E1D"/>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2535"/>
      </w:tblGrid>
      <w:tr w:rsidR="00216457" w:rsidRPr="00216457" w14:paraId="3D44C18F" w14:textId="77777777" w:rsidTr="00782E1D">
        <w:trPr>
          <w:trHeight w:val="300"/>
        </w:trPr>
        <w:tc>
          <w:tcPr>
            <w:tcW w:w="5560" w:type="dxa"/>
            <w:shd w:val="clear" w:color="auto" w:fill="auto"/>
            <w:noWrap/>
            <w:vAlign w:val="bottom"/>
            <w:hideMark/>
          </w:tcPr>
          <w:p w14:paraId="56A70A5C" w14:textId="77777777" w:rsidR="00216457" w:rsidRPr="00216457" w:rsidRDefault="00216457" w:rsidP="00216457">
            <w:pPr>
              <w:widowControl/>
              <w:spacing w:before="0" w:after="0"/>
              <w:rPr>
                <w:rFonts w:eastAsia="Times New Roman" w:cs="Times New Roman"/>
                <w:b/>
                <w:bCs/>
                <w:color w:val="000000"/>
                <w:lang w:val="en-AU" w:eastAsia="en-AU"/>
              </w:rPr>
            </w:pPr>
            <w:r w:rsidRPr="00216457">
              <w:rPr>
                <w:rFonts w:eastAsia="Times New Roman" w:cs="Times New Roman"/>
                <w:b/>
                <w:bCs/>
                <w:color w:val="000000"/>
                <w:lang w:val="en-AU" w:eastAsia="en-AU"/>
              </w:rPr>
              <w:t>Jun-16</w:t>
            </w:r>
          </w:p>
        </w:tc>
        <w:tc>
          <w:tcPr>
            <w:tcW w:w="2535" w:type="dxa"/>
            <w:shd w:val="clear" w:color="auto" w:fill="auto"/>
            <w:noWrap/>
            <w:vAlign w:val="bottom"/>
            <w:hideMark/>
          </w:tcPr>
          <w:p w14:paraId="61455E6F" w14:textId="77777777" w:rsidR="00216457" w:rsidRPr="00216457" w:rsidRDefault="00216457" w:rsidP="00216457">
            <w:pPr>
              <w:widowControl/>
              <w:spacing w:before="0" w:after="0"/>
              <w:rPr>
                <w:rFonts w:eastAsia="Times New Roman" w:cs="Times New Roman"/>
                <w:color w:val="000000"/>
                <w:lang w:val="en-AU" w:eastAsia="en-AU"/>
              </w:rPr>
            </w:pPr>
          </w:p>
        </w:tc>
      </w:tr>
      <w:tr w:rsidR="00216457" w:rsidRPr="00216457" w14:paraId="2DBA7B62" w14:textId="77777777" w:rsidTr="00782E1D">
        <w:trPr>
          <w:trHeight w:val="300"/>
        </w:trPr>
        <w:tc>
          <w:tcPr>
            <w:tcW w:w="5560" w:type="dxa"/>
            <w:shd w:val="clear" w:color="auto" w:fill="auto"/>
            <w:noWrap/>
            <w:vAlign w:val="bottom"/>
            <w:hideMark/>
          </w:tcPr>
          <w:p w14:paraId="11C260BF"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Overspend PEN6502 Operational and Establishment Costs</w:t>
            </w:r>
          </w:p>
        </w:tc>
        <w:tc>
          <w:tcPr>
            <w:tcW w:w="2535" w:type="dxa"/>
            <w:shd w:val="clear" w:color="auto" w:fill="auto"/>
            <w:noWrap/>
            <w:vAlign w:val="bottom"/>
            <w:hideMark/>
          </w:tcPr>
          <w:p w14:paraId="69063209"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 xml:space="preserve"> $               35,901.28 </w:t>
            </w:r>
          </w:p>
        </w:tc>
      </w:tr>
      <w:tr w:rsidR="00216457" w:rsidRPr="00216457" w14:paraId="16117F11" w14:textId="77777777" w:rsidTr="00782E1D">
        <w:trPr>
          <w:trHeight w:val="300"/>
        </w:trPr>
        <w:tc>
          <w:tcPr>
            <w:tcW w:w="5560" w:type="dxa"/>
            <w:shd w:val="clear" w:color="auto" w:fill="auto"/>
            <w:noWrap/>
            <w:vAlign w:val="bottom"/>
            <w:hideMark/>
          </w:tcPr>
          <w:p w14:paraId="661C1898"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Insurance refund (approx.)</w:t>
            </w:r>
          </w:p>
        </w:tc>
        <w:tc>
          <w:tcPr>
            <w:tcW w:w="2535" w:type="dxa"/>
            <w:shd w:val="clear" w:color="auto" w:fill="auto"/>
            <w:noWrap/>
            <w:vAlign w:val="bottom"/>
            <w:hideMark/>
          </w:tcPr>
          <w:p w14:paraId="5EE86FAF"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 xml:space="preserve">-$              28,860.87 </w:t>
            </w:r>
          </w:p>
        </w:tc>
      </w:tr>
      <w:tr w:rsidR="00216457" w:rsidRPr="00216457" w14:paraId="7AF81E61" w14:textId="77777777" w:rsidTr="00782E1D">
        <w:trPr>
          <w:trHeight w:val="300"/>
        </w:trPr>
        <w:tc>
          <w:tcPr>
            <w:tcW w:w="5560" w:type="dxa"/>
            <w:shd w:val="clear" w:color="auto" w:fill="auto"/>
            <w:noWrap/>
            <w:vAlign w:val="bottom"/>
            <w:hideMark/>
          </w:tcPr>
          <w:p w14:paraId="384477A2"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Balance BHI unable to recover</w:t>
            </w:r>
          </w:p>
        </w:tc>
        <w:tc>
          <w:tcPr>
            <w:tcW w:w="2535" w:type="dxa"/>
            <w:shd w:val="clear" w:color="auto" w:fill="auto"/>
            <w:noWrap/>
            <w:vAlign w:val="bottom"/>
            <w:hideMark/>
          </w:tcPr>
          <w:p w14:paraId="35AE4E21" w14:textId="77777777" w:rsidR="00216457" w:rsidRPr="00216457" w:rsidRDefault="00216457" w:rsidP="00216457">
            <w:pPr>
              <w:widowControl/>
              <w:spacing w:before="0" w:after="0"/>
              <w:rPr>
                <w:rFonts w:eastAsia="Times New Roman" w:cs="Times New Roman"/>
                <w:color w:val="000000"/>
                <w:lang w:val="en-AU" w:eastAsia="en-AU"/>
              </w:rPr>
            </w:pPr>
            <w:r w:rsidRPr="00216457">
              <w:rPr>
                <w:rFonts w:eastAsia="Times New Roman" w:cs="Times New Roman"/>
                <w:color w:val="000000"/>
                <w:lang w:val="en-AU" w:eastAsia="en-AU"/>
              </w:rPr>
              <w:t xml:space="preserve"> $                 7,040.41 </w:t>
            </w:r>
          </w:p>
        </w:tc>
      </w:tr>
    </w:tbl>
    <w:p w14:paraId="2D48A9D8" w14:textId="77777777" w:rsidR="00216457" w:rsidRPr="00216457" w:rsidRDefault="00216457" w:rsidP="00216457"/>
    <w:p w14:paraId="044F7354" w14:textId="77777777" w:rsidR="00216457" w:rsidRPr="003776F9" w:rsidRDefault="00216457" w:rsidP="003776F9"/>
    <w:sectPr w:rsidR="00216457" w:rsidRPr="003776F9" w:rsidSect="00CE5F69">
      <w:pgSz w:w="16840" w:h="11900" w:orient="landscape" w:code="9"/>
      <w:pgMar w:top="1701" w:right="2330" w:bottom="1077" w:left="567" w:header="567"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42BF3" w14:textId="77777777" w:rsidR="00932E29" w:rsidRDefault="00932E29">
      <w:r>
        <w:separator/>
      </w:r>
    </w:p>
  </w:endnote>
  <w:endnote w:type="continuationSeparator" w:id="0">
    <w:p w14:paraId="3D56C266" w14:textId="77777777" w:rsidR="00932E29" w:rsidRDefault="0093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3FB23" w14:textId="77777777" w:rsidR="00A83F24" w:rsidRDefault="00A83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A6137" w14:textId="160B57BD" w:rsidR="00E511EA" w:rsidRPr="00B24CC8" w:rsidRDefault="00E511EA" w:rsidP="00B24CC8">
    <w:pPr>
      <w:pStyle w:val="Footer"/>
      <w:rPr>
        <w:sz w:val="18"/>
        <w:szCs w:val="18"/>
      </w:rPr>
    </w:pPr>
    <w:r w:rsidRPr="007453B2">
      <w:rPr>
        <w:color w:val="7F7F7F" w:themeColor="background1" w:themeShade="7F"/>
        <w:spacing w:val="60"/>
        <w:sz w:val="18"/>
        <w:szCs w:val="18"/>
      </w:rPr>
      <w:t>Page</w:t>
    </w:r>
    <w:r w:rsidRPr="007453B2">
      <w:rPr>
        <w:sz w:val="18"/>
        <w:szCs w:val="18"/>
      </w:rPr>
      <w:t xml:space="preserve"> | </w:t>
    </w:r>
    <w:r w:rsidRPr="007453B2">
      <w:rPr>
        <w:sz w:val="18"/>
        <w:szCs w:val="18"/>
      </w:rPr>
      <w:fldChar w:fldCharType="begin"/>
    </w:r>
    <w:r w:rsidRPr="007453B2">
      <w:rPr>
        <w:sz w:val="18"/>
        <w:szCs w:val="18"/>
      </w:rPr>
      <w:instrText xml:space="preserve"> PAGE   \* MERGEFORMAT </w:instrText>
    </w:r>
    <w:r w:rsidRPr="007453B2">
      <w:rPr>
        <w:sz w:val="18"/>
        <w:szCs w:val="18"/>
      </w:rPr>
      <w:fldChar w:fldCharType="separate"/>
    </w:r>
    <w:r w:rsidR="00A83F24" w:rsidRPr="00A83F24">
      <w:rPr>
        <w:b/>
        <w:noProof/>
        <w:sz w:val="18"/>
        <w:szCs w:val="18"/>
      </w:rPr>
      <w:t>ii</w:t>
    </w:r>
    <w:r w:rsidRPr="007453B2">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4F3A" w14:textId="77777777" w:rsidR="00E511EA" w:rsidRDefault="00E511EA" w:rsidP="00CF72B0">
    <w:pPr>
      <w:pStyle w:val="Footer"/>
      <w:spacing w:before="0" w:after="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CA30E" w14:textId="77777777" w:rsidR="00E511EA" w:rsidRDefault="00E511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8B1F" w14:textId="0A168E1B" w:rsidR="00E511EA" w:rsidRPr="00DB3724" w:rsidRDefault="00E511EA" w:rsidP="007453B2">
    <w:pPr>
      <w:pStyle w:val="Footer"/>
      <w:rPr>
        <w:sz w:val="18"/>
        <w:szCs w:val="18"/>
      </w:rPr>
    </w:pPr>
    <w:r>
      <w:rPr>
        <w:color w:val="7F7F7F" w:themeColor="background1" w:themeShade="7F"/>
        <w:spacing w:val="60"/>
        <w:sz w:val="18"/>
        <w:szCs w:val="18"/>
      </w:rPr>
      <w:t>P</w:t>
    </w:r>
    <w:r w:rsidRPr="007453B2">
      <w:rPr>
        <w:color w:val="7F7F7F" w:themeColor="background1" w:themeShade="7F"/>
        <w:spacing w:val="60"/>
        <w:sz w:val="18"/>
        <w:szCs w:val="18"/>
      </w:rPr>
      <w:t>age</w:t>
    </w:r>
    <w:r w:rsidRPr="007453B2">
      <w:rPr>
        <w:sz w:val="18"/>
        <w:szCs w:val="18"/>
      </w:rPr>
      <w:t xml:space="preserve"> | </w:t>
    </w:r>
    <w:r w:rsidRPr="007453B2">
      <w:rPr>
        <w:sz w:val="18"/>
        <w:szCs w:val="18"/>
      </w:rPr>
      <w:fldChar w:fldCharType="begin"/>
    </w:r>
    <w:r w:rsidRPr="007453B2">
      <w:rPr>
        <w:sz w:val="18"/>
        <w:szCs w:val="18"/>
      </w:rPr>
      <w:instrText xml:space="preserve"> PAGE   \* MERGEFORMAT </w:instrText>
    </w:r>
    <w:r w:rsidRPr="007453B2">
      <w:rPr>
        <w:sz w:val="18"/>
        <w:szCs w:val="18"/>
      </w:rPr>
      <w:fldChar w:fldCharType="separate"/>
    </w:r>
    <w:r w:rsidR="00A83F24" w:rsidRPr="00A83F24">
      <w:rPr>
        <w:b/>
        <w:noProof/>
        <w:sz w:val="18"/>
        <w:szCs w:val="18"/>
      </w:rPr>
      <w:t>18</w:t>
    </w:r>
    <w:r w:rsidRPr="007453B2">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14A1" w14:textId="2320F31A" w:rsidR="00E511EA" w:rsidRDefault="00E511EA">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A83F24" w:rsidRPr="00A83F24">
      <w:rPr>
        <w:b/>
        <w:noProof/>
      </w:rPr>
      <w:t>1</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B8B1D" w14:textId="77777777" w:rsidR="00932E29" w:rsidRDefault="00932E29">
      <w:r>
        <w:separator/>
      </w:r>
    </w:p>
  </w:footnote>
  <w:footnote w:type="continuationSeparator" w:id="0">
    <w:p w14:paraId="22F35A1F" w14:textId="77777777" w:rsidR="00932E29" w:rsidRDefault="00932E29">
      <w:r>
        <w:continuationSeparator/>
      </w:r>
    </w:p>
  </w:footnote>
  <w:footnote w:id="1">
    <w:p w14:paraId="43A09EDD" w14:textId="77777777" w:rsidR="00E511EA" w:rsidRPr="00B84811" w:rsidRDefault="00E511EA" w:rsidP="00B84811">
      <w:pPr>
        <w:pStyle w:val="FootnoteText"/>
        <w:rPr>
          <w:lang w:val="en-AU"/>
        </w:rPr>
      </w:pPr>
      <w:r>
        <w:rPr>
          <w:rStyle w:val="FootnoteReference"/>
        </w:rPr>
        <w:footnoteRef/>
      </w:r>
      <w:r>
        <w:t xml:space="preserve"> </w:t>
      </w:r>
      <w:r>
        <w:rPr>
          <w:lang w:val="en-AU"/>
        </w:rPr>
        <w:tab/>
      </w:r>
      <w:r w:rsidRPr="00B84811">
        <w:rPr>
          <w:i/>
          <w:lang w:val="en-AU"/>
        </w:rPr>
        <w:t>TVET for Tourism - Final Report and Evaluation</w:t>
      </w:r>
      <w:r>
        <w:rPr>
          <w:lang w:val="en-AU"/>
        </w:rPr>
        <w:t xml:space="preserve"> (Vanuatu Skills for Economic Growth Program, May 2016)</w:t>
      </w:r>
    </w:p>
  </w:footnote>
  <w:footnote w:id="2">
    <w:p w14:paraId="03FB5FC7" w14:textId="77777777" w:rsidR="00E511EA" w:rsidRPr="00AD2DA6" w:rsidRDefault="00E511EA" w:rsidP="00AD2DA6">
      <w:pPr>
        <w:pStyle w:val="FootnoteText"/>
      </w:pPr>
      <w:r>
        <w:rPr>
          <w:rStyle w:val="FootnoteReference"/>
        </w:rPr>
        <w:footnoteRef/>
      </w:r>
      <w:r>
        <w:t xml:space="preserve"> </w:t>
      </w:r>
      <w:r>
        <w:tab/>
      </w:r>
      <w:r w:rsidRPr="00B84811">
        <w:rPr>
          <w:i/>
        </w:rPr>
        <w:t>Supporting Women in Provincial Vanuatu – TVET Program Gender Equality Report</w:t>
      </w:r>
      <w:r>
        <w:t xml:space="preserve"> (Vanuatu Skills for Economic Growth Program, May 2016)</w:t>
      </w:r>
    </w:p>
  </w:footnote>
  <w:footnote w:id="3">
    <w:p w14:paraId="5D960BEA" w14:textId="77777777" w:rsidR="00E511EA" w:rsidRPr="004D0F28" w:rsidRDefault="00E511EA" w:rsidP="00D611F1">
      <w:pPr>
        <w:pStyle w:val="FootnoteText"/>
      </w:pPr>
      <w:r>
        <w:rPr>
          <w:rStyle w:val="FootnoteReference"/>
        </w:rPr>
        <w:footnoteRef/>
      </w:r>
      <w:r>
        <w:t xml:space="preserve"> </w:t>
      </w:r>
      <w:r>
        <w:tab/>
        <w:t xml:space="preserve">The population from which the sample was drawn is not the whole population of participants for 2014 and 2015. Rather it is the population for the time period of activity 6-8 months prior to each round of interviews. </w:t>
      </w:r>
    </w:p>
  </w:footnote>
  <w:footnote w:id="4">
    <w:p w14:paraId="6053F9CE" w14:textId="77777777" w:rsidR="00E511EA" w:rsidRPr="00FC2705" w:rsidRDefault="00E511EA" w:rsidP="00D611F1">
      <w:pPr>
        <w:pStyle w:val="FootnoteText"/>
      </w:pPr>
      <w:r>
        <w:rPr>
          <w:rStyle w:val="FootnoteReference"/>
        </w:rPr>
        <w:footnoteRef/>
      </w:r>
      <w:r>
        <w:t xml:space="preserve"> </w:t>
      </w:r>
      <w:r>
        <w:tab/>
      </w:r>
      <w:r w:rsidRPr="00FC2705">
        <w:t>SAS 9.3 for Windows</w:t>
      </w:r>
      <w:r>
        <w:t xml:space="preserve">. </w:t>
      </w:r>
      <w:r w:rsidRPr="00FC2705">
        <w:t>Copyright (c) 2002-2010 by SAS Institute Inc., Cary, NC, USA.</w:t>
      </w:r>
    </w:p>
  </w:footnote>
  <w:footnote w:id="5">
    <w:p w14:paraId="10A33FF6" w14:textId="77777777" w:rsidR="00E511EA" w:rsidRPr="00AD2DA6" w:rsidRDefault="00E511EA" w:rsidP="005F15D4">
      <w:pPr>
        <w:pStyle w:val="FootnoteText"/>
      </w:pPr>
      <w:r>
        <w:rPr>
          <w:rStyle w:val="FootnoteReference"/>
        </w:rPr>
        <w:footnoteRef/>
      </w:r>
      <w:r>
        <w:t xml:space="preserve"> </w:t>
      </w:r>
      <w:r>
        <w:tab/>
      </w:r>
      <w:r w:rsidRPr="007D4304">
        <w:rPr>
          <w:i/>
        </w:rPr>
        <w:t>Annual Program Monitoring and Evaluation Report 2015</w:t>
      </w:r>
      <w:r>
        <w:t xml:space="preserve"> ((Vanuatu Skills for Economic Growth Program, February 2016)</w:t>
      </w:r>
    </w:p>
    <w:p w14:paraId="61D977F6" w14:textId="77777777" w:rsidR="00E511EA" w:rsidRPr="005F15D4" w:rsidRDefault="00E511EA">
      <w:pPr>
        <w:pStyle w:val="FootnoteText"/>
        <w:rPr>
          <w:lang w:val="en-AU"/>
        </w:rPr>
      </w:pPr>
    </w:p>
  </w:footnote>
  <w:footnote w:id="6">
    <w:p w14:paraId="6EDC1006" w14:textId="77777777" w:rsidR="00E511EA" w:rsidRPr="00AF2A7E" w:rsidRDefault="00E511EA">
      <w:pPr>
        <w:pStyle w:val="FootnoteText"/>
        <w:rPr>
          <w:lang w:val="en-AU"/>
        </w:rPr>
      </w:pPr>
      <w:r>
        <w:rPr>
          <w:rStyle w:val="FootnoteReference"/>
        </w:rPr>
        <w:footnoteRef/>
      </w:r>
      <w:r>
        <w:t xml:space="preserve"> </w:t>
      </w:r>
      <w:r>
        <w:rPr>
          <w:lang w:val="en-AU"/>
        </w:rPr>
        <w:tab/>
      </w:r>
      <w:r w:rsidRPr="00AF2A7E">
        <w:rPr>
          <w:i/>
          <w:lang w:val="en-AU"/>
        </w:rPr>
        <w:t xml:space="preserve">Independent Evaluation of the Vanuatu Technical and Vocational Education and Training Sector Strengthening Program </w:t>
      </w:r>
      <w:r>
        <w:rPr>
          <w:lang w:val="en-AU"/>
        </w:rPr>
        <w:t>(DFAT July 2015)</w:t>
      </w:r>
    </w:p>
  </w:footnote>
  <w:footnote w:id="7">
    <w:p w14:paraId="0B5FB975" w14:textId="77777777" w:rsidR="00E511EA" w:rsidRPr="00E57BC1" w:rsidRDefault="00E511EA" w:rsidP="00280B81">
      <w:pPr>
        <w:pStyle w:val="FootnoteText"/>
        <w:rPr>
          <w:lang w:val="en-AU"/>
        </w:rPr>
      </w:pPr>
      <w:r>
        <w:rPr>
          <w:rStyle w:val="FootnoteReference"/>
        </w:rPr>
        <w:footnoteRef/>
      </w:r>
      <w:r>
        <w:t xml:space="preserve"> </w:t>
      </w:r>
      <w:r>
        <w:tab/>
      </w:r>
      <w:r w:rsidRPr="00E57BC1">
        <w:t>Independent Evaluation of the Vanuatu Technical and Vocational Education and Training Sector Strengthening Program</w:t>
      </w:r>
      <w:r>
        <w:t xml:space="preserve"> (Schofield et al,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9080" w14:textId="249456D6" w:rsidR="00E511EA" w:rsidRDefault="00E511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94EDE" w14:textId="61A6FB78" w:rsidR="00E511EA" w:rsidRDefault="00E51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HeaderTable"/>
      <w:tblW w:w="9105" w:type="dxa"/>
      <w:tblLook w:val="04A0" w:firstRow="1" w:lastRow="0" w:firstColumn="1" w:lastColumn="0" w:noHBand="0" w:noVBand="1"/>
    </w:tblPr>
    <w:tblGrid>
      <w:gridCol w:w="9105"/>
    </w:tblGrid>
    <w:tr w:rsidR="00E511EA" w:rsidRPr="006D42B3" w14:paraId="3B1D69E3" w14:textId="77777777" w:rsidTr="009863D8">
      <w:trPr>
        <w:cnfStyle w:val="100000000000" w:firstRow="1" w:lastRow="0" w:firstColumn="0" w:lastColumn="0" w:oddVBand="0" w:evenVBand="0" w:oddHBand="0" w:evenHBand="0" w:firstRowFirstColumn="0" w:firstRowLastColumn="0" w:lastRowFirstColumn="0" w:lastRowLastColumn="0"/>
        <w:trHeight w:hRule="exact" w:val="611"/>
      </w:trPr>
      <w:tc>
        <w:tcPr>
          <w:tcW w:w="5000" w:type="pct"/>
          <w:shd w:val="clear" w:color="auto" w:fill="C2D69B" w:themeFill="accent3" w:themeFillTint="99"/>
          <w:vAlign w:val="center"/>
        </w:tcPr>
        <w:p w14:paraId="468017CA" w14:textId="7E667CEB" w:rsidR="00E511EA" w:rsidRPr="009863D8" w:rsidRDefault="00E511EA" w:rsidP="009863D8">
          <w:pPr>
            <w:pStyle w:val="Header-Continued"/>
            <w:spacing w:after="0"/>
            <w:ind w:left="288" w:right="217" w:hanging="288"/>
            <w:rPr>
              <w:color w:val="000000" w:themeColor="text1"/>
              <w:sz w:val="24"/>
            </w:rPr>
          </w:pPr>
          <w:r w:rsidRPr="009863D8">
            <w:rPr>
              <w:color w:val="000000" w:themeColor="text1"/>
              <w:sz w:val="24"/>
            </w:rPr>
            <w:t>Annual PlAN 201</w:t>
          </w:r>
          <w:r>
            <w:rPr>
              <w:color w:val="000000" w:themeColor="text1"/>
              <w:sz w:val="24"/>
            </w:rPr>
            <w:t>6</w:t>
          </w:r>
          <w:r w:rsidRPr="009863D8">
            <w:rPr>
              <w:color w:val="000000" w:themeColor="text1"/>
              <w:sz w:val="24"/>
            </w:rPr>
            <w:t xml:space="preserve"> 201</w:t>
          </w:r>
          <w:r>
            <w:rPr>
              <w:color w:val="000000" w:themeColor="text1"/>
              <w:sz w:val="24"/>
            </w:rPr>
            <w:t>7</w:t>
          </w:r>
          <w:r w:rsidRPr="009863D8">
            <w:rPr>
              <w:color w:val="000000" w:themeColor="text1"/>
              <w:sz w:val="24"/>
            </w:rPr>
            <w:t xml:space="preserve">  </w:t>
          </w:r>
        </w:p>
      </w:tc>
    </w:tr>
    <w:tr w:rsidR="00E511EA" w:rsidRPr="00991447" w14:paraId="68C66C76" w14:textId="77777777" w:rsidTr="009863D8">
      <w:trPr>
        <w:cnfStyle w:val="000000100000" w:firstRow="0" w:lastRow="0" w:firstColumn="0" w:lastColumn="0" w:oddVBand="0" w:evenVBand="0" w:oddHBand="1" w:evenHBand="0" w:firstRowFirstColumn="0" w:firstRowLastColumn="0" w:lastRowFirstColumn="0" w:lastRowLastColumn="0"/>
        <w:trHeight w:hRule="exact" w:val="306"/>
      </w:trPr>
      <w:tc>
        <w:tcPr>
          <w:tcW w:w="5000" w:type="pct"/>
          <w:shd w:val="clear" w:color="auto" w:fill="F79646" w:themeFill="accent6"/>
          <w:vAlign w:val="top"/>
        </w:tcPr>
        <w:p w14:paraId="72740A92" w14:textId="77777777" w:rsidR="00E511EA" w:rsidRPr="009863D8" w:rsidRDefault="00E511EA" w:rsidP="00B24CC8">
          <w:pPr>
            <w:pStyle w:val="Page"/>
            <w:spacing w:before="0" w:after="0"/>
            <w:ind w:left="288" w:right="217" w:hanging="288"/>
            <w:rPr>
              <w:color w:val="FFFFFF" w:themeColor="background1"/>
            </w:rPr>
          </w:pPr>
          <w:r w:rsidRPr="009863D8">
            <w:rPr>
              <w:color w:val="FFFFFF" w:themeColor="background1"/>
              <w:sz w:val="20"/>
              <w:szCs w:val="20"/>
            </w:rPr>
            <w:t xml:space="preserve">Skills for Economic Growth Phase </w:t>
          </w:r>
          <w:r>
            <w:rPr>
              <w:color w:val="FFFFFF" w:themeColor="background1"/>
              <w:sz w:val="20"/>
              <w:szCs w:val="20"/>
            </w:rPr>
            <w:t>4</w:t>
          </w:r>
        </w:p>
      </w:tc>
    </w:tr>
    <w:tr w:rsidR="00E511EA" w14:paraId="563D7FA9" w14:textId="77777777" w:rsidTr="00B24CC8">
      <w:trPr>
        <w:cnfStyle w:val="000000010000" w:firstRow="0" w:lastRow="0" w:firstColumn="0" w:lastColumn="0" w:oddVBand="0" w:evenVBand="0" w:oddHBand="0" w:evenHBand="1" w:firstRowFirstColumn="0" w:firstRowLastColumn="0" w:lastRowFirstColumn="0" w:lastRowLastColumn="0"/>
        <w:trHeight w:hRule="exact" w:val="153"/>
      </w:trPr>
      <w:tc>
        <w:tcPr>
          <w:tcW w:w="5000" w:type="pct"/>
        </w:tcPr>
        <w:p w14:paraId="1F3BDA96" w14:textId="77777777" w:rsidR="00E511EA" w:rsidRDefault="00E511EA" w:rsidP="00B24CC8">
          <w:pPr>
            <w:spacing w:before="0" w:after="0"/>
            <w:ind w:left="288" w:hanging="288"/>
          </w:pPr>
        </w:p>
      </w:tc>
    </w:tr>
  </w:tbl>
  <w:p w14:paraId="10576810" w14:textId="69D41C18" w:rsidR="00E511EA" w:rsidRDefault="00E511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07B07" w14:textId="5E0FF0C3" w:rsidR="00E511EA" w:rsidRPr="00CF72B0" w:rsidRDefault="00E511EA" w:rsidP="00CF72B0">
    <w:pPr>
      <w:pStyle w:val="Header"/>
      <w:spacing w:before="0" w:after="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4DDE" w14:textId="75C4BF8A" w:rsidR="00E511EA" w:rsidRDefault="00E511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HeaderTable"/>
      <w:tblW w:w="0" w:type="auto"/>
      <w:tblLook w:val="04A0" w:firstRow="1" w:lastRow="0" w:firstColumn="1" w:lastColumn="0" w:noHBand="0" w:noVBand="1"/>
    </w:tblPr>
    <w:tblGrid>
      <w:gridCol w:w="9105"/>
      <w:gridCol w:w="6"/>
    </w:tblGrid>
    <w:tr w:rsidR="00E511EA" w:rsidRPr="006D42B3" w14:paraId="7D042876" w14:textId="77777777" w:rsidTr="00A8190D">
      <w:trPr>
        <w:cnfStyle w:val="100000000000" w:firstRow="1" w:lastRow="0" w:firstColumn="0" w:lastColumn="0" w:oddVBand="0" w:evenVBand="0" w:oddHBand="0" w:evenHBand="0" w:firstRowFirstColumn="0" w:firstRowLastColumn="0" w:lastRowFirstColumn="0" w:lastRowLastColumn="0"/>
      </w:trPr>
      <w:tc>
        <w:tcPr>
          <w:tcW w:w="0" w:type="auto"/>
          <w:vAlign w:val="center"/>
        </w:tcPr>
        <w:tbl>
          <w:tblPr>
            <w:tblStyle w:val="HeaderTable"/>
            <w:tblW w:w="9105" w:type="dxa"/>
            <w:tblLook w:val="04A0" w:firstRow="1" w:lastRow="0" w:firstColumn="1" w:lastColumn="0" w:noHBand="0" w:noVBand="1"/>
          </w:tblPr>
          <w:tblGrid>
            <w:gridCol w:w="9105"/>
          </w:tblGrid>
          <w:tr w:rsidR="00E511EA" w:rsidRPr="006D42B3" w14:paraId="6EFCA2E9" w14:textId="77777777" w:rsidTr="00A8190D">
            <w:trPr>
              <w:cnfStyle w:val="100000000000" w:firstRow="1" w:lastRow="0" w:firstColumn="0" w:lastColumn="0" w:oddVBand="0" w:evenVBand="0" w:oddHBand="0" w:evenHBand="0" w:firstRowFirstColumn="0" w:firstRowLastColumn="0" w:lastRowFirstColumn="0" w:lastRowLastColumn="0"/>
              <w:trHeight w:hRule="exact" w:val="611"/>
            </w:trPr>
            <w:tc>
              <w:tcPr>
                <w:tcW w:w="5000" w:type="pct"/>
                <w:shd w:val="clear" w:color="auto" w:fill="C2D69B" w:themeFill="accent3" w:themeFillTint="99"/>
                <w:vAlign w:val="center"/>
              </w:tcPr>
              <w:p w14:paraId="2B04B767" w14:textId="5F7C1360" w:rsidR="00E511EA" w:rsidRPr="002A2BED" w:rsidRDefault="00E511EA" w:rsidP="002A2BED">
                <w:pPr>
                  <w:pStyle w:val="Header-Continued"/>
                  <w:spacing w:after="0"/>
                  <w:ind w:left="288" w:right="217" w:hanging="288"/>
                  <w:rPr>
                    <w:color w:val="auto"/>
                    <w:sz w:val="24"/>
                  </w:rPr>
                </w:pPr>
                <w:r w:rsidRPr="002A2BED">
                  <w:rPr>
                    <w:noProof/>
                    <w:sz w:val="24"/>
                  </w:rPr>
                  <w:t>Completion report</w:t>
                </w:r>
                <w:r w:rsidRPr="002A2BED">
                  <w:rPr>
                    <w:color w:val="auto"/>
                    <w:sz w:val="24"/>
                  </w:rPr>
                  <w:t xml:space="preserve">  </w:t>
                </w:r>
              </w:p>
            </w:tc>
          </w:tr>
          <w:tr w:rsidR="00E511EA" w:rsidRPr="00991447" w14:paraId="1E074D6D" w14:textId="77777777" w:rsidTr="00A8190D">
            <w:trPr>
              <w:cnfStyle w:val="000000100000" w:firstRow="0" w:lastRow="0" w:firstColumn="0" w:lastColumn="0" w:oddVBand="0" w:evenVBand="0" w:oddHBand="1" w:evenHBand="0" w:firstRowFirstColumn="0" w:firstRowLastColumn="0" w:lastRowFirstColumn="0" w:lastRowLastColumn="0"/>
              <w:trHeight w:hRule="exact" w:val="306"/>
            </w:trPr>
            <w:tc>
              <w:tcPr>
                <w:tcW w:w="5000" w:type="pct"/>
                <w:shd w:val="clear" w:color="auto" w:fill="F79646" w:themeFill="accent6"/>
                <w:vAlign w:val="top"/>
              </w:tcPr>
              <w:p w14:paraId="6D02C332" w14:textId="77777777" w:rsidR="00E511EA" w:rsidRPr="009863D8" w:rsidRDefault="00E511EA" w:rsidP="002A2BED">
                <w:pPr>
                  <w:pStyle w:val="Page"/>
                  <w:spacing w:before="0" w:after="0"/>
                  <w:ind w:left="288" w:right="217" w:hanging="288"/>
                  <w:rPr>
                    <w:color w:val="FFFFFF" w:themeColor="background1"/>
                  </w:rPr>
                </w:pPr>
                <w:r w:rsidRPr="009863D8">
                  <w:rPr>
                    <w:color w:val="FFFFFF" w:themeColor="background1"/>
                    <w:sz w:val="20"/>
                    <w:szCs w:val="20"/>
                  </w:rPr>
                  <w:t>Skills for Economic Growth Phase</w:t>
                </w:r>
                <w:r>
                  <w:rPr>
                    <w:color w:val="FFFFFF" w:themeColor="background1"/>
                    <w:sz w:val="20"/>
                    <w:szCs w:val="20"/>
                  </w:rPr>
                  <w:t>3</w:t>
                </w:r>
              </w:p>
            </w:tc>
          </w:tr>
          <w:tr w:rsidR="00E511EA" w14:paraId="319A0124" w14:textId="77777777" w:rsidTr="00A8190D">
            <w:trPr>
              <w:cnfStyle w:val="000000010000" w:firstRow="0" w:lastRow="0" w:firstColumn="0" w:lastColumn="0" w:oddVBand="0" w:evenVBand="0" w:oddHBand="0" w:evenHBand="1" w:firstRowFirstColumn="0" w:firstRowLastColumn="0" w:lastRowFirstColumn="0" w:lastRowLastColumn="0"/>
              <w:trHeight w:hRule="exact" w:val="153"/>
            </w:trPr>
            <w:tc>
              <w:tcPr>
                <w:tcW w:w="5000" w:type="pct"/>
              </w:tcPr>
              <w:p w14:paraId="1932169B" w14:textId="77777777" w:rsidR="00E511EA" w:rsidRDefault="00E511EA" w:rsidP="002A2BED">
                <w:pPr>
                  <w:spacing w:before="0" w:after="0"/>
                  <w:ind w:left="288" w:hanging="288"/>
                </w:pPr>
              </w:p>
            </w:tc>
          </w:tr>
        </w:tbl>
        <w:p w14:paraId="7C2A8AD5" w14:textId="77777777" w:rsidR="00E511EA" w:rsidRDefault="00E511EA" w:rsidP="002A2BED">
          <w:pPr>
            <w:pStyle w:val="Header-Continued"/>
            <w:spacing w:after="0"/>
            <w:rPr>
              <w:noProof/>
            </w:rPr>
          </w:pPr>
        </w:p>
      </w:tc>
      <w:tc>
        <w:tcPr>
          <w:tcW w:w="0" w:type="auto"/>
          <w:vAlign w:val="center"/>
        </w:tcPr>
        <w:p w14:paraId="071CF588" w14:textId="77777777" w:rsidR="00E511EA" w:rsidRPr="006D42B3" w:rsidRDefault="00E511EA" w:rsidP="002A2BED">
          <w:pPr>
            <w:pStyle w:val="Header-Continued"/>
            <w:spacing w:after="0"/>
            <w:ind w:left="4370"/>
            <w:rPr>
              <w:color w:val="DBE5F1" w:themeColor="accent1" w:themeTint="33"/>
              <w:sz w:val="24"/>
            </w:rPr>
          </w:pPr>
        </w:p>
      </w:tc>
    </w:tr>
  </w:tbl>
  <w:p w14:paraId="239130B4" w14:textId="17F50F04" w:rsidR="00E511EA" w:rsidRDefault="00E511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HeaderTable"/>
      <w:tblW w:w="5000" w:type="pct"/>
      <w:tblLook w:val="04A0" w:firstRow="1" w:lastRow="0" w:firstColumn="1" w:lastColumn="0" w:noHBand="0" w:noVBand="1"/>
    </w:tblPr>
    <w:tblGrid>
      <w:gridCol w:w="9122"/>
    </w:tblGrid>
    <w:tr w:rsidR="00E511EA" w:rsidRPr="006D42B3" w14:paraId="7B15917F" w14:textId="77777777" w:rsidTr="00EF0512">
      <w:trPr>
        <w:cnfStyle w:val="100000000000" w:firstRow="1" w:lastRow="0" w:firstColumn="0" w:lastColumn="0" w:oddVBand="0" w:evenVBand="0" w:oddHBand="0" w:evenHBand="0" w:firstRowFirstColumn="0" w:firstRowLastColumn="0" w:lastRowFirstColumn="0" w:lastRowLastColumn="0"/>
        <w:trHeight w:hRule="exact" w:val="611"/>
      </w:trPr>
      <w:tc>
        <w:tcPr>
          <w:tcW w:w="5000" w:type="pct"/>
          <w:vAlign w:val="center"/>
        </w:tcPr>
        <w:p w14:paraId="4B93AB0B" w14:textId="6F9A622C" w:rsidR="00E511EA" w:rsidRPr="006D42B3" w:rsidRDefault="00E511EA" w:rsidP="00EF0512">
          <w:pPr>
            <w:pStyle w:val="Header-Continued"/>
            <w:spacing w:after="0"/>
            <w:ind w:right="217"/>
            <w:rPr>
              <w:color w:val="DBE5F1" w:themeColor="accent1" w:themeTint="33"/>
              <w:sz w:val="24"/>
            </w:rPr>
          </w:pPr>
          <w:r w:rsidRPr="006D42B3">
            <w:rPr>
              <w:color w:val="DBE5F1" w:themeColor="accent1" w:themeTint="33"/>
              <w:sz w:val="24"/>
            </w:rPr>
            <w:t>Annual PlAN 201</w:t>
          </w:r>
          <w:r>
            <w:rPr>
              <w:color w:val="DBE5F1" w:themeColor="accent1" w:themeTint="33"/>
              <w:sz w:val="24"/>
            </w:rPr>
            <w:t>5</w:t>
          </w:r>
          <w:r w:rsidRPr="006D42B3">
            <w:rPr>
              <w:color w:val="DBE5F1" w:themeColor="accent1" w:themeTint="33"/>
              <w:sz w:val="24"/>
            </w:rPr>
            <w:t xml:space="preserve"> 201</w:t>
          </w:r>
          <w:r>
            <w:rPr>
              <w:color w:val="DBE5F1" w:themeColor="accent1" w:themeTint="33"/>
              <w:sz w:val="24"/>
            </w:rPr>
            <w:t xml:space="preserve">6  </w:t>
          </w:r>
        </w:p>
      </w:tc>
    </w:tr>
    <w:tr w:rsidR="00E511EA" w:rsidRPr="00991447" w14:paraId="72C6A05B" w14:textId="77777777" w:rsidTr="00EF0512">
      <w:trPr>
        <w:cnfStyle w:val="000000100000" w:firstRow="0" w:lastRow="0" w:firstColumn="0" w:lastColumn="0" w:oddVBand="0" w:evenVBand="0" w:oddHBand="1" w:evenHBand="0" w:firstRowFirstColumn="0" w:firstRowLastColumn="0" w:lastRowFirstColumn="0" w:lastRowLastColumn="0"/>
        <w:trHeight w:hRule="exact" w:val="306"/>
      </w:trPr>
      <w:tc>
        <w:tcPr>
          <w:tcW w:w="5000" w:type="pct"/>
          <w:vAlign w:val="top"/>
        </w:tcPr>
        <w:p w14:paraId="057BA070" w14:textId="77777777" w:rsidR="00E511EA" w:rsidRPr="00991447" w:rsidRDefault="00E511EA" w:rsidP="00EF0512">
          <w:pPr>
            <w:pStyle w:val="Page"/>
            <w:spacing w:before="0" w:after="0"/>
            <w:ind w:left="3811" w:right="217" w:hanging="3811"/>
            <w:rPr>
              <w:color w:val="FFFFFF" w:themeColor="background1"/>
            </w:rPr>
          </w:pPr>
          <w:r>
            <w:rPr>
              <w:sz w:val="20"/>
              <w:szCs w:val="20"/>
            </w:rPr>
            <w:t>Skills for Economic Growth P</w:t>
          </w:r>
          <w:r w:rsidRPr="00991447">
            <w:rPr>
              <w:sz w:val="20"/>
              <w:szCs w:val="20"/>
            </w:rPr>
            <w:t xml:space="preserve">hase </w:t>
          </w:r>
          <w:r>
            <w:rPr>
              <w:sz w:val="20"/>
              <w:szCs w:val="20"/>
            </w:rPr>
            <w:t>3</w:t>
          </w:r>
        </w:p>
      </w:tc>
    </w:tr>
    <w:tr w:rsidR="00E511EA" w14:paraId="09CD55E2" w14:textId="77777777" w:rsidTr="00EF0512">
      <w:trPr>
        <w:cnfStyle w:val="000000010000" w:firstRow="0" w:lastRow="0" w:firstColumn="0" w:lastColumn="0" w:oddVBand="0" w:evenVBand="0" w:oddHBand="0" w:evenHBand="1" w:firstRowFirstColumn="0" w:firstRowLastColumn="0" w:lastRowFirstColumn="0" w:lastRowLastColumn="0"/>
        <w:trHeight w:hRule="exact" w:val="153"/>
      </w:trPr>
      <w:tc>
        <w:tcPr>
          <w:tcW w:w="5000" w:type="pct"/>
        </w:tcPr>
        <w:p w14:paraId="4902C1B0" w14:textId="77777777" w:rsidR="00E511EA" w:rsidRDefault="00E511EA" w:rsidP="00EF0512">
          <w:pPr>
            <w:spacing w:before="0" w:after="0"/>
          </w:pPr>
        </w:p>
      </w:tc>
    </w:tr>
  </w:tbl>
  <w:p w14:paraId="25646385" w14:textId="0946A215" w:rsidR="00E511EA" w:rsidRPr="001E5865" w:rsidRDefault="00E511EA" w:rsidP="001E5865">
    <w:pPr>
      <w:pStyle w:val="Header"/>
      <w:spacing w:after="0"/>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4C5B" w14:textId="55AED4C9" w:rsidR="00E511EA" w:rsidRDefault="00E511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HeaderTable"/>
      <w:tblW w:w="0" w:type="auto"/>
      <w:tblLook w:val="04A0" w:firstRow="1" w:lastRow="0" w:firstColumn="1" w:lastColumn="0" w:noHBand="0" w:noVBand="1"/>
    </w:tblPr>
    <w:tblGrid>
      <w:gridCol w:w="9105"/>
      <w:gridCol w:w="6"/>
    </w:tblGrid>
    <w:tr w:rsidR="00E511EA" w:rsidRPr="006D42B3" w14:paraId="1177FC46" w14:textId="77777777" w:rsidTr="00A8190D">
      <w:trPr>
        <w:cnfStyle w:val="100000000000" w:firstRow="1" w:lastRow="0" w:firstColumn="0" w:lastColumn="0" w:oddVBand="0" w:evenVBand="0" w:oddHBand="0" w:evenHBand="0" w:firstRowFirstColumn="0" w:firstRowLastColumn="0" w:lastRowFirstColumn="0" w:lastRowLastColumn="0"/>
      </w:trPr>
      <w:tc>
        <w:tcPr>
          <w:tcW w:w="0" w:type="auto"/>
          <w:vAlign w:val="center"/>
        </w:tcPr>
        <w:tbl>
          <w:tblPr>
            <w:tblStyle w:val="HeaderTable"/>
            <w:tblW w:w="9105" w:type="dxa"/>
            <w:tblLook w:val="04A0" w:firstRow="1" w:lastRow="0" w:firstColumn="1" w:lastColumn="0" w:noHBand="0" w:noVBand="1"/>
          </w:tblPr>
          <w:tblGrid>
            <w:gridCol w:w="9105"/>
          </w:tblGrid>
          <w:tr w:rsidR="00E511EA" w:rsidRPr="006D42B3" w14:paraId="793A7A00" w14:textId="77777777" w:rsidTr="00A8190D">
            <w:trPr>
              <w:cnfStyle w:val="100000000000" w:firstRow="1" w:lastRow="0" w:firstColumn="0" w:lastColumn="0" w:oddVBand="0" w:evenVBand="0" w:oddHBand="0" w:evenHBand="0" w:firstRowFirstColumn="0" w:firstRowLastColumn="0" w:lastRowFirstColumn="0" w:lastRowLastColumn="0"/>
              <w:trHeight w:hRule="exact" w:val="611"/>
            </w:trPr>
            <w:tc>
              <w:tcPr>
                <w:tcW w:w="5000" w:type="pct"/>
                <w:shd w:val="clear" w:color="auto" w:fill="C2D69B" w:themeFill="accent3" w:themeFillTint="99"/>
                <w:vAlign w:val="center"/>
              </w:tcPr>
              <w:p w14:paraId="435399A7" w14:textId="671E90ED" w:rsidR="00E511EA" w:rsidRPr="002A2BED" w:rsidRDefault="00E511EA" w:rsidP="002A2BED">
                <w:pPr>
                  <w:pStyle w:val="Header-Continued"/>
                  <w:spacing w:after="0"/>
                  <w:ind w:left="288" w:right="217" w:hanging="288"/>
                  <w:rPr>
                    <w:color w:val="auto"/>
                    <w:sz w:val="24"/>
                  </w:rPr>
                </w:pPr>
                <w:r w:rsidRPr="002A2BED">
                  <w:rPr>
                    <w:noProof/>
                    <w:sz w:val="24"/>
                  </w:rPr>
                  <w:t>Completion report</w:t>
                </w:r>
                <w:r w:rsidRPr="002A2BED">
                  <w:rPr>
                    <w:color w:val="auto"/>
                    <w:sz w:val="24"/>
                  </w:rPr>
                  <w:t xml:space="preserve">  </w:t>
                </w:r>
              </w:p>
            </w:tc>
          </w:tr>
          <w:tr w:rsidR="00E511EA" w:rsidRPr="00991447" w14:paraId="3BFA9B89" w14:textId="77777777" w:rsidTr="00A8190D">
            <w:trPr>
              <w:cnfStyle w:val="000000100000" w:firstRow="0" w:lastRow="0" w:firstColumn="0" w:lastColumn="0" w:oddVBand="0" w:evenVBand="0" w:oddHBand="1" w:evenHBand="0" w:firstRowFirstColumn="0" w:firstRowLastColumn="0" w:lastRowFirstColumn="0" w:lastRowLastColumn="0"/>
              <w:trHeight w:hRule="exact" w:val="306"/>
            </w:trPr>
            <w:tc>
              <w:tcPr>
                <w:tcW w:w="5000" w:type="pct"/>
                <w:shd w:val="clear" w:color="auto" w:fill="F79646" w:themeFill="accent6"/>
                <w:vAlign w:val="top"/>
              </w:tcPr>
              <w:p w14:paraId="53674623" w14:textId="77777777" w:rsidR="00E511EA" w:rsidRPr="009863D8" w:rsidRDefault="00E511EA" w:rsidP="002A2BED">
                <w:pPr>
                  <w:pStyle w:val="Page"/>
                  <w:spacing w:before="0" w:after="0"/>
                  <w:ind w:left="288" w:right="217" w:hanging="288"/>
                  <w:rPr>
                    <w:color w:val="FFFFFF" w:themeColor="background1"/>
                  </w:rPr>
                </w:pPr>
                <w:r w:rsidRPr="009863D8">
                  <w:rPr>
                    <w:color w:val="FFFFFF" w:themeColor="background1"/>
                    <w:sz w:val="20"/>
                    <w:szCs w:val="20"/>
                  </w:rPr>
                  <w:t>Skills for Economic Growth Phase</w:t>
                </w:r>
                <w:r>
                  <w:rPr>
                    <w:color w:val="FFFFFF" w:themeColor="background1"/>
                    <w:sz w:val="20"/>
                    <w:szCs w:val="20"/>
                  </w:rPr>
                  <w:t>3</w:t>
                </w:r>
              </w:p>
            </w:tc>
          </w:tr>
          <w:tr w:rsidR="00E511EA" w14:paraId="29D4D9C1" w14:textId="77777777" w:rsidTr="00A8190D">
            <w:trPr>
              <w:cnfStyle w:val="000000010000" w:firstRow="0" w:lastRow="0" w:firstColumn="0" w:lastColumn="0" w:oddVBand="0" w:evenVBand="0" w:oddHBand="0" w:evenHBand="1" w:firstRowFirstColumn="0" w:firstRowLastColumn="0" w:lastRowFirstColumn="0" w:lastRowLastColumn="0"/>
              <w:trHeight w:hRule="exact" w:val="153"/>
            </w:trPr>
            <w:tc>
              <w:tcPr>
                <w:tcW w:w="5000" w:type="pct"/>
              </w:tcPr>
              <w:p w14:paraId="182DA30D" w14:textId="77777777" w:rsidR="00E511EA" w:rsidRDefault="00E511EA" w:rsidP="002A2BED">
                <w:pPr>
                  <w:spacing w:before="0" w:after="0"/>
                  <w:ind w:left="288" w:hanging="288"/>
                </w:pPr>
              </w:p>
            </w:tc>
          </w:tr>
        </w:tbl>
        <w:p w14:paraId="65B28525" w14:textId="77777777" w:rsidR="00E511EA" w:rsidRDefault="00E511EA" w:rsidP="002A2BED">
          <w:pPr>
            <w:pStyle w:val="Header-Continued"/>
            <w:spacing w:after="0"/>
            <w:rPr>
              <w:noProof/>
            </w:rPr>
          </w:pPr>
        </w:p>
      </w:tc>
      <w:tc>
        <w:tcPr>
          <w:tcW w:w="0" w:type="auto"/>
          <w:vAlign w:val="center"/>
        </w:tcPr>
        <w:p w14:paraId="0CAAD9F3" w14:textId="77777777" w:rsidR="00E511EA" w:rsidRPr="006D42B3" w:rsidRDefault="00E511EA" w:rsidP="002A2BED">
          <w:pPr>
            <w:pStyle w:val="Header-Continued"/>
            <w:spacing w:after="0"/>
            <w:ind w:left="4370"/>
            <w:rPr>
              <w:color w:val="DBE5F1" w:themeColor="accent1" w:themeTint="33"/>
              <w:sz w:val="24"/>
            </w:rPr>
          </w:pPr>
        </w:p>
      </w:tc>
    </w:tr>
  </w:tbl>
  <w:p w14:paraId="4315B75C" w14:textId="2F260BFF" w:rsidR="00E511EA" w:rsidRPr="002A2BED" w:rsidRDefault="00E511EA" w:rsidP="00F4355D">
    <w:pPr>
      <w:pStyle w:val="Header"/>
      <w:spacing w:before="0"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HeaderTable"/>
      <w:tblW w:w="0" w:type="auto"/>
      <w:tblLook w:val="04A0" w:firstRow="1" w:lastRow="0" w:firstColumn="1" w:lastColumn="0" w:noHBand="0" w:noVBand="1"/>
    </w:tblPr>
    <w:tblGrid>
      <w:gridCol w:w="9105"/>
      <w:gridCol w:w="6"/>
    </w:tblGrid>
    <w:tr w:rsidR="00E511EA" w:rsidRPr="006D42B3" w14:paraId="51B5C565" w14:textId="77777777" w:rsidTr="00A8190D">
      <w:trPr>
        <w:cnfStyle w:val="100000000000" w:firstRow="1" w:lastRow="0" w:firstColumn="0" w:lastColumn="0" w:oddVBand="0" w:evenVBand="0" w:oddHBand="0" w:evenHBand="0" w:firstRowFirstColumn="0" w:firstRowLastColumn="0" w:lastRowFirstColumn="0" w:lastRowLastColumn="0"/>
      </w:trPr>
      <w:tc>
        <w:tcPr>
          <w:tcW w:w="0" w:type="auto"/>
          <w:vAlign w:val="center"/>
        </w:tcPr>
        <w:tbl>
          <w:tblPr>
            <w:tblStyle w:val="HeaderTable"/>
            <w:tblW w:w="9105" w:type="dxa"/>
            <w:tblLook w:val="04A0" w:firstRow="1" w:lastRow="0" w:firstColumn="1" w:lastColumn="0" w:noHBand="0" w:noVBand="1"/>
          </w:tblPr>
          <w:tblGrid>
            <w:gridCol w:w="9105"/>
          </w:tblGrid>
          <w:tr w:rsidR="00E511EA" w:rsidRPr="006D42B3" w14:paraId="4F56E0B5" w14:textId="77777777" w:rsidTr="00A8190D">
            <w:trPr>
              <w:cnfStyle w:val="100000000000" w:firstRow="1" w:lastRow="0" w:firstColumn="0" w:lastColumn="0" w:oddVBand="0" w:evenVBand="0" w:oddHBand="0" w:evenHBand="0" w:firstRowFirstColumn="0" w:firstRowLastColumn="0" w:lastRowFirstColumn="0" w:lastRowLastColumn="0"/>
              <w:trHeight w:hRule="exact" w:val="611"/>
            </w:trPr>
            <w:tc>
              <w:tcPr>
                <w:tcW w:w="5000" w:type="pct"/>
                <w:shd w:val="clear" w:color="auto" w:fill="C2D69B" w:themeFill="accent3" w:themeFillTint="99"/>
                <w:vAlign w:val="center"/>
              </w:tcPr>
              <w:p w14:paraId="0A969ECD" w14:textId="15D8CCAF" w:rsidR="00E511EA" w:rsidRPr="002A2BED" w:rsidRDefault="00E511EA" w:rsidP="002A2BED">
                <w:pPr>
                  <w:pStyle w:val="Header-Continued"/>
                  <w:spacing w:after="0"/>
                  <w:ind w:left="288" w:right="217" w:hanging="288"/>
                  <w:rPr>
                    <w:color w:val="auto"/>
                    <w:sz w:val="24"/>
                  </w:rPr>
                </w:pPr>
                <w:r w:rsidRPr="002A2BED">
                  <w:rPr>
                    <w:noProof/>
                    <w:sz w:val="24"/>
                  </w:rPr>
                  <w:t>Completion report</w:t>
                </w:r>
                <w:r w:rsidRPr="002A2BED">
                  <w:rPr>
                    <w:color w:val="auto"/>
                    <w:sz w:val="24"/>
                  </w:rPr>
                  <w:t xml:space="preserve">  </w:t>
                </w:r>
              </w:p>
            </w:tc>
          </w:tr>
          <w:tr w:rsidR="00E511EA" w:rsidRPr="00991447" w14:paraId="797C4820" w14:textId="77777777" w:rsidTr="00A8190D">
            <w:trPr>
              <w:cnfStyle w:val="000000100000" w:firstRow="0" w:lastRow="0" w:firstColumn="0" w:lastColumn="0" w:oddVBand="0" w:evenVBand="0" w:oddHBand="1" w:evenHBand="0" w:firstRowFirstColumn="0" w:firstRowLastColumn="0" w:lastRowFirstColumn="0" w:lastRowLastColumn="0"/>
              <w:trHeight w:hRule="exact" w:val="306"/>
            </w:trPr>
            <w:tc>
              <w:tcPr>
                <w:tcW w:w="5000" w:type="pct"/>
                <w:shd w:val="clear" w:color="auto" w:fill="F79646" w:themeFill="accent6"/>
                <w:vAlign w:val="top"/>
              </w:tcPr>
              <w:p w14:paraId="52F76F79" w14:textId="77777777" w:rsidR="00E511EA" w:rsidRPr="009863D8" w:rsidRDefault="00E511EA" w:rsidP="002A2BED">
                <w:pPr>
                  <w:pStyle w:val="Page"/>
                  <w:spacing w:before="0" w:after="0"/>
                  <w:ind w:left="288" w:right="217" w:hanging="288"/>
                  <w:rPr>
                    <w:color w:val="FFFFFF" w:themeColor="background1"/>
                  </w:rPr>
                </w:pPr>
                <w:r w:rsidRPr="009863D8">
                  <w:rPr>
                    <w:color w:val="FFFFFF" w:themeColor="background1"/>
                    <w:sz w:val="20"/>
                    <w:szCs w:val="20"/>
                  </w:rPr>
                  <w:t>Skills for Economic Growth Phase</w:t>
                </w:r>
                <w:r>
                  <w:rPr>
                    <w:color w:val="FFFFFF" w:themeColor="background1"/>
                    <w:sz w:val="20"/>
                    <w:szCs w:val="20"/>
                  </w:rPr>
                  <w:t>3</w:t>
                </w:r>
              </w:p>
            </w:tc>
          </w:tr>
          <w:tr w:rsidR="00E511EA" w14:paraId="6E5436D9" w14:textId="77777777" w:rsidTr="00A8190D">
            <w:trPr>
              <w:cnfStyle w:val="000000010000" w:firstRow="0" w:lastRow="0" w:firstColumn="0" w:lastColumn="0" w:oddVBand="0" w:evenVBand="0" w:oddHBand="0" w:evenHBand="1" w:firstRowFirstColumn="0" w:firstRowLastColumn="0" w:lastRowFirstColumn="0" w:lastRowLastColumn="0"/>
              <w:trHeight w:hRule="exact" w:val="153"/>
            </w:trPr>
            <w:tc>
              <w:tcPr>
                <w:tcW w:w="5000" w:type="pct"/>
              </w:tcPr>
              <w:p w14:paraId="2FE7E54B" w14:textId="77777777" w:rsidR="00E511EA" w:rsidRDefault="00E511EA" w:rsidP="002A2BED">
                <w:pPr>
                  <w:spacing w:before="0" w:after="0"/>
                  <w:ind w:left="288" w:hanging="288"/>
                </w:pPr>
              </w:p>
            </w:tc>
          </w:tr>
        </w:tbl>
        <w:p w14:paraId="2FC92369" w14:textId="77777777" w:rsidR="00E511EA" w:rsidRDefault="00E511EA" w:rsidP="002A2BED">
          <w:pPr>
            <w:pStyle w:val="Header-Continued"/>
            <w:spacing w:after="0"/>
            <w:rPr>
              <w:noProof/>
            </w:rPr>
          </w:pPr>
        </w:p>
      </w:tc>
      <w:tc>
        <w:tcPr>
          <w:tcW w:w="0" w:type="auto"/>
          <w:vAlign w:val="center"/>
        </w:tcPr>
        <w:p w14:paraId="5260414B" w14:textId="77777777" w:rsidR="00E511EA" w:rsidRPr="006D42B3" w:rsidRDefault="00E511EA" w:rsidP="002A2BED">
          <w:pPr>
            <w:pStyle w:val="Header-Continued"/>
            <w:spacing w:after="0"/>
            <w:ind w:left="4370"/>
            <w:rPr>
              <w:color w:val="DBE5F1" w:themeColor="accent1" w:themeTint="33"/>
              <w:sz w:val="24"/>
            </w:rPr>
          </w:pPr>
        </w:p>
      </w:tc>
    </w:tr>
  </w:tbl>
  <w:p w14:paraId="456283CA" w14:textId="2F4DC5ED" w:rsidR="00E511EA" w:rsidRDefault="00E511EA" w:rsidP="00616F62">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37B16"/>
    <w:multiLevelType w:val="hybridMultilevel"/>
    <w:tmpl w:val="3F96B234"/>
    <w:lvl w:ilvl="0" w:tplc="24ECB72E">
      <w:start w:val="1"/>
      <w:numFmt w:val="bullet"/>
      <w:lvlText w:val=""/>
      <w:lvlJc w:val="left"/>
      <w:pPr>
        <w:ind w:left="720" w:hanging="360"/>
      </w:pPr>
      <w:rPr>
        <w:rFonts w:ascii="Symbol" w:hAnsi="Symbol" w:hint="default"/>
      </w:rPr>
    </w:lvl>
    <w:lvl w:ilvl="1" w:tplc="B68A3F00">
      <w:numFmt w:val="bullet"/>
      <w:lvlText w:val="-"/>
      <w:lvlJc w:val="left"/>
      <w:pPr>
        <w:ind w:left="1800" w:hanging="720"/>
      </w:pPr>
      <w:rPr>
        <w:rFonts w:ascii="Calibri" w:eastAsiaTheme="minorEastAsia" w:hAnsi="Calibri" w:cstheme="minorBidi" w:hint="default"/>
      </w:rPr>
    </w:lvl>
    <w:lvl w:ilvl="2" w:tplc="F422707A">
      <w:numFmt w:val="bullet"/>
      <w:lvlText w:val=""/>
      <w:lvlJc w:val="left"/>
      <w:pPr>
        <w:ind w:left="2160" w:hanging="360"/>
      </w:pPr>
      <w:rPr>
        <w:rFonts w:ascii="Symbol" w:eastAsiaTheme="minorEastAsia" w:hAnsi="Symbol"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7212B3"/>
    <w:multiLevelType w:val="hybridMultilevel"/>
    <w:tmpl w:val="E8F0D198"/>
    <w:lvl w:ilvl="0" w:tplc="433009A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8658CF"/>
    <w:multiLevelType w:val="hybridMultilevel"/>
    <w:tmpl w:val="50506A84"/>
    <w:lvl w:ilvl="0" w:tplc="24ECB7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87927"/>
    <w:multiLevelType w:val="hybridMultilevel"/>
    <w:tmpl w:val="6EFA0B46"/>
    <w:lvl w:ilvl="0" w:tplc="B8D4313A">
      <w:start w:val="1"/>
      <w:numFmt w:val="bullet"/>
      <w:lvlText w:val=""/>
      <w:lvlJc w:val="left"/>
      <w:pPr>
        <w:ind w:left="319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64BCC"/>
    <w:multiLevelType w:val="hybridMultilevel"/>
    <w:tmpl w:val="1B807F42"/>
    <w:lvl w:ilvl="0" w:tplc="24ECB72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C350E"/>
    <w:multiLevelType w:val="multilevel"/>
    <w:tmpl w:val="37A89CFC"/>
    <w:lvl w:ilvl="0">
      <w:start w:val="1"/>
      <w:numFmt w:val="decimal"/>
      <w:lvlText w:val="%1.0"/>
      <w:lvlJc w:val="left"/>
      <w:pPr>
        <w:ind w:left="1420" w:hanging="1420"/>
      </w:pPr>
      <w:rPr>
        <w:rFonts w:hint="default"/>
      </w:rPr>
    </w:lvl>
    <w:lvl w:ilvl="1">
      <w:start w:val="1"/>
      <w:numFmt w:val="decimal"/>
      <w:lvlText w:val="%1.%2"/>
      <w:lvlJc w:val="left"/>
      <w:pPr>
        <w:ind w:left="2140" w:hanging="1420"/>
      </w:pPr>
      <w:rPr>
        <w:rFonts w:hint="default"/>
      </w:rPr>
    </w:lvl>
    <w:lvl w:ilvl="2">
      <w:start w:val="1"/>
      <w:numFmt w:val="decimal"/>
      <w:lvlText w:val="%1.%2.%3"/>
      <w:lvlJc w:val="left"/>
      <w:pPr>
        <w:ind w:left="2860" w:hanging="1420"/>
      </w:pPr>
      <w:rPr>
        <w:rFonts w:hint="default"/>
      </w:rPr>
    </w:lvl>
    <w:lvl w:ilvl="3">
      <w:start w:val="1"/>
      <w:numFmt w:val="decimal"/>
      <w:lvlText w:val="%1.%2.%3.%4"/>
      <w:lvlJc w:val="left"/>
      <w:pPr>
        <w:ind w:left="3580" w:hanging="1420"/>
      </w:pPr>
      <w:rPr>
        <w:rFonts w:hint="default"/>
      </w:rPr>
    </w:lvl>
    <w:lvl w:ilvl="4">
      <w:start w:val="1"/>
      <w:numFmt w:val="decimal"/>
      <w:lvlText w:val="%1.%2.%3.%4.%5"/>
      <w:lvlJc w:val="left"/>
      <w:pPr>
        <w:ind w:left="4300" w:hanging="1420"/>
      </w:pPr>
      <w:rPr>
        <w:rFonts w:hint="default"/>
      </w:rPr>
    </w:lvl>
    <w:lvl w:ilvl="5">
      <w:start w:val="1"/>
      <w:numFmt w:val="decimal"/>
      <w:lvlText w:val="%1.%2.%3.%4.%5.%6"/>
      <w:lvlJc w:val="left"/>
      <w:pPr>
        <w:ind w:left="5020" w:hanging="142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7B6A1D"/>
    <w:multiLevelType w:val="hybridMultilevel"/>
    <w:tmpl w:val="4B5447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7A1285A"/>
    <w:multiLevelType w:val="hybridMultilevel"/>
    <w:tmpl w:val="626E8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DE03C9"/>
    <w:multiLevelType w:val="hybridMultilevel"/>
    <w:tmpl w:val="A4EA23C4"/>
    <w:lvl w:ilvl="0" w:tplc="24ECB72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B22FD1"/>
    <w:multiLevelType w:val="hybridMultilevel"/>
    <w:tmpl w:val="74C0893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B6495C"/>
    <w:multiLevelType w:val="hybridMultilevel"/>
    <w:tmpl w:val="C6B6EFA8"/>
    <w:lvl w:ilvl="0" w:tplc="8684F3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B03E23"/>
    <w:multiLevelType w:val="hybridMultilevel"/>
    <w:tmpl w:val="2250A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1D49"/>
    <w:multiLevelType w:val="hybridMultilevel"/>
    <w:tmpl w:val="7764DCC0"/>
    <w:lvl w:ilvl="0" w:tplc="0C09000F">
      <w:start w:val="1"/>
      <w:numFmt w:val="decimal"/>
      <w:lvlText w:val="%1."/>
      <w:lvlJc w:val="left"/>
      <w:pPr>
        <w:ind w:left="720" w:hanging="360"/>
      </w:pPr>
    </w:lvl>
    <w:lvl w:ilvl="1" w:tplc="5EE601E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7E4497"/>
    <w:multiLevelType w:val="hybridMultilevel"/>
    <w:tmpl w:val="56A8FFAA"/>
    <w:lvl w:ilvl="0" w:tplc="8062AA04">
      <w:start w:val="1"/>
      <w:numFmt w:val="bullet"/>
      <w:pStyle w:val="BulletList"/>
      <w:lvlText w:val=""/>
      <w:lvlJc w:val="left"/>
      <w:pPr>
        <w:ind w:left="720" w:hanging="360"/>
      </w:pPr>
      <w:rPr>
        <w:rFonts w:ascii="Symbol" w:hAnsi="Symbol" w:hint="default"/>
      </w:rPr>
    </w:lvl>
    <w:lvl w:ilvl="1" w:tplc="34481264"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37762"/>
    <w:multiLevelType w:val="hybridMultilevel"/>
    <w:tmpl w:val="9208A1D6"/>
    <w:lvl w:ilvl="0" w:tplc="24ECB7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2F7161"/>
    <w:multiLevelType w:val="hybridMultilevel"/>
    <w:tmpl w:val="C55C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lvlOverride w:ilvl="0">
      <w:startOverride w:val="1"/>
    </w:lvlOverride>
  </w:num>
  <w:num w:numId="13">
    <w:abstractNumId w:val="23"/>
  </w:num>
  <w:num w:numId="14">
    <w:abstractNumId w:val="15"/>
  </w:num>
  <w:num w:numId="15">
    <w:abstractNumId w:val="22"/>
  </w:num>
  <w:num w:numId="16">
    <w:abstractNumId w:val="16"/>
  </w:num>
  <w:num w:numId="17">
    <w:abstractNumId w:val="20"/>
    <w:lvlOverride w:ilvl="0">
      <w:startOverride w:val="1"/>
    </w:lvlOverride>
  </w:num>
  <w:num w:numId="18">
    <w:abstractNumId w:val="18"/>
  </w:num>
  <w:num w:numId="19">
    <w:abstractNumId w:val="12"/>
  </w:num>
  <w:num w:numId="20">
    <w:abstractNumId w:val="10"/>
  </w:num>
  <w:num w:numId="21">
    <w:abstractNumId w:val="24"/>
  </w:num>
  <w:num w:numId="22">
    <w:abstractNumId w:val="17"/>
  </w:num>
  <w:num w:numId="23">
    <w:abstractNumId w:val="11"/>
  </w:num>
  <w:num w:numId="24">
    <w:abstractNumId w:val="19"/>
  </w:num>
  <w:num w:numId="25">
    <w:abstractNumId w:val="25"/>
  </w:num>
  <w:num w:numId="26">
    <w:abstractNumId w:val="14"/>
  </w:num>
  <w:num w:numId="27">
    <w:abstractNumId w:val="21"/>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13"/>
  </w:num>
  <w:num w:numId="35">
    <w:abstractNumId w:val="13"/>
  </w:num>
  <w:num w:numId="36">
    <w:abstractNumId w:val="11"/>
  </w:num>
  <w:num w:numId="37">
    <w:abstractNumId w:val="11"/>
  </w:num>
  <w:num w:numId="38">
    <w:abstractNumId w:val="11"/>
  </w:num>
  <w:num w:numId="39">
    <w:abstractNumId w:val="11"/>
  </w:num>
  <w:num w:numId="4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432FAA"/>
    <w:rsid w:val="000000EC"/>
    <w:rsid w:val="000018E2"/>
    <w:rsid w:val="00001AD6"/>
    <w:rsid w:val="0000208F"/>
    <w:rsid w:val="0000273D"/>
    <w:rsid w:val="000030DD"/>
    <w:rsid w:val="000037A8"/>
    <w:rsid w:val="00005CFE"/>
    <w:rsid w:val="0000680B"/>
    <w:rsid w:val="0000754E"/>
    <w:rsid w:val="00007E1E"/>
    <w:rsid w:val="00014C73"/>
    <w:rsid w:val="0001671C"/>
    <w:rsid w:val="00016845"/>
    <w:rsid w:val="000200FD"/>
    <w:rsid w:val="0002202E"/>
    <w:rsid w:val="00022194"/>
    <w:rsid w:val="000256A3"/>
    <w:rsid w:val="00025E46"/>
    <w:rsid w:val="00026F63"/>
    <w:rsid w:val="0002710B"/>
    <w:rsid w:val="00030778"/>
    <w:rsid w:val="000311AF"/>
    <w:rsid w:val="00031D00"/>
    <w:rsid w:val="0003328D"/>
    <w:rsid w:val="0003352E"/>
    <w:rsid w:val="00033790"/>
    <w:rsid w:val="0003522C"/>
    <w:rsid w:val="00035C71"/>
    <w:rsid w:val="00037119"/>
    <w:rsid w:val="00037295"/>
    <w:rsid w:val="00040C54"/>
    <w:rsid w:val="00041131"/>
    <w:rsid w:val="000416FF"/>
    <w:rsid w:val="000419EA"/>
    <w:rsid w:val="00042093"/>
    <w:rsid w:val="00043361"/>
    <w:rsid w:val="00044F8F"/>
    <w:rsid w:val="00051AA3"/>
    <w:rsid w:val="00051F68"/>
    <w:rsid w:val="00053048"/>
    <w:rsid w:val="00054BE0"/>
    <w:rsid w:val="00055D73"/>
    <w:rsid w:val="00057A4D"/>
    <w:rsid w:val="00060F6A"/>
    <w:rsid w:val="00061F62"/>
    <w:rsid w:val="00062EDF"/>
    <w:rsid w:val="0006356B"/>
    <w:rsid w:val="000638C4"/>
    <w:rsid w:val="00065199"/>
    <w:rsid w:val="0006561C"/>
    <w:rsid w:val="00067E1A"/>
    <w:rsid w:val="000706D0"/>
    <w:rsid w:val="000707BF"/>
    <w:rsid w:val="0007180B"/>
    <w:rsid w:val="00072437"/>
    <w:rsid w:val="00073A63"/>
    <w:rsid w:val="0007551C"/>
    <w:rsid w:val="00075AFC"/>
    <w:rsid w:val="00080E9A"/>
    <w:rsid w:val="00081060"/>
    <w:rsid w:val="000821B7"/>
    <w:rsid w:val="000824C5"/>
    <w:rsid w:val="00082CDD"/>
    <w:rsid w:val="0008312A"/>
    <w:rsid w:val="0008317A"/>
    <w:rsid w:val="00083A26"/>
    <w:rsid w:val="00083D1C"/>
    <w:rsid w:val="00085C6D"/>
    <w:rsid w:val="00086496"/>
    <w:rsid w:val="000873DC"/>
    <w:rsid w:val="000964FD"/>
    <w:rsid w:val="00097816"/>
    <w:rsid w:val="000A016C"/>
    <w:rsid w:val="000A1651"/>
    <w:rsid w:val="000A1EBD"/>
    <w:rsid w:val="000A3D8C"/>
    <w:rsid w:val="000A4484"/>
    <w:rsid w:val="000A44EA"/>
    <w:rsid w:val="000A4934"/>
    <w:rsid w:val="000A52E7"/>
    <w:rsid w:val="000A703C"/>
    <w:rsid w:val="000B08C0"/>
    <w:rsid w:val="000B36AF"/>
    <w:rsid w:val="000B3B45"/>
    <w:rsid w:val="000B41AC"/>
    <w:rsid w:val="000B7390"/>
    <w:rsid w:val="000C025C"/>
    <w:rsid w:val="000C1F50"/>
    <w:rsid w:val="000C409A"/>
    <w:rsid w:val="000C52DB"/>
    <w:rsid w:val="000C5927"/>
    <w:rsid w:val="000C619E"/>
    <w:rsid w:val="000D170E"/>
    <w:rsid w:val="000D2771"/>
    <w:rsid w:val="000D2E27"/>
    <w:rsid w:val="000D5A58"/>
    <w:rsid w:val="000D68DB"/>
    <w:rsid w:val="000D6ADE"/>
    <w:rsid w:val="000D6FCD"/>
    <w:rsid w:val="000D70A1"/>
    <w:rsid w:val="000E07A6"/>
    <w:rsid w:val="000E13AE"/>
    <w:rsid w:val="000E3D45"/>
    <w:rsid w:val="000E75B1"/>
    <w:rsid w:val="000E7F9A"/>
    <w:rsid w:val="000E7FE1"/>
    <w:rsid w:val="000F0A2D"/>
    <w:rsid w:val="000F1149"/>
    <w:rsid w:val="000F2BA0"/>
    <w:rsid w:val="000F2ED5"/>
    <w:rsid w:val="000F30AC"/>
    <w:rsid w:val="000F493C"/>
    <w:rsid w:val="000F56DE"/>
    <w:rsid w:val="000F5FA4"/>
    <w:rsid w:val="000F6165"/>
    <w:rsid w:val="00100F56"/>
    <w:rsid w:val="00100FD2"/>
    <w:rsid w:val="00102775"/>
    <w:rsid w:val="00105AFD"/>
    <w:rsid w:val="00105F94"/>
    <w:rsid w:val="001072B5"/>
    <w:rsid w:val="001076E2"/>
    <w:rsid w:val="00107E93"/>
    <w:rsid w:val="00111143"/>
    <w:rsid w:val="001112FB"/>
    <w:rsid w:val="0011139A"/>
    <w:rsid w:val="001127E8"/>
    <w:rsid w:val="00113891"/>
    <w:rsid w:val="00113BE7"/>
    <w:rsid w:val="001141C0"/>
    <w:rsid w:val="00116119"/>
    <w:rsid w:val="00117B35"/>
    <w:rsid w:val="00117F13"/>
    <w:rsid w:val="00121D2A"/>
    <w:rsid w:val="0012589A"/>
    <w:rsid w:val="001258FF"/>
    <w:rsid w:val="00127E6D"/>
    <w:rsid w:val="001321B2"/>
    <w:rsid w:val="001327A9"/>
    <w:rsid w:val="00132B9A"/>
    <w:rsid w:val="00133150"/>
    <w:rsid w:val="00134FA3"/>
    <w:rsid w:val="00136CC9"/>
    <w:rsid w:val="00140556"/>
    <w:rsid w:val="001415CC"/>
    <w:rsid w:val="00144498"/>
    <w:rsid w:val="00147A9E"/>
    <w:rsid w:val="00147E04"/>
    <w:rsid w:val="00153661"/>
    <w:rsid w:val="00153A01"/>
    <w:rsid w:val="001558AE"/>
    <w:rsid w:val="001576F7"/>
    <w:rsid w:val="0015772A"/>
    <w:rsid w:val="001602C0"/>
    <w:rsid w:val="001636A6"/>
    <w:rsid w:val="001642DB"/>
    <w:rsid w:val="0017160A"/>
    <w:rsid w:val="001716A2"/>
    <w:rsid w:val="00172144"/>
    <w:rsid w:val="0017474B"/>
    <w:rsid w:val="001760A7"/>
    <w:rsid w:val="00176C57"/>
    <w:rsid w:val="00176DCF"/>
    <w:rsid w:val="001775BA"/>
    <w:rsid w:val="00177808"/>
    <w:rsid w:val="00180AC1"/>
    <w:rsid w:val="001813D6"/>
    <w:rsid w:val="00183D0E"/>
    <w:rsid w:val="001849B5"/>
    <w:rsid w:val="00185D9A"/>
    <w:rsid w:val="00186011"/>
    <w:rsid w:val="00186F11"/>
    <w:rsid w:val="00190240"/>
    <w:rsid w:val="0019295B"/>
    <w:rsid w:val="00193170"/>
    <w:rsid w:val="0019321A"/>
    <w:rsid w:val="00193583"/>
    <w:rsid w:val="0019378B"/>
    <w:rsid w:val="0019717D"/>
    <w:rsid w:val="001A0195"/>
    <w:rsid w:val="001A11E2"/>
    <w:rsid w:val="001A1D93"/>
    <w:rsid w:val="001A22A9"/>
    <w:rsid w:val="001A2B9C"/>
    <w:rsid w:val="001A5ADE"/>
    <w:rsid w:val="001A5B76"/>
    <w:rsid w:val="001B6F58"/>
    <w:rsid w:val="001B71E8"/>
    <w:rsid w:val="001C0937"/>
    <w:rsid w:val="001C0F54"/>
    <w:rsid w:val="001C2403"/>
    <w:rsid w:val="001C30B9"/>
    <w:rsid w:val="001C50CF"/>
    <w:rsid w:val="001C5979"/>
    <w:rsid w:val="001C6C8E"/>
    <w:rsid w:val="001D0166"/>
    <w:rsid w:val="001D08C7"/>
    <w:rsid w:val="001D15E0"/>
    <w:rsid w:val="001D2736"/>
    <w:rsid w:val="001D4CB7"/>
    <w:rsid w:val="001D5A82"/>
    <w:rsid w:val="001D756B"/>
    <w:rsid w:val="001E126B"/>
    <w:rsid w:val="001E15D5"/>
    <w:rsid w:val="001E1785"/>
    <w:rsid w:val="001E2400"/>
    <w:rsid w:val="001E30A3"/>
    <w:rsid w:val="001E3219"/>
    <w:rsid w:val="001E5865"/>
    <w:rsid w:val="001E7C57"/>
    <w:rsid w:val="001E7C83"/>
    <w:rsid w:val="001E7FDE"/>
    <w:rsid w:val="001F0F2F"/>
    <w:rsid w:val="001F1217"/>
    <w:rsid w:val="001F3294"/>
    <w:rsid w:val="001F33B6"/>
    <w:rsid w:val="001F34EF"/>
    <w:rsid w:val="001F358B"/>
    <w:rsid w:val="001F3D2F"/>
    <w:rsid w:val="001F4E78"/>
    <w:rsid w:val="001F5E99"/>
    <w:rsid w:val="001F6E24"/>
    <w:rsid w:val="00204D14"/>
    <w:rsid w:val="002074F5"/>
    <w:rsid w:val="002077F4"/>
    <w:rsid w:val="00207C4D"/>
    <w:rsid w:val="00211E60"/>
    <w:rsid w:val="00216457"/>
    <w:rsid w:val="00216C0D"/>
    <w:rsid w:val="00222D6F"/>
    <w:rsid w:val="0022370D"/>
    <w:rsid w:val="00223A13"/>
    <w:rsid w:val="002245F1"/>
    <w:rsid w:val="00224A1E"/>
    <w:rsid w:val="002300B4"/>
    <w:rsid w:val="002300D6"/>
    <w:rsid w:val="00232440"/>
    <w:rsid w:val="002326F7"/>
    <w:rsid w:val="00233461"/>
    <w:rsid w:val="00234E26"/>
    <w:rsid w:val="00235088"/>
    <w:rsid w:val="0023580A"/>
    <w:rsid w:val="002405BF"/>
    <w:rsid w:val="00241555"/>
    <w:rsid w:val="0024156A"/>
    <w:rsid w:val="002417CD"/>
    <w:rsid w:val="00241E09"/>
    <w:rsid w:val="0024374E"/>
    <w:rsid w:val="00243EDC"/>
    <w:rsid w:val="00247364"/>
    <w:rsid w:val="00250088"/>
    <w:rsid w:val="0025019E"/>
    <w:rsid w:val="00250600"/>
    <w:rsid w:val="002510CC"/>
    <w:rsid w:val="002517DC"/>
    <w:rsid w:val="00252C92"/>
    <w:rsid w:val="00253400"/>
    <w:rsid w:val="00253CC5"/>
    <w:rsid w:val="00254143"/>
    <w:rsid w:val="00254553"/>
    <w:rsid w:val="00255028"/>
    <w:rsid w:val="00260E1B"/>
    <w:rsid w:val="002611D2"/>
    <w:rsid w:val="002636D5"/>
    <w:rsid w:val="00263977"/>
    <w:rsid w:val="0026529D"/>
    <w:rsid w:val="0026558F"/>
    <w:rsid w:val="00265C35"/>
    <w:rsid w:val="00266316"/>
    <w:rsid w:val="00271DA4"/>
    <w:rsid w:val="0027279B"/>
    <w:rsid w:val="00272CAD"/>
    <w:rsid w:val="00274235"/>
    <w:rsid w:val="00275CB1"/>
    <w:rsid w:val="0027678D"/>
    <w:rsid w:val="0027731D"/>
    <w:rsid w:val="00277E6E"/>
    <w:rsid w:val="00280B81"/>
    <w:rsid w:val="00281566"/>
    <w:rsid w:val="00281A36"/>
    <w:rsid w:val="00282190"/>
    <w:rsid w:val="00283720"/>
    <w:rsid w:val="002910C0"/>
    <w:rsid w:val="002911B1"/>
    <w:rsid w:val="00293B80"/>
    <w:rsid w:val="002949AC"/>
    <w:rsid w:val="002A0569"/>
    <w:rsid w:val="002A0617"/>
    <w:rsid w:val="002A08F6"/>
    <w:rsid w:val="002A2BED"/>
    <w:rsid w:val="002A2D6A"/>
    <w:rsid w:val="002A3C81"/>
    <w:rsid w:val="002A3E77"/>
    <w:rsid w:val="002A50FA"/>
    <w:rsid w:val="002A657B"/>
    <w:rsid w:val="002B011F"/>
    <w:rsid w:val="002B09A8"/>
    <w:rsid w:val="002B0A06"/>
    <w:rsid w:val="002B21F8"/>
    <w:rsid w:val="002B4522"/>
    <w:rsid w:val="002B4F7B"/>
    <w:rsid w:val="002C2734"/>
    <w:rsid w:val="002C3B09"/>
    <w:rsid w:val="002C57FC"/>
    <w:rsid w:val="002C5AC0"/>
    <w:rsid w:val="002C6A65"/>
    <w:rsid w:val="002C6EE2"/>
    <w:rsid w:val="002C75E2"/>
    <w:rsid w:val="002C76FD"/>
    <w:rsid w:val="002D3486"/>
    <w:rsid w:val="002D4642"/>
    <w:rsid w:val="002D4809"/>
    <w:rsid w:val="002D492B"/>
    <w:rsid w:val="002E00E0"/>
    <w:rsid w:val="002E0447"/>
    <w:rsid w:val="002E076E"/>
    <w:rsid w:val="002E183D"/>
    <w:rsid w:val="002E20CD"/>
    <w:rsid w:val="002E21AD"/>
    <w:rsid w:val="002E4E81"/>
    <w:rsid w:val="002E5F86"/>
    <w:rsid w:val="002E5FAB"/>
    <w:rsid w:val="002E7E69"/>
    <w:rsid w:val="002F1571"/>
    <w:rsid w:val="002F159B"/>
    <w:rsid w:val="002F1BF5"/>
    <w:rsid w:val="002F2944"/>
    <w:rsid w:val="002F2AC2"/>
    <w:rsid w:val="002F37C1"/>
    <w:rsid w:val="002F50F1"/>
    <w:rsid w:val="002F588C"/>
    <w:rsid w:val="002F682A"/>
    <w:rsid w:val="00300404"/>
    <w:rsid w:val="0030272B"/>
    <w:rsid w:val="0030627D"/>
    <w:rsid w:val="0030636F"/>
    <w:rsid w:val="00306379"/>
    <w:rsid w:val="00307395"/>
    <w:rsid w:val="00307CAC"/>
    <w:rsid w:val="00310629"/>
    <w:rsid w:val="00314401"/>
    <w:rsid w:val="00315022"/>
    <w:rsid w:val="00315D4B"/>
    <w:rsid w:val="0031632F"/>
    <w:rsid w:val="00317BD4"/>
    <w:rsid w:val="003219F0"/>
    <w:rsid w:val="00322D37"/>
    <w:rsid w:val="00323FFF"/>
    <w:rsid w:val="003252CD"/>
    <w:rsid w:val="00325408"/>
    <w:rsid w:val="003258FE"/>
    <w:rsid w:val="0032674B"/>
    <w:rsid w:val="003333EE"/>
    <w:rsid w:val="00334286"/>
    <w:rsid w:val="0033618E"/>
    <w:rsid w:val="0033664B"/>
    <w:rsid w:val="003372D0"/>
    <w:rsid w:val="003376CD"/>
    <w:rsid w:val="00340B48"/>
    <w:rsid w:val="00341C85"/>
    <w:rsid w:val="00341D0B"/>
    <w:rsid w:val="00341F77"/>
    <w:rsid w:val="00343212"/>
    <w:rsid w:val="00344AA0"/>
    <w:rsid w:val="00345E40"/>
    <w:rsid w:val="00346774"/>
    <w:rsid w:val="003500D9"/>
    <w:rsid w:val="003513A9"/>
    <w:rsid w:val="0035383B"/>
    <w:rsid w:val="003548A9"/>
    <w:rsid w:val="00360320"/>
    <w:rsid w:val="00361109"/>
    <w:rsid w:val="0036131B"/>
    <w:rsid w:val="00364117"/>
    <w:rsid w:val="00364350"/>
    <w:rsid w:val="00364D49"/>
    <w:rsid w:val="00366CC3"/>
    <w:rsid w:val="00367839"/>
    <w:rsid w:val="00367B2C"/>
    <w:rsid w:val="00367EB9"/>
    <w:rsid w:val="003706F8"/>
    <w:rsid w:val="00371725"/>
    <w:rsid w:val="00371847"/>
    <w:rsid w:val="003730D3"/>
    <w:rsid w:val="003731FE"/>
    <w:rsid w:val="00373486"/>
    <w:rsid w:val="00374341"/>
    <w:rsid w:val="003776F9"/>
    <w:rsid w:val="00377E1D"/>
    <w:rsid w:val="003907EB"/>
    <w:rsid w:val="00391314"/>
    <w:rsid w:val="0039149B"/>
    <w:rsid w:val="00391740"/>
    <w:rsid w:val="003934E3"/>
    <w:rsid w:val="00393E7F"/>
    <w:rsid w:val="00396AD5"/>
    <w:rsid w:val="003A0C0A"/>
    <w:rsid w:val="003A1BFB"/>
    <w:rsid w:val="003A255A"/>
    <w:rsid w:val="003A35BA"/>
    <w:rsid w:val="003A3632"/>
    <w:rsid w:val="003A3BB4"/>
    <w:rsid w:val="003B03E4"/>
    <w:rsid w:val="003B086B"/>
    <w:rsid w:val="003B2F85"/>
    <w:rsid w:val="003B41D9"/>
    <w:rsid w:val="003B4406"/>
    <w:rsid w:val="003B6A63"/>
    <w:rsid w:val="003B6A76"/>
    <w:rsid w:val="003C14E2"/>
    <w:rsid w:val="003C16D2"/>
    <w:rsid w:val="003C3E95"/>
    <w:rsid w:val="003C5042"/>
    <w:rsid w:val="003C5158"/>
    <w:rsid w:val="003C6E69"/>
    <w:rsid w:val="003D0043"/>
    <w:rsid w:val="003D01D9"/>
    <w:rsid w:val="003D4E04"/>
    <w:rsid w:val="003D5EE7"/>
    <w:rsid w:val="003D7171"/>
    <w:rsid w:val="003E16F9"/>
    <w:rsid w:val="003E2545"/>
    <w:rsid w:val="003E3752"/>
    <w:rsid w:val="003E40A5"/>
    <w:rsid w:val="003E5810"/>
    <w:rsid w:val="003E6E0B"/>
    <w:rsid w:val="003F0587"/>
    <w:rsid w:val="003F2311"/>
    <w:rsid w:val="003F369E"/>
    <w:rsid w:val="003F50D1"/>
    <w:rsid w:val="003F6077"/>
    <w:rsid w:val="003F67C5"/>
    <w:rsid w:val="003F706F"/>
    <w:rsid w:val="00400C97"/>
    <w:rsid w:val="00400D47"/>
    <w:rsid w:val="00401F98"/>
    <w:rsid w:val="0040376B"/>
    <w:rsid w:val="00404881"/>
    <w:rsid w:val="004071B7"/>
    <w:rsid w:val="00410170"/>
    <w:rsid w:val="0041022D"/>
    <w:rsid w:val="00410BE1"/>
    <w:rsid w:val="00413B40"/>
    <w:rsid w:val="004147D6"/>
    <w:rsid w:val="00415B5F"/>
    <w:rsid w:val="00417324"/>
    <w:rsid w:val="00417E77"/>
    <w:rsid w:val="00422018"/>
    <w:rsid w:val="00422945"/>
    <w:rsid w:val="00423469"/>
    <w:rsid w:val="004248E6"/>
    <w:rsid w:val="004251DA"/>
    <w:rsid w:val="0042638D"/>
    <w:rsid w:val="00426F25"/>
    <w:rsid w:val="00427A64"/>
    <w:rsid w:val="00427E8B"/>
    <w:rsid w:val="00430F00"/>
    <w:rsid w:val="00431FB2"/>
    <w:rsid w:val="00432249"/>
    <w:rsid w:val="00432FAA"/>
    <w:rsid w:val="00440C74"/>
    <w:rsid w:val="00440E3A"/>
    <w:rsid w:val="0044261F"/>
    <w:rsid w:val="00442A98"/>
    <w:rsid w:val="00443835"/>
    <w:rsid w:val="00443F30"/>
    <w:rsid w:val="004453A8"/>
    <w:rsid w:val="00445569"/>
    <w:rsid w:val="004456C0"/>
    <w:rsid w:val="004458E7"/>
    <w:rsid w:val="004469BF"/>
    <w:rsid w:val="0045005F"/>
    <w:rsid w:val="0045115A"/>
    <w:rsid w:val="004511E3"/>
    <w:rsid w:val="0045278D"/>
    <w:rsid w:val="004531B9"/>
    <w:rsid w:val="004538B9"/>
    <w:rsid w:val="00453E89"/>
    <w:rsid w:val="00456AF1"/>
    <w:rsid w:val="00456FE3"/>
    <w:rsid w:val="00462A60"/>
    <w:rsid w:val="00463C13"/>
    <w:rsid w:val="004647C4"/>
    <w:rsid w:val="00465888"/>
    <w:rsid w:val="00467304"/>
    <w:rsid w:val="00467A2A"/>
    <w:rsid w:val="004710EB"/>
    <w:rsid w:val="00471EC6"/>
    <w:rsid w:val="00472031"/>
    <w:rsid w:val="0047245F"/>
    <w:rsid w:val="00476ABC"/>
    <w:rsid w:val="00480474"/>
    <w:rsid w:val="00480AC8"/>
    <w:rsid w:val="00481470"/>
    <w:rsid w:val="00481B80"/>
    <w:rsid w:val="00481BD8"/>
    <w:rsid w:val="004823D4"/>
    <w:rsid w:val="004834F9"/>
    <w:rsid w:val="00483631"/>
    <w:rsid w:val="00483973"/>
    <w:rsid w:val="004855A5"/>
    <w:rsid w:val="0048624D"/>
    <w:rsid w:val="0048705B"/>
    <w:rsid w:val="004904B5"/>
    <w:rsid w:val="00491F43"/>
    <w:rsid w:val="0049202E"/>
    <w:rsid w:val="004920B8"/>
    <w:rsid w:val="004921EC"/>
    <w:rsid w:val="00495693"/>
    <w:rsid w:val="00495BED"/>
    <w:rsid w:val="0049780B"/>
    <w:rsid w:val="004A0396"/>
    <w:rsid w:val="004A1176"/>
    <w:rsid w:val="004A1C24"/>
    <w:rsid w:val="004A34CA"/>
    <w:rsid w:val="004A3A29"/>
    <w:rsid w:val="004A6073"/>
    <w:rsid w:val="004A635E"/>
    <w:rsid w:val="004A648A"/>
    <w:rsid w:val="004A6BB4"/>
    <w:rsid w:val="004B0357"/>
    <w:rsid w:val="004B0D1E"/>
    <w:rsid w:val="004B4029"/>
    <w:rsid w:val="004B4317"/>
    <w:rsid w:val="004B5FA2"/>
    <w:rsid w:val="004C01A1"/>
    <w:rsid w:val="004C1F57"/>
    <w:rsid w:val="004C395E"/>
    <w:rsid w:val="004C5395"/>
    <w:rsid w:val="004C6336"/>
    <w:rsid w:val="004C7C4D"/>
    <w:rsid w:val="004D00BB"/>
    <w:rsid w:val="004D0977"/>
    <w:rsid w:val="004D1EE4"/>
    <w:rsid w:val="004D4D19"/>
    <w:rsid w:val="004D7579"/>
    <w:rsid w:val="004D7F7C"/>
    <w:rsid w:val="004E2DEB"/>
    <w:rsid w:val="004E35FA"/>
    <w:rsid w:val="004E40CB"/>
    <w:rsid w:val="004E4C56"/>
    <w:rsid w:val="004E5CFB"/>
    <w:rsid w:val="004E5F0C"/>
    <w:rsid w:val="004E6757"/>
    <w:rsid w:val="004E6940"/>
    <w:rsid w:val="004E7002"/>
    <w:rsid w:val="004F23BF"/>
    <w:rsid w:val="004F31A9"/>
    <w:rsid w:val="004F40D7"/>
    <w:rsid w:val="004F4718"/>
    <w:rsid w:val="004F4CDC"/>
    <w:rsid w:val="004F53D3"/>
    <w:rsid w:val="004F5B54"/>
    <w:rsid w:val="004F5C3A"/>
    <w:rsid w:val="004F653F"/>
    <w:rsid w:val="004F75EF"/>
    <w:rsid w:val="0050102D"/>
    <w:rsid w:val="00501F03"/>
    <w:rsid w:val="00503195"/>
    <w:rsid w:val="00503599"/>
    <w:rsid w:val="00503C04"/>
    <w:rsid w:val="005078A6"/>
    <w:rsid w:val="00510B16"/>
    <w:rsid w:val="005126FA"/>
    <w:rsid w:val="005133C9"/>
    <w:rsid w:val="00515A7B"/>
    <w:rsid w:val="0051678A"/>
    <w:rsid w:val="00516B27"/>
    <w:rsid w:val="00516BA1"/>
    <w:rsid w:val="00517E35"/>
    <w:rsid w:val="005203FF"/>
    <w:rsid w:val="0052143E"/>
    <w:rsid w:val="005228DC"/>
    <w:rsid w:val="0052443E"/>
    <w:rsid w:val="00525357"/>
    <w:rsid w:val="005266A2"/>
    <w:rsid w:val="00526D2B"/>
    <w:rsid w:val="005272E6"/>
    <w:rsid w:val="0052758E"/>
    <w:rsid w:val="0053195C"/>
    <w:rsid w:val="00531D46"/>
    <w:rsid w:val="00533CA9"/>
    <w:rsid w:val="00534A02"/>
    <w:rsid w:val="00535EA6"/>
    <w:rsid w:val="00540246"/>
    <w:rsid w:val="00540674"/>
    <w:rsid w:val="005427B1"/>
    <w:rsid w:val="00542DA7"/>
    <w:rsid w:val="00543A4D"/>
    <w:rsid w:val="00544D55"/>
    <w:rsid w:val="00552380"/>
    <w:rsid w:val="005528AB"/>
    <w:rsid w:val="00552F7D"/>
    <w:rsid w:val="00553A94"/>
    <w:rsid w:val="00553E35"/>
    <w:rsid w:val="00554679"/>
    <w:rsid w:val="0055516A"/>
    <w:rsid w:val="00556619"/>
    <w:rsid w:val="005567AD"/>
    <w:rsid w:val="005567FB"/>
    <w:rsid w:val="005568B5"/>
    <w:rsid w:val="0055793E"/>
    <w:rsid w:val="0056082E"/>
    <w:rsid w:val="0056137A"/>
    <w:rsid w:val="00561761"/>
    <w:rsid w:val="00561E2B"/>
    <w:rsid w:val="00564197"/>
    <w:rsid w:val="005642EE"/>
    <w:rsid w:val="00564A13"/>
    <w:rsid w:val="00564FE1"/>
    <w:rsid w:val="00565272"/>
    <w:rsid w:val="005654BF"/>
    <w:rsid w:val="005657BF"/>
    <w:rsid w:val="005658D7"/>
    <w:rsid w:val="00566293"/>
    <w:rsid w:val="00566380"/>
    <w:rsid w:val="00567AC1"/>
    <w:rsid w:val="005706A6"/>
    <w:rsid w:val="00570DE4"/>
    <w:rsid w:val="00571B05"/>
    <w:rsid w:val="00571CF7"/>
    <w:rsid w:val="00572464"/>
    <w:rsid w:val="0057264D"/>
    <w:rsid w:val="00573DD7"/>
    <w:rsid w:val="00575DC1"/>
    <w:rsid w:val="0057637C"/>
    <w:rsid w:val="00577831"/>
    <w:rsid w:val="005829A1"/>
    <w:rsid w:val="00582BEA"/>
    <w:rsid w:val="0058383A"/>
    <w:rsid w:val="00584973"/>
    <w:rsid w:val="00585DA1"/>
    <w:rsid w:val="0058647C"/>
    <w:rsid w:val="005905CD"/>
    <w:rsid w:val="005908F9"/>
    <w:rsid w:val="00591337"/>
    <w:rsid w:val="00591DC0"/>
    <w:rsid w:val="00594AB5"/>
    <w:rsid w:val="0059731A"/>
    <w:rsid w:val="005A0752"/>
    <w:rsid w:val="005A2A03"/>
    <w:rsid w:val="005A4280"/>
    <w:rsid w:val="005B16C7"/>
    <w:rsid w:val="005B1778"/>
    <w:rsid w:val="005B2A4E"/>
    <w:rsid w:val="005B3378"/>
    <w:rsid w:val="005B5AE9"/>
    <w:rsid w:val="005B613B"/>
    <w:rsid w:val="005C02FC"/>
    <w:rsid w:val="005C0D6F"/>
    <w:rsid w:val="005C2967"/>
    <w:rsid w:val="005C4467"/>
    <w:rsid w:val="005C49FC"/>
    <w:rsid w:val="005C5106"/>
    <w:rsid w:val="005C5C35"/>
    <w:rsid w:val="005C7FD5"/>
    <w:rsid w:val="005D02E2"/>
    <w:rsid w:val="005D2E6C"/>
    <w:rsid w:val="005D32F3"/>
    <w:rsid w:val="005D4C95"/>
    <w:rsid w:val="005D6ACC"/>
    <w:rsid w:val="005D6B49"/>
    <w:rsid w:val="005D6FF0"/>
    <w:rsid w:val="005E01CD"/>
    <w:rsid w:val="005E0C85"/>
    <w:rsid w:val="005E32C0"/>
    <w:rsid w:val="005E358F"/>
    <w:rsid w:val="005E3955"/>
    <w:rsid w:val="005E463A"/>
    <w:rsid w:val="005E5CE6"/>
    <w:rsid w:val="005E6078"/>
    <w:rsid w:val="005F15D4"/>
    <w:rsid w:val="005F4583"/>
    <w:rsid w:val="005F4ADC"/>
    <w:rsid w:val="005F529D"/>
    <w:rsid w:val="005F68C6"/>
    <w:rsid w:val="005F6944"/>
    <w:rsid w:val="005F699B"/>
    <w:rsid w:val="0060045A"/>
    <w:rsid w:val="00600BE6"/>
    <w:rsid w:val="00600F5B"/>
    <w:rsid w:val="00601464"/>
    <w:rsid w:val="006022C8"/>
    <w:rsid w:val="0060296C"/>
    <w:rsid w:val="006067DB"/>
    <w:rsid w:val="00607500"/>
    <w:rsid w:val="00610CC4"/>
    <w:rsid w:val="006143AA"/>
    <w:rsid w:val="0061466C"/>
    <w:rsid w:val="00615448"/>
    <w:rsid w:val="00615FD8"/>
    <w:rsid w:val="0061634B"/>
    <w:rsid w:val="00616E1B"/>
    <w:rsid w:val="00616F62"/>
    <w:rsid w:val="00617227"/>
    <w:rsid w:val="006245DF"/>
    <w:rsid w:val="00625A60"/>
    <w:rsid w:val="00625BE9"/>
    <w:rsid w:val="006321FC"/>
    <w:rsid w:val="006339ED"/>
    <w:rsid w:val="00633D8F"/>
    <w:rsid w:val="00634790"/>
    <w:rsid w:val="0063537A"/>
    <w:rsid w:val="00635988"/>
    <w:rsid w:val="006378D5"/>
    <w:rsid w:val="00637915"/>
    <w:rsid w:val="006379E1"/>
    <w:rsid w:val="0064186B"/>
    <w:rsid w:val="006466ED"/>
    <w:rsid w:val="0065109D"/>
    <w:rsid w:val="0065368A"/>
    <w:rsid w:val="00653CE4"/>
    <w:rsid w:val="00656CFD"/>
    <w:rsid w:val="00660941"/>
    <w:rsid w:val="0066162D"/>
    <w:rsid w:val="00662455"/>
    <w:rsid w:val="006636C6"/>
    <w:rsid w:val="00663A4A"/>
    <w:rsid w:val="00664440"/>
    <w:rsid w:val="006652C5"/>
    <w:rsid w:val="0066558D"/>
    <w:rsid w:val="00667038"/>
    <w:rsid w:val="006708BF"/>
    <w:rsid w:val="0067254E"/>
    <w:rsid w:val="0067393E"/>
    <w:rsid w:val="0067406B"/>
    <w:rsid w:val="00675E9E"/>
    <w:rsid w:val="00677335"/>
    <w:rsid w:val="00680997"/>
    <w:rsid w:val="00681071"/>
    <w:rsid w:val="00682399"/>
    <w:rsid w:val="006832F2"/>
    <w:rsid w:val="00683B84"/>
    <w:rsid w:val="00684341"/>
    <w:rsid w:val="00685962"/>
    <w:rsid w:val="00687380"/>
    <w:rsid w:val="00687A62"/>
    <w:rsid w:val="00690D5F"/>
    <w:rsid w:val="00690D7F"/>
    <w:rsid w:val="00690E77"/>
    <w:rsid w:val="00691AFB"/>
    <w:rsid w:val="0069227C"/>
    <w:rsid w:val="00692FC5"/>
    <w:rsid w:val="006936BB"/>
    <w:rsid w:val="00696EB1"/>
    <w:rsid w:val="006A106C"/>
    <w:rsid w:val="006A1DA2"/>
    <w:rsid w:val="006A2111"/>
    <w:rsid w:val="006A40FA"/>
    <w:rsid w:val="006A5458"/>
    <w:rsid w:val="006A6A03"/>
    <w:rsid w:val="006B0F3E"/>
    <w:rsid w:val="006B33AE"/>
    <w:rsid w:val="006B3AE2"/>
    <w:rsid w:val="006B5478"/>
    <w:rsid w:val="006B62BF"/>
    <w:rsid w:val="006B78B4"/>
    <w:rsid w:val="006B7C24"/>
    <w:rsid w:val="006C19CC"/>
    <w:rsid w:val="006C24BE"/>
    <w:rsid w:val="006C3256"/>
    <w:rsid w:val="006C358A"/>
    <w:rsid w:val="006C4CA4"/>
    <w:rsid w:val="006D1636"/>
    <w:rsid w:val="006D2BFE"/>
    <w:rsid w:val="006D42B3"/>
    <w:rsid w:val="006D6498"/>
    <w:rsid w:val="006E0270"/>
    <w:rsid w:val="006E05D9"/>
    <w:rsid w:val="006E1FB9"/>
    <w:rsid w:val="006E3E64"/>
    <w:rsid w:val="006E4DBC"/>
    <w:rsid w:val="006E5F94"/>
    <w:rsid w:val="006F33FD"/>
    <w:rsid w:val="006F3451"/>
    <w:rsid w:val="006F4200"/>
    <w:rsid w:val="006F5737"/>
    <w:rsid w:val="006F5A86"/>
    <w:rsid w:val="006F72A3"/>
    <w:rsid w:val="0070106A"/>
    <w:rsid w:val="00701F77"/>
    <w:rsid w:val="00702280"/>
    <w:rsid w:val="0070377E"/>
    <w:rsid w:val="00703E03"/>
    <w:rsid w:val="007059C5"/>
    <w:rsid w:val="00705A92"/>
    <w:rsid w:val="00705CDD"/>
    <w:rsid w:val="00705CFF"/>
    <w:rsid w:val="00705F60"/>
    <w:rsid w:val="007065AF"/>
    <w:rsid w:val="00706CB9"/>
    <w:rsid w:val="00707E7F"/>
    <w:rsid w:val="00710D24"/>
    <w:rsid w:val="00711D87"/>
    <w:rsid w:val="00713B2F"/>
    <w:rsid w:val="007140ED"/>
    <w:rsid w:val="007148D6"/>
    <w:rsid w:val="00716D18"/>
    <w:rsid w:val="00720143"/>
    <w:rsid w:val="0072138F"/>
    <w:rsid w:val="007224ED"/>
    <w:rsid w:val="00722814"/>
    <w:rsid w:val="007233CB"/>
    <w:rsid w:val="00725B15"/>
    <w:rsid w:val="007300DF"/>
    <w:rsid w:val="00730D21"/>
    <w:rsid w:val="00731330"/>
    <w:rsid w:val="00731909"/>
    <w:rsid w:val="007319F9"/>
    <w:rsid w:val="00735967"/>
    <w:rsid w:val="0073749D"/>
    <w:rsid w:val="00741433"/>
    <w:rsid w:val="00744832"/>
    <w:rsid w:val="007453B2"/>
    <w:rsid w:val="00745C2D"/>
    <w:rsid w:val="00747324"/>
    <w:rsid w:val="00750AB1"/>
    <w:rsid w:val="00751FF5"/>
    <w:rsid w:val="007537A9"/>
    <w:rsid w:val="00753912"/>
    <w:rsid w:val="00753B44"/>
    <w:rsid w:val="00753C53"/>
    <w:rsid w:val="007540E0"/>
    <w:rsid w:val="007545E4"/>
    <w:rsid w:val="00756C41"/>
    <w:rsid w:val="00756C8C"/>
    <w:rsid w:val="0076022F"/>
    <w:rsid w:val="00761309"/>
    <w:rsid w:val="00762A34"/>
    <w:rsid w:val="0076400A"/>
    <w:rsid w:val="00764BF3"/>
    <w:rsid w:val="00766A86"/>
    <w:rsid w:val="00766BD0"/>
    <w:rsid w:val="00767652"/>
    <w:rsid w:val="007707ED"/>
    <w:rsid w:val="00770C22"/>
    <w:rsid w:val="007713A4"/>
    <w:rsid w:val="00772E91"/>
    <w:rsid w:val="00774AF3"/>
    <w:rsid w:val="00775252"/>
    <w:rsid w:val="007766B4"/>
    <w:rsid w:val="00776C0A"/>
    <w:rsid w:val="0077716B"/>
    <w:rsid w:val="00782E1D"/>
    <w:rsid w:val="007853CA"/>
    <w:rsid w:val="00786360"/>
    <w:rsid w:val="0078650B"/>
    <w:rsid w:val="007905EC"/>
    <w:rsid w:val="0079092E"/>
    <w:rsid w:val="00790E5C"/>
    <w:rsid w:val="0079183E"/>
    <w:rsid w:val="00793C81"/>
    <w:rsid w:val="00795E77"/>
    <w:rsid w:val="00796314"/>
    <w:rsid w:val="0079790D"/>
    <w:rsid w:val="007A2DB6"/>
    <w:rsid w:val="007A3169"/>
    <w:rsid w:val="007A32FF"/>
    <w:rsid w:val="007A34E3"/>
    <w:rsid w:val="007A386A"/>
    <w:rsid w:val="007A4618"/>
    <w:rsid w:val="007A563F"/>
    <w:rsid w:val="007A59C0"/>
    <w:rsid w:val="007A7851"/>
    <w:rsid w:val="007B01E1"/>
    <w:rsid w:val="007B19C3"/>
    <w:rsid w:val="007B20F1"/>
    <w:rsid w:val="007B2CB9"/>
    <w:rsid w:val="007B2EFA"/>
    <w:rsid w:val="007B57CF"/>
    <w:rsid w:val="007B7716"/>
    <w:rsid w:val="007C18D9"/>
    <w:rsid w:val="007C24FB"/>
    <w:rsid w:val="007C27F7"/>
    <w:rsid w:val="007C3740"/>
    <w:rsid w:val="007C49D8"/>
    <w:rsid w:val="007C684B"/>
    <w:rsid w:val="007D0DB5"/>
    <w:rsid w:val="007D1DC4"/>
    <w:rsid w:val="007D2119"/>
    <w:rsid w:val="007D418A"/>
    <w:rsid w:val="007D4304"/>
    <w:rsid w:val="007D470B"/>
    <w:rsid w:val="007D4812"/>
    <w:rsid w:val="007D56D4"/>
    <w:rsid w:val="007D667D"/>
    <w:rsid w:val="007D75AB"/>
    <w:rsid w:val="007E1D47"/>
    <w:rsid w:val="007E37DE"/>
    <w:rsid w:val="007E3B4C"/>
    <w:rsid w:val="007E5CD7"/>
    <w:rsid w:val="007E6565"/>
    <w:rsid w:val="007F2187"/>
    <w:rsid w:val="007F2C4C"/>
    <w:rsid w:val="007F31AB"/>
    <w:rsid w:val="007F3B86"/>
    <w:rsid w:val="007F4AE1"/>
    <w:rsid w:val="007F57B6"/>
    <w:rsid w:val="0080036D"/>
    <w:rsid w:val="00800736"/>
    <w:rsid w:val="008007E7"/>
    <w:rsid w:val="00800CD8"/>
    <w:rsid w:val="008013FB"/>
    <w:rsid w:val="00801AB0"/>
    <w:rsid w:val="00801F7B"/>
    <w:rsid w:val="008024A9"/>
    <w:rsid w:val="0080362A"/>
    <w:rsid w:val="00805995"/>
    <w:rsid w:val="008074B6"/>
    <w:rsid w:val="0081036F"/>
    <w:rsid w:val="008113E0"/>
    <w:rsid w:val="00812528"/>
    <w:rsid w:val="00813331"/>
    <w:rsid w:val="00814A63"/>
    <w:rsid w:val="0081668D"/>
    <w:rsid w:val="008175FE"/>
    <w:rsid w:val="008202DE"/>
    <w:rsid w:val="008210CB"/>
    <w:rsid w:val="00823F98"/>
    <w:rsid w:val="00826124"/>
    <w:rsid w:val="00826BA7"/>
    <w:rsid w:val="00830962"/>
    <w:rsid w:val="00831274"/>
    <w:rsid w:val="00831BE8"/>
    <w:rsid w:val="008321C0"/>
    <w:rsid w:val="008321D7"/>
    <w:rsid w:val="0083370B"/>
    <w:rsid w:val="00836DDE"/>
    <w:rsid w:val="00836E97"/>
    <w:rsid w:val="008453F3"/>
    <w:rsid w:val="008514C1"/>
    <w:rsid w:val="00851683"/>
    <w:rsid w:val="00851DE0"/>
    <w:rsid w:val="0085217F"/>
    <w:rsid w:val="0085258E"/>
    <w:rsid w:val="00853A6C"/>
    <w:rsid w:val="00853D0D"/>
    <w:rsid w:val="00855A9D"/>
    <w:rsid w:val="00856132"/>
    <w:rsid w:val="00857675"/>
    <w:rsid w:val="008576C5"/>
    <w:rsid w:val="00860966"/>
    <w:rsid w:val="008626C2"/>
    <w:rsid w:val="008714A0"/>
    <w:rsid w:val="00871AE7"/>
    <w:rsid w:val="00871FCF"/>
    <w:rsid w:val="00873F1C"/>
    <w:rsid w:val="00876C2F"/>
    <w:rsid w:val="00876D5E"/>
    <w:rsid w:val="00880861"/>
    <w:rsid w:val="0088260D"/>
    <w:rsid w:val="0088348A"/>
    <w:rsid w:val="00883B9D"/>
    <w:rsid w:val="0088457E"/>
    <w:rsid w:val="00885097"/>
    <w:rsid w:val="008854E8"/>
    <w:rsid w:val="008870B6"/>
    <w:rsid w:val="00887BF3"/>
    <w:rsid w:val="0089242D"/>
    <w:rsid w:val="00892B83"/>
    <w:rsid w:val="008931E0"/>
    <w:rsid w:val="00893831"/>
    <w:rsid w:val="00893937"/>
    <w:rsid w:val="00894F2D"/>
    <w:rsid w:val="0089536A"/>
    <w:rsid w:val="008954F8"/>
    <w:rsid w:val="00897891"/>
    <w:rsid w:val="008978EE"/>
    <w:rsid w:val="008A045A"/>
    <w:rsid w:val="008A0695"/>
    <w:rsid w:val="008A1030"/>
    <w:rsid w:val="008A18E6"/>
    <w:rsid w:val="008A1BD6"/>
    <w:rsid w:val="008A35A7"/>
    <w:rsid w:val="008A3C86"/>
    <w:rsid w:val="008A507F"/>
    <w:rsid w:val="008A6970"/>
    <w:rsid w:val="008B137C"/>
    <w:rsid w:val="008B192C"/>
    <w:rsid w:val="008B327B"/>
    <w:rsid w:val="008B3431"/>
    <w:rsid w:val="008B40CF"/>
    <w:rsid w:val="008B48B4"/>
    <w:rsid w:val="008B4E45"/>
    <w:rsid w:val="008B7E31"/>
    <w:rsid w:val="008C28AC"/>
    <w:rsid w:val="008C31F5"/>
    <w:rsid w:val="008C4071"/>
    <w:rsid w:val="008C54BD"/>
    <w:rsid w:val="008C6492"/>
    <w:rsid w:val="008C6571"/>
    <w:rsid w:val="008D0AB6"/>
    <w:rsid w:val="008D0ACC"/>
    <w:rsid w:val="008D0ADA"/>
    <w:rsid w:val="008D1F96"/>
    <w:rsid w:val="008D2327"/>
    <w:rsid w:val="008D61B3"/>
    <w:rsid w:val="008E0464"/>
    <w:rsid w:val="008E10CA"/>
    <w:rsid w:val="008E431D"/>
    <w:rsid w:val="008E5C00"/>
    <w:rsid w:val="008E63E8"/>
    <w:rsid w:val="008E6587"/>
    <w:rsid w:val="008E6CF7"/>
    <w:rsid w:val="008E754A"/>
    <w:rsid w:val="008E78C0"/>
    <w:rsid w:val="008E7932"/>
    <w:rsid w:val="008F00A7"/>
    <w:rsid w:val="008F2BFC"/>
    <w:rsid w:val="00900F6B"/>
    <w:rsid w:val="00903EFF"/>
    <w:rsid w:val="00904483"/>
    <w:rsid w:val="00904B57"/>
    <w:rsid w:val="00905615"/>
    <w:rsid w:val="009056F7"/>
    <w:rsid w:val="00905EDF"/>
    <w:rsid w:val="00905F62"/>
    <w:rsid w:val="0090639C"/>
    <w:rsid w:val="00906C9E"/>
    <w:rsid w:val="00906DE9"/>
    <w:rsid w:val="00906E5A"/>
    <w:rsid w:val="009105D6"/>
    <w:rsid w:val="00911730"/>
    <w:rsid w:val="009148B2"/>
    <w:rsid w:val="00917EB8"/>
    <w:rsid w:val="00927A0E"/>
    <w:rsid w:val="00927B32"/>
    <w:rsid w:val="00930ADA"/>
    <w:rsid w:val="00930F3F"/>
    <w:rsid w:val="00932E29"/>
    <w:rsid w:val="00933041"/>
    <w:rsid w:val="00933218"/>
    <w:rsid w:val="00933261"/>
    <w:rsid w:val="00936067"/>
    <w:rsid w:val="00936F90"/>
    <w:rsid w:val="00941E5B"/>
    <w:rsid w:val="00943B67"/>
    <w:rsid w:val="00943F8A"/>
    <w:rsid w:val="00950209"/>
    <w:rsid w:val="00950660"/>
    <w:rsid w:val="009508F1"/>
    <w:rsid w:val="00953043"/>
    <w:rsid w:val="00954660"/>
    <w:rsid w:val="009547F5"/>
    <w:rsid w:val="009554E2"/>
    <w:rsid w:val="00955BCC"/>
    <w:rsid w:val="00957049"/>
    <w:rsid w:val="009609B3"/>
    <w:rsid w:val="009609E1"/>
    <w:rsid w:val="00961062"/>
    <w:rsid w:val="009613E9"/>
    <w:rsid w:val="00961DF6"/>
    <w:rsid w:val="009635F6"/>
    <w:rsid w:val="00963C74"/>
    <w:rsid w:val="00963E15"/>
    <w:rsid w:val="009661FB"/>
    <w:rsid w:val="009669EB"/>
    <w:rsid w:val="00967A9F"/>
    <w:rsid w:val="009710AE"/>
    <w:rsid w:val="00971120"/>
    <w:rsid w:val="0097143F"/>
    <w:rsid w:val="00972197"/>
    <w:rsid w:val="0097421A"/>
    <w:rsid w:val="00974EE1"/>
    <w:rsid w:val="00975471"/>
    <w:rsid w:val="00977041"/>
    <w:rsid w:val="009804E7"/>
    <w:rsid w:val="00981337"/>
    <w:rsid w:val="00982F70"/>
    <w:rsid w:val="009833E5"/>
    <w:rsid w:val="009834C4"/>
    <w:rsid w:val="009863D8"/>
    <w:rsid w:val="00990B83"/>
    <w:rsid w:val="00991447"/>
    <w:rsid w:val="00992F3E"/>
    <w:rsid w:val="0099591F"/>
    <w:rsid w:val="00995B66"/>
    <w:rsid w:val="00996D98"/>
    <w:rsid w:val="0099741A"/>
    <w:rsid w:val="009A0B40"/>
    <w:rsid w:val="009A141D"/>
    <w:rsid w:val="009A1FB9"/>
    <w:rsid w:val="009A26F4"/>
    <w:rsid w:val="009A4232"/>
    <w:rsid w:val="009A54EB"/>
    <w:rsid w:val="009A57EB"/>
    <w:rsid w:val="009A78A0"/>
    <w:rsid w:val="009B086D"/>
    <w:rsid w:val="009B1EFD"/>
    <w:rsid w:val="009B2A76"/>
    <w:rsid w:val="009B389D"/>
    <w:rsid w:val="009B41B7"/>
    <w:rsid w:val="009B6715"/>
    <w:rsid w:val="009B710B"/>
    <w:rsid w:val="009B76A8"/>
    <w:rsid w:val="009C042E"/>
    <w:rsid w:val="009C0D83"/>
    <w:rsid w:val="009C1B32"/>
    <w:rsid w:val="009C2415"/>
    <w:rsid w:val="009C4B01"/>
    <w:rsid w:val="009C67E9"/>
    <w:rsid w:val="009C790C"/>
    <w:rsid w:val="009D1D34"/>
    <w:rsid w:val="009D31F7"/>
    <w:rsid w:val="009D32CF"/>
    <w:rsid w:val="009D3368"/>
    <w:rsid w:val="009E28DF"/>
    <w:rsid w:val="009E2B2F"/>
    <w:rsid w:val="009E5F4A"/>
    <w:rsid w:val="009E6037"/>
    <w:rsid w:val="009E6950"/>
    <w:rsid w:val="009F22E0"/>
    <w:rsid w:val="009F230E"/>
    <w:rsid w:val="009F2803"/>
    <w:rsid w:val="009F32A2"/>
    <w:rsid w:val="009F4284"/>
    <w:rsid w:val="009F479D"/>
    <w:rsid w:val="009F5AA6"/>
    <w:rsid w:val="009F5BBF"/>
    <w:rsid w:val="009F749B"/>
    <w:rsid w:val="00A00899"/>
    <w:rsid w:val="00A008B8"/>
    <w:rsid w:val="00A020C1"/>
    <w:rsid w:val="00A020CA"/>
    <w:rsid w:val="00A02BBB"/>
    <w:rsid w:val="00A03309"/>
    <w:rsid w:val="00A04519"/>
    <w:rsid w:val="00A06A94"/>
    <w:rsid w:val="00A07B59"/>
    <w:rsid w:val="00A10047"/>
    <w:rsid w:val="00A11391"/>
    <w:rsid w:val="00A132A6"/>
    <w:rsid w:val="00A13FA8"/>
    <w:rsid w:val="00A14B8A"/>
    <w:rsid w:val="00A152F0"/>
    <w:rsid w:val="00A16E64"/>
    <w:rsid w:val="00A172A5"/>
    <w:rsid w:val="00A20C5E"/>
    <w:rsid w:val="00A23C6C"/>
    <w:rsid w:val="00A27A17"/>
    <w:rsid w:val="00A346E5"/>
    <w:rsid w:val="00A35E16"/>
    <w:rsid w:val="00A36411"/>
    <w:rsid w:val="00A36A19"/>
    <w:rsid w:val="00A37A56"/>
    <w:rsid w:val="00A409F9"/>
    <w:rsid w:val="00A40C68"/>
    <w:rsid w:val="00A40D38"/>
    <w:rsid w:val="00A4203F"/>
    <w:rsid w:val="00A42608"/>
    <w:rsid w:val="00A43FF3"/>
    <w:rsid w:val="00A46E25"/>
    <w:rsid w:val="00A472EC"/>
    <w:rsid w:val="00A47DF5"/>
    <w:rsid w:val="00A518C5"/>
    <w:rsid w:val="00A5310E"/>
    <w:rsid w:val="00A53FEB"/>
    <w:rsid w:val="00A55993"/>
    <w:rsid w:val="00A55FB7"/>
    <w:rsid w:val="00A56F5E"/>
    <w:rsid w:val="00A617D0"/>
    <w:rsid w:val="00A61947"/>
    <w:rsid w:val="00A61B38"/>
    <w:rsid w:val="00A63ECD"/>
    <w:rsid w:val="00A65FC1"/>
    <w:rsid w:val="00A67737"/>
    <w:rsid w:val="00A70086"/>
    <w:rsid w:val="00A71042"/>
    <w:rsid w:val="00A71293"/>
    <w:rsid w:val="00A715F0"/>
    <w:rsid w:val="00A7174A"/>
    <w:rsid w:val="00A71796"/>
    <w:rsid w:val="00A724F9"/>
    <w:rsid w:val="00A727C8"/>
    <w:rsid w:val="00A740F5"/>
    <w:rsid w:val="00A747AF"/>
    <w:rsid w:val="00A74AB7"/>
    <w:rsid w:val="00A75B4F"/>
    <w:rsid w:val="00A770A4"/>
    <w:rsid w:val="00A77658"/>
    <w:rsid w:val="00A776E4"/>
    <w:rsid w:val="00A77AE3"/>
    <w:rsid w:val="00A80CBB"/>
    <w:rsid w:val="00A8190D"/>
    <w:rsid w:val="00A83F24"/>
    <w:rsid w:val="00A86354"/>
    <w:rsid w:val="00A867F0"/>
    <w:rsid w:val="00A876C9"/>
    <w:rsid w:val="00A97A1E"/>
    <w:rsid w:val="00AA38CD"/>
    <w:rsid w:val="00AA447D"/>
    <w:rsid w:val="00AA7D4C"/>
    <w:rsid w:val="00AB00B0"/>
    <w:rsid w:val="00AB0696"/>
    <w:rsid w:val="00AB0C10"/>
    <w:rsid w:val="00AB0F01"/>
    <w:rsid w:val="00AB1A24"/>
    <w:rsid w:val="00AB2237"/>
    <w:rsid w:val="00AB35FD"/>
    <w:rsid w:val="00AB437F"/>
    <w:rsid w:val="00AB5AD7"/>
    <w:rsid w:val="00AB6BE7"/>
    <w:rsid w:val="00AC1441"/>
    <w:rsid w:val="00AC2AFD"/>
    <w:rsid w:val="00AC327A"/>
    <w:rsid w:val="00AC3C2C"/>
    <w:rsid w:val="00AC3CB5"/>
    <w:rsid w:val="00AC56C6"/>
    <w:rsid w:val="00AC5DDD"/>
    <w:rsid w:val="00AC721A"/>
    <w:rsid w:val="00AD120E"/>
    <w:rsid w:val="00AD2206"/>
    <w:rsid w:val="00AD22B2"/>
    <w:rsid w:val="00AD2DA6"/>
    <w:rsid w:val="00AD32B9"/>
    <w:rsid w:val="00AD6540"/>
    <w:rsid w:val="00AD6E77"/>
    <w:rsid w:val="00AD7078"/>
    <w:rsid w:val="00AD7493"/>
    <w:rsid w:val="00AD7A27"/>
    <w:rsid w:val="00AE00C8"/>
    <w:rsid w:val="00AE2D73"/>
    <w:rsid w:val="00AE385C"/>
    <w:rsid w:val="00AE3A7E"/>
    <w:rsid w:val="00AE52C5"/>
    <w:rsid w:val="00AE6C9D"/>
    <w:rsid w:val="00AF0132"/>
    <w:rsid w:val="00AF16E2"/>
    <w:rsid w:val="00AF2A7E"/>
    <w:rsid w:val="00AF3236"/>
    <w:rsid w:val="00AF3E96"/>
    <w:rsid w:val="00AF4876"/>
    <w:rsid w:val="00AF62E9"/>
    <w:rsid w:val="00AF684F"/>
    <w:rsid w:val="00B019B7"/>
    <w:rsid w:val="00B02455"/>
    <w:rsid w:val="00B02EEF"/>
    <w:rsid w:val="00B04164"/>
    <w:rsid w:val="00B047DB"/>
    <w:rsid w:val="00B05282"/>
    <w:rsid w:val="00B071A2"/>
    <w:rsid w:val="00B10B58"/>
    <w:rsid w:val="00B10CFD"/>
    <w:rsid w:val="00B12C1E"/>
    <w:rsid w:val="00B13A7A"/>
    <w:rsid w:val="00B15B4D"/>
    <w:rsid w:val="00B201F8"/>
    <w:rsid w:val="00B2486A"/>
    <w:rsid w:val="00B24A24"/>
    <w:rsid w:val="00B24CC8"/>
    <w:rsid w:val="00B24E7C"/>
    <w:rsid w:val="00B24EC9"/>
    <w:rsid w:val="00B27808"/>
    <w:rsid w:val="00B27F10"/>
    <w:rsid w:val="00B31845"/>
    <w:rsid w:val="00B31D47"/>
    <w:rsid w:val="00B346D4"/>
    <w:rsid w:val="00B36052"/>
    <w:rsid w:val="00B36864"/>
    <w:rsid w:val="00B40B2D"/>
    <w:rsid w:val="00B417A4"/>
    <w:rsid w:val="00B4191E"/>
    <w:rsid w:val="00B42ADB"/>
    <w:rsid w:val="00B43971"/>
    <w:rsid w:val="00B46EF5"/>
    <w:rsid w:val="00B50393"/>
    <w:rsid w:val="00B50889"/>
    <w:rsid w:val="00B515AF"/>
    <w:rsid w:val="00B5176C"/>
    <w:rsid w:val="00B5237F"/>
    <w:rsid w:val="00B52464"/>
    <w:rsid w:val="00B5350E"/>
    <w:rsid w:val="00B54C6F"/>
    <w:rsid w:val="00B560D0"/>
    <w:rsid w:val="00B56513"/>
    <w:rsid w:val="00B57049"/>
    <w:rsid w:val="00B57B73"/>
    <w:rsid w:val="00B628D0"/>
    <w:rsid w:val="00B63242"/>
    <w:rsid w:val="00B64A03"/>
    <w:rsid w:val="00B6596F"/>
    <w:rsid w:val="00B67CED"/>
    <w:rsid w:val="00B70A81"/>
    <w:rsid w:val="00B7197F"/>
    <w:rsid w:val="00B71E46"/>
    <w:rsid w:val="00B73044"/>
    <w:rsid w:val="00B74A88"/>
    <w:rsid w:val="00B81C2B"/>
    <w:rsid w:val="00B8259E"/>
    <w:rsid w:val="00B8398F"/>
    <w:rsid w:val="00B846F4"/>
    <w:rsid w:val="00B84811"/>
    <w:rsid w:val="00B8561E"/>
    <w:rsid w:val="00B86E3F"/>
    <w:rsid w:val="00B90AE0"/>
    <w:rsid w:val="00B9165C"/>
    <w:rsid w:val="00B92507"/>
    <w:rsid w:val="00B9443D"/>
    <w:rsid w:val="00B956DB"/>
    <w:rsid w:val="00B95CE1"/>
    <w:rsid w:val="00B96C2F"/>
    <w:rsid w:val="00B97D27"/>
    <w:rsid w:val="00BA2A83"/>
    <w:rsid w:val="00BA41F0"/>
    <w:rsid w:val="00BA6A04"/>
    <w:rsid w:val="00BB1C57"/>
    <w:rsid w:val="00BB25AC"/>
    <w:rsid w:val="00BB2B7F"/>
    <w:rsid w:val="00BB2F31"/>
    <w:rsid w:val="00BB38B7"/>
    <w:rsid w:val="00BB559B"/>
    <w:rsid w:val="00BB5E20"/>
    <w:rsid w:val="00BB6C62"/>
    <w:rsid w:val="00BC14A7"/>
    <w:rsid w:val="00BC1F7E"/>
    <w:rsid w:val="00BC39E7"/>
    <w:rsid w:val="00BC4B57"/>
    <w:rsid w:val="00BC616B"/>
    <w:rsid w:val="00BC62CD"/>
    <w:rsid w:val="00BD05EF"/>
    <w:rsid w:val="00BD1884"/>
    <w:rsid w:val="00BD18A7"/>
    <w:rsid w:val="00BD1A5E"/>
    <w:rsid w:val="00BD444C"/>
    <w:rsid w:val="00BD6D16"/>
    <w:rsid w:val="00BD6ED9"/>
    <w:rsid w:val="00BE00A4"/>
    <w:rsid w:val="00BE0ED6"/>
    <w:rsid w:val="00BE2CC4"/>
    <w:rsid w:val="00BE31C3"/>
    <w:rsid w:val="00BE351B"/>
    <w:rsid w:val="00BE3B8A"/>
    <w:rsid w:val="00BE5FCA"/>
    <w:rsid w:val="00BF196E"/>
    <w:rsid w:val="00BF1F4F"/>
    <w:rsid w:val="00BF3F74"/>
    <w:rsid w:val="00BF6597"/>
    <w:rsid w:val="00BF6A84"/>
    <w:rsid w:val="00BF6BCB"/>
    <w:rsid w:val="00BF7BD5"/>
    <w:rsid w:val="00C00F2C"/>
    <w:rsid w:val="00C01843"/>
    <w:rsid w:val="00C024D3"/>
    <w:rsid w:val="00C06339"/>
    <w:rsid w:val="00C077ED"/>
    <w:rsid w:val="00C103F2"/>
    <w:rsid w:val="00C115D2"/>
    <w:rsid w:val="00C117BA"/>
    <w:rsid w:val="00C14289"/>
    <w:rsid w:val="00C152E9"/>
    <w:rsid w:val="00C16F7D"/>
    <w:rsid w:val="00C209BC"/>
    <w:rsid w:val="00C21F52"/>
    <w:rsid w:val="00C257D3"/>
    <w:rsid w:val="00C270C2"/>
    <w:rsid w:val="00C27ECC"/>
    <w:rsid w:val="00C30BE0"/>
    <w:rsid w:val="00C315F1"/>
    <w:rsid w:val="00C31D28"/>
    <w:rsid w:val="00C32A07"/>
    <w:rsid w:val="00C3311D"/>
    <w:rsid w:val="00C33ABA"/>
    <w:rsid w:val="00C35F80"/>
    <w:rsid w:val="00C36371"/>
    <w:rsid w:val="00C367F6"/>
    <w:rsid w:val="00C426E5"/>
    <w:rsid w:val="00C438F5"/>
    <w:rsid w:val="00C445AA"/>
    <w:rsid w:val="00C46C66"/>
    <w:rsid w:val="00C46D1A"/>
    <w:rsid w:val="00C46E01"/>
    <w:rsid w:val="00C50DC5"/>
    <w:rsid w:val="00C5110B"/>
    <w:rsid w:val="00C512E5"/>
    <w:rsid w:val="00C53B53"/>
    <w:rsid w:val="00C557C4"/>
    <w:rsid w:val="00C567B3"/>
    <w:rsid w:val="00C5797B"/>
    <w:rsid w:val="00C57B30"/>
    <w:rsid w:val="00C57E15"/>
    <w:rsid w:val="00C606FF"/>
    <w:rsid w:val="00C635D5"/>
    <w:rsid w:val="00C64D42"/>
    <w:rsid w:val="00C65F2F"/>
    <w:rsid w:val="00C6686D"/>
    <w:rsid w:val="00C67130"/>
    <w:rsid w:val="00C7019F"/>
    <w:rsid w:val="00C70738"/>
    <w:rsid w:val="00C72019"/>
    <w:rsid w:val="00C739B5"/>
    <w:rsid w:val="00C76598"/>
    <w:rsid w:val="00C80621"/>
    <w:rsid w:val="00C808C3"/>
    <w:rsid w:val="00C81B21"/>
    <w:rsid w:val="00C821DB"/>
    <w:rsid w:val="00C85455"/>
    <w:rsid w:val="00C8585D"/>
    <w:rsid w:val="00C873E4"/>
    <w:rsid w:val="00C9174C"/>
    <w:rsid w:val="00C96FA9"/>
    <w:rsid w:val="00C971B9"/>
    <w:rsid w:val="00CA16A6"/>
    <w:rsid w:val="00CA2250"/>
    <w:rsid w:val="00CA50DE"/>
    <w:rsid w:val="00CA5358"/>
    <w:rsid w:val="00CA54D4"/>
    <w:rsid w:val="00CA5D73"/>
    <w:rsid w:val="00CA68E1"/>
    <w:rsid w:val="00CA7DB3"/>
    <w:rsid w:val="00CB1B01"/>
    <w:rsid w:val="00CB4C8D"/>
    <w:rsid w:val="00CB67B4"/>
    <w:rsid w:val="00CB6905"/>
    <w:rsid w:val="00CB7D6A"/>
    <w:rsid w:val="00CC0B1F"/>
    <w:rsid w:val="00CC2432"/>
    <w:rsid w:val="00CC2926"/>
    <w:rsid w:val="00CC3325"/>
    <w:rsid w:val="00CC35C2"/>
    <w:rsid w:val="00CC38FB"/>
    <w:rsid w:val="00CC3F8C"/>
    <w:rsid w:val="00CC4470"/>
    <w:rsid w:val="00CC627B"/>
    <w:rsid w:val="00CD0D80"/>
    <w:rsid w:val="00CD2DAD"/>
    <w:rsid w:val="00CD49D3"/>
    <w:rsid w:val="00CD4EB7"/>
    <w:rsid w:val="00CD50B8"/>
    <w:rsid w:val="00CD6716"/>
    <w:rsid w:val="00CD761F"/>
    <w:rsid w:val="00CE2CEE"/>
    <w:rsid w:val="00CE4488"/>
    <w:rsid w:val="00CE5653"/>
    <w:rsid w:val="00CE59C4"/>
    <w:rsid w:val="00CE5F69"/>
    <w:rsid w:val="00CF089E"/>
    <w:rsid w:val="00CF0EE6"/>
    <w:rsid w:val="00CF1D11"/>
    <w:rsid w:val="00CF1D1A"/>
    <w:rsid w:val="00CF2F59"/>
    <w:rsid w:val="00CF3D47"/>
    <w:rsid w:val="00CF44DA"/>
    <w:rsid w:val="00CF4DA1"/>
    <w:rsid w:val="00CF50BA"/>
    <w:rsid w:val="00CF5140"/>
    <w:rsid w:val="00CF5F7E"/>
    <w:rsid w:val="00CF674F"/>
    <w:rsid w:val="00CF6D05"/>
    <w:rsid w:val="00CF72B0"/>
    <w:rsid w:val="00D01687"/>
    <w:rsid w:val="00D01C18"/>
    <w:rsid w:val="00D021F6"/>
    <w:rsid w:val="00D03B3C"/>
    <w:rsid w:val="00D05BEE"/>
    <w:rsid w:val="00D07CD1"/>
    <w:rsid w:val="00D11044"/>
    <w:rsid w:val="00D11121"/>
    <w:rsid w:val="00D113A7"/>
    <w:rsid w:val="00D1225B"/>
    <w:rsid w:val="00D127B0"/>
    <w:rsid w:val="00D20339"/>
    <w:rsid w:val="00D20ED6"/>
    <w:rsid w:val="00D23335"/>
    <w:rsid w:val="00D255C0"/>
    <w:rsid w:val="00D265A0"/>
    <w:rsid w:val="00D27481"/>
    <w:rsid w:val="00D30372"/>
    <w:rsid w:val="00D3221B"/>
    <w:rsid w:val="00D33228"/>
    <w:rsid w:val="00D3369F"/>
    <w:rsid w:val="00D34913"/>
    <w:rsid w:val="00D34E5E"/>
    <w:rsid w:val="00D35958"/>
    <w:rsid w:val="00D35F44"/>
    <w:rsid w:val="00D40430"/>
    <w:rsid w:val="00D40CDF"/>
    <w:rsid w:val="00D4104F"/>
    <w:rsid w:val="00D41814"/>
    <w:rsid w:val="00D426BA"/>
    <w:rsid w:val="00D429DC"/>
    <w:rsid w:val="00D42E23"/>
    <w:rsid w:val="00D44B05"/>
    <w:rsid w:val="00D46C57"/>
    <w:rsid w:val="00D47F69"/>
    <w:rsid w:val="00D50E43"/>
    <w:rsid w:val="00D50F98"/>
    <w:rsid w:val="00D51CDD"/>
    <w:rsid w:val="00D521BF"/>
    <w:rsid w:val="00D525B6"/>
    <w:rsid w:val="00D52631"/>
    <w:rsid w:val="00D526D1"/>
    <w:rsid w:val="00D52E46"/>
    <w:rsid w:val="00D546D9"/>
    <w:rsid w:val="00D55343"/>
    <w:rsid w:val="00D55C0A"/>
    <w:rsid w:val="00D56D50"/>
    <w:rsid w:val="00D57383"/>
    <w:rsid w:val="00D578FE"/>
    <w:rsid w:val="00D57B0B"/>
    <w:rsid w:val="00D57BB9"/>
    <w:rsid w:val="00D6089A"/>
    <w:rsid w:val="00D611F1"/>
    <w:rsid w:val="00D61786"/>
    <w:rsid w:val="00D6344B"/>
    <w:rsid w:val="00D635F9"/>
    <w:rsid w:val="00D63B44"/>
    <w:rsid w:val="00D647F6"/>
    <w:rsid w:val="00D64BCF"/>
    <w:rsid w:val="00D65C64"/>
    <w:rsid w:val="00D66065"/>
    <w:rsid w:val="00D71B14"/>
    <w:rsid w:val="00D72D9A"/>
    <w:rsid w:val="00D74033"/>
    <w:rsid w:val="00D741DE"/>
    <w:rsid w:val="00D74BE2"/>
    <w:rsid w:val="00D74D14"/>
    <w:rsid w:val="00D74E70"/>
    <w:rsid w:val="00D75DF2"/>
    <w:rsid w:val="00D80A20"/>
    <w:rsid w:val="00D810C3"/>
    <w:rsid w:val="00D823F9"/>
    <w:rsid w:val="00D8354F"/>
    <w:rsid w:val="00D835F1"/>
    <w:rsid w:val="00D858BF"/>
    <w:rsid w:val="00D8614F"/>
    <w:rsid w:val="00D8753E"/>
    <w:rsid w:val="00D90086"/>
    <w:rsid w:val="00D91B34"/>
    <w:rsid w:val="00D9298C"/>
    <w:rsid w:val="00D9508E"/>
    <w:rsid w:val="00DA0651"/>
    <w:rsid w:val="00DA0B82"/>
    <w:rsid w:val="00DA1271"/>
    <w:rsid w:val="00DA16A9"/>
    <w:rsid w:val="00DA173D"/>
    <w:rsid w:val="00DA422E"/>
    <w:rsid w:val="00DA4634"/>
    <w:rsid w:val="00DA6703"/>
    <w:rsid w:val="00DA7B9A"/>
    <w:rsid w:val="00DB0C46"/>
    <w:rsid w:val="00DB3724"/>
    <w:rsid w:val="00DB3E12"/>
    <w:rsid w:val="00DB404E"/>
    <w:rsid w:val="00DB5E99"/>
    <w:rsid w:val="00DB6F39"/>
    <w:rsid w:val="00DC08C1"/>
    <w:rsid w:val="00DC1A92"/>
    <w:rsid w:val="00DC293E"/>
    <w:rsid w:val="00DC531B"/>
    <w:rsid w:val="00DC6407"/>
    <w:rsid w:val="00DC706D"/>
    <w:rsid w:val="00DD25DA"/>
    <w:rsid w:val="00DD4398"/>
    <w:rsid w:val="00DD497C"/>
    <w:rsid w:val="00DD6421"/>
    <w:rsid w:val="00DD6476"/>
    <w:rsid w:val="00DE0272"/>
    <w:rsid w:val="00DE14A3"/>
    <w:rsid w:val="00DE1DA6"/>
    <w:rsid w:val="00DE5437"/>
    <w:rsid w:val="00DE59AB"/>
    <w:rsid w:val="00DE5FCC"/>
    <w:rsid w:val="00DE71E7"/>
    <w:rsid w:val="00DE7959"/>
    <w:rsid w:val="00DE7C38"/>
    <w:rsid w:val="00DF18EE"/>
    <w:rsid w:val="00DF2147"/>
    <w:rsid w:val="00DF4C67"/>
    <w:rsid w:val="00DF6BCB"/>
    <w:rsid w:val="00DF7AD4"/>
    <w:rsid w:val="00E03927"/>
    <w:rsid w:val="00E03A60"/>
    <w:rsid w:val="00E04835"/>
    <w:rsid w:val="00E0646F"/>
    <w:rsid w:val="00E066E6"/>
    <w:rsid w:val="00E07214"/>
    <w:rsid w:val="00E07EA0"/>
    <w:rsid w:val="00E10B7B"/>
    <w:rsid w:val="00E11822"/>
    <w:rsid w:val="00E11890"/>
    <w:rsid w:val="00E12783"/>
    <w:rsid w:val="00E12ACC"/>
    <w:rsid w:val="00E13FF0"/>
    <w:rsid w:val="00E14944"/>
    <w:rsid w:val="00E159A7"/>
    <w:rsid w:val="00E15C5E"/>
    <w:rsid w:val="00E160DF"/>
    <w:rsid w:val="00E167B0"/>
    <w:rsid w:val="00E16CFB"/>
    <w:rsid w:val="00E1783B"/>
    <w:rsid w:val="00E17DF8"/>
    <w:rsid w:val="00E2017B"/>
    <w:rsid w:val="00E22224"/>
    <w:rsid w:val="00E22C81"/>
    <w:rsid w:val="00E24B5B"/>
    <w:rsid w:val="00E24BFE"/>
    <w:rsid w:val="00E24F82"/>
    <w:rsid w:val="00E255EA"/>
    <w:rsid w:val="00E25935"/>
    <w:rsid w:val="00E275DC"/>
    <w:rsid w:val="00E27A6B"/>
    <w:rsid w:val="00E352BB"/>
    <w:rsid w:val="00E36183"/>
    <w:rsid w:val="00E361B2"/>
    <w:rsid w:val="00E36554"/>
    <w:rsid w:val="00E3664A"/>
    <w:rsid w:val="00E36FB0"/>
    <w:rsid w:val="00E37FF7"/>
    <w:rsid w:val="00E408EB"/>
    <w:rsid w:val="00E41DEE"/>
    <w:rsid w:val="00E422F6"/>
    <w:rsid w:val="00E42EDF"/>
    <w:rsid w:val="00E43AAD"/>
    <w:rsid w:val="00E44EC5"/>
    <w:rsid w:val="00E45349"/>
    <w:rsid w:val="00E4711B"/>
    <w:rsid w:val="00E5038F"/>
    <w:rsid w:val="00E505AE"/>
    <w:rsid w:val="00E5115A"/>
    <w:rsid w:val="00E511EA"/>
    <w:rsid w:val="00E52B29"/>
    <w:rsid w:val="00E539CB"/>
    <w:rsid w:val="00E5436E"/>
    <w:rsid w:val="00E5477D"/>
    <w:rsid w:val="00E55319"/>
    <w:rsid w:val="00E57BC1"/>
    <w:rsid w:val="00E625B9"/>
    <w:rsid w:val="00E627C3"/>
    <w:rsid w:val="00E6292D"/>
    <w:rsid w:val="00E62B41"/>
    <w:rsid w:val="00E64561"/>
    <w:rsid w:val="00E64C08"/>
    <w:rsid w:val="00E64E66"/>
    <w:rsid w:val="00E65651"/>
    <w:rsid w:val="00E66D85"/>
    <w:rsid w:val="00E67825"/>
    <w:rsid w:val="00E67AF5"/>
    <w:rsid w:val="00E70507"/>
    <w:rsid w:val="00E71B51"/>
    <w:rsid w:val="00E7336F"/>
    <w:rsid w:val="00E75F39"/>
    <w:rsid w:val="00E77013"/>
    <w:rsid w:val="00E8038E"/>
    <w:rsid w:val="00E81D45"/>
    <w:rsid w:val="00E83BA2"/>
    <w:rsid w:val="00E85788"/>
    <w:rsid w:val="00E90527"/>
    <w:rsid w:val="00E914C3"/>
    <w:rsid w:val="00E918E0"/>
    <w:rsid w:val="00E93397"/>
    <w:rsid w:val="00E938F9"/>
    <w:rsid w:val="00E94255"/>
    <w:rsid w:val="00E94878"/>
    <w:rsid w:val="00E95DF5"/>
    <w:rsid w:val="00EA03C7"/>
    <w:rsid w:val="00EA216B"/>
    <w:rsid w:val="00EA344C"/>
    <w:rsid w:val="00EA499E"/>
    <w:rsid w:val="00EA54DA"/>
    <w:rsid w:val="00EA7600"/>
    <w:rsid w:val="00EB166B"/>
    <w:rsid w:val="00EB4494"/>
    <w:rsid w:val="00EB4F77"/>
    <w:rsid w:val="00EB525D"/>
    <w:rsid w:val="00EC0EB2"/>
    <w:rsid w:val="00EC3835"/>
    <w:rsid w:val="00EC47D9"/>
    <w:rsid w:val="00EC6061"/>
    <w:rsid w:val="00EC60C9"/>
    <w:rsid w:val="00EC64F3"/>
    <w:rsid w:val="00EC669C"/>
    <w:rsid w:val="00EC6A07"/>
    <w:rsid w:val="00EC7ED1"/>
    <w:rsid w:val="00ED0775"/>
    <w:rsid w:val="00ED1482"/>
    <w:rsid w:val="00ED3523"/>
    <w:rsid w:val="00ED3FCC"/>
    <w:rsid w:val="00ED483A"/>
    <w:rsid w:val="00ED5FB9"/>
    <w:rsid w:val="00ED67BC"/>
    <w:rsid w:val="00ED6BBB"/>
    <w:rsid w:val="00ED7123"/>
    <w:rsid w:val="00EE047F"/>
    <w:rsid w:val="00EE0524"/>
    <w:rsid w:val="00EE0DFC"/>
    <w:rsid w:val="00EE13CB"/>
    <w:rsid w:val="00EE1613"/>
    <w:rsid w:val="00EE22C6"/>
    <w:rsid w:val="00EE4289"/>
    <w:rsid w:val="00EE4EA3"/>
    <w:rsid w:val="00EE6662"/>
    <w:rsid w:val="00EE7882"/>
    <w:rsid w:val="00EE7D1A"/>
    <w:rsid w:val="00EF0512"/>
    <w:rsid w:val="00EF0CCA"/>
    <w:rsid w:val="00EF1505"/>
    <w:rsid w:val="00EF27CD"/>
    <w:rsid w:val="00EF2B03"/>
    <w:rsid w:val="00EF3688"/>
    <w:rsid w:val="00EF44CE"/>
    <w:rsid w:val="00EF44F1"/>
    <w:rsid w:val="00EF5225"/>
    <w:rsid w:val="00EF5C90"/>
    <w:rsid w:val="00EF6BB5"/>
    <w:rsid w:val="00EF76B0"/>
    <w:rsid w:val="00EF7C59"/>
    <w:rsid w:val="00F00A38"/>
    <w:rsid w:val="00F01E61"/>
    <w:rsid w:val="00F03429"/>
    <w:rsid w:val="00F03F35"/>
    <w:rsid w:val="00F05344"/>
    <w:rsid w:val="00F05A7D"/>
    <w:rsid w:val="00F0640D"/>
    <w:rsid w:val="00F10158"/>
    <w:rsid w:val="00F115FC"/>
    <w:rsid w:val="00F11DBB"/>
    <w:rsid w:val="00F14928"/>
    <w:rsid w:val="00F151B8"/>
    <w:rsid w:val="00F15C11"/>
    <w:rsid w:val="00F162E6"/>
    <w:rsid w:val="00F22DF2"/>
    <w:rsid w:val="00F235DA"/>
    <w:rsid w:val="00F2397B"/>
    <w:rsid w:val="00F243CD"/>
    <w:rsid w:val="00F25DDD"/>
    <w:rsid w:val="00F25F18"/>
    <w:rsid w:val="00F26E98"/>
    <w:rsid w:val="00F26FD3"/>
    <w:rsid w:val="00F278FC"/>
    <w:rsid w:val="00F3062B"/>
    <w:rsid w:val="00F324BB"/>
    <w:rsid w:val="00F33BC7"/>
    <w:rsid w:val="00F34380"/>
    <w:rsid w:val="00F350AB"/>
    <w:rsid w:val="00F37332"/>
    <w:rsid w:val="00F401FD"/>
    <w:rsid w:val="00F40215"/>
    <w:rsid w:val="00F40F16"/>
    <w:rsid w:val="00F4355D"/>
    <w:rsid w:val="00F43986"/>
    <w:rsid w:val="00F43F78"/>
    <w:rsid w:val="00F453B5"/>
    <w:rsid w:val="00F45C80"/>
    <w:rsid w:val="00F46E5A"/>
    <w:rsid w:val="00F47599"/>
    <w:rsid w:val="00F51781"/>
    <w:rsid w:val="00F52C1E"/>
    <w:rsid w:val="00F53CD9"/>
    <w:rsid w:val="00F56AD6"/>
    <w:rsid w:val="00F570BC"/>
    <w:rsid w:val="00F605DC"/>
    <w:rsid w:val="00F621D9"/>
    <w:rsid w:val="00F62762"/>
    <w:rsid w:val="00F62D13"/>
    <w:rsid w:val="00F657C5"/>
    <w:rsid w:val="00F672C4"/>
    <w:rsid w:val="00F67618"/>
    <w:rsid w:val="00F714A1"/>
    <w:rsid w:val="00F728E6"/>
    <w:rsid w:val="00F733BF"/>
    <w:rsid w:val="00F739C3"/>
    <w:rsid w:val="00F73AC0"/>
    <w:rsid w:val="00F75A42"/>
    <w:rsid w:val="00F75BAF"/>
    <w:rsid w:val="00F76367"/>
    <w:rsid w:val="00F76C02"/>
    <w:rsid w:val="00F8473E"/>
    <w:rsid w:val="00F85E5F"/>
    <w:rsid w:val="00F870D7"/>
    <w:rsid w:val="00F928B2"/>
    <w:rsid w:val="00F93E5B"/>
    <w:rsid w:val="00F97068"/>
    <w:rsid w:val="00F974C1"/>
    <w:rsid w:val="00FA0FBC"/>
    <w:rsid w:val="00FA1F29"/>
    <w:rsid w:val="00FA2148"/>
    <w:rsid w:val="00FA33F1"/>
    <w:rsid w:val="00FA587B"/>
    <w:rsid w:val="00FA60FF"/>
    <w:rsid w:val="00FB0F23"/>
    <w:rsid w:val="00FB3CCE"/>
    <w:rsid w:val="00FB46C5"/>
    <w:rsid w:val="00FB5E0C"/>
    <w:rsid w:val="00FB7992"/>
    <w:rsid w:val="00FC01AB"/>
    <w:rsid w:val="00FC088B"/>
    <w:rsid w:val="00FC0DD3"/>
    <w:rsid w:val="00FC1708"/>
    <w:rsid w:val="00FC3CAC"/>
    <w:rsid w:val="00FC4955"/>
    <w:rsid w:val="00FC7BAA"/>
    <w:rsid w:val="00FC7D1E"/>
    <w:rsid w:val="00FD04FA"/>
    <w:rsid w:val="00FD15F1"/>
    <w:rsid w:val="00FD5FDC"/>
    <w:rsid w:val="00FE3344"/>
    <w:rsid w:val="00FE375B"/>
    <w:rsid w:val="00FE4340"/>
    <w:rsid w:val="00FE4C35"/>
    <w:rsid w:val="00FE5634"/>
    <w:rsid w:val="00FE6524"/>
    <w:rsid w:val="00FE66D0"/>
    <w:rsid w:val="00FE6E03"/>
    <w:rsid w:val="00FE7171"/>
    <w:rsid w:val="00FE734C"/>
    <w:rsid w:val="00FE75DF"/>
    <w:rsid w:val="00FE7C52"/>
    <w:rsid w:val="00FF0091"/>
    <w:rsid w:val="00FF1A7F"/>
    <w:rsid w:val="00FF2647"/>
    <w:rsid w:val="00FF3687"/>
    <w:rsid w:val="00FF4213"/>
    <w:rsid w:val="00FF4BE3"/>
    <w:rsid w:val="00FF7B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29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44F1"/>
    <w:pPr>
      <w:widowControl w:val="0"/>
      <w:spacing w:before="120" w:after="120"/>
    </w:pPr>
    <w:rPr>
      <w:rFonts w:ascii="Calibri" w:hAnsi="Calibri"/>
    </w:rPr>
  </w:style>
  <w:style w:type="paragraph" w:styleId="Heading1">
    <w:name w:val="heading 1"/>
    <w:aliases w:val="1."/>
    <w:basedOn w:val="Normal"/>
    <w:next w:val="Normal"/>
    <w:link w:val="Heading1Char"/>
    <w:uiPriority w:val="9"/>
    <w:qFormat/>
    <w:rsid w:val="002611D2"/>
    <w:pPr>
      <w:keepNext/>
      <w:keepLines/>
      <w:spacing w:before="240" w:after="240"/>
      <w:ind w:left="1418" w:hanging="1418"/>
      <w:outlineLvl w:val="0"/>
    </w:pPr>
    <w:rPr>
      <w:rFonts w:asciiTheme="majorHAnsi" w:eastAsiaTheme="majorEastAsia" w:hAnsiTheme="majorHAnsi" w:cstheme="majorBidi"/>
      <w:bCs/>
      <w:color w:val="F79646" w:themeColor="accent6"/>
      <w:sz w:val="36"/>
      <w:szCs w:val="36"/>
    </w:rPr>
  </w:style>
  <w:style w:type="paragraph" w:styleId="Heading2">
    <w:name w:val="heading 2"/>
    <w:aliases w:val="1.1,heading 2body"/>
    <w:basedOn w:val="Normal"/>
    <w:next w:val="Normal"/>
    <w:link w:val="Heading2Char"/>
    <w:uiPriority w:val="9"/>
    <w:unhideWhenUsed/>
    <w:qFormat/>
    <w:rsid w:val="002611D2"/>
    <w:pPr>
      <w:keepNext/>
      <w:keepLines/>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Spacing"/>
    <w:next w:val="Normal"/>
    <w:link w:val="Heading3Char"/>
    <w:uiPriority w:val="9"/>
    <w:unhideWhenUsed/>
    <w:qFormat/>
    <w:rsid w:val="00585DA1"/>
    <w:pPr>
      <w:spacing w:before="120" w:after="120"/>
      <w:outlineLvl w:val="2"/>
    </w:pPr>
    <w:rPr>
      <w:rFonts w:asciiTheme="majorHAnsi" w:hAnsiTheme="majorHAnsi"/>
      <w:b/>
      <w:i/>
      <w:color w:val="9BBB59" w:themeColor="accent3"/>
      <w:sz w:val="22"/>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20C5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20C5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rsid w:val="002611D2"/>
    <w:rPr>
      <w:rFonts w:asciiTheme="majorHAnsi" w:eastAsiaTheme="majorEastAsia" w:hAnsiTheme="majorHAnsi" w:cstheme="majorBidi"/>
      <w:bCs/>
      <w:color w:val="F79646" w:themeColor="accent6"/>
      <w:sz w:val="36"/>
      <w:szCs w:val="36"/>
    </w:rPr>
  </w:style>
  <w:style w:type="paragraph" w:styleId="Subtitle">
    <w:name w:val="Subtitle"/>
    <w:basedOn w:val="Normal"/>
    <w:next w:val="Normal"/>
    <w:link w:val="SubtitleChar"/>
    <w:rsid w:val="00A20C5E"/>
    <w:pPr>
      <w:spacing w:line="1000" w:lineRule="exact"/>
      <w:jc w:val="right"/>
    </w:pPr>
    <w:rPr>
      <w:b/>
      <w:caps/>
      <w:color w:val="EEECE1" w:themeColor="background2"/>
      <w:sz w:val="70"/>
      <w:szCs w:val="70"/>
    </w:rPr>
  </w:style>
  <w:style w:type="character" w:customStyle="1" w:styleId="SubtitleChar">
    <w:name w:val="Subtitle Char"/>
    <w:basedOn w:val="DefaultParagraphFont"/>
    <w:link w:val="Subtitle"/>
    <w:rsid w:val="00A20C5E"/>
    <w:rPr>
      <w:b/>
      <w:caps/>
      <w:color w:val="EEECE1"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4273AF" w:themeColor="accent1" w:themeShade="E6"/>
        </w:tcBorders>
      </w:tcPr>
    </w:tblStylePr>
    <w:tblStylePr w:type="band2Horz">
      <w:tblPr/>
      <w:tcPr>
        <w:shd w:val="clear" w:color="auto" w:fill="4F81BD" w:themeFill="accent1"/>
      </w:tcPr>
    </w:tblStylePr>
  </w:style>
  <w:style w:type="paragraph" w:customStyle="1" w:styleId="TableText-Left">
    <w:name w:val="Table Text - Left"/>
    <w:basedOn w:val="Normal"/>
    <w:rsid w:val="00A20C5E"/>
    <w:pPr>
      <w:spacing w:before="50" w:after="50"/>
    </w:pPr>
    <w:rPr>
      <w:sz w:val="18"/>
      <w:szCs w:val="18"/>
    </w:rPr>
  </w:style>
  <w:style w:type="paragraph" w:customStyle="1" w:styleId="TableText-Decimal">
    <w:name w:val="Table Text - Decimal"/>
    <w:basedOn w:val="Normal"/>
    <w:rsid w:val="00A20C5E"/>
    <w:pPr>
      <w:tabs>
        <w:tab w:val="decimal" w:pos="714"/>
      </w:tabs>
      <w:spacing w:before="50" w:after="50"/>
    </w:pPr>
    <w:rPr>
      <w:sz w:val="18"/>
      <w:szCs w:val="18"/>
    </w:rPr>
  </w:style>
  <w:style w:type="paragraph" w:customStyle="1" w:styleId="TableText-Right">
    <w:name w:val="Table Text - Right"/>
    <w:basedOn w:val="Normal"/>
    <w:rsid w:val="00A20C5E"/>
    <w:pPr>
      <w:spacing w:before="50" w:after="50"/>
      <w:jc w:val="right"/>
    </w:pPr>
    <w:rPr>
      <w:sz w:val="18"/>
      <w:szCs w:val="18"/>
    </w:rPr>
  </w:style>
  <w:style w:type="paragraph" w:customStyle="1" w:styleId="TableHeading-Left">
    <w:name w:val="Table Heading - Left"/>
    <w:basedOn w:val="Normal"/>
    <w:rsid w:val="00A20C5E"/>
    <w:pPr>
      <w:spacing w:before="60" w:after="60"/>
    </w:pPr>
    <w:rPr>
      <w:color w:val="FFFFFF" w:themeColor="background1"/>
      <w:sz w:val="18"/>
      <w:szCs w:val="18"/>
    </w:rPr>
  </w:style>
  <w:style w:type="paragraph" w:customStyle="1" w:styleId="TableHeading-Center">
    <w:name w:val="Table Heading - Center"/>
    <w:basedOn w:val="Normal"/>
    <w:rsid w:val="00A20C5E"/>
    <w:pPr>
      <w:spacing w:before="60" w:after="60"/>
      <w:jc w:val="center"/>
    </w:pPr>
    <w:rPr>
      <w:color w:val="FFFFFF" w:themeColor="background1"/>
      <w:sz w:val="18"/>
      <w:szCs w:val="18"/>
    </w:rPr>
  </w:style>
  <w:style w:type="table" w:customStyle="1" w:styleId="HeaderTable">
    <w:name w:val="Header Table"/>
    <w:basedOn w:val="TableNormal"/>
    <w:rsid w:val="00A20C5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1F497D" w:themeFill="text2"/>
      </w:tcPr>
    </w:tblStylePr>
    <w:tblStylePr w:type="band1Horz">
      <w:tblPr/>
      <w:tcPr>
        <w:shd w:val="clear" w:color="auto" w:fill="EEECE1" w:themeFill="background2"/>
      </w:tcPr>
    </w:tblStylePr>
    <w:tblStylePr w:type="band2Horz">
      <w:tblPr/>
      <w:tcPr>
        <w:shd w:val="clear" w:color="auto" w:fill="4F81BD"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CellMar>
        <w:left w:w="0" w:type="dxa"/>
        <w:right w:w="0" w:type="dxa"/>
      </w:tblCellMar>
    </w:tblPr>
    <w:trPr>
      <w:jc w:val="center"/>
    </w:trPr>
    <w:tcPr>
      <w:shd w:val="clear" w:color="auto" w:fill="1F497D" w:themeFill="text2"/>
    </w:tcPr>
    <w:tblStylePr w:type="firstRow">
      <w:tblPr/>
      <w:tcPr>
        <w:shd w:val="clear" w:color="auto" w:fill="EEECE1" w:themeFill="background2"/>
      </w:tcPr>
    </w:tblStylePr>
    <w:tblStylePr w:type="lastRow">
      <w:tblPr/>
      <w:tcPr>
        <w:shd w:val="clear" w:color="auto" w:fill="595959" w:themeFill="text1" w:themeFillTint="A6"/>
      </w:tcPr>
    </w:tblStylePr>
    <w:tblStylePr w:type="band1Horz">
      <w:tblPr/>
      <w:tcPr>
        <w:shd w:val="clear" w:color="auto" w:fill="4F81BD"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EEECE1" w:themeColor="background2"/>
      <w:sz w:val="32"/>
      <w:szCs w:val="32"/>
    </w:rPr>
  </w:style>
  <w:style w:type="paragraph" w:styleId="Date">
    <w:name w:val="Date"/>
    <w:basedOn w:val="Normal"/>
    <w:next w:val="Normal"/>
    <w:link w:val="DateChar"/>
    <w:rsid w:val="00A20C5E"/>
    <w:pPr>
      <w:spacing w:line="1000" w:lineRule="exact"/>
      <w:jc w:val="right"/>
    </w:pPr>
    <w:rPr>
      <w:color w:val="4F81BD" w:themeColor="accent1"/>
    </w:rPr>
  </w:style>
  <w:style w:type="character" w:customStyle="1" w:styleId="DateChar">
    <w:name w:val="Date Char"/>
    <w:basedOn w:val="DefaultParagraphFont"/>
    <w:link w:val="Date"/>
    <w:rsid w:val="00A20C5E"/>
    <w:rPr>
      <w:color w:val="4F81BD" w:themeColor="accent1"/>
      <w:sz w:val="20"/>
    </w:rPr>
  </w:style>
  <w:style w:type="paragraph" w:customStyle="1" w:styleId="Header-Continued">
    <w:name w:val="Header - Continued"/>
    <w:basedOn w:val="Normal"/>
    <w:rsid w:val="00A20C5E"/>
    <w:pPr>
      <w:spacing w:after="60" w:line="400" w:lineRule="exact"/>
      <w:jc w:val="right"/>
    </w:pPr>
    <w:rPr>
      <w:b/>
      <w:caps/>
      <w:color w:val="4F81BD" w:themeColor="accent1"/>
      <w:sz w:val="40"/>
      <w:szCs w:val="24"/>
    </w:rPr>
  </w:style>
  <w:style w:type="paragraph" w:customStyle="1" w:styleId="Page">
    <w:name w:val="Page"/>
    <w:basedOn w:val="Normal"/>
    <w:rsid w:val="00A20C5E"/>
    <w:pPr>
      <w:spacing w:after="40"/>
      <w:ind w:right="144"/>
      <w:jc w:val="right"/>
    </w:pPr>
    <w:rPr>
      <w:b/>
      <w:color w:val="4F81BD" w:themeColor="accent1"/>
      <w:sz w:val="18"/>
      <w:szCs w:val="18"/>
    </w:rPr>
  </w:style>
  <w:style w:type="table" w:customStyle="1" w:styleId="CoverCenter">
    <w:name w:val="Cover Center"/>
    <w:basedOn w:val="TableNormal"/>
    <w:rsid w:val="00A20C5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EEECE1"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uiPriority w:val="10"/>
    <w:qFormat/>
    <w:rsid w:val="00A20C5E"/>
    <w:pPr>
      <w:spacing w:line="1000" w:lineRule="exact"/>
      <w:jc w:val="right"/>
    </w:pPr>
    <w:rPr>
      <w:b/>
      <w:caps/>
      <w:color w:val="4F81BD" w:themeColor="accent1"/>
      <w:sz w:val="100"/>
      <w:szCs w:val="100"/>
    </w:rPr>
  </w:style>
  <w:style w:type="character" w:customStyle="1" w:styleId="TitleChar">
    <w:name w:val="Title Char"/>
    <w:basedOn w:val="DefaultParagraphFont"/>
    <w:link w:val="Title"/>
    <w:uiPriority w:val="10"/>
    <w:rsid w:val="00A20C5E"/>
    <w:rPr>
      <w:b/>
      <w:caps/>
      <w:color w:val="4F81BD"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2">
    <w:name w:val="Body Text 2"/>
    <w:basedOn w:val="Normal"/>
    <w:link w:val="BodyText2Char"/>
    <w:semiHidden/>
    <w:unhideWhenUsed/>
    <w:rsid w:val="00A20C5E"/>
    <w:pPr>
      <w:ind w:left="360"/>
    </w:pPr>
  </w:style>
  <w:style w:type="paragraph" w:styleId="BodyText3">
    <w:name w:val="Body Text 3"/>
    <w:basedOn w:val="Normal"/>
    <w:link w:val="BodyText3Char"/>
    <w:unhideWhenUsed/>
    <w:rsid w:val="00A20C5E"/>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pPr>
    <w:rPr>
      <w:b/>
      <w:bCs/>
      <w:color w:val="4F81BD" w:themeColor="accent1"/>
      <w:sz w:val="18"/>
      <w:szCs w:val="18"/>
    </w:rPr>
  </w:style>
  <w:style w:type="paragraph" w:styleId="Closing">
    <w:name w:val="Closing"/>
    <w:basedOn w:val="Normal"/>
    <w:link w:val="ClosingChar"/>
    <w:semiHidden/>
    <w:unhideWhenUsed/>
    <w:rsid w:val="00A20C5E"/>
    <w:pPr>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uiPriority w:val="99"/>
    <w:semiHidden/>
    <w:unhideWhenUsed/>
    <w:rsid w:val="00A20C5E"/>
    <w:rPr>
      <w:szCs w:val="20"/>
    </w:rPr>
  </w:style>
  <w:style w:type="character" w:customStyle="1" w:styleId="CommentTextChar">
    <w:name w:val="Comment Text Char"/>
    <w:basedOn w:val="DefaultParagraphFont"/>
    <w:link w:val="CommentText"/>
    <w:uiPriority w:val="99"/>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A20C5E"/>
    <w:rPr>
      <w:rFonts w:asciiTheme="majorHAnsi" w:eastAsiaTheme="majorEastAsia" w:hAnsiTheme="majorHAnsi" w:cstheme="majorBidi"/>
      <w:szCs w:val="20"/>
    </w:rPr>
  </w:style>
  <w:style w:type="paragraph" w:styleId="FootnoteText">
    <w:name w:val="footnote text"/>
    <w:aliases w:val="Char Char,Char,ft,single space,footnote text,fn,Footnote Text Char Char Char Char,FOOTNOTES"/>
    <w:basedOn w:val="Normal"/>
    <w:link w:val="FootnoteTextChar"/>
    <w:unhideWhenUsed/>
    <w:qFormat/>
    <w:rsid w:val="003C5042"/>
    <w:pPr>
      <w:tabs>
        <w:tab w:val="left" w:pos="284"/>
      </w:tabs>
      <w:ind w:left="284" w:hanging="284"/>
    </w:pPr>
    <w:rPr>
      <w:sz w:val="18"/>
      <w:szCs w:val="20"/>
    </w:rPr>
  </w:style>
  <w:style w:type="character" w:customStyle="1" w:styleId="FootnoteTextChar">
    <w:name w:val="Footnote Text Char"/>
    <w:aliases w:val="Char Char Char,Char Char1,ft Char,single space Char,footnote text Char,fn Char,Footnote Text Char Char Char Char Char,FOOTNOTES Char"/>
    <w:basedOn w:val="DefaultParagraphFont"/>
    <w:link w:val="FootnoteText"/>
    <w:rsid w:val="003C5042"/>
    <w:rPr>
      <w:rFonts w:ascii="Calibri" w:hAnsi="Calibri"/>
      <w:color w:val="595959" w:themeColor="text1" w:themeTint="A6"/>
      <w:sz w:val="18"/>
      <w:szCs w:val="20"/>
    </w:rPr>
  </w:style>
  <w:style w:type="character" w:customStyle="1" w:styleId="Heading2Char">
    <w:name w:val="Heading 2 Char"/>
    <w:aliases w:val="1.1 Char,heading 2body Char"/>
    <w:basedOn w:val="DefaultParagraphFont"/>
    <w:link w:val="Heading2"/>
    <w:uiPriority w:val="9"/>
    <w:rsid w:val="002611D2"/>
    <w:rPr>
      <w:rFonts w:asciiTheme="majorHAnsi" w:eastAsiaTheme="majorEastAsia" w:hAnsiTheme="majorHAnsi" w:cstheme="majorBidi"/>
      <w:b/>
      <w:bCs/>
      <w:color w:val="9BBB59" w:themeColor="accent3"/>
      <w:sz w:val="26"/>
      <w:szCs w:val="26"/>
    </w:rPr>
  </w:style>
  <w:style w:type="character" w:customStyle="1" w:styleId="Heading3Char">
    <w:name w:val="Heading 3 Char"/>
    <w:basedOn w:val="DefaultParagraphFont"/>
    <w:link w:val="Heading3"/>
    <w:uiPriority w:val="9"/>
    <w:rsid w:val="00585DA1"/>
    <w:rPr>
      <w:rFonts w:asciiTheme="majorHAnsi" w:hAnsiTheme="majorHAnsi"/>
      <w:b/>
      <w:i/>
      <w:color w:val="9BBB59" w:themeColor="accent3"/>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ind w:left="200" w:hanging="200"/>
    </w:pPr>
  </w:style>
  <w:style w:type="paragraph" w:styleId="Index2">
    <w:name w:val="index 2"/>
    <w:basedOn w:val="Normal"/>
    <w:next w:val="Normal"/>
    <w:autoRedefine/>
    <w:semiHidden/>
    <w:unhideWhenUsed/>
    <w:rsid w:val="00A20C5E"/>
    <w:pPr>
      <w:ind w:left="400" w:hanging="200"/>
    </w:pPr>
  </w:style>
  <w:style w:type="paragraph" w:styleId="Index3">
    <w:name w:val="index 3"/>
    <w:basedOn w:val="Normal"/>
    <w:next w:val="Normal"/>
    <w:autoRedefine/>
    <w:semiHidden/>
    <w:unhideWhenUsed/>
    <w:rsid w:val="00A20C5E"/>
    <w:pPr>
      <w:ind w:left="600" w:hanging="200"/>
    </w:pPr>
  </w:style>
  <w:style w:type="paragraph" w:styleId="Index4">
    <w:name w:val="index 4"/>
    <w:basedOn w:val="Normal"/>
    <w:next w:val="Normal"/>
    <w:autoRedefine/>
    <w:semiHidden/>
    <w:unhideWhenUsed/>
    <w:rsid w:val="00A20C5E"/>
    <w:pPr>
      <w:ind w:left="800" w:hanging="200"/>
    </w:pPr>
  </w:style>
  <w:style w:type="paragraph" w:styleId="Index5">
    <w:name w:val="index 5"/>
    <w:basedOn w:val="Normal"/>
    <w:next w:val="Normal"/>
    <w:autoRedefine/>
    <w:semiHidden/>
    <w:unhideWhenUsed/>
    <w:rsid w:val="00A20C5E"/>
    <w:pPr>
      <w:ind w:left="1000" w:hanging="200"/>
    </w:pPr>
  </w:style>
  <w:style w:type="paragraph" w:styleId="Index6">
    <w:name w:val="index 6"/>
    <w:basedOn w:val="Normal"/>
    <w:next w:val="Normal"/>
    <w:autoRedefine/>
    <w:semiHidden/>
    <w:unhideWhenUsed/>
    <w:rsid w:val="00A20C5E"/>
    <w:pPr>
      <w:ind w:left="1200" w:hanging="200"/>
    </w:pPr>
  </w:style>
  <w:style w:type="paragraph" w:styleId="Index7">
    <w:name w:val="index 7"/>
    <w:basedOn w:val="Normal"/>
    <w:next w:val="Normal"/>
    <w:autoRedefine/>
    <w:semiHidden/>
    <w:unhideWhenUsed/>
    <w:rsid w:val="00A20C5E"/>
    <w:pPr>
      <w:ind w:left="1400" w:hanging="200"/>
    </w:pPr>
  </w:style>
  <w:style w:type="paragraph" w:styleId="Index8">
    <w:name w:val="index 8"/>
    <w:basedOn w:val="Normal"/>
    <w:next w:val="Normal"/>
    <w:autoRedefine/>
    <w:semiHidden/>
    <w:unhideWhenUsed/>
    <w:rsid w:val="00A20C5E"/>
    <w:pPr>
      <w:ind w:left="1600" w:hanging="200"/>
    </w:pPr>
  </w:style>
  <w:style w:type="paragraph" w:styleId="Index9">
    <w:name w:val="index 9"/>
    <w:basedOn w:val="Normal"/>
    <w:next w:val="Normal"/>
    <w:autoRedefine/>
    <w:semiHidden/>
    <w:unhideWhenUsed/>
    <w:rsid w:val="00A20C5E"/>
    <w:pPr>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A20C5E"/>
    <w:rPr>
      <w:b/>
      <w:bCs/>
      <w:i/>
      <w:iCs/>
      <w:color w:val="4F81BD"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ind w:left="360"/>
      <w:contextualSpacing/>
    </w:pPr>
  </w:style>
  <w:style w:type="paragraph" w:styleId="ListContinue2">
    <w:name w:val="List Continue 2"/>
    <w:basedOn w:val="Normal"/>
    <w:semiHidden/>
    <w:unhideWhenUsed/>
    <w:rsid w:val="00A20C5E"/>
    <w:pPr>
      <w:ind w:left="720"/>
      <w:contextualSpacing/>
    </w:pPr>
  </w:style>
  <w:style w:type="paragraph" w:styleId="ListContinue3">
    <w:name w:val="List Continue 3"/>
    <w:basedOn w:val="Normal"/>
    <w:semiHidden/>
    <w:unhideWhenUsed/>
    <w:rsid w:val="00A20C5E"/>
    <w:pPr>
      <w:ind w:left="1080"/>
      <w:contextualSpacing/>
    </w:pPr>
  </w:style>
  <w:style w:type="paragraph" w:styleId="ListContinue4">
    <w:name w:val="List Continue 4"/>
    <w:basedOn w:val="Normal"/>
    <w:semiHidden/>
    <w:unhideWhenUsed/>
    <w:rsid w:val="00A20C5E"/>
    <w:pPr>
      <w:ind w:left="1440"/>
      <w:contextualSpacing/>
    </w:pPr>
  </w:style>
  <w:style w:type="paragraph" w:styleId="ListContinue5">
    <w:name w:val="List Continue 5"/>
    <w:basedOn w:val="Normal"/>
    <w:semiHidden/>
    <w:unhideWhenUsed/>
    <w:rsid w:val="00A20C5E"/>
    <w:pPr>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4248E6"/>
    <w:pPr>
      <w:numPr>
        <w:numId w:val="23"/>
      </w:numPr>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uiPriority w:val="1"/>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uiPriority w:val="29"/>
    <w:qFormat/>
    <w:rsid w:val="00A20C5E"/>
    <w:rPr>
      <w:i/>
      <w:iCs/>
      <w:color w:val="000000" w:themeColor="text1"/>
    </w:rPr>
  </w:style>
  <w:style w:type="character" w:customStyle="1" w:styleId="QuoteChar">
    <w:name w:val="Quote Char"/>
    <w:basedOn w:val="DefaultParagraphFont"/>
    <w:link w:val="Quote"/>
    <w:uiPriority w:val="29"/>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341C85"/>
    <w:pPr>
      <w:tabs>
        <w:tab w:val="right" w:pos="9112"/>
      </w:tabs>
      <w:ind w:left="993" w:hanging="993"/>
    </w:pPr>
    <w:rPr>
      <w:bCs/>
      <w:noProof/>
      <w:u w:val="single"/>
      <w:lang w:val="en-AU"/>
    </w:rPr>
  </w:style>
  <w:style w:type="paragraph" w:styleId="TOC2">
    <w:name w:val="toc 2"/>
    <w:basedOn w:val="Normal"/>
    <w:next w:val="Normal"/>
    <w:autoRedefine/>
    <w:uiPriority w:val="39"/>
    <w:unhideWhenUsed/>
    <w:rsid w:val="00C14289"/>
    <w:pPr>
      <w:spacing w:before="0" w:after="0"/>
    </w:pPr>
    <w:rPr>
      <w:bCs/>
    </w:rPr>
  </w:style>
  <w:style w:type="paragraph" w:styleId="TOC3">
    <w:name w:val="toc 3"/>
    <w:basedOn w:val="Normal"/>
    <w:next w:val="Normal"/>
    <w:autoRedefine/>
    <w:uiPriority w:val="39"/>
    <w:unhideWhenUsed/>
    <w:rsid w:val="00A20C5E"/>
    <w:pPr>
      <w:spacing w:before="0" w:after="0"/>
    </w:pPr>
    <w:rPr>
      <w:rFonts w:asciiTheme="minorHAnsi" w:hAnsiTheme="minorHAnsi"/>
      <w:smallCaps/>
    </w:rPr>
  </w:style>
  <w:style w:type="paragraph" w:styleId="TOC4">
    <w:name w:val="toc 4"/>
    <w:basedOn w:val="Normal"/>
    <w:next w:val="Normal"/>
    <w:autoRedefine/>
    <w:unhideWhenUsed/>
    <w:rsid w:val="00A20C5E"/>
    <w:pPr>
      <w:spacing w:before="0" w:after="0"/>
    </w:pPr>
    <w:rPr>
      <w:rFonts w:asciiTheme="minorHAnsi" w:hAnsiTheme="minorHAnsi"/>
    </w:rPr>
  </w:style>
  <w:style w:type="paragraph" w:styleId="TOC5">
    <w:name w:val="toc 5"/>
    <w:basedOn w:val="Normal"/>
    <w:next w:val="Normal"/>
    <w:autoRedefine/>
    <w:unhideWhenUsed/>
    <w:rsid w:val="00A20C5E"/>
    <w:pPr>
      <w:spacing w:before="0" w:after="0"/>
    </w:pPr>
    <w:rPr>
      <w:rFonts w:asciiTheme="minorHAnsi" w:hAnsiTheme="minorHAnsi"/>
    </w:rPr>
  </w:style>
  <w:style w:type="paragraph" w:styleId="TOC6">
    <w:name w:val="toc 6"/>
    <w:basedOn w:val="Normal"/>
    <w:next w:val="Normal"/>
    <w:autoRedefine/>
    <w:unhideWhenUsed/>
    <w:rsid w:val="00A20C5E"/>
    <w:pPr>
      <w:spacing w:before="0" w:after="0"/>
    </w:pPr>
    <w:rPr>
      <w:rFonts w:asciiTheme="minorHAnsi" w:hAnsiTheme="minorHAnsi"/>
    </w:rPr>
  </w:style>
  <w:style w:type="paragraph" w:styleId="TOC7">
    <w:name w:val="toc 7"/>
    <w:basedOn w:val="Normal"/>
    <w:next w:val="Normal"/>
    <w:autoRedefine/>
    <w:unhideWhenUsed/>
    <w:rsid w:val="00A20C5E"/>
    <w:pPr>
      <w:spacing w:before="0" w:after="0"/>
    </w:pPr>
    <w:rPr>
      <w:rFonts w:asciiTheme="minorHAnsi" w:hAnsiTheme="minorHAnsi"/>
    </w:rPr>
  </w:style>
  <w:style w:type="paragraph" w:styleId="TOC8">
    <w:name w:val="toc 8"/>
    <w:basedOn w:val="Normal"/>
    <w:next w:val="Normal"/>
    <w:autoRedefine/>
    <w:unhideWhenUsed/>
    <w:rsid w:val="00A20C5E"/>
    <w:pPr>
      <w:spacing w:before="0" w:after="0"/>
    </w:pPr>
    <w:rPr>
      <w:rFonts w:asciiTheme="minorHAnsi" w:hAnsiTheme="minorHAnsi"/>
    </w:rPr>
  </w:style>
  <w:style w:type="paragraph" w:styleId="TOC9">
    <w:name w:val="toc 9"/>
    <w:basedOn w:val="Normal"/>
    <w:next w:val="Normal"/>
    <w:autoRedefine/>
    <w:unhideWhenUsed/>
    <w:rsid w:val="00A20C5E"/>
    <w:pPr>
      <w:spacing w:before="0" w:after="0"/>
    </w:pPr>
    <w:rPr>
      <w:rFonts w:asciiTheme="minorHAnsi" w:hAnsiTheme="minorHAnsi"/>
    </w:rPr>
  </w:style>
  <w:style w:type="paragraph" w:styleId="TOCHeading">
    <w:name w:val="TOC Heading"/>
    <w:basedOn w:val="Heading1"/>
    <w:next w:val="Normal"/>
    <w:semiHidden/>
    <w:unhideWhenUsed/>
    <w:qFormat/>
    <w:rsid w:val="00A20C5E"/>
    <w:pPr>
      <w:spacing w:before="480" w:after="0" w:line="288" w:lineRule="auto"/>
      <w:outlineLvl w:val="9"/>
    </w:pPr>
    <w:rPr>
      <w:b/>
      <w:color w:val="365F91" w:themeColor="accent1" w:themeShade="BF"/>
      <w:sz w:val="28"/>
      <w:szCs w:val="28"/>
    </w:rPr>
  </w:style>
  <w:style w:type="paragraph" w:customStyle="1" w:styleId="Picture">
    <w:name w:val="Picture"/>
    <w:basedOn w:val="Normal"/>
    <w:rsid w:val="00A20C5E"/>
    <w:pPr>
      <w:ind w:left="-58" w:right="-58"/>
    </w:pPr>
    <w:rPr>
      <w:noProof/>
      <w:color w:val="FFFFFF" w:themeColor="background1"/>
    </w:rPr>
  </w:style>
  <w:style w:type="character" w:styleId="PageNumber">
    <w:name w:val="page number"/>
    <w:basedOn w:val="DefaultParagraphFont"/>
    <w:uiPriority w:val="99"/>
    <w:semiHidden/>
    <w:unhideWhenUsed/>
    <w:rsid w:val="00EE1613"/>
  </w:style>
  <w:style w:type="table" w:customStyle="1" w:styleId="LightShading-Accent11">
    <w:name w:val="Light Shading - Accent 11"/>
    <w:basedOn w:val="TableNormal"/>
    <w:uiPriority w:val="60"/>
    <w:rsid w:val="0095304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95304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95304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9530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5">
    <w:name w:val="Medium Grid 1 Accent 5"/>
    <w:basedOn w:val="TableNormal"/>
    <w:uiPriority w:val="67"/>
    <w:rsid w:val="0095304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95304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FootnoteReference">
    <w:name w:val="footnote reference"/>
    <w:uiPriority w:val="99"/>
    <w:rsid w:val="00E4711B"/>
    <w:rPr>
      <w:rFonts w:ascii="Franklin Gothic Book" w:hAnsi="Franklin Gothic Book"/>
      <w:w w:val="100"/>
      <w:position w:val="6"/>
      <w:sz w:val="12"/>
      <w:szCs w:val="12"/>
      <w:vertAlign w:val="baseline"/>
    </w:rPr>
  </w:style>
  <w:style w:type="table" w:styleId="TableGrid">
    <w:name w:val="Table Grid"/>
    <w:basedOn w:val="TableNormal"/>
    <w:uiPriority w:val="59"/>
    <w:rsid w:val="00832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422E"/>
    <w:rPr>
      <w:sz w:val="16"/>
      <w:szCs w:val="16"/>
    </w:rPr>
  </w:style>
  <w:style w:type="paragraph" w:customStyle="1" w:styleId="TableContents">
    <w:name w:val="Table Contents"/>
    <w:basedOn w:val="Normal"/>
    <w:rsid w:val="00AC327A"/>
    <w:pPr>
      <w:suppressLineNumbers/>
      <w:suppressAutoHyphens/>
      <w:spacing w:after="0"/>
    </w:pPr>
    <w:rPr>
      <w:rFonts w:ascii="Times New Roman" w:eastAsia="Times New Roman" w:hAnsi="Times New Roman" w:cs="Times New Roman"/>
      <w:sz w:val="24"/>
      <w:szCs w:val="20"/>
    </w:rPr>
  </w:style>
  <w:style w:type="paragraph" w:customStyle="1" w:styleId="TableText">
    <w:name w:val="Table Text"/>
    <w:basedOn w:val="Normal"/>
    <w:rsid w:val="007300DF"/>
    <w:pPr>
      <w:suppressAutoHyphens/>
      <w:spacing w:after="0"/>
    </w:pPr>
    <w:rPr>
      <w:rFonts w:eastAsia="MS Mincho" w:cs="Times New Roman"/>
      <w:sz w:val="20"/>
      <w:szCs w:val="20"/>
    </w:rPr>
  </w:style>
  <w:style w:type="character" w:styleId="Hyperlink">
    <w:name w:val="Hyperlink"/>
    <w:basedOn w:val="DefaultParagraphFont"/>
    <w:uiPriority w:val="99"/>
    <w:unhideWhenUsed/>
    <w:rsid w:val="00D20339"/>
    <w:rPr>
      <w:color w:val="0000FF" w:themeColor="hyperlink"/>
      <w:u w:val="single"/>
    </w:rPr>
  </w:style>
  <w:style w:type="character" w:customStyle="1" w:styleId="ircsu">
    <w:name w:val="irc_su"/>
    <w:basedOn w:val="DefaultParagraphFont"/>
    <w:rsid w:val="003E40A5"/>
  </w:style>
  <w:style w:type="paragraph" w:customStyle="1" w:styleId="BulletList">
    <w:name w:val="Bullet List"/>
    <w:basedOn w:val="Normal"/>
    <w:autoRedefine/>
    <w:qFormat/>
    <w:rsid w:val="00073A63"/>
    <w:pPr>
      <w:widowControl/>
      <w:numPr>
        <w:numId w:val="13"/>
      </w:numPr>
      <w:suppressAutoHyphens/>
    </w:pPr>
    <w:rPr>
      <w:rFonts w:ascii="Garamond" w:eastAsia="MS Mincho" w:hAnsi="Garamond" w:cs="Times New Roman"/>
      <w:sz w:val="24"/>
      <w:szCs w:val="24"/>
      <w:lang w:val="en-AU"/>
    </w:rPr>
  </w:style>
  <w:style w:type="paragraph" w:customStyle="1" w:styleId="Body">
    <w:name w:val="Body"/>
    <w:rsid w:val="00260E1B"/>
    <w:pPr>
      <w:pBdr>
        <w:top w:val="nil"/>
        <w:left w:val="nil"/>
        <w:bottom w:val="nil"/>
        <w:right w:val="nil"/>
        <w:between w:val="nil"/>
        <w:bar w:val="nil"/>
      </w:pBdr>
      <w:spacing w:after="200" w:line="276" w:lineRule="auto"/>
    </w:pPr>
    <w:rPr>
      <w:rFonts w:ascii="Trebuchet MS" w:eastAsia="Arial Unicode MS" w:hAnsi="Arial Unicode MS" w:cs="Arial Unicode MS"/>
      <w:color w:val="000000"/>
      <w:u w:color="000000"/>
      <w:bdr w:val="nil"/>
      <w:lang w:val="en-AU" w:eastAsia="en-AU"/>
    </w:rPr>
  </w:style>
  <w:style w:type="character" w:customStyle="1" w:styleId="spnalerthelptxt">
    <w:name w:val="spnalerthelptxt"/>
    <w:basedOn w:val="DefaultParagraphFont"/>
    <w:rsid w:val="00037119"/>
  </w:style>
  <w:style w:type="character" w:customStyle="1" w:styleId="alertbtntxt">
    <w:name w:val="alertbtntxt"/>
    <w:basedOn w:val="DefaultParagraphFont"/>
    <w:rsid w:val="00037119"/>
  </w:style>
  <w:style w:type="character" w:customStyle="1" w:styleId="spnalertabtxt">
    <w:name w:val="spnalertabtxt"/>
    <w:basedOn w:val="DefaultParagraphFont"/>
    <w:rsid w:val="00037119"/>
  </w:style>
  <w:style w:type="character" w:customStyle="1" w:styleId="nbmaintxt">
    <w:name w:val="nbmaintxt"/>
    <w:basedOn w:val="DefaultParagraphFont"/>
    <w:rsid w:val="00037119"/>
  </w:style>
  <w:style w:type="character" w:customStyle="1" w:styleId="rwrro">
    <w:name w:val="rwrro"/>
    <w:basedOn w:val="DefaultParagraphFont"/>
    <w:rsid w:val="00037119"/>
  </w:style>
  <w:style w:type="character" w:customStyle="1" w:styleId="spncelf">
    <w:name w:val="spncelf"/>
    <w:basedOn w:val="DefaultParagraphFont"/>
    <w:rsid w:val="00037119"/>
  </w:style>
  <w:style w:type="character" w:customStyle="1" w:styleId="skypec2ctextspan">
    <w:name w:val="skype_c2c_text_span"/>
    <w:basedOn w:val="DefaultParagraphFont"/>
    <w:rsid w:val="00037119"/>
  </w:style>
  <w:style w:type="character" w:customStyle="1" w:styleId="nowrap">
    <w:name w:val="nowrap"/>
    <w:basedOn w:val="DefaultParagraphFont"/>
    <w:rsid w:val="00037119"/>
  </w:style>
  <w:style w:type="paragraph" w:customStyle="1" w:styleId="Textboxtext">
    <w:name w:val="Text box text"/>
    <w:basedOn w:val="Caption"/>
    <w:qFormat/>
    <w:rsid w:val="00503195"/>
    <w:pPr>
      <w:keepNext/>
      <w:widowControl/>
      <w:suppressAutoHyphens/>
      <w:spacing w:after="120"/>
    </w:pPr>
    <w:rPr>
      <w:rFonts w:eastAsia="MS Mincho" w:cs="Times New Roman"/>
      <w:b w:val="0"/>
      <w:color w:val="auto"/>
      <w:sz w:val="20"/>
      <w:lang w:val="en-AU"/>
    </w:rPr>
  </w:style>
  <w:style w:type="paragraph" w:customStyle="1" w:styleId="RecB">
    <w:name w:val="RecB"/>
    <w:basedOn w:val="Normal"/>
    <w:semiHidden/>
    <w:rsid w:val="00C65F2F"/>
    <w:pPr>
      <w:keepLines/>
      <w:widowControl/>
      <w:pBdr>
        <w:left w:val="single" w:sz="24" w:space="12" w:color="C0C0C0"/>
      </w:pBdr>
      <w:spacing w:after="200"/>
      <w:jc w:val="both"/>
    </w:pPr>
    <w:rPr>
      <w:rFonts w:ascii="Times New Roman" w:eastAsia="Times New Roman" w:hAnsi="Times New Roman" w:cs="Times New Roman"/>
      <w:b/>
      <w:sz w:val="24"/>
      <w:szCs w:val="20"/>
      <w:lang w:val="en-AU" w:eastAsia="en-AU"/>
    </w:rPr>
  </w:style>
  <w:style w:type="paragraph" w:styleId="Revision">
    <w:name w:val="Revision"/>
    <w:hidden/>
    <w:uiPriority w:val="99"/>
    <w:semiHidden/>
    <w:rsid w:val="00D255C0"/>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4175">
      <w:bodyDiv w:val="1"/>
      <w:marLeft w:val="0"/>
      <w:marRight w:val="0"/>
      <w:marTop w:val="0"/>
      <w:marBottom w:val="0"/>
      <w:divBdr>
        <w:top w:val="none" w:sz="0" w:space="0" w:color="auto"/>
        <w:left w:val="none" w:sz="0" w:space="0" w:color="auto"/>
        <w:bottom w:val="none" w:sz="0" w:space="0" w:color="auto"/>
        <w:right w:val="none" w:sz="0" w:space="0" w:color="auto"/>
      </w:divBdr>
      <w:divsChild>
        <w:div w:id="414010657">
          <w:marLeft w:val="0"/>
          <w:marRight w:val="0"/>
          <w:marTop w:val="0"/>
          <w:marBottom w:val="0"/>
          <w:divBdr>
            <w:top w:val="none" w:sz="0" w:space="0" w:color="auto"/>
            <w:left w:val="none" w:sz="0" w:space="0" w:color="auto"/>
            <w:bottom w:val="none" w:sz="0" w:space="0" w:color="auto"/>
            <w:right w:val="none" w:sz="0" w:space="0" w:color="auto"/>
          </w:divBdr>
          <w:divsChild>
            <w:div w:id="991910627">
              <w:marLeft w:val="0"/>
              <w:marRight w:val="0"/>
              <w:marTop w:val="0"/>
              <w:marBottom w:val="0"/>
              <w:divBdr>
                <w:top w:val="none" w:sz="0" w:space="0" w:color="auto"/>
                <w:left w:val="none" w:sz="0" w:space="0" w:color="auto"/>
                <w:bottom w:val="none" w:sz="0" w:space="0" w:color="auto"/>
                <w:right w:val="none" w:sz="0" w:space="0" w:color="auto"/>
              </w:divBdr>
            </w:div>
            <w:div w:id="131749281">
              <w:marLeft w:val="0"/>
              <w:marRight w:val="0"/>
              <w:marTop w:val="0"/>
              <w:marBottom w:val="0"/>
              <w:divBdr>
                <w:top w:val="none" w:sz="0" w:space="0" w:color="auto"/>
                <w:left w:val="none" w:sz="0" w:space="0" w:color="auto"/>
                <w:bottom w:val="none" w:sz="0" w:space="0" w:color="auto"/>
                <w:right w:val="none" w:sz="0" w:space="0" w:color="auto"/>
              </w:divBdr>
              <w:divsChild>
                <w:div w:id="347222109">
                  <w:marLeft w:val="0"/>
                  <w:marRight w:val="0"/>
                  <w:marTop w:val="0"/>
                  <w:marBottom w:val="0"/>
                  <w:divBdr>
                    <w:top w:val="none" w:sz="0" w:space="0" w:color="auto"/>
                    <w:left w:val="none" w:sz="0" w:space="0" w:color="auto"/>
                    <w:bottom w:val="none" w:sz="0" w:space="0" w:color="auto"/>
                    <w:right w:val="none" w:sz="0" w:space="0" w:color="auto"/>
                  </w:divBdr>
                  <w:divsChild>
                    <w:div w:id="9304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7969">
          <w:marLeft w:val="0"/>
          <w:marRight w:val="0"/>
          <w:marTop w:val="0"/>
          <w:marBottom w:val="0"/>
          <w:divBdr>
            <w:top w:val="none" w:sz="0" w:space="0" w:color="auto"/>
            <w:left w:val="none" w:sz="0" w:space="0" w:color="auto"/>
            <w:bottom w:val="none" w:sz="0" w:space="0" w:color="auto"/>
            <w:right w:val="none" w:sz="0" w:space="0" w:color="auto"/>
          </w:divBdr>
          <w:divsChild>
            <w:div w:id="1003629878">
              <w:marLeft w:val="0"/>
              <w:marRight w:val="0"/>
              <w:marTop w:val="0"/>
              <w:marBottom w:val="0"/>
              <w:divBdr>
                <w:top w:val="none" w:sz="0" w:space="0" w:color="auto"/>
                <w:left w:val="none" w:sz="0" w:space="0" w:color="auto"/>
                <w:bottom w:val="none" w:sz="0" w:space="0" w:color="auto"/>
                <w:right w:val="none" w:sz="0" w:space="0" w:color="auto"/>
              </w:divBdr>
              <w:divsChild>
                <w:div w:id="2795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5715">
          <w:marLeft w:val="0"/>
          <w:marRight w:val="0"/>
          <w:marTop w:val="0"/>
          <w:marBottom w:val="0"/>
          <w:divBdr>
            <w:top w:val="none" w:sz="0" w:space="0" w:color="auto"/>
            <w:left w:val="none" w:sz="0" w:space="0" w:color="auto"/>
            <w:bottom w:val="none" w:sz="0" w:space="0" w:color="auto"/>
            <w:right w:val="none" w:sz="0" w:space="0" w:color="auto"/>
          </w:divBdr>
          <w:divsChild>
            <w:div w:id="1659577231">
              <w:marLeft w:val="0"/>
              <w:marRight w:val="0"/>
              <w:marTop w:val="0"/>
              <w:marBottom w:val="0"/>
              <w:divBdr>
                <w:top w:val="none" w:sz="0" w:space="0" w:color="auto"/>
                <w:left w:val="none" w:sz="0" w:space="0" w:color="auto"/>
                <w:bottom w:val="none" w:sz="0" w:space="0" w:color="auto"/>
                <w:right w:val="none" w:sz="0" w:space="0" w:color="auto"/>
              </w:divBdr>
            </w:div>
          </w:divsChild>
        </w:div>
        <w:div w:id="1689984839">
          <w:marLeft w:val="0"/>
          <w:marRight w:val="0"/>
          <w:marTop w:val="0"/>
          <w:marBottom w:val="0"/>
          <w:divBdr>
            <w:top w:val="none" w:sz="0" w:space="0" w:color="auto"/>
            <w:left w:val="none" w:sz="0" w:space="0" w:color="auto"/>
            <w:bottom w:val="none" w:sz="0" w:space="0" w:color="auto"/>
            <w:right w:val="none" w:sz="0" w:space="0" w:color="auto"/>
          </w:divBdr>
          <w:divsChild>
            <w:div w:id="1912613603">
              <w:marLeft w:val="0"/>
              <w:marRight w:val="0"/>
              <w:marTop w:val="0"/>
              <w:marBottom w:val="0"/>
              <w:divBdr>
                <w:top w:val="none" w:sz="0" w:space="0" w:color="auto"/>
                <w:left w:val="none" w:sz="0" w:space="0" w:color="auto"/>
                <w:bottom w:val="none" w:sz="0" w:space="0" w:color="auto"/>
                <w:right w:val="none" w:sz="0" w:space="0" w:color="auto"/>
              </w:divBdr>
              <w:divsChild>
                <w:div w:id="2014259095">
                  <w:marLeft w:val="0"/>
                  <w:marRight w:val="0"/>
                  <w:marTop w:val="0"/>
                  <w:marBottom w:val="0"/>
                  <w:divBdr>
                    <w:top w:val="none" w:sz="0" w:space="0" w:color="auto"/>
                    <w:left w:val="none" w:sz="0" w:space="0" w:color="auto"/>
                    <w:bottom w:val="none" w:sz="0" w:space="0" w:color="auto"/>
                    <w:right w:val="none" w:sz="0" w:space="0" w:color="auto"/>
                  </w:divBdr>
                  <w:divsChild>
                    <w:div w:id="1987392952">
                      <w:marLeft w:val="0"/>
                      <w:marRight w:val="0"/>
                      <w:marTop w:val="0"/>
                      <w:marBottom w:val="0"/>
                      <w:divBdr>
                        <w:top w:val="none" w:sz="0" w:space="0" w:color="auto"/>
                        <w:left w:val="none" w:sz="0" w:space="0" w:color="auto"/>
                        <w:bottom w:val="none" w:sz="0" w:space="0" w:color="auto"/>
                        <w:right w:val="none" w:sz="0" w:space="0" w:color="auto"/>
                      </w:divBdr>
                      <w:divsChild>
                        <w:div w:id="1117721684">
                          <w:marLeft w:val="0"/>
                          <w:marRight w:val="0"/>
                          <w:marTop w:val="0"/>
                          <w:marBottom w:val="0"/>
                          <w:divBdr>
                            <w:top w:val="none" w:sz="0" w:space="0" w:color="auto"/>
                            <w:left w:val="none" w:sz="0" w:space="0" w:color="auto"/>
                            <w:bottom w:val="none" w:sz="0" w:space="0" w:color="auto"/>
                            <w:right w:val="none" w:sz="0" w:space="0" w:color="auto"/>
                          </w:divBdr>
                          <w:divsChild>
                            <w:div w:id="114107426">
                              <w:marLeft w:val="0"/>
                              <w:marRight w:val="0"/>
                              <w:marTop w:val="0"/>
                              <w:marBottom w:val="0"/>
                              <w:divBdr>
                                <w:top w:val="none" w:sz="0" w:space="0" w:color="auto"/>
                                <w:left w:val="none" w:sz="0" w:space="0" w:color="auto"/>
                                <w:bottom w:val="none" w:sz="0" w:space="0" w:color="auto"/>
                                <w:right w:val="none" w:sz="0" w:space="0" w:color="auto"/>
                              </w:divBdr>
                              <w:divsChild>
                                <w:div w:id="80874030">
                                  <w:marLeft w:val="0"/>
                                  <w:marRight w:val="0"/>
                                  <w:marTop w:val="0"/>
                                  <w:marBottom w:val="0"/>
                                  <w:divBdr>
                                    <w:top w:val="none" w:sz="0" w:space="0" w:color="auto"/>
                                    <w:left w:val="none" w:sz="0" w:space="0" w:color="auto"/>
                                    <w:bottom w:val="none" w:sz="0" w:space="0" w:color="auto"/>
                                    <w:right w:val="none" w:sz="0" w:space="0" w:color="auto"/>
                                  </w:divBdr>
                                  <w:divsChild>
                                    <w:div w:id="1240361284">
                                      <w:marLeft w:val="0"/>
                                      <w:marRight w:val="0"/>
                                      <w:marTop w:val="0"/>
                                      <w:marBottom w:val="0"/>
                                      <w:divBdr>
                                        <w:top w:val="none" w:sz="0" w:space="0" w:color="auto"/>
                                        <w:left w:val="none" w:sz="0" w:space="0" w:color="auto"/>
                                        <w:bottom w:val="none" w:sz="0" w:space="0" w:color="auto"/>
                                        <w:right w:val="none" w:sz="0" w:space="0" w:color="auto"/>
                                      </w:divBdr>
                                      <w:divsChild>
                                        <w:div w:id="567884409">
                                          <w:marLeft w:val="0"/>
                                          <w:marRight w:val="0"/>
                                          <w:marTop w:val="0"/>
                                          <w:marBottom w:val="0"/>
                                          <w:divBdr>
                                            <w:top w:val="none" w:sz="0" w:space="0" w:color="auto"/>
                                            <w:left w:val="none" w:sz="0" w:space="0" w:color="auto"/>
                                            <w:bottom w:val="none" w:sz="0" w:space="0" w:color="auto"/>
                                            <w:right w:val="none" w:sz="0" w:space="0" w:color="auto"/>
                                          </w:divBdr>
                                          <w:divsChild>
                                            <w:div w:id="519852769">
                                              <w:marLeft w:val="0"/>
                                              <w:marRight w:val="0"/>
                                              <w:marTop w:val="0"/>
                                              <w:marBottom w:val="0"/>
                                              <w:divBdr>
                                                <w:top w:val="none" w:sz="0" w:space="0" w:color="auto"/>
                                                <w:left w:val="none" w:sz="0" w:space="0" w:color="auto"/>
                                                <w:bottom w:val="none" w:sz="0" w:space="0" w:color="auto"/>
                                                <w:right w:val="none" w:sz="0" w:space="0" w:color="auto"/>
                                              </w:divBdr>
                                              <w:divsChild>
                                                <w:div w:id="176651832">
                                                  <w:marLeft w:val="0"/>
                                                  <w:marRight w:val="0"/>
                                                  <w:marTop w:val="0"/>
                                                  <w:marBottom w:val="0"/>
                                                  <w:divBdr>
                                                    <w:top w:val="none" w:sz="0" w:space="0" w:color="auto"/>
                                                    <w:left w:val="none" w:sz="0" w:space="0" w:color="auto"/>
                                                    <w:bottom w:val="none" w:sz="0" w:space="0" w:color="auto"/>
                                                    <w:right w:val="none" w:sz="0" w:space="0" w:color="auto"/>
                                                  </w:divBdr>
                                                </w:div>
                                                <w:div w:id="2131241971">
                                                  <w:marLeft w:val="0"/>
                                                  <w:marRight w:val="0"/>
                                                  <w:marTop w:val="0"/>
                                                  <w:marBottom w:val="0"/>
                                                  <w:divBdr>
                                                    <w:top w:val="none" w:sz="0" w:space="0" w:color="auto"/>
                                                    <w:left w:val="none" w:sz="0" w:space="0" w:color="auto"/>
                                                    <w:bottom w:val="none" w:sz="0" w:space="0" w:color="auto"/>
                                                    <w:right w:val="none" w:sz="0" w:space="0" w:color="auto"/>
                                                  </w:divBdr>
                                                  <w:divsChild>
                                                    <w:div w:id="1847749249">
                                                      <w:marLeft w:val="0"/>
                                                      <w:marRight w:val="0"/>
                                                      <w:marTop w:val="0"/>
                                                      <w:marBottom w:val="0"/>
                                                      <w:divBdr>
                                                        <w:top w:val="none" w:sz="0" w:space="0" w:color="auto"/>
                                                        <w:left w:val="none" w:sz="0" w:space="0" w:color="auto"/>
                                                        <w:bottom w:val="none" w:sz="0" w:space="0" w:color="auto"/>
                                                        <w:right w:val="none" w:sz="0" w:space="0" w:color="auto"/>
                                                      </w:divBdr>
                                                      <w:divsChild>
                                                        <w:div w:id="515116776">
                                                          <w:marLeft w:val="0"/>
                                                          <w:marRight w:val="0"/>
                                                          <w:marTop w:val="0"/>
                                                          <w:marBottom w:val="0"/>
                                                          <w:divBdr>
                                                            <w:top w:val="none" w:sz="0" w:space="0" w:color="auto"/>
                                                            <w:left w:val="none" w:sz="0" w:space="0" w:color="auto"/>
                                                            <w:bottom w:val="none" w:sz="0" w:space="0" w:color="auto"/>
                                                            <w:right w:val="none" w:sz="0" w:space="0" w:color="auto"/>
                                                          </w:divBdr>
                                                          <w:divsChild>
                                                            <w:div w:id="644286924">
                                                              <w:marLeft w:val="0"/>
                                                              <w:marRight w:val="0"/>
                                                              <w:marTop w:val="0"/>
                                                              <w:marBottom w:val="0"/>
                                                              <w:divBdr>
                                                                <w:top w:val="none" w:sz="0" w:space="0" w:color="auto"/>
                                                                <w:left w:val="none" w:sz="0" w:space="0" w:color="auto"/>
                                                                <w:bottom w:val="none" w:sz="0" w:space="0" w:color="auto"/>
                                                                <w:right w:val="none" w:sz="0" w:space="0" w:color="auto"/>
                                                              </w:divBdr>
                                                              <w:divsChild>
                                                                <w:div w:id="1633290566">
                                                                  <w:marLeft w:val="0"/>
                                                                  <w:marRight w:val="0"/>
                                                                  <w:marTop w:val="0"/>
                                                                  <w:marBottom w:val="0"/>
                                                                  <w:divBdr>
                                                                    <w:top w:val="none" w:sz="0" w:space="0" w:color="auto"/>
                                                                    <w:left w:val="none" w:sz="0" w:space="0" w:color="auto"/>
                                                                    <w:bottom w:val="none" w:sz="0" w:space="0" w:color="auto"/>
                                                                    <w:right w:val="none" w:sz="0" w:space="0" w:color="auto"/>
                                                                  </w:divBdr>
                                                                </w:div>
                                                                <w:div w:id="1440492898">
                                                                  <w:marLeft w:val="0"/>
                                                                  <w:marRight w:val="0"/>
                                                                  <w:marTop w:val="0"/>
                                                                  <w:marBottom w:val="0"/>
                                                                  <w:divBdr>
                                                                    <w:top w:val="none" w:sz="0" w:space="0" w:color="auto"/>
                                                                    <w:left w:val="none" w:sz="0" w:space="0" w:color="auto"/>
                                                                    <w:bottom w:val="none" w:sz="0" w:space="0" w:color="auto"/>
                                                                    <w:right w:val="none" w:sz="0" w:space="0" w:color="auto"/>
                                                                  </w:divBdr>
                                                                </w:div>
                                                              </w:divsChild>
                                                            </w:div>
                                                            <w:div w:id="1655453093">
                                                              <w:marLeft w:val="0"/>
                                                              <w:marRight w:val="0"/>
                                                              <w:marTop w:val="0"/>
                                                              <w:marBottom w:val="0"/>
                                                              <w:divBdr>
                                                                <w:top w:val="none" w:sz="0" w:space="0" w:color="auto"/>
                                                                <w:left w:val="none" w:sz="0" w:space="0" w:color="auto"/>
                                                                <w:bottom w:val="none" w:sz="0" w:space="0" w:color="auto"/>
                                                                <w:right w:val="none" w:sz="0" w:space="0" w:color="auto"/>
                                                              </w:divBdr>
                                                              <w:divsChild>
                                                                <w:div w:id="78604258">
                                                                  <w:marLeft w:val="0"/>
                                                                  <w:marRight w:val="0"/>
                                                                  <w:marTop w:val="0"/>
                                                                  <w:marBottom w:val="0"/>
                                                                  <w:divBdr>
                                                                    <w:top w:val="none" w:sz="0" w:space="0" w:color="auto"/>
                                                                    <w:left w:val="none" w:sz="0" w:space="0" w:color="auto"/>
                                                                    <w:bottom w:val="none" w:sz="0" w:space="0" w:color="auto"/>
                                                                    <w:right w:val="none" w:sz="0" w:space="0" w:color="auto"/>
                                                                  </w:divBdr>
                                                                  <w:divsChild>
                                                                    <w:div w:id="1520118497">
                                                                      <w:marLeft w:val="0"/>
                                                                      <w:marRight w:val="0"/>
                                                                      <w:marTop w:val="0"/>
                                                                      <w:marBottom w:val="0"/>
                                                                      <w:divBdr>
                                                                        <w:top w:val="none" w:sz="0" w:space="0" w:color="auto"/>
                                                                        <w:left w:val="none" w:sz="0" w:space="0" w:color="auto"/>
                                                                        <w:bottom w:val="none" w:sz="0" w:space="0" w:color="auto"/>
                                                                        <w:right w:val="none" w:sz="0" w:space="0" w:color="auto"/>
                                                                      </w:divBdr>
                                                                      <w:divsChild>
                                                                        <w:div w:id="708380725">
                                                                          <w:marLeft w:val="0"/>
                                                                          <w:marRight w:val="0"/>
                                                                          <w:marTop w:val="0"/>
                                                                          <w:marBottom w:val="0"/>
                                                                          <w:divBdr>
                                                                            <w:top w:val="none" w:sz="0" w:space="0" w:color="auto"/>
                                                                            <w:left w:val="none" w:sz="0" w:space="0" w:color="auto"/>
                                                                            <w:bottom w:val="none" w:sz="0" w:space="0" w:color="auto"/>
                                                                            <w:right w:val="none" w:sz="0" w:space="0" w:color="auto"/>
                                                                          </w:divBdr>
                                                                          <w:divsChild>
                                                                            <w:div w:id="170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1769">
                                                              <w:marLeft w:val="0"/>
                                                              <w:marRight w:val="0"/>
                                                              <w:marTop w:val="0"/>
                                                              <w:marBottom w:val="0"/>
                                                              <w:divBdr>
                                                                <w:top w:val="none" w:sz="0" w:space="0" w:color="auto"/>
                                                                <w:left w:val="none" w:sz="0" w:space="0" w:color="auto"/>
                                                                <w:bottom w:val="none" w:sz="0" w:space="0" w:color="auto"/>
                                                                <w:right w:val="none" w:sz="0" w:space="0" w:color="auto"/>
                                                              </w:divBdr>
                                                              <w:divsChild>
                                                                <w:div w:id="921255363">
                                                                  <w:marLeft w:val="0"/>
                                                                  <w:marRight w:val="0"/>
                                                                  <w:marTop w:val="0"/>
                                                                  <w:marBottom w:val="0"/>
                                                                  <w:divBdr>
                                                                    <w:top w:val="none" w:sz="0" w:space="0" w:color="auto"/>
                                                                    <w:left w:val="none" w:sz="0" w:space="0" w:color="auto"/>
                                                                    <w:bottom w:val="none" w:sz="0" w:space="0" w:color="auto"/>
                                                                    <w:right w:val="none" w:sz="0" w:space="0" w:color="auto"/>
                                                                  </w:divBdr>
                                                                  <w:divsChild>
                                                                    <w:div w:id="523129353">
                                                                      <w:marLeft w:val="0"/>
                                                                      <w:marRight w:val="0"/>
                                                                      <w:marTop w:val="0"/>
                                                                      <w:marBottom w:val="0"/>
                                                                      <w:divBdr>
                                                                        <w:top w:val="none" w:sz="0" w:space="0" w:color="auto"/>
                                                                        <w:left w:val="none" w:sz="0" w:space="0" w:color="auto"/>
                                                                        <w:bottom w:val="none" w:sz="0" w:space="0" w:color="auto"/>
                                                                        <w:right w:val="none" w:sz="0" w:space="0" w:color="auto"/>
                                                                      </w:divBdr>
                                                                      <w:divsChild>
                                                                        <w:div w:id="337389184">
                                                                          <w:marLeft w:val="0"/>
                                                                          <w:marRight w:val="0"/>
                                                                          <w:marTop w:val="0"/>
                                                                          <w:marBottom w:val="0"/>
                                                                          <w:divBdr>
                                                                            <w:top w:val="none" w:sz="0" w:space="0" w:color="auto"/>
                                                                            <w:left w:val="none" w:sz="0" w:space="0" w:color="auto"/>
                                                                            <w:bottom w:val="none" w:sz="0" w:space="0" w:color="auto"/>
                                                                            <w:right w:val="none" w:sz="0" w:space="0" w:color="auto"/>
                                                                          </w:divBdr>
                                                                          <w:divsChild>
                                                                            <w:div w:id="2068142657">
                                                                              <w:marLeft w:val="0"/>
                                                                              <w:marRight w:val="0"/>
                                                                              <w:marTop w:val="0"/>
                                                                              <w:marBottom w:val="0"/>
                                                                              <w:divBdr>
                                                                                <w:top w:val="none" w:sz="0" w:space="0" w:color="auto"/>
                                                                                <w:left w:val="none" w:sz="0" w:space="0" w:color="auto"/>
                                                                                <w:bottom w:val="none" w:sz="0" w:space="0" w:color="auto"/>
                                                                                <w:right w:val="none" w:sz="0" w:space="0" w:color="auto"/>
                                                                              </w:divBdr>
                                                                              <w:divsChild>
                                                                                <w:div w:id="1729453279">
                                                                                  <w:marLeft w:val="0"/>
                                                                                  <w:marRight w:val="0"/>
                                                                                  <w:marTop w:val="0"/>
                                                                                  <w:marBottom w:val="0"/>
                                                                                  <w:divBdr>
                                                                                    <w:top w:val="none" w:sz="0" w:space="0" w:color="auto"/>
                                                                                    <w:left w:val="none" w:sz="0" w:space="0" w:color="auto"/>
                                                                                    <w:bottom w:val="none" w:sz="0" w:space="0" w:color="auto"/>
                                                                                    <w:right w:val="none" w:sz="0" w:space="0" w:color="auto"/>
                                                                                  </w:divBdr>
                                                                                  <w:divsChild>
                                                                                    <w:div w:id="839275759">
                                                                                      <w:marLeft w:val="0"/>
                                                                                      <w:marRight w:val="0"/>
                                                                                      <w:marTop w:val="0"/>
                                                                                      <w:marBottom w:val="0"/>
                                                                                      <w:divBdr>
                                                                                        <w:top w:val="none" w:sz="0" w:space="0" w:color="auto"/>
                                                                                        <w:left w:val="none" w:sz="0" w:space="0" w:color="auto"/>
                                                                                        <w:bottom w:val="none" w:sz="0" w:space="0" w:color="auto"/>
                                                                                        <w:right w:val="none" w:sz="0" w:space="0" w:color="auto"/>
                                                                                      </w:divBdr>
                                                                                      <w:divsChild>
                                                                                        <w:div w:id="854660139">
                                                                                          <w:marLeft w:val="0"/>
                                                                                          <w:marRight w:val="0"/>
                                                                                          <w:marTop w:val="0"/>
                                                                                          <w:marBottom w:val="0"/>
                                                                                          <w:divBdr>
                                                                                            <w:top w:val="none" w:sz="0" w:space="0" w:color="auto"/>
                                                                                            <w:left w:val="none" w:sz="0" w:space="0" w:color="auto"/>
                                                                                            <w:bottom w:val="none" w:sz="0" w:space="0" w:color="auto"/>
                                                                                            <w:right w:val="none" w:sz="0" w:space="0" w:color="auto"/>
                                                                                          </w:divBdr>
                                                                                          <w:divsChild>
                                                                                            <w:div w:id="1441337596">
                                                                                              <w:marLeft w:val="0"/>
                                                                                              <w:marRight w:val="0"/>
                                                                                              <w:marTop w:val="0"/>
                                                                                              <w:marBottom w:val="0"/>
                                                                                              <w:divBdr>
                                                                                                <w:top w:val="none" w:sz="0" w:space="0" w:color="auto"/>
                                                                                                <w:left w:val="none" w:sz="0" w:space="0" w:color="auto"/>
                                                                                                <w:bottom w:val="none" w:sz="0" w:space="0" w:color="auto"/>
                                                                                                <w:right w:val="none" w:sz="0" w:space="0" w:color="auto"/>
                                                                                              </w:divBdr>
                                                                                              <w:divsChild>
                                                                                                <w:div w:id="999190144">
                                                                                                  <w:marLeft w:val="0"/>
                                                                                                  <w:marRight w:val="0"/>
                                                                                                  <w:marTop w:val="0"/>
                                                                                                  <w:marBottom w:val="0"/>
                                                                                                  <w:divBdr>
                                                                                                    <w:top w:val="none" w:sz="0" w:space="0" w:color="auto"/>
                                                                                                    <w:left w:val="none" w:sz="0" w:space="0" w:color="auto"/>
                                                                                                    <w:bottom w:val="none" w:sz="0" w:space="0" w:color="auto"/>
                                                                                                    <w:right w:val="none" w:sz="0" w:space="0" w:color="auto"/>
                                                                                                  </w:divBdr>
                                                                                                  <w:divsChild>
                                                                                                    <w:div w:id="555356379">
                                                                                                      <w:marLeft w:val="0"/>
                                                                                                      <w:marRight w:val="0"/>
                                                                                                      <w:marTop w:val="0"/>
                                                                                                      <w:marBottom w:val="0"/>
                                                                                                      <w:divBdr>
                                                                                                        <w:top w:val="none" w:sz="0" w:space="0" w:color="auto"/>
                                                                                                        <w:left w:val="none" w:sz="0" w:space="0" w:color="auto"/>
                                                                                                        <w:bottom w:val="none" w:sz="0" w:space="0" w:color="auto"/>
                                                                                                        <w:right w:val="none" w:sz="0" w:space="0" w:color="auto"/>
                                                                                                      </w:divBdr>
                                                                                                      <w:divsChild>
                                                                                                        <w:div w:id="385493318">
                                                                                                          <w:marLeft w:val="0"/>
                                                                                                          <w:marRight w:val="0"/>
                                                                                                          <w:marTop w:val="0"/>
                                                                                                          <w:marBottom w:val="0"/>
                                                                                                          <w:divBdr>
                                                                                                            <w:top w:val="none" w:sz="0" w:space="0" w:color="auto"/>
                                                                                                            <w:left w:val="none" w:sz="0" w:space="0" w:color="auto"/>
                                                                                                            <w:bottom w:val="none" w:sz="0" w:space="0" w:color="auto"/>
                                                                                                            <w:right w:val="none" w:sz="0" w:space="0" w:color="auto"/>
                                                                                                          </w:divBdr>
                                                                                                        </w:div>
                                                                                                        <w:div w:id="50471899">
                                                                                                          <w:marLeft w:val="0"/>
                                                                                                          <w:marRight w:val="0"/>
                                                                                                          <w:marTop w:val="0"/>
                                                                                                          <w:marBottom w:val="0"/>
                                                                                                          <w:divBdr>
                                                                                                            <w:top w:val="none" w:sz="0" w:space="0" w:color="auto"/>
                                                                                                            <w:left w:val="none" w:sz="0" w:space="0" w:color="auto"/>
                                                                                                            <w:bottom w:val="none" w:sz="0" w:space="0" w:color="auto"/>
                                                                                                            <w:right w:val="none" w:sz="0" w:space="0" w:color="auto"/>
                                                                                                          </w:divBdr>
                                                                                                        </w:div>
                                                                                                        <w:div w:id="620768942">
                                                                                                          <w:marLeft w:val="0"/>
                                                                                                          <w:marRight w:val="0"/>
                                                                                                          <w:marTop w:val="0"/>
                                                                                                          <w:marBottom w:val="0"/>
                                                                                                          <w:divBdr>
                                                                                                            <w:top w:val="none" w:sz="0" w:space="0" w:color="auto"/>
                                                                                                            <w:left w:val="none" w:sz="0" w:space="0" w:color="auto"/>
                                                                                                            <w:bottom w:val="none" w:sz="0" w:space="0" w:color="auto"/>
                                                                                                            <w:right w:val="none" w:sz="0" w:space="0" w:color="auto"/>
                                                                                                          </w:divBdr>
                                                                                                        </w:div>
                                                                                                        <w:div w:id="1563322796">
                                                                                                          <w:marLeft w:val="0"/>
                                                                                                          <w:marRight w:val="0"/>
                                                                                                          <w:marTop w:val="0"/>
                                                                                                          <w:marBottom w:val="0"/>
                                                                                                          <w:divBdr>
                                                                                                            <w:top w:val="none" w:sz="0" w:space="0" w:color="auto"/>
                                                                                                            <w:left w:val="none" w:sz="0" w:space="0" w:color="auto"/>
                                                                                                            <w:bottom w:val="none" w:sz="0" w:space="0" w:color="auto"/>
                                                                                                            <w:right w:val="none" w:sz="0" w:space="0" w:color="auto"/>
                                                                                                          </w:divBdr>
                                                                                                        </w:div>
                                                                                                        <w:div w:id="3423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5708339">
                                                      <w:marLeft w:val="0"/>
                                                      <w:marRight w:val="0"/>
                                                      <w:marTop w:val="0"/>
                                                      <w:marBottom w:val="0"/>
                                                      <w:divBdr>
                                                        <w:top w:val="none" w:sz="0" w:space="0" w:color="auto"/>
                                                        <w:left w:val="none" w:sz="0" w:space="0" w:color="auto"/>
                                                        <w:bottom w:val="none" w:sz="0" w:space="0" w:color="auto"/>
                                                        <w:right w:val="none" w:sz="0" w:space="0" w:color="auto"/>
                                                      </w:divBdr>
                                                      <w:divsChild>
                                                        <w:div w:id="1166242111">
                                                          <w:marLeft w:val="0"/>
                                                          <w:marRight w:val="0"/>
                                                          <w:marTop w:val="0"/>
                                                          <w:marBottom w:val="0"/>
                                                          <w:divBdr>
                                                            <w:top w:val="none" w:sz="0" w:space="0" w:color="auto"/>
                                                            <w:left w:val="none" w:sz="0" w:space="0" w:color="auto"/>
                                                            <w:bottom w:val="none" w:sz="0" w:space="0" w:color="auto"/>
                                                            <w:right w:val="none" w:sz="0" w:space="0" w:color="auto"/>
                                                          </w:divBdr>
                                                          <w:divsChild>
                                                            <w:div w:id="509564266">
                                                              <w:marLeft w:val="0"/>
                                                              <w:marRight w:val="0"/>
                                                              <w:marTop w:val="0"/>
                                                              <w:marBottom w:val="0"/>
                                                              <w:divBdr>
                                                                <w:top w:val="none" w:sz="0" w:space="0" w:color="auto"/>
                                                                <w:left w:val="none" w:sz="0" w:space="0" w:color="auto"/>
                                                                <w:bottom w:val="none" w:sz="0" w:space="0" w:color="auto"/>
                                                                <w:right w:val="none" w:sz="0" w:space="0" w:color="auto"/>
                                                              </w:divBdr>
                                                              <w:divsChild>
                                                                <w:div w:id="129397665">
                                                                  <w:marLeft w:val="0"/>
                                                                  <w:marRight w:val="0"/>
                                                                  <w:marTop w:val="0"/>
                                                                  <w:marBottom w:val="0"/>
                                                                  <w:divBdr>
                                                                    <w:top w:val="none" w:sz="0" w:space="0" w:color="auto"/>
                                                                    <w:left w:val="none" w:sz="0" w:space="0" w:color="auto"/>
                                                                    <w:bottom w:val="none" w:sz="0" w:space="0" w:color="auto"/>
                                                                    <w:right w:val="none" w:sz="0" w:space="0" w:color="auto"/>
                                                                  </w:divBdr>
                                                                </w:div>
                                                                <w:div w:id="508062560">
                                                                  <w:marLeft w:val="0"/>
                                                                  <w:marRight w:val="0"/>
                                                                  <w:marTop w:val="0"/>
                                                                  <w:marBottom w:val="0"/>
                                                                  <w:divBdr>
                                                                    <w:top w:val="none" w:sz="0" w:space="0" w:color="auto"/>
                                                                    <w:left w:val="none" w:sz="0" w:space="0" w:color="auto"/>
                                                                    <w:bottom w:val="none" w:sz="0" w:space="0" w:color="auto"/>
                                                                    <w:right w:val="none" w:sz="0" w:space="0" w:color="auto"/>
                                                                  </w:divBdr>
                                                                </w:div>
                                                                <w:div w:id="1814560772">
                                                                  <w:marLeft w:val="0"/>
                                                                  <w:marRight w:val="0"/>
                                                                  <w:marTop w:val="0"/>
                                                                  <w:marBottom w:val="0"/>
                                                                  <w:divBdr>
                                                                    <w:top w:val="none" w:sz="0" w:space="0" w:color="auto"/>
                                                                    <w:left w:val="none" w:sz="0" w:space="0" w:color="auto"/>
                                                                    <w:bottom w:val="none" w:sz="0" w:space="0" w:color="auto"/>
                                                                    <w:right w:val="none" w:sz="0" w:space="0" w:color="auto"/>
                                                                  </w:divBdr>
                                                                </w:div>
                                                              </w:divsChild>
                                                            </w:div>
                                                            <w:div w:id="511185117">
                                                              <w:marLeft w:val="0"/>
                                                              <w:marRight w:val="0"/>
                                                              <w:marTop w:val="0"/>
                                                              <w:marBottom w:val="0"/>
                                                              <w:divBdr>
                                                                <w:top w:val="none" w:sz="0" w:space="0" w:color="auto"/>
                                                                <w:left w:val="none" w:sz="0" w:space="0" w:color="auto"/>
                                                                <w:bottom w:val="none" w:sz="0" w:space="0" w:color="auto"/>
                                                                <w:right w:val="none" w:sz="0" w:space="0" w:color="auto"/>
                                                              </w:divBdr>
                                                              <w:divsChild>
                                                                <w:div w:id="2113351733">
                                                                  <w:marLeft w:val="0"/>
                                                                  <w:marRight w:val="0"/>
                                                                  <w:marTop w:val="0"/>
                                                                  <w:marBottom w:val="0"/>
                                                                  <w:divBdr>
                                                                    <w:top w:val="none" w:sz="0" w:space="0" w:color="auto"/>
                                                                    <w:left w:val="none" w:sz="0" w:space="0" w:color="auto"/>
                                                                    <w:bottom w:val="none" w:sz="0" w:space="0" w:color="auto"/>
                                                                    <w:right w:val="none" w:sz="0" w:space="0" w:color="auto"/>
                                                                  </w:divBdr>
                                                                  <w:divsChild>
                                                                    <w:div w:id="112289629">
                                                                      <w:marLeft w:val="0"/>
                                                                      <w:marRight w:val="0"/>
                                                                      <w:marTop w:val="0"/>
                                                                      <w:marBottom w:val="0"/>
                                                                      <w:divBdr>
                                                                        <w:top w:val="none" w:sz="0" w:space="0" w:color="auto"/>
                                                                        <w:left w:val="none" w:sz="0" w:space="0" w:color="auto"/>
                                                                        <w:bottom w:val="none" w:sz="0" w:space="0" w:color="auto"/>
                                                                        <w:right w:val="none" w:sz="0" w:space="0" w:color="auto"/>
                                                                      </w:divBdr>
                                                                      <w:divsChild>
                                                                        <w:div w:id="1605188943">
                                                                          <w:marLeft w:val="0"/>
                                                                          <w:marRight w:val="0"/>
                                                                          <w:marTop w:val="0"/>
                                                                          <w:marBottom w:val="0"/>
                                                                          <w:divBdr>
                                                                            <w:top w:val="none" w:sz="0" w:space="0" w:color="auto"/>
                                                                            <w:left w:val="none" w:sz="0" w:space="0" w:color="auto"/>
                                                                            <w:bottom w:val="none" w:sz="0" w:space="0" w:color="auto"/>
                                                                            <w:right w:val="none" w:sz="0" w:space="0" w:color="auto"/>
                                                                          </w:divBdr>
                                                                        </w:div>
                                                                        <w:div w:id="1259220879">
                                                                          <w:marLeft w:val="0"/>
                                                                          <w:marRight w:val="0"/>
                                                                          <w:marTop w:val="0"/>
                                                                          <w:marBottom w:val="0"/>
                                                                          <w:divBdr>
                                                                            <w:top w:val="none" w:sz="0" w:space="0" w:color="auto"/>
                                                                            <w:left w:val="none" w:sz="0" w:space="0" w:color="auto"/>
                                                                            <w:bottom w:val="none" w:sz="0" w:space="0" w:color="auto"/>
                                                                            <w:right w:val="none" w:sz="0" w:space="0" w:color="auto"/>
                                                                          </w:divBdr>
                                                                          <w:divsChild>
                                                                            <w:div w:id="1489515702">
                                                                              <w:marLeft w:val="0"/>
                                                                              <w:marRight w:val="0"/>
                                                                              <w:marTop w:val="0"/>
                                                                              <w:marBottom w:val="0"/>
                                                                              <w:divBdr>
                                                                                <w:top w:val="none" w:sz="0" w:space="0" w:color="auto"/>
                                                                                <w:left w:val="none" w:sz="0" w:space="0" w:color="auto"/>
                                                                                <w:bottom w:val="none" w:sz="0" w:space="0" w:color="auto"/>
                                                                                <w:right w:val="none" w:sz="0" w:space="0" w:color="auto"/>
                                                                              </w:divBdr>
                                                                              <w:divsChild>
                                                                                <w:div w:id="3830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01712">
                                                                  <w:marLeft w:val="0"/>
                                                                  <w:marRight w:val="0"/>
                                                                  <w:marTop w:val="0"/>
                                                                  <w:marBottom w:val="0"/>
                                                                  <w:divBdr>
                                                                    <w:top w:val="none" w:sz="0" w:space="0" w:color="auto"/>
                                                                    <w:left w:val="none" w:sz="0" w:space="0" w:color="auto"/>
                                                                    <w:bottom w:val="none" w:sz="0" w:space="0" w:color="auto"/>
                                                                    <w:right w:val="none" w:sz="0" w:space="0" w:color="auto"/>
                                                                  </w:divBdr>
                                                                  <w:divsChild>
                                                                    <w:div w:id="419834910">
                                                                      <w:marLeft w:val="0"/>
                                                                      <w:marRight w:val="0"/>
                                                                      <w:marTop w:val="0"/>
                                                                      <w:marBottom w:val="0"/>
                                                                      <w:divBdr>
                                                                        <w:top w:val="none" w:sz="0" w:space="0" w:color="auto"/>
                                                                        <w:left w:val="none" w:sz="0" w:space="0" w:color="auto"/>
                                                                        <w:bottom w:val="none" w:sz="0" w:space="0" w:color="auto"/>
                                                                        <w:right w:val="none" w:sz="0" w:space="0" w:color="auto"/>
                                                                      </w:divBdr>
                                                                      <w:divsChild>
                                                                        <w:div w:id="1682656218">
                                                                          <w:marLeft w:val="0"/>
                                                                          <w:marRight w:val="0"/>
                                                                          <w:marTop w:val="0"/>
                                                                          <w:marBottom w:val="0"/>
                                                                          <w:divBdr>
                                                                            <w:top w:val="none" w:sz="0" w:space="0" w:color="auto"/>
                                                                            <w:left w:val="none" w:sz="0" w:space="0" w:color="auto"/>
                                                                            <w:bottom w:val="none" w:sz="0" w:space="0" w:color="auto"/>
                                                                            <w:right w:val="none" w:sz="0" w:space="0" w:color="auto"/>
                                                                          </w:divBdr>
                                                                          <w:divsChild>
                                                                            <w:div w:id="17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8707">
                                                                      <w:marLeft w:val="0"/>
                                                                      <w:marRight w:val="0"/>
                                                                      <w:marTop w:val="0"/>
                                                                      <w:marBottom w:val="0"/>
                                                                      <w:divBdr>
                                                                        <w:top w:val="none" w:sz="0" w:space="0" w:color="auto"/>
                                                                        <w:left w:val="none" w:sz="0" w:space="0" w:color="auto"/>
                                                                        <w:bottom w:val="none" w:sz="0" w:space="0" w:color="auto"/>
                                                                        <w:right w:val="none" w:sz="0" w:space="0" w:color="auto"/>
                                                                      </w:divBdr>
                                                                    </w:div>
                                                                  </w:divsChild>
                                                                </w:div>
                                                                <w:div w:id="1920215881">
                                                                  <w:marLeft w:val="0"/>
                                                                  <w:marRight w:val="0"/>
                                                                  <w:marTop w:val="0"/>
                                                                  <w:marBottom w:val="0"/>
                                                                  <w:divBdr>
                                                                    <w:top w:val="none" w:sz="0" w:space="0" w:color="auto"/>
                                                                    <w:left w:val="none" w:sz="0" w:space="0" w:color="auto"/>
                                                                    <w:bottom w:val="none" w:sz="0" w:space="0" w:color="auto"/>
                                                                    <w:right w:val="none" w:sz="0" w:space="0" w:color="auto"/>
                                                                  </w:divBdr>
                                                                  <w:divsChild>
                                                                    <w:div w:id="1281884340">
                                                                      <w:marLeft w:val="0"/>
                                                                      <w:marRight w:val="0"/>
                                                                      <w:marTop w:val="0"/>
                                                                      <w:marBottom w:val="0"/>
                                                                      <w:divBdr>
                                                                        <w:top w:val="none" w:sz="0" w:space="0" w:color="auto"/>
                                                                        <w:left w:val="none" w:sz="0" w:space="0" w:color="auto"/>
                                                                        <w:bottom w:val="none" w:sz="0" w:space="0" w:color="auto"/>
                                                                        <w:right w:val="none" w:sz="0" w:space="0" w:color="auto"/>
                                                                      </w:divBdr>
                                                                      <w:divsChild>
                                                                        <w:div w:id="271204862">
                                                                          <w:marLeft w:val="0"/>
                                                                          <w:marRight w:val="0"/>
                                                                          <w:marTop w:val="0"/>
                                                                          <w:marBottom w:val="0"/>
                                                                          <w:divBdr>
                                                                            <w:top w:val="none" w:sz="0" w:space="0" w:color="auto"/>
                                                                            <w:left w:val="none" w:sz="0" w:space="0" w:color="auto"/>
                                                                            <w:bottom w:val="none" w:sz="0" w:space="0" w:color="auto"/>
                                                                            <w:right w:val="none" w:sz="0" w:space="0" w:color="auto"/>
                                                                          </w:divBdr>
                                                                          <w:divsChild>
                                                                            <w:div w:id="10527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1578">
                                                              <w:marLeft w:val="0"/>
                                                              <w:marRight w:val="0"/>
                                                              <w:marTop w:val="0"/>
                                                              <w:marBottom w:val="0"/>
                                                              <w:divBdr>
                                                                <w:top w:val="none" w:sz="0" w:space="0" w:color="auto"/>
                                                                <w:left w:val="none" w:sz="0" w:space="0" w:color="auto"/>
                                                                <w:bottom w:val="none" w:sz="0" w:space="0" w:color="auto"/>
                                                                <w:right w:val="none" w:sz="0" w:space="0" w:color="auto"/>
                                                              </w:divBdr>
                                                              <w:divsChild>
                                                                <w:div w:id="202405102">
                                                                  <w:marLeft w:val="0"/>
                                                                  <w:marRight w:val="0"/>
                                                                  <w:marTop w:val="0"/>
                                                                  <w:marBottom w:val="0"/>
                                                                  <w:divBdr>
                                                                    <w:top w:val="none" w:sz="0" w:space="0" w:color="auto"/>
                                                                    <w:left w:val="none" w:sz="0" w:space="0" w:color="auto"/>
                                                                    <w:bottom w:val="none" w:sz="0" w:space="0" w:color="auto"/>
                                                                    <w:right w:val="none" w:sz="0" w:space="0" w:color="auto"/>
                                                                  </w:divBdr>
                                                                  <w:divsChild>
                                                                    <w:div w:id="1557349915">
                                                                      <w:marLeft w:val="0"/>
                                                                      <w:marRight w:val="0"/>
                                                                      <w:marTop w:val="0"/>
                                                                      <w:marBottom w:val="0"/>
                                                                      <w:divBdr>
                                                                        <w:top w:val="none" w:sz="0" w:space="0" w:color="auto"/>
                                                                        <w:left w:val="none" w:sz="0" w:space="0" w:color="auto"/>
                                                                        <w:bottom w:val="none" w:sz="0" w:space="0" w:color="auto"/>
                                                                        <w:right w:val="none" w:sz="0" w:space="0" w:color="auto"/>
                                                                      </w:divBdr>
                                                                      <w:divsChild>
                                                                        <w:div w:id="2038113064">
                                                                          <w:marLeft w:val="0"/>
                                                                          <w:marRight w:val="0"/>
                                                                          <w:marTop w:val="0"/>
                                                                          <w:marBottom w:val="0"/>
                                                                          <w:divBdr>
                                                                            <w:top w:val="none" w:sz="0" w:space="0" w:color="auto"/>
                                                                            <w:left w:val="none" w:sz="0" w:space="0" w:color="auto"/>
                                                                            <w:bottom w:val="none" w:sz="0" w:space="0" w:color="auto"/>
                                                                            <w:right w:val="none" w:sz="0" w:space="0" w:color="auto"/>
                                                                          </w:divBdr>
                                                                        </w:div>
                                                                        <w:div w:id="894508431">
                                                                          <w:marLeft w:val="0"/>
                                                                          <w:marRight w:val="0"/>
                                                                          <w:marTop w:val="0"/>
                                                                          <w:marBottom w:val="0"/>
                                                                          <w:divBdr>
                                                                            <w:top w:val="none" w:sz="0" w:space="0" w:color="auto"/>
                                                                            <w:left w:val="none" w:sz="0" w:space="0" w:color="auto"/>
                                                                            <w:bottom w:val="none" w:sz="0" w:space="0" w:color="auto"/>
                                                                            <w:right w:val="none" w:sz="0" w:space="0" w:color="auto"/>
                                                                          </w:divBdr>
                                                                        </w:div>
                                                                        <w:div w:id="274140789">
                                                                          <w:marLeft w:val="0"/>
                                                                          <w:marRight w:val="0"/>
                                                                          <w:marTop w:val="0"/>
                                                                          <w:marBottom w:val="0"/>
                                                                          <w:divBdr>
                                                                            <w:top w:val="none" w:sz="0" w:space="0" w:color="auto"/>
                                                                            <w:left w:val="none" w:sz="0" w:space="0" w:color="auto"/>
                                                                            <w:bottom w:val="none" w:sz="0" w:space="0" w:color="auto"/>
                                                                            <w:right w:val="none" w:sz="0" w:space="0" w:color="auto"/>
                                                                          </w:divBdr>
                                                                        </w:div>
                                                                        <w:div w:id="965623676">
                                                                          <w:marLeft w:val="0"/>
                                                                          <w:marRight w:val="0"/>
                                                                          <w:marTop w:val="0"/>
                                                                          <w:marBottom w:val="0"/>
                                                                          <w:divBdr>
                                                                            <w:top w:val="none" w:sz="0" w:space="0" w:color="auto"/>
                                                                            <w:left w:val="none" w:sz="0" w:space="0" w:color="auto"/>
                                                                            <w:bottom w:val="none" w:sz="0" w:space="0" w:color="auto"/>
                                                                            <w:right w:val="none" w:sz="0" w:space="0" w:color="auto"/>
                                                                          </w:divBdr>
                                                                        </w:div>
                                                                        <w:div w:id="971209535">
                                                                          <w:marLeft w:val="0"/>
                                                                          <w:marRight w:val="0"/>
                                                                          <w:marTop w:val="0"/>
                                                                          <w:marBottom w:val="0"/>
                                                                          <w:divBdr>
                                                                            <w:top w:val="none" w:sz="0" w:space="0" w:color="auto"/>
                                                                            <w:left w:val="none" w:sz="0" w:space="0" w:color="auto"/>
                                                                            <w:bottom w:val="none" w:sz="0" w:space="0" w:color="auto"/>
                                                                            <w:right w:val="none" w:sz="0" w:space="0" w:color="auto"/>
                                                                          </w:divBdr>
                                                                          <w:divsChild>
                                                                            <w:div w:id="43724807">
                                                                              <w:marLeft w:val="0"/>
                                                                              <w:marRight w:val="0"/>
                                                                              <w:marTop w:val="280"/>
                                                                              <w:marBottom w:val="280"/>
                                                                              <w:divBdr>
                                                                                <w:top w:val="none" w:sz="0" w:space="0" w:color="auto"/>
                                                                                <w:left w:val="none" w:sz="0" w:space="0" w:color="auto"/>
                                                                                <w:bottom w:val="none" w:sz="0" w:space="0" w:color="auto"/>
                                                                                <w:right w:val="none" w:sz="0" w:space="0" w:color="auto"/>
                                                                              </w:divBdr>
                                                                            </w:div>
                                                                            <w:div w:id="264117707">
                                                                              <w:marLeft w:val="0"/>
                                                                              <w:marRight w:val="0"/>
                                                                              <w:marTop w:val="280"/>
                                                                              <w:marBottom w:val="280"/>
                                                                              <w:divBdr>
                                                                                <w:top w:val="none" w:sz="0" w:space="0" w:color="auto"/>
                                                                                <w:left w:val="none" w:sz="0" w:space="0" w:color="auto"/>
                                                                                <w:bottom w:val="none" w:sz="0" w:space="0" w:color="auto"/>
                                                                                <w:right w:val="none" w:sz="0" w:space="0" w:color="auto"/>
                                                                              </w:divBdr>
                                                                            </w:div>
                                                                            <w:div w:id="381634616">
                                                                              <w:marLeft w:val="1134"/>
                                                                              <w:marRight w:val="1042"/>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71945">
      <w:bodyDiv w:val="1"/>
      <w:marLeft w:val="0"/>
      <w:marRight w:val="0"/>
      <w:marTop w:val="0"/>
      <w:marBottom w:val="0"/>
      <w:divBdr>
        <w:top w:val="none" w:sz="0" w:space="0" w:color="auto"/>
        <w:left w:val="none" w:sz="0" w:space="0" w:color="auto"/>
        <w:bottom w:val="none" w:sz="0" w:space="0" w:color="auto"/>
        <w:right w:val="none" w:sz="0" w:space="0" w:color="auto"/>
      </w:divBdr>
    </w:div>
    <w:div w:id="110245160">
      <w:bodyDiv w:val="1"/>
      <w:marLeft w:val="0"/>
      <w:marRight w:val="0"/>
      <w:marTop w:val="0"/>
      <w:marBottom w:val="0"/>
      <w:divBdr>
        <w:top w:val="none" w:sz="0" w:space="0" w:color="auto"/>
        <w:left w:val="none" w:sz="0" w:space="0" w:color="auto"/>
        <w:bottom w:val="none" w:sz="0" w:space="0" w:color="auto"/>
        <w:right w:val="none" w:sz="0" w:space="0" w:color="auto"/>
      </w:divBdr>
    </w:div>
    <w:div w:id="243073483">
      <w:bodyDiv w:val="1"/>
      <w:marLeft w:val="0"/>
      <w:marRight w:val="0"/>
      <w:marTop w:val="0"/>
      <w:marBottom w:val="0"/>
      <w:divBdr>
        <w:top w:val="none" w:sz="0" w:space="0" w:color="auto"/>
        <w:left w:val="none" w:sz="0" w:space="0" w:color="auto"/>
        <w:bottom w:val="none" w:sz="0" w:space="0" w:color="auto"/>
        <w:right w:val="none" w:sz="0" w:space="0" w:color="auto"/>
      </w:divBdr>
    </w:div>
    <w:div w:id="254436802">
      <w:bodyDiv w:val="1"/>
      <w:marLeft w:val="0"/>
      <w:marRight w:val="0"/>
      <w:marTop w:val="0"/>
      <w:marBottom w:val="0"/>
      <w:divBdr>
        <w:top w:val="none" w:sz="0" w:space="0" w:color="auto"/>
        <w:left w:val="none" w:sz="0" w:space="0" w:color="auto"/>
        <w:bottom w:val="none" w:sz="0" w:space="0" w:color="auto"/>
        <w:right w:val="none" w:sz="0" w:space="0" w:color="auto"/>
      </w:divBdr>
    </w:div>
    <w:div w:id="280695357">
      <w:bodyDiv w:val="1"/>
      <w:marLeft w:val="0"/>
      <w:marRight w:val="0"/>
      <w:marTop w:val="0"/>
      <w:marBottom w:val="0"/>
      <w:divBdr>
        <w:top w:val="none" w:sz="0" w:space="0" w:color="auto"/>
        <w:left w:val="none" w:sz="0" w:space="0" w:color="auto"/>
        <w:bottom w:val="none" w:sz="0" w:space="0" w:color="auto"/>
        <w:right w:val="none" w:sz="0" w:space="0" w:color="auto"/>
      </w:divBdr>
    </w:div>
    <w:div w:id="345062778">
      <w:bodyDiv w:val="1"/>
      <w:marLeft w:val="0"/>
      <w:marRight w:val="0"/>
      <w:marTop w:val="0"/>
      <w:marBottom w:val="0"/>
      <w:divBdr>
        <w:top w:val="none" w:sz="0" w:space="0" w:color="auto"/>
        <w:left w:val="none" w:sz="0" w:space="0" w:color="auto"/>
        <w:bottom w:val="none" w:sz="0" w:space="0" w:color="auto"/>
        <w:right w:val="none" w:sz="0" w:space="0" w:color="auto"/>
      </w:divBdr>
    </w:div>
    <w:div w:id="346295455">
      <w:bodyDiv w:val="1"/>
      <w:marLeft w:val="0"/>
      <w:marRight w:val="0"/>
      <w:marTop w:val="0"/>
      <w:marBottom w:val="0"/>
      <w:divBdr>
        <w:top w:val="none" w:sz="0" w:space="0" w:color="auto"/>
        <w:left w:val="none" w:sz="0" w:space="0" w:color="auto"/>
        <w:bottom w:val="none" w:sz="0" w:space="0" w:color="auto"/>
        <w:right w:val="none" w:sz="0" w:space="0" w:color="auto"/>
      </w:divBdr>
    </w:div>
    <w:div w:id="353312916">
      <w:bodyDiv w:val="1"/>
      <w:marLeft w:val="0"/>
      <w:marRight w:val="0"/>
      <w:marTop w:val="0"/>
      <w:marBottom w:val="0"/>
      <w:divBdr>
        <w:top w:val="none" w:sz="0" w:space="0" w:color="auto"/>
        <w:left w:val="none" w:sz="0" w:space="0" w:color="auto"/>
        <w:bottom w:val="none" w:sz="0" w:space="0" w:color="auto"/>
        <w:right w:val="none" w:sz="0" w:space="0" w:color="auto"/>
      </w:divBdr>
    </w:div>
    <w:div w:id="370611785">
      <w:bodyDiv w:val="1"/>
      <w:marLeft w:val="0"/>
      <w:marRight w:val="0"/>
      <w:marTop w:val="0"/>
      <w:marBottom w:val="0"/>
      <w:divBdr>
        <w:top w:val="none" w:sz="0" w:space="0" w:color="auto"/>
        <w:left w:val="none" w:sz="0" w:space="0" w:color="auto"/>
        <w:bottom w:val="none" w:sz="0" w:space="0" w:color="auto"/>
        <w:right w:val="none" w:sz="0" w:space="0" w:color="auto"/>
      </w:divBdr>
    </w:div>
    <w:div w:id="379284107">
      <w:bodyDiv w:val="1"/>
      <w:marLeft w:val="0"/>
      <w:marRight w:val="0"/>
      <w:marTop w:val="0"/>
      <w:marBottom w:val="0"/>
      <w:divBdr>
        <w:top w:val="none" w:sz="0" w:space="0" w:color="auto"/>
        <w:left w:val="none" w:sz="0" w:space="0" w:color="auto"/>
        <w:bottom w:val="none" w:sz="0" w:space="0" w:color="auto"/>
        <w:right w:val="none" w:sz="0" w:space="0" w:color="auto"/>
      </w:divBdr>
    </w:div>
    <w:div w:id="393700519">
      <w:bodyDiv w:val="1"/>
      <w:marLeft w:val="0"/>
      <w:marRight w:val="0"/>
      <w:marTop w:val="0"/>
      <w:marBottom w:val="0"/>
      <w:divBdr>
        <w:top w:val="none" w:sz="0" w:space="0" w:color="auto"/>
        <w:left w:val="none" w:sz="0" w:space="0" w:color="auto"/>
        <w:bottom w:val="none" w:sz="0" w:space="0" w:color="auto"/>
        <w:right w:val="none" w:sz="0" w:space="0" w:color="auto"/>
      </w:divBdr>
    </w:div>
    <w:div w:id="398409749">
      <w:bodyDiv w:val="1"/>
      <w:marLeft w:val="0"/>
      <w:marRight w:val="0"/>
      <w:marTop w:val="0"/>
      <w:marBottom w:val="0"/>
      <w:divBdr>
        <w:top w:val="none" w:sz="0" w:space="0" w:color="auto"/>
        <w:left w:val="none" w:sz="0" w:space="0" w:color="auto"/>
        <w:bottom w:val="none" w:sz="0" w:space="0" w:color="auto"/>
        <w:right w:val="none" w:sz="0" w:space="0" w:color="auto"/>
      </w:divBdr>
    </w:div>
    <w:div w:id="411968849">
      <w:bodyDiv w:val="1"/>
      <w:marLeft w:val="0"/>
      <w:marRight w:val="0"/>
      <w:marTop w:val="0"/>
      <w:marBottom w:val="0"/>
      <w:divBdr>
        <w:top w:val="none" w:sz="0" w:space="0" w:color="auto"/>
        <w:left w:val="none" w:sz="0" w:space="0" w:color="auto"/>
        <w:bottom w:val="none" w:sz="0" w:space="0" w:color="auto"/>
        <w:right w:val="none" w:sz="0" w:space="0" w:color="auto"/>
      </w:divBdr>
    </w:div>
    <w:div w:id="430514905">
      <w:bodyDiv w:val="1"/>
      <w:marLeft w:val="0"/>
      <w:marRight w:val="0"/>
      <w:marTop w:val="0"/>
      <w:marBottom w:val="0"/>
      <w:divBdr>
        <w:top w:val="none" w:sz="0" w:space="0" w:color="auto"/>
        <w:left w:val="none" w:sz="0" w:space="0" w:color="auto"/>
        <w:bottom w:val="none" w:sz="0" w:space="0" w:color="auto"/>
        <w:right w:val="none" w:sz="0" w:space="0" w:color="auto"/>
      </w:divBdr>
      <w:divsChild>
        <w:div w:id="1410348955">
          <w:marLeft w:val="1166"/>
          <w:marRight w:val="0"/>
          <w:marTop w:val="82"/>
          <w:marBottom w:val="0"/>
          <w:divBdr>
            <w:top w:val="none" w:sz="0" w:space="0" w:color="auto"/>
            <w:left w:val="none" w:sz="0" w:space="0" w:color="auto"/>
            <w:bottom w:val="none" w:sz="0" w:space="0" w:color="auto"/>
            <w:right w:val="none" w:sz="0" w:space="0" w:color="auto"/>
          </w:divBdr>
        </w:div>
        <w:div w:id="1254362072">
          <w:marLeft w:val="1800"/>
          <w:marRight w:val="0"/>
          <w:marTop w:val="72"/>
          <w:marBottom w:val="0"/>
          <w:divBdr>
            <w:top w:val="none" w:sz="0" w:space="0" w:color="auto"/>
            <w:left w:val="none" w:sz="0" w:space="0" w:color="auto"/>
            <w:bottom w:val="none" w:sz="0" w:space="0" w:color="auto"/>
            <w:right w:val="none" w:sz="0" w:space="0" w:color="auto"/>
          </w:divBdr>
        </w:div>
        <w:div w:id="610208073">
          <w:marLeft w:val="1800"/>
          <w:marRight w:val="0"/>
          <w:marTop w:val="72"/>
          <w:marBottom w:val="0"/>
          <w:divBdr>
            <w:top w:val="none" w:sz="0" w:space="0" w:color="auto"/>
            <w:left w:val="none" w:sz="0" w:space="0" w:color="auto"/>
            <w:bottom w:val="none" w:sz="0" w:space="0" w:color="auto"/>
            <w:right w:val="none" w:sz="0" w:space="0" w:color="auto"/>
          </w:divBdr>
        </w:div>
        <w:div w:id="1247809925">
          <w:marLeft w:val="1800"/>
          <w:marRight w:val="0"/>
          <w:marTop w:val="72"/>
          <w:marBottom w:val="0"/>
          <w:divBdr>
            <w:top w:val="none" w:sz="0" w:space="0" w:color="auto"/>
            <w:left w:val="none" w:sz="0" w:space="0" w:color="auto"/>
            <w:bottom w:val="none" w:sz="0" w:space="0" w:color="auto"/>
            <w:right w:val="none" w:sz="0" w:space="0" w:color="auto"/>
          </w:divBdr>
        </w:div>
        <w:div w:id="1929577261">
          <w:marLeft w:val="1166"/>
          <w:marRight w:val="0"/>
          <w:marTop w:val="82"/>
          <w:marBottom w:val="0"/>
          <w:divBdr>
            <w:top w:val="none" w:sz="0" w:space="0" w:color="auto"/>
            <w:left w:val="none" w:sz="0" w:space="0" w:color="auto"/>
            <w:bottom w:val="none" w:sz="0" w:space="0" w:color="auto"/>
            <w:right w:val="none" w:sz="0" w:space="0" w:color="auto"/>
          </w:divBdr>
        </w:div>
        <w:div w:id="668563523">
          <w:marLeft w:val="1800"/>
          <w:marRight w:val="0"/>
          <w:marTop w:val="72"/>
          <w:marBottom w:val="0"/>
          <w:divBdr>
            <w:top w:val="none" w:sz="0" w:space="0" w:color="auto"/>
            <w:left w:val="none" w:sz="0" w:space="0" w:color="auto"/>
            <w:bottom w:val="none" w:sz="0" w:space="0" w:color="auto"/>
            <w:right w:val="none" w:sz="0" w:space="0" w:color="auto"/>
          </w:divBdr>
        </w:div>
        <w:div w:id="815033045">
          <w:marLeft w:val="1800"/>
          <w:marRight w:val="0"/>
          <w:marTop w:val="72"/>
          <w:marBottom w:val="0"/>
          <w:divBdr>
            <w:top w:val="none" w:sz="0" w:space="0" w:color="auto"/>
            <w:left w:val="none" w:sz="0" w:space="0" w:color="auto"/>
            <w:bottom w:val="none" w:sz="0" w:space="0" w:color="auto"/>
            <w:right w:val="none" w:sz="0" w:space="0" w:color="auto"/>
          </w:divBdr>
        </w:div>
      </w:divsChild>
    </w:div>
    <w:div w:id="452940514">
      <w:bodyDiv w:val="1"/>
      <w:marLeft w:val="0"/>
      <w:marRight w:val="0"/>
      <w:marTop w:val="0"/>
      <w:marBottom w:val="0"/>
      <w:divBdr>
        <w:top w:val="none" w:sz="0" w:space="0" w:color="auto"/>
        <w:left w:val="none" w:sz="0" w:space="0" w:color="auto"/>
        <w:bottom w:val="none" w:sz="0" w:space="0" w:color="auto"/>
        <w:right w:val="none" w:sz="0" w:space="0" w:color="auto"/>
      </w:divBdr>
      <w:divsChild>
        <w:div w:id="520704232">
          <w:marLeft w:val="1166"/>
          <w:marRight w:val="0"/>
          <w:marTop w:val="67"/>
          <w:marBottom w:val="0"/>
          <w:divBdr>
            <w:top w:val="none" w:sz="0" w:space="0" w:color="auto"/>
            <w:left w:val="none" w:sz="0" w:space="0" w:color="auto"/>
            <w:bottom w:val="none" w:sz="0" w:space="0" w:color="auto"/>
            <w:right w:val="none" w:sz="0" w:space="0" w:color="auto"/>
          </w:divBdr>
        </w:div>
        <w:div w:id="2125299661">
          <w:marLeft w:val="1800"/>
          <w:marRight w:val="0"/>
          <w:marTop w:val="62"/>
          <w:marBottom w:val="0"/>
          <w:divBdr>
            <w:top w:val="none" w:sz="0" w:space="0" w:color="auto"/>
            <w:left w:val="none" w:sz="0" w:space="0" w:color="auto"/>
            <w:bottom w:val="none" w:sz="0" w:space="0" w:color="auto"/>
            <w:right w:val="none" w:sz="0" w:space="0" w:color="auto"/>
          </w:divBdr>
        </w:div>
        <w:div w:id="451048648">
          <w:marLeft w:val="1800"/>
          <w:marRight w:val="0"/>
          <w:marTop w:val="62"/>
          <w:marBottom w:val="0"/>
          <w:divBdr>
            <w:top w:val="none" w:sz="0" w:space="0" w:color="auto"/>
            <w:left w:val="none" w:sz="0" w:space="0" w:color="auto"/>
            <w:bottom w:val="none" w:sz="0" w:space="0" w:color="auto"/>
            <w:right w:val="none" w:sz="0" w:space="0" w:color="auto"/>
          </w:divBdr>
        </w:div>
        <w:div w:id="499472575">
          <w:marLeft w:val="1166"/>
          <w:marRight w:val="0"/>
          <w:marTop w:val="67"/>
          <w:marBottom w:val="0"/>
          <w:divBdr>
            <w:top w:val="none" w:sz="0" w:space="0" w:color="auto"/>
            <w:left w:val="none" w:sz="0" w:space="0" w:color="auto"/>
            <w:bottom w:val="none" w:sz="0" w:space="0" w:color="auto"/>
            <w:right w:val="none" w:sz="0" w:space="0" w:color="auto"/>
          </w:divBdr>
        </w:div>
        <w:div w:id="26031160">
          <w:marLeft w:val="1800"/>
          <w:marRight w:val="0"/>
          <w:marTop w:val="62"/>
          <w:marBottom w:val="0"/>
          <w:divBdr>
            <w:top w:val="none" w:sz="0" w:space="0" w:color="auto"/>
            <w:left w:val="none" w:sz="0" w:space="0" w:color="auto"/>
            <w:bottom w:val="none" w:sz="0" w:space="0" w:color="auto"/>
            <w:right w:val="none" w:sz="0" w:space="0" w:color="auto"/>
          </w:divBdr>
        </w:div>
        <w:div w:id="823932469">
          <w:marLeft w:val="1800"/>
          <w:marRight w:val="0"/>
          <w:marTop w:val="62"/>
          <w:marBottom w:val="0"/>
          <w:divBdr>
            <w:top w:val="none" w:sz="0" w:space="0" w:color="auto"/>
            <w:left w:val="none" w:sz="0" w:space="0" w:color="auto"/>
            <w:bottom w:val="none" w:sz="0" w:space="0" w:color="auto"/>
            <w:right w:val="none" w:sz="0" w:space="0" w:color="auto"/>
          </w:divBdr>
        </w:div>
      </w:divsChild>
    </w:div>
    <w:div w:id="461774311">
      <w:bodyDiv w:val="1"/>
      <w:marLeft w:val="0"/>
      <w:marRight w:val="0"/>
      <w:marTop w:val="0"/>
      <w:marBottom w:val="0"/>
      <w:divBdr>
        <w:top w:val="none" w:sz="0" w:space="0" w:color="auto"/>
        <w:left w:val="none" w:sz="0" w:space="0" w:color="auto"/>
        <w:bottom w:val="none" w:sz="0" w:space="0" w:color="auto"/>
        <w:right w:val="none" w:sz="0" w:space="0" w:color="auto"/>
      </w:divBdr>
    </w:div>
    <w:div w:id="513957957">
      <w:bodyDiv w:val="1"/>
      <w:marLeft w:val="0"/>
      <w:marRight w:val="0"/>
      <w:marTop w:val="0"/>
      <w:marBottom w:val="0"/>
      <w:divBdr>
        <w:top w:val="none" w:sz="0" w:space="0" w:color="auto"/>
        <w:left w:val="none" w:sz="0" w:space="0" w:color="auto"/>
        <w:bottom w:val="none" w:sz="0" w:space="0" w:color="auto"/>
        <w:right w:val="none" w:sz="0" w:space="0" w:color="auto"/>
      </w:divBdr>
    </w:div>
    <w:div w:id="535504290">
      <w:bodyDiv w:val="1"/>
      <w:marLeft w:val="0"/>
      <w:marRight w:val="0"/>
      <w:marTop w:val="0"/>
      <w:marBottom w:val="0"/>
      <w:divBdr>
        <w:top w:val="none" w:sz="0" w:space="0" w:color="auto"/>
        <w:left w:val="none" w:sz="0" w:space="0" w:color="auto"/>
        <w:bottom w:val="none" w:sz="0" w:space="0" w:color="auto"/>
        <w:right w:val="none" w:sz="0" w:space="0" w:color="auto"/>
      </w:divBdr>
    </w:div>
    <w:div w:id="583030709">
      <w:bodyDiv w:val="1"/>
      <w:marLeft w:val="0"/>
      <w:marRight w:val="0"/>
      <w:marTop w:val="0"/>
      <w:marBottom w:val="0"/>
      <w:divBdr>
        <w:top w:val="none" w:sz="0" w:space="0" w:color="auto"/>
        <w:left w:val="none" w:sz="0" w:space="0" w:color="auto"/>
        <w:bottom w:val="none" w:sz="0" w:space="0" w:color="auto"/>
        <w:right w:val="none" w:sz="0" w:space="0" w:color="auto"/>
      </w:divBdr>
    </w:div>
    <w:div w:id="731731354">
      <w:bodyDiv w:val="1"/>
      <w:marLeft w:val="0"/>
      <w:marRight w:val="0"/>
      <w:marTop w:val="0"/>
      <w:marBottom w:val="0"/>
      <w:divBdr>
        <w:top w:val="none" w:sz="0" w:space="0" w:color="auto"/>
        <w:left w:val="none" w:sz="0" w:space="0" w:color="auto"/>
        <w:bottom w:val="none" w:sz="0" w:space="0" w:color="auto"/>
        <w:right w:val="none" w:sz="0" w:space="0" w:color="auto"/>
      </w:divBdr>
    </w:div>
    <w:div w:id="784426832">
      <w:bodyDiv w:val="1"/>
      <w:marLeft w:val="0"/>
      <w:marRight w:val="0"/>
      <w:marTop w:val="0"/>
      <w:marBottom w:val="0"/>
      <w:divBdr>
        <w:top w:val="none" w:sz="0" w:space="0" w:color="auto"/>
        <w:left w:val="none" w:sz="0" w:space="0" w:color="auto"/>
        <w:bottom w:val="none" w:sz="0" w:space="0" w:color="auto"/>
        <w:right w:val="none" w:sz="0" w:space="0" w:color="auto"/>
      </w:divBdr>
    </w:div>
    <w:div w:id="785582592">
      <w:bodyDiv w:val="1"/>
      <w:marLeft w:val="0"/>
      <w:marRight w:val="0"/>
      <w:marTop w:val="0"/>
      <w:marBottom w:val="0"/>
      <w:divBdr>
        <w:top w:val="none" w:sz="0" w:space="0" w:color="auto"/>
        <w:left w:val="none" w:sz="0" w:space="0" w:color="auto"/>
        <w:bottom w:val="none" w:sz="0" w:space="0" w:color="auto"/>
        <w:right w:val="none" w:sz="0" w:space="0" w:color="auto"/>
      </w:divBdr>
    </w:div>
    <w:div w:id="812527978">
      <w:bodyDiv w:val="1"/>
      <w:marLeft w:val="0"/>
      <w:marRight w:val="0"/>
      <w:marTop w:val="0"/>
      <w:marBottom w:val="0"/>
      <w:divBdr>
        <w:top w:val="none" w:sz="0" w:space="0" w:color="auto"/>
        <w:left w:val="none" w:sz="0" w:space="0" w:color="auto"/>
        <w:bottom w:val="none" w:sz="0" w:space="0" w:color="auto"/>
        <w:right w:val="none" w:sz="0" w:space="0" w:color="auto"/>
      </w:divBdr>
    </w:div>
    <w:div w:id="852379835">
      <w:bodyDiv w:val="1"/>
      <w:marLeft w:val="0"/>
      <w:marRight w:val="0"/>
      <w:marTop w:val="0"/>
      <w:marBottom w:val="0"/>
      <w:divBdr>
        <w:top w:val="none" w:sz="0" w:space="0" w:color="auto"/>
        <w:left w:val="none" w:sz="0" w:space="0" w:color="auto"/>
        <w:bottom w:val="none" w:sz="0" w:space="0" w:color="auto"/>
        <w:right w:val="none" w:sz="0" w:space="0" w:color="auto"/>
      </w:divBdr>
    </w:div>
    <w:div w:id="866138255">
      <w:bodyDiv w:val="1"/>
      <w:marLeft w:val="0"/>
      <w:marRight w:val="0"/>
      <w:marTop w:val="0"/>
      <w:marBottom w:val="0"/>
      <w:divBdr>
        <w:top w:val="none" w:sz="0" w:space="0" w:color="auto"/>
        <w:left w:val="none" w:sz="0" w:space="0" w:color="auto"/>
        <w:bottom w:val="none" w:sz="0" w:space="0" w:color="auto"/>
        <w:right w:val="none" w:sz="0" w:space="0" w:color="auto"/>
      </w:divBdr>
    </w:div>
    <w:div w:id="955673083">
      <w:bodyDiv w:val="1"/>
      <w:marLeft w:val="0"/>
      <w:marRight w:val="0"/>
      <w:marTop w:val="0"/>
      <w:marBottom w:val="0"/>
      <w:divBdr>
        <w:top w:val="none" w:sz="0" w:space="0" w:color="auto"/>
        <w:left w:val="none" w:sz="0" w:space="0" w:color="auto"/>
        <w:bottom w:val="none" w:sz="0" w:space="0" w:color="auto"/>
        <w:right w:val="none" w:sz="0" w:space="0" w:color="auto"/>
      </w:divBdr>
      <w:divsChild>
        <w:div w:id="393818300">
          <w:marLeft w:val="1166"/>
          <w:marRight w:val="0"/>
          <w:marTop w:val="91"/>
          <w:marBottom w:val="0"/>
          <w:divBdr>
            <w:top w:val="none" w:sz="0" w:space="0" w:color="auto"/>
            <w:left w:val="none" w:sz="0" w:space="0" w:color="auto"/>
            <w:bottom w:val="none" w:sz="0" w:space="0" w:color="auto"/>
            <w:right w:val="none" w:sz="0" w:space="0" w:color="auto"/>
          </w:divBdr>
        </w:div>
        <w:div w:id="490219788">
          <w:marLeft w:val="547"/>
          <w:marRight w:val="0"/>
          <w:marTop w:val="106"/>
          <w:marBottom w:val="0"/>
          <w:divBdr>
            <w:top w:val="none" w:sz="0" w:space="0" w:color="auto"/>
            <w:left w:val="none" w:sz="0" w:space="0" w:color="auto"/>
            <w:bottom w:val="none" w:sz="0" w:space="0" w:color="auto"/>
            <w:right w:val="none" w:sz="0" w:space="0" w:color="auto"/>
          </w:divBdr>
        </w:div>
        <w:div w:id="1364331716">
          <w:marLeft w:val="1166"/>
          <w:marRight w:val="0"/>
          <w:marTop w:val="91"/>
          <w:marBottom w:val="0"/>
          <w:divBdr>
            <w:top w:val="none" w:sz="0" w:space="0" w:color="auto"/>
            <w:left w:val="none" w:sz="0" w:space="0" w:color="auto"/>
            <w:bottom w:val="none" w:sz="0" w:space="0" w:color="auto"/>
            <w:right w:val="none" w:sz="0" w:space="0" w:color="auto"/>
          </w:divBdr>
        </w:div>
      </w:divsChild>
    </w:div>
    <w:div w:id="961964471">
      <w:bodyDiv w:val="1"/>
      <w:marLeft w:val="0"/>
      <w:marRight w:val="0"/>
      <w:marTop w:val="0"/>
      <w:marBottom w:val="0"/>
      <w:divBdr>
        <w:top w:val="none" w:sz="0" w:space="0" w:color="auto"/>
        <w:left w:val="none" w:sz="0" w:space="0" w:color="auto"/>
        <w:bottom w:val="none" w:sz="0" w:space="0" w:color="auto"/>
        <w:right w:val="none" w:sz="0" w:space="0" w:color="auto"/>
      </w:divBdr>
    </w:div>
    <w:div w:id="1072507342">
      <w:bodyDiv w:val="1"/>
      <w:marLeft w:val="0"/>
      <w:marRight w:val="0"/>
      <w:marTop w:val="0"/>
      <w:marBottom w:val="0"/>
      <w:divBdr>
        <w:top w:val="none" w:sz="0" w:space="0" w:color="auto"/>
        <w:left w:val="none" w:sz="0" w:space="0" w:color="auto"/>
        <w:bottom w:val="none" w:sz="0" w:space="0" w:color="auto"/>
        <w:right w:val="none" w:sz="0" w:space="0" w:color="auto"/>
      </w:divBdr>
      <w:divsChild>
        <w:div w:id="1969702219">
          <w:marLeft w:val="0"/>
          <w:marRight w:val="0"/>
          <w:marTop w:val="0"/>
          <w:marBottom w:val="0"/>
          <w:divBdr>
            <w:top w:val="none" w:sz="0" w:space="0" w:color="auto"/>
            <w:left w:val="none" w:sz="0" w:space="0" w:color="auto"/>
            <w:bottom w:val="none" w:sz="0" w:space="0" w:color="auto"/>
            <w:right w:val="none" w:sz="0" w:space="0" w:color="auto"/>
          </w:divBdr>
          <w:divsChild>
            <w:div w:id="1210452816">
              <w:marLeft w:val="0"/>
              <w:marRight w:val="0"/>
              <w:marTop w:val="0"/>
              <w:marBottom w:val="0"/>
              <w:divBdr>
                <w:top w:val="none" w:sz="0" w:space="0" w:color="auto"/>
                <w:left w:val="none" w:sz="0" w:space="0" w:color="auto"/>
                <w:bottom w:val="none" w:sz="0" w:space="0" w:color="auto"/>
                <w:right w:val="none" w:sz="0" w:space="0" w:color="auto"/>
              </w:divBdr>
            </w:div>
          </w:divsChild>
        </w:div>
        <w:div w:id="532154163">
          <w:marLeft w:val="0"/>
          <w:marRight w:val="0"/>
          <w:marTop w:val="0"/>
          <w:marBottom w:val="0"/>
          <w:divBdr>
            <w:top w:val="none" w:sz="0" w:space="0" w:color="auto"/>
            <w:left w:val="none" w:sz="0" w:space="0" w:color="auto"/>
            <w:bottom w:val="none" w:sz="0" w:space="0" w:color="auto"/>
            <w:right w:val="none" w:sz="0" w:space="0" w:color="auto"/>
          </w:divBdr>
          <w:divsChild>
            <w:div w:id="15097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5689">
      <w:bodyDiv w:val="1"/>
      <w:marLeft w:val="0"/>
      <w:marRight w:val="0"/>
      <w:marTop w:val="0"/>
      <w:marBottom w:val="0"/>
      <w:divBdr>
        <w:top w:val="none" w:sz="0" w:space="0" w:color="auto"/>
        <w:left w:val="none" w:sz="0" w:space="0" w:color="auto"/>
        <w:bottom w:val="none" w:sz="0" w:space="0" w:color="auto"/>
        <w:right w:val="none" w:sz="0" w:space="0" w:color="auto"/>
      </w:divBdr>
    </w:div>
    <w:div w:id="1132331486">
      <w:bodyDiv w:val="1"/>
      <w:marLeft w:val="0"/>
      <w:marRight w:val="0"/>
      <w:marTop w:val="0"/>
      <w:marBottom w:val="0"/>
      <w:divBdr>
        <w:top w:val="none" w:sz="0" w:space="0" w:color="auto"/>
        <w:left w:val="none" w:sz="0" w:space="0" w:color="auto"/>
        <w:bottom w:val="none" w:sz="0" w:space="0" w:color="auto"/>
        <w:right w:val="none" w:sz="0" w:space="0" w:color="auto"/>
      </w:divBdr>
    </w:div>
    <w:div w:id="1156148910">
      <w:bodyDiv w:val="1"/>
      <w:marLeft w:val="0"/>
      <w:marRight w:val="0"/>
      <w:marTop w:val="0"/>
      <w:marBottom w:val="0"/>
      <w:divBdr>
        <w:top w:val="none" w:sz="0" w:space="0" w:color="auto"/>
        <w:left w:val="none" w:sz="0" w:space="0" w:color="auto"/>
        <w:bottom w:val="none" w:sz="0" w:space="0" w:color="auto"/>
        <w:right w:val="none" w:sz="0" w:space="0" w:color="auto"/>
      </w:divBdr>
    </w:div>
    <w:div w:id="1266229541">
      <w:bodyDiv w:val="1"/>
      <w:marLeft w:val="0"/>
      <w:marRight w:val="0"/>
      <w:marTop w:val="0"/>
      <w:marBottom w:val="0"/>
      <w:divBdr>
        <w:top w:val="none" w:sz="0" w:space="0" w:color="auto"/>
        <w:left w:val="none" w:sz="0" w:space="0" w:color="auto"/>
        <w:bottom w:val="none" w:sz="0" w:space="0" w:color="auto"/>
        <w:right w:val="none" w:sz="0" w:space="0" w:color="auto"/>
      </w:divBdr>
    </w:div>
    <w:div w:id="1371148128">
      <w:bodyDiv w:val="1"/>
      <w:marLeft w:val="0"/>
      <w:marRight w:val="0"/>
      <w:marTop w:val="0"/>
      <w:marBottom w:val="0"/>
      <w:divBdr>
        <w:top w:val="none" w:sz="0" w:space="0" w:color="auto"/>
        <w:left w:val="none" w:sz="0" w:space="0" w:color="auto"/>
        <w:bottom w:val="none" w:sz="0" w:space="0" w:color="auto"/>
        <w:right w:val="none" w:sz="0" w:space="0" w:color="auto"/>
      </w:divBdr>
      <w:divsChild>
        <w:div w:id="188615779">
          <w:marLeft w:val="547"/>
          <w:marRight w:val="0"/>
          <w:marTop w:val="106"/>
          <w:marBottom w:val="0"/>
          <w:divBdr>
            <w:top w:val="none" w:sz="0" w:space="0" w:color="auto"/>
            <w:left w:val="none" w:sz="0" w:space="0" w:color="auto"/>
            <w:bottom w:val="none" w:sz="0" w:space="0" w:color="auto"/>
            <w:right w:val="none" w:sz="0" w:space="0" w:color="auto"/>
          </w:divBdr>
        </w:div>
        <w:div w:id="241527012">
          <w:marLeft w:val="547"/>
          <w:marRight w:val="0"/>
          <w:marTop w:val="106"/>
          <w:marBottom w:val="0"/>
          <w:divBdr>
            <w:top w:val="none" w:sz="0" w:space="0" w:color="auto"/>
            <w:left w:val="none" w:sz="0" w:space="0" w:color="auto"/>
            <w:bottom w:val="none" w:sz="0" w:space="0" w:color="auto"/>
            <w:right w:val="none" w:sz="0" w:space="0" w:color="auto"/>
          </w:divBdr>
        </w:div>
        <w:div w:id="388306410">
          <w:marLeft w:val="547"/>
          <w:marRight w:val="0"/>
          <w:marTop w:val="106"/>
          <w:marBottom w:val="0"/>
          <w:divBdr>
            <w:top w:val="none" w:sz="0" w:space="0" w:color="auto"/>
            <w:left w:val="none" w:sz="0" w:space="0" w:color="auto"/>
            <w:bottom w:val="none" w:sz="0" w:space="0" w:color="auto"/>
            <w:right w:val="none" w:sz="0" w:space="0" w:color="auto"/>
          </w:divBdr>
        </w:div>
        <w:div w:id="982780222">
          <w:marLeft w:val="547"/>
          <w:marRight w:val="0"/>
          <w:marTop w:val="106"/>
          <w:marBottom w:val="0"/>
          <w:divBdr>
            <w:top w:val="none" w:sz="0" w:space="0" w:color="auto"/>
            <w:left w:val="none" w:sz="0" w:space="0" w:color="auto"/>
            <w:bottom w:val="none" w:sz="0" w:space="0" w:color="auto"/>
            <w:right w:val="none" w:sz="0" w:space="0" w:color="auto"/>
          </w:divBdr>
        </w:div>
        <w:div w:id="1056708878">
          <w:marLeft w:val="547"/>
          <w:marRight w:val="0"/>
          <w:marTop w:val="106"/>
          <w:marBottom w:val="0"/>
          <w:divBdr>
            <w:top w:val="none" w:sz="0" w:space="0" w:color="auto"/>
            <w:left w:val="none" w:sz="0" w:space="0" w:color="auto"/>
            <w:bottom w:val="none" w:sz="0" w:space="0" w:color="auto"/>
            <w:right w:val="none" w:sz="0" w:space="0" w:color="auto"/>
          </w:divBdr>
        </w:div>
        <w:div w:id="1075052759">
          <w:marLeft w:val="547"/>
          <w:marRight w:val="0"/>
          <w:marTop w:val="106"/>
          <w:marBottom w:val="0"/>
          <w:divBdr>
            <w:top w:val="none" w:sz="0" w:space="0" w:color="auto"/>
            <w:left w:val="none" w:sz="0" w:space="0" w:color="auto"/>
            <w:bottom w:val="none" w:sz="0" w:space="0" w:color="auto"/>
            <w:right w:val="none" w:sz="0" w:space="0" w:color="auto"/>
          </w:divBdr>
        </w:div>
        <w:div w:id="1196389961">
          <w:marLeft w:val="547"/>
          <w:marRight w:val="0"/>
          <w:marTop w:val="106"/>
          <w:marBottom w:val="0"/>
          <w:divBdr>
            <w:top w:val="none" w:sz="0" w:space="0" w:color="auto"/>
            <w:left w:val="none" w:sz="0" w:space="0" w:color="auto"/>
            <w:bottom w:val="none" w:sz="0" w:space="0" w:color="auto"/>
            <w:right w:val="none" w:sz="0" w:space="0" w:color="auto"/>
          </w:divBdr>
        </w:div>
        <w:div w:id="1287156090">
          <w:marLeft w:val="547"/>
          <w:marRight w:val="0"/>
          <w:marTop w:val="106"/>
          <w:marBottom w:val="0"/>
          <w:divBdr>
            <w:top w:val="none" w:sz="0" w:space="0" w:color="auto"/>
            <w:left w:val="none" w:sz="0" w:space="0" w:color="auto"/>
            <w:bottom w:val="none" w:sz="0" w:space="0" w:color="auto"/>
            <w:right w:val="none" w:sz="0" w:space="0" w:color="auto"/>
          </w:divBdr>
        </w:div>
        <w:div w:id="2131439244">
          <w:marLeft w:val="547"/>
          <w:marRight w:val="0"/>
          <w:marTop w:val="106"/>
          <w:marBottom w:val="0"/>
          <w:divBdr>
            <w:top w:val="none" w:sz="0" w:space="0" w:color="auto"/>
            <w:left w:val="none" w:sz="0" w:space="0" w:color="auto"/>
            <w:bottom w:val="none" w:sz="0" w:space="0" w:color="auto"/>
            <w:right w:val="none" w:sz="0" w:space="0" w:color="auto"/>
          </w:divBdr>
        </w:div>
      </w:divsChild>
    </w:div>
    <w:div w:id="1385520169">
      <w:bodyDiv w:val="1"/>
      <w:marLeft w:val="0"/>
      <w:marRight w:val="0"/>
      <w:marTop w:val="0"/>
      <w:marBottom w:val="0"/>
      <w:divBdr>
        <w:top w:val="none" w:sz="0" w:space="0" w:color="auto"/>
        <w:left w:val="none" w:sz="0" w:space="0" w:color="auto"/>
        <w:bottom w:val="none" w:sz="0" w:space="0" w:color="auto"/>
        <w:right w:val="none" w:sz="0" w:space="0" w:color="auto"/>
      </w:divBdr>
    </w:div>
    <w:div w:id="1495952864">
      <w:bodyDiv w:val="1"/>
      <w:marLeft w:val="0"/>
      <w:marRight w:val="0"/>
      <w:marTop w:val="0"/>
      <w:marBottom w:val="0"/>
      <w:divBdr>
        <w:top w:val="none" w:sz="0" w:space="0" w:color="auto"/>
        <w:left w:val="none" w:sz="0" w:space="0" w:color="auto"/>
        <w:bottom w:val="none" w:sz="0" w:space="0" w:color="auto"/>
        <w:right w:val="none" w:sz="0" w:space="0" w:color="auto"/>
      </w:divBdr>
    </w:div>
    <w:div w:id="1520385663">
      <w:bodyDiv w:val="1"/>
      <w:marLeft w:val="0"/>
      <w:marRight w:val="0"/>
      <w:marTop w:val="0"/>
      <w:marBottom w:val="0"/>
      <w:divBdr>
        <w:top w:val="none" w:sz="0" w:space="0" w:color="auto"/>
        <w:left w:val="none" w:sz="0" w:space="0" w:color="auto"/>
        <w:bottom w:val="none" w:sz="0" w:space="0" w:color="auto"/>
        <w:right w:val="none" w:sz="0" w:space="0" w:color="auto"/>
      </w:divBdr>
    </w:div>
    <w:div w:id="1546790848">
      <w:bodyDiv w:val="1"/>
      <w:marLeft w:val="0"/>
      <w:marRight w:val="0"/>
      <w:marTop w:val="0"/>
      <w:marBottom w:val="0"/>
      <w:divBdr>
        <w:top w:val="none" w:sz="0" w:space="0" w:color="auto"/>
        <w:left w:val="none" w:sz="0" w:space="0" w:color="auto"/>
        <w:bottom w:val="none" w:sz="0" w:space="0" w:color="auto"/>
        <w:right w:val="none" w:sz="0" w:space="0" w:color="auto"/>
      </w:divBdr>
    </w:div>
    <w:div w:id="1587031697">
      <w:bodyDiv w:val="1"/>
      <w:marLeft w:val="0"/>
      <w:marRight w:val="0"/>
      <w:marTop w:val="0"/>
      <w:marBottom w:val="0"/>
      <w:divBdr>
        <w:top w:val="none" w:sz="0" w:space="0" w:color="auto"/>
        <w:left w:val="none" w:sz="0" w:space="0" w:color="auto"/>
        <w:bottom w:val="none" w:sz="0" w:space="0" w:color="auto"/>
        <w:right w:val="none" w:sz="0" w:space="0" w:color="auto"/>
      </w:divBdr>
      <w:divsChild>
        <w:div w:id="413208659">
          <w:marLeft w:val="547"/>
          <w:marRight w:val="0"/>
          <w:marTop w:val="96"/>
          <w:marBottom w:val="0"/>
          <w:divBdr>
            <w:top w:val="none" w:sz="0" w:space="0" w:color="auto"/>
            <w:left w:val="none" w:sz="0" w:space="0" w:color="auto"/>
            <w:bottom w:val="none" w:sz="0" w:space="0" w:color="auto"/>
            <w:right w:val="none" w:sz="0" w:space="0" w:color="auto"/>
          </w:divBdr>
        </w:div>
        <w:div w:id="557205716">
          <w:marLeft w:val="547"/>
          <w:marRight w:val="0"/>
          <w:marTop w:val="96"/>
          <w:marBottom w:val="0"/>
          <w:divBdr>
            <w:top w:val="none" w:sz="0" w:space="0" w:color="auto"/>
            <w:left w:val="none" w:sz="0" w:space="0" w:color="auto"/>
            <w:bottom w:val="none" w:sz="0" w:space="0" w:color="auto"/>
            <w:right w:val="none" w:sz="0" w:space="0" w:color="auto"/>
          </w:divBdr>
        </w:div>
        <w:div w:id="884293807">
          <w:marLeft w:val="547"/>
          <w:marRight w:val="0"/>
          <w:marTop w:val="96"/>
          <w:marBottom w:val="0"/>
          <w:divBdr>
            <w:top w:val="none" w:sz="0" w:space="0" w:color="auto"/>
            <w:left w:val="none" w:sz="0" w:space="0" w:color="auto"/>
            <w:bottom w:val="none" w:sz="0" w:space="0" w:color="auto"/>
            <w:right w:val="none" w:sz="0" w:space="0" w:color="auto"/>
          </w:divBdr>
        </w:div>
        <w:div w:id="982390644">
          <w:marLeft w:val="547"/>
          <w:marRight w:val="0"/>
          <w:marTop w:val="96"/>
          <w:marBottom w:val="0"/>
          <w:divBdr>
            <w:top w:val="none" w:sz="0" w:space="0" w:color="auto"/>
            <w:left w:val="none" w:sz="0" w:space="0" w:color="auto"/>
            <w:bottom w:val="none" w:sz="0" w:space="0" w:color="auto"/>
            <w:right w:val="none" w:sz="0" w:space="0" w:color="auto"/>
          </w:divBdr>
        </w:div>
        <w:div w:id="997686837">
          <w:marLeft w:val="547"/>
          <w:marRight w:val="0"/>
          <w:marTop w:val="96"/>
          <w:marBottom w:val="0"/>
          <w:divBdr>
            <w:top w:val="none" w:sz="0" w:space="0" w:color="auto"/>
            <w:left w:val="none" w:sz="0" w:space="0" w:color="auto"/>
            <w:bottom w:val="none" w:sz="0" w:space="0" w:color="auto"/>
            <w:right w:val="none" w:sz="0" w:space="0" w:color="auto"/>
          </w:divBdr>
        </w:div>
        <w:div w:id="1347559941">
          <w:marLeft w:val="547"/>
          <w:marRight w:val="0"/>
          <w:marTop w:val="96"/>
          <w:marBottom w:val="0"/>
          <w:divBdr>
            <w:top w:val="none" w:sz="0" w:space="0" w:color="auto"/>
            <w:left w:val="none" w:sz="0" w:space="0" w:color="auto"/>
            <w:bottom w:val="none" w:sz="0" w:space="0" w:color="auto"/>
            <w:right w:val="none" w:sz="0" w:space="0" w:color="auto"/>
          </w:divBdr>
        </w:div>
        <w:div w:id="1583904005">
          <w:marLeft w:val="547"/>
          <w:marRight w:val="0"/>
          <w:marTop w:val="96"/>
          <w:marBottom w:val="0"/>
          <w:divBdr>
            <w:top w:val="none" w:sz="0" w:space="0" w:color="auto"/>
            <w:left w:val="none" w:sz="0" w:space="0" w:color="auto"/>
            <w:bottom w:val="none" w:sz="0" w:space="0" w:color="auto"/>
            <w:right w:val="none" w:sz="0" w:space="0" w:color="auto"/>
          </w:divBdr>
        </w:div>
        <w:div w:id="1698852843">
          <w:marLeft w:val="547"/>
          <w:marRight w:val="0"/>
          <w:marTop w:val="96"/>
          <w:marBottom w:val="0"/>
          <w:divBdr>
            <w:top w:val="none" w:sz="0" w:space="0" w:color="auto"/>
            <w:left w:val="none" w:sz="0" w:space="0" w:color="auto"/>
            <w:bottom w:val="none" w:sz="0" w:space="0" w:color="auto"/>
            <w:right w:val="none" w:sz="0" w:space="0" w:color="auto"/>
          </w:divBdr>
        </w:div>
        <w:div w:id="1820608855">
          <w:marLeft w:val="547"/>
          <w:marRight w:val="0"/>
          <w:marTop w:val="96"/>
          <w:marBottom w:val="0"/>
          <w:divBdr>
            <w:top w:val="none" w:sz="0" w:space="0" w:color="auto"/>
            <w:left w:val="none" w:sz="0" w:space="0" w:color="auto"/>
            <w:bottom w:val="none" w:sz="0" w:space="0" w:color="auto"/>
            <w:right w:val="none" w:sz="0" w:space="0" w:color="auto"/>
          </w:divBdr>
        </w:div>
        <w:div w:id="2014258488">
          <w:marLeft w:val="547"/>
          <w:marRight w:val="0"/>
          <w:marTop w:val="96"/>
          <w:marBottom w:val="0"/>
          <w:divBdr>
            <w:top w:val="none" w:sz="0" w:space="0" w:color="auto"/>
            <w:left w:val="none" w:sz="0" w:space="0" w:color="auto"/>
            <w:bottom w:val="none" w:sz="0" w:space="0" w:color="auto"/>
            <w:right w:val="none" w:sz="0" w:space="0" w:color="auto"/>
          </w:divBdr>
        </w:div>
        <w:div w:id="2145002447">
          <w:marLeft w:val="547"/>
          <w:marRight w:val="0"/>
          <w:marTop w:val="96"/>
          <w:marBottom w:val="0"/>
          <w:divBdr>
            <w:top w:val="none" w:sz="0" w:space="0" w:color="auto"/>
            <w:left w:val="none" w:sz="0" w:space="0" w:color="auto"/>
            <w:bottom w:val="none" w:sz="0" w:space="0" w:color="auto"/>
            <w:right w:val="none" w:sz="0" w:space="0" w:color="auto"/>
          </w:divBdr>
        </w:div>
      </w:divsChild>
    </w:div>
    <w:div w:id="1637370451">
      <w:bodyDiv w:val="1"/>
      <w:marLeft w:val="0"/>
      <w:marRight w:val="0"/>
      <w:marTop w:val="0"/>
      <w:marBottom w:val="0"/>
      <w:divBdr>
        <w:top w:val="none" w:sz="0" w:space="0" w:color="auto"/>
        <w:left w:val="none" w:sz="0" w:space="0" w:color="auto"/>
        <w:bottom w:val="none" w:sz="0" w:space="0" w:color="auto"/>
        <w:right w:val="none" w:sz="0" w:space="0" w:color="auto"/>
      </w:divBdr>
      <w:divsChild>
        <w:div w:id="1689332860">
          <w:marLeft w:val="1166"/>
          <w:marRight w:val="0"/>
          <w:marTop w:val="77"/>
          <w:marBottom w:val="0"/>
          <w:divBdr>
            <w:top w:val="none" w:sz="0" w:space="0" w:color="auto"/>
            <w:left w:val="none" w:sz="0" w:space="0" w:color="auto"/>
            <w:bottom w:val="none" w:sz="0" w:space="0" w:color="auto"/>
            <w:right w:val="none" w:sz="0" w:space="0" w:color="auto"/>
          </w:divBdr>
        </w:div>
        <w:div w:id="1134517964">
          <w:marLeft w:val="547"/>
          <w:marRight w:val="0"/>
          <w:marTop w:val="86"/>
          <w:marBottom w:val="0"/>
          <w:divBdr>
            <w:top w:val="none" w:sz="0" w:space="0" w:color="auto"/>
            <w:left w:val="none" w:sz="0" w:space="0" w:color="auto"/>
            <w:bottom w:val="none" w:sz="0" w:space="0" w:color="auto"/>
            <w:right w:val="none" w:sz="0" w:space="0" w:color="auto"/>
          </w:divBdr>
        </w:div>
      </w:divsChild>
    </w:div>
    <w:div w:id="1680615363">
      <w:bodyDiv w:val="1"/>
      <w:marLeft w:val="0"/>
      <w:marRight w:val="0"/>
      <w:marTop w:val="0"/>
      <w:marBottom w:val="0"/>
      <w:divBdr>
        <w:top w:val="none" w:sz="0" w:space="0" w:color="auto"/>
        <w:left w:val="none" w:sz="0" w:space="0" w:color="auto"/>
        <w:bottom w:val="none" w:sz="0" w:space="0" w:color="auto"/>
        <w:right w:val="none" w:sz="0" w:space="0" w:color="auto"/>
      </w:divBdr>
    </w:div>
    <w:div w:id="1689023571">
      <w:bodyDiv w:val="1"/>
      <w:marLeft w:val="0"/>
      <w:marRight w:val="0"/>
      <w:marTop w:val="0"/>
      <w:marBottom w:val="0"/>
      <w:divBdr>
        <w:top w:val="none" w:sz="0" w:space="0" w:color="auto"/>
        <w:left w:val="none" w:sz="0" w:space="0" w:color="auto"/>
        <w:bottom w:val="none" w:sz="0" w:space="0" w:color="auto"/>
        <w:right w:val="none" w:sz="0" w:space="0" w:color="auto"/>
      </w:divBdr>
    </w:div>
    <w:div w:id="1723407780">
      <w:bodyDiv w:val="1"/>
      <w:marLeft w:val="0"/>
      <w:marRight w:val="0"/>
      <w:marTop w:val="0"/>
      <w:marBottom w:val="0"/>
      <w:divBdr>
        <w:top w:val="none" w:sz="0" w:space="0" w:color="auto"/>
        <w:left w:val="none" w:sz="0" w:space="0" w:color="auto"/>
        <w:bottom w:val="none" w:sz="0" w:space="0" w:color="auto"/>
        <w:right w:val="none" w:sz="0" w:space="0" w:color="auto"/>
      </w:divBdr>
    </w:div>
    <w:div w:id="1767459582">
      <w:bodyDiv w:val="1"/>
      <w:marLeft w:val="0"/>
      <w:marRight w:val="0"/>
      <w:marTop w:val="0"/>
      <w:marBottom w:val="0"/>
      <w:divBdr>
        <w:top w:val="none" w:sz="0" w:space="0" w:color="auto"/>
        <w:left w:val="none" w:sz="0" w:space="0" w:color="auto"/>
        <w:bottom w:val="none" w:sz="0" w:space="0" w:color="auto"/>
        <w:right w:val="none" w:sz="0" w:space="0" w:color="auto"/>
      </w:divBdr>
    </w:div>
    <w:div w:id="1776367639">
      <w:bodyDiv w:val="1"/>
      <w:marLeft w:val="0"/>
      <w:marRight w:val="0"/>
      <w:marTop w:val="0"/>
      <w:marBottom w:val="0"/>
      <w:divBdr>
        <w:top w:val="none" w:sz="0" w:space="0" w:color="auto"/>
        <w:left w:val="none" w:sz="0" w:space="0" w:color="auto"/>
        <w:bottom w:val="none" w:sz="0" w:space="0" w:color="auto"/>
        <w:right w:val="none" w:sz="0" w:space="0" w:color="auto"/>
      </w:divBdr>
    </w:div>
    <w:div w:id="1814370517">
      <w:bodyDiv w:val="1"/>
      <w:marLeft w:val="0"/>
      <w:marRight w:val="0"/>
      <w:marTop w:val="0"/>
      <w:marBottom w:val="0"/>
      <w:divBdr>
        <w:top w:val="none" w:sz="0" w:space="0" w:color="auto"/>
        <w:left w:val="none" w:sz="0" w:space="0" w:color="auto"/>
        <w:bottom w:val="none" w:sz="0" w:space="0" w:color="auto"/>
        <w:right w:val="none" w:sz="0" w:space="0" w:color="auto"/>
      </w:divBdr>
    </w:div>
    <w:div w:id="1916698467">
      <w:bodyDiv w:val="1"/>
      <w:marLeft w:val="0"/>
      <w:marRight w:val="0"/>
      <w:marTop w:val="0"/>
      <w:marBottom w:val="0"/>
      <w:divBdr>
        <w:top w:val="none" w:sz="0" w:space="0" w:color="auto"/>
        <w:left w:val="none" w:sz="0" w:space="0" w:color="auto"/>
        <w:bottom w:val="none" w:sz="0" w:space="0" w:color="auto"/>
        <w:right w:val="none" w:sz="0" w:space="0" w:color="auto"/>
      </w:divBdr>
      <w:divsChild>
        <w:div w:id="539786041">
          <w:marLeft w:val="1166"/>
          <w:marRight w:val="0"/>
          <w:marTop w:val="91"/>
          <w:marBottom w:val="0"/>
          <w:divBdr>
            <w:top w:val="none" w:sz="0" w:space="0" w:color="auto"/>
            <w:left w:val="none" w:sz="0" w:space="0" w:color="auto"/>
            <w:bottom w:val="none" w:sz="0" w:space="0" w:color="auto"/>
            <w:right w:val="none" w:sz="0" w:space="0" w:color="auto"/>
          </w:divBdr>
        </w:div>
      </w:divsChild>
    </w:div>
    <w:div w:id="1921059314">
      <w:bodyDiv w:val="1"/>
      <w:marLeft w:val="0"/>
      <w:marRight w:val="0"/>
      <w:marTop w:val="0"/>
      <w:marBottom w:val="0"/>
      <w:divBdr>
        <w:top w:val="none" w:sz="0" w:space="0" w:color="auto"/>
        <w:left w:val="none" w:sz="0" w:space="0" w:color="auto"/>
        <w:bottom w:val="none" w:sz="0" w:space="0" w:color="auto"/>
        <w:right w:val="none" w:sz="0" w:space="0" w:color="auto"/>
      </w:divBdr>
      <w:divsChild>
        <w:div w:id="45572686">
          <w:marLeft w:val="547"/>
          <w:marRight w:val="0"/>
          <w:marTop w:val="120"/>
          <w:marBottom w:val="0"/>
          <w:divBdr>
            <w:top w:val="none" w:sz="0" w:space="0" w:color="auto"/>
            <w:left w:val="none" w:sz="0" w:space="0" w:color="auto"/>
            <w:bottom w:val="none" w:sz="0" w:space="0" w:color="auto"/>
            <w:right w:val="none" w:sz="0" w:space="0" w:color="auto"/>
          </w:divBdr>
        </w:div>
        <w:div w:id="1273634090">
          <w:marLeft w:val="547"/>
          <w:marRight w:val="0"/>
          <w:marTop w:val="120"/>
          <w:marBottom w:val="0"/>
          <w:divBdr>
            <w:top w:val="none" w:sz="0" w:space="0" w:color="auto"/>
            <w:left w:val="none" w:sz="0" w:space="0" w:color="auto"/>
            <w:bottom w:val="none" w:sz="0" w:space="0" w:color="auto"/>
            <w:right w:val="none" w:sz="0" w:space="0" w:color="auto"/>
          </w:divBdr>
        </w:div>
        <w:div w:id="1379402935">
          <w:marLeft w:val="547"/>
          <w:marRight w:val="0"/>
          <w:marTop w:val="120"/>
          <w:marBottom w:val="0"/>
          <w:divBdr>
            <w:top w:val="none" w:sz="0" w:space="0" w:color="auto"/>
            <w:left w:val="none" w:sz="0" w:space="0" w:color="auto"/>
            <w:bottom w:val="none" w:sz="0" w:space="0" w:color="auto"/>
            <w:right w:val="none" w:sz="0" w:space="0" w:color="auto"/>
          </w:divBdr>
        </w:div>
        <w:div w:id="1404379275">
          <w:marLeft w:val="547"/>
          <w:marRight w:val="0"/>
          <w:marTop w:val="120"/>
          <w:marBottom w:val="0"/>
          <w:divBdr>
            <w:top w:val="none" w:sz="0" w:space="0" w:color="auto"/>
            <w:left w:val="none" w:sz="0" w:space="0" w:color="auto"/>
            <w:bottom w:val="none" w:sz="0" w:space="0" w:color="auto"/>
            <w:right w:val="none" w:sz="0" w:space="0" w:color="auto"/>
          </w:divBdr>
        </w:div>
        <w:div w:id="1406227117">
          <w:marLeft w:val="547"/>
          <w:marRight w:val="0"/>
          <w:marTop w:val="120"/>
          <w:marBottom w:val="0"/>
          <w:divBdr>
            <w:top w:val="none" w:sz="0" w:space="0" w:color="auto"/>
            <w:left w:val="none" w:sz="0" w:space="0" w:color="auto"/>
            <w:bottom w:val="none" w:sz="0" w:space="0" w:color="auto"/>
            <w:right w:val="none" w:sz="0" w:space="0" w:color="auto"/>
          </w:divBdr>
        </w:div>
        <w:div w:id="1521315446">
          <w:marLeft w:val="547"/>
          <w:marRight w:val="0"/>
          <w:marTop w:val="120"/>
          <w:marBottom w:val="0"/>
          <w:divBdr>
            <w:top w:val="none" w:sz="0" w:space="0" w:color="auto"/>
            <w:left w:val="none" w:sz="0" w:space="0" w:color="auto"/>
            <w:bottom w:val="none" w:sz="0" w:space="0" w:color="auto"/>
            <w:right w:val="none" w:sz="0" w:space="0" w:color="auto"/>
          </w:divBdr>
        </w:div>
        <w:div w:id="1722168012">
          <w:marLeft w:val="547"/>
          <w:marRight w:val="0"/>
          <w:marTop w:val="120"/>
          <w:marBottom w:val="0"/>
          <w:divBdr>
            <w:top w:val="none" w:sz="0" w:space="0" w:color="auto"/>
            <w:left w:val="none" w:sz="0" w:space="0" w:color="auto"/>
            <w:bottom w:val="none" w:sz="0" w:space="0" w:color="auto"/>
            <w:right w:val="none" w:sz="0" w:space="0" w:color="auto"/>
          </w:divBdr>
        </w:div>
        <w:div w:id="2092383622">
          <w:marLeft w:val="547"/>
          <w:marRight w:val="0"/>
          <w:marTop w:val="120"/>
          <w:marBottom w:val="0"/>
          <w:divBdr>
            <w:top w:val="none" w:sz="0" w:space="0" w:color="auto"/>
            <w:left w:val="none" w:sz="0" w:space="0" w:color="auto"/>
            <w:bottom w:val="none" w:sz="0" w:space="0" w:color="auto"/>
            <w:right w:val="none" w:sz="0" w:space="0" w:color="auto"/>
          </w:divBdr>
        </w:div>
      </w:divsChild>
    </w:div>
    <w:div w:id="1937857972">
      <w:bodyDiv w:val="1"/>
      <w:marLeft w:val="0"/>
      <w:marRight w:val="0"/>
      <w:marTop w:val="0"/>
      <w:marBottom w:val="0"/>
      <w:divBdr>
        <w:top w:val="none" w:sz="0" w:space="0" w:color="auto"/>
        <w:left w:val="none" w:sz="0" w:space="0" w:color="auto"/>
        <w:bottom w:val="none" w:sz="0" w:space="0" w:color="auto"/>
        <w:right w:val="none" w:sz="0" w:space="0" w:color="auto"/>
      </w:divBdr>
    </w:div>
    <w:div w:id="2023236303">
      <w:bodyDiv w:val="1"/>
      <w:marLeft w:val="0"/>
      <w:marRight w:val="0"/>
      <w:marTop w:val="0"/>
      <w:marBottom w:val="0"/>
      <w:divBdr>
        <w:top w:val="none" w:sz="0" w:space="0" w:color="auto"/>
        <w:left w:val="none" w:sz="0" w:space="0" w:color="auto"/>
        <w:bottom w:val="none" w:sz="0" w:space="0" w:color="auto"/>
        <w:right w:val="none" w:sz="0" w:space="0" w:color="auto"/>
      </w:divBdr>
    </w:div>
    <w:div w:id="2095785314">
      <w:bodyDiv w:val="1"/>
      <w:marLeft w:val="0"/>
      <w:marRight w:val="0"/>
      <w:marTop w:val="0"/>
      <w:marBottom w:val="0"/>
      <w:divBdr>
        <w:top w:val="none" w:sz="0" w:space="0" w:color="auto"/>
        <w:left w:val="none" w:sz="0" w:space="0" w:color="auto"/>
        <w:bottom w:val="none" w:sz="0" w:space="0" w:color="auto"/>
        <w:right w:val="none" w:sz="0" w:space="0" w:color="auto"/>
      </w:divBdr>
    </w:div>
    <w:div w:id="2112897162">
      <w:bodyDiv w:val="1"/>
      <w:marLeft w:val="0"/>
      <w:marRight w:val="0"/>
      <w:marTop w:val="0"/>
      <w:marBottom w:val="0"/>
      <w:divBdr>
        <w:top w:val="none" w:sz="0" w:space="0" w:color="auto"/>
        <w:left w:val="none" w:sz="0" w:space="0" w:color="auto"/>
        <w:bottom w:val="none" w:sz="0" w:space="0" w:color="auto"/>
        <w:right w:val="none" w:sz="0" w:space="0" w:color="auto"/>
      </w:divBdr>
      <w:divsChild>
        <w:div w:id="119034616">
          <w:marLeft w:val="547"/>
          <w:marRight w:val="0"/>
          <w:marTop w:val="106"/>
          <w:marBottom w:val="0"/>
          <w:divBdr>
            <w:top w:val="none" w:sz="0" w:space="0" w:color="auto"/>
            <w:left w:val="none" w:sz="0" w:space="0" w:color="auto"/>
            <w:bottom w:val="none" w:sz="0" w:space="0" w:color="auto"/>
            <w:right w:val="none" w:sz="0" w:space="0" w:color="auto"/>
          </w:divBdr>
        </w:div>
        <w:div w:id="126314263">
          <w:marLeft w:val="547"/>
          <w:marRight w:val="0"/>
          <w:marTop w:val="106"/>
          <w:marBottom w:val="0"/>
          <w:divBdr>
            <w:top w:val="none" w:sz="0" w:space="0" w:color="auto"/>
            <w:left w:val="none" w:sz="0" w:space="0" w:color="auto"/>
            <w:bottom w:val="none" w:sz="0" w:space="0" w:color="auto"/>
            <w:right w:val="none" w:sz="0" w:space="0" w:color="auto"/>
          </w:divBdr>
        </w:div>
        <w:div w:id="285544602">
          <w:marLeft w:val="547"/>
          <w:marRight w:val="0"/>
          <w:marTop w:val="106"/>
          <w:marBottom w:val="0"/>
          <w:divBdr>
            <w:top w:val="none" w:sz="0" w:space="0" w:color="auto"/>
            <w:left w:val="none" w:sz="0" w:space="0" w:color="auto"/>
            <w:bottom w:val="none" w:sz="0" w:space="0" w:color="auto"/>
            <w:right w:val="none" w:sz="0" w:space="0" w:color="auto"/>
          </w:divBdr>
        </w:div>
        <w:div w:id="444546544">
          <w:marLeft w:val="547"/>
          <w:marRight w:val="0"/>
          <w:marTop w:val="106"/>
          <w:marBottom w:val="0"/>
          <w:divBdr>
            <w:top w:val="none" w:sz="0" w:space="0" w:color="auto"/>
            <w:left w:val="none" w:sz="0" w:space="0" w:color="auto"/>
            <w:bottom w:val="none" w:sz="0" w:space="0" w:color="auto"/>
            <w:right w:val="none" w:sz="0" w:space="0" w:color="auto"/>
          </w:divBdr>
        </w:div>
        <w:div w:id="639920442">
          <w:marLeft w:val="547"/>
          <w:marRight w:val="0"/>
          <w:marTop w:val="106"/>
          <w:marBottom w:val="0"/>
          <w:divBdr>
            <w:top w:val="none" w:sz="0" w:space="0" w:color="auto"/>
            <w:left w:val="none" w:sz="0" w:space="0" w:color="auto"/>
            <w:bottom w:val="none" w:sz="0" w:space="0" w:color="auto"/>
            <w:right w:val="none" w:sz="0" w:space="0" w:color="auto"/>
          </w:divBdr>
        </w:div>
        <w:div w:id="866332549">
          <w:marLeft w:val="547"/>
          <w:marRight w:val="0"/>
          <w:marTop w:val="106"/>
          <w:marBottom w:val="0"/>
          <w:divBdr>
            <w:top w:val="none" w:sz="0" w:space="0" w:color="auto"/>
            <w:left w:val="none" w:sz="0" w:space="0" w:color="auto"/>
            <w:bottom w:val="none" w:sz="0" w:space="0" w:color="auto"/>
            <w:right w:val="none" w:sz="0" w:space="0" w:color="auto"/>
          </w:divBdr>
        </w:div>
        <w:div w:id="1122920196">
          <w:marLeft w:val="547"/>
          <w:marRight w:val="0"/>
          <w:marTop w:val="106"/>
          <w:marBottom w:val="0"/>
          <w:divBdr>
            <w:top w:val="none" w:sz="0" w:space="0" w:color="auto"/>
            <w:left w:val="none" w:sz="0" w:space="0" w:color="auto"/>
            <w:bottom w:val="none" w:sz="0" w:space="0" w:color="auto"/>
            <w:right w:val="none" w:sz="0" w:space="0" w:color="auto"/>
          </w:divBdr>
        </w:div>
        <w:div w:id="1238636991">
          <w:marLeft w:val="547"/>
          <w:marRight w:val="0"/>
          <w:marTop w:val="106"/>
          <w:marBottom w:val="0"/>
          <w:divBdr>
            <w:top w:val="none" w:sz="0" w:space="0" w:color="auto"/>
            <w:left w:val="none" w:sz="0" w:space="0" w:color="auto"/>
            <w:bottom w:val="none" w:sz="0" w:space="0" w:color="auto"/>
            <w:right w:val="none" w:sz="0" w:space="0" w:color="auto"/>
          </w:divBdr>
        </w:div>
        <w:div w:id="211347119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emf"/><Relationship Id="rId39" Type="http://schemas.openxmlformats.org/officeDocument/2006/relationships/image" Target="media/image90.emf"/><Relationship Id="rId21" Type="http://schemas.openxmlformats.org/officeDocument/2006/relationships/header" Target="header8.xml"/><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vanuatutvet.org.vu" TargetMode="External"/><Relationship Id="rId32" Type="http://schemas.openxmlformats.org/officeDocument/2006/relationships/diagramQuickStyle" Target="diagrams/quickStyle1.xml"/><Relationship Id="rId37" Type="http://schemas.openxmlformats.org/officeDocument/2006/relationships/image" Target="media/image8.png"/><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6.emf"/><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diagramLayout" Target="diagrams/layout1.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diagramData" Target="diagrams/data1.xml"/><Relationship Id="rId35" Type="http://schemas.openxmlformats.org/officeDocument/2006/relationships/header" Target="header10.xml"/><Relationship Id="rId43" Type="http://schemas.openxmlformats.org/officeDocument/2006/relationships/customXml" Target="../customXml/item2.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diagramColors" Target="diagrams/colors1.xml"/><Relationship Id="rId38" Type="http://schemas.openxmlformats.org/officeDocument/2006/relationships/image" Target="media/image9.emf"/><Relationship Id="rId20" Type="http://schemas.openxmlformats.org/officeDocument/2006/relationships/header" Target="header7.xml"/><Relationship Id="rId41"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3D8F8-A9CC-4A68-B1E1-A61D4F707B83}"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AU"/>
        </a:p>
      </dgm:t>
    </dgm:pt>
    <dgm:pt modelId="{4D9AB31C-1329-48B2-8757-FE18C0074FC7}">
      <dgm:prSet phldrT="[Text]" custT="1"/>
      <dgm:spPr>
        <a:xfrm>
          <a:off x="2013198" y="691"/>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1. Daily expenses are recorded in Excel "cashbook" coded to BHI F1 (Vanuatu)</a:t>
          </a:r>
        </a:p>
      </dgm:t>
    </dgm:pt>
    <dgm:pt modelId="{5A2B4B5D-DB12-47B3-ACA4-56C0858591DE}" type="parTrans" cxnId="{55564CF2-04DF-4E62-8217-5E464278EEE8}">
      <dgm:prSet/>
      <dgm:spPr/>
      <dgm:t>
        <a:bodyPr/>
        <a:lstStyle/>
        <a:p>
          <a:endParaRPr lang="en-AU"/>
        </a:p>
      </dgm:t>
    </dgm:pt>
    <dgm:pt modelId="{9853E1A8-EE7D-436B-86ED-CE4F05B454C6}" type="sibTrans" cxnId="{55564CF2-04DF-4E62-8217-5E464278EEE8}">
      <dgm:prSet/>
      <dgm:spPr>
        <a:xfrm>
          <a:off x="1142926" y="-17254"/>
          <a:ext cx="3200546" cy="3200546"/>
        </a:xfrm>
        <a:solidFill>
          <a:srgbClr val="4F81BD">
            <a:tint val="40000"/>
            <a:hueOff val="0"/>
            <a:satOff val="0"/>
            <a:lumOff val="0"/>
            <a:alphaOff val="0"/>
          </a:srgbClr>
        </a:solidFill>
        <a:ln>
          <a:noFill/>
        </a:ln>
        <a:effectLst/>
      </dgm:spPr>
      <dgm:t>
        <a:bodyPr/>
        <a:lstStyle/>
        <a:p>
          <a:endParaRPr lang="en-AU"/>
        </a:p>
      </dgm:t>
    </dgm:pt>
    <dgm:pt modelId="{A8CFD76A-F00A-41D3-B4C7-EC02D4069154}">
      <dgm:prSet phldrT="[Text]" custT="1"/>
      <dgm:spPr>
        <a:xfrm>
          <a:off x="3311236" y="943771"/>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2. 25th of Mth, trans are reconciled to bank A/C &amp; Emailed to BHI (Van)</a:t>
          </a:r>
        </a:p>
      </dgm:t>
    </dgm:pt>
    <dgm:pt modelId="{171AF3FE-9FD8-4133-9F28-9A31BA878B8D}" type="parTrans" cxnId="{5FDA909E-BF83-41B7-94A7-0C6767F17D9C}">
      <dgm:prSet/>
      <dgm:spPr/>
      <dgm:t>
        <a:bodyPr/>
        <a:lstStyle/>
        <a:p>
          <a:endParaRPr lang="en-AU"/>
        </a:p>
      </dgm:t>
    </dgm:pt>
    <dgm:pt modelId="{05D05C63-3FE7-42BB-8703-BD7CBB7CF139}" type="sibTrans" cxnId="{5FDA909E-BF83-41B7-94A7-0C6767F17D9C}">
      <dgm:prSet/>
      <dgm:spPr/>
      <dgm:t>
        <a:bodyPr/>
        <a:lstStyle/>
        <a:p>
          <a:endParaRPr lang="en-AU"/>
        </a:p>
      </dgm:t>
    </dgm:pt>
    <dgm:pt modelId="{99299B90-6336-47CD-908A-60F9B30EFB2A}">
      <dgm:prSet phldrT="[Text]" custT="1"/>
      <dgm:spPr>
        <a:xfrm>
          <a:off x="2815429" y="2469707"/>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3. The bank account replenishment is calculated and authorised (Aus)</a:t>
          </a:r>
        </a:p>
      </dgm:t>
    </dgm:pt>
    <dgm:pt modelId="{7B215D76-C92D-438F-9912-0410044110DE}" type="parTrans" cxnId="{2147E642-C893-4B63-9B20-EA1DC8DF5587}">
      <dgm:prSet/>
      <dgm:spPr/>
      <dgm:t>
        <a:bodyPr/>
        <a:lstStyle/>
        <a:p>
          <a:endParaRPr lang="en-AU"/>
        </a:p>
      </dgm:t>
    </dgm:pt>
    <dgm:pt modelId="{8630CE5F-D747-4DA6-9ECB-27DA38E79844}" type="sibTrans" cxnId="{2147E642-C893-4B63-9B20-EA1DC8DF5587}">
      <dgm:prSet/>
      <dgm:spPr/>
      <dgm:t>
        <a:bodyPr/>
        <a:lstStyle/>
        <a:p>
          <a:endParaRPr lang="en-AU"/>
        </a:p>
      </dgm:t>
    </dgm:pt>
    <dgm:pt modelId="{4793C18A-3C50-4C17-9FCB-48931457014A}">
      <dgm:prSet phldrT="[Text]" custT="1"/>
      <dgm:spPr>
        <a:xfrm>
          <a:off x="1210966" y="2469707"/>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4. . In country and AUS Transactions are journalled in F1 (Aus)</a:t>
          </a:r>
        </a:p>
      </dgm:t>
    </dgm:pt>
    <dgm:pt modelId="{75DA78A9-068A-4ABE-BFBB-0FCFED0EF1A1}" type="parTrans" cxnId="{F495D221-B9B9-4F37-AA37-86091E95A4E9}">
      <dgm:prSet/>
      <dgm:spPr/>
      <dgm:t>
        <a:bodyPr/>
        <a:lstStyle/>
        <a:p>
          <a:endParaRPr lang="en-AU"/>
        </a:p>
      </dgm:t>
    </dgm:pt>
    <dgm:pt modelId="{7477439E-D6A6-47F0-9303-9233040FFB68}" type="sibTrans" cxnId="{F495D221-B9B9-4F37-AA37-86091E95A4E9}">
      <dgm:prSet/>
      <dgm:spPr/>
      <dgm:t>
        <a:bodyPr/>
        <a:lstStyle/>
        <a:p>
          <a:endParaRPr lang="en-AU"/>
        </a:p>
      </dgm:t>
    </dgm:pt>
    <dgm:pt modelId="{9B2268BA-E9AF-432F-8E8C-A6839AADAC1A}">
      <dgm:prSet phldrT="[Text]" custT="1"/>
      <dgm:spPr>
        <a:xfrm>
          <a:off x="715159" y="943771"/>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6. BHI claims reimbursable expenditure from DFAT (Aus)</a:t>
          </a:r>
        </a:p>
      </dgm:t>
    </dgm:pt>
    <dgm:pt modelId="{DEB90A54-E64F-4D29-B7B1-9C6C18BADE2C}" type="sibTrans" cxnId="{BDF280B7-51C0-48FF-9EC2-BDDC70D814BA}">
      <dgm:prSet/>
      <dgm:spPr/>
      <dgm:t>
        <a:bodyPr/>
        <a:lstStyle/>
        <a:p>
          <a:endParaRPr lang="en-AU"/>
        </a:p>
      </dgm:t>
    </dgm:pt>
    <dgm:pt modelId="{215F8074-6734-4B3B-B454-9CD390C2A9BA}" type="parTrans" cxnId="{BDF280B7-51C0-48FF-9EC2-BDDC70D814BA}">
      <dgm:prSet/>
      <dgm:spPr/>
      <dgm:t>
        <a:bodyPr/>
        <a:lstStyle/>
        <a:p>
          <a:endParaRPr lang="en-AU"/>
        </a:p>
      </dgm:t>
    </dgm:pt>
    <dgm:pt modelId="{439C4976-6278-4EC4-BA7F-D590E3E8F356}">
      <dgm:prSet phldrT="[Text]" custT="1"/>
      <dgm:spPr>
        <a:xfrm>
          <a:off x="1210966" y="2469707"/>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5. AUD/VUV Fund transfer from BHI to TVET Vanuatu (Aus)</a:t>
          </a:r>
        </a:p>
      </dgm:t>
    </dgm:pt>
    <dgm:pt modelId="{3D29F0BB-C9A7-485C-8A54-BD965BA28CDE}" type="parTrans" cxnId="{7B5996C6-F269-4B64-8575-EB342C1E5CBB}">
      <dgm:prSet/>
      <dgm:spPr/>
      <dgm:t>
        <a:bodyPr/>
        <a:lstStyle/>
        <a:p>
          <a:endParaRPr lang="en-AU"/>
        </a:p>
      </dgm:t>
    </dgm:pt>
    <dgm:pt modelId="{ABD3BD2B-A2D6-4683-821E-898F5E51EC60}" type="sibTrans" cxnId="{7B5996C6-F269-4B64-8575-EB342C1E5CBB}">
      <dgm:prSet/>
      <dgm:spPr/>
      <dgm:t>
        <a:bodyPr/>
        <a:lstStyle/>
        <a:p>
          <a:endParaRPr lang="en-AU"/>
        </a:p>
      </dgm:t>
    </dgm:pt>
    <dgm:pt modelId="{FC07FFBB-C315-4966-84F6-DB9A69117ABE}" type="pres">
      <dgm:prSet presAssocID="{FC03D8F8-A9CC-4A68-B1E1-A61D4F707B83}" presName="Name0" presStyleCnt="0">
        <dgm:presLayoutVars>
          <dgm:dir/>
          <dgm:resizeHandles val="exact"/>
        </dgm:presLayoutVars>
      </dgm:prSet>
      <dgm:spPr/>
      <dgm:t>
        <a:bodyPr/>
        <a:lstStyle/>
        <a:p>
          <a:endParaRPr lang="en-AU"/>
        </a:p>
      </dgm:t>
    </dgm:pt>
    <dgm:pt modelId="{CD4A0BFB-6957-4E01-82A2-E0418D96C1ED}" type="pres">
      <dgm:prSet presAssocID="{FC03D8F8-A9CC-4A68-B1E1-A61D4F707B83}" presName="cycle" presStyleCnt="0"/>
      <dgm:spPr/>
    </dgm:pt>
    <dgm:pt modelId="{25023ECC-81B6-4EB6-9D04-D6AEE605CE3B}" type="pres">
      <dgm:prSet presAssocID="{4D9AB31C-1329-48B2-8757-FE18C0074FC7}" presName="nodeFirstNode" presStyleLbl="node1" presStyleIdx="0" presStyleCnt="6" custScaleX="114999">
        <dgm:presLayoutVars>
          <dgm:bulletEnabled val="1"/>
        </dgm:presLayoutVars>
      </dgm:prSet>
      <dgm:spPr>
        <a:prstGeom prst="roundRect">
          <a:avLst/>
        </a:prstGeom>
      </dgm:spPr>
      <dgm:t>
        <a:bodyPr/>
        <a:lstStyle/>
        <a:p>
          <a:endParaRPr lang="en-AU"/>
        </a:p>
      </dgm:t>
    </dgm:pt>
    <dgm:pt modelId="{F989EE6B-2D31-4508-89A1-AC179AFDA928}" type="pres">
      <dgm:prSet presAssocID="{9853E1A8-EE7D-436B-86ED-CE4F05B454C6}"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en-AU"/>
        </a:p>
      </dgm:t>
    </dgm:pt>
    <dgm:pt modelId="{3FA8DFB9-879F-4BEA-8B76-22FEC2720218}" type="pres">
      <dgm:prSet presAssocID="{A8CFD76A-F00A-41D3-B4C7-EC02D4069154}" presName="nodeFollowingNodes" presStyleLbl="node1" presStyleIdx="1" presStyleCnt="6" custScaleX="116576">
        <dgm:presLayoutVars>
          <dgm:bulletEnabled val="1"/>
        </dgm:presLayoutVars>
      </dgm:prSet>
      <dgm:spPr>
        <a:prstGeom prst="roundRect">
          <a:avLst/>
        </a:prstGeom>
      </dgm:spPr>
      <dgm:t>
        <a:bodyPr/>
        <a:lstStyle/>
        <a:p>
          <a:endParaRPr lang="en-AU"/>
        </a:p>
      </dgm:t>
    </dgm:pt>
    <dgm:pt modelId="{B29F274E-57B5-4A57-B28E-CE9BC13225FD}" type="pres">
      <dgm:prSet presAssocID="{99299B90-6336-47CD-908A-60F9B30EFB2A}" presName="nodeFollowingNodes" presStyleLbl="node1" presStyleIdx="2" presStyleCnt="6" custScaleX="112008">
        <dgm:presLayoutVars>
          <dgm:bulletEnabled val="1"/>
        </dgm:presLayoutVars>
      </dgm:prSet>
      <dgm:spPr>
        <a:prstGeom prst="roundRect">
          <a:avLst/>
        </a:prstGeom>
      </dgm:spPr>
      <dgm:t>
        <a:bodyPr/>
        <a:lstStyle/>
        <a:p>
          <a:endParaRPr lang="en-AU"/>
        </a:p>
      </dgm:t>
    </dgm:pt>
    <dgm:pt modelId="{1F2600F3-9347-4836-8643-16877769F74C}" type="pres">
      <dgm:prSet presAssocID="{4793C18A-3C50-4C17-9FCB-48931457014A}" presName="nodeFollowingNodes" presStyleLbl="node1" presStyleIdx="3" presStyleCnt="6" custScaleX="111138">
        <dgm:presLayoutVars>
          <dgm:bulletEnabled val="1"/>
        </dgm:presLayoutVars>
      </dgm:prSet>
      <dgm:spPr>
        <a:prstGeom prst="roundRect">
          <a:avLst/>
        </a:prstGeom>
      </dgm:spPr>
      <dgm:t>
        <a:bodyPr/>
        <a:lstStyle/>
        <a:p>
          <a:endParaRPr lang="en-AU"/>
        </a:p>
      </dgm:t>
    </dgm:pt>
    <dgm:pt modelId="{DEE1473C-0FED-4057-84AF-31F3DE88E636}" type="pres">
      <dgm:prSet presAssocID="{439C4976-6278-4EC4-BA7F-D590E3E8F356}" presName="nodeFollowingNodes" presStyleLbl="node1" presStyleIdx="4" presStyleCnt="6">
        <dgm:presLayoutVars>
          <dgm:bulletEnabled val="1"/>
        </dgm:presLayoutVars>
      </dgm:prSet>
      <dgm:spPr/>
      <dgm:t>
        <a:bodyPr/>
        <a:lstStyle/>
        <a:p>
          <a:endParaRPr lang="en-AU"/>
        </a:p>
      </dgm:t>
    </dgm:pt>
    <dgm:pt modelId="{C5F78F86-5E91-4DA2-82C4-9FE544D5514C}" type="pres">
      <dgm:prSet presAssocID="{9B2268BA-E9AF-432F-8E8C-A6839AADAC1A}" presName="nodeFollowingNodes" presStyleLbl="node1" presStyleIdx="5" presStyleCnt="6" custScaleX="124419">
        <dgm:presLayoutVars>
          <dgm:bulletEnabled val="1"/>
        </dgm:presLayoutVars>
      </dgm:prSet>
      <dgm:spPr>
        <a:prstGeom prst="roundRect">
          <a:avLst/>
        </a:prstGeom>
      </dgm:spPr>
      <dgm:t>
        <a:bodyPr/>
        <a:lstStyle/>
        <a:p>
          <a:endParaRPr lang="en-AU"/>
        </a:p>
      </dgm:t>
    </dgm:pt>
  </dgm:ptLst>
  <dgm:cxnLst>
    <dgm:cxn modelId="{7B5996C6-F269-4B64-8575-EB342C1E5CBB}" srcId="{FC03D8F8-A9CC-4A68-B1E1-A61D4F707B83}" destId="{439C4976-6278-4EC4-BA7F-D590E3E8F356}" srcOrd="4" destOrd="0" parTransId="{3D29F0BB-C9A7-485C-8A54-BD965BA28CDE}" sibTransId="{ABD3BD2B-A2D6-4683-821E-898F5E51EC60}"/>
    <dgm:cxn modelId="{E6D2DDF3-BB04-3E47-AA78-D07C4BC4EC72}" type="presOf" srcId="{9B2268BA-E9AF-432F-8E8C-A6839AADAC1A}" destId="{C5F78F86-5E91-4DA2-82C4-9FE544D5514C}" srcOrd="0" destOrd="0" presId="urn:microsoft.com/office/officeart/2005/8/layout/cycle3"/>
    <dgm:cxn modelId="{3B0BC6B9-E71A-7146-AB32-952A4E8FEAC4}" type="presOf" srcId="{4D9AB31C-1329-48B2-8757-FE18C0074FC7}" destId="{25023ECC-81B6-4EB6-9D04-D6AEE605CE3B}" srcOrd="0" destOrd="0" presId="urn:microsoft.com/office/officeart/2005/8/layout/cycle3"/>
    <dgm:cxn modelId="{E2526A96-A83C-F54B-B914-60296EBEFE86}" type="presOf" srcId="{A8CFD76A-F00A-41D3-B4C7-EC02D4069154}" destId="{3FA8DFB9-879F-4BEA-8B76-22FEC2720218}" srcOrd="0" destOrd="0" presId="urn:microsoft.com/office/officeart/2005/8/layout/cycle3"/>
    <dgm:cxn modelId="{E5697594-3034-D648-A947-A329A56A5E27}" type="presOf" srcId="{9853E1A8-EE7D-436B-86ED-CE4F05B454C6}" destId="{F989EE6B-2D31-4508-89A1-AC179AFDA928}" srcOrd="0" destOrd="0" presId="urn:microsoft.com/office/officeart/2005/8/layout/cycle3"/>
    <dgm:cxn modelId="{FB869741-862C-0743-A224-685372A40545}" type="presOf" srcId="{439C4976-6278-4EC4-BA7F-D590E3E8F356}" destId="{DEE1473C-0FED-4057-84AF-31F3DE88E636}" srcOrd="0" destOrd="0" presId="urn:microsoft.com/office/officeart/2005/8/layout/cycle3"/>
    <dgm:cxn modelId="{55564CF2-04DF-4E62-8217-5E464278EEE8}" srcId="{FC03D8F8-A9CC-4A68-B1E1-A61D4F707B83}" destId="{4D9AB31C-1329-48B2-8757-FE18C0074FC7}" srcOrd="0" destOrd="0" parTransId="{5A2B4B5D-DB12-47B3-ACA4-56C0858591DE}" sibTransId="{9853E1A8-EE7D-436B-86ED-CE4F05B454C6}"/>
    <dgm:cxn modelId="{2147E642-C893-4B63-9B20-EA1DC8DF5587}" srcId="{FC03D8F8-A9CC-4A68-B1E1-A61D4F707B83}" destId="{99299B90-6336-47CD-908A-60F9B30EFB2A}" srcOrd="2" destOrd="0" parTransId="{7B215D76-C92D-438F-9912-0410044110DE}" sibTransId="{8630CE5F-D747-4DA6-9ECB-27DA38E79844}"/>
    <dgm:cxn modelId="{F495D221-B9B9-4F37-AA37-86091E95A4E9}" srcId="{FC03D8F8-A9CC-4A68-B1E1-A61D4F707B83}" destId="{4793C18A-3C50-4C17-9FCB-48931457014A}" srcOrd="3" destOrd="0" parTransId="{75DA78A9-068A-4ABE-BFBB-0FCFED0EF1A1}" sibTransId="{7477439E-D6A6-47F0-9303-9233040FFB68}"/>
    <dgm:cxn modelId="{105DF4E1-F7F8-8D45-821D-18D053CA63E7}" type="presOf" srcId="{99299B90-6336-47CD-908A-60F9B30EFB2A}" destId="{B29F274E-57B5-4A57-B28E-CE9BC13225FD}" srcOrd="0" destOrd="0" presId="urn:microsoft.com/office/officeart/2005/8/layout/cycle3"/>
    <dgm:cxn modelId="{5FDA909E-BF83-41B7-94A7-0C6767F17D9C}" srcId="{FC03D8F8-A9CC-4A68-B1E1-A61D4F707B83}" destId="{A8CFD76A-F00A-41D3-B4C7-EC02D4069154}" srcOrd="1" destOrd="0" parTransId="{171AF3FE-9FD8-4133-9F28-9A31BA878B8D}" sibTransId="{05D05C63-3FE7-42BB-8703-BD7CBB7CF139}"/>
    <dgm:cxn modelId="{8C31995E-B7DC-5347-A40C-3D7963A80C66}" type="presOf" srcId="{4793C18A-3C50-4C17-9FCB-48931457014A}" destId="{1F2600F3-9347-4836-8643-16877769F74C}" srcOrd="0" destOrd="0" presId="urn:microsoft.com/office/officeart/2005/8/layout/cycle3"/>
    <dgm:cxn modelId="{935081EC-806C-C146-95B8-D117F4021F0F}" type="presOf" srcId="{FC03D8F8-A9CC-4A68-B1E1-A61D4F707B83}" destId="{FC07FFBB-C315-4966-84F6-DB9A69117ABE}" srcOrd="0" destOrd="0" presId="urn:microsoft.com/office/officeart/2005/8/layout/cycle3"/>
    <dgm:cxn modelId="{BDF280B7-51C0-48FF-9EC2-BDDC70D814BA}" srcId="{FC03D8F8-A9CC-4A68-B1E1-A61D4F707B83}" destId="{9B2268BA-E9AF-432F-8E8C-A6839AADAC1A}" srcOrd="5" destOrd="0" parTransId="{215F8074-6734-4B3B-B454-9CD390C2A9BA}" sibTransId="{DEB90A54-E64F-4D29-B7B1-9C6C18BADE2C}"/>
    <dgm:cxn modelId="{46F574FC-0F7F-C04B-B445-B0FA0EAF235C}" type="presParOf" srcId="{FC07FFBB-C315-4966-84F6-DB9A69117ABE}" destId="{CD4A0BFB-6957-4E01-82A2-E0418D96C1ED}" srcOrd="0" destOrd="0" presId="urn:microsoft.com/office/officeart/2005/8/layout/cycle3"/>
    <dgm:cxn modelId="{89D55442-323A-B045-937F-AAF7040595E1}" type="presParOf" srcId="{CD4A0BFB-6957-4E01-82A2-E0418D96C1ED}" destId="{25023ECC-81B6-4EB6-9D04-D6AEE605CE3B}" srcOrd="0" destOrd="0" presId="urn:microsoft.com/office/officeart/2005/8/layout/cycle3"/>
    <dgm:cxn modelId="{7C216001-D0DC-BD4F-9EB1-34EDDA7770E5}" type="presParOf" srcId="{CD4A0BFB-6957-4E01-82A2-E0418D96C1ED}" destId="{F989EE6B-2D31-4508-89A1-AC179AFDA928}" srcOrd="1" destOrd="0" presId="urn:microsoft.com/office/officeart/2005/8/layout/cycle3"/>
    <dgm:cxn modelId="{008150DE-2B83-424F-B543-E6D273456550}" type="presParOf" srcId="{CD4A0BFB-6957-4E01-82A2-E0418D96C1ED}" destId="{3FA8DFB9-879F-4BEA-8B76-22FEC2720218}" srcOrd="2" destOrd="0" presId="urn:microsoft.com/office/officeart/2005/8/layout/cycle3"/>
    <dgm:cxn modelId="{2BEDAE92-A6BC-0D4F-822B-6D13B5163311}" type="presParOf" srcId="{CD4A0BFB-6957-4E01-82A2-E0418D96C1ED}" destId="{B29F274E-57B5-4A57-B28E-CE9BC13225FD}" srcOrd="3" destOrd="0" presId="urn:microsoft.com/office/officeart/2005/8/layout/cycle3"/>
    <dgm:cxn modelId="{EBCE12F1-29BF-5F4E-BF43-92B8EED11324}" type="presParOf" srcId="{CD4A0BFB-6957-4E01-82A2-E0418D96C1ED}" destId="{1F2600F3-9347-4836-8643-16877769F74C}" srcOrd="4" destOrd="0" presId="urn:microsoft.com/office/officeart/2005/8/layout/cycle3"/>
    <dgm:cxn modelId="{BB4D91A9-C356-B94D-B619-B036F48E85E1}" type="presParOf" srcId="{CD4A0BFB-6957-4E01-82A2-E0418D96C1ED}" destId="{DEE1473C-0FED-4057-84AF-31F3DE88E636}" srcOrd="5" destOrd="0" presId="urn:microsoft.com/office/officeart/2005/8/layout/cycle3"/>
    <dgm:cxn modelId="{80B81CC6-B273-F34C-A90C-2E28AB0CC951}" type="presParOf" srcId="{CD4A0BFB-6957-4E01-82A2-E0418D96C1ED}" destId="{C5F78F86-5E91-4DA2-82C4-9FE544D5514C}" srcOrd="6"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9EE6B-2D31-4508-89A1-AC179AFDA928}">
      <dsp:nvSpPr>
        <dsp:cNvPr id="0" name=""/>
        <dsp:cNvSpPr/>
      </dsp:nvSpPr>
      <dsp:spPr>
        <a:xfrm>
          <a:off x="1160654" y="-47764"/>
          <a:ext cx="3211577" cy="3211577"/>
        </a:xfrm>
        <a:prstGeom prst="circularArrow">
          <a:avLst>
            <a:gd name="adj1" fmla="val 5544"/>
            <a:gd name="adj2" fmla="val 330680"/>
            <a:gd name="adj3" fmla="val 13835513"/>
            <a:gd name="adj4" fmla="val 17349805"/>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023ECC-81B6-4EB6-9D04-D6AEE605CE3B}">
      <dsp:nvSpPr>
        <dsp:cNvPr id="0" name=""/>
        <dsp:cNvSpPr/>
      </dsp:nvSpPr>
      <dsp:spPr>
        <a:xfrm>
          <a:off x="2084834" y="974"/>
          <a:ext cx="1363216"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1. Daily expenses are recorded in Excel "cashbook" coded to BHI F1 (Vanuatu)</a:t>
          </a:r>
        </a:p>
      </dsp:txBody>
      <dsp:txXfrm>
        <a:off x="2113768" y="29908"/>
        <a:ext cx="1305348" cy="534840"/>
      </dsp:txXfrm>
    </dsp:sp>
    <dsp:sp modelId="{3FA8DFB9-879F-4BEA-8B76-22FEC2720218}">
      <dsp:nvSpPr>
        <dsp:cNvPr id="0" name=""/>
        <dsp:cNvSpPr/>
      </dsp:nvSpPr>
      <dsp:spPr>
        <a:xfrm>
          <a:off x="3203807" y="652410"/>
          <a:ext cx="1381910"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2. 25th of Mth, trans are reconciled to bank A/C &amp; Emailed to BHI (Van)</a:t>
          </a:r>
        </a:p>
      </dsp:txBody>
      <dsp:txXfrm>
        <a:off x="3232741" y="681344"/>
        <a:ext cx="1324042" cy="534840"/>
      </dsp:txXfrm>
    </dsp:sp>
    <dsp:sp modelId="{B29F274E-57B5-4A57-B28E-CE9BC13225FD}">
      <dsp:nvSpPr>
        <dsp:cNvPr id="0" name=""/>
        <dsp:cNvSpPr/>
      </dsp:nvSpPr>
      <dsp:spPr>
        <a:xfrm>
          <a:off x="3230882" y="1955281"/>
          <a:ext cx="1327760"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3. The bank account replenishment is calculated and authorised (Aus)</a:t>
          </a:r>
        </a:p>
      </dsp:txBody>
      <dsp:txXfrm>
        <a:off x="3259816" y="1984215"/>
        <a:ext cx="1269892" cy="534840"/>
      </dsp:txXfrm>
    </dsp:sp>
    <dsp:sp modelId="{1F2600F3-9347-4836-8643-16877769F74C}">
      <dsp:nvSpPr>
        <dsp:cNvPr id="0" name=""/>
        <dsp:cNvSpPr/>
      </dsp:nvSpPr>
      <dsp:spPr>
        <a:xfrm>
          <a:off x="2107719" y="2606717"/>
          <a:ext cx="1317447"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4. . In country and AUS Transactions are journalled in F1 (Aus)</a:t>
          </a:r>
        </a:p>
      </dsp:txBody>
      <dsp:txXfrm>
        <a:off x="2136653" y="2635651"/>
        <a:ext cx="1259579" cy="534840"/>
      </dsp:txXfrm>
    </dsp:sp>
    <dsp:sp modelId="{DEE1473C-0FED-4057-84AF-31F3DE88E636}">
      <dsp:nvSpPr>
        <dsp:cNvPr id="0" name=""/>
        <dsp:cNvSpPr/>
      </dsp:nvSpPr>
      <dsp:spPr>
        <a:xfrm>
          <a:off x="1045415" y="1955281"/>
          <a:ext cx="1185416"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5. AUD/VUV Fund transfer from BHI to TVET Vanuatu (Aus)</a:t>
          </a:r>
        </a:p>
      </dsp:txBody>
      <dsp:txXfrm>
        <a:off x="1074349" y="1984215"/>
        <a:ext cx="1127548" cy="534840"/>
      </dsp:txXfrm>
    </dsp:sp>
    <dsp:sp modelId="{C5F78F86-5E91-4DA2-82C4-9FE544D5514C}">
      <dsp:nvSpPr>
        <dsp:cNvPr id="0" name=""/>
        <dsp:cNvSpPr/>
      </dsp:nvSpPr>
      <dsp:spPr>
        <a:xfrm>
          <a:off x="900682" y="652410"/>
          <a:ext cx="1474882" cy="59270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6. BHI claims reimbursable expenditure from DFAT (Aus)</a:t>
          </a:r>
        </a:p>
      </dsp:txBody>
      <dsp:txXfrm>
        <a:off x="929616" y="681344"/>
        <a:ext cx="1417014" cy="53484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AA5B4F6161024D85292148BD8CBD9D"/>
        <w:category>
          <w:name w:val="General"/>
          <w:gallery w:val="placeholder"/>
        </w:category>
        <w:types>
          <w:type w:val="bbPlcHdr"/>
        </w:types>
        <w:behaviors>
          <w:behavior w:val="content"/>
        </w:behaviors>
        <w:guid w:val="{A87F8770-6168-F249-BFC4-E987D2CCF265}"/>
      </w:docPartPr>
      <w:docPartBody>
        <w:p w:rsidR="00E61D5C" w:rsidRDefault="00E61D5C" w:rsidP="00E61D5C">
          <w:pPr>
            <w:pStyle w:val="8EAA5B4F6161024D85292148BD8CBD9D"/>
          </w:pPr>
          <w:r>
            <w:rPr>
              <w:rStyle w:val="TitleChar"/>
            </w:rPr>
            <w:t>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F20A92"/>
    <w:rsid w:val="00040B20"/>
    <w:rsid w:val="00052D2F"/>
    <w:rsid w:val="00057398"/>
    <w:rsid w:val="00075F38"/>
    <w:rsid w:val="00082E17"/>
    <w:rsid w:val="000941B4"/>
    <w:rsid w:val="000D258B"/>
    <w:rsid w:val="000D4094"/>
    <w:rsid w:val="000F4ED5"/>
    <w:rsid w:val="00110F45"/>
    <w:rsid w:val="00111629"/>
    <w:rsid w:val="001610BF"/>
    <w:rsid w:val="001611A6"/>
    <w:rsid w:val="00180CC0"/>
    <w:rsid w:val="001821F6"/>
    <w:rsid w:val="001A3123"/>
    <w:rsid w:val="001A5AC6"/>
    <w:rsid w:val="001F19AF"/>
    <w:rsid w:val="00202977"/>
    <w:rsid w:val="00212903"/>
    <w:rsid w:val="002165B3"/>
    <w:rsid w:val="002310DB"/>
    <w:rsid w:val="0026362C"/>
    <w:rsid w:val="00284A7D"/>
    <w:rsid w:val="002E4F08"/>
    <w:rsid w:val="002F6404"/>
    <w:rsid w:val="00354D1E"/>
    <w:rsid w:val="00376CF7"/>
    <w:rsid w:val="0039357D"/>
    <w:rsid w:val="003F27F6"/>
    <w:rsid w:val="003F48F2"/>
    <w:rsid w:val="00421DA7"/>
    <w:rsid w:val="00472C2E"/>
    <w:rsid w:val="004931B7"/>
    <w:rsid w:val="00493DD1"/>
    <w:rsid w:val="004C05FA"/>
    <w:rsid w:val="004F5C48"/>
    <w:rsid w:val="0050075B"/>
    <w:rsid w:val="005245F4"/>
    <w:rsid w:val="0055317D"/>
    <w:rsid w:val="0056503D"/>
    <w:rsid w:val="00586BE3"/>
    <w:rsid w:val="00587413"/>
    <w:rsid w:val="005934DA"/>
    <w:rsid w:val="005954E5"/>
    <w:rsid w:val="005F0EDB"/>
    <w:rsid w:val="005F4DF0"/>
    <w:rsid w:val="005F7AC6"/>
    <w:rsid w:val="00606378"/>
    <w:rsid w:val="006107D9"/>
    <w:rsid w:val="00632C6F"/>
    <w:rsid w:val="00650AB0"/>
    <w:rsid w:val="0068796F"/>
    <w:rsid w:val="006A2989"/>
    <w:rsid w:val="006B2E57"/>
    <w:rsid w:val="006D00EE"/>
    <w:rsid w:val="006E49D7"/>
    <w:rsid w:val="00703AE7"/>
    <w:rsid w:val="00715D83"/>
    <w:rsid w:val="00724FD3"/>
    <w:rsid w:val="00750E27"/>
    <w:rsid w:val="00785064"/>
    <w:rsid w:val="007A1B29"/>
    <w:rsid w:val="007B5EF0"/>
    <w:rsid w:val="007B7D6A"/>
    <w:rsid w:val="00812594"/>
    <w:rsid w:val="008150AE"/>
    <w:rsid w:val="00816F79"/>
    <w:rsid w:val="00816FB1"/>
    <w:rsid w:val="0081782E"/>
    <w:rsid w:val="00840BA9"/>
    <w:rsid w:val="00882B9C"/>
    <w:rsid w:val="008C1BB1"/>
    <w:rsid w:val="008C384C"/>
    <w:rsid w:val="008E343B"/>
    <w:rsid w:val="00922CA1"/>
    <w:rsid w:val="009403B4"/>
    <w:rsid w:val="0094077B"/>
    <w:rsid w:val="00943ECC"/>
    <w:rsid w:val="00982D27"/>
    <w:rsid w:val="009C3807"/>
    <w:rsid w:val="009D5222"/>
    <w:rsid w:val="009E6896"/>
    <w:rsid w:val="009F6C1D"/>
    <w:rsid w:val="00A21822"/>
    <w:rsid w:val="00A348DB"/>
    <w:rsid w:val="00A46A55"/>
    <w:rsid w:val="00A70FED"/>
    <w:rsid w:val="00A9463F"/>
    <w:rsid w:val="00AA6B53"/>
    <w:rsid w:val="00AA7593"/>
    <w:rsid w:val="00AE0DD2"/>
    <w:rsid w:val="00AF1EFC"/>
    <w:rsid w:val="00AF5135"/>
    <w:rsid w:val="00B22425"/>
    <w:rsid w:val="00B27917"/>
    <w:rsid w:val="00B335A2"/>
    <w:rsid w:val="00B45F63"/>
    <w:rsid w:val="00BA557A"/>
    <w:rsid w:val="00BB40C9"/>
    <w:rsid w:val="00BB5DC3"/>
    <w:rsid w:val="00BF41D2"/>
    <w:rsid w:val="00BF6B01"/>
    <w:rsid w:val="00C21D53"/>
    <w:rsid w:val="00C24F25"/>
    <w:rsid w:val="00C35465"/>
    <w:rsid w:val="00C51B67"/>
    <w:rsid w:val="00C53BEF"/>
    <w:rsid w:val="00C61F07"/>
    <w:rsid w:val="00C81AD5"/>
    <w:rsid w:val="00C83CAF"/>
    <w:rsid w:val="00C959B3"/>
    <w:rsid w:val="00CA1D1E"/>
    <w:rsid w:val="00CA5E8F"/>
    <w:rsid w:val="00CB18B4"/>
    <w:rsid w:val="00CD1942"/>
    <w:rsid w:val="00CD203E"/>
    <w:rsid w:val="00CE1021"/>
    <w:rsid w:val="00CE7C7A"/>
    <w:rsid w:val="00CF11A5"/>
    <w:rsid w:val="00D3643F"/>
    <w:rsid w:val="00D36C90"/>
    <w:rsid w:val="00D766A9"/>
    <w:rsid w:val="00D925D0"/>
    <w:rsid w:val="00D9679C"/>
    <w:rsid w:val="00DB3FED"/>
    <w:rsid w:val="00DC4C65"/>
    <w:rsid w:val="00DE4FFC"/>
    <w:rsid w:val="00DE7BA2"/>
    <w:rsid w:val="00E61D5C"/>
    <w:rsid w:val="00E66708"/>
    <w:rsid w:val="00EA44A4"/>
    <w:rsid w:val="00EB556D"/>
    <w:rsid w:val="00F20A92"/>
    <w:rsid w:val="00F36322"/>
    <w:rsid w:val="00F37D4F"/>
    <w:rsid w:val="00F51203"/>
    <w:rsid w:val="00F66D62"/>
    <w:rsid w:val="00F74091"/>
    <w:rsid w:val="00F823D5"/>
    <w:rsid w:val="00FA3014"/>
    <w:rsid w:val="00FE63DD"/>
    <w:rsid w:val="00FE68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F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EB1487576FA94EA3BB2E96798ADFA1">
    <w:name w:val="72EB1487576FA94EA3BB2E96798ADFA1"/>
    <w:rsid w:val="00816FB1"/>
  </w:style>
  <w:style w:type="character" w:customStyle="1" w:styleId="TitleChar">
    <w:name w:val="Title Char"/>
    <w:basedOn w:val="DefaultParagraphFont"/>
    <w:rsid w:val="00E61D5C"/>
    <w:rPr>
      <w:rFonts w:eastAsiaTheme="minorHAnsi"/>
      <w:b/>
      <w:caps/>
      <w:color w:val="5B9BD5" w:themeColor="accent1"/>
      <w:sz w:val="100"/>
      <w:szCs w:val="100"/>
    </w:rPr>
  </w:style>
  <w:style w:type="paragraph" w:customStyle="1" w:styleId="BB7CAC4563CBBB43B6378E96347EDD5A">
    <w:name w:val="BB7CAC4563CBBB43B6378E96347EDD5A"/>
    <w:rsid w:val="00816FB1"/>
  </w:style>
  <w:style w:type="paragraph" w:customStyle="1" w:styleId="46F1F58D5BA8E64BA0394FF55A6FE687">
    <w:name w:val="46F1F58D5BA8E64BA0394FF55A6FE687"/>
    <w:rsid w:val="00816FB1"/>
  </w:style>
  <w:style w:type="paragraph" w:styleId="BodyText">
    <w:name w:val="Body Text"/>
    <w:basedOn w:val="Normal"/>
    <w:link w:val="BodyTextChar"/>
    <w:rsid w:val="00816FB1"/>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sid w:val="00816FB1"/>
    <w:rPr>
      <w:rFonts w:eastAsiaTheme="minorHAnsi"/>
      <w:color w:val="7F7F7F" w:themeColor="text1" w:themeTint="80"/>
      <w:sz w:val="20"/>
      <w:szCs w:val="22"/>
      <w:lang w:eastAsia="en-US"/>
    </w:rPr>
  </w:style>
  <w:style w:type="paragraph" w:customStyle="1" w:styleId="0CEE73B77BCCB64C80D5F8CEA0BB1D02">
    <w:name w:val="0CEE73B77BCCB64C80D5F8CEA0BB1D02"/>
    <w:rsid w:val="00816FB1"/>
  </w:style>
  <w:style w:type="paragraph" w:customStyle="1" w:styleId="3CCDFEC9173D21469CA9BE2288F312B7">
    <w:name w:val="3CCDFEC9173D21469CA9BE2288F312B7"/>
    <w:rsid w:val="00816FB1"/>
  </w:style>
  <w:style w:type="paragraph" w:customStyle="1" w:styleId="5A0BFEE883B2E541B2C4A10D84B9C1DD">
    <w:name w:val="5A0BFEE883B2E541B2C4A10D84B9C1DD"/>
    <w:rsid w:val="00816FB1"/>
  </w:style>
  <w:style w:type="paragraph" w:customStyle="1" w:styleId="73900C4994934344AF909B5C046B9A68">
    <w:name w:val="73900C4994934344AF909B5C046B9A68"/>
    <w:rsid w:val="00816FB1"/>
  </w:style>
  <w:style w:type="paragraph" w:customStyle="1" w:styleId="4E629184CD764246B4BDFF0A95DE1038">
    <w:name w:val="4E629184CD764246B4BDFF0A95DE1038"/>
    <w:rsid w:val="00816FB1"/>
  </w:style>
  <w:style w:type="paragraph" w:customStyle="1" w:styleId="7DF3B5817FB3EF4D8FAFF6FF25BDB5EB">
    <w:name w:val="7DF3B5817FB3EF4D8FAFF6FF25BDB5EB"/>
    <w:rsid w:val="00816FB1"/>
  </w:style>
  <w:style w:type="paragraph" w:customStyle="1" w:styleId="F7DAC0F0A938324B86DF50381BC7DBC1">
    <w:name w:val="F7DAC0F0A938324B86DF50381BC7DBC1"/>
    <w:rsid w:val="00816FB1"/>
  </w:style>
  <w:style w:type="paragraph" w:customStyle="1" w:styleId="5BAE83F80B87A4429C8C928AB4E7A033">
    <w:name w:val="5BAE83F80B87A4429C8C928AB4E7A033"/>
    <w:rsid w:val="00816FB1"/>
  </w:style>
  <w:style w:type="paragraph" w:customStyle="1" w:styleId="51D22B0FFFC711499567981DF1C4AF01">
    <w:name w:val="51D22B0FFFC711499567981DF1C4AF01"/>
    <w:rsid w:val="00816FB1"/>
  </w:style>
  <w:style w:type="paragraph" w:customStyle="1" w:styleId="08E64D67F3DD224DA2683B95D7980968">
    <w:name w:val="08E64D67F3DD224DA2683B95D7980968"/>
    <w:rsid w:val="00816FB1"/>
  </w:style>
  <w:style w:type="paragraph" w:customStyle="1" w:styleId="32462D24D161344A85695A852A4D2B9D">
    <w:name w:val="32462D24D161344A85695A852A4D2B9D"/>
    <w:rsid w:val="00816FB1"/>
  </w:style>
  <w:style w:type="paragraph" w:customStyle="1" w:styleId="E70DE034BA29134FACABBA44F557EB36">
    <w:name w:val="E70DE034BA29134FACABBA44F557EB36"/>
    <w:rsid w:val="00816FB1"/>
  </w:style>
  <w:style w:type="paragraph" w:customStyle="1" w:styleId="D42B84F040FFBA4DA4841B3B2225D2E9">
    <w:name w:val="D42B84F040FFBA4DA4841B3B2225D2E9"/>
    <w:rsid w:val="00816FB1"/>
  </w:style>
  <w:style w:type="paragraph" w:customStyle="1" w:styleId="3FC1426225779B4583206F4C21BAE124">
    <w:name w:val="3FC1426225779B4583206F4C21BAE124"/>
    <w:rsid w:val="00816FB1"/>
  </w:style>
  <w:style w:type="paragraph" w:customStyle="1" w:styleId="217B1A4C8677D64C9E8D13F21A96451C">
    <w:name w:val="217B1A4C8677D64C9E8D13F21A96451C"/>
    <w:rsid w:val="00816FB1"/>
  </w:style>
  <w:style w:type="paragraph" w:customStyle="1" w:styleId="93391786F86C1444872F45164C62D1FD">
    <w:name w:val="93391786F86C1444872F45164C62D1FD"/>
    <w:rsid w:val="00F20A92"/>
  </w:style>
  <w:style w:type="paragraph" w:customStyle="1" w:styleId="C4EEBC3C88ABC54EBAF91702991FD427">
    <w:name w:val="C4EEBC3C88ABC54EBAF91702991FD427"/>
    <w:rsid w:val="00F20A92"/>
  </w:style>
  <w:style w:type="paragraph" w:customStyle="1" w:styleId="23A8E9A1489D0F43A9E947026D1C184B">
    <w:name w:val="23A8E9A1489D0F43A9E947026D1C184B"/>
    <w:rsid w:val="00F20A92"/>
  </w:style>
  <w:style w:type="paragraph" w:customStyle="1" w:styleId="E80B7C3FDD7C3242AEADD91732EB67BC">
    <w:name w:val="E80B7C3FDD7C3242AEADD91732EB67BC"/>
    <w:rsid w:val="00F20A92"/>
  </w:style>
  <w:style w:type="paragraph" w:customStyle="1" w:styleId="D086864DA5C1A644A12A38F52339B13C">
    <w:name w:val="D086864DA5C1A644A12A38F52339B13C"/>
    <w:rsid w:val="00F20A92"/>
  </w:style>
  <w:style w:type="paragraph" w:customStyle="1" w:styleId="141B4E429D9A42FE8FDDE675103100FB">
    <w:name w:val="141B4E429D9A42FE8FDDE675103100FB"/>
    <w:rsid w:val="00816FB1"/>
    <w:pPr>
      <w:spacing w:after="200" w:line="276" w:lineRule="auto"/>
    </w:pPr>
    <w:rPr>
      <w:sz w:val="22"/>
      <w:szCs w:val="22"/>
      <w:lang w:val="en-AU" w:eastAsia="en-AU"/>
    </w:rPr>
  </w:style>
  <w:style w:type="paragraph" w:customStyle="1" w:styleId="59E8758390A3426AA944FDC5B9B25328">
    <w:name w:val="59E8758390A3426AA944FDC5B9B25328"/>
    <w:rsid w:val="00816FB1"/>
    <w:pPr>
      <w:spacing w:after="200" w:line="276" w:lineRule="auto"/>
    </w:pPr>
    <w:rPr>
      <w:sz w:val="22"/>
      <w:szCs w:val="22"/>
      <w:lang w:val="en-AU" w:eastAsia="en-AU"/>
    </w:rPr>
  </w:style>
  <w:style w:type="paragraph" w:customStyle="1" w:styleId="20B11E427F3E4D42B4EA6DB205AFEBE1">
    <w:name w:val="20B11E427F3E4D42B4EA6DB205AFEBE1"/>
    <w:rsid w:val="00E61D5C"/>
    <w:rPr>
      <w:lang w:val="en-AU"/>
    </w:rPr>
  </w:style>
  <w:style w:type="paragraph" w:customStyle="1" w:styleId="79170F0959B14540B0919D34ECDC9B5E">
    <w:name w:val="79170F0959B14540B0919D34ECDC9B5E"/>
    <w:rsid w:val="00E61D5C"/>
    <w:rPr>
      <w:lang w:val="en-AU"/>
    </w:rPr>
  </w:style>
  <w:style w:type="paragraph" w:customStyle="1" w:styleId="EE9C45189CF6C14A9DA6CFA0E4F42827">
    <w:name w:val="EE9C45189CF6C14A9DA6CFA0E4F42827"/>
    <w:rsid w:val="00E61D5C"/>
    <w:rPr>
      <w:lang w:val="en-AU"/>
    </w:rPr>
  </w:style>
  <w:style w:type="paragraph" w:customStyle="1" w:styleId="4FE09B19537CE04AA46D31DBE73CD3A2">
    <w:name w:val="4FE09B19537CE04AA46D31DBE73CD3A2"/>
    <w:rsid w:val="00E61D5C"/>
    <w:rPr>
      <w:lang w:val="en-AU"/>
    </w:rPr>
  </w:style>
  <w:style w:type="paragraph" w:customStyle="1" w:styleId="26DC84BD490C0E44BBCFFA4CA84B4A50">
    <w:name w:val="26DC84BD490C0E44BBCFFA4CA84B4A50"/>
    <w:rsid w:val="00E61D5C"/>
    <w:rPr>
      <w:lang w:val="en-AU"/>
    </w:rPr>
  </w:style>
  <w:style w:type="paragraph" w:customStyle="1" w:styleId="376C594E7FEA264185C2820409F933E2">
    <w:name w:val="376C594E7FEA264185C2820409F933E2"/>
    <w:rsid w:val="00E61D5C"/>
    <w:rPr>
      <w:lang w:val="en-AU"/>
    </w:rPr>
  </w:style>
  <w:style w:type="paragraph" w:customStyle="1" w:styleId="8EAA5B4F6161024D85292148BD8CBD9D">
    <w:name w:val="8EAA5B4F6161024D85292148BD8CBD9D"/>
    <w:rsid w:val="00E61D5C"/>
    <w:rPr>
      <w:lang w:val="en-AU"/>
    </w:rPr>
  </w:style>
  <w:style w:type="paragraph" w:customStyle="1" w:styleId="B7A91D06326B4B3493117F837FE2D0A5">
    <w:name w:val="B7A91D06326B4B3493117F837FE2D0A5"/>
    <w:rsid w:val="00922CA1"/>
    <w:pPr>
      <w:spacing w:after="200" w:line="276" w:lineRule="auto"/>
    </w:pPr>
    <w:rPr>
      <w:sz w:val="22"/>
      <w:szCs w:val="22"/>
      <w:lang w:val="en-AU" w:eastAsia="en-AU"/>
    </w:rPr>
  </w:style>
  <w:style w:type="paragraph" w:customStyle="1" w:styleId="97751F0EF1174021B867581CDC6E2B59">
    <w:name w:val="97751F0EF1174021B867581CDC6E2B59"/>
    <w:rsid w:val="00D925D0"/>
    <w:pPr>
      <w:spacing w:after="200" w:line="276" w:lineRule="auto"/>
    </w:pPr>
    <w:rPr>
      <w:sz w:val="22"/>
      <w:szCs w:val="22"/>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FBEC9B-4E5B-48E6-9BBA-055698239C0C}"/>
</file>

<file path=customXml/itemProps2.xml><?xml version="1.0" encoding="utf-8"?>
<ds:datastoreItem xmlns:ds="http://schemas.openxmlformats.org/officeDocument/2006/customXml" ds:itemID="{FE58BA85-FE02-4C4E-8325-E623F2B87F25}"/>
</file>

<file path=customXml/itemProps3.xml><?xml version="1.0" encoding="utf-8"?>
<ds:datastoreItem xmlns:ds="http://schemas.openxmlformats.org/officeDocument/2006/customXml" ds:itemID="{CD714C0B-3133-477A-B46B-5C88E37FCE36}"/>
</file>

<file path=customXml/itemProps4.xml><?xml version="1.0" encoding="utf-8"?>
<ds:datastoreItem xmlns:ds="http://schemas.openxmlformats.org/officeDocument/2006/customXml" ds:itemID="{ED9338A1-8511-4203-9D71-F4F5BE068AB5}"/>
</file>

<file path=docProps/app.xml><?xml version="1.0" encoding="utf-8"?>
<Properties xmlns="http://schemas.openxmlformats.org/officeDocument/2006/extended-properties" xmlns:vt="http://schemas.openxmlformats.org/officeDocument/2006/docPropsVTypes">
  <Template>Normal.dotm</Template>
  <TotalTime>0</TotalTime>
  <Pages>34</Pages>
  <Words>11910</Words>
  <Characters>67891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Vanuatu Skills for Economic Growth Program Phase 3 Completion Report</vt:lpstr>
    </vt:vector>
  </TitlesOfParts>
  <Company/>
  <LinksUpToDate>false</LinksUpToDate>
  <CharactersWithSpaces>79642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Skills for Economic Growth Program Phase 3 Completion Report</dc:title>
  <dc:creator/>
  <cp:lastModifiedBy/>
  <cp:revision>1</cp:revision>
  <dcterms:created xsi:type="dcterms:W3CDTF">2017-03-01T00:54:00Z</dcterms:created>
  <dcterms:modified xsi:type="dcterms:W3CDTF">2017-03-01T00:55:00Z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8784a0b7-8380-4d48-8aa6-a8c030da1d8a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1090700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